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62477" w14:textId="38B30E35" w:rsidR="00C27EAD" w:rsidRDefault="00C42A3D">
      <w:pPr>
        <w:pStyle w:val="BodyText"/>
        <w:ind w:left="4048"/>
        <w:rPr>
          <w:rFonts w:ascii="Times New Roman"/>
          <w:sz w:val="20"/>
        </w:rPr>
      </w:pPr>
      <w:bookmarkStart w:id="0" w:name="_GoBack"/>
      <w:bookmarkEnd w:id="0"/>
      <w:r w:rsidRPr="00B900BF">
        <w:rPr>
          <w:rFonts w:ascii="Verdana" w:hAnsi="Verdana"/>
          <w:noProof/>
          <w:lang w:val="en-GB" w:eastAsia="en-GB"/>
        </w:rPr>
        <w:drawing>
          <wp:inline distT="0" distB="0" distL="0" distR="0" wp14:anchorId="3C08BE15" wp14:editId="36710ADD">
            <wp:extent cx="1809750" cy="1228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0" cy="1228725"/>
                    </a:xfrm>
                    <a:prstGeom prst="rect">
                      <a:avLst/>
                    </a:prstGeom>
                    <a:noFill/>
                    <a:ln>
                      <a:noFill/>
                    </a:ln>
                  </pic:spPr>
                </pic:pic>
              </a:graphicData>
            </a:graphic>
          </wp:inline>
        </w:drawing>
      </w:r>
    </w:p>
    <w:p w14:paraId="6971CFBB" w14:textId="77777777" w:rsidR="00C27EAD" w:rsidRDefault="00C27EAD">
      <w:pPr>
        <w:pStyle w:val="BodyText"/>
        <w:spacing w:before="9"/>
        <w:rPr>
          <w:rFonts w:ascii="Times New Roman"/>
          <w:sz w:val="10"/>
        </w:rPr>
      </w:pPr>
    </w:p>
    <w:p w14:paraId="4E3B255B" w14:textId="77777777" w:rsidR="00C27EAD" w:rsidRDefault="00EE4CDD">
      <w:pPr>
        <w:spacing w:before="99" w:line="242" w:lineRule="auto"/>
        <w:ind w:left="1310" w:right="2033"/>
        <w:jc w:val="center"/>
        <w:rPr>
          <w:b/>
          <w:sz w:val="26"/>
        </w:rPr>
      </w:pPr>
      <w:r>
        <w:rPr>
          <w:b/>
          <w:sz w:val="26"/>
        </w:rPr>
        <w:t>Diversification</w:t>
      </w:r>
      <w:r w:rsidR="00957814">
        <w:rPr>
          <w:b/>
          <w:sz w:val="26"/>
        </w:rPr>
        <w:t xml:space="preserve"> study </w:t>
      </w:r>
      <w:r>
        <w:rPr>
          <w:b/>
          <w:sz w:val="26"/>
        </w:rPr>
        <w:t>on Solvency II Internal Models</w:t>
      </w:r>
      <w:r w:rsidR="00957814">
        <w:rPr>
          <w:b/>
          <w:sz w:val="26"/>
        </w:rPr>
        <w:t>,</w:t>
      </w:r>
      <w:r>
        <w:rPr>
          <w:b/>
          <w:sz w:val="26"/>
        </w:rPr>
        <w:t xml:space="preserve"> 2020</w:t>
      </w:r>
    </w:p>
    <w:p w14:paraId="4E14E787" w14:textId="77777777" w:rsidR="00C27EAD" w:rsidRDefault="00C27EAD">
      <w:pPr>
        <w:pStyle w:val="BodyText"/>
        <w:rPr>
          <w:b/>
          <w:sz w:val="30"/>
        </w:rPr>
      </w:pPr>
    </w:p>
    <w:p w14:paraId="13030D39" w14:textId="054E7837" w:rsidR="00C27EAD" w:rsidRDefault="00957814">
      <w:pPr>
        <w:pStyle w:val="Title"/>
        <w:spacing w:line="312" w:lineRule="auto"/>
      </w:pPr>
      <w:r>
        <w:t>Instructions to participating undertakings for filling out the data request</w:t>
      </w:r>
    </w:p>
    <w:p w14:paraId="771EFBC0" w14:textId="77777777" w:rsidR="00C27EAD" w:rsidRDefault="00C27EAD">
      <w:pPr>
        <w:pStyle w:val="BodyText"/>
        <w:spacing w:before="10"/>
        <w:rPr>
          <w:b/>
          <w:i/>
          <w:sz w:val="46"/>
        </w:rPr>
      </w:pPr>
    </w:p>
    <w:p w14:paraId="7AACEFDB" w14:textId="00642F6A" w:rsidR="00EE4CDD" w:rsidRDefault="00957814">
      <w:pPr>
        <w:spacing w:line="352" w:lineRule="auto"/>
        <w:ind w:left="809" w:right="1530"/>
        <w:jc w:val="center"/>
        <w:rPr>
          <w:b/>
        </w:rPr>
      </w:pPr>
      <w:r>
        <w:rPr>
          <w:b/>
        </w:rPr>
        <w:t>Response deadline:</w:t>
      </w:r>
      <w:r w:rsidR="00EE4CDD">
        <w:rPr>
          <w:b/>
        </w:rPr>
        <w:t xml:space="preserve"> </w:t>
      </w:r>
      <w:r w:rsidR="00893A2C">
        <w:rPr>
          <w:b/>
          <w:color w:val="FF0000"/>
        </w:rPr>
        <w:t>15</w:t>
      </w:r>
      <w:r w:rsidR="00EE4CDD" w:rsidRPr="00EE4CDD">
        <w:rPr>
          <w:b/>
          <w:color w:val="FF0000"/>
        </w:rPr>
        <w:t>-</w:t>
      </w:r>
      <w:r w:rsidR="00893A2C">
        <w:rPr>
          <w:b/>
          <w:color w:val="FF0000"/>
        </w:rPr>
        <w:t>01</w:t>
      </w:r>
      <w:r w:rsidR="00EE4CDD" w:rsidRPr="00EE4CDD">
        <w:rPr>
          <w:b/>
          <w:color w:val="FF0000"/>
        </w:rPr>
        <w:t>-</w:t>
      </w:r>
      <w:r w:rsidR="00893A2C" w:rsidRPr="00EE4CDD">
        <w:rPr>
          <w:b/>
          <w:color w:val="FF0000"/>
        </w:rPr>
        <w:t>20</w:t>
      </w:r>
      <w:r w:rsidR="00893A2C">
        <w:rPr>
          <w:b/>
          <w:color w:val="FF0000"/>
        </w:rPr>
        <w:t>21</w:t>
      </w:r>
    </w:p>
    <w:p w14:paraId="577A8F2E" w14:textId="7D52BF0F" w:rsidR="00C27EAD" w:rsidRDefault="00957814">
      <w:pPr>
        <w:spacing w:line="352" w:lineRule="auto"/>
        <w:ind w:left="809" w:right="1530"/>
        <w:jc w:val="center"/>
        <w:rPr>
          <w:b/>
        </w:rPr>
      </w:pPr>
      <w:r>
        <w:rPr>
          <w:b/>
        </w:rPr>
        <w:t xml:space="preserve">Author: EIOPA </w:t>
      </w:r>
      <w:r w:rsidR="0028794B">
        <w:rPr>
          <w:b/>
        </w:rPr>
        <w:t xml:space="preserve">Project Group on </w:t>
      </w:r>
      <w:r w:rsidR="00EE4CDD">
        <w:rPr>
          <w:b/>
        </w:rPr>
        <w:t>Diversification</w:t>
      </w:r>
      <w:r w:rsidR="000A58B2">
        <w:rPr>
          <w:b/>
        </w:rPr>
        <w:t xml:space="preserve"> </w:t>
      </w:r>
      <w:r w:rsidR="0028794B">
        <w:rPr>
          <w:b/>
        </w:rPr>
        <w:t xml:space="preserve">in </w:t>
      </w:r>
      <w:r w:rsidR="000A58B2">
        <w:rPr>
          <w:b/>
        </w:rPr>
        <w:t>Internal Models</w:t>
      </w:r>
      <w:r>
        <w:rPr>
          <w:b/>
        </w:rPr>
        <w:t xml:space="preserve"> </w:t>
      </w:r>
    </w:p>
    <w:sdt>
      <w:sdtPr>
        <w:rPr>
          <w:rFonts w:ascii="Cambria" w:eastAsia="Cambria" w:hAnsi="Cambria" w:cs="Cambria"/>
          <w:b/>
          <w:bCs/>
          <w:color w:val="auto"/>
          <w:sz w:val="22"/>
          <w:szCs w:val="22"/>
        </w:rPr>
        <w:id w:val="1202899674"/>
        <w:docPartObj>
          <w:docPartGallery w:val="Table of Contents"/>
          <w:docPartUnique/>
        </w:docPartObj>
      </w:sdtPr>
      <w:sdtEndPr>
        <w:rPr>
          <w:b w:val="0"/>
          <w:bCs w:val="0"/>
          <w:noProof/>
          <w:sz w:val="20"/>
          <w:szCs w:val="20"/>
        </w:rPr>
      </w:sdtEndPr>
      <w:sdtContent>
        <w:p w14:paraId="2596128C" w14:textId="0E6E4B28" w:rsidR="00E9509A" w:rsidRPr="001C53A6" w:rsidRDefault="001C53A6" w:rsidP="00E93EAE">
          <w:pPr>
            <w:pStyle w:val="TOCHeading"/>
            <w:ind w:right="951"/>
            <w:rPr>
              <w:b/>
              <w:bCs/>
            </w:rPr>
          </w:pPr>
          <w:r w:rsidRPr="001C53A6">
            <w:rPr>
              <w:b/>
              <w:bCs/>
            </w:rPr>
            <w:t>Table of contents</w:t>
          </w:r>
        </w:p>
        <w:p w14:paraId="0E27984A" w14:textId="19B12692" w:rsidR="00264426" w:rsidRDefault="00E9509A">
          <w:pPr>
            <w:pStyle w:val="TOC1"/>
            <w:tabs>
              <w:tab w:val="right" w:leader="dot" w:pos="10580"/>
            </w:tabs>
            <w:rPr>
              <w:rFonts w:asciiTheme="minorHAnsi" w:eastAsiaTheme="minorEastAsia" w:hAnsiTheme="minorHAnsi" w:cstheme="minorBidi"/>
              <w:b w:val="0"/>
              <w:bCs w:val="0"/>
              <w:noProof/>
              <w:sz w:val="22"/>
              <w:szCs w:val="22"/>
              <w:lang w:val="en-GB" w:eastAsia="en-GB"/>
            </w:rPr>
          </w:pPr>
          <w:r>
            <w:fldChar w:fldCharType="begin"/>
          </w:r>
          <w:r>
            <w:instrText xml:space="preserve"> TOC \o "1-3" \h \z \u </w:instrText>
          </w:r>
          <w:r>
            <w:fldChar w:fldCharType="separate"/>
          </w:r>
          <w:hyperlink w:anchor="_Toc48679246" w:history="1">
            <w:r w:rsidR="00264426" w:rsidRPr="00446A20">
              <w:rPr>
                <w:rStyle w:val="Hyperlink"/>
                <w:noProof/>
                <w:spacing w:val="-1"/>
              </w:rPr>
              <w:t>I.</w:t>
            </w:r>
            <w:r w:rsidR="00264426">
              <w:rPr>
                <w:rFonts w:asciiTheme="minorHAnsi" w:eastAsiaTheme="minorEastAsia" w:hAnsiTheme="minorHAnsi" w:cstheme="minorBidi"/>
                <w:b w:val="0"/>
                <w:bCs w:val="0"/>
                <w:noProof/>
                <w:sz w:val="22"/>
                <w:szCs w:val="22"/>
                <w:lang w:val="en-GB" w:eastAsia="en-GB"/>
              </w:rPr>
              <w:tab/>
            </w:r>
            <w:r w:rsidR="00264426" w:rsidRPr="00446A20">
              <w:rPr>
                <w:rStyle w:val="Hyperlink"/>
                <w:noProof/>
              </w:rPr>
              <w:t>Purpose</w:t>
            </w:r>
            <w:r w:rsidR="00264426">
              <w:rPr>
                <w:noProof/>
                <w:webHidden/>
              </w:rPr>
              <w:tab/>
            </w:r>
            <w:r w:rsidR="00264426">
              <w:rPr>
                <w:noProof/>
                <w:webHidden/>
              </w:rPr>
              <w:fldChar w:fldCharType="begin"/>
            </w:r>
            <w:r w:rsidR="00264426">
              <w:rPr>
                <w:noProof/>
                <w:webHidden/>
              </w:rPr>
              <w:instrText xml:space="preserve"> PAGEREF _Toc48679246 \h </w:instrText>
            </w:r>
            <w:r w:rsidR="00264426">
              <w:rPr>
                <w:noProof/>
                <w:webHidden/>
              </w:rPr>
            </w:r>
            <w:r w:rsidR="00264426">
              <w:rPr>
                <w:noProof/>
                <w:webHidden/>
              </w:rPr>
              <w:fldChar w:fldCharType="separate"/>
            </w:r>
            <w:r w:rsidR="00264426">
              <w:rPr>
                <w:noProof/>
                <w:webHidden/>
              </w:rPr>
              <w:t>1</w:t>
            </w:r>
            <w:r w:rsidR="00264426">
              <w:rPr>
                <w:noProof/>
                <w:webHidden/>
              </w:rPr>
              <w:fldChar w:fldCharType="end"/>
            </w:r>
          </w:hyperlink>
        </w:p>
        <w:p w14:paraId="200A0BE1" w14:textId="05471DD6" w:rsidR="00264426" w:rsidRDefault="0042253E">
          <w:pPr>
            <w:pStyle w:val="TOC1"/>
            <w:tabs>
              <w:tab w:val="right" w:leader="dot" w:pos="10580"/>
            </w:tabs>
            <w:rPr>
              <w:rFonts w:asciiTheme="minorHAnsi" w:eastAsiaTheme="minorEastAsia" w:hAnsiTheme="minorHAnsi" w:cstheme="minorBidi"/>
              <w:b w:val="0"/>
              <w:bCs w:val="0"/>
              <w:noProof/>
              <w:sz w:val="22"/>
              <w:szCs w:val="22"/>
              <w:lang w:val="en-GB" w:eastAsia="en-GB"/>
            </w:rPr>
          </w:pPr>
          <w:hyperlink w:anchor="_Toc48679247" w:history="1">
            <w:r w:rsidR="00264426" w:rsidRPr="00446A20">
              <w:rPr>
                <w:rStyle w:val="Hyperlink"/>
                <w:noProof/>
                <w:spacing w:val="-1"/>
              </w:rPr>
              <w:t>II.</w:t>
            </w:r>
            <w:r w:rsidR="00264426">
              <w:rPr>
                <w:rFonts w:asciiTheme="minorHAnsi" w:eastAsiaTheme="minorEastAsia" w:hAnsiTheme="minorHAnsi" w:cstheme="minorBidi"/>
                <w:b w:val="0"/>
                <w:bCs w:val="0"/>
                <w:noProof/>
                <w:sz w:val="22"/>
                <w:szCs w:val="22"/>
                <w:lang w:val="en-GB" w:eastAsia="en-GB"/>
              </w:rPr>
              <w:tab/>
            </w:r>
            <w:r w:rsidR="00264426" w:rsidRPr="00446A20">
              <w:rPr>
                <w:rStyle w:val="Hyperlink"/>
                <w:noProof/>
              </w:rPr>
              <w:t>Context</w:t>
            </w:r>
            <w:r w:rsidR="00264426">
              <w:rPr>
                <w:noProof/>
                <w:webHidden/>
              </w:rPr>
              <w:tab/>
            </w:r>
            <w:r w:rsidR="00264426">
              <w:rPr>
                <w:noProof/>
                <w:webHidden/>
              </w:rPr>
              <w:fldChar w:fldCharType="begin"/>
            </w:r>
            <w:r w:rsidR="00264426">
              <w:rPr>
                <w:noProof/>
                <w:webHidden/>
              </w:rPr>
              <w:instrText xml:space="preserve"> PAGEREF _Toc48679247 \h </w:instrText>
            </w:r>
            <w:r w:rsidR="00264426">
              <w:rPr>
                <w:noProof/>
                <w:webHidden/>
              </w:rPr>
            </w:r>
            <w:r w:rsidR="00264426">
              <w:rPr>
                <w:noProof/>
                <w:webHidden/>
              </w:rPr>
              <w:fldChar w:fldCharType="separate"/>
            </w:r>
            <w:r w:rsidR="00264426">
              <w:rPr>
                <w:noProof/>
                <w:webHidden/>
              </w:rPr>
              <w:t>1</w:t>
            </w:r>
            <w:r w:rsidR="00264426">
              <w:rPr>
                <w:noProof/>
                <w:webHidden/>
              </w:rPr>
              <w:fldChar w:fldCharType="end"/>
            </w:r>
          </w:hyperlink>
        </w:p>
        <w:p w14:paraId="3C767BAC" w14:textId="5C35002E" w:rsidR="00264426" w:rsidRDefault="0042253E">
          <w:pPr>
            <w:pStyle w:val="TOC1"/>
            <w:tabs>
              <w:tab w:val="right" w:leader="dot" w:pos="10580"/>
            </w:tabs>
            <w:rPr>
              <w:rFonts w:asciiTheme="minorHAnsi" w:eastAsiaTheme="minorEastAsia" w:hAnsiTheme="minorHAnsi" w:cstheme="minorBidi"/>
              <w:b w:val="0"/>
              <w:bCs w:val="0"/>
              <w:noProof/>
              <w:sz w:val="22"/>
              <w:szCs w:val="22"/>
              <w:lang w:val="en-GB" w:eastAsia="en-GB"/>
            </w:rPr>
          </w:pPr>
          <w:hyperlink w:anchor="_Toc48679248" w:history="1">
            <w:r w:rsidR="00264426" w:rsidRPr="00446A20">
              <w:rPr>
                <w:rStyle w:val="Hyperlink"/>
                <w:noProof/>
                <w:spacing w:val="-1"/>
              </w:rPr>
              <w:t>III.</w:t>
            </w:r>
            <w:r w:rsidR="00264426">
              <w:rPr>
                <w:rFonts w:asciiTheme="minorHAnsi" w:eastAsiaTheme="minorEastAsia" w:hAnsiTheme="minorHAnsi" w:cstheme="minorBidi"/>
                <w:b w:val="0"/>
                <w:bCs w:val="0"/>
                <w:noProof/>
                <w:sz w:val="22"/>
                <w:szCs w:val="22"/>
                <w:lang w:val="en-GB" w:eastAsia="en-GB"/>
              </w:rPr>
              <w:tab/>
            </w:r>
            <w:r w:rsidR="00264426" w:rsidRPr="00446A20">
              <w:rPr>
                <w:rStyle w:val="Hyperlink"/>
                <w:noProof/>
              </w:rPr>
              <w:t>Participation to this data request</w:t>
            </w:r>
            <w:r w:rsidR="00264426">
              <w:rPr>
                <w:noProof/>
                <w:webHidden/>
              </w:rPr>
              <w:tab/>
            </w:r>
            <w:r w:rsidR="00264426">
              <w:rPr>
                <w:noProof/>
                <w:webHidden/>
              </w:rPr>
              <w:fldChar w:fldCharType="begin"/>
            </w:r>
            <w:r w:rsidR="00264426">
              <w:rPr>
                <w:noProof/>
                <w:webHidden/>
              </w:rPr>
              <w:instrText xml:space="preserve"> PAGEREF _Toc48679248 \h </w:instrText>
            </w:r>
            <w:r w:rsidR="00264426">
              <w:rPr>
                <w:noProof/>
                <w:webHidden/>
              </w:rPr>
            </w:r>
            <w:r w:rsidR="00264426">
              <w:rPr>
                <w:noProof/>
                <w:webHidden/>
              </w:rPr>
              <w:fldChar w:fldCharType="separate"/>
            </w:r>
            <w:r w:rsidR="00264426">
              <w:rPr>
                <w:noProof/>
                <w:webHidden/>
              </w:rPr>
              <w:t>2</w:t>
            </w:r>
            <w:r w:rsidR="00264426">
              <w:rPr>
                <w:noProof/>
                <w:webHidden/>
              </w:rPr>
              <w:fldChar w:fldCharType="end"/>
            </w:r>
          </w:hyperlink>
        </w:p>
        <w:p w14:paraId="28735385" w14:textId="4DF7DDE0" w:rsidR="00264426" w:rsidRDefault="0042253E">
          <w:pPr>
            <w:pStyle w:val="TOC1"/>
            <w:tabs>
              <w:tab w:val="right" w:leader="dot" w:pos="10580"/>
            </w:tabs>
            <w:rPr>
              <w:rFonts w:asciiTheme="minorHAnsi" w:eastAsiaTheme="minorEastAsia" w:hAnsiTheme="minorHAnsi" w:cstheme="minorBidi"/>
              <w:b w:val="0"/>
              <w:bCs w:val="0"/>
              <w:noProof/>
              <w:sz w:val="22"/>
              <w:szCs w:val="22"/>
              <w:lang w:val="en-GB" w:eastAsia="en-GB"/>
            </w:rPr>
          </w:pPr>
          <w:hyperlink w:anchor="_Toc48679249" w:history="1">
            <w:r w:rsidR="00264426" w:rsidRPr="00446A20">
              <w:rPr>
                <w:rStyle w:val="Hyperlink"/>
                <w:noProof/>
                <w:spacing w:val="-1"/>
              </w:rPr>
              <w:t>IV.</w:t>
            </w:r>
            <w:r w:rsidR="00264426">
              <w:rPr>
                <w:rFonts w:asciiTheme="minorHAnsi" w:eastAsiaTheme="minorEastAsia" w:hAnsiTheme="minorHAnsi" w:cstheme="minorBidi"/>
                <w:b w:val="0"/>
                <w:bCs w:val="0"/>
                <w:noProof/>
                <w:sz w:val="22"/>
                <w:szCs w:val="22"/>
                <w:lang w:val="en-GB" w:eastAsia="en-GB"/>
              </w:rPr>
              <w:tab/>
            </w:r>
            <w:r w:rsidR="00264426" w:rsidRPr="00446A20">
              <w:rPr>
                <w:rStyle w:val="Hyperlink"/>
                <w:noProof/>
              </w:rPr>
              <w:t>Data request</w:t>
            </w:r>
            <w:r w:rsidR="00264426">
              <w:rPr>
                <w:noProof/>
                <w:webHidden/>
              </w:rPr>
              <w:tab/>
            </w:r>
            <w:r w:rsidR="00264426">
              <w:rPr>
                <w:noProof/>
                <w:webHidden/>
              </w:rPr>
              <w:fldChar w:fldCharType="begin"/>
            </w:r>
            <w:r w:rsidR="00264426">
              <w:rPr>
                <w:noProof/>
                <w:webHidden/>
              </w:rPr>
              <w:instrText xml:space="preserve"> PAGEREF _Toc48679249 \h </w:instrText>
            </w:r>
            <w:r w:rsidR="00264426">
              <w:rPr>
                <w:noProof/>
                <w:webHidden/>
              </w:rPr>
            </w:r>
            <w:r w:rsidR="00264426">
              <w:rPr>
                <w:noProof/>
                <w:webHidden/>
              </w:rPr>
              <w:fldChar w:fldCharType="separate"/>
            </w:r>
            <w:r w:rsidR="00264426">
              <w:rPr>
                <w:noProof/>
                <w:webHidden/>
              </w:rPr>
              <w:t>3</w:t>
            </w:r>
            <w:r w:rsidR="00264426">
              <w:rPr>
                <w:noProof/>
                <w:webHidden/>
              </w:rPr>
              <w:fldChar w:fldCharType="end"/>
            </w:r>
          </w:hyperlink>
        </w:p>
        <w:p w14:paraId="6B57ED94" w14:textId="664BFA12" w:rsidR="00264426" w:rsidRDefault="0042253E">
          <w:pPr>
            <w:pStyle w:val="TOC1"/>
            <w:tabs>
              <w:tab w:val="left" w:pos="880"/>
              <w:tab w:val="right" w:leader="dot" w:pos="10580"/>
            </w:tabs>
            <w:rPr>
              <w:rFonts w:asciiTheme="minorHAnsi" w:eastAsiaTheme="minorEastAsia" w:hAnsiTheme="minorHAnsi" w:cstheme="minorBidi"/>
              <w:b w:val="0"/>
              <w:bCs w:val="0"/>
              <w:noProof/>
              <w:sz w:val="22"/>
              <w:szCs w:val="22"/>
              <w:lang w:val="en-GB" w:eastAsia="en-GB"/>
            </w:rPr>
          </w:pPr>
          <w:hyperlink w:anchor="_Toc48679250" w:history="1">
            <w:r w:rsidR="00264426" w:rsidRPr="00446A20">
              <w:rPr>
                <w:rStyle w:val="Hyperlink"/>
                <w:noProof/>
                <w:spacing w:val="-2"/>
              </w:rPr>
              <w:t>IV.1.</w:t>
            </w:r>
            <w:r w:rsidR="00264426">
              <w:rPr>
                <w:rFonts w:asciiTheme="minorHAnsi" w:eastAsiaTheme="minorEastAsia" w:hAnsiTheme="minorHAnsi" w:cstheme="minorBidi"/>
                <w:b w:val="0"/>
                <w:bCs w:val="0"/>
                <w:noProof/>
                <w:sz w:val="22"/>
                <w:szCs w:val="22"/>
                <w:lang w:val="en-GB" w:eastAsia="en-GB"/>
              </w:rPr>
              <w:tab/>
            </w:r>
            <w:r w:rsidR="00264426" w:rsidRPr="00446A20">
              <w:rPr>
                <w:rStyle w:val="Hyperlink"/>
                <w:noProof/>
              </w:rPr>
              <w:t>Overview</w:t>
            </w:r>
            <w:r w:rsidR="00264426">
              <w:rPr>
                <w:noProof/>
                <w:webHidden/>
              </w:rPr>
              <w:tab/>
            </w:r>
            <w:r w:rsidR="00264426">
              <w:rPr>
                <w:noProof/>
                <w:webHidden/>
              </w:rPr>
              <w:fldChar w:fldCharType="begin"/>
            </w:r>
            <w:r w:rsidR="00264426">
              <w:rPr>
                <w:noProof/>
                <w:webHidden/>
              </w:rPr>
              <w:instrText xml:space="preserve"> PAGEREF _Toc48679250 \h </w:instrText>
            </w:r>
            <w:r w:rsidR="00264426">
              <w:rPr>
                <w:noProof/>
                <w:webHidden/>
              </w:rPr>
            </w:r>
            <w:r w:rsidR="00264426">
              <w:rPr>
                <w:noProof/>
                <w:webHidden/>
              </w:rPr>
              <w:fldChar w:fldCharType="separate"/>
            </w:r>
            <w:r w:rsidR="00264426">
              <w:rPr>
                <w:noProof/>
                <w:webHidden/>
              </w:rPr>
              <w:t>3</w:t>
            </w:r>
            <w:r w:rsidR="00264426">
              <w:rPr>
                <w:noProof/>
                <w:webHidden/>
              </w:rPr>
              <w:fldChar w:fldCharType="end"/>
            </w:r>
          </w:hyperlink>
        </w:p>
        <w:p w14:paraId="274245EC" w14:textId="57A8502D" w:rsidR="00264426" w:rsidRDefault="0042253E">
          <w:pPr>
            <w:pStyle w:val="TOC1"/>
            <w:tabs>
              <w:tab w:val="left" w:pos="880"/>
              <w:tab w:val="right" w:leader="dot" w:pos="10580"/>
            </w:tabs>
            <w:rPr>
              <w:rFonts w:asciiTheme="minorHAnsi" w:eastAsiaTheme="minorEastAsia" w:hAnsiTheme="minorHAnsi" w:cstheme="minorBidi"/>
              <w:b w:val="0"/>
              <w:bCs w:val="0"/>
              <w:noProof/>
              <w:sz w:val="22"/>
              <w:szCs w:val="22"/>
              <w:lang w:val="en-GB" w:eastAsia="en-GB"/>
            </w:rPr>
          </w:pPr>
          <w:hyperlink w:anchor="_Toc48679251" w:history="1">
            <w:r w:rsidR="00264426" w:rsidRPr="00446A20">
              <w:rPr>
                <w:rStyle w:val="Hyperlink"/>
                <w:noProof/>
                <w:spacing w:val="-2"/>
              </w:rPr>
              <w:t>IV.2.</w:t>
            </w:r>
            <w:r w:rsidR="00264426">
              <w:rPr>
                <w:rFonts w:asciiTheme="minorHAnsi" w:eastAsiaTheme="minorEastAsia" w:hAnsiTheme="minorHAnsi" w:cstheme="minorBidi"/>
                <w:b w:val="0"/>
                <w:bCs w:val="0"/>
                <w:noProof/>
                <w:sz w:val="22"/>
                <w:szCs w:val="22"/>
                <w:lang w:val="en-GB" w:eastAsia="en-GB"/>
              </w:rPr>
              <w:tab/>
            </w:r>
            <w:r w:rsidR="00264426" w:rsidRPr="00446A20">
              <w:rPr>
                <w:rStyle w:val="Hyperlink"/>
                <w:noProof/>
              </w:rPr>
              <w:t>Specification of the requested information and values.</w:t>
            </w:r>
            <w:r w:rsidR="00264426">
              <w:rPr>
                <w:noProof/>
                <w:webHidden/>
              </w:rPr>
              <w:tab/>
            </w:r>
            <w:r w:rsidR="00264426">
              <w:rPr>
                <w:noProof/>
                <w:webHidden/>
              </w:rPr>
              <w:fldChar w:fldCharType="begin"/>
            </w:r>
            <w:r w:rsidR="00264426">
              <w:rPr>
                <w:noProof/>
                <w:webHidden/>
              </w:rPr>
              <w:instrText xml:space="preserve"> PAGEREF _Toc48679251 \h </w:instrText>
            </w:r>
            <w:r w:rsidR="00264426">
              <w:rPr>
                <w:noProof/>
                <w:webHidden/>
              </w:rPr>
            </w:r>
            <w:r w:rsidR="00264426">
              <w:rPr>
                <w:noProof/>
                <w:webHidden/>
              </w:rPr>
              <w:fldChar w:fldCharType="separate"/>
            </w:r>
            <w:r w:rsidR="00264426">
              <w:rPr>
                <w:noProof/>
                <w:webHidden/>
              </w:rPr>
              <w:t>5</w:t>
            </w:r>
            <w:r w:rsidR="00264426">
              <w:rPr>
                <w:noProof/>
                <w:webHidden/>
              </w:rPr>
              <w:fldChar w:fldCharType="end"/>
            </w:r>
          </w:hyperlink>
        </w:p>
        <w:p w14:paraId="34812BA7" w14:textId="69BDE6D9" w:rsidR="00264426" w:rsidRDefault="0042253E">
          <w:pPr>
            <w:pStyle w:val="TOC1"/>
            <w:tabs>
              <w:tab w:val="left" w:pos="880"/>
              <w:tab w:val="right" w:leader="dot" w:pos="10580"/>
            </w:tabs>
            <w:rPr>
              <w:rFonts w:asciiTheme="minorHAnsi" w:eastAsiaTheme="minorEastAsia" w:hAnsiTheme="minorHAnsi" w:cstheme="minorBidi"/>
              <w:b w:val="0"/>
              <w:bCs w:val="0"/>
              <w:noProof/>
              <w:sz w:val="22"/>
              <w:szCs w:val="22"/>
              <w:lang w:val="en-GB" w:eastAsia="en-GB"/>
            </w:rPr>
          </w:pPr>
          <w:hyperlink w:anchor="_Toc48679252" w:history="1">
            <w:r w:rsidR="00264426" w:rsidRPr="00446A20">
              <w:rPr>
                <w:rStyle w:val="Hyperlink"/>
                <w:noProof/>
                <w:spacing w:val="-2"/>
              </w:rPr>
              <w:t>IV.3.</w:t>
            </w:r>
            <w:r w:rsidR="00264426">
              <w:rPr>
                <w:rFonts w:asciiTheme="minorHAnsi" w:eastAsiaTheme="minorEastAsia" w:hAnsiTheme="minorHAnsi" w:cstheme="minorBidi"/>
                <w:b w:val="0"/>
                <w:bCs w:val="0"/>
                <w:noProof/>
                <w:sz w:val="22"/>
                <w:szCs w:val="22"/>
                <w:lang w:val="en-GB" w:eastAsia="en-GB"/>
              </w:rPr>
              <w:tab/>
            </w:r>
            <w:r w:rsidR="00264426" w:rsidRPr="00446A20">
              <w:rPr>
                <w:rStyle w:val="Hyperlink"/>
                <w:noProof/>
              </w:rPr>
              <w:t>More detailed specification of parts of the data request</w:t>
            </w:r>
            <w:r w:rsidR="00264426">
              <w:rPr>
                <w:noProof/>
                <w:webHidden/>
              </w:rPr>
              <w:tab/>
            </w:r>
            <w:r w:rsidR="00264426">
              <w:rPr>
                <w:noProof/>
                <w:webHidden/>
              </w:rPr>
              <w:fldChar w:fldCharType="begin"/>
            </w:r>
            <w:r w:rsidR="00264426">
              <w:rPr>
                <w:noProof/>
                <w:webHidden/>
              </w:rPr>
              <w:instrText xml:space="preserve"> PAGEREF _Toc48679252 \h </w:instrText>
            </w:r>
            <w:r w:rsidR="00264426">
              <w:rPr>
                <w:noProof/>
                <w:webHidden/>
              </w:rPr>
            </w:r>
            <w:r w:rsidR="00264426">
              <w:rPr>
                <w:noProof/>
                <w:webHidden/>
              </w:rPr>
              <w:fldChar w:fldCharType="separate"/>
            </w:r>
            <w:r w:rsidR="00264426">
              <w:rPr>
                <w:noProof/>
                <w:webHidden/>
              </w:rPr>
              <w:t>6</w:t>
            </w:r>
            <w:r w:rsidR="00264426">
              <w:rPr>
                <w:noProof/>
                <w:webHidden/>
              </w:rPr>
              <w:fldChar w:fldCharType="end"/>
            </w:r>
          </w:hyperlink>
        </w:p>
        <w:p w14:paraId="5A7472FE" w14:textId="5615CB92" w:rsidR="00264426" w:rsidRDefault="0042253E">
          <w:pPr>
            <w:pStyle w:val="TOC1"/>
            <w:tabs>
              <w:tab w:val="right" w:leader="dot" w:pos="10580"/>
            </w:tabs>
            <w:rPr>
              <w:rFonts w:asciiTheme="minorHAnsi" w:eastAsiaTheme="minorEastAsia" w:hAnsiTheme="minorHAnsi" w:cstheme="minorBidi"/>
              <w:b w:val="0"/>
              <w:bCs w:val="0"/>
              <w:noProof/>
              <w:sz w:val="22"/>
              <w:szCs w:val="22"/>
              <w:lang w:val="en-GB" w:eastAsia="en-GB"/>
            </w:rPr>
          </w:pPr>
          <w:hyperlink w:anchor="_Toc48679253" w:history="1">
            <w:r w:rsidR="00264426" w:rsidRPr="00446A20">
              <w:rPr>
                <w:rStyle w:val="Hyperlink"/>
                <w:noProof/>
                <w:spacing w:val="-1"/>
              </w:rPr>
              <w:t>V.</w:t>
            </w:r>
            <w:r w:rsidR="00264426">
              <w:rPr>
                <w:rFonts w:asciiTheme="minorHAnsi" w:eastAsiaTheme="minorEastAsia" w:hAnsiTheme="minorHAnsi" w:cstheme="minorBidi"/>
                <w:b w:val="0"/>
                <w:bCs w:val="0"/>
                <w:noProof/>
                <w:sz w:val="22"/>
                <w:szCs w:val="22"/>
                <w:lang w:val="en-GB" w:eastAsia="en-GB"/>
              </w:rPr>
              <w:tab/>
            </w:r>
            <w:r w:rsidR="00264426" w:rsidRPr="00446A20">
              <w:rPr>
                <w:rStyle w:val="Hyperlink"/>
                <w:noProof/>
              </w:rPr>
              <w:t>Deadline and practical aspects of filling out the data request</w:t>
            </w:r>
            <w:r w:rsidR="00264426">
              <w:rPr>
                <w:noProof/>
                <w:webHidden/>
              </w:rPr>
              <w:tab/>
            </w:r>
            <w:r w:rsidR="00264426">
              <w:rPr>
                <w:noProof/>
                <w:webHidden/>
              </w:rPr>
              <w:fldChar w:fldCharType="begin"/>
            </w:r>
            <w:r w:rsidR="00264426">
              <w:rPr>
                <w:noProof/>
                <w:webHidden/>
              </w:rPr>
              <w:instrText xml:space="preserve"> PAGEREF _Toc48679253 \h </w:instrText>
            </w:r>
            <w:r w:rsidR="00264426">
              <w:rPr>
                <w:noProof/>
                <w:webHidden/>
              </w:rPr>
            </w:r>
            <w:r w:rsidR="00264426">
              <w:rPr>
                <w:noProof/>
                <w:webHidden/>
              </w:rPr>
              <w:fldChar w:fldCharType="separate"/>
            </w:r>
            <w:r w:rsidR="00264426">
              <w:rPr>
                <w:noProof/>
                <w:webHidden/>
              </w:rPr>
              <w:t>11</w:t>
            </w:r>
            <w:r w:rsidR="00264426">
              <w:rPr>
                <w:noProof/>
                <w:webHidden/>
              </w:rPr>
              <w:fldChar w:fldCharType="end"/>
            </w:r>
          </w:hyperlink>
        </w:p>
        <w:p w14:paraId="406C657F" w14:textId="7302F46E" w:rsidR="00264426" w:rsidRDefault="0042253E">
          <w:pPr>
            <w:pStyle w:val="TOC1"/>
            <w:tabs>
              <w:tab w:val="right" w:leader="dot" w:pos="10580"/>
            </w:tabs>
            <w:rPr>
              <w:rFonts w:asciiTheme="minorHAnsi" w:eastAsiaTheme="minorEastAsia" w:hAnsiTheme="minorHAnsi" w:cstheme="minorBidi"/>
              <w:b w:val="0"/>
              <w:bCs w:val="0"/>
              <w:noProof/>
              <w:sz w:val="22"/>
              <w:szCs w:val="22"/>
              <w:lang w:val="en-GB" w:eastAsia="en-GB"/>
            </w:rPr>
          </w:pPr>
          <w:hyperlink w:anchor="_Toc48679254" w:history="1">
            <w:r w:rsidR="00264426" w:rsidRPr="00446A20">
              <w:rPr>
                <w:rStyle w:val="Hyperlink"/>
                <w:noProof/>
                <w:spacing w:val="-1"/>
              </w:rPr>
              <w:t>VI.</w:t>
            </w:r>
            <w:r w:rsidR="00264426">
              <w:rPr>
                <w:rFonts w:asciiTheme="minorHAnsi" w:eastAsiaTheme="minorEastAsia" w:hAnsiTheme="minorHAnsi" w:cstheme="minorBidi"/>
                <w:b w:val="0"/>
                <w:bCs w:val="0"/>
                <w:noProof/>
                <w:sz w:val="22"/>
                <w:szCs w:val="22"/>
                <w:lang w:val="en-GB" w:eastAsia="en-GB"/>
              </w:rPr>
              <w:tab/>
            </w:r>
            <w:r w:rsidR="00264426" w:rsidRPr="00446A20">
              <w:rPr>
                <w:rStyle w:val="Hyperlink"/>
                <w:noProof/>
              </w:rPr>
              <w:t>Appendix</w:t>
            </w:r>
            <w:r w:rsidR="00264426">
              <w:rPr>
                <w:noProof/>
                <w:webHidden/>
              </w:rPr>
              <w:tab/>
            </w:r>
            <w:r w:rsidR="00264426">
              <w:rPr>
                <w:noProof/>
                <w:webHidden/>
              </w:rPr>
              <w:fldChar w:fldCharType="begin"/>
            </w:r>
            <w:r w:rsidR="00264426">
              <w:rPr>
                <w:noProof/>
                <w:webHidden/>
              </w:rPr>
              <w:instrText xml:space="preserve"> PAGEREF _Toc48679254 \h </w:instrText>
            </w:r>
            <w:r w:rsidR="00264426">
              <w:rPr>
                <w:noProof/>
                <w:webHidden/>
              </w:rPr>
            </w:r>
            <w:r w:rsidR="00264426">
              <w:rPr>
                <w:noProof/>
                <w:webHidden/>
              </w:rPr>
              <w:fldChar w:fldCharType="separate"/>
            </w:r>
            <w:r w:rsidR="00264426">
              <w:rPr>
                <w:noProof/>
                <w:webHidden/>
              </w:rPr>
              <w:t>12</w:t>
            </w:r>
            <w:r w:rsidR="00264426">
              <w:rPr>
                <w:noProof/>
                <w:webHidden/>
              </w:rPr>
              <w:fldChar w:fldCharType="end"/>
            </w:r>
          </w:hyperlink>
        </w:p>
        <w:p w14:paraId="197E9035" w14:textId="541416F8" w:rsidR="00264426" w:rsidRDefault="0042253E">
          <w:pPr>
            <w:pStyle w:val="TOC1"/>
            <w:tabs>
              <w:tab w:val="left" w:pos="880"/>
              <w:tab w:val="right" w:leader="dot" w:pos="10580"/>
            </w:tabs>
            <w:rPr>
              <w:rFonts w:asciiTheme="minorHAnsi" w:eastAsiaTheme="minorEastAsia" w:hAnsiTheme="minorHAnsi" w:cstheme="minorBidi"/>
              <w:b w:val="0"/>
              <w:bCs w:val="0"/>
              <w:noProof/>
              <w:sz w:val="22"/>
              <w:szCs w:val="22"/>
              <w:lang w:val="en-GB" w:eastAsia="en-GB"/>
            </w:rPr>
          </w:pPr>
          <w:hyperlink w:anchor="_Toc48679255" w:history="1">
            <w:r w:rsidR="00264426" w:rsidRPr="00446A20">
              <w:rPr>
                <w:rStyle w:val="Hyperlink"/>
                <w:noProof/>
                <w:spacing w:val="-2"/>
              </w:rPr>
              <w:t>VI.1.</w:t>
            </w:r>
            <w:r w:rsidR="00264426">
              <w:rPr>
                <w:rFonts w:asciiTheme="minorHAnsi" w:eastAsiaTheme="minorEastAsia" w:hAnsiTheme="minorHAnsi" w:cstheme="minorBidi"/>
                <w:b w:val="0"/>
                <w:bCs w:val="0"/>
                <w:noProof/>
                <w:sz w:val="22"/>
                <w:szCs w:val="22"/>
                <w:lang w:val="en-GB" w:eastAsia="en-GB"/>
              </w:rPr>
              <w:tab/>
            </w:r>
            <w:r w:rsidR="00264426" w:rsidRPr="00446A20">
              <w:rPr>
                <w:rStyle w:val="Hyperlink"/>
                <w:noProof/>
              </w:rPr>
              <w:t>Appendix 1: Q&amp;A to specific parts of the data</w:t>
            </w:r>
            <w:r w:rsidR="00264426" w:rsidRPr="00446A20">
              <w:rPr>
                <w:rStyle w:val="Hyperlink"/>
                <w:noProof/>
                <w:spacing w:val="-12"/>
              </w:rPr>
              <w:t xml:space="preserve"> </w:t>
            </w:r>
            <w:r w:rsidR="00264426" w:rsidRPr="00446A20">
              <w:rPr>
                <w:rStyle w:val="Hyperlink"/>
                <w:noProof/>
              </w:rPr>
              <w:t>request</w:t>
            </w:r>
            <w:r w:rsidR="00264426">
              <w:rPr>
                <w:noProof/>
                <w:webHidden/>
              </w:rPr>
              <w:tab/>
            </w:r>
            <w:r w:rsidR="00264426">
              <w:rPr>
                <w:noProof/>
                <w:webHidden/>
              </w:rPr>
              <w:fldChar w:fldCharType="begin"/>
            </w:r>
            <w:r w:rsidR="00264426">
              <w:rPr>
                <w:noProof/>
                <w:webHidden/>
              </w:rPr>
              <w:instrText xml:space="preserve"> PAGEREF _Toc48679255 \h </w:instrText>
            </w:r>
            <w:r w:rsidR="00264426">
              <w:rPr>
                <w:noProof/>
                <w:webHidden/>
              </w:rPr>
            </w:r>
            <w:r w:rsidR="00264426">
              <w:rPr>
                <w:noProof/>
                <w:webHidden/>
              </w:rPr>
              <w:fldChar w:fldCharType="separate"/>
            </w:r>
            <w:r w:rsidR="00264426">
              <w:rPr>
                <w:noProof/>
                <w:webHidden/>
              </w:rPr>
              <w:t>12</w:t>
            </w:r>
            <w:r w:rsidR="00264426">
              <w:rPr>
                <w:noProof/>
                <w:webHidden/>
              </w:rPr>
              <w:fldChar w:fldCharType="end"/>
            </w:r>
          </w:hyperlink>
        </w:p>
        <w:p w14:paraId="276EF747" w14:textId="74765A53" w:rsidR="00264426" w:rsidRDefault="0042253E">
          <w:pPr>
            <w:pStyle w:val="TOC1"/>
            <w:tabs>
              <w:tab w:val="left" w:pos="880"/>
              <w:tab w:val="right" w:leader="dot" w:pos="10580"/>
            </w:tabs>
            <w:rPr>
              <w:rFonts w:asciiTheme="minorHAnsi" w:eastAsiaTheme="minorEastAsia" w:hAnsiTheme="minorHAnsi" w:cstheme="minorBidi"/>
              <w:b w:val="0"/>
              <w:bCs w:val="0"/>
              <w:noProof/>
              <w:sz w:val="22"/>
              <w:szCs w:val="22"/>
              <w:lang w:val="en-GB" w:eastAsia="en-GB"/>
            </w:rPr>
          </w:pPr>
          <w:hyperlink w:anchor="_Toc48679256" w:history="1">
            <w:r w:rsidR="00264426" w:rsidRPr="00446A20">
              <w:rPr>
                <w:rStyle w:val="Hyperlink"/>
                <w:noProof/>
                <w:spacing w:val="-2"/>
              </w:rPr>
              <w:t>VI.2.</w:t>
            </w:r>
            <w:r w:rsidR="00264426">
              <w:rPr>
                <w:rFonts w:asciiTheme="minorHAnsi" w:eastAsiaTheme="minorEastAsia" w:hAnsiTheme="minorHAnsi" w:cstheme="minorBidi"/>
                <w:b w:val="0"/>
                <w:bCs w:val="0"/>
                <w:noProof/>
                <w:sz w:val="22"/>
                <w:szCs w:val="22"/>
                <w:lang w:val="en-GB" w:eastAsia="en-GB"/>
              </w:rPr>
              <w:tab/>
            </w:r>
            <w:r w:rsidR="00264426" w:rsidRPr="00446A20">
              <w:rPr>
                <w:rStyle w:val="Hyperlink"/>
                <w:noProof/>
              </w:rPr>
              <w:t>Appendix 2: validation checks</w:t>
            </w:r>
            <w:r w:rsidR="00264426">
              <w:rPr>
                <w:noProof/>
                <w:webHidden/>
              </w:rPr>
              <w:tab/>
            </w:r>
            <w:r w:rsidR="00264426">
              <w:rPr>
                <w:noProof/>
                <w:webHidden/>
              </w:rPr>
              <w:fldChar w:fldCharType="begin"/>
            </w:r>
            <w:r w:rsidR="00264426">
              <w:rPr>
                <w:noProof/>
                <w:webHidden/>
              </w:rPr>
              <w:instrText xml:space="preserve"> PAGEREF _Toc48679256 \h </w:instrText>
            </w:r>
            <w:r w:rsidR="00264426">
              <w:rPr>
                <w:noProof/>
                <w:webHidden/>
              </w:rPr>
            </w:r>
            <w:r w:rsidR="00264426">
              <w:rPr>
                <w:noProof/>
                <w:webHidden/>
              </w:rPr>
              <w:fldChar w:fldCharType="separate"/>
            </w:r>
            <w:r w:rsidR="00264426">
              <w:rPr>
                <w:noProof/>
                <w:webHidden/>
              </w:rPr>
              <w:t>12</w:t>
            </w:r>
            <w:r w:rsidR="00264426">
              <w:rPr>
                <w:noProof/>
                <w:webHidden/>
              </w:rPr>
              <w:fldChar w:fldCharType="end"/>
            </w:r>
          </w:hyperlink>
        </w:p>
        <w:p w14:paraId="79352CDC" w14:textId="01DCC96A" w:rsidR="00C27EAD" w:rsidRPr="000829BF" w:rsidRDefault="00E9509A" w:rsidP="00E93EAE">
          <w:pPr>
            <w:pStyle w:val="TOC1"/>
            <w:tabs>
              <w:tab w:val="left" w:pos="880"/>
              <w:tab w:val="right" w:leader="dot" w:pos="9639"/>
              <w:tab w:val="right" w:leader="dot" w:pos="10580"/>
            </w:tabs>
            <w:ind w:right="951"/>
            <w:rPr>
              <w:sz w:val="22"/>
            </w:rPr>
          </w:pPr>
          <w:r>
            <w:rPr>
              <w:b w:val="0"/>
              <w:bCs w:val="0"/>
              <w:noProof/>
            </w:rPr>
            <w:fldChar w:fldCharType="end"/>
          </w:r>
        </w:p>
      </w:sdtContent>
    </w:sdt>
    <w:p w14:paraId="0806E49E" w14:textId="79326544" w:rsidR="00C27EAD" w:rsidRDefault="00957814" w:rsidP="00E93EAE">
      <w:pPr>
        <w:pStyle w:val="Heading1"/>
        <w:numPr>
          <w:ilvl w:val="0"/>
          <w:numId w:val="13"/>
        </w:numPr>
        <w:spacing w:before="176"/>
        <w:ind w:right="951" w:hanging="361"/>
      </w:pPr>
      <w:bookmarkStart w:id="1" w:name="_Toc47537708"/>
      <w:bookmarkStart w:id="2" w:name="_Toc48679246"/>
      <w:r>
        <w:t>Purpose</w:t>
      </w:r>
      <w:bookmarkEnd w:id="1"/>
      <w:bookmarkEnd w:id="2"/>
    </w:p>
    <w:p w14:paraId="59D35FC8" w14:textId="00B377A8" w:rsidR="00C42A3D" w:rsidRPr="00CD1B43" w:rsidRDefault="00957814" w:rsidP="00E93EAE">
      <w:pPr>
        <w:pStyle w:val="BodyText"/>
        <w:spacing w:before="179"/>
        <w:ind w:left="113" w:right="951"/>
        <w:jc w:val="both"/>
      </w:pPr>
      <w:r>
        <w:t xml:space="preserve">The aim of this document is to provide instructions to the insurance undertakings participating </w:t>
      </w:r>
      <w:r w:rsidR="001873A4">
        <w:t xml:space="preserve">in </w:t>
      </w:r>
      <w:r>
        <w:t>the E</w:t>
      </w:r>
      <w:r w:rsidR="0028794B">
        <w:t>EA</w:t>
      </w:r>
      <w:r>
        <w:t xml:space="preserve">-wide comparative study on </w:t>
      </w:r>
      <w:r w:rsidR="00CD1B43">
        <w:t xml:space="preserve">diversification in </w:t>
      </w:r>
      <w:r>
        <w:t xml:space="preserve">internal </w:t>
      </w:r>
      <w:r w:rsidR="00E938DA">
        <w:t>models</w:t>
      </w:r>
      <w:r>
        <w:t>.</w:t>
      </w:r>
      <w:r>
        <w:rPr>
          <w:spacing w:val="-6"/>
        </w:rPr>
        <w:t xml:space="preserve"> </w:t>
      </w:r>
      <w:r w:rsidR="0028794B">
        <w:t>It</w:t>
      </w:r>
      <w:r>
        <w:t xml:space="preserve"> </w:t>
      </w:r>
      <w:r w:rsidR="0028794B">
        <w:t xml:space="preserve">should be considered carefully before </w:t>
      </w:r>
      <w:r>
        <w:t>fill</w:t>
      </w:r>
      <w:r w:rsidR="0028794B">
        <w:t>ing</w:t>
      </w:r>
      <w:r>
        <w:rPr>
          <w:spacing w:val="-12"/>
        </w:rPr>
        <w:t xml:space="preserve"> </w:t>
      </w:r>
      <w:r>
        <w:t>out</w:t>
      </w:r>
      <w:r w:rsidR="0028794B">
        <w:t xml:space="preserve"> the response templates</w:t>
      </w:r>
      <w:r>
        <w:t>.</w:t>
      </w:r>
    </w:p>
    <w:p w14:paraId="3D89F2F4" w14:textId="786B0EEB" w:rsidR="006A0271" w:rsidRPr="00C42A3D" w:rsidRDefault="00C42A3D" w:rsidP="00E93EAE">
      <w:pPr>
        <w:pStyle w:val="Heading1"/>
        <w:numPr>
          <w:ilvl w:val="0"/>
          <w:numId w:val="13"/>
        </w:numPr>
        <w:spacing w:before="176"/>
        <w:ind w:right="951" w:hanging="361"/>
      </w:pPr>
      <w:bookmarkStart w:id="3" w:name="_Toc47537709"/>
      <w:bookmarkStart w:id="4" w:name="_Toc48679247"/>
      <w:r w:rsidRPr="00C42A3D">
        <w:t>Context</w:t>
      </w:r>
      <w:bookmarkEnd w:id="3"/>
      <w:bookmarkEnd w:id="4"/>
    </w:p>
    <w:p w14:paraId="2BE70A22" w14:textId="4CE4F875" w:rsidR="006A0271" w:rsidRPr="006A0271" w:rsidRDefault="00C42A3D" w:rsidP="00E93EAE">
      <w:pPr>
        <w:spacing w:before="71"/>
        <w:ind w:left="113" w:right="951"/>
        <w:jc w:val="both"/>
        <w:rPr>
          <w:i/>
        </w:rPr>
      </w:pPr>
      <w:r>
        <w:rPr>
          <w:i/>
        </w:rPr>
        <w:t xml:space="preserve">Diversification </w:t>
      </w:r>
    </w:p>
    <w:p w14:paraId="638B5C56" w14:textId="12A2334A" w:rsidR="00C42A3D" w:rsidRPr="00C42A3D" w:rsidRDefault="00C42A3D" w:rsidP="00E93EAE">
      <w:pPr>
        <w:spacing w:before="71"/>
        <w:ind w:left="113" w:right="951"/>
        <w:jc w:val="both"/>
      </w:pPr>
      <w:r w:rsidRPr="00C42A3D">
        <w:t xml:space="preserve">In general, </w:t>
      </w:r>
      <w:r w:rsidR="0050021B">
        <w:t xml:space="preserve">the </w:t>
      </w:r>
      <w:r w:rsidR="00B05A93">
        <w:t xml:space="preserve">modelling of dependencies and aggregation, as effect typically called </w:t>
      </w:r>
      <w:r w:rsidR="0050021B">
        <w:t>diversification</w:t>
      </w:r>
      <w:r w:rsidR="00B05A93">
        <w:t>,</w:t>
      </w:r>
      <w:r w:rsidR="0050021B">
        <w:t xml:space="preserve"> within internal models</w:t>
      </w:r>
      <w:r w:rsidRPr="00C42A3D">
        <w:t xml:space="preserve"> </w:t>
      </w:r>
      <w:r w:rsidR="0050021B">
        <w:t xml:space="preserve">has a significant impact </w:t>
      </w:r>
      <w:r w:rsidRPr="00C42A3D">
        <w:t>to the overall solvency capital requirement (SCR) of insurance</w:t>
      </w:r>
      <w:r w:rsidRPr="00C42A3D">
        <w:rPr>
          <w:spacing w:val="-4"/>
        </w:rPr>
        <w:t xml:space="preserve"> </w:t>
      </w:r>
      <w:r w:rsidRPr="00C42A3D">
        <w:t>undertakings.</w:t>
      </w:r>
    </w:p>
    <w:p w14:paraId="760B0E12" w14:textId="77FDC08C" w:rsidR="00C42A3D" w:rsidRDefault="0050021B" w:rsidP="00E93EAE">
      <w:pPr>
        <w:spacing w:before="120"/>
        <w:ind w:left="113" w:right="951"/>
        <w:jc w:val="both"/>
      </w:pPr>
      <w:r>
        <w:t>The objectives of the Diversification Project Group are the following:</w:t>
      </w:r>
    </w:p>
    <w:p w14:paraId="5ACCC8E8" w14:textId="0DE85FF3" w:rsidR="00F20D35" w:rsidRPr="00ED33C6" w:rsidRDefault="00F20D35" w:rsidP="0028794B">
      <w:pPr>
        <w:pStyle w:val="ListParagraph"/>
        <w:numPr>
          <w:ilvl w:val="0"/>
          <w:numId w:val="49"/>
        </w:numPr>
        <w:rPr>
          <w:rFonts w:ascii="Calibri" w:hAnsi="Calibri"/>
        </w:rPr>
      </w:pPr>
      <w:r w:rsidRPr="00D20455">
        <w:t>Gain a</w:t>
      </w:r>
      <w:r w:rsidRPr="00ED33C6">
        <w:t xml:space="preserve">n overview of the current approaches in the market and, on best effort basis, </w:t>
      </w:r>
      <w:r w:rsidRPr="00D20455">
        <w:rPr>
          <w:color w:val="1F497D"/>
          <w:lang w:val="en-GB"/>
        </w:rPr>
        <w:t>analyse</w:t>
      </w:r>
      <w:r w:rsidRPr="00D20455">
        <w:t xml:space="preserve"> and compare the levels of diversification</w:t>
      </w:r>
    </w:p>
    <w:p w14:paraId="0D9D70AA" w14:textId="77777777" w:rsidR="00F20D35" w:rsidRPr="0079089E" w:rsidRDefault="00F20D35" w:rsidP="0028794B">
      <w:pPr>
        <w:pStyle w:val="ListParagraph"/>
        <w:numPr>
          <w:ilvl w:val="0"/>
          <w:numId w:val="49"/>
        </w:numPr>
        <w:rPr>
          <w:rFonts w:ascii="Calibri" w:hAnsi="Calibri"/>
        </w:rPr>
      </w:pPr>
      <w:r w:rsidRPr="0079089E">
        <w:t xml:space="preserve">Facilitate a better understanding of modelling dependencies, aggregation and resulting diversification benefits </w:t>
      </w:r>
    </w:p>
    <w:p w14:paraId="28276918" w14:textId="001DADB4" w:rsidR="00F20D35" w:rsidRPr="0079089E" w:rsidRDefault="00F20D35" w:rsidP="0028794B">
      <w:pPr>
        <w:pStyle w:val="ListParagraph"/>
        <w:numPr>
          <w:ilvl w:val="0"/>
          <w:numId w:val="49"/>
        </w:numPr>
        <w:rPr>
          <w:rFonts w:ascii="Calibri" w:hAnsi="Calibri"/>
        </w:rPr>
      </w:pPr>
      <w:r w:rsidRPr="0079089E">
        <w:t xml:space="preserve">Enhance quality and convergence of supervision in internal models. </w:t>
      </w:r>
    </w:p>
    <w:p w14:paraId="213EB64E" w14:textId="73499203" w:rsidR="00C42A3D" w:rsidRPr="00C42A3D" w:rsidRDefault="0050021B" w:rsidP="00E93EAE">
      <w:pPr>
        <w:spacing w:before="122"/>
        <w:ind w:left="113" w:right="951"/>
        <w:jc w:val="both"/>
        <w:rPr>
          <w:sz w:val="20"/>
        </w:rPr>
      </w:pPr>
      <w:r>
        <w:t>This data request aims to</w:t>
      </w:r>
      <w:r w:rsidR="00F20D35">
        <w:t xml:space="preserve"> </w:t>
      </w:r>
      <w:r w:rsidR="00B05A93">
        <w:t xml:space="preserve">support </w:t>
      </w:r>
      <w:r w:rsidR="00097499">
        <w:t>meeting</w:t>
      </w:r>
      <w:r w:rsidR="00F20D35">
        <w:t xml:space="preserve"> these objectives. </w:t>
      </w:r>
    </w:p>
    <w:p w14:paraId="7DE4930B" w14:textId="77777777" w:rsidR="00C42A3D" w:rsidRPr="00C42A3D" w:rsidRDefault="00C42A3D" w:rsidP="00E93EAE">
      <w:pPr>
        <w:spacing w:before="71"/>
        <w:ind w:left="113" w:right="951"/>
        <w:jc w:val="both"/>
        <w:rPr>
          <w:i/>
        </w:rPr>
      </w:pPr>
      <w:r w:rsidRPr="00C42A3D">
        <w:rPr>
          <w:i/>
        </w:rPr>
        <w:lastRenderedPageBreak/>
        <w:t>References</w:t>
      </w:r>
    </w:p>
    <w:p w14:paraId="44E9FC7D" w14:textId="7B8BCD9D" w:rsidR="00C42A3D" w:rsidRPr="00C42A3D" w:rsidRDefault="00C42A3D" w:rsidP="00E93EAE">
      <w:pPr>
        <w:spacing w:before="121"/>
        <w:ind w:left="113" w:right="951"/>
        <w:jc w:val="both"/>
      </w:pPr>
      <w:r w:rsidRPr="00C42A3D">
        <w:t>Comparative studies are supported by the EIOPA opinion ‘</w:t>
      </w:r>
      <w:r w:rsidRPr="00C42A3D">
        <w:rPr>
          <w:i/>
        </w:rPr>
        <w:t>EIOPA-BoS-15/083</w:t>
      </w:r>
      <w:r w:rsidR="00332FFE">
        <w:rPr>
          <w:rStyle w:val="FootnoteReference"/>
          <w:i/>
        </w:rPr>
        <w:footnoteReference w:id="2"/>
      </w:r>
      <w:r w:rsidRPr="00C42A3D">
        <w:rPr>
          <w:i/>
        </w:rPr>
        <w:t xml:space="preserve">’ </w:t>
      </w:r>
      <w:r w:rsidRPr="00C42A3D">
        <w:t xml:space="preserve">of 14 April 2015. The Board of Supervisors has </w:t>
      </w:r>
      <w:r w:rsidR="00A823C0">
        <w:t>authorized this data request</w:t>
      </w:r>
      <w:r w:rsidRPr="00C42A3D">
        <w:t>.</w:t>
      </w:r>
    </w:p>
    <w:p w14:paraId="2CC185B1" w14:textId="77777777" w:rsidR="00C27EAD" w:rsidRDefault="00C27EAD" w:rsidP="00E93EAE">
      <w:pPr>
        <w:pStyle w:val="BodyText"/>
        <w:spacing w:before="6"/>
        <w:ind w:right="951"/>
        <w:rPr>
          <w:sz w:val="20"/>
        </w:rPr>
      </w:pPr>
    </w:p>
    <w:p w14:paraId="72085D8F" w14:textId="36A15FE2" w:rsidR="0050021B" w:rsidRPr="0050021B" w:rsidRDefault="0050021B" w:rsidP="00E93EAE">
      <w:pPr>
        <w:pStyle w:val="Heading1"/>
        <w:numPr>
          <w:ilvl w:val="0"/>
          <w:numId w:val="13"/>
        </w:numPr>
        <w:spacing w:before="176"/>
        <w:ind w:left="567" w:right="951" w:hanging="567"/>
      </w:pPr>
      <w:bookmarkStart w:id="5" w:name="_Toc47537710"/>
      <w:bookmarkStart w:id="6" w:name="_Toc48679248"/>
      <w:r w:rsidRPr="0050021B">
        <w:t>Participation to this data request</w:t>
      </w:r>
      <w:bookmarkEnd w:id="5"/>
      <w:bookmarkEnd w:id="6"/>
    </w:p>
    <w:p w14:paraId="45FA2C5D" w14:textId="77777777" w:rsidR="0050021B" w:rsidRPr="0050021B" w:rsidRDefault="0050021B" w:rsidP="00E93EAE">
      <w:pPr>
        <w:spacing w:before="7"/>
        <w:ind w:right="951"/>
        <w:rPr>
          <w:b/>
          <w:sz w:val="20"/>
        </w:rPr>
      </w:pPr>
    </w:p>
    <w:p w14:paraId="2984B78A" w14:textId="77777777" w:rsidR="0050021B" w:rsidRPr="0050021B" w:rsidRDefault="0050021B" w:rsidP="00E93EAE">
      <w:pPr>
        <w:ind w:left="113" w:right="951"/>
        <w:jc w:val="both"/>
        <w:rPr>
          <w:i/>
        </w:rPr>
      </w:pPr>
      <w:r w:rsidRPr="0050021B">
        <w:rPr>
          <w:i/>
        </w:rPr>
        <w:t>Expectation on participation</w:t>
      </w:r>
    </w:p>
    <w:p w14:paraId="6381F51C" w14:textId="77777777" w:rsidR="0050021B" w:rsidRPr="0050021B" w:rsidRDefault="0050021B" w:rsidP="00E93EAE">
      <w:pPr>
        <w:spacing w:before="5"/>
        <w:ind w:right="951"/>
        <w:rPr>
          <w:i/>
          <w:sz w:val="20"/>
        </w:rPr>
      </w:pPr>
    </w:p>
    <w:p w14:paraId="62A9D82C" w14:textId="4B718EE7" w:rsidR="0087062D" w:rsidRPr="00363329" w:rsidRDefault="0087062D" w:rsidP="00E93EAE">
      <w:pPr>
        <w:ind w:left="113" w:right="951"/>
        <w:jc w:val="both"/>
      </w:pPr>
      <w:r w:rsidRPr="00363329">
        <w:t xml:space="preserve">Participants are individual undertakings </w:t>
      </w:r>
      <w:r w:rsidR="006167A2" w:rsidRPr="00363329">
        <w:t>of the EEA</w:t>
      </w:r>
      <w:r w:rsidR="006167A2" w:rsidRPr="00363329">
        <w:rPr>
          <w:rStyle w:val="FootnoteReference"/>
        </w:rPr>
        <w:footnoteReference w:id="3"/>
      </w:r>
      <w:r w:rsidR="006167A2" w:rsidRPr="00363329">
        <w:t xml:space="preserve"> </w:t>
      </w:r>
      <w:r w:rsidRPr="00363329">
        <w:t>using an approved internal model.</w:t>
      </w:r>
    </w:p>
    <w:p w14:paraId="7871CDC5" w14:textId="0FD1A22D" w:rsidR="0087062D" w:rsidRPr="00363329" w:rsidRDefault="0087062D" w:rsidP="00E93EAE">
      <w:pPr>
        <w:ind w:left="113" w:right="951"/>
        <w:jc w:val="both"/>
      </w:pPr>
      <w:r w:rsidRPr="00363329">
        <w:t>Where required, insurance groups are also expected to participate on request of the group supervisor.</w:t>
      </w:r>
    </w:p>
    <w:p w14:paraId="1BD4612F" w14:textId="615CAC12" w:rsidR="0087062D" w:rsidRPr="00363329" w:rsidRDefault="0087062D" w:rsidP="00E93EAE">
      <w:pPr>
        <w:ind w:left="113" w:right="951"/>
        <w:jc w:val="both"/>
      </w:pPr>
      <w:r w:rsidRPr="00363329">
        <w:t xml:space="preserve">Undertakings are not expected </w:t>
      </w:r>
      <w:r w:rsidR="00363329">
        <w:t xml:space="preserve">to fill in the Excel template </w:t>
      </w:r>
      <w:r w:rsidRPr="00363329">
        <w:t>in the following case</w:t>
      </w:r>
      <w:r w:rsidR="00363329">
        <w:t>s</w:t>
      </w:r>
      <w:r w:rsidRPr="00363329">
        <w:t xml:space="preserve">: </w:t>
      </w:r>
    </w:p>
    <w:p w14:paraId="334A4BEE" w14:textId="7825B3C7" w:rsidR="0087062D" w:rsidRDefault="0087062D" w:rsidP="00363329">
      <w:pPr>
        <w:pStyle w:val="ListParagraph"/>
        <w:numPr>
          <w:ilvl w:val="0"/>
          <w:numId w:val="51"/>
        </w:numPr>
        <w:ind w:right="951"/>
        <w:jc w:val="both"/>
      </w:pPr>
      <w:r w:rsidRPr="00363329">
        <w:t xml:space="preserve">Top-level aggregation is performed with the standard formula approach, i.e. by applying the correlation matrix </w:t>
      </w:r>
      <w:r w:rsidR="006167A2" w:rsidRPr="00363329">
        <w:t>specified in Annex IV (1) of the Directive;</w:t>
      </w:r>
    </w:p>
    <w:p w14:paraId="596EE136" w14:textId="4C7446F6" w:rsidR="00363329" w:rsidRPr="00363329" w:rsidRDefault="00363329" w:rsidP="00363329">
      <w:pPr>
        <w:pStyle w:val="ListParagraph"/>
        <w:numPr>
          <w:ilvl w:val="0"/>
          <w:numId w:val="51"/>
        </w:numPr>
        <w:ind w:right="951"/>
        <w:jc w:val="both"/>
      </w:pPr>
      <w:r>
        <w:t>The undertaking is based in the UK</w:t>
      </w:r>
    </w:p>
    <w:p w14:paraId="1620D4BA" w14:textId="77777777" w:rsidR="006167A2" w:rsidRPr="00363329" w:rsidRDefault="006167A2" w:rsidP="00363329">
      <w:pPr>
        <w:pStyle w:val="ListParagraph"/>
        <w:ind w:left="473" w:right="951" w:firstLine="0"/>
        <w:jc w:val="both"/>
        <w:rPr>
          <w:color w:val="FF0000"/>
        </w:rPr>
      </w:pPr>
    </w:p>
    <w:p w14:paraId="1C407D87" w14:textId="5B279EFD" w:rsidR="00363329" w:rsidRDefault="00363329" w:rsidP="00C11F3C">
      <w:pPr>
        <w:pBdr>
          <w:top w:val="single" w:sz="4" w:space="1" w:color="auto"/>
          <w:left w:val="single" w:sz="4" w:space="4" w:color="auto"/>
          <w:bottom w:val="single" w:sz="4" w:space="1" w:color="auto"/>
          <w:right w:val="single" w:sz="4" w:space="4" w:color="auto"/>
        </w:pBdr>
        <w:spacing w:before="6"/>
        <w:ind w:right="951"/>
        <w:rPr>
          <w:b/>
        </w:rPr>
      </w:pPr>
      <w:r w:rsidRPr="00C11F3C">
        <w:rPr>
          <w:b/>
        </w:rPr>
        <w:t xml:space="preserve">The undertakings under point 1 are expected to </w:t>
      </w:r>
      <w:r w:rsidR="00C11F3C" w:rsidRPr="00C11F3C">
        <w:rPr>
          <w:b/>
        </w:rPr>
        <w:t xml:space="preserve">only </w:t>
      </w:r>
      <w:r w:rsidRPr="00C11F3C">
        <w:rPr>
          <w:b/>
        </w:rPr>
        <w:t>fill in a subset of the qualitative questionnaire</w:t>
      </w:r>
      <w:r w:rsidR="00C11F3C">
        <w:rPr>
          <w:b/>
        </w:rPr>
        <w:t xml:space="preserve"> in the Survey tool</w:t>
      </w:r>
      <w:r w:rsidRPr="00C11F3C">
        <w:rPr>
          <w:b/>
        </w:rPr>
        <w:t xml:space="preserve">. </w:t>
      </w:r>
      <w:r w:rsidR="000925B1">
        <w:rPr>
          <w:b/>
        </w:rPr>
        <w:t xml:space="preserve">The introduction note of the qualitative questionnaire </w:t>
      </w:r>
      <w:r w:rsidR="001779CD">
        <w:rPr>
          <w:b/>
        </w:rPr>
        <w:t xml:space="preserve">describes this subset: </w:t>
      </w:r>
    </w:p>
    <w:p w14:paraId="1A0B3A29" w14:textId="3AA7111A" w:rsidR="001779CD" w:rsidRDefault="001779CD" w:rsidP="00C11F3C">
      <w:pPr>
        <w:pBdr>
          <w:top w:val="single" w:sz="4" w:space="1" w:color="auto"/>
          <w:left w:val="single" w:sz="4" w:space="4" w:color="auto"/>
          <w:bottom w:val="single" w:sz="4" w:space="1" w:color="auto"/>
          <w:right w:val="single" w:sz="4" w:space="4" w:color="auto"/>
        </w:pBdr>
        <w:spacing w:before="6"/>
        <w:ind w:right="951"/>
        <w:rPr>
          <w:b/>
        </w:rPr>
      </w:pPr>
    </w:p>
    <w:p w14:paraId="3647EADD" w14:textId="4145DDF6" w:rsidR="001779CD" w:rsidRDefault="001779CD" w:rsidP="00C11F3C">
      <w:pPr>
        <w:pBdr>
          <w:top w:val="single" w:sz="4" w:space="1" w:color="auto"/>
          <w:left w:val="single" w:sz="4" w:space="4" w:color="auto"/>
          <w:bottom w:val="single" w:sz="4" w:space="1" w:color="auto"/>
          <w:right w:val="single" w:sz="4" w:space="4" w:color="auto"/>
        </w:pBdr>
        <w:spacing w:before="6"/>
        <w:ind w:right="951"/>
        <w:rPr>
          <w:b/>
        </w:rPr>
      </w:pPr>
      <w:r>
        <w:rPr>
          <w:b/>
        </w:rPr>
        <w:t>https://ec.europa.eu/eusurvey/runner/Diversification_qualitative_questions</w:t>
      </w:r>
    </w:p>
    <w:p w14:paraId="106879BE" w14:textId="77777777" w:rsidR="001779CD" w:rsidRDefault="001779CD" w:rsidP="00C11F3C">
      <w:pPr>
        <w:pBdr>
          <w:top w:val="single" w:sz="4" w:space="1" w:color="auto"/>
          <w:left w:val="single" w:sz="4" w:space="4" w:color="auto"/>
          <w:bottom w:val="single" w:sz="4" w:space="1" w:color="auto"/>
          <w:right w:val="single" w:sz="4" w:space="4" w:color="auto"/>
        </w:pBdr>
        <w:spacing w:before="6"/>
        <w:ind w:right="951"/>
        <w:rPr>
          <w:b/>
        </w:rPr>
      </w:pPr>
    </w:p>
    <w:p w14:paraId="16CDBE7C" w14:textId="77777777" w:rsidR="001779CD" w:rsidRPr="00C11F3C" w:rsidRDefault="001779CD" w:rsidP="00C11F3C">
      <w:pPr>
        <w:pBdr>
          <w:top w:val="single" w:sz="4" w:space="1" w:color="auto"/>
          <w:left w:val="single" w:sz="4" w:space="4" w:color="auto"/>
          <w:bottom w:val="single" w:sz="4" w:space="1" w:color="auto"/>
          <w:right w:val="single" w:sz="4" w:space="4" w:color="auto"/>
        </w:pBdr>
        <w:spacing w:before="6"/>
        <w:ind w:right="951"/>
        <w:rPr>
          <w:b/>
        </w:rPr>
      </w:pPr>
    </w:p>
    <w:p w14:paraId="378EA820" w14:textId="48326587" w:rsidR="00363329" w:rsidRPr="0050021B" w:rsidRDefault="00363329" w:rsidP="00E93EAE">
      <w:pPr>
        <w:spacing w:before="6"/>
        <w:ind w:right="951"/>
        <w:rPr>
          <w:sz w:val="20"/>
        </w:rPr>
      </w:pPr>
    </w:p>
    <w:p w14:paraId="171EDCF4" w14:textId="77777777" w:rsidR="0050021B" w:rsidRPr="0050021B" w:rsidRDefault="0050021B" w:rsidP="00E93EAE">
      <w:pPr>
        <w:spacing w:before="1"/>
        <w:ind w:left="113" w:right="951"/>
        <w:jc w:val="both"/>
        <w:rPr>
          <w:i/>
        </w:rPr>
      </w:pPr>
      <w:r w:rsidRPr="0050021B">
        <w:rPr>
          <w:i/>
        </w:rPr>
        <w:t>Preliminary assumption</w:t>
      </w:r>
    </w:p>
    <w:p w14:paraId="160F47B9" w14:textId="7A45F242" w:rsidR="0050021B" w:rsidRDefault="0050021B" w:rsidP="00E93EAE">
      <w:pPr>
        <w:spacing w:before="119"/>
        <w:ind w:left="113" w:right="951"/>
        <w:jc w:val="both"/>
      </w:pPr>
      <w:r w:rsidRPr="0050021B">
        <w:t>The</w:t>
      </w:r>
      <w:r w:rsidRPr="0050021B">
        <w:rPr>
          <w:spacing w:val="-14"/>
        </w:rPr>
        <w:t xml:space="preserve"> </w:t>
      </w:r>
      <w:r w:rsidRPr="0050021B">
        <w:t>data</w:t>
      </w:r>
      <w:r w:rsidRPr="0050021B">
        <w:rPr>
          <w:spacing w:val="-14"/>
        </w:rPr>
        <w:t xml:space="preserve"> </w:t>
      </w:r>
      <w:r w:rsidRPr="0050021B">
        <w:t>request</w:t>
      </w:r>
      <w:r w:rsidRPr="0050021B">
        <w:rPr>
          <w:spacing w:val="-13"/>
        </w:rPr>
        <w:t xml:space="preserve"> </w:t>
      </w:r>
      <w:r w:rsidRPr="0050021B">
        <w:t>assumes</w:t>
      </w:r>
      <w:r w:rsidRPr="0050021B">
        <w:rPr>
          <w:spacing w:val="-14"/>
        </w:rPr>
        <w:t xml:space="preserve"> </w:t>
      </w:r>
      <w:r w:rsidRPr="0050021B">
        <w:t>that</w:t>
      </w:r>
      <w:r w:rsidRPr="0050021B">
        <w:rPr>
          <w:spacing w:val="-10"/>
        </w:rPr>
        <w:t xml:space="preserve"> </w:t>
      </w:r>
      <w:r w:rsidRPr="0050021B">
        <w:t>for</w:t>
      </w:r>
      <w:r w:rsidRPr="0050021B">
        <w:rPr>
          <w:spacing w:val="-13"/>
        </w:rPr>
        <w:t xml:space="preserve"> </w:t>
      </w:r>
      <w:r w:rsidRPr="0050021B">
        <w:t>the</w:t>
      </w:r>
      <w:r w:rsidRPr="0050021B">
        <w:rPr>
          <w:spacing w:val="-13"/>
        </w:rPr>
        <w:t xml:space="preserve"> </w:t>
      </w:r>
      <w:r w:rsidR="00CA2FC4">
        <w:t>total SCR</w:t>
      </w:r>
      <w:r w:rsidRPr="0050021B">
        <w:t>,</w:t>
      </w:r>
      <w:r w:rsidRPr="0050021B">
        <w:rPr>
          <w:spacing w:val="-15"/>
        </w:rPr>
        <w:t xml:space="preserve"> </w:t>
      </w:r>
      <w:r w:rsidRPr="0050021B">
        <w:t>at</w:t>
      </w:r>
      <w:r w:rsidRPr="0050021B">
        <w:rPr>
          <w:spacing w:val="-12"/>
        </w:rPr>
        <w:t xml:space="preserve"> </w:t>
      </w:r>
      <w:r w:rsidRPr="0050021B">
        <w:t>least</w:t>
      </w:r>
      <w:r w:rsidRPr="0050021B">
        <w:rPr>
          <w:spacing w:val="-12"/>
        </w:rPr>
        <w:t xml:space="preserve"> </w:t>
      </w:r>
      <w:r w:rsidRPr="0050021B">
        <w:t>the</w:t>
      </w:r>
      <w:r w:rsidRPr="0050021B">
        <w:rPr>
          <w:spacing w:val="-11"/>
        </w:rPr>
        <w:t xml:space="preserve"> </w:t>
      </w:r>
      <w:r w:rsidR="000A58B2">
        <w:rPr>
          <w:spacing w:val="-11"/>
        </w:rPr>
        <w:t xml:space="preserve">mean and the </w:t>
      </w:r>
      <w:r w:rsidR="00F23EA0">
        <w:t>0</w:t>
      </w:r>
      <w:r w:rsidRPr="0050021B">
        <w:t>.5%</w:t>
      </w:r>
      <w:r w:rsidRPr="0050021B">
        <w:rPr>
          <w:spacing w:val="-14"/>
        </w:rPr>
        <w:t xml:space="preserve"> </w:t>
      </w:r>
      <w:r w:rsidRPr="0050021B">
        <w:t>confidence level estimator</w:t>
      </w:r>
      <w:r w:rsidR="00B3318E">
        <w:t>s</w:t>
      </w:r>
      <w:r w:rsidR="00363329">
        <w:t>, corresponding to an adverse economic result,</w:t>
      </w:r>
      <w:r w:rsidRPr="0050021B">
        <w:t xml:space="preserve"> could be provided</w:t>
      </w:r>
      <w:r w:rsidR="00CA2FC4">
        <w:t xml:space="preserve"> from the aggregation </w:t>
      </w:r>
      <w:r w:rsidR="00363329">
        <w:t xml:space="preserve">of the ‘top level risks’. </w:t>
      </w:r>
      <w:r w:rsidR="00E52945">
        <w:t>For the standardized model this refers to the risks ‘Market’,’Credit’,’Life’,’Non-Life’,’Health’,’Operational’,’Cross terms (if applicable)’ and ‘other’. The ‘top level risks’ for the Internal Model reporting tab comprise</w:t>
      </w:r>
      <w:r w:rsidR="00B05A93">
        <w:t xml:space="preserve"> risks that typically are reported on the top level “below” the total SCR</w:t>
      </w:r>
      <w:r w:rsidR="00CA2FC4">
        <w:t xml:space="preserve"> </w:t>
      </w:r>
      <w:r w:rsidR="00B05A93">
        <w:t>like</w:t>
      </w:r>
      <w:r w:rsidR="00084E2E">
        <w:t>:</w:t>
      </w:r>
      <w:r w:rsidR="00CA2FC4">
        <w:t xml:space="preserve"> market</w:t>
      </w:r>
      <w:r w:rsidR="00B05A93">
        <w:t xml:space="preserve"> risk</w:t>
      </w:r>
      <w:r w:rsidR="00CA2FC4">
        <w:t>, credit</w:t>
      </w:r>
      <w:r w:rsidR="00B05A93">
        <w:t xml:space="preserve"> risk</w:t>
      </w:r>
      <w:r w:rsidR="00CA2FC4">
        <w:t xml:space="preserve">, </w:t>
      </w:r>
      <w:r w:rsidR="00B05A93">
        <w:t>combined market &amp; credit risk, l</w:t>
      </w:r>
      <w:r w:rsidR="00CA2FC4">
        <w:t>ife</w:t>
      </w:r>
      <w:r w:rsidR="00B05A93">
        <w:t xml:space="preserve"> underwriting risk</w:t>
      </w:r>
      <w:r w:rsidR="00CA2FC4">
        <w:t xml:space="preserve">, </w:t>
      </w:r>
      <w:r w:rsidR="00B05A93">
        <w:t>n</w:t>
      </w:r>
      <w:r w:rsidR="007B59F5">
        <w:t>on-life</w:t>
      </w:r>
      <w:r w:rsidR="00B05A93">
        <w:t xml:space="preserve"> underwriting risk</w:t>
      </w:r>
      <w:r w:rsidR="00CA2FC4">
        <w:t>,</w:t>
      </w:r>
      <w:r w:rsidR="0048625C">
        <w:t xml:space="preserve"> health </w:t>
      </w:r>
      <w:r w:rsidR="00084E2E">
        <w:t xml:space="preserve">underwriting risk </w:t>
      </w:r>
      <w:r w:rsidR="0048625C">
        <w:t>and operational</w:t>
      </w:r>
      <w:r w:rsidR="00084E2E">
        <w:t xml:space="preserve"> risk, sometimes specific risks following risk profile and modelling approach</w:t>
      </w:r>
      <w:r w:rsidR="00B3318E">
        <w:t>.</w:t>
      </w:r>
      <w:r w:rsidRPr="0050021B">
        <w:t xml:space="preserve"> </w:t>
      </w:r>
      <w:r w:rsidR="00F23EA0">
        <w:t>T</w:t>
      </w:r>
      <w:r w:rsidR="00F23EA0" w:rsidRPr="0050021B">
        <w:t>ypically,</w:t>
      </w:r>
      <w:r w:rsidRPr="0050021B">
        <w:t xml:space="preserve"> a set of percentiles and </w:t>
      </w:r>
      <w:r w:rsidR="000A58B2">
        <w:t xml:space="preserve">– if possible – </w:t>
      </w:r>
      <w:r w:rsidRPr="0050021B">
        <w:t xml:space="preserve">scenario by scenario </w:t>
      </w:r>
      <w:r w:rsidR="00CA2FC4">
        <w:t xml:space="preserve">profit and loss </w:t>
      </w:r>
      <w:r w:rsidRPr="0050021B">
        <w:t>data are also</w:t>
      </w:r>
      <w:r w:rsidRPr="0050021B">
        <w:rPr>
          <w:spacing w:val="-6"/>
        </w:rPr>
        <w:t xml:space="preserve"> </w:t>
      </w:r>
      <w:r w:rsidRPr="0050021B">
        <w:t>expected</w:t>
      </w:r>
      <w:r w:rsidR="00084E2E">
        <w:t xml:space="preserve"> to be available</w:t>
      </w:r>
      <w:r w:rsidRPr="0050021B">
        <w:t>.</w:t>
      </w:r>
    </w:p>
    <w:p w14:paraId="0B4DC5FE" w14:textId="77777777" w:rsidR="0050021B" w:rsidRPr="0050021B" w:rsidRDefault="0050021B" w:rsidP="00E93EAE">
      <w:pPr>
        <w:spacing w:before="5"/>
        <w:ind w:right="951"/>
        <w:rPr>
          <w:sz w:val="20"/>
        </w:rPr>
      </w:pPr>
    </w:p>
    <w:p w14:paraId="41B14C0F" w14:textId="77777777" w:rsidR="0050021B" w:rsidRPr="0050021B" w:rsidRDefault="0050021B" w:rsidP="00E93EAE">
      <w:pPr>
        <w:ind w:left="113" w:right="951"/>
        <w:rPr>
          <w:i/>
        </w:rPr>
      </w:pPr>
      <w:r w:rsidRPr="0050021B">
        <w:rPr>
          <w:i/>
        </w:rPr>
        <w:t>Benefits for the participating</w:t>
      </w:r>
      <w:r w:rsidRPr="0050021B">
        <w:rPr>
          <w:i/>
          <w:spacing w:val="-30"/>
        </w:rPr>
        <w:t xml:space="preserve"> </w:t>
      </w:r>
      <w:r w:rsidRPr="0050021B">
        <w:rPr>
          <w:i/>
        </w:rPr>
        <w:t>undertakings</w:t>
      </w:r>
    </w:p>
    <w:p w14:paraId="49BFAA6C" w14:textId="77777777" w:rsidR="0050021B" w:rsidRPr="0050021B" w:rsidRDefault="0050021B" w:rsidP="00E93EAE">
      <w:pPr>
        <w:spacing w:before="119"/>
        <w:ind w:left="113" w:right="951"/>
      </w:pPr>
      <w:r w:rsidRPr="0050021B">
        <w:t>The advantages for undertakings</w:t>
      </w:r>
      <w:r w:rsidRPr="0050021B">
        <w:rPr>
          <w:spacing w:val="-14"/>
        </w:rPr>
        <w:t xml:space="preserve"> </w:t>
      </w:r>
      <w:r w:rsidRPr="0050021B">
        <w:t>include:</w:t>
      </w:r>
    </w:p>
    <w:p w14:paraId="04858BD5" w14:textId="04459F7C" w:rsidR="0050021B" w:rsidRPr="0050021B" w:rsidRDefault="0050021B" w:rsidP="00E93EAE">
      <w:pPr>
        <w:numPr>
          <w:ilvl w:val="1"/>
          <w:numId w:val="15"/>
        </w:numPr>
        <w:tabs>
          <w:tab w:val="left" w:pos="834"/>
        </w:tabs>
        <w:spacing w:before="122"/>
        <w:ind w:right="951" w:hanging="361"/>
      </w:pPr>
      <w:r w:rsidRPr="0050021B">
        <w:t xml:space="preserve">A </w:t>
      </w:r>
      <w:r w:rsidR="00332FFE">
        <w:t>more</w:t>
      </w:r>
      <w:r w:rsidR="00332FFE" w:rsidRPr="0050021B">
        <w:t xml:space="preserve"> </w:t>
      </w:r>
      <w:r w:rsidRPr="0050021B">
        <w:t xml:space="preserve">level playing field via an enhanced </w:t>
      </w:r>
      <w:r w:rsidR="00A43CD3" w:rsidRPr="0050021B">
        <w:t>harmonization</w:t>
      </w:r>
      <w:r w:rsidRPr="0050021B">
        <w:t xml:space="preserve"> of the</w:t>
      </w:r>
      <w:r w:rsidRPr="0050021B">
        <w:rPr>
          <w:spacing w:val="-15"/>
        </w:rPr>
        <w:t xml:space="preserve"> </w:t>
      </w:r>
      <w:r w:rsidRPr="0050021B">
        <w:t>supervision;</w:t>
      </w:r>
    </w:p>
    <w:p w14:paraId="0ABDD093" w14:textId="70D2CCAD" w:rsidR="0050021B" w:rsidRPr="0050021B" w:rsidRDefault="0050021B" w:rsidP="00E93EAE">
      <w:pPr>
        <w:numPr>
          <w:ilvl w:val="1"/>
          <w:numId w:val="17"/>
        </w:numPr>
        <w:tabs>
          <w:tab w:val="left" w:pos="834"/>
        </w:tabs>
        <w:spacing w:before="74"/>
        <w:ind w:right="951" w:hanging="361"/>
      </w:pPr>
      <w:r w:rsidRPr="0050021B">
        <w:t>An increased acceptance of</w:t>
      </w:r>
      <w:r w:rsidR="006C6071">
        <w:t xml:space="preserve"> aggregation within</w:t>
      </w:r>
      <w:r w:rsidRPr="0050021B">
        <w:t xml:space="preserve"> internal models</w:t>
      </w:r>
      <w:r w:rsidR="0048625C">
        <w:t xml:space="preserve"> via a better understanding of the source of diversification benefits</w:t>
      </w:r>
      <w:r w:rsidRPr="0050021B">
        <w:t>;</w:t>
      </w:r>
    </w:p>
    <w:p w14:paraId="2EF7590A" w14:textId="2B0B2BDF" w:rsidR="0050021B" w:rsidRPr="0050021B" w:rsidRDefault="0048625C" w:rsidP="00E93EAE">
      <w:pPr>
        <w:numPr>
          <w:ilvl w:val="1"/>
          <w:numId w:val="17"/>
        </w:numPr>
        <w:tabs>
          <w:tab w:val="left" w:pos="834"/>
        </w:tabs>
        <w:spacing w:before="121"/>
        <w:ind w:right="951" w:hanging="361"/>
      </w:pPr>
      <w:r>
        <w:t>Potential o</w:t>
      </w:r>
      <w:r w:rsidR="0050021B" w:rsidRPr="0050021B">
        <w:t>pportunities for model</w:t>
      </w:r>
      <w:r w:rsidR="0050021B" w:rsidRPr="0050021B">
        <w:rPr>
          <w:spacing w:val="-2"/>
        </w:rPr>
        <w:t xml:space="preserve"> </w:t>
      </w:r>
      <w:r w:rsidR="0050021B" w:rsidRPr="0050021B">
        <w:t>improvements.</w:t>
      </w:r>
    </w:p>
    <w:p w14:paraId="621FB2F7" w14:textId="77777777" w:rsidR="0050021B" w:rsidRPr="0050021B" w:rsidRDefault="0050021B" w:rsidP="00E93EAE">
      <w:pPr>
        <w:spacing w:before="4"/>
        <w:ind w:right="951"/>
        <w:rPr>
          <w:sz w:val="20"/>
        </w:rPr>
      </w:pPr>
    </w:p>
    <w:p w14:paraId="7521A1DE" w14:textId="214ADDF3" w:rsidR="0050021B" w:rsidRDefault="0050021B" w:rsidP="00E93EAE">
      <w:pPr>
        <w:spacing w:before="1"/>
        <w:ind w:left="113" w:right="951"/>
        <w:jc w:val="both"/>
        <w:rPr>
          <w:i/>
        </w:rPr>
      </w:pPr>
      <w:r w:rsidRPr="0050021B">
        <w:rPr>
          <w:i/>
        </w:rPr>
        <w:t>Contact points</w:t>
      </w:r>
    </w:p>
    <w:p w14:paraId="50316C26" w14:textId="130EC27A" w:rsidR="006C6071" w:rsidRDefault="006C6071" w:rsidP="00E93EAE">
      <w:pPr>
        <w:spacing w:before="1"/>
        <w:ind w:left="113" w:right="951"/>
        <w:jc w:val="both"/>
        <w:rPr>
          <w:i/>
        </w:rPr>
      </w:pPr>
    </w:p>
    <w:p w14:paraId="264BB052" w14:textId="2E70DBC5" w:rsidR="0050021B" w:rsidRPr="0050021B" w:rsidRDefault="0050021B" w:rsidP="00E93EAE">
      <w:pPr>
        <w:spacing w:before="119"/>
        <w:ind w:left="113" w:right="951"/>
        <w:jc w:val="both"/>
      </w:pPr>
      <w:r w:rsidRPr="0050021B">
        <w:t xml:space="preserve">In the case of </w:t>
      </w:r>
      <w:r w:rsidR="00DA4222">
        <w:t>individual undertakings</w:t>
      </w:r>
      <w:r w:rsidR="00DA4222" w:rsidRPr="0050021B" w:rsidDel="00DA4222">
        <w:t xml:space="preserve"> </w:t>
      </w:r>
      <w:r w:rsidRPr="0050021B">
        <w:t>belonging to a group with group supervisor in the E</w:t>
      </w:r>
      <w:r w:rsidR="0087062D">
        <w:t>EA</w:t>
      </w:r>
      <w:r w:rsidRPr="0050021B">
        <w:t>, the group supervisor is the contact point for the whole group</w:t>
      </w:r>
      <w:r w:rsidR="0087062D">
        <w:t xml:space="preserve"> (unless specified otherwise by your supervisor)</w:t>
      </w:r>
      <w:r w:rsidRPr="0050021B">
        <w:t xml:space="preserve">. </w:t>
      </w:r>
    </w:p>
    <w:p w14:paraId="40B7F834" w14:textId="3885E54B" w:rsidR="0050021B" w:rsidRPr="0050021B" w:rsidRDefault="0050021B" w:rsidP="00E93EAE">
      <w:pPr>
        <w:spacing w:before="119"/>
        <w:ind w:left="113" w:right="951"/>
        <w:jc w:val="both"/>
      </w:pPr>
      <w:r w:rsidRPr="0050021B">
        <w:t>In</w:t>
      </w:r>
      <w:r w:rsidRPr="0050021B">
        <w:rPr>
          <w:spacing w:val="-6"/>
        </w:rPr>
        <w:t xml:space="preserve"> </w:t>
      </w:r>
      <w:r w:rsidRPr="0050021B">
        <w:t>the</w:t>
      </w:r>
      <w:r w:rsidRPr="0050021B">
        <w:rPr>
          <w:spacing w:val="-5"/>
        </w:rPr>
        <w:t xml:space="preserve"> </w:t>
      </w:r>
      <w:r w:rsidRPr="0050021B">
        <w:t>case</w:t>
      </w:r>
      <w:r w:rsidRPr="0050021B">
        <w:rPr>
          <w:spacing w:val="-4"/>
        </w:rPr>
        <w:t xml:space="preserve"> </w:t>
      </w:r>
      <w:r w:rsidRPr="0050021B">
        <w:t>of</w:t>
      </w:r>
      <w:r w:rsidRPr="0050021B">
        <w:rPr>
          <w:spacing w:val="-5"/>
        </w:rPr>
        <w:t xml:space="preserve"> </w:t>
      </w:r>
      <w:r w:rsidR="0087062D">
        <w:rPr>
          <w:spacing w:val="-5"/>
        </w:rPr>
        <w:t xml:space="preserve">EEA </w:t>
      </w:r>
      <w:r w:rsidR="00DA4222">
        <w:t>individual undertakings</w:t>
      </w:r>
      <w:r w:rsidR="00DA4222" w:rsidRPr="0050021B">
        <w:rPr>
          <w:spacing w:val="-6"/>
        </w:rPr>
        <w:t xml:space="preserve"> </w:t>
      </w:r>
      <w:r w:rsidRPr="0050021B">
        <w:t>belonging</w:t>
      </w:r>
      <w:r w:rsidRPr="0050021B">
        <w:rPr>
          <w:spacing w:val="-6"/>
        </w:rPr>
        <w:t xml:space="preserve"> </w:t>
      </w:r>
      <w:r w:rsidRPr="0050021B">
        <w:t>to</w:t>
      </w:r>
      <w:r w:rsidRPr="0050021B">
        <w:rPr>
          <w:spacing w:val="-4"/>
        </w:rPr>
        <w:t xml:space="preserve"> </w:t>
      </w:r>
      <w:r w:rsidRPr="0050021B">
        <w:t>a</w:t>
      </w:r>
      <w:r w:rsidRPr="0050021B">
        <w:rPr>
          <w:spacing w:val="-5"/>
        </w:rPr>
        <w:t xml:space="preserve"> </w:t>
      </w:r>
      <w:r w:rsidRPr="0050021B">
        <w:t>group</w:t>
      </w:r>
      <w:r w:rsidRPr="0050021B">
        <w:rPr>
          <w:spacing w:val="-2"/>
        </w:rPr>
        <w:t xml:space="preserve"> </w:t>
      </w:r>
      <w:r w:rsidRPr="0050021B">
        <w:t>wh</w:t>
      </w:r>
      <w:r w:rsidR="00605E49">
        <w:t>ose</w:t>
      </w:r>
      <w:r w:rsidRPr="0050021B">
        <w:rPr>
          <w:spacing w:val="-4"/>
        </w:rPr>
        <w:t xml:space="preserve"> </w:t>
      </w:r>
      <w:r w:rsidRPr="0050021B">
        <w:t>head</w:t>
      </w:r>
      <w:r w:rsidRPr="0050021B">
        <w:rPr>
          <w:spacing w:val="-5"/>
        </w:rPr>
        <w:t xml:space="preserve"> </w:t>
      </w:r>
      <w:r w:rsidRPr="0050021B">
        <w:t>is</w:t>
      </w:r>
      <w:r w:rsidRPr="0050021B">
        <w:rPr>
          <w:spacing w:val="-3"/>
        </w:rPr>
        <w:t xml:space="preserve"> </w:t>
      </w:r>
      <w:r w:rsidRPr="0050021B">
        <w:t>outside</w:t>
      </w:r>
      <w:r w:rsidRPr="0050021B">
        <w:rPr>
          <w:spacing w:val="-3"/>
        </w:rPr>
        <w:t xml:space="preserve"> </w:t>
      </w:r>
      <w:r w:rsidRPr="0050021B">
        <w:t>the</w:t>
      </w:r>
      <w:r w:rsidRPr="0050021B">
        <w:rPr>
          <w:spacing w:val="-5"/>
        </w:rPr>
        <w:t xml:space="preserve"> </w:t>
      </w:r>
      <w:r w:rsidRPr="0050021B">
        <w:t>E</w:t>
      </w:r>
      <w:r w:rsidR="0087062D">
        <w:t>EA</w:t>
      </w:r>
      <w:r w:rsidRPr="0050021B">
        <w:t xml:space="preserve">, </w:t>
      </w:r>
      <w:r w:rsidR="0087062D">
        <w:t>the</w:t>
      </w:r>
      <w:r w:rsidRPr="0050021B">
        <w:t xml:space="preserve"> response</w:t>
      </w:r>
      <w:r w:rsidR="00084E2E">
        <w:t>s</w:t>
      </w:r>
      <w:r w:rsidR="00605E49">
        <w:t xml:space="preserve"> per participating solo</w:t>
      </w:r>
      <w:r w:rsidRPr="0050021B">
        <w:t xml:space="preserve"> </w:t>
      </w:r>
      <w:r w:rsidR="00084E2E">
        <w:t>should</w:t>
      </w:r>
      <w:r w:rsidRPr="0050021B">
        <w:t xml:space="preserve"> be provided to </w:t>
      </w:r>
      <w:r w:rsidR="00084E2E">
        <w:t xml:space="preserve">either </w:t>
      </w:r>
      <w:r w:rsidR="0087062D">
        <w:t xml:space="preserve">the </w:t>
      </w:r>
      <w:r w:rsidR="00084E2E">
        <w:t xml:space="preserve">group supervisor of a potentially </w:t>
      </w:r>
      <w:r w:rsidR="00084E2E">
        <w:lastRenderedPageBreak/>
        <w:t xml:space="preserve">existing EEA subgroup or to the responsible </w:t>
      </w:r>
      <w:r w:rsidR="00DA4222">
        <w:t xml:space="preserve">EEA </w:t>
      </w:r>
      <w:r w:rsidR="00084E2E">
        <w:t>solo-supervisors</w:t>
      </w:r>
      <w:r w:rsidRPr="0050021B">
        <w:t xml:space="preserve">. </w:t>
      </w:r>
    </w:p>
    <w:p w14:paraId="6CB9C87E" w14:textId="77777777" w:rsidR="0050021B" w:rsidRPr="0050021B" w:rsidRDefault="0050021B" w:rsidP="00E93EAE">
      <w:pPr>
        <w:spacing w:before="123"/>
        <w:ind w:left="113" w:right="951"/>
        <w:jc w:val="both"/>
      </w:pPr>
      <w:r w:rsidRPr="0050021B">
        <w:t>As an aside, please note that your (group) supervisor might want to augment the data request with its own additional questions or requests.</w:t>
      </w:r>
    </w:p>
    <w:p w14:paraId="2E4D6F4D" w14:textId="4F4FA720" w:rsidR="0050021B" w:rsidRPr="0050021B" w:rsidRDefault="0050021B" w:rsidP="00E93EAE">
      <w:pPr>
        <w:spacing w:before="120"/>
        <w:ind w:left="113" w:right="951"/>
        <w:jc w:val="both"/>
      </w:pPr>
      <w:r w:rsidRPr="0050021B">
        <w:t xml:space="preserve">For practical purposes, </w:t>
      </w:r>
      <w:r w:rsidR="009D245C">
        <w:t>undertakings</w:t>
      </w:r>
      <w:r w:rsidR="009D245C" w:rsidRPr="0050021B">
        <w:t xml:space="preserve"> </w:t>
      </w:r>
      <w:r w:rsidRPr="0050021B">
        <w:t xml:space="preserve">are advised to designate (at least) two contact persons, who will liaise with </w:t>
      </w:r>
      <w:r w:rsidR="009D245C">
        <w:t>their</w:t>
      </w:r>
      <w:r w:rsidR="009D245C" w:rsidRPr="0050021B">
        <w:t xml:space="preserve"> </w:t>
      </w:r>
      <w:r w:rsidRPr="0050021B">
        <w:t>(group) supervisor for the purpose of this data request.</w:t>
      </w:r>
    </w:p>
    <w:p w14:paraId="6BB3BB9B" w14:textId="77777777" w:rsidR="0050021B" w:rsidRPr="0050021B" w:rsidRDefault="0050021B" w:rsidP="00E93EAE">
      <w:pPr>
        <w:spacing w:before="8"/>
        <w:ind w:right="951"/>
        <w:rPr>
          <w:sz w:val="20"/>
        </w:rPr>
      </w:pPr>
    </w:p>
    <w:p w14:paraId="180C1A62" w14:textId="0F8034FC" w:rsidR="0050021B" w:rsidRPr="0050021B" w:rsidRDefault="0050021B" w:rsidP="00E93EAE">
      <w:pPr>
        <w:spacing w:before="4"/>
        <w:ind w:right="951"/>
        <w:rPr>
          <w:sz w:val="20"/>
        </w:rPr>
      </w:pPr>
    </w:p>
    <w:p w14:paraId="1867218B" w14:textId="4D738062" w:rsidR="00C27EAD" w:rsidRPr="00E9509A" w:rsidRDefault="00957814" w:rsidP="00E93EAE">
      <w:pPr>
        <w:pStyle w:val="Heading1"/>
        <w:numPr>
          <w:ilvl w:val="0"/>
          <w:numId w:val="13"/>
        </w:numPr>
        <w:spacing w:before="174"/>
        <w:ind w:left="567" w:right="951" w:hanging="567"/>
      </w:pPr>
      <w:bookmarkStart w:id="7" w:name="_Toc47537711"/>
      <w:bookmarkStart w:id="8" w:name="_Toc48679249"/>
      <w:r>
        <w:t>Data request</w:t>
      </w:r>
      <w:bookmarkEnd w:id="7"/>
      <w:bookmarkEnd w:id="8"/>
    </w:p>
    <w:p w14:paraId="58AC2F4B" w14:textId="1458A6BF" w:rsidR="00C27EAD" w:rsidRDefault="00957814" w:rsidP="00E93EAE">
      <w:pPr>
        <w:pStyle w:val="Heading1"/>
        <w:numPr>
          <w:ilvl w:val="1"/>
          <w:numId w:val="11"/>
        </w:numPr>
        <w:spacing w:before="174"/>
        <w:ind w:left="567" w:right="951" w:hanging="567"/>
      </w:pPr>
      <w:bookmarkStart w:id="9" w:name="_Toc47537712"/>
      <w:bookmarkStart w:id="10" w:name="_Toc48679250"/>
      <w:r>
        <w:t>Overview</w:t>
      </w:r>
      <w:bookmarkEnd w:id="9"/>
      <w:bookmarkEnd w:id="10"/>
    </w:p>
    <w:p w14:paraId="654AD58E" w14:textId="0820CC2A" w:rsidR="00752D98" w:rsidRDefault="00752D98" w:rsidP="00E93EAE">
      <w:pPr>
        <w:pStyle w:val="BodyText"/>
        <w:spacing w:before="181"/>
        <w:ind w:left="113" w:right="951"/>
        <w:jc w:val="both"/>
      </w:pPr>
      <w:r>
        <w:t>This subsection briefly outlines the data requested, and the next subsections provide more details for individual parts of the data request.</w:t>
      </w:r>
    </w:p>
    <w:p w14:paraId="3D8771F0" w14:textId="32E6613B" w:rsidR="00752D98" w:rsidRDefault="00752D98" w:rsidP="00E93EAE">
      <w:pPr>
        <w:pStyle w:val="BodyText"/>
        <w:spacing w:before="71"/>
        <w:ind w:left="113" w:right="951"/>
        <w:jc w:val="both"/>
      </w:pPr>
      <w:r>
        <w:t>The data as at year-end 2019 (i.e. 31 December 2019) are requested from the participants</w:t>
      </w:r>
      <w:r w:rsidR="004C0EBC">
        <w:t>,</w:t>
      </w:r>
      <w:r w:rsidR="007B0765">
        <w:t xml:space="preserve"> using the internal model calibrated for year-end 2019</w:t>
      </w:r>
      <w:r w:rsidR="00DA4222">
        <w:t xml:space="preserve"> in the reporting currency</w:t>
      </w:r>
      <w:r w:rsidR="007B0765">
        <w:t>.</w:t>
      </w:r>
    </w:p>
    <w:p w14:paraId="6D9997FF" w14:textId="0C1D7623" w:rsidR="000B5F46" w:rsidRDefault="008B5FB1" w:rsidP="00E93EAE">
      <w:pPr>
        <w:pStyle w:val="BodyText"/>
        <w:spacing w:before="71"/>
        <w:ind w:left="113" w:right="951"/>
        <w:jc w:val="both"/>
      </w:pPr>
      <w:r>
        <w:rPr>
          <w:rStyle w:val="tlid-translation"/>
          <w:lang w:val="en"/>
        </w:rPr>
        <w:t>Companies should use t</w:t>
      </w:r>
      <w:r w:rsidR="000B5F46">
        <w:rPr>
          <w:rStyle w:val="tlid-translation"/>
          <w:lang w:val="en"/>
        </w:rPr>
        <w:t xml:space="preserve">he convention </w:t>
      </w:r>
      <w:r>
        <w:rPr>
          <w:rStyle w:val="tlid-translation"/>
          <w:lang w:val="en"/>
        </w:rPr>
        <w:t>that</w:t>
      </w:r>
      <w:r w:rsidR="002E37E9">
        <w:rPr>
          <w:rStyle w:val="tlid-translation"/>
          <w:lang w:val="en"/>
        </w:rPr>
        <w:t xml:space="preserve"> gains </w:t>
      </w:r>
      <w:r w:rsidR="0069770A">
        <w:rPr>
          <w:rStyle w:val="tlid-translation"/>
          <w:lang w:val="en"/>
        </w:rPr>
        <w:t>are denoted by</w:t>
      </w:r>
      <w:r w:rsidR="000B5F46">
        <w:rPr>
          <w:rStyle w:val="tlid-translation"/>
          <w:lang w:val="en"/>
        </w:rPr>
        <w:t xml:space="preserve"> positive values of the economic amounts </w:t>
      </w:r>
      <w:r w:rsidR="0069770A">
        <w:rPr>
          <w:rStyle w:val="tlid-translation"/>
          <w:lang w:val="en"/>
        </w:rPr>
        <w:t>and</w:t>
      </w:r>
      <w:r w:rsidR="000B5F46">
        <w:rPr>
          <w:rStyle w:val="tlid-translation"/>
          <w:lang w:val="en"/>
        </w:rPr>
        <w:t xml:space="preserve"> losses </w:t>
      </w:r>
      <w:r w:rsidR="0069770A">
        <w:rPr>
          <w:rStyle w:val="tlid-translation"/>
          <w:lang w:val="en"/>
        </w:rPr>
        <w:t xml:space="preserve">by </w:t>
      </w:r>
      <w:r w:rsidR="000B5F46">
        <w:rPr>
          <w:rStyle w:val="tlid-translation"/>
          <w:lang w:val="en"/>
        </w:rPr>
        <w:t>negative</w:t>
      </w:r>
      <w:r w:rsidR="00012C79">
        <w:rPr>
          <w:rStyle w:val="tlid-translation"/>
          <w:lang w:val="en"/>
        </w:rPr>
        <w:t xml:space="preserve"> values</w:t>
      </w:r>
      <w:r w:rsidR="000B5F46">
        <w:rPr>
          <w:rStyle w:val="tlid-translation"/>
          <w:lang w:val="en"/>
        </w:rPr>
        <w:t>.</w:t>
      </w:r>
    </w:p>
    <w:p w14:paraId="62118151" w14:textId="290C7391" w:rsidR="00752D98" w:rsidRDefault="00752D98" w:rsidP="00E93EAE">
      <w:pPr>
        <w:pStyle w:val="BodyText"/>
        <w:spacing w:before="192"/>
        <w:ind w:left="113" w:right="951"/>
        <w:jc w:val="both"/>
      </w:pPr>
      <w:r>
        <w:t xml:space="preserve">This data request consists of </w:t>
      </w:r>
      <w:r w:rsidR="00372388">
        <w:t>a quantitative submission in several parts</w:t>
      </w:r>
      <w:r>
        <w:t>:</w:t>
      </w:r>
    </w:p>
    <w:p w14:paraId="1D955191" w14:textId="660571A5" w:rsidR="00A43CD3" w:rsidRDefault="005B6CBF" w:rsidP="00E93EAE">
      <w:pPr>
        <w:pStyle w:val="ListParagraph"/>
        <w:numPr>
          <w:ilvl w:val="2"/>
          <w:numId w:val="11"/>
        </w:numPr>
        <w:tabs>
          <w:tab w:val="left" w:pos="827"/>
        </w:tabs>
        <w:spacing w:before="123"/>
        <w:ind w:right="951"/>
        <w:jc w:val="both"/>
      </w:pPr>
      <w:r>
        <w:t>Standardized</w:t>
      </w:r>
      <w:r w:rsidR="00372388">
        <w:t xml:space="preserve"> model reporting</w:t>
      </w:r>
    </w:p>
    <w:p w14:paraId="4D38B693" w14:textId="2138C91C" w:rsidR="00965552" w:rsidRDefault="00A43CD3" w:rsidP="00E93EAE">
      <w:pPr>
        <w:pStyle w:val="BodyText"/>
        <w:spacing w:before="95"/>
        <w:ind w:left="1190" w:right="951"/>
        <w:jc w:val="both"/>
        <w:rPr>
          <w:rStyle w:val="tlid-translation"/>
          <w:lang w:val="en"/>
        </w:rPr>
      </w:pPr>
      <w:r w:rsidRPr="00965552">
        <w:rPr>
          <w:rStyle w:val="tlid-translation"/>
          <w:lang w:val="en"/>
        </w:rPr>
        <w:t xml:space="preserve">This section contains information on standardized risks, i.e. on </w:t>
      </w:r>
      <w:r w:rsidR="00480B1A">
        <w:rPr>
          <w:rStyle w:val="tlid-translation"/>
          <w:lang w:val="en"/>
        </w:rPr>
        <w:t>top</w:t>
      </w:r>
      <w:r w:rsidRPr="00965552">
        <w:rPr>
          <w:rStyle w:val="tlid-translation"/>
          <w:lang w:val="en"/>
        </w:rPr>
        <w:t xml:space="preserve">-level risks (market, credit, life, non-life, health, operational, </w:t>
      </w:r>
      <w:r w:rsidR="005B6CBF">
        <w:rPr>
          <w:rStyle w:val="tlid-translation"/>
          <w:lang w:val="en"/>
        </w:rPr>
        <w:t>and if applicable</w:t>
      </w:r>
      <w:r w:rsidRPr="00965552">
        <w:rPr>
          <w:rStyle w:val="tlid-translation"/>
          <w:lang w:val="en"/>
        </w:rPr>
        <w:t xml:space="preserve"> other risks and cross terms) that are obtained from the risks modeled by the </w:t>
      </w:r>
      <w:r w:rsidR="009D245C">
        <w:rPr>
          <w:rStyle w:val="tlid-translation"/>
          <w:lang w:val="en"/>
        </w:rPr>
        <w:t>undertaking</w:t>
      </w:r>
      <w:r w:rsidR="009D245C" w:rsidRPr="00965552">
        <w:rPr>
          <w:rStyle w:val="tlid-translation"/>
          <w:lang w:val="en"/>
        </w:rPr>
        <w:t xml:space="preserve"> </w:t>
      </w:r>
      <w:r w:rsidRPr="00965552">
        <w:rPr>
          <w:rStyle w:val="tlid-translation"/>
          <w:lang w:val="en"/>
        </w:rPr>
        <w:t xml:space="preserve">in the internal model and reorganized in a way </w:t>
      </w:r>
      <w:r w:rsidR="00B3318E">
        <w:rPr>
          <w:rStyle w:val="tlid-translation"/>
          <w:lang w:val="en"/>
        </w:rPr>
        <w:t>such that</w:t>
      </w:r>
      <w:r w:rsidRPr="00965552">
        <w:rPr>
          <w:rStyle w:val="tlid-translation"/>
          <w:lang w:val="en"/>
        </w:rPr>
        <w:t xml:space="preserve"> the structure corresponds to that defined in the standard formula, </w:t>
      </w:r>
    </w:p>
    <w:p w14:paraId="0466DBAE" w14:textId="237F0BCA" w:rsidR="00A43CD3" w:rsidRDefault="00965552" w:rsidP="00E93EAE">
      <w:pPr>
        <w:pStyle w:val="BodyText"/>
        <w:spacing w:before="95"/>
        <w:ind w:left="1190" w:right="951"/>
        <w:jc w:val="both"/>
        <w:rPr>
          <w:rStyle w:val="tlid-translation"/>
          <w:lang w:val="en"/>
        </w:rPr>
      </w:pPr>
      <w:r>
        <w:rPr>
          <w:rStyle w:val="tlid-translation"/>
          <w:lang w:val="en"/>
        </w:rPr>
        <w:t>Moreover, even if not taken into consideration in the definition of the standard formula, cross</w:t>
      </w:r>
      <w:r w:rsidR="00030974">
        <w:rPr>
          <w:rStyle w:val="tlid-translation"/>
          <w:lang w:val="en"/>
        </w:rPr>
        <w:t xml:space="preserve"> terms</w:t>
      </w:r>
      <w:r>
        <w:rPr>
          <w:rStyle w:val="tlid-translation"/>
          <w:lang w:val="en"/>
        </w:rPr>
        <w:t xml:space="preserve"> and other risks are also considered, so that they can be valued if explicitly introduced in the internal model.</w:t>
      </w:r>
    </w:p>
    <w:p w14:paraId="7E92CC40" w14:textId="06665E1C" w:rsidR="00965552" w:rsidRPr="00965552" w:rsidRDefault="00E312B5" w:rsidP="00E93EAE">
      <w:pPr>
        <w:pStyle w:val="BodyText"/>
        <w:spacing w:before="95"/>
        <w:ind w:left="1190" w:right="951"/>
        <w:jc w:val="both"/>
        <w:rPr>
          <w:rStyle w:val="tlid-translation"/>
          <w:lang w:val="en"/>
        </w:rPr>
      </w:pPr>
      <w:r>
        <w:rPr>
          <w:rStyle w:val="tlid-translation"/>
          <w:lang w:val="en"/>
        </w:rPr>
        <w:t>F</w:t>
      </w:r>
      <w:r w:rsidR="00965552">
        <w:rPr>
          <w:rStyle w:val="tlid-translation"/>
          <w:lang w:val="en"/>
        </w:rPr>
        <w:t xml:space="preserve">inally, </w:t>
      </w:r>
      <w:r>
        <w:rPr>
          <w:rStyle w:val="tlid-translation"/>
          <w:lang w:val="en"/>
        </w:rPr>
        <w:t xml:space="preserve">the </w:t>
      </w:r>
      <w:r w:rsidR="00965552">
        <w:rPr>
          <w:rStyle w:val="tlid-translation"/>
          <w:lang w:val="en"/>
        </w:rPr>
        <w:t xml:space="preserve">operational risk is introduced at the same level as the other top risks, as often modeled in internal models, </w:t>
      </w:r>
      <w:r w:rsidR="00030974">
        <w:rPr>
          <w:rStyle w:val="tlid-translation"/>
          <w:lang w:val="en"/>
        </w:rPr>
        <w:t xml:space="preserve">and </w:t>
      </w:r>
      <w:r w:rsidR="00965552">
        <w:rPr>
          <w:rStyle w:val="tlid-translation"/>
          <w:lang w:val="en"/>
        </w:rPr>
        <w:t>unlike what is defined in the standard formula.</w:t>
      </w:r>
    </w:p>
    <w:p w14:paraId="790657EE" w14:textId="32E3C16A" w:rsidR="00A43CD3" w:rsidRDefault="00A43CD3" w:rsidP="00E93EAE">
      <w:pPr>
        <w:pStyle w:val="BodyText"/>
        <w:spacing w:before="95"/>
        <w:ind w:left="1190" w:right="951"/>
        <w:jc w:val="both"/>
        <w:rPr>
          <w:rStyle w:val="tlid-translation"/>
          <w:lang w:val="en"/>
        </w:rPr>
      </w:pPr>
      <w:r w:rsidRPr="00965552">
        <w:rPr>
          <w:rStyle w:val="tlid-translation"/>
          <w:lang w:val="en"/>
        </w:rPr>
        <w:t xml:space="preserve">This reorganization of the risks </w:t>
      </w:r>
      <w:r w:rsidR="00B3318E">
        <w:rPr>
          <w:rStyle w:val="tlid-translation"/>
          <w:lang w:val="en"/>
        </w:rPr>
        <w:t>is</w:t>
      </w:r>
      <w:r w:rsidR="00B3318E" w:rsidRPr="00965552">
        <w:rPr>
          <w:rStyle w:val="tlid-translation"/>
          <w:lang w:val="en"/>
        </w:rPr>
        <w:t xml:space="preserve"> </w:t>
      </w:r>
      <w:r w:rsidRPr="00965552">
        <w:rPr>
          <w:rStyle w:val="tlid-translation"/>
          <w:lang w:val="en"/>
        </w:rPr>
        <w:t>necessary in order to allow a cross-sectional comparison on the internal models approved in the European context.</w:t>
      </w:r>
    </w:p>
    <w:p w14:paraId="667FC38A" w14:textId="78441D05" w:rsidR="00605425" w:rsidRDefault="00DF71F3" w:rsidP="00E93EAE">
      <w:pPr>
        <w:pStyle w:val="BodyText"/>
        <w:spacing w:before="95"/>
        <w:ind w:left="1190" w:right="951"/>
        <w:jc w:val="both"/>
        <w:rPr>
          <w:rStyle w:val="tlid-translation"/>
          <w:lang w:val="en"/>
        </w:rPr>
      </w:pPr>
      <w:r>
        <w:rPr>
          <w:rStyle w:val="tlid-translation"/>
          <w:lang w:val="en"/>
        </w:rPr>
        <w:t>Please</w:t>
      </w:r>
      <w:r w:rsidR="00605425">
        <w:rPr>
          <w:rStyle w:val="tlid-translation"/>
          <w:lang w:val="en"/>
        </w:rPr>
        <w:t xml:space="preserve"> note, this reporting template is automatically derived from the ‘internal model reporting’ tab. </w:t>
      </w:r>
      <w:r>
        <w:rPr>
          <w:rStyle w:val="tlid-translation"/>
          <w:lang w:val="en"/>
        </w:rPr>
        <w:t xml:space="preserve">In </w:t>
      </w:r>
      <w:r w:rsidR="005E3FFA">
        <w:rPr>
          <w:rStyle w:val="tlid-translation"/>
          <w:lang w:val="en"/>
        </w:rPr>
        <w:t>EIOPA’s</w:t>
      </w:r>
      <w:r>
        <w:rPr>
          <w:rStyle w:val="tlid-translation"/>
          <w:lang w:val="en"/>
        </w:rPr>
        <w:t xml:space="preserve"> </w:t>
      </w:r>
      <w:r w:rsidR="005E3FFA">
        <w:rPr>
          <w:rStyle w:val="tlid-translation"/>
          <w:lang w:val="en"/>
        </w:rPr>
        <w:t>analysis,</w:t>
      </w:r>
      <w:r>
        <w:rPr>
          <w:rStyle w:val="tlid-translation"/>
          <w:lang w:val="en"/>
        </w:rPr>
        <w:t xml:space="preserve"> we take into account that the standardization, given the individual approximations and adjustments, is a first step towards the comparison of undertakings.</w:t>
      </w:r>
      <w:r w:rsidR="00E2402D">
        <w:rPr>
          <w:rStyle w:val="tlid-translation"/>
          <w:lang w:val="en"/>
        </w:rPr>
        <w:t xml:space="preserve"> We acknowledge that the underlying exposures differ and will consider this in the analysis.</w:t>
      </w:r>
      <w:r w:rsidR="005E3FFA">
        <w:rPr>
          <w:rStyle w:val="tlid-translation"/>
          <w:lang w:val="en"/>
        </w:rPr>
        <w:t xml:space="preserve"> In the analysis, we further acknowledge the strong link between the marginal distribution and its dependency structure. </w:t>
      </w:r>
    </w:p>
    <w:p w14:paraId="633F578A" w14:textId="071E0B10" w:rsidR="00752D98" w:rsidRDefault="00372388" w:rsidP="00E93EAE">
      <w:pPr>
        <w:pStyle w:val="ListParagraph"/>
        <w:numPr>
          <w:ilvl w:val="2"/>
          <w:numId w:val="11"/>
        </w:numPr>
        <w:tabs>
          <w:tab w:val="left" w:pos="810"/>
        </w:tabs>
        <w:ind w:left="809" w:right="951"/>
        <w:jc w:val="both"/>
      </w:pPr>
      <w:r>
        <w:t>Internal model reporting</w:t>
      </w:r>
    </w:p>
    <w:p w14:paraId="269B11B2" w14:textId="3326B709" w:rsidR="00372388" w:rsidRPr="00E312B5" w:rsidRDefault="00D0734D" w:rsidP="00E93EAE">
      <w:pPr>
        <w:pStyle w:val="BodyText"/>
        <w:spacing w:before="95"/>
        <w:ind w:left="1190" w:right="951"/>
        <w:jc w:val="both"/>
        <w:rPr>
          <w:rStyle w:val="tlid-translation"/>
          <w:lang w:val="en"/>
        </w:rPr>
      </w:pPr>
      <w:r>
        <w:rPr>
          <w:rStyle w:val="tlid-translation"/>
          <w:lang w:val="en"/>
        </w:rPr>
        <w:t xml:space="preserve">In this </w:t>
      </w:r>
      <w:r w:rsidR="00E312B5">
        <w:rPr>
          <w:rStyle w:val="tlid-translation"/>
          <w:lang w:val="en"/>
        </w:rPr>
        <w:t>section</w:t>
      </w:r>
      <w:r>
        <w:rPr>
          <w:rStyle w:val="tlid-translation"/>
          <w:lang w:val="en"/>
        </w:rPr>
        <w:t xml:space="preserve">, </w:t>
      </w:r>
      <w:r w:rsidR="004D6921">
        <w:rPr>
          <w:rStyle w:val="tlid-translation"/>
          <w:lang w:val="en"/>
        </w:rPr>
        <w:t xml:space="preserve">the </w:t>
      </w:r>
      <w:r w:rsidR="009D245C">
        <w:rPr>
          <w:rStyle w:val="tlid-translation"/>
          <w:lang w:val="en"/>
        </w:rPr>
        <w:t xml:space="preserve">undertaking </w:t>
      </w:r>
      <w:r w:rsidR="00012C79">
        <w:rPr>
          <w:rStyle w:val="tlid-translation"/>
          <w:lang w:val="en"/>
        </w:rPr>
        <w:t xml:space="preserve">or </w:t>
      </w:r>
      <w:r w:rsidR="008F150C">
        <w:rPr>
          <w:rStyle w:val="tlid-translation"/>
          <w:lang w:val="en"/>
        </w:rPr>
        <w:t xml:space="preserve">in case relevant, the </w:t>
      </w:r>
      <w:r w:rsidR="00E312B5">
        <w:rPr>
          <w:rStyle w:val="tlid-translation"/>
          <w:lang w:val="en"/>
        </w:rPr>
        <w:t>group</w:t>
      </w:r>
      <w:r w:rsidR="0018501C">
        <w:rPr>
          <w:rStyle w:val="tlid-translation"/>
          <w:lang w:val="en"/>
        </w:rPr>
        <w:t xml:space="preserve">, </w:t>
      </w:r>
      <w:r w:rsidR="004D6921">
        <w:rPr>
          <w:rStyle w:val="tlid-translation"/>
          <w:lang w:val="en"/>
        </w:rPr>
        <w:t xml:space="preserve">is </w:t>
      </w:r>
      <w:r w:rsidR="00CC446E">
        <w:rPr>
          <w:rStyle w:val="tlid-translation"/>
          <w:lang w:val="en"/>
        </w:rPr>
        <w:t xml:space="preserve">expected to provide quantitative information regarding the </w:t>
      </w:r>
      <w:r w:rsidR="00480B1A">
        <w:rPr>
          <w:rStyle w:val="tlid-translation"/>
          <w:lang w:val="en"/>
        </w:rPr>
        <w:t>distribution of the top-level risks as defined in the internal model</w:t>
      </w:r>
      <w:r w:rsidR="00D81893">
        <w:rPr>
          <w:rStyle w:val="tlid-translation"/>
          <w:lang w:val="en"/>
        </w:rPr>
        <w:t xml:space="preserve"> and the resulting SCR after aggregation</w:t>
      </w:r>
      <w:r w:rsidR="00480B1A">
        <w:rPr>
          <w:rStyle w:val="tlid-translation"/>
          <w:lang w:val="en"/>
        </w:rPr>
        <w:t xml:space="preserve">. </w:t>
      </w:r>
      <w:r w:rsidR="000E05C6">
        <w:rPr>
          <w:rStyle w:val="tlid-translation"/>
          <w:lang w:val="en"/>
        </w:rPr>
        <w:t>Certain specific sub-risks</w:t>
      </w:r>
      <w:r w:rsidR="004D6921">
        <w:rPr>
          <w:rStyle w:val="tlid-translation"/>
          <w:lang w:val="en"/>
        </w:rPr>
        <w:t xml:space="preserve"> </w:t>
      </w:r>
      <w:r w:rsidR="000E05C6">
        <w:rPr>
          <w:rStyle w:val="tlid-translation"/>
          <w:lang w:val="en"/>
        </w:rPr>
        <w:t xml:space="preserve">are treated separately in order </w:t>
      </w:r>
      <w:r w:rsidR="00096488">
        <w:rPr>
          <w:rStyle w:val="tlid-translation"/>
          <w:lang w:val="en"/>
        </w:rPr>
        <w:t xml:space="preserve">to </w:t>
      </w:r>
      <w:r w:rsidR="00217DCC">
        <w:rPr>
          <w:rStyle w:val="tlid-translation"/>
          <w:lang w:val="en"/>
        </w:rPr>
        <w:t xml:space="preserve">facilitate the comparison with other internal models </w:t>
      </w:r>
      <w:r w:rsidR="00E312B5">
        <w:rPr>
          <w:rStyle w:val="tlid-translation"/>
          <w:lang w:val="en"/>
        </w:rPr>
        <w:t>even if there are</w:t>
      </w:r>
      <w:r w:rsidR="00217DCC">
        <w:rPr>
          <w:rStyle w:val="tlid-translation"/>
          <w:lang w:val="en"/>
        </w:rPr>
        <w:t xml:space="preserve"> different risk definitions.</w:t>
      </w:r>
    </w:p>
    <w:p w14:paraId="0C125D18" w14:textId="10FA88A8" w:rsidR="00752D98" w:rsidRDefault="009C5B81" w:rsidP="00E93EAE">
      <w:pPr>
        <w:pStyle w:val="ListParagraph"/>
        <w:numPr>
          <w:ilvl w:val="2"/>
          <w:numId w:val="11"/>
        </w:numPr>
        <w:tabs>
          <w:tab w:val="left" w:pos="810"/>
        </w:tabs>
        <w:spacing w:before="120"/>
        <w:ind w:left="809" w:right="951"/>
        <w:jc w:val="both"/>
      </w:pPr>
      <w:r>
        <w:t>Company/group</w:t>
      </w:r>
      <w:r w:rsidR="00A43CD3">
        <w:t xml:space="preserve"> profile</w:t>
      </w:r>
    </w:p>
    <w:p w14:paraId="20FA5660" w14:textId="77777777" w:rsidR="00504BFB" w:rsidRDefault="00A43CD3" w:rsidP="00E93EAE">
      <w:pPr>
        <w:pStyle w:val="BodyText"/>
        <w:spacing w:before="95"/>
        <w:ind w:left="1190" w:right="951"/>
        <w:jc w:val="both"/>
        <w:rPr>
          <w:rStyle w:val="tlid-translation"/>
          <w:lang w:val="en"/>
        </w:rPr>
      </w:pPr>
      <w:r w:rsidRPr="00E312B5">
        <w:rPr>
          <w:rStyle w:val="tlid-translation"/>
          <w:lang w:val="en"/>
        </w:rPr>
        <w:t xml:space="preserve">This section contains </w:t>
      </w:r>
    </w:p>
    <w:p w14:paraId="6B941668" w14:textId="7316DD02" w:rsidR="00504BFB" w:rsidRPr="00504BFB" w:rsidRDefault="00504BFB" w:rsidP="00E93EAE">
      <w:pPr>
        <w:pStyle w:val="BodyText"/>
        <w:numPr>
          <w:ilvl w:val="0"/>
          <w:numId w:val="31"/>
        </w:numPr>
        <w:spacing w:before="95"/>
        <w:ind w:right="951"/>
        <w:jc w:val="both"/>
        <w:rPr>
          <w:rStyle w:val="tlid-translation"/>
          <w:color w:val="000000" w:themeColor="text1"/>
        </w:rPr>
      </w:pPr>
      <w:r>
        <w:rPr>
          <w:rStyle w:val="tlid-translation"/>
          <w:lang w:val="en"/>
        </w:rPr>
        <w:t>economic values that define the risk profile of the undertaking or group;</w:t>
      </w:r>
    </w:p>
    <w:p w14:paraId="7D2077B0" w14:textId="0396BA02" w:rsidR="00030974" w:rsidRPr="008659EA" w:rsidRDefault="00030974" w:rsidP="00E93EAE">
      <w:pPr>
        <w:pStyle w:val="BodyText"/>
        <w:numPr>
          <w:ilvl w:val="0"/>
          <w:numId w:val="31"/>
        </w:numPr>
        <w:spacing w:before="95"/>
        <w:ind w:right="951"/>
        <w:jc w:val="both"/>
        <w:rPr>
          <w:rStyle w:val="tlid-translation"/>
          <w:color w:val="000000" w:themeColor="text1"/>
        </w:rPr>
      </w:pPr>
      <w:bookmarkStart w:id="11" w:name="_Hlk51344124"/>
      <w:r>
        <w:rPr>
          <w:rStyle w:val="tlid-translation"/>
          <w:lang w:val="en"/>
        </w:rPr>
        <w:t xml:space="preserve">the modelled Value-at-Risk </w:t>
      </w:r>
      <w:r w:rsidRPr="00E312B5">
        <w:rPr>
          <w:rStyle w:val="tlid-translation"/>
          <w:lang w:val="en"/>
        </w:rPr>
        <w:t>(</w:t>
      </w:r>
      <w:r>
        <w:rPr>
          <w:rStyle w:val="tlid-translation"/>
          <w:lang w:val="en"/>
        </w:rPr>
        <w:t xml:space="preserve">mVaR) is </w:t>
      </w:r>
      <w:r w:rsidRPr="00E312B5">
        <w:rPr>
          <w:rStyle w:val="tlid-translation"/>
          <w:lang w:val="en"/>
        </w:rPr>
        <w:t xml:space="preserve">the equivalent of </w:t>
      </w:r>
      <w:r w:rsidRPr="00E312B5">
        <w:rPr>
          <w:rStyle w:val="tlid-translation"/>
          <w:color w:val="000000" w:themeColor="text1"/>
          <w:lang w:val="en"/>
        </w:rPr>
        <w:t>SCR</w:t>
      </w:r>
      <w:r w:rsidR="008659EA">
        <w:rPr>
          <w:rStyle w:val="tlid-translation"/>
          <w:color w:val="000000" w:themeColor="text1"/>
          <w:lang w:val="en"/>
        </w:rPr>
        <w:t xml:space="preserve"> before tax</w:t>
      </w:r>
      <w:r>
        <w:rPr>
          <w:rStyle w:val="tlid-translation"/>
          <w:color w:val="000000" w:themeColor="text1"/>
          <w:lang w:val="en"/>
        </w:rPr>
        <w:t>,</w:t>
      </w:r>
      <w:r w:rsidRPr="00E312B5">
        <w:rPr>
          <w:rStyle w:val="tlid-translation"/>
          <w:color w:val="000000" w:themeColor="text1"/>
          <w:lang w:val="en"/>
        </w:rPr>
        <w:t xml:space="preserve"> obtained by aggregating the distributions of market, credit, non-life, life, health, business, operational and other risks. </w:t>
      </w:r>
      <w:r w:rsidR="00003FD5">
        <w:rPr>
          <w:rStyle w:val="tlid-translation"/>
          <w:color w:val="000000" w:themeColor="text1"/>
          <w:lang w:val="en"/>
        </w:rPr>
        <w:t xml:space="preserve">If we add to the mVaR the Loss Absorbing Capacity for </w:t>
      </w:r>
      <w:r w:rsidR="00003FD5">
        <w:rPr>
          <w:rStyle w:val="tlid-translation"/>
          <w:color w:val="000000" w:themeColor="text1"/>
          <w:lang w:val="en"/>
        </w:rPr>
        <w:lastRenderedPageBreak/>
        <w:t>Deferred Taxes, the diversified SCR of possible risks not included in the model, the diversified SCR of entities using the Standard Formula, other entities and other adjustments, this adds up to the SCR.</w:t>
      </w:r>
    </w:p>
    <w:bookmarkEnd w:id="11"/>
    <w:p w14:paraId="08A1F6C1" w14:textId="6068B7E0" w:rsidR="00030974" w:rsidRPr="008659EA" w:rsidRDefault="00A43CD3" w:rsidP="00E93EAE">
      <w:pPr>
        <w:pStyle w:val="BodyText"/>
        <w:numPr>
          <w:ilvl w:val="0"/>
          <w:numId w:val="31"/>
        </w:numPr>
        <w:spacing w:before="95"/>
        <w:ind w:right="951"/>
        <w:jc w:val="both"/>
        <w:rPr>
          <w:rStyle w:val="tlid-translation"/>
          <w:color w:val="000000" w:themeColor="text1"/>
        </w:rPr>
      </w:pPr>
      <w:r w:rsidRPr="00E312B5">
        <w:rPr>
          <w:rStyle w:val="tlid-translation"/>
          <w:lang w:val="en"/>
        </w:rPr>
        <w:t xml:space="preserve">the </w:t>
      </w:r>
      <w:r w:rsidR="00030974">
        <w:rPr>
          <w:rStyle w:val="tlid-translation"/>
          <w:lang w:val="en"/>
        </w:rPr>
        <w:t>additional adjustments to the mVaR, needed</w:t>
      </w:r>
      <w:r w:rsidRPr="00E312B5">
        <w:rPr>
          <w:rStyle w:val="tlid-translation"/>
          <w:lang w:val="en"/>
        </w:rPr>
        <w:t xml:space="preserve"> to obtain the total capital requirement </w:t>
      </w:r>
      <w:r w:rsidR="008659EA">
        <w:rPr>
          <w:rStyle w:val="tlid-translation"/>
          <w:lang w:val="en"/>
        </w:rPr>
        <w:t xml:space="preserve"> before tax</w:t>
      </w:r>
      <w:r w:rsidRPr="00E312B5">
        <w:rPr>
          <w:rStyle w:val="tlid-translation"/>
          <w:lang w:val="en"/>
        </w:rPr>
        <w:t xml:space="preserve"> of the individual </w:t>
      </w:r>
      <w:r w:rsidR="00560115">
        <w:rPr>
          <w:rStyle w:val="tlid-translation"/>
          <w:lang w:val="en"/>
        </w:rPr>
        <w:t>undertaking</w:t>
      </w:r>
      <w:r w:rsidR="00560115" w:rsidRPr="00E312B5">
        <w:rPr>
          <w:rStyle w:val="tlid-translation"/>
          <w:lang w:val="en"/>
        </w:rPr>
        <w:t xml:space="preserve"> </w:t>
      </w:r>
      <w:r w:rsidRPr="00E312B5">
        <w:rPr>
          <w:rStyle w:val="tlid-translation"/>
          <w:lang w:val="en"/>
        </w:rPr>
        <w:t>or of the group in question</w:t>
      </w:r>
      <w:r w:rsidR="00030974">
        <w:rPr>
          <w:rStyle w:val="tlid-translation"/>
          <w:lang w:val="en"/>
        </w:rPr>
        <w:t>.</w:t>
      </w:r>
    </w:p>
    <w:p w14:paraId="5994A9AF" w14:textId="5A7D06A0" w:rsidR="00372388" w:rsidRDefault="00372388" w:rsidP="00E93EAE">
      <w:pPr>
        <w:pStyle w:val="ListParagraph"/>
        <w:numPr>
          <w:ilvl w:val="2"/>
          <w:numId w:val="11"/>
        </w:numPr>
        <w:tabs>
          <w:tab w:val="left" w:pos="810"/>
        </w:tabs>
        <w:spacing w:before="120"/>
        <w:ind w:left="809" w:right="951"/>
        <w:jc w:val="both"/>
      </w:pPr>
      <w:r>
        <w:t>Correlation matrices</w:t>
      </w:r>
    </w:p>
    <w:p w14:paraId="7CA82BD9" w14:textId="737E6FAA" w:rsidR="00A43CD3" w:rsidRPr="005C5711" w:rsidRDefault="00A43CD3" w:rsidP="00E93EAE">
      <w:pPr>
        <w:pStyle w:val="BodyText"/>
        <w:spacing w:before="95"/>
        <w:ind w:left="1190" w:right="951"/>
        <w:jc w:val="both"/>
        <w:rPr>
          <w:color w:val="000000" w:themeColor="text1"/>
        </w:rPr>
      </w:pPr>
      <w:r w:rsidRPr="00E312B5">
        <w:rPr>
          <w:rStyle w:val="tlid-translation"/>
          <w:lang w:val="en"/>
        </w:rPr>
        <w:t>This section contains information on the linear (i.e. Pearson) correlation matrix between risk losses at top level.</w:t>
      </w:r>
      <w:r w:rsidR="008F150C">
        <w:rPr>
          <w:rStyle w:val="tlid-translation"/>
          <w:lang w:val="en"/>
        </w:rPr>
        <w:t xml:space="preserve"> This information should be provided </w:t>
      </w:r>
      <w:r w:rsidR="00A16138">
        <w:rPr>
          <w:rStyle w:val="tlid-translation"/>
          <w:lang w:val="en"/>
        </w:rPr>
        <w:t xml:space="preserve">by the undertakings using </w:t>
      </w:r>
      <w:r w:rsidR="008F150C">
        <w:rPr>
          <w:rStyle w:val="tlid-translation"/>
          <w:lang w:val="en"/>
        </w:rPr>
        <w:t xml:space="preserve">the VaR-CoVaR aggregation method, for the </w:t>
      </w:r>
      <w:r w:rsidR="00A16138">
        <w:rPr>
          <w:rStyle w:val="tlid-translation"/>
          <w:lang w:val="en"/>
        </w:rPr>
        <w:t xml:space="preserve">undertakings using other </w:t>
      </w:r>
      <w:r w:rsidR="008F150C">
        <w:rPr>
          <w:rStyle w:val="tlid-translation"/>
          <w:lang w:val="en"/>
        </w:rPr>
        <w:t xml:space="preserve">methods this information </w:t>
      </w:r>
      <w:r w:rsidR="00605425">
        <w:rPr>
          <w:rStyle w:val="tlid-translation"/>
          <w:lang w:val="en"/>
        </w:rPr>
        <w:t xml:space="preserve">will </w:t>
      </w:r>
      <w:r w:rsidR="008F150C">
        <w:rPr>
          <w:rStyle w:val="tlid-translation"/>
          <w:lang w:val="en"/>
        </w:rPr>
        <w:t xml:space="preserve">be derived </w:t>
      </w:r>
      <w:r w:rsidR="00605425">
        <w:rPr>
          <w:rStyle w:val="tlid-translation"/>
          <w:lang w:val="en"/>
        </w:rPr>
        <w:t xml:space="preserve">by the project group </w:t>
      </w:r>
      <w:r w:rsidR="008F150C">
        <w:rPr>
          <w:rStyle w:val="tlid-translation"/>
          <w:lang w:val="en"/>
        </w:rPr>
        <w:t xml:space="preserve">from the simulation data. </w:t>
      </w:r>
    </w:p>
    <w:p w14:paraId="2B64AC59" w14:textId="77777777" w:rsidR="007B0765" w:rsidRDefault="007B0765" w:rsidP="00E93EAE">
      <w:pPr>
        <w:pStyle w:val="BodyText"/>
        <w:ind w:left="113" w:right="951"/>
        <w:jc w:val="both"/>
      </w:pPr>
    </w:p>
    <w:p w14:paraId="62BFDE85" w14:textId="7D0E08B0" w:rsidR="00886DC5" w:rsidRPr="007B0765" w:rsidRDefault="007B0765" w:rsidP="00403C6B">
      <w:pPr>
        <w:pStyle w:val="BodyText"/>
        <w:ind w:left="113" w:right="951"/>
        <w:jc w:val="both"/>
      </w:pPr>
      <w:r w:rsidRPr="007B0765">
        <w:t>The quantitative submission contains an extra sheet ‘Validation checks’. Th</w:t>
      </w:r>
      <w:r>
        <w:t>is sheet will be used to validate the coherence of the provided information and does not need to be filled in.</w:t>
      </w:r>
      <w:r w:rsidR="0056012F">
        <w:br w:type="page"/>
      </w:r>
    </w:p>
    <w:p w14:paraId="115544E3" w14:textId="449CA8A6" w:rsidR="007B0765" w:rsidRDefault="00957814" w:rsidP="00E93EAE">
      <w:pPr>
        <w:pStyle w:val="Heading1"/>
        <w:numPr>
          <w:ilvl w:val="1"/>
          <w:numId w:val="11"/>
        </w:numPr>
        <w:spacing w:before="174"/>
        <w:ind w:left="567" w:right="951" w:hanging="567"/>
      </w:pPr>
      <w:bookmarkStart w:id="12" w:name="_Toc47537713"/>
      <w:bookmarkStart w:id="13" w:name="_Toc48679251"/>
      <w:r>
        <w:lastRenderedPageBreak/>
        <w:t>Specification of the requested information and</w:t>
      </w:r>
      <w:r w:rsidRPr="003A7170">
        <w:t xml:space="preserve"> </w:t>
      </w:r>
      <w:r>
        <w:t>values</w:t>
      </w:r>
      <w:r w:rsidR="007B0765">
        <w:t>.</w:t>
      </w:r>
      <w:bookmarkEnd w:id="12"/>
      <w:bookmarkEnd w:id="13"/>
    </w:p>
    <w:p w14:paraId="657A4D4E" w14:textId="5E2D917D" w:rsidR="007B0765" w:rsidRPr="00E312B5" w:rsidRDefault="007B0765" w:rsidP="00E93EAE">
      <w:pPr>
        <w:pStyle w:val="BodyText"/>
        <w:spacing w:before="71"/>
        <w:ind w:left="113" w:right="951"/>
        <w:jc w:val="both"/>
      </w:pPr>
      <w:r w:rsidRPr="00E312B5">
        <w:t>Summary on some common terms used throughout the Excel.</w:t>
      </w:r>
    </w:p>
    <w:p w14:paraId="1B320643" w14:textId="50EC5325" w:rsidR="007B0765" w:rsidRPr="00E312B5" w:rsidRDefault="007B0765" w:rsidP="00E93EAE">
      <w:pPr>
        <w:pStyle w:val="ListParagraph"/>
        <w:numPr>
          <w:ilvl w:val="1"/>
          <w:numId w:val="17"/>
        </w:numPr>
        <w:tabs>
          <w:tab w:val="left" w:pos="834"/>
        </w:tabs>
        <w:spacing w:before="120"/>
        <w:ind w:right="951"/>
        <w:jc w:val="both"/>
      </w:pPr>
      <w:r w:rsidRPr="00E312B5">
        <w:rPr>
          <w:i/>
        </w:rPr>
        <w:t xml:space="preserve">Expected </w:t>
      </w:r>
      <w:r w:rsidR="00F7132C">
        <w:rPr>
          <w:i/>
        </w:rPr>
        <w:t>Result</w:t>
      </w:r>
      <w:r w:rsidRPr="00E312B5">
        <w:t xml:space="preserve">: The expected </w:t>
      </w:r>
      <w:r w:rsidR="00F7132C">
        <w:t>result</w:t>
      </w:r>
      <w:r w:rsidR="00F7132C" w:rsidRPr="00E312B5">
        <w:t xml:space="preserve"> </w:t>
      </w:r>
      <w:r w:rsidRPr="00E312B5">
        <w:t xml:space="preserve">(at t=1) is </w:t>
      </w:r>
      <w:r w:rsidR="0073480C">
        <w:t>expected</w:t>
      </w:r>
      <w:r w:rsidR="0073480C" w:rsidRPr="00E312B5">
        <w:t xml:space="preserve"> </w:t>
      </w:r>
      <w:r w:rsidRPr="00E312B5">
        <w:t xml:space="preserve">to correspond to the mean of the </w:t>
      </w:r>
      <w:r w:rsidR="00887970" w:rsidRPr="00E312B5">
        <w:t xml:space="preserve">profit and loss </w:t>
      </w:r>
      <w:r w:rsidRPr="00E312B5">
        <w:t>distribution</w:t>
      </w:r>
      <w:r w:rsidR="004E3B0C">
        <w:t xml:space="preserve"> </w:t>
      </w:r>
      <w:r w:rsidR="004E3B0C">
        <w:rPr>
          <w:rStyle w:val="tlid-translation"/>
          <w:lang w:val="en"/>
        </w:rPr>
        <w:t>before consideration of Loss Absorbing Capacity of Deferred Taxes</w:t>
      </w:r>
      <w:r w:rsidRPr="00E312B5">
        <w:t>.</w:t>
      </w:r>
    </w:p>
    <w:p w14:paraId="19791A6B" w14:textId="1F997A03" w:rsidR="00887970" w:rsidRPr="00E312B5" w:rsidRDefault="00887970" w:rsidP="00E93EAE">
      <w:pPr>
        <w:pStyle w:val="ListParagraph"/>
        <w:numPr>
          <w:ilvl w:val="1"/>
          <w:numId w:val="17"/>
        </w:numPr>
        <w:tabs>
          <w:tab w:val="left" w:pos="834"/>
        </w:tabs>
        <w:spacing w:before="120"/>
        <w:ind w:right="951"/>
        <w:jc w:val="both"/>
      </w:pPr>
      <w:r w:rsidRPr="00E312B5">
        <w:rPr>
          <w:i/>
        </w:rPr>
        <w:t>0.5% quantile of the distribution</w:t>
      </w:r>
      <w:r w:rsidRPr="00E312B5">
        <w:t xml:space="preserve">: This value corresponds to the 0.5% quantile of the profit and loss distribution </w:t>
      </w:r>
      <w:r w:rsidR="0079250A">
        <w:rPr>
          <w:rStyle w:val="tlid-translation"/>
          <w:lang w:val="en"/>
        </w:rPr>
        <w:t>before consideration of Loss Absorbing Capacity of Deferred Taxes</w:t>
      </w:r>
      <w:r w:rsidR="0079250A" w:rsidRPr="00E312B5">
        <w:t xml:space="preserve"> </w:t>
      </w:r>
      <w:r w:rsidRPr="00E312B5">
        <w:t>without the use of any smoothing or other adjustments. This will commonly translate into the result of the one specific scenario referencing this quantile.</w:t>
      </w:r>
      <w:r w:rsidR="00AD1951">
        <w:t xml:space="preserve"> We </w:t>
      </w:r>
      <w:r w:rsidR="005424E6">
        <w:t xml:space="preserve">use the convention that losses are modelled by negative profit and loss values. This </w:t>
      </w:r>
      <w:r w:rsidR="00CC7BE6">
        <w:t>low</w:t>
      </w:r>
      <w:r w:rsidR="005424E6">
        <w:t xml:space="preserve"> quantile </w:t>
      </w:r>
      <w:r w:rsidR="006640E6">
        <w:t xml:space="preserve">thus </w:t>
      </w:r>
      <w:r w:rsidR="00CC7BE6">
        <w:t>corresponds to a</w:t>
      </w:r>
      <w:r w:rsidR="00127C1B">
        <w:t>n adverse economic result.</w:t>
      </w:r>
    </w:p>
    <w:p w14:paraId="5187F697" w14:textId="5DEA800F" w:rsidR="00887970" w:rsidRPr="00E312B5" w:rsidRDefault="007B0765" w:rsidP="00E93EAE">
      <w:pPr>
        <w:pStyle w:val="ListParagraph"/>
        <w:widowControl/>
        <w:numPr>
          <w:ilvl w:val="1"/>
          <w:numId w:val="17"/>
        </w:numPr>
        <w:tabs>
          <w:tab w:val="left" w:pos="834"/>
        </w:tabs>
        <w:autoSpaceDE/>
        <w:autoSpaceDN/>
        <w:spacing w:before="74"/>
        <w:ind w:right="951"/>
        <w:jc w:val="both"/>
      </w:pPr>
      <w:r w:rsidRPr="00E312B5">
        <w:rPr>
          <w:i/>
        </w:rPr>
        <w:t>Modelled Value-at-Risk (mVaR)</w:t>
      </w:r>
      <w:r w:rsidRPr="00E312B5">
        <w:t xml:space="preserve">: Broadly speaking, </w:t>
      </w:r>
      <w:r w:rsidR="009D245C">
        <w:t>undertakings</w:t>
      </w:r>
      <w:r w:rsidR="009D245C" w:rsidRPr="00E312B5">
        <w:t xml:space="preserve"> </w:t>
      </w:r>
      <w:r w:rsidRPr="00E312B5">
        <w:t xml:space="preserve">are expected to apply </w:t>
      </w:r>
      <w:r w:rsidR="009D245C">
        <w:t>their</w:t>
      </w:r>
      <w:r w:rsidRPr="00E312B5">
        <w:t xml:space="preserve"> modelled ‘SCR definition’ </w:t>
      </w:r>
      <w:r w:rsidR="0073480C">
        <w:t>to the total profit and loss distribution</w:t>
      </w:r>
      <w:r w:rsidR="0079250A">
        <w:rPr>
          <w:rStyle w:val="tlid-translation"/>
          <w:lang w:val="en"/>
        </w:rPr>
        <w:t xml:space="preserve"> before consideration of Loss Absorbing Capacity of Deferred Taxes</w:t>
      </w:r>
      <w:r w:rsidR="0073480C">
        <w:t>.</w:t>
      </w:r>
      <w:r w:rsidRPr="00E312B5">
        <w:t xml:space="preserve"> Hence, the mVaR might differ from the </w:t>
      </w:r>
      <w:r w:rsidR="00127C1B">
        <w:t>0</w:t>
      </w:r>
      <w:r w:rsidRPr="00E312B5">
        <w:t xml:space="preserve">.5% sample quantile on the simulated asset values, owing to the statistical estimator for the </w:t>
      </w:r>
      <w:r w:rsidR="00127C1B">
        <w:t>0</w:t>
      </w:r>
      <w:r w:rsidRPr="00E312B5">
        <w:t>.5</w:t>
      </w:r>
      <w:r w:rsidR="00D24D3A" w:rsidRPr="00E312B5">
        <w:t>%</w:t>
      </w:r>
      <w:r w:rsidRPr="00E312B5">
        <w:t xml:space="preserve"> percentile (e.g. including any interpolation or smoothing scheme)</w:t>
      </w:r>
      <w:r w:rsidR="00887970" w:rsidRPr="00E312B5">
        <w:t>.</w:t>
      </w:r>
      <w:r w:rsidR="00267449">
        <w:t xml:space="preserve"> Furthermore, some undertakings might allow for a centering of the distribution by deducting the expected result.</w:t>
      </w:r>
    </w:p>
    <w:p w14:paraId="3CBC9354" w14:textId="4F4532B5" w:rsidR="007B0765" w:rsidRPr="00E312B5" w:rsidRDefault="007B0765" w:rsidP="00E93EAE">
      <w:pPr>
        <w:pStyle w:val="ListParagraph"/>
        <w:widowControl/>
        <w:numPr>
          <w:ilvl w:val="1"/>
          <w:numId w:val="17"/>
        </w:numPr>
        <w:tabs>
          <w:tab w:val="left" w:pos="834"/>
        </w:tabs>
        <w:autoSpaceDE/>
        <w:autoSpaceDN/>
        <w:spacing w:before="74"/>
        <w:ind w:right="951"/>
        <w:jc w:val="both"/>
      </w:pPr>
      <w:r w:rsidRPr="00464304">
        <w:rPr>
          <w:i/>
        </w:rPr>
        <w:t>Selected prescribed percentiles</w:t>
      </w:r>
      <w:r w:rsidRPr="00464304">
        <w:t xml:space="preserve">: they should be directly taken from the simulated </w:t>
      </w:r>
      <w:r w:rsidR="0073480C">
        <w:rPr>
          <w:u w:val="single"/>
        </w:rPr>
        <w:t>profit and losses</w:t>
      </w:r>
      <w:r w:rsidR="0073480C" w:rsidRPr="00464304">
        <w:t xml:space="preserve"> </w:t>
      </w:r>
      <w:r w:rsidR="0079250A">
        <w:rPr>
          <w:rStyle w:val="tlid-translation"/>
          <w:lang w:val="en"/>
        </w:rPr>
        <w:t>before consideration of Loss Absorbing Capacity of Deferred Taxes</w:t>
      </w:r>
      <w:r w:rsidR="0079250A" w:rsidRPr="00464304">
        <w:t xml:space="preserve"> </w:t>
      </w:r>
      <w:r w:rsidRPr="00464304">
        <w:t>or by other</w:t>
      </w:r>
      <w:r w:rsidRPr="00464304">
        <w:rPr>
          <w:spacing w:val="-8"/>
        </w:rPr>
        <w:t xml:space="preserve"> </w:t>
      </w:r>
      <w:r w:rsidRPr="00464304">
        <w:t>means</w:t>
      </w:r>
      <w:r w:rsidRPr="00464304">
        <w:rPr>
          <w:spacing w:val="-5"/>
        </w:rPr>
        <w:t xml:space="preserve"> </w:t>
      </w:r>
      <w:r w:rsidRPr="00464304">
        <w:t>derived</w:t>
      </w:r>
      <w:r w:rsidRPr="00464304">
        <w:rPr>
          <w:spacing w:val="-5"/>
        </w:rPr>
        <w:t xml:space="preserve"> </w:t>
      </w:r>
      <w:r w:rsidRPr="00464304">
        <w:t>from</w:t>
      </w:r>
      <w:r w:rsidRPr="00464304">
        <w:rPr>
          <w:spacing w:val="-5"/>
        </w:rPr>
        <w:t xml:space="preserve"> </w:t>
      </w:r>
      <w:r w:rsidRPr="00464304">
        <w:t>the</w:t>
      </w:r>
      <w:r w:rsidRPr="00464304">
        <w:rPr>
          <w:spacing w:val="-7"/>
        </w:rPr>
        <w:t xml:space="preserve"> </w:t>
      </w:r>
      <w:r w:rsidRPr="00464304">
        <w:t>model,</w:t>
      </w:r>
      <w:r w:rsidRPr="00464304">
        <w:rPr>
          <w:spacing w:val="-5"/>
        </w:rPr>
        <w:t xml:space="preserve"> </w:t>
      </w:r>
      <w:r w:rsidRPr="00464304">
        <w:t>depending</w:t>
      </w:r>
      <w:r w:rsidRPr="00464304">
        <w:rPr>
          <w:spacing w:val="-9"/>
        </w:rPr>
        <w:t xml:space="preserve"> </w:t>
      </w:r>
      <w:r w:rsidRPr="00464304">
        <w:t>on</w:t>
      </w:r>
      <w:r w:rsidRPr="00464304">
        <w:rPr>
          <w:spacing w:val="-7"/>
        </w:rPr>
        <w:t xml:space="preserve"> </w:t>
      </w:r>
      <w:r w:rsidRPr="00464304">
        <w:t>the</w:t>
      </w:r>
      <w:r w:rsidRPr="00464304">
        <w:rPr>
          <w:spacing w:val="-5"/>
        </w:rPr>
        <w:t xml:space="preserve"> </w:t>
      </w:r>
      <w:r w:rsidRPr="00464304">
        <w:t>approaches.</w:t>
      </w:r>
      <w:r w:rsidRPr="00464304">
        <w:rPr>
          <w:spacing w:val="-2"/>
        </w:rPr>
        <w:t xml:space="preserve"> </w:t>
      </w:r>
      <w:r w:rsidR="009D245C">
        <w:t>Undertakings</w:t>
      </w:r>
      <w:r w:rsidR="00086B8E">
        <w:t xml:space="preserve"> simulating a risk</w:t>
      </w:r>
      <w:r w:rsidR="009D245C" w:rsidRPr="00464304">
        <w:rPr>
          <w:spacing w:val="-5"/>
        </w:rPr>
        <w:t xml:space="preserve"> </w:t>
      </w:r>
      <w:r w:rsidRPr="00464304">
        <w:t>are</w:t>
      </w:r>
      <w:r w:rsidRPr="00464304">
        <w:rPr>
          <w:spacing w:val="-7"/>
        </w:rPr>
        <w:t xml:space="preserve"> </w:t>
      </w:r>
      <w:r w:rsidRPr="00464304">
        <w:t>at</w:t>
      </w:r>
      <w:r w:rsidRPr="00464304">
        <w:rPr>
          <w:spacing w:val="-6"/>
        </w:rPr>
        <w:t xml:space="preserve"> </w:t>
      </w:r>
      <w:r w:rsidRPr="00464304">
        <w:t>least</w:t>
      </w:r>
      <w:r w:rsidRPr="00464304">
        <w:rPr>
          <w:spacing w:val="-8"/>
        </w:rPr>
        <w:t xml:space="preserve"> </w:t>
      </w:r>
      <w:r w:rsidRPr="00464304">
        <w:t>expected</w:t>
      </w:r>
      <w:r w:rsidRPr="00464304">
        <w:rPr>
          <w:spacing w:val="-6"/>
        </w:rPr>
        <w:t xml:space="preserve"> </w:t>
      </w:r>
      <w:r w:rsidRPr="00464304">
        <w:t>to provide the 50</w:t>
      </w:r>
      <w:r w:rsidRPr="00464304">
        <w:rPr>
          <w:position w:val="5"/>
          <w:sz w:val="14"/>
        </w:rPr>
        <w:t xml:space="preserve">th </w:t>
      </w:r>
      <w:r w:rsidRPr="00464304">
        <w:t>percentile and the 0.5</w:t>
      </w:r>
      <w:r w:rsidRPr="00464304">
        <w:rPr>
          <w:position w:val="5"/>
          <w:sz w:val="14"/>
        </w:rPr>
        <w:t xml:space="preserve">th </w:t>
      </w:r>
      <w:r w:rsidRPr="00464304">
        <w:t xml:space="preserve">percentile. </w:t>
      </w:r>
    </w:p>
    <w:p w14:paraId="18648D57" w14:textId="0B7831E4" w:rsidR="00887970" w:rsidRDefault="007B0765" w:rsidP="00E93EAE">
      <w:pPr>
        <w:pStyle w:val="ListParagraph"/>
        <w:numPr>
          <w:ilvl w:val="1"/>
          <w:numId w:val="17"/>
        </w:numPr>
        <w:tabs>
          <w:tab w:val="left" w:pos="834"/>
        </w:tabs>
        <w:spacing w:before="120"/>
        <w:ind w:right="951"/>
        <w:jc w:val="both"/>
      </w:pPr>
      <w:r w:rsidRPr="00E312B5">
        <w:rPr>
          <w:i/>
        </w:rPr>
        <w:t>Scenario-by-scenario data</w:t>
      </w:r>
      <w:r w:rsidRPr="00E312B5">
        <w:t xml:space="preserve">: directly taken from the simulated </w:t>
      </w:r>
      <w:r w:rsidR="0073480C">
        <w:rPr>
          <w:u w:val="single"/>
        </w:rPr>
        <w:t>profit and losses</w:t>
      </w:r>
      <w:r w:rsidR="0073480C" w:rsidRPr="00E312B5">
        <w:t xml:space="preserve"> </w:t>
      </w:r>
      <w:r w:rsidR="0079250A">
        <w:rPr>
          <w:rStyle w:val="tlid-translation"/>
          <w:lang w:val="en"/>
        </w:rPr>
        <w:t>but before consideration of Loss Absorbing Capacity of Deferred Taxes</w:t>
      </w:r>
      <w:r w:rsidR="0079250A" w:rsidRPr="00E312B5">
        <w:t xml:space="preserve"> </w:t>
      </w:r>
      <w:r w:rsidRPr="00E312B5">
        <w:t>or by other means derived from the model, depending on the</w:t>
      </w:r>
      <w:r w:rsidRPr="00E312B5">
        <w:rPr>
          <w:spacing w:val="-2"/>
        </w:rPr>
        <w:t xml:space="preserve"> </w:t>
      </w:r>
      <w:r w:rsidRPr="00E312B5">
        <w:t>approaches.</w:t>
      </w:r>
      <w:r w:rsidR="00B041BF">
        <w:t xml:space="preserve"> The number of scenarios should be in line with the number of scenarios in the default internal model setup. </w:t>
      </w:r>
    </w:p>
    <w:p w14:paraId="5F170860" w14:textId="77777777" w:rsidR="00881D72" w:rsidRDefault="00881D72">
      <w:pPr>
        <w:rPr>
          <w:rFonts w:ascii="Arial" w:eastAsia="Times New Roman" w:hAnsi="Arial" w:cs="Arial"/>
          <w:bCs/>
          <w:i/>
          <w:iCs/>
          <w:sz w:val="20"/>
          <w:szCs w:val="20"/>
          <w:lang w:val="it-IT" w:eastAsia="it-IT"/>
        </w:rPr>
      </w:pPr>
      <w:r>
        <w:rPr>
          <w:rFonts w:ascii="Arial" w:eastAsia="Times New Roman" w:hAnsi="Arial" w:cs="Arial"/>
          <w:bCs/>
          <w:i/>
          <w:iCs/>
          <w:sz w:val="20"/>
          <w:szCs w:val="20"/>
          <w:lang w:val="it-IT" w:eastAsia="it-IT"/>
        </w:rPr>
        <w:br w:type="page"/>
      </w:r>
    </w:p>
    <w:p w14:paraId="07B2D61B" w14:textId="0ADF0058" w:rsidR="00504BFB" w:rsidRPr="00E312B5" w:rsidRDefault="00504BFB" w:rsidP="00E93EAE">
      <w:pPr>
        <w:tabs>
          <w:tab w:val="left" w:pos="834"/>
        </w:tabs>
        <w:spacing w:before="120"/>
        <w:ind w:right="951"/>
        <w:jc w:val="both"/>
      </w:pPr>
    </w:p>
    <w:p w14:paraId="67E7195D" w14:textId="0242A5D3" w:rsidR="003A7170" w:rsidRDefault="00957814" w:rsidP="00E93EAE">
      <w:pPr>
        <w:pStyle w:val="Heading1"/>
        <w:numPr>
          <w:ilvl w:val="1"/>
          <w:numId w:val="11"/>
        </w:numPr>
        <w:spacing w:before="174"/>
        <w:ind w:left="567" w:right="951" w:hanging="567"/>
      </w:pPr>
      <w:bookmarkStart w:id="14" w:name="_Toc47537714"/>
      <w:bookmarkStart w:id="15" w:name="_Toc48679252"/>
      <w:r>
        <w:t>More detailed specification of parts of the data</w:t>
      </w:r>
      <w:r w:rsidRPr="003A7170">
        <w:t xml:space="preserve"> </w:t>
      </w:r>
      <w:r>
        <w:t>request</w:t>
      </w:r>
      <w:bookmarkEnd w:id="14"/>
      <w:bookmarkEnd w:id="15"/>
    </w:p>
    <w:p w14:paraId="51E0344B" w14:textId="67ACEBE6" w:rsidR="00284A05" w:rsidRPr="002432B4" w:rsidRDefault="00996578" w:rsidP="00E93EAE">
      <w:pPr>
        <w:pStyle w:val="ListParagraph"/>
        <w:numPr>
          <w:ilvl w:val="0"/>
          <w:numId w:val="35"/>
        </w:numPr>
        <w:ind w:right="951"/>
      </w:pPr>
      <w:r w:rsidRPr="00E312B5">
        <w:t>Standardized</w:t>
      </w:r>
      <w:r w:rsidR="00284A05" w:rsidRPr="00E312B5">
        <w:t xml:space="preserve"> model reporting</w:t>
      </w:r>
    </w:p>
    <w:p w14:paraId="733BDDF6" w14:textId="73A8BF73" w:rsidR="00A43CD3" w:rsidRPr="005F2D23" w:rsidRDefault="00A43CD3" w:rsidP="00E93EAE">
      <w:pPr>
        <w:ind w:left="512" w:right="951"/>
        <w:rPr>
          <w:b/>
          <w:bCs/>
        </w:rPr>
      </w:pPr>
      <w:r w:rsidRPr="00E312B5">
        <w:t>This tab contains three sections</w:t>
      </w:r>
      <w:r w:rsidR="00E545C0">
        <w:t>:</w:t>
      </w:r>
    </w:p>
    <w:p w14:paraId="5ABF0A8C" w14:textId="20C7DE17" w:rsidR="00A43CD3" w:rsidRPr="002432B4" w:rsidRDefault="00A43CD3" w:rsidP="00E93EAE">
      <w:pPr>
        <w:pStyle w:val="ListParagraph"/>
        <w:numPr>
          <w:ilvl w:val="0"/>
          <w:numId w:val="32"/>
        </w:numPr>
        <w:ind w:right="951"/>
        <w:jc w:val="both"/>
        <w:rPr>
          <w:rStyle w:val="tlid-translation"/>
          <w:bCs/>
          <w:color w:val="000000" w:themeColor="text1"/>
        </w:rPr>
      </w:pPr>
      <w:r w:rsidRPr="002432B4">
        <w:t>S</w:t>
      </w:r>
      <w:r w:rsidRPr="002432B4">
        <w:rPr>
          <w:rStyle w:val="tlid-translation"/>
          <w:color w:val="000000" w:themeColor="text1"/>
          <w:lang w:val="en"/>
        </w:rPr>
        <w:t>ynthetic data derived from the probability distribution of each risks</w:t>
      </w:r>
      <w:r w:rsidR="00595C50" w:rsidRPr="002432B4">
        <w:rPr>
          <w:rStyle w:val="tlid-translation"/>
          <w:color w:val="000000" w:themeColor="text1"/>
          <w:lang w:val="en"/>
        </w:rPr>
        <w:t>.</w:t>
      </w:r>
    </w:p>
    <w:p w14:paraId="6E047127" w14:textId="77777777" w:rsidR="00A43CD3" w:rsidRPr="002432B4" w:rsidRDefault="00A43CD3" w:rsidP="00E93EAE">
      <w:pPr>
        <w:pStyle w:val="ListParagraph"/>
        <w:numPr>
          <w:ilvl w:val="0"/>
          <w:numId w:val="32"/>
        </w:numPr>
        <w:ind w:right="951"/>
        <w:jc w:val="both"/>
        <w:rPr>
          <w:rStyle w:val="tlid-translation"/>
          <w:bCs/>
          <w:color w:val="000000" w:themeColor="text1"/>
        </w:rPr>
      </w:pPr>
      <w:r w:rsidRPr="002432B4">
        <w:t>V</w:t>
      </w:r>
      <w:r w:rsidRPr="002432B4">
        <w:rPr>
          <w:rStyle w:val="tlid-translation"/>
          <w:color w:val="000000" w:themeColor="text1"/>
          <w:lang w:val="en"/>
        </w:rPr>
        <w:t xml:space="preserve">alue of the probability distributions of the </w:t>
      </w:r>
      <w:r w:rsidR="00996578">
        <w:rPr>
          <w:rStyle w:val="tlid-translation"/>
          <w:color w:val="000000" w:themeColor="text1"/>
          <w:lang w:val="en"/>
        </w:rPr>
        <w:t xml:space="preserve">profits and </w:t>
      </w:r>
      <w:r w:rsidRPr="002432B4">
        <w:rPr>
          <w:rStyle w:val="tlid-translation"/>
          <w:color w:val="000000" w:themeColor="text1"/>
          <w:lang w:val="en"/>
        </w:rPr>
        <w:t>losses at a predefined set of percentiles associated with standardized risks</w:t>
      </w:r>
    </w:p>
    <w:p w14:paraId="3B75CC45" w14:textId="4558C720" w:rsidR="00A43CD3" w:rsidRPr="00F60EA7" w:rsidRDefault="00A43CD3" w:rsidP="00E93EAE">
      <w:pPr>
        <w:pStyle w:val="ListParagraph"/>
        <w:numPr>
          <w:ilvl w:val="0"/>
          <w:numId w:val="32"/>
        </w:numPr>
        <w:ind w:right="951"/>
        <w:jc w:val="both"/>
        <w:rPr>
          <w:rStyle w:val="tlid-translation"/>
          <w:bCs/>
          <w:color w:val="000000" w:themeColor="text1"/>
        </w:rPr>
      </w:pPr>
      <w:r w:rsidRPr="002432B4">
        <w:rPr>
          <w:rStyle w:val="tlid-translation"/>
          <w:color w:val="000000" w:themeColor="text1"/>
          <w:lang w:val="en"/>
        </w:rPr>
        <w:t xml:space="preserve">Related scenarios of </w:t>
      </w:r>
      <w:r w:rsidR="00996578">
        <w:rPr>
          <w:rStyle w:val="tlid-translation"/>
          <w:color w:val="000000" w:themeColor="text1"/>
          <w:lang w:val="en"/>
        </w:rPr>
        <w:t>profits and</w:t>
      </w:r>
      <w:r w:rsidRPr="002432B4">
        <w:rPr>
          <w:rStyle w:val="tlid-translation"/>
          <w:color w:val="000000" w:themeColor="text1"/>
          <w:lang w:val="en"/>
        </w:rPr>
        <w:t xml:space="preserve"> losses associated with standardized risks</w:t>
      </w:r>
    </w:p>
    <w:p w14:paraId="79DBEA9E" w14:textId="6A512CC3" w:rsidR="00F60EA7" w:rsidRDefault="00F60EA7" w:rsidP="00C8735B">
      <w:pPr>
        <w:ind w:right="951"/>
        <w:jc w:val="both"/>
        <w:rPr>
          <w:rStyle w:val="tlid-translation"/>
          <w:bCs/>
          <w:color w:val="000000" w:themeColor="text1"/>
        </w:rPr>
      </w:pPr>
    </w:p>
    <w:p w14:paraId="472F36FD" w14:textId="7E8F5035" w:rsidR="009176C7" w:rsidRPr="009176C7" w:rsidRDefault="009176C7" w:rsidP="00C8735B">
      <w:pPr>
        <w:ind w:right="951"/>
        <w:jc w:val="both"/>
        <w:rPr>
          <w:rStyle w:val="tlid-translation"/>
          <w:bCs/>
          <w:i/>
          <w:iCs/>
          <w:color w:val="000000" w:themeColor="text1"/>
        </w:rPr>
      </w:pPr>
      <w:r>
        <w:rPr>
          <w:rStyle w:val="tlid-translation"/>
          <w:bCs/>
          <w:color w:val="000000" w:themeColor="text1"/>
        </w:rPr>
        <w:t xml:space="preserve">If the undertakings fills in the ‘Internal Model Reporting’ tab, the links in this tab should automatically fill in the simulation data and the percentiles. The undertaking should only fill in the ‘Expected Result at t=1’, the </w:t>
      </w:r>
      <w:r w:rsidRPr="009176C7">
        <w:rPr>
          <w:rStyle w:val="tlid-translation"/>
          <w:bCs/>
          <w:color w:val="000000" w:themeColor="text1"/>
        </w:rPr>
        <w:t>0.5% quantile of the distribution</w:t>
      </w:r>
      <w:r>
        <w:rPr>
          <w:rStyle w:val="tlid-translation"/>
          <w:bCs/>
          <w:color w:val="000000" w:themeColor="text1"/>
        </w:rPr>
        <w:t xml:space="preserve"> and the ‘</w:t>
      </w:r>
      <w:r w:rsidRPr="009176C7">
        <w:rPr>
          <w:rStyle w:val="tlid-translation"/>
          <w:bCs/>
          <w:color w:val="000000" w:themeColor="text1"/>
        </w:rPr>
        <w:t>Modelled Value-at-Risk (VaR)</w:t>
      </w:r>
      <w:r>
        <w:rPr>
          <w:rStyle w:val="tlid-translation"/>
          <w:bCs/>
          <w:color w:val="000000" w:themeColor="text1"/>
        </w:rPr>
        <w:t>’. The undertaking should assure however that the simulation data covers the same number of simulations as in the ‘Internal Model Reporting’.</w:t>
      </w:r>
    </w:p>
    <w:p w14:paraId="68610F73" w14:textId="4EF5AAED" w:rsidR="00C8735B" w:rsidRDefault="00C8735B" w:rsidP="00C8735B">
      <w:pPr>
        <w:ind w:right="951"/>
        <w:jc w:val="both"/>
        <w:rPr>
          <w:rStyle w:val="tlid-translation"/>
          <w:bCs/>
          <w:color w:val="000000" w:themeColor="text1"/>
        </w:rPr>
      </w:pPr>
    </w:p>
    <w:p w14:paraId="3B058AFE" w14:textId="726FF826" w:rsidR="00C8735B" w:rsidRDefault="00A84E35" w:rsidP="00C8735B">
      <w:pPr>
        <w:ind w:right="951"/>
        <w:jc w:val="both"/>
        <w:rPr>
          <w:rStyle w:val="tlid-translation"/>
          <w:bCs/>
          <w:color w:val="000000" w:themeColor="text1"/>
        </w:rPr>
      </w:pPr>
      <w:r w:rsidRPr="00A84E35">
        <w:rPr>
          <w:rStyle w:val="tlid-translation"/>
          <w:noProof/>
          <w:lang w:val="en-GB" w:eastAsia="en-GB"/>
        </w:rPr>
        <w:drawing>
          <wp:anchor distT="0" distB="0" distL="114300" distR="114300" simplePos="0" relativeHeight="251659264" behindDoc="0" locked="0" layoutInCell="1" allowOverlap="1" wp14:anchorId="048E5846" wp14:editId="60D227A9">
            <wp:simplePos x="0" y="0"/>
            <wp:positionH relativeFrom="column">
              <wp:posOffset>-369570</wp:posOffset>
            </wp:positionH>
            <wp:positionV relativeFrom="paragraph">
              <wp:posOffset>193132</wp:posOffset>
            </wp:positionV>
            <wp:extent cx="6930390" cy="3972376"/>
            <wp:effectExtent l="0" t="0" r="381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30390" cy="39723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2893">
        <w:rPr>
          <w:rStyle w:val="tlid-translation"/>
          <w:bCs/>
          <w:color w:val="000000" w:themeColor="text1"/>
        </w:rPr>
        <w:t>In the graph below a high-level overview of the standardization of the risks can be found.</w:t>
      </w:r>
    </w:p>
    <w:p w14:paraId="11D49D84" w14:textId="19029C3A" w:rsidR="00C8735B" w:rsidRDefault="00A84E35" w:rsidP="00C8735B">
      <w:pPr>
        <w:ind w:right="951"/>
        <w:jc w:val="both"/>
        <w:rPr>
          <w:rStyle w:val="tlid-translation"/>
          <w:bCs/>
          <w:color w:val="000000" w:themeColor="text1"/>
        </w:rPr>
      </w:pPr>
      <w:r w:rsidRPr="00A84E35">
        <w:rPr>
          <w:rStyle w:val="tlid-translation"/>
          <w:bCs/>
          <w:color w:val="000000" w:themeColor="text1"/>
        </w:rPr>
        <w:t xml:space="preserve"> </w:t>
      </w:r>
    </w:p>
    <w:p w14:paraId="632F5FB1" w14:textId="53161942" w:rsidR="00C8735B" w:rsidRDefault="00C8735B" w:rsidP="00C8735B">
      <w:pPr>
        <w:ind w:right="951"/>
        <w:jc w:val="both"/>
        <w:rPr>
          <w:rStyle w:val="tlid-translation"/>
          <w:bCs/>
          <w:color w:val="000000" w:themeColor="text1"/>
        </w:rPr>
      </w:pPr>
    </w:p>
    <w:p w14:paraId="11D3CB40" w14:textId="6D2AFD33" w:rsidR="00C8735B" w:rsidRDefault="00C8735B" w:rsidP="00C8735B">
      <w:pPr>
        <w:ind w:right="951"/>
        <w:jc w:val="both"/>
        <w:rPr>
          <w:rStyle w:val="tlid-translation"/>
          <w:bCs/>
          <w:color w:val="000000" w:themeColor="text1"/>
        </w:rPr>
      </w:pPr>
    </w:p>
    <w:p w14:paraId="25408A0F" w14:textId="37FD3718" w:rsidR="00C8735B" w:rsidRDefault="00C8735B" w:rsidP="00C8735B">
      <w:pPr>
        <w:ind w:right="951"/>
        <w:jc w:val="both"/>
        <w:rPr>
          <w:rStyle w:val="tlid-translation"/>
          <w:bCs/>
          <w:color w:val="000000" w:themeColor="text1"/>
        </w:rPr>
      </w:pPr>
    </w:p>
    <w:p w14:paraId="08375ECD" w14:textId="4F3C9219" w:rsidR="00C8735B" w:rsidRDefault="00C8735B" w:rsidP="00C8735B">
      <w:pPr>
        <w:ind w:right="951"/>
        <w:jc w:val="both"/>
        <w:rPr>
          <w:rStyle w:val="tlid-translation"/>
          <w:bCs/>
          <w:color w:val="000000" w:themeColor="text1"/>
        </w:rPr>
      </w:pPr>
    </w:p>
    <w:p w14:paraId="61BDA8B0" w14:textId="43FD5F73" w:rsidR="00C8735B" w:rsidRDefault="00C8735B" w:rsidP="00C8735B">
      <w:pPr>
        <w:ind w:right="951"/>
        <w:jc w:val="both"/>
        <w:rPr>
          <w:rStyle w:val="tlid-translation"/>
          <w:bCs/>
          <w:color w:val="000000" w:themeColor="text1"/>
        </w:rPr>
      </w:pPr>
    </w:p>
    <w:p w14:paraId="6A438DC0" w14:textId="3CA1E9D3" w:rsidR="00C8735B" w:rsidRDefault="00C8735B" w:rsidP="00C8735B">
      <w:pPr>
        <w:ind w:right="951"/>
        <w:jc w:val="both"/>
        <w:rPr>
          <w:rStyle w:val="tlid-translation"/>
          <w:bCs/>
          <w:color w:val="000000" w:themeColor="text1"/>
        </w:rPr>
      </w:pPr>
    </w:p>
    <w:p w14:paraId="2A940CC9" w14:textId="0CBB394A" w:rsidR="00C8735B" w:rsidRDefault="00C8735B" w:rsidP="00C8735B">
      <w:pPr>
        <w:ind w:right="951"/>
        <w:jc w:val="both"/>
        <w:rPr>
          <w:rStyle w:val="tlid-translation"/>
          <w:bCs/>
          <w:color w:val="000000" w:themeColor="text1"/>
        </w:rPr>
      </w:pPr>
    </w:p>
    <w:p w14:paraId="05917D31" w14:textId="397C61D8" w:rsidR="00C8735B" w:rsidRDefault="00C8735B" w:rsidP="00C8735B">
      <w:pPr>
        <w:ind w:right="951"/>
        <w:jc w:val="both"/>
        <w:rPr>
          <w:rStyle w:val="tlid-translation"/>
          <w:bCs/>
          <w:color w:val="000000" w:themeColor="text1"/>
        </w:rPr>
      </w:pPr>
    </w:p>
    <w:p w14:paraId="73C27947" w14:textId="06B38285" w:rsidR="00C8735B" w:rsidRDefault="00C8735B" w:rsidP="00C8735B">
      <w:pPr>
        <w:ind w:right="951"/>
        <w:jc w:val="both"/>
        <w:rPr>
          <w:rStyle w:val="tlid-translation"/>
          <w:bCs/>
          <w:color w:val="000000" w:themeColor="text1"/>
        </w:rPr>
      </w:pPr>
    </w:p>
    <w:p w14:paraId="2FA2E72F" w14:textId="178BB8C3" w:rsidR="00C8735B" w:rsidRDefault="00C8735B" w:rsidP="00C8735B">
      <w:pPr>
        <w:ind w:right="951"/>
        <w:jc w:val="both"/>
        <w:rPr>
          <w:rStyle w:val="tlid-translation"/>
          <w:bCs/>
          <w:color w:val="000000" w:themeColor="text1"/>
        </w:rPr>
      </w:pPr>
    </w:p>
    <w:p w14:paraId="663BDDA4" w14:textId="21B2BD63" w:rsidR="00C8735B" w:rsidRDefault="00C8735B" w:rsidP="00C8735B">
      <w:pPr>
        <w:ind w:right="951"/>
        <w:jc w:val="both"/>
        <w:rPr>
          <w:rStyle w:val="tlid-translation"/>
          <w:bCs/>
          <w:color w:val="000000" w:themeColor="text1"/>
        </w:rPr>
      </w:pPr>
    </w:p>
    <w:p w14:paraId="61184C84" w14:textId="7C3C3DB7" w:rsidR="00C8735B" w:rsidRDefault="00C8735B" w:rsidP="00C8735B">
      <w:pPr>
        <w:ind w:right="951"/>
        <w:jc w:val="both"/>
        <w:rPr>
          <w:rStyle w:val="tlid-translation"/>
          <w:bCs/>
          <w:color w:val="000000" w:themeColor="text1"/>
        </w:rPr>
      </w:pPr>
    </w:p>
    <w:p w14:paraId="2E18868C" w14:textId="7DEE8671" w:rsidR="00C8735B" w:rsidRDefault="00C8735B" w:rsidP="00C8735B">
      <w:pPr>
        <w:ind w:right="951"/>
        <w:jc w:val="both"/>
        <w:rPr>
          <w:rStyle w:val="tlid-translation"/>
          <w:bCs/>
          <w:color w:val="000000" w:themeColor="text1"/>
        </w:rPr>
      </w:pPr>
    </w:p>
    <w:p w14:paraId="42A8983C" w14:textId="58E500F3" w:rsidR="00C8735B" w:rsidRDefault="00C8735B" w:rsidP="00C8735B">
      <w:pPr>
        <w:ind w:right="951"/>
        <w:jc w:val="both"/>
        <w:rPr>
          <w:rStyle w:val="tlid-translation"/>
          <w:bCs/>
          <w:color w:val="000000" w:themeColor="text1"/>
        </w:rPr>
      </w:pPr>
    </w:p>
    <w:p w14:paraId="64624B3C" w14:textId="29ED1849" w:rsidR="00C8735B" w:rsidRDefault="00C8735B" w:rsidP="00C8735B">
      <w:pPr>
        <w:ind w:right="951"/>
        <w:jc w:val="both"/>
        <w:rPr>
          <w:rStyle w:val="tlid-translation"/>
          <w:bCs/>
          <w:color w:val="000000" w:themeColor="text1"/>
        </w:rPr>
      </w:pPr>
    </w:p>
    <w:p w14:paraId="07C97A0C" w14:textId="575BC373" w:rsidR="00C8735B" w:rsidRDefault="00C8735B" w:rsidP="00C8735B">
      <w:pPr>
        <w:ind w:right="951"/>
        <w:jc w:val="both"/>
        <w:rPr>
          <w:rStyle w:val="tlid-translation"/>
          <w:bCs/>
          <w:color w:val="000000" w:themeColor="text1"/>
        </w:rPr>
      </w:pPr>
    </w:p>
    <w:p w14:paraId="7665E93E" w14:textId="3EB1E0E4" w:rsidR="00C8735B" w:rsidRDefault="00C8735B" w:rsidP="00C8735B">
      <w:pPr>
        <w:ind w:right="951"/>
        <w:jc w:val="both"/>
        <w:rPr>
          <w:rStyle w:val="tlid-translation"/>
          <w:bCs/>
          <w:color w:val="000000" w:themeColor="text1"/>
        </w:rPr>
      </w:pPr>
    </w:p>
    <w:p w14:paraId="490D5DEC" w14:textId="7B783F0A" w:rsidR="00C8735B" w:rsidRDefault="00C8735B" w:rsidP="00C8735B">
      <w:pPr>
        <w:ind w:right="951"/>
        <w:jc w:val="both"/>
        <w:rPr>
          <w:rStyle w:val="tlid-translation"/>
          <w:bCs/>
          <w:color w:val="000000" w:themeColor="text1"/>
        </w:rPr>
      </w:pPr>
    </w:p>
    <w:p w14:paraId="4F17695A" w14:textId="50319250" w:rsidR="00C8735B" w:rsidRDefault="00C8735B" w:rsidP="00C8735B">
      <w:pPr>
        <w:ind w:right="951"/>
        <w:jc w:val="both"/>
        <w:rPr>
          <w:rStyle w:val="tlid-translation"/>
          <w:bCs/>
          <w:color w:val="000000" w:themeColor="text1"/>
        </w:rPr>
      </w:pPr>
    </w:p>
    <w:p w14:paraId="18C6E121" w14:textId="20B76F34" w:rsidR="00C8735B" w:rsidRDefault="00C8735B" w:rsidP="00C8735B">
      <w:pPr>
        <w:ind w:right="951"/>
        <w:jc w:val="both"/>
        <w:rPr>
          <w:rStyle w:val="tlid-translation"/>
          <w:bCs/>
          <w:color w:val="000000" w:themeColor="text1"/>
        </w:rPr>
      </w:pPr>
    </w:p>
    <w:p w14:paraId="3831EAEB" w14:textId="6E0E08B8" w:rsidR="00C8735B" w:rsidRDefault="00C8735B" w:rsidP="00C8735B">
      <w:pPr>
        <w:ind w:right="951"/>
        <w:jc w:val="both"/>
        <w:rPr>
          <w:rStyle w:val="tlid-translation"/>
          <w:bCs/>
          <w:color w:val="000000" w:themeColor="text1"/>
        </w:rPr>
      </w:pPr>
    </w:p>
    <w:p w14:paraId="2B716265" w14:textId="37D897BB" w:rsidR="00C8735B" w:rsidRDefault="00C8735B" w:rsidP="00C8735B">
      <w:pPr>
        <w:ind w:right="951"/>
        <w:jc w:val="both"/>
        <w:rPr>
          <w:rStyle w:val="tlid-translation"/>
          <w:bCs/>
          <w:color w:val="000000" w:themeColor="text1"/>
        </w:rPr>
      </w:pPr>
    </w:p>
    <w:p w14:paraId="0B41AF03" w14:textId="77F23466" w:rsidR="00C8735B" w:rsidRDefault="00C8735B" w:rsidP="00C8735B">
      <w:pPr>
        <w:ind w:right="951"/>
        <w:jc w:val="both"/>
        <w:rPr>
          <w:rStyle w:val="tlid-translation"/>
          <w:bCs/>
          <w:color w:val="000000" w:themeColor="text1"/>
        </w:rPr>
      </w:pPr>
    </w:p>
    <w:p w14:paraId="21D13799" w14:textId="77777777" w:rsidR="00012893" w:rsidRPr="00012893" w:rsidRDefault="00012893" w:rsidP="00F93231">
      <w:pPr>
        <w:ind w:right="951"/>
        <w:jc w:val="both"/>
        <w:rPr>
          <w:rStyle w:val="tlid-translation"/>
          <w:bCs/>
          <w:color w:val="000000" w:themeColor="text1"/>
        </w:rPr>
      </w:pPr>
    </w:p>
    <w:p w14:paraId="4B1CFA87" w14:textId="77777777" w:rsidR="00A43CD3" w:rsidRPr="005F2D23" w:rsidRDefault="00A43CD3" w:rsidP="00E93EAE">
      <w:pPr>
        <w:ind w:left="567" w:right="951"/>
        <w:jc w:val="both"/>
        <w:rPr>
          <w:b/>
          <w:bCs/>
        </w:rPr>
      </w:pPr>
      <w:r w:rsidRPr="002432B4">
        <w:t xml:space="preserve">The standardized risks </w:t>
      </w:r>
      <w:r w:rsidRPr="005F2D23">
        <w:t>have the following definition:</w:t>
      </w:r>
    </w:p>
    <w:p w14:paraId="31C3F5A5" w14:textId="043B8EC4" w:rsidR="00A43CD3" w:rsidRPr="00EF5184" w:rsidRDefault="005400F6" w:rsidP="00E93EAE">
      <w:pPr>
        <w:pStyle w:val="ListParagraph"/>
        <w:numPr>
          <w:ilvl w:val="0"/>
          <w:numId w:val="38"/>
        </w:numPr>
        <w:ind w:right="951"/>
        <w:jc w:val="both"/>
        <w:rPr>
          <w:bCs/>
          <w:color w:val="000000" w:themeColor="text1"/>
        </w:rPr>
      </w:pPr>
      <w:r w:rsidRPr="00EF5184">
        <w:rPr>
          <w:b/>
          <w:bCs/>
          <w:color w:val="000000" w:themeColor="text1"/>
        </w:rPr>
        <w:t>Standardized m</w:t>
      </w:r>
      <w:r w:rsidR="00A43CD3" w:rsidRPr="00EF5184">
        <w:rPr>
          <w:b/>
          <w:bCs/>
          <w:color w:val="000000" w:themeColor="text1"/>
        </w:rPr>
        <w:t>arket risk</w:t>
      </w:r>
      <w:r w:rsidR="00A43CD3" w:rsidRPr="00EF5184">
        <w:rPr>
          <w:bCs/>
          <w:color w:val="000000" w:themeColor="text1"/>
        </w:rPr>
        <w:t xml:space="preserve"> is obtai</w:t>
      </w:r>
      <w:r w:rsidR="00A43CD3" w:rsidRPr="00EF5184">
        <w:t>ned, scenario by scenario, by summing the following elements</w:t>
      </w:r>
      <w:r w:rsidR="00B656B8" w:rsidRPr="00EF5184">
        <w:t xml:space="preserve"> from the internal model reporting </w:t>
      </w:r>
      <w:r w:rsidR="00B656B8" w:rsidRPr="00EF5184">
        <w:rPr>
          <w:bCs/>
          <w:color w:val="000000" w:themeColor="text1"/>
        </w:rPr>
        <w:t>tab</w:t>
      </w:r>
      <w:r w:rsidR="00A43CD3" w:rsidRPr="00EF5184">
        <w:rPr>
          <w:bCs/>
          <w:color w:val="000000" w:themeColor="text1"/>
        </w:rPr>
        <w:t>:</w:t>
      </w:r>
    </w:p>
    <w:p w14:paraId="0FB750A0" w14:textId="49302FA0" w:rsidR="002F63E5" w:rsidRPr="005F2D23" w:rsidRDefault="002F63E5" w:rsidP="00E93EAE">
      <w:pPr>
        <w:pStyle w:val="ListParagraph"/>
        <w:numPr>
          <w:ilvl w:val="0"/>
          <w:numId w:val="39"/>
        </w:numPr>
        <w:ind w:right="951"/>
        <w:jc w:val="both"/>
      </w:pPr>
      <w:r w:rsidRPr="005F2D23">
        <w:t xml:space="preserve">Other inflation risks included in market risk (inflation risk for life, </w:t>
      </w:r>
      <w:r w:rsidR="00CD40D4" w:rsidRPr="005F2D23">
        <w:t>non-life</w:t>
      </w:r>
      <w:r w:rsidRPr="005F2D23">
        <w:t xml:space="preserve"> and health are not considered here)</w:t>
      </w:r>
      <w:r w:rsidR="00B656B8">
        <w:t>.</w:t>
      </w:r>
    </w:p>
    <w:p w14:paraId="16F254E8" w14:textId="26E0DBF5" w:rsidR="002F63E5" w:rsidRPr="005F2D23" w:rsidRDefault="002F63E5" w:rsidP="00E93EAE">
      <w:pPr>
        <w:pStyle w:val="ListParagraph"/>
        <w:numPr>
          <w:ilvl w:val="0"/>
          <w:numId w:val="39"/>
        </w:numPr>
        <w:ind w:right="951"/>
        <w:jc w:val="both"/>
      </w:pPr>
      <w:r w:rsidRPr="005F2D23">
        <w:t>Other market risks including cross-terms</w:t>
      </w:r>
      <w:r w:rsidR="00B31B9F" w:rsidRPr="005F2D23">
        <w:t xml:space="preserve"> (migration &amp; d</w:t>
      </w:r>
      <w:r w:rsidRPr="005F2D23">
        <w:t>efault risk</w:t>
      </w:r>
      <w:r w:rsidR="00B31B9F" w:rsidRPr="005F2D23">
        <w:t xml:space="preserve"> and inflation risk are not considered here)</w:t>
      </w:r>
      <w:r w:rsidR="00B656B8">
        <w:t>.</w:t>
      </w:r>
      <w:r w:rsidR="003108EB">
        <w:t xml:space="preserve"> These would typically include interest rate, equity, property, implied volatility</w:t>
      </w:r>
      <w:r w:rsidR="00A84E35">
        <w:t xml:space="preserve">, prepayment and credit spread risk for mortgages, </w:t>
      </w:r>
      <w:r w:rsidR="003108EB">
        <w:t xml:space="preserve"> etc.</w:t>
      </w:r>
      <w:r w:rsidR="00C737C8">
        <w:t xml:space="preserve"> as well as FX risk if modelled in market risk.</w:t>
      </w:r>
    </w:p>
    <w:p w14:paraId="15C3B83F" w14:textId="208A535A" w:rsidR="00B31B9F" w:rsidRPr="00EF5184" w:rsidRDefault="00B31B9F" w:rsidP="00E93EAE">
      <w:pPr>
        <w:pStyle w:val="ListParagraph"/>
        <w:numPr>
          <w:ilvl w:val="0"/>
          <w:numId w:val="39"/>
        </w:numPr>
        <w:ind w:right="951"/>
        <w:jc w:val="both"/>
      </w:pPr>
      <w:r w:rsidRPr="00EF5184">
        <w:t xml:space="preserve">Credit spread risk </w:t>
      </w:r>
      <w:r w:rsidR="00A84E35">
        <w:t xml:space="preserve">related to financial instruments </w:t>
      </w:r>
      <w:r w:rsidRPr="00EF5184">
        <w:t>if included in credit risk</w:t>
      </w:r>
      <w:r w:rsidR="00B656B8" w:rsidRPr="00EF5184">
        <w:t>.</w:t>
      </w:r>
    </w:p>
    <w:p w14:paraId="07C863AF" w14:textId="1699F52D" w:rsidR="00B31B9F" w:rsidRPr="00EF5184" w:rsidRDefault="00B31B9F" w:rsidP="00E93EAE">
      <w:pPr>
        <w:pStyle w:val="ListParagraph"/>
        <w:numPr>
          <w:ilvl w:val="0"/>
          <w:numId w:val="39"/>
        </w:numPr>
        <w:ind w:right="951"/>
        <w:jc w:val="both"/>
        <w:rPr>
          <w:color w:val="000000" w:themeColor="text1"/>
        </w:rPr>
      </w:pPr>
      <w:r w:rsidRPr="00EF5184">
        <w:lastRenderedPageBreak/>
        <w:t>FX risk if included</w:t>
      </w:r>
      <w:r w:rsidRPr="00EF5184">
        <w:rPr>
          <w:color w:val="000000" w:themeColor="text1"/>
        </w:rPr>
        <w:t xml:space="preserve"> in credit, business, life, </w:t>
      </w:r>
      <w:r w:rsidR="00CD40D4" w:rsidRPr="00EF5184">
        <w:rPr>
          <w:color w:val="000000" w:themeColor="text1"/>
        </w:rPr>
        <w:t>non-life</w:t>
      </w:r>
      <w:r w:rsidRPr="00EF5184">
        <w:rPr>
          <w:color w:val="000000" w:themeColor="text1"/>
        </w:rPr>
        <w:t>, health risk and operational risks</w:t>
      </w:r>
      <w:r w:rsidR="00B656B8" w:rsidRPr="00EF5184">
        <w:rPr>
          <w:color w:val="000000" w:themeColor="text1"/>
        </w:rPr>
        <w:t>.</w:t>
      </w:r>
    </w:p>
    <w:p w14:paraId="45B3844C" w14:textId="133A0D0F" w:rsidR="00A43CD3" w:rsidRPr="00EF5184" w:rsidRDefault="005400F6" w:rsidP="00E93EAE">
      <w:pPr>
        <w:pStyle w:val="ListParagraph"/>
        <w:numPr>
          <w:ilvl w:val="0"/>
          <w:numId w:val="41"/>
        </w:numPr>
        <w:ind w:left="993" w:right="951" w:hanging="426"/>
        <w:jc w:val="both"/>
      </w:pPr>
      <w:r w:rsidRPr="00EF5184">
        <w:rPr>
          <w:b/>
        </w:rPr>
        <w:t>Standardized c</w:t>
      </w:r>
      <w:r w:rsidR="00A43CD3" w:rsidRPr="00EF5184">
        <w:rPr>
          <w:b/>
        </w:rPr>
        <w:t>redit risk</w:t>
      </w:r>
      <w:r w:rsidR="00A43CD3" w:rsidRPr="00EF5184">
        <w:t xml:space="preserve"> is obtained, scenario by scenario, by summing the following elements:</w:t>
      </w:r>
    </w:p>
    <w:p w14:paraId="12E72AC8" w14:textId="76872AB7" w:rsidR="00A43CD3" w:rsidRPr="005F2D23" w:rsidRDefault="00A43CD3" w:rsidP="00E93EAE">
      <w:pPr>
        <w:pStyle w:val="ListParagraph"/>
        <w:numPr>
          <w:ilvl w:val="0"/>
          <w:numId w:val="39"/>
        </w:numPr>
        <w:ind w:right="951"/>
        <w:jc w:val="both"/>
      </w:pPr>
      <w:r w:rsidRPr="00EF5184">
        <w:t>Migration &amp; Default risk financial instruments included</w:t>
      </w:r>
      <w:r w:rsidRPr="005F2D23">
        <w:t xml:space="preserve"> in market risk</w:t>
      </w:r>
      <w:r w:rsidR="005F33C6">
        <w:t>.</w:t>
      </w:r>
    </w:p>
    <w:p w14:paraId="496105F5" w14:textId="6E6B5A43" w:rsidR="00A43CD3" w:rsidRPr="005F2D23" w:rsidRDefault="00A43CD3" w:rsidP="00E93EAE">
      <w:pPr>
        <w:pStyle w:val="ListParagraph"/>
        <w:numPr>
          <w:ilvl w:val="0"/>
          <w:numId w:val="39"/>
        </w:numPr>
        <w:ind w:right="951"/>
        <w:jc w:val="both"/>
      </w:pPr>
      <w:r w:rsidRPr="005F2D23">
        <w:t>Other Credit risks including cross-terms (credit spread risk, premium risk credit &amp; suretyship and FX risk in credit risk, if included in credit risk, are not considered here)</w:t>
      </w:r>
      <w:r w:rsidR="005F33C6">
        <w:t>.</w:t>
      </w:r>
      <w:r w:rsidR="003108EB">
        <w:t xml:space="preserve"> These would typically include credit risks related to reinsurance, mortgages, receivables, </w:t>
      </w:r>
      <w:r w:rsidR="00267449">
        <w:t xml:space="preserve">counterparty credit risk </w:t>
      </w:r>
      <w:r w:rsidR="003108EB">
        <w:t>derivatives etc.</w:t>
      </w:r>
    </w:p>
    <w:p w14:paraId="2A2E76E6" w14:textId="33957860" w:rsidR="00A43CD3" w:rsidRPr="00EF5184" w:rsidRDefault="005400F6" w:rsidP="00E93EAE">
      <w:pPr>
        <w:pStyle w:val="ListParagraph"/>
        <w:numPr>
          <w:ilvl w:val="0"/>
          <w:numId w:val="41"/>
        </w:numPr>
        <w:ind w:left="993" w:right="951" w:hanging="426"/>
        <w:jc w:val="both"/>
      </w:pPr>
      <w:r w:rsidRPr="00EF5184">
        <w:rPr>
          <w:b/>
        </w:rPr>
        <w:t>Standardized l</w:t>
      </w:r>
      <w:r w:rsidR="00A43CD3" w:rsidRPr="00EF5184">
        <w:rPr>
          <w:b/>
        </w:rPr>
        <w:t>ife risk</w:t>
      </w:r>
      <w:r w:rsidR="00A43CD3" w:rsidRPr="00EF5184">
        <w:t xml:space="preserve"> is obtained, scenario by scenario, by summing the following elements:</w:t>
      </w:r>
    </w:p>
    <w:p w14:paraId="539428CD" w14:textId="268D9D84" w:rsidR="00A43CD3" w:rsidRPr="005F2D23" w:rsidRDefault="00917989" w:rsidP="00E93EAE">
      <w:pPr>
        <w:pStyle w:val="ListParagraph"/>
        <w:numPr>
          <w:ilvl w:val="0"/>
          <w:numId w:val="39"/>
        </w:numPr>
        <w:ind w:right="951"/>
        <w:jc w:val="both"/>
      </w:pPr>
      <w:r w:rsidRPr="005F2D23">
        <w:t>Inflation risk l</w:t>
      </w:r>
      <w:r w:rsidR="00A43CD3" w:rsidRPr="005F2D23">
        <w:t>ife included in market risk (excluding non-life annuities)</w:t>
      </w:r>
      <w:r w:rsidR="005F33C6">
        <w:t>.</w:t>
      </w:r>
    </w:p>
    <w:p w14:paraId="75EE12BE" w14:textId="2458D1A7" w:rsidR="00A43CD3" w:rsidRPr="005F2D23" w:rsidRDefault="003108EB" w:rsidP="00E93EAE">
      <w:pPr>
        <w:pStyle w:val="ListParagraph"/>
        <w:numPr>
          <w:ilvl w:val="0"/>
          <w:numId w:val="39"/>
        </w:numPr>
        <w:ind w:right="951"/>
        <w:jc w:val="both"/>
      </w:pPr>
      <w:r>
        <w:t>Expense and lapse</w:t>
      </w:r>
      <w:r w:rsidRPr="005F2D23">
        <w:t xml:space="preserve"> </w:t>
      </w:r>
      <w:r w:rsidR="00A43CD3" w:rsidRPr="005F2D23">
        <w:t>risk</w:t>
      </w:r>
      <w:r>
        <w:t>s</w:t>
      </w:r>
      <w:r w:rsidR="00A43CD3" w:rsidRPr="005F2D23">
        <w:t xml:space="preserve"> life </w:t>
      </w:r>
      <w:r>
        <w:t>modelled</w:t>
      </w:r>
      <w:r w:rsidRPr="005F2D23">
        <w:t xml:space="preserve"> </w:t>
      </w:r>
      <w:r>
        <w:t xml:space="preserve">separately </w:t>
      </w:r>
      <w:r w:rsidR="00A43CD3" w:rsidRPr="005F2D23">
        <w:t>(excluding non-life annuities)</w:t>
      </w:r>
      <w:r w:rsidR="005F33C6">
        <w:t>.</w:t>
      </w:r>
    </w:p>
    <w:p w14:paraId="671C7ECD" w14:textId="04E3A041" w:rsidR="00A43CD3" w:rsidRPr="005F2D23" w:rsidRDefault="00917989" w:rsidP="00E93EAE">
      <w:pPr>
        <w:pStyle w:val="ListParagraph"/>
        <w:numPr>
          <w:ilvl w:val="0"/>
          <w:numId w:val="39"/>
        </w:numPr>
        <w:ind w:right="951"/>
        <w:jc w:val="both"/>
      </w:pPr>
      <w:r w:rsidRPr="005F2D23">
        <w:t>Other l</w:t>
      </w:r>
      <w:r w:rsidR="00A43CD3" w:rsidRPr="005F2D23">
        <w:t>ife underwriting risks including cross-terms (non-life annuities, health liabilities</w:t>
      </w:r>
      <w:r w:rsidRPr="005F2D23">
        <w:t xml:space="preserve"> included in life</w:t>
      </w:r>
      <w:r w:rsidR="00A43CD3" w:rsidRPr="005F2D23">
        <w:t>, pension risk and FX risk life, if included in life, are not considered here).</w:t>
      </w:r>
      <w:r w:rsidR="003108EB">
        <w:t xml:space="preserve"> These would typically include mortality, life catastrophe, mass lapse etc. as well as expense and lapse risks not modelled separately.</w:t>
      </w:r>
    </w:p>
    <w:p w14:paraId="4B397A8E" w14:textId="414199D6" w:rsidR="00A43CD3" w:rsidRPr="00EF5184" w:rsidRDefault="005400F6" w:rsidP="00E93EAE">
      <w:pPr>
        <w:pStyle w:val="ListParagraph"/>
        <w:numPr>
          <w:ilvl w:val="0"/>
          <w:numId w:val="42"/>
        </w:numPr>
        <w:ind w:left="851" w:right="951" w:hanging="284"/>
        <w:jc w:val="both"/>
        <w:rPr>
          <w:b/>
        </w:rPr>
      </w:pPr>
      <w:r w:rsidRPr="00EF5184">
        <w:rPr>
          <w:b/>
        </w:rPr>
        <w:t xml:space="preserve">Standardized </w:t>
      </w:r>
      <w:r w:rsidR="005F33C6" w:rsidRPr="00EF5184">
        <w:rPr>
          <w:b/>
        </w:rPr>
        <w:t>non-life</w:t>
      </w:r>
      <w:r w:rsidR="00A43CD3" w:rsidRPr="00EF5184">
        <w:rPr>
          <w:b/>
        </w:rPr>
        <w:t xml:space="preserve"> risk </w:t>
      </w:r>
      <w:r w:rsidR="00A43CD3" w:rsidRPr="00EF5184">
        <w:t>is obtained, scenario by scenario, by summing the following elements:</w:t>
      </w:r>
    </w:p>
    <w:p w14:paraId="60F3FCF4" w14:textId="12E5458F" w:rsidR="00917989" w:rsidRPr="005F2D23" w:rsidRDefault="00917989" w:rsidP="00E93EAE">
      <w:pPr>
        <w:pStyle w:val="ListParagraph"/>
        <w:numPr>
          <w:ilvl w:val="0"/>
          <w:numId w:val="39"/>
        </w:numPr>
        <w:ind w:right="951"/>
        <w:jc w:val="both"/>
      </w:pPr>
      <w:r w:rsidRPr="005F2D23">
        <w:t>Inflation risk non-life included in market risk</w:t>
      </w:r>
      <w:r w:rsidR="005F33C6">
        <w:t>.</w:t>
      </w:r>
    </w:p>
    <w:p w14:paraId="40E6D2BC" w14:textId="00AA2E29" w:rsidR="00917989" w:rsidRPr="005F2D23" w:rsidRDefault="00917989" w:rsidP="00E93EAE">
      <w:pPr>
        <w:pStyle w:val="ListParagraph"/>
        <w:numPr>
          <w:ilvl w:val="0"/>
          <w:numId w:val="39"/>
        </w:numPr>
        <w:ind w:right="951"/>
        <w:jc w:val="both"/>
      </w:pPr>
      <w:r w:rsidRPr="005F2D23">
        <w:t>Premium risk for credit &amp; suretyship (if included in credit risk)</w:t>
      </w:r>
      <w:r w:rsidR="005F33C6">
        <w:t>.</w:t>
      </w:r>
    </w:p>
    <w:p w14:paraId="0BA8C24C" w14:textId="581FC6BC" w:rsidR="005400F6" w:rsidRPr="005F2D23" w:rsidRDefault="003108EB" w:rsidP="00E93EAE">
      <w:pPr>
        <w:pStyle w:val="ListParagraph"/>
        <w:numPr>
          <w:ilvl w:val="0"/>
          <w:numId w:val="39"/>
        </w:numPr>
        <w:ind w:right="951"/>
        <w:jc w:val="both"/>
      </w:pPr>
      <w:r>
        <w:t>Expense and lapse</w:t>
      </w:r>
      <w:r w:rsidRPr="005F2D23">
        <w:t xml:space="preserve"> </w:t>
      </w:r>
      <w:r w:rsidR="005400F6" w:rsidRPr="005F2D23">
        <w:t xml:space="preserve">risk non-life </w:t>
      </w:r>
      <w:r>
        <w:t>modelled</w:t>
      </w:r>
      <w:r w:rsidRPr="005F2D23">
        <w:t xml:space="preserve"> </w:t>
      </w:r>
      <w:r>
        <w:t xml:space="preserve">separately </w:t>
      </w:r>
      <w:r w:rsidR="005400F6" w:rsidRPr="005F2D23">
        <w:t>(including non-life annuities)</w:t>
      </w:r>
      <w:r w:rsidR="005F33C6">
        <w:t>.</w:t>
      </w:r>
    </w:p>
    <w:p w14:paraId="7D4A3B71" w14:textId="355609B1" w:rsidR="005400F6" w:rsidRPr="005F2D23" w:rsidRDefault="005400F6" w:rsidP="00E93EAE">
      <w:pPr>
        <w:pStyle w:val="ListParagraph"/>
        <w:numPr>
          <w:ilvl w:val="0"/>
          <w:numId w:val="39"/>
        </w:numPr>
        <w:ind w:right="951"/>
        <w:jc w:val="both"/>
      </w:pPr>
      <w:r w:rsidRPr="005F2D23">
        <w:t>Non-life annuities, if included in life</w:t>
      </w:r>
      <w:r w:rsidR="005F33C6">
        <w:t>.</w:t>
      </w:r>
    </w:p>
    <w:p w14:paraId="6BA97272" w14:textId="1E55B835" w:rsidR="005400F6" w:rsidRPr="005F2D23" w:rsidRDefault="005400F6" w:rsidP="00E93EAE">
      <w:pPr>
        <w:pStyle w:val="ListParagraph"/>
        <w:numPr>
          <w:ilvl w:val="0"/>
          <w:numId w:val="39"/>
        </w:numPr>
        <w:ind w:right="951"/>
        <w:jc w:val="both"/>
      </w:pPr>
      <w:r w:rsidRPr="005F2D23">
        <w:t>Other non-life underwriting risks (non-life health liabilities and FX risk non-life are not considered here)</w:t>
      </w:r>
      <w:r w:rsidR="005F33C6">
        <w:t>.</w:t>
      </w:r>
      <w:r w:rsidR="003108EB">
        <w:t xml:space="preserve"> These typically include premium risk, reserve risk, natural catastrophe and man-made catastrophe.</w:t>
      </w:r>
    </w:p>
    <w:p w14:paraId="771F6BA1" w14:textId="4D9DAF7D" w:rsidR="00A43CD3" w:rsidRPr="005F2D23" w:rsidRDefault="005400F6" w:rsidP="00E93EAE">
      <w:pPr>
        <w:pStyle w:val="ListParagraph"/>
        <w:numPr>
          <w:ilvl w:val="0"/>
          <w:numId w:val="42"/>
        </w:numPr>
        <w:ind w:left="851" w:right="951" w:hanging="284"/>
        <w:jc w:val="both"/>
      </w:pPr>
      <w:r w:rsidRPr="007A3E9B">
        <w:rPr>
          <w:b/>
        </w:rPr>
        <w:t>Standardized h</w:t>
      </w:r>
      <w:r w:rsidR="00A43CD3" w:rsidRPr="007A3E9B">
        <w:rPr>
          <w:b/>
        </w:rPr>
        <w:t>ealth risk</w:t>
      </w:r>
      <w:r w:rsidR="00A43CD3" w:rsidRPr="005F2D23">
        <w:t xml:space="preserve"> is obtained, scenario by scenario, by summing the following elements:</w:t>
      </w:r>
    </w:p>
    <w:p w14:paraId="6CB3422E" w14:textId="48E975BC" w:rsidR="005400F6" w:rsidRPr="005F2D23" w:rsidRDefault="005400F6" w:rsidP="00E93EAE">
      <w:pPr>
        <w:pStyle w:val="ListParagraph"/>
        <w:numPr>
          <w:ilvl w:val="0"/>
          <w:numId w:val="39"/>
        </w:numPr>
        <w:ind w:right="951"/>
        <w:jc w:val="both"/>
      </w:pPr>
      <w:r w:rsidRPr="005F2D23">
        <w:t>Inflation risk health included in market risk</w:t>
      </w:r>
      <w:r w:rsidR="0039227A">
        <w:t>.</w:t>
      </w:r>
    </w:p>
    <w:p w14:paraId="356239EF" w14:textId="77F07391" w:rsidR="005400F6" w:rsidRPr="005F2D23" w:rsidRDefault="003108EB" w:rsidP="00E93EAE">
      <w:pPr>
        <w:pStyle w:val="ListParagraph"/>
        <w:numPr>
          <w:ilvl w:val="0"/>
          <w:numId w:val="39"/>
        </w:numPr>
        <w:ind w:right="951"/>
        <w:jc w:val="both"/>
      </w:pPr>
      <w:r>
        <w:t>Expense and lapse</w:t>
      </w:r>
      <w:r w:rsidRPr="005F2D23">
        <w:t xml:space="preserve"> </w:t>
      </w:r>
      <w:r w:rsidR="005400F6" w:rsidRPr="005F2D23">
        <w:t>risk health</w:t>
      </w:r>
      <w:r w:rsidRPr="003108EB">
        <w:t xml:space="preserve"> </w:t>
      </w:r>
      <w:r>
        <w:t>modelled</w:t>
      </w:r>
      <w:r w:rsidRPr="005F2D23">
        <w:t xml:space="preserve"> </w:t>
      </w:r>
      <w:r>
        <w:t>separately</w:t>
      </w:r>
      <w:r w:rsidR="0039227A">
        <w:t>.</w:t>
      </w:r>
    </w:p>
    <w:p w14:paraId="0C12FBEC" w14:textId="73AB10FB" w:rsidR="005400F6" w:rsidRPr="005F2D23" w:rsidRDefault="005400F6" w:rsidP="00E93EAE">
      <w:pPr>
        <w:pStyle w:val="ListParagraph"/>
        <w:numPr>
          <w:ilvl w:val="0"/>
          <w:numId w:val="39"/>
        </w:numPr>
        <w:ind w:right="951"/>
        <w:jc w:val="both"/>
      </w:pPr>
      <w:r w:rsidRPr="005F2D23">
        <w:t>Health liabilities included in life</w:t>
      </w:r>
      <w:r w:rsidR="0039227A">
        <w:t>.</w:t>
      </w:r>
    </w:p>
    <w:p w14:paraId="7270145C" w14:textId="3D8C8D08" w:rsidR="005400F6" w:rsidRPr="005F2D23" w:rsidRDefault="005400F6" w:rsidP="00E93EAE">
      <w:pPr>
        <w:pStyle w:val="ListParagraph"/>
        <w:numPr>
          <w:ilvl w:val="0"/>
          <w:numId w:val="39"/>
        </w:numPr>
        <w:ind w:right="951"/>
        <w:jc w:val="both"/>
      </w:pPr>
      <w:r w:rsidRPr="005F2D23">
        <w:t xml:space="preserve">Health Liabilities included in </w:t>
      </w:r>
      <w:r w:rsidR="0039227A" w:rsidRPr="0039227A">
        <w:t>non-life</w:t>
      </w:r>
      <w:r w:rsidR="0039227A">
        <w:t>.</w:t>
      </w:r>
    </w:p>
    <w:p w14:paraId="67B274BA" w14:textId="513CB4C3" w:rsidR="005400F6" w:rsidRPr="005F2D23" w:rsidRDefault="005400F6" w:rsidP="00E93EAE">
      <w:pPr>
        <w:pStyle w:val="ListParagraph"/>
        <w:numPr>
          <w:ilvl w:val="0"/>
          <w:numId w:val="39"/>
        </w:numPr>
        <w:ind w:right="951"/>
        <w:jc w:val="both"/>
      </w:pPr>
      <w:r w:rsidRPr="005F2D23">
        <w:t>Other health underwriting risks (FX risk health is not considered here</w:t>
      </w:r>
      <w:r w:rsidRPr="008A4776">
        <w:t>)</w:t>
      </w:r>
      <w:r w:rsidR="0039227A">
        <w:t>.</w:t>
      </w:r>
      <w:r w:rsidR="003108EB">
        <w:t xml:space="preserve"> This would typically include </w:t>
      </w:r>
      <w:r w:rsidR="00F60BDB">
        <w:t>health catastrophe risks etc.</w:t>
      </w:r>
    </w:p>
    <w:p w14:paraId="0B70FBB9" w14:textId="5F5F5169" w:rsidR="00A43CD3" w:rsidRPr="005F2D23" w:rsidRDefault="005400F6" w:rsidP="00E93EAE">
      <w:pPr>
        <w:pStyle w:val="ListParagraph"/>
        <w:numPr>
          <w:ilvl w:val="0"/>
          <w:numId w:val="42"/>
        </w:numPr>
        <w:ind w:left="851" w:right="951" w:hanging="284"/>
        <w:jc w:val="both"/>
      </w:pPr>
      <w:r w:rsidRPr="007A3E9B">
        <w:rPr>
          <w:b/>
        </w:rPr>
        <w:t>Standardized o</w:t>
      </w:r>
      <w:r w:rsidR="00A43CD3" w:rsidRPr="007A3E9B">
        <w:rPr>
          <w:b/>
        </w:rPr>
        <w:t>perational risk</w:t>
      </w:r>
      <w:r w:rsidR="00A43CD3" w:rsidRPr="005F2D23">
        <w:t xml:space="preserve"> is obtained, scenario by scenario, by summing the following elements:</w:t>
      </w:r>
    </w:p>
    <w:p w14:paraId="0875A1FB" w14:textId="6590DCBB" w:rsidR="00A43CD3" w:rsidRPr="005F2D23" w:rsidRDefault="00A43CD3" w:rsidP="00E93EAE">
      <w:pPr>
        <w:pStyle w:val="ListParagraph"/>
        <w:numPr>
          <w:ilvl w:val="0"/>
          <w:numId w:val="39"/>
        </w:numPr>
        <w:ind w:right="951"/>
        <w:jc w:val="both"/>
      </w:pPr>
      <w:r w:rsidRPr="005F2D23">
        <w:t>Other operational risks (FX risk Operational risk is not considered here)</w:t>
      </w:r>
      <w:r w:rsidR="0039227A">
        <w:t>.</w:t>
      </w:r>
      <w:r w:rsidR="004C1FE5">
        <w:t xml:space="preserve"> These would also include group risks.</w:t>
      </w:r>
    </w:p>
    <w:p w14:paraId="23D3CF62" w14:textId="211A7C65" w:rsidR="00A43CD3" w:rsidRPr="005F2D23" w:rsidRDefault="005400F6" w:rsidP="00E93EAE">
      <w:pPr>
        <w:pStyle w:val="ListParagraph"/>
        <w:numPr>
          <w:ilvl w:val="0"/>
          <w:numId w:val="42"/>
        </w:numPr>
        <w:ind w:left="851" w:right="951" w:hanging="284"/>
        <w:jc w:val="both"/>
      </w:pPr>
      <w:r w:rsidRPr="007A3E9B">
        <w:rPr>
          <w:b/>
        </w:rPr>
        <w:t>Standardized o</w:t>
      </w:r>
      <w:r w:rsidR="00A43CD3" w:rsidRPr="007A3E9B">
        <w:rPr>
          <w:b/>
        </w:rPr>
        <w:t>ther risk</w:t>
      </w:r>
      <w:r w:rsidR="00A43CD3" w:rsidRPr="005F2D23">
        <w:t xml:space="preserve"> </w:t>
      </w:r>
      <w:r w:rsidR="006E7EA2">
        <w:t>is</w:t>
      </w:r>
      <w:r w:rsidR="00A43CD3" w:rsidRPr="005F2D23">
        <w:t xml:space="preserve"> obtained, scenario by scenario, by summing the following elements:</w:t>
      </w:r>
    </w:p>
    <w:p w14:paraId="0FC7BB18" w14:textId="6A55F2CF" w:rsidR="00A43CD3" w:rsidRPr="005F2D23" w:rsidRDefault="005400F6" w:rsidP="00E93EAE">
      <w:pPr>
        <w:pStyle w:val="ListParagraph"/>
        <w:numPr>
          <w:ilvl w:val="0"/>
          <w:numId w:val="39"/>
        </w:numPr>
        <w:ind w:right="951"/>
        <w:jc w:val="both"/>
      </w:pPr>
      <w:r w:rsidRPr="005F2D23">
        <w:t>Liquidity risk (if modelled)</w:t>
      </w:r>
      <w:r w:rsidR="0039227A">
        <w:t>.</w:t>
      </w:r>
    </w:p>
    <w:p w14:paraId="0D5E570A" w14:textId="1022F80D" w:rsidR="006E7EA2" w:rsidRDefault="005400F6" w:rsidP="00E93EAE">
      <w:pPr>
        <w:pStyle w:val="ListParagraph"/>
        <w:numPr>
          <w:ilvl w:val="0"/>
          <w:numId w:val="39"/>
        </w:numPr>
        <w:ind w:right="951"/>
        <w:jc w:val="both"/>
      </w:pPr>
      <w:r w:rsidRPr="005F2D23">
        <w:t xml:space="preserve">Pension risk (if modelled </w:t>
      </w:r>
      <w:r w:rsidR="0039227A" w:rsidRPr="0039227A">
        <w:t>separately</w:t>
      </w:r>
      <w:r w:rsidRPr="005F2D23">
        <w:t>)</w:t>
      </w:r>
      <w:r w:rsidR="0039227A">
        <w:t>.</w:t>
      </w:r>
    </w:p>
    <w:p w14:paraId="7AE5533E" w14:textId="775911C6" w:rsidR="00A43CD3" w:rsidRDefault="005400F6" w:rsidP="00E93EAE">
      <w:pPr>
        <w:pStyle w:val="ListParagraph"/>
        <w:numPr>
          <w:ilvl w:val="0"/>
          <w:numId w:val="42"/>
        </w:numPr>
        <w:ind w:left="851" w:right="951" w:hanging="284"/>
        <w:jc w:val="both"/>
      </w:pPr>
      <w:r w:rsidRPr="007A3E9B">
        <w:rPr>
          <w:b/>
        </w:rPr>
        <w:t>Standardized c</w:t>
      </w:r>
      <w:r w:rsidR="00A43CD3" w:rsidRPr="007A3E9B">
        <w:rPr>
          <w:b/>
        </w:rPr>
        <w:t>ross terms</w:t>
      </w:r>
      <w:r w:rsidR="00A43CD3" w:rsidRPr="005F2D23">
        <w:t xml:space="preserve"> are </w:t>
      </w:r>
      <w:r w:rsidRPr="005F2D23">
        <w:t>equal</w:t>
      </w:r>
      <w:r w:rsidR="00A43CD3" w:rsidRPr="005F2D23">
        <w:t xml:space="preserve">, scenario by scenario, </w:t>
      </w:r>
      <w:r w:rsidRPr="005F2D23">
        <w:t>to the cross terms.</w:t>
      </w:r>
      <w:r w:rsidR="00C96C88">
        <w:t xml:space="preserve"> Cross terms are defined as non</w:t>
      </w:r>
      <w:r w:rsidR="00B041BF">
        <w:t>-</w:t>
      </w:r>
      <w:r w:rsidR="00C96C88">
        <w:t xml:space="preserve">linear effects from the combined movement of risks </w:t>
      </w:r>
    </w:p>
    <w:p w14:paraId="2F0BBDA2" w14:textId="77777777" w:rsidR="006E383E" w:rsidRPr="005F2D23" w:rsidRDefault="006E383E" w:rsidP="00DF0457">
      <w:pPr>
        <w:ind w:right="951"/>
        <w:jc w:val="both"/>
      </w:pPr>
    </w:p>
    <w:p w14:paraId="750CC8FB" w14:textId="47BF8413" w:rsidR="00300214" w:rsidRPr="00EF5184" w:rsidRDefault="00300214" w:rsidP="00E93EAE">
      <w:pPr>
        <w:pStyle w:val="ListParagraph"/>
        <w:numPr>
          <w:ilvl w:val="0"/>
          <w:numId w:val="35"/>
        </w:numPr>
        <w:ind w:right="951"/>
        <w:jc w:val="both"/>
      </w:pPr>
      <w:r w:rsidRPr="002432B4">
        <w:lastRenderedPageBreak/>
        <w:t>Internal model reporting</w:t>
      </w:r>
    </w:p>
    <w:p w14:paraId="529E4ACB" w14:textId="1CF4EAB8" w:rsidR="000265F2" w:rsidRDefault="000265F2" w:rsidP="00E93EAE">
      <w:pPr>
        <w:pStyle w:val="BodyText"/>
        <w:spacing w:before="119"/>
        <w:ind w:left="113" w:right="951"/>
        <w:jc w:val="both"/>
      </w:pPr>
      <w:r w:rsidRPr="000265F2">
        <w:t xml:space="preserve">This tab focuses on the output of the </w:t>
      </w:r>
      <w:r w:rsidR="00AC1CDF" w:rsidRPr="000265F2">
        <w:t>top-level</w:t>
      </w:r>
      <w:r w:rsidRPr="000265F2">
        <w:t xml:space="preserve"> risks as designed in the internal model. As the internal model freedom may lead to different risk composition for different internal models, the aim of this tab </w:t>
      </w:r>
      <w:r w:rsidR="00406C1C">
        <w:t xml:space="preserve">is to </w:t>
      </w:r>
      <w:r w:rsidR="00C96C88">
        <w:t>allow</w:t>
      </w:r>
      <w:r w:rsidRPr="000265F2">
        <w:t xml:space="preserve"> </w:t>
      </w:r>
      <w:r w:rsidR="00C96C88">
        <w:t>standardization of</w:t>
      </w:r>
      <w:r w:rsidR="00C96C88" w:rsidRPr="000265F2">
        <w:t xml:space="preserve"> </w:t>
      </w:r>
      <w:r w:rsidRPr="000265F2">
        <w:t>the internal model output</w:t>
      </w:r>
      <w:r w:rsidR="00B041BF">
        <w:t>.</w:t>
      </w:r>
      <w:r w:rsidRPr="000265F2">
        <w:t xml:space="preserve"> </w:t>
      </w:r>
      <w:r w:rsidR="00E82B4D">
        <w:t xml:space="preserve">The data required on this tab summarizes to information on the quantiles of the profit and loss distribution resulting from the internal model and </w:t>
      </w:r>
      <w:r w:rsidR="00066E21">
        <w:t xml:space="preserve">the </w:t>
      </w:r>
      <w:r w:rsidR="00E82B4D">
        <w:t>simulations or scenarios generated to calculate this information. A more detailed explanation of the information required in each row is given in section IV.2.</w:t>
      </w:r>
    </w:p>
    <w:p w14:paraId="51B0C47A" w14:textId="5D8485F2" w:rsidR="00012893" w:rsidRDefault="00012893" w:rsidP="00E93EAE">
      <w:pPr>
        <w:pStyle w:val="BodyText"/>
        <w:spacing w:before="119"/>
        <w:ind w:left="113" w:right="951"/>
        <w:jc w:val="both"/>
      </w:pPr>
      <w:r>
        <w:t>In the section ‘Model Indicators’ the undertaking is required to give an indication of its model structure based on the drop-down lists for Migration and default risk, for Credit spread risk, for Expense and lapse risks, for Premium risk Credit and Suretyship, for Underwriting risk from non-life annuities, for Health risks and for FX risks. In function of the choices that the undertaking makes, certain columns will be greyed out. The</w:t>
      </w:r>
      <w:r w:rsidR="00BB3850">
        <w:t>se</w:t>
      </w:r>
      <w:r>
        <w:t xml:space="preserve"> should be left blank.</w:t>
      </w:r>
      <w:r w:rsidR="0058601F">
        <w:t xml:space="preserve"> If the model structure of the undertaking is not part of the drop-down list, ‘Other’ should be selected </w:t>
      </w:r>
    </w:p>
    <w:p w14:paraId="3ED973F2" w14:textId="77777777" w:rsidR="006C0D1D" w:rsidRDefault="00714742" w:rsidP="00E93EAE">
      <w:pPr>
        <w:pStyle w:val="BodyText"/>
        <w:spacing w:before="119"/>
        <w:ind w:left="113" w:right="951"/>
        <w:jc w:val="both"/>
      </w:pPr>
      <w:r>
        <w:t xml:space="preserve">If </w:t>
      </w:r>
      <w:r w:rsidR="00E964F4">
        <w:t xml:space="preserve">it is impossible to generate </w:t>
      </w:r>
      <w:r w:rsidR="00BD42E5">
        <w:t xml:space="preserve">distributions for the top-level risks, the </w:t>
      </w:r>
      <w:r w:rsidR="00571C18">
        <w:t xml:space="preserve">undertaking </w:t>
      </w:r>
      <w:r w:rsidR="00BD42E5">
        <w:t xml:space="preserve">is still </w:t>
      </w:r>
      <w:r w:rsidR="00BA1341">
        <w:t>expected to provide the</w:t>
      </w:r>
      <w:r w:rsidR="00594819">
        <w:t xml:space="preserve"> expected value, 0.5% quantile, and the modelled Value-at-Risk for all risks</w:t>
      </w:r>
      <w:r w:rsidR="00072FA6">
        <w:t xml:space="preserve"> that are n</w:t>
      </w:r>
      <w:r w:rsidR="001F0275">
        <w:t>ot calculated using the s</w:t>
      </w:r>
      <w:r w:rsidR="00072FA6">
        <w:t>tandard</w:t>
      </w:r>
      <w:r w:rsidR="001F0275">
        <w:t xml:space="preserve"> f</w:t>
      </w:r>
      <w:r w:rsidR="00072FA6">
        <w:t>ormula</w:t>
      </w:r>
      <w:r w:rsidR="00594819">
        <w:t>.</w:t>
      </w:r>
      <w:r w:rsidR="008B75A1">
        <w:t xml:space="preserve"> Please indicate if the simulation data available indicated in the row ‘is simulation data available’.</w:t>
      </w:r>
    </w:p>
    <w:p w14:paraId="390EF440" w14:textId="223C4BBB" w:rsidR="00714742" w:rsidRDefault="006C0D1D" w:rsidP="00E93EAE">
      <w:pPr>
        <w:pStyle w:val="BodyText"/>
        <w:spacing w:before="119"/>
        <w:ind w:left="113" w:right="951"/>
        <w:jc w:val="both"/>
      </w:pPr>
      <w:r>
        <w:t>If the undertaking makes use of a Partial Internal Model (in terms of risks), only the data with respect to the risks in scope of the model should be entered in this sheet. Please indicate if the risk is incorporated in the model in the row ‘</w:t>
      </w:r>
      <w:r w:rsidRPr="006C0D1D">
        <w:t>Is the risk modelled in the Internal Model or the Standard Formula</w:t>
      </w:r>
      <w:r>
        <w:t>’.</w:t>
      </w:r>
    </w:p>
    <w:p w14:paraId="664C1A6A" w14:textId="6A935FFB" w:rsidR="000631AF" w:rsidRDefault="00897F02" w:rsidP="00E93EAE">
      <w:pPr>
        <w:pStyle w:val="BodyText"/>
        <w:spacing w:before="119"/>
        <w:ind w:left="113" w:right="951"/>
        <w:jc w:val="both"/>
      </w:pPr>
      <w:r>
        <w:t xml:space="preserve">The columns contain the </w:t>
      </w:r>
      <w:r w:rsidR="00066E21">
        <w:t>profit and loss distribution on aggregate level and per top-level risk</w:t>
      </w:r>
      <w:r w:rsidR="00B041BF">
        <w:t>,</w:t>
      </w:r>
      <w:r w:rsidR="00066E21">
        <w:t xml:space="preserve">. The </w:t>
      </w:r>
      <w:r w:rsidR="00AC1CDF">
        <w:t>top-level</w:t>
      </w:r>
      <w:r>
        <w:t xml:space="preserve"> risks</w:t>
      </w:r>
      <w:r w:rsidR="00B041BF">
        <w:t>, marked in dark blue,</w:t>
      </w:r>
      <w:r>
        <w:t xml:space="preserve"> are </w:t>
      </w:r>
      <w:r w:rsidR="00066E21">
        <w:t xml:space="preserve">further </w:t>
      </w:r>
      <w:r>
        <w:t xml:space="preserve">split into </w:t>
      </w:r>
      <w:r w:rsidR="00066E21">
        <w:t xml:space="preserve">several specific </w:t>
      </w:r>
      <w:r w:rsidR="0054527D">
        <w:t>sub-risks</w:t>
      </w:r>
      <w:r w:rsidR="00B041BF">
        <w:t>, marked in light blue,</w:t>
      </w:r>
      <w:r w:rsidR="0054527D">
        <w:t xml:space="preserve"> </w:t>
      </w:r>
      <w:r>
        <w:t xml:space="preserve">in order to </w:t>
      </w:r>
      <w:r w:rsidR="00066E21">
        <w:t>re-</w:t>
      </w:r>
      <w:r>
        <w:t xml:space="preserve">allocate these </w:t>
      </w:r>
      <w:r w:rsidR="0054527D">
        <w:t xml:space="preserve">sub-risks </w:t>
      </w:r>
      <w:r>
        <w:t xml:space="preserve">to other </w:t>
      </w:r>
      <w:r w:rsidR="00AC1CDF">
        <w:t>top-level</w:t>
      </w:r>
      <w:r>
        <w:t xml:space="preserve"> risks in the standardi</w:t>
      </w:r>
      <w:r w:rsidR="00A41408">
        <w:t>z</w:t>
      </w:r>
      <w:r>
        <w:t xml:space="preserve">ation process, if necessary. </w:t>
      </w:r>
      <w:r w:rsidR="004B386F">
        <w:t>A</w:t>
      </w:r>
      <w:r w:rsidR="00571C18">
        <w:t>n undertaking</w:t>
      </w:r>
      <w:r w:rsidR="00F613BB">
        <w:t xml:space="preserve"> </w:t>
      </w:r>
      <w:r w:rsidR="004B386F">
        <w:t xml:space="preserve">only needs to fill in detailed data for sub-risks if that sub-risk is modeled within the same top-level risk for their internal model. </w:t>
      </w:r>
      <w:r w:rsidR="00673923">
        <w:t xml:space="preserve">If this is not the case, the scenarios should </w:t>
      </w:r>
      <w:r w:rsidR="00C8735B">
        <w:t>be left blank</w:t>
      </w:r>
      <w:r w:rsidR="00673923">
        <w:t xml:space="preserve">. </w:t>
      </w:r>
      <w:r>
        <w:t xml:space="preserve">The </w:t>
      </w:r>
      <w:r w:rsidR="000631AF">
        <w:t>input of the information on the whole</w:t>
      </w:r>
      <w:r>
        <w:t xml:space="preserve"> tab should be based on </w:t>
      </w:r>
      <w:r w:rsidR="000631AF">
        <w:t>the same scenario or simulation generation but multiple runs with different settings for the underlying risk factors may be necessary to obtain all necessary information.</w:t>
      </w:r>
      <w:r w:rsidR="00066E21">
        <w:t xml:space="preserve"> For example, if a Monte Carlo </w:t>
      </w:r>
      <w:r w:rsidR="00F801EC">
        <w:t>method</w:t>
      </w:r>
      <w:r w:rsidR="00066E21">
        <w:t xml:space="preserve"> is used to generate scenarios, the same </w:t>
      </w:r>
      <w:r w:rsidR="005F2D23">
        <w:rPr>
          <w:rStyle w:val="tlid-translation"/>
          <w:lang w:val="en"/>
        </w:rPr>
        <w:t xml:space="preserve">random number generator </w:t>
      </w:r>
      <w:r w:rsidR="00066E21">
        <w:t>seed for the simulation</w:t>
      </w:r>
      <w:r w:rsidR="005F2D23">
        <w:t>, if any,</w:t>
      </w:r>
      <w:r w:rsidR="00066E21">
        <w:t xml:space="preserve"> should be used over all runs, </w:t>
      </w:r>
      <w:r w:rsidR="005F2D23">
        <w:t xml:space="preserve">even if </w:t>
      </w:r>
      <w:r w:rsidR="00D5179C">
        <w:t>certain</w:t>
      </w:r>
      <w:r w:rsidR="00066E21">
        <w:t xml:space="preserve"> risk factors </w:t>
      </w:r>
      <w:r w:rsidR="00D5179C">
        <w:t>will become deterministic instead of stochastic.</w:t>
      </w:r>
      <w:r w:rsidR="000631AF">
        <w:t xml:space="preserve"> </w:t>
      </w:r>
      <w:r w:rsidR="00066E21">
        <w:t>T</w:t>
      </w:r>
      <w:r w:rsidR="000631AF">
        <w:t>he input for the different columns is explained in the following steps.</w:t>
      </w:r>
    </w:p>
    <w:p w14:paraId="2F23F098" w14:textId="1F5F1234" w:rsidR="00E82B4D" w:rsidRDefault="000631AF" w:rsidP="00E93EAE">
      <w:pPr>
        <w:pStyle w:val="BodyText"/>
        <w:numPr>
          <w:ilvl w:val="0"/>
          <w:numId w:val="43"/>
        </w:numPr>
        <w:spacing w:before="119"/>
        <w:ind w:right="951"/>
        <w:jc w:val="both"/>
      </w:pPr>
      <w:r>
        <w:t xml:space="preserve">The column ‘Total’ refers to the total profit and loss distribution after aggregation of the </w:t>
      </w:r>
      <w:r w:rsidR="00AC1CDF">
        <w:t>top-level</w:t>
      </w:r>
      <w:r>
        <w:t xml:space="preserve"> risks For each scenario, it should therefore equal the sum of the same scenario </w:t>
      </w:r>
      <w:r w:rsidR="00AC1CDF">
        <w:t>over all</w:t>
      </w:r>
      <w:r>
        <w:t xml:space="preserve"> </w:t>
      </w:r>
      <w:r w:rsidR="00AC1CDF">
        <w:t>top-level</w:t>
      </w:r>
      <w:r>
        <w:t xml:space="preserve"> risks.</w:t>
      </w:r>
      <w:r w:rsidR="00D41777">
        <w:t xml:space="preserve"> For undertakings with a Partial Internal Model, this should equal the total over all risks included in the scope of the Internal Model.</w:t>
      </w:r>
    </w:p>
    <w:p w14:paraId="155CA11C" w14:textId="024E9D4D" w:rsidR="000631AF" w:rsidRDefault="000631AF" w:rsidP="00E93EAE">
      <w:pPr>
        <w:pStyle w:val="BodyText"/>
        <w:numPr>
          <w:ilvl w:val="0"/>
          <w:numId w:val="43"/>
        </w:numPr>
        <w:spacing w:before="119"/>
        <w:ind w:right="951"/>
        <w:jc w:val="both"/>
      </w:pPr>
      <w:r>
        <w:t xml:space="preserve">The columns ‘Cross-terms’, ‘Market </w:t>
      </w:r>
      <w:r w:rsidR="00066E21">
        <w:t>r</w:t>
      </w:r>
      <w:r>
        <w:t xml:space="preserve">isk’, ‘Credit </w:t>
      </w:r>
      <w:r w:rsidR="00066E21">
        <w:t>r</w:t>
      </w:r>
      <w:r>
        <w:t xml:space="preserve">isk’, ‘Business </w:t>
      </w:r>
      <w:r w:rsidR="00066E21">
        <w:t>r</w:t>
      </w:r>
      <w:r>
        <w:t>isk’, ‘Life</w:t>
      </w:r>
      <w:r w:rsidR="00AC1CDF">
        <w:t xml:space="preserve"> </w:t>
      </w:r>
      <w:r w:rsidR="00066E21">
        <w:t>r</w:t>
      </w:r>
      <w:r w:rsidR="00AC1CDF">
        <w:t>isk</w:t>
      </w:r>
      <w:r>
        <w:t>’, ‘Non-Life</w:t>
      </w:r>
      <w:r w:rsidR="00AC1CDF">
        <w:t xml:space="preserve"> </w:t>
      </w:r>
      <w:r w:rsidR="00066E21">
        <w:t>r</w:t>
      </w:r>
      <w:r w:rsidR="00AC1CDF">
        <w:t>isk</w:t>
      </w:r>
      <w:r>
        <w:t>’, ‘Health</w:t>
      </w:r>
      <w:r w:rsidR="00AC1CDF">
        <w:t xml:space="preserve"> </w:t>
      </w:r>
      <w:r w:rsidR="00066E21">
        <w:t>r</w:t>
      </w:r>
      <w:r w:rsidR="00AC1CDF">
        <w:t>isk</w:t>
      </w:r>
      <w:r>
        <w:t>’, ‘</w:t>
      </w:r>
      <w:r w:rsidR="00AC1CDF">
        <w:t xml:space="preserve">Operational </w:t>
      </w:r>
      <w:r w:rsidR="00066E21">
        <w:t xml:space="preserve">including </w:t>
      </w:r>
      <w:r w:rsidR="00066E21" w:rsidRPr="007A3E9B">
        <w:t>g</w:t>
      </w:r>
      <w:r w:rsidR="00AC1CDF" w:rsidRPr="007A3E9B">
        <w:t xml:space="preserve">roup </w:t>
      </w:r>
      <w:r w:rsidR="00066E21" w:rsidRPr="007A3E9B">
        <w:t>r</w:t>
      </w:r>
      <w:r w:rsidR="00AC1CDF" w:rsidRPr="007A3E9B">
        <w:t>isks’</w:t>
      </w:r>
      <w:r w:rsidR="00066E21" w:rsidRPr="007A3E9B">
        <w:t xml:space="preserve"> and </w:t>
      </w:r>
      <w:r w:rsidR="00AC1CDF" w:rsidRPr="007A3E9B">
        <w:t xml:space="preserve">‘Other Risks’ refer to the top level risks </w:t>
      </w:r>
      <w:r w:rsidR="00AC1CDF" w:rsidRPr="007A3E9B">
        <w:rPr>
          <w:bCs/>
        </w:rPr>
        <w:t>as defined in the internal model</w:t>
      </w:r>
      <w:r w:rsidR="00AC1CDF" w:rsidRPr="007A3E9B">
        <w:t>. If any of these risks are not present on the top level of an entit</w:t>
      </w:r>
      <w:r w:rsidR="00F801EC">
        <w:t>y’s</w:t>
      </w:r>
      <w:r w:rsidR="00AC1CDF" w:rsidRPr="007A3E9B">
        <w:t xml:space="preserve"> internal model (e.g. cross-terms are allocated within the top level risks or business risk is modelled within life/non-life/health), the profit and loss of the scenarios of these risks should be </w:t>
      </w:r>
      <w:r w:rsidR="0058601F">
        <w:t>left blank</w:t>
      </w:r>
      <w:r w:rsidR="00AC1CDF" w:rsidRPr="007A3E9B">
        <w:t>.</w:t>
      </w:r>
      <w:r w:rsidR="001B5039" w:rsidRPr="007A3E9B">
        <w:t xml:space="preserve"> ‘Other </w:t>
      </w:r>
      <w:r w:rsidR="00C64068" w:rsidRPr="007A3E9B">
        <w:t>r</w:t>
      </w:r>
      <w:r w:rsidR="001B5039" w:rsidRPr="007A3E9B">
        <w:t>isks’ contains all</w:t>
      </w:r>
      <w:r w:rsidR="001B5039">
        <w:t xml:space="preserve"> top-level risks </w:t>
      </w:r>
      <w:r w:rsidR="00C64068">
        <w:t xml:space="preserve">modelled in the internal model but </w:t>
      </w:r>
      <w:r w:rsidR="001B5039">
        <w:t>not mentioned explicitly in the other columns.</w:t>
      </w:r>
    </w:p>
    <w:p w14:paraId="62440EA5" w14:textId="300AEBB1" w:rsidR="00AC1CDF" w:rsidRDefault="00BC3603" w:rsidP="00E93EAE">
      <w:pPr>
        <w:pStyle w:val="BodyText"/>
        <w:numPr>
          <w:ilvl w:val="0"/>
          <w:numId w:val="43"/>
        </w:numPr>
        <w:spacing w:before="119"/>
        <w:ind w:right="951"/>
        <w:jc w:val="both"/>
      </w:pPr>
      <w:r>
        <w:t>E</w:t>
      </w:r>
      <w:r w:rsidR="00AC1CDF">
        <w:t xml:space="preserve">ach </w:t>
      </w:r>
      <w:r w:rsidR="004704BB">
        <w:t>top-level</w:t>
      </w:r>
      <w:r w:rsidR="00AC1CDF">
        <w:t xml:space="preserve"> risk</w:t>
      </w:r>
      <w:r>
        <w:t xml:space="preserve"> is divided into several components in order to separate certain </w:t>
      </w:r>
      <w:r w:rsidR="004704BB">
        <w:t>sub risks</w:t>
      </w:r>
      <w:r w:rsidR="005E440C">
        <w:t>.</w:t>
      </w:r>
    </w:p>
    <w:p w14:paraId="2E00B0AE" w14:textId="2AA29275" w:rsidR="00B83383" w:rsidRDefault="00B83383" w:rsidP="00E93EAE">
      <w:pPr>
        <w:pStyle w:val="BodyText"/>
        <w:spacing w:before="119"/>
        <w:ind w:left="833" w:right="951"/>
        <w:jc w:val="both"/>
      </w:pPr>
    </w:p>
    <w:p w14:paraId="366A6221" w14:textId="59EB93EC" w:rsidR="00EF2385" w:rsidRDefault="00EF2385" w:rsidP="00EF2385">
      <w:pPr>
        <w:pStyle w:val="BodyText"/>
        <w:spacing w:before="119"/>
        <w:ind w:left="720" w:right="951" w:firstLine="720"/>
        <w:jc w:val="both"/>
        <w:rPr>
          <w:i/>
          <w:iCs/>
        </w:rPr>
      </w:pPr>
      <w:r>
        <w:rPr>
          <w:i/>
          <w:iCs/>
        </w:rPr>
        <w:t>Cross-Terms</w:t>
      </w:r>
    </w:p>
    <w:p w14:paraId="55EF6357" w14:textId="273EC6ED" w:rsidR="00EF2385" w:rsidRDefault="00EF2385" w:rsidP="00A2740A">
      <w:pPr>
        <w:pStyle w:val="BodyText"/>
        <w:spacing w:before="119"/>
        <w:ind w:left="720" w:right="951"/>
        <w:jc w:val="both"/>
      </w:pPr>
      <w:r>
        <w:t xml:space="preserve">These cross terms are defined as non-linear effects from the combined movement of top-level risks (e.g. life underwriting risk movements creating a larger duration gap and therefore influencing the market risk). This column should only be filled in if the undertaking models the cross-terms separately from the top-level risks. If the model of the undertaking is such that cross-terms are incorporated within the simulation of the top-level risks (e.g. by making use of </w:t>
      </w:r>
      <w:r>
        <w:lastRenderedPageBreak/>
        <w:t>a bottom-up integrated approach)</w:t>
      </w:r>
      <w:r w:rsidR="006C0D1D">
        <w:t>, this column should not be filled in.</w:t>
      </w:r>
    </w:p>
    <w:p w14:paraId="19E9B8FC" w14:textId="77777777" w:rsidR="00EF2385" w:rsidRDefault="00EF2385" w:rsidP="00E93EAE">
      <w:pPr>
        <w:pStyle w:val="BodyText"/>
        <w:spacing w:before="119"/>
        <w:ind w:left="833" w:right="951"/>
        <w:jc w:val="both"/>
      </w:pPr>
    </w:p>
    <w:p w14:paraId="4FD2C2A8" w14:textId="5B702EF1" w:rsidR="005E440C" w:rsidRDefault="005E440C" w:rsidP="00E93EAE">
      <w:pPr>
        <w:pStyle w:val="BodyText"/>
        <w:spacing w:before="119"/>
        <w:ind w:left="720" w:right="951" w:firstLine="720"/>
        <w:jc w:val="both"/>
        <w:rPr>
          <w:i/>
          <w:iCs/>
        </w:rPr>
      </w:pPr>
      <w:r w:rsidRPr="005E440C">
        <w:rPr>
          <w:i/>
          <w:iCs/>
        </w:rPr>
        <w:t>Market risk</w:t>
      </w:r>
    </w:p>
    <w:p w14:paraId="5F3F5FF4" w14:textId="4408A8EC" w:rsidR="00C34EA4" w:rsidRDefault="005E440C" w:rsidP="00E93EAE">
      <w:pPr>
        <w:pStyle w:val="BodyText"/>
        <w:spacing w:before="119"/>
        <w:ind w:left="720" w:right="951"/>
        <w:jc w:val="both"/>
      </w:pPr>
      <w:r>
        <w:t>Market risk is split into ‘</w:t>
      </w:r>
      <w:r w:rsidRPr="005E440C">
        <w:t>Migration &amp; Default risk</w:t>
      </w:r>
      <w:r>
        <w:t>’, ‘Inflation risk included in market risk’ and ‘</w:t>
      </w:r>
      <w:r w:rsidR="00066E21">
        <w:t>O</w:t>
      </w:r>
      <w:r>
        <w:t>ther market risks’.</w:t>
      </w:r>
      <w:r w:rsidR="00C34EA4">
        <w:t xml:space="preserve"> The scenarios in these three columns should sum to the scenarios in the ‘Market Risk’ column.</w:t>
      </w:r>
      <w:r w:rsidR="00E04039" w:rsidRPr="00E04039">
        <w:t xml:space="preserve"> </w:t>
      </w:r>
      <w:r w:rsidR="00E04039">
        <w:t xml:space="preserve">The scenarios of any of these </w:t>
      </w:r>
      <w:r w:rsidR="002B79B1">
        <w:t xml:space="preserve">specific </w:t>
      </w:r>
      <w:r w:rsidR="00E04039">
        <w:t xml:space="preserve">risks not modelled within market risk should be </w:t>
      </w:r>
      <w:r w:rsidR="0058601F">
        <w:t>left blank</w:t>
      </w:r>
      <w:r w:rsidR="00E04039">
        <w:t>.</w:t>
      </w:r>
    </w:p>
    <w:p w14:paraId="5E7E568B" w14:textId="2D7FD9B1" w:rsidR="0058601F" w:rsidRDefault="0058601F" w:rsidP="00E93EAE">
      <w:pPr>
        <w:pStyle w:val="BodyText"/>
        <w:spacing w:before="119"/>
        <w:ind w:left="720" w:right="951"/>
        <w:jc w:val="both"/>
      </w:pPr>
      <w:r>
        <w:t>The column ‘Other market risks’ should contain the scenarios over all sub risks except ‘migration and default risk’ and ‘inflation risk’. In general, one would expect risks such as interest rate, equity, property, implied volatility</w:t>
      </w:r>
      <w:r w:rsidR="00A84E35">
        <w:t>, prepayment and credit spread risk for mortgages</w:t>
      </w:r>
      <w:r>
        <w:t xml:space="preserve"> etc. to be captured here. If </w:t>
      </w:r>
      <w:r w:rsidR="006E383E">
        <w:t>relevant</w:t>
      </w:r>
      <w:r>
        <w:t xml:space="preserve">, the cross-terms </w:t>
      </w:r>
      <w:r w:rsidR="006E383E">
        <w:t>between</w:t>
      </w:r>
      <w:r>
        <w:t xml:space="preserve"> market risk</w:t>
      </w:r>
      <w:r w:rsidR="006E383E">
        <w:t>s</w:t>
      </w:r>
      <w:r>
        <w:t>, e.g. between interest rate and spread should be covered in this column.</w:t>
      </w:r>
    </w:p>
    <w:p w14:paraId="79C5B0FC" w14:textId="54CD0A5A" w:rsidR="005E440C" w:rsidRDefault="005E440C" w:rsidP="00E93EAE">
      <w:pPr>
        <w:pStyle w:val="BodyText"/>
        <w:spacing w:before="119"/>
        <w:ind w:left="720" w:right="951"/>
        <w:jc w:val="both"/>
      </w:pPr>
      <w:r>
        <w:t xml:space="preserve">If migration and default risk are not modelled within market risk, the respective scenarios should be </w:t>
      </w:r>
      <w:r w:rsidR="0058601F">
        <w:t>left blank</w:t>
      </w:r>
      <w:r>
        <w:t xml:space="preserve">. If </w:t>
      </w:r>
      <w:r w:rsidR="00D5179C">
        <w:t>migration and default risk</w:t>
      </w:r>
      <w:r>
        <w:t xml:space="preserve"> is modelled within market risk, the scenarios should be </w:t>
      </w:r>
      <w:r w:rsidR="00C02D8D">
        <w:t>filled into this column. If no separate distribution is immediately available, the undertaking can calculate this distribution as</w:t>
      </w:r>
      <w:r>
        <w:t xml:space="preserve"> the difference of two runs</w:t>
      </w:r>
      <w:r w:rsidR="004704BB" w:rsidRPr="004704BB">
        <w:t xml:space="preserve"> </w:t>
      </w:r>
      <w:r w:rsidR="004704BB">
        <w:t>for market risk</w:t>
      </w:r>
      <w:r w:rsidR="00C02D8D">
        <w:t>, namely one with and one without migration and default risk. The run with migration and default risk should be based on</w:t>
      </w:r>
      <w:r w:rsidR="00181A26">
        <w:t xml:space="preserve"> </w:t>
      </w:r>
      <w:r w:rsidR="00C02D8D">
        <w:t xml:space="preserve">default </w:t>
      </w:r>
      <w:r>
        <w:t>internal model settings (e.g. including rating migrations)</w:t>
      </w:r>
      <w:r w:rsidR="00C02D8D">
        <w:t>. The run without migration and default risk should have the default internal model settings as well except for the</w:t>
      </w:r>
      <w:r w:rsidR="00181A26">
        <w:t xml:space="preserve"> </w:t>
      </w:r>
      <w:r>
        <w:t xml:space="preserve">rating migrations </w:t>
      </w:r>
      <w:r w:rsidR="00C02D8D">
        <w:t>and defaults which have been rendered deterministic.</w:t>
      </w:r>
      <w:r>
        <w:t>.</w:t>
      </w:r>
      <w:r w:rsidR="00C02D8D">
        <w:t xml:space="preserve"> Since the seed should be consistent between both runs as mentioned above, the movement of other market risk factors should be consistent on a </w:t>
      </w:r>
      <w:r>
        <w:t>simulation-by-simulation basis</w:t>
      </w:r>
      <w:r w:rsidR="00C02D8D">
        <w:t xml:space="preserve"> between both runs</w:t>
      </w:r>
      <w:r>
        <w:t>.</w:t>
      </w:r>
    </w:p>
    <w:p w14:paraId="6D96D457" w14:textId="738BDA03" w:rsidR="005E440C" w:rsidRDefault="005E440C" w:rsidP="00E93EAE">
      <w:pPr>
        <w:pStyle w:val="BodyText"/>
        <w:spacing w:before="119"/>
        <w:ind w:left="720" w:right="951"/>
        <w:jc w:val="both"/>
      </w:pPr>
      <w:r>
        <w:t>Inflation risk</w:t>
      </w:r>
      <w:r w:rsidR="00181A26">
        <w:t xml:space="preserve"> is further split into its </w:t>
      </w:r>
      <w:r w:rsidR="00C02D8D">
        <w:t xml:space="preserve">different </w:t>
      </w:r>
      <w:r w:rsidR="00B14BB3">
        <w:t>types</w:t>
      </w:r>
      <w:r w:rsidR="00181A26">
        <w:t xml:space="preserve">: inflation risk due to life, non-life, health </w:t>
      </w:r>
      <w:r w:rsidR="00B14BB3">
        <w:t>business</w:t>
      </w:r>
      <w:r w:rsidR="00181A26">
        <w:t xml:space="preserve"> and other inflation risks.</w:t>
      </w:r>
      <w:r w:rsidR="00C02D8D">
        <w:t xml:space="preserve"> This last category would be expected to contain e.g. inflation risks related to inflation-linked bonds.</w:t>
      </w:r>
      <w:r w:rsidR="00181A26">
        <w:t xml:space="preserve"> </w:t>
      </w:r>
      <w:r w:rsidR="00933475">
        <w:t>How to determine this split will depend on the model set</w:t>
      </w:r>
      <w:r w:rsidR="004162B8">
        <w:t>-</w:t>
      </w:r>
      <w:r w:rsidR="00933475">
        <w:t xml:space="preserve">up. </w:t>
      </w:r>
      <w:r w:rsidR="004162B8">
        <w:t>T</w:t>
      </w:r>
      <w:r w:rsidR="00181A26">
        <w:t>he scenarios for the columns referring to inflation risk for life, non-life and health exposure can be obtained by applying</w:t>
      </w:r>
      <w:r w:rsidR="00D71C4E">
        <w:t>, in case applicable, a</w:t>
      </w:r>
      <w:r w:rsidR="00181A26">
        <w:t xml:space="preserve"> specific loss proxy function to the technical provisions of life, non-life and health business respectively</w:t>
      </w:r>
      <w:r w:rsidR="006E383E">
        <w:t xml:space="preserve"> or by having separate simulation data</w:t>
      </w:r>
      <w:r w:rsidR="00181A26">
        <w:t>. Note that the technical provisions should be taken net of reinsurance and that technical provisions for non-life annuities should be allocated to the non-life column. The</w:t>
      </w:r>
      <w:r w:rsidR="001E1101">
        <w:t xml:space="preserve"> input for the</w:t>
      </w:r>
      <w:r w:rsidR="00181A26">
        <w:t xml:space="preserve"> </w:t>
      </w:r>
      <w:r w:rsidR="001E1101">
        <w:t>column for ‘Other inflation risks’ follows from applying the loss proxy function to all other balance sheet positions. Similarly, the total inflation risk should be equal to the sum of the subcomponents.</w:t>
      </w:r>
    </w:p>
    <w:p w14:paraId="6C35CFA8" w14:textId="51F81DC9" w:rsidR="005E440C" w:rsidRDefault="005E440C" w:rsidP="00E93EAE">
      <w:pPr>
        <w:pStyle w:val="BodyText"/>
        <w:spacing w:before="119"/>
        <w:ind w:left="720" w:right="951"/>
        <w:jc w:val="both"/>
      </w:pPr>
    </w:p>
    <w:p w14:paraId="6099FC25" w14:textId="781896EE" w:rsidR="00C34EA4" w:rsidRDefault="00C34EA4" w:rsidP="00E93EAE">
      <w:pPr>
        <w:pStyle w:val="BodyText"/>
        <w:spacing w:before="119"/>
        <w:ind w:left="720" w:right="951" w:firstLine="720"/>
        <w:jc w:val="both"/>
        <w:rPr>
          <w:i/>
          <w:iCs/>
        </w:rPr>
      </w:pPr>
      <w:r>
        <w:rPr>
          <w:i/>
          <w:iCs/>
        </w:rPr>
        <w:t>Credit risk</w:t>
      </w:r>
    </w:p>
    <w:p w14:paraId="288D2635" w14:textId="1E6F2AED" w:rsidR="00C34EA4" w:rsidRDefault="00C34EA4" w:rsidP="00E93EAE">
      <w:pPr>
        <w:pStyle w:val="BodyText"/>
        <w:spacing w:before="119"/>
        <w:ind w:left="720" w:right="951"/>
        <w:jc w:val="both"/>
      </w:pPr>
      <w:r>
        <w:t xml:space="preserve">Credit risk is split into ‘Credit spread risk’, ‘Premium risk Trade Credit &amp; Suretyship’, ‘FX </w:t>
      </w:r>
      <w:r w:rsidR="00D5179C">
        <w:t>r</w:t>
      </w:r>
      <w:r>
        <w:t>isk in credit risk’ and ‘Other Credit risk</w:t>
      </w:r>
      <w:r w:rsidR="00D5179C">
        <w:t>s</w:t>
      </w:r>
      <w:r>
        <w:t>’. The scenarios in these columns should sum to the scenarios in the ‘Credit Risk’ column.</w:t>
      </w:r>
      <w:r w:rsidR="00E04039">
        <w:t xml:space="preserve"> The scenarios of any of these </w:t>
      </w:r>
      <w:r w:rsidR="002B79B1">
        <w:t xml:space="preserve">specific </w:t>
      </w:r>
      <w:r w:rsidR="00E04039">
        <w:t>risks</w:t>
      </w:r>
      <w:r w:rsidR="00F278A2">
        <w:t xml:space="preserve"> if </w:t>
      </w:r>
      <w:r w:rsidR="00E04039">
        <w:t>not modelled within credit risk</w:t>
      </w:r>
      <w:r w:rsidR="00F278A2">
        <w:t>,</w:t>
      </w:r>
      <w:r w:rsidR="00E04039">
        <w:t xml:space="preserve"> should be </w:t>
      </w:r>
      <w:r w:rsidR="00C02D8D">
        <w:t>left blank</w:t>
      </w:r>
      <w:r w:rsidR="00E04039">
        <w:t>.</w:t>
      </w:r>
    </w:p>
    <w:p w14:paraId="2C5A817A" w14:textId="06CED270" w:rsidR="00C02D8D" w:rsidRDefault="00C02D8D" w:rsidP="00C02D8D">
      <w:pPr>
        <w:pStyle w:val="BodyText"/>
        <w:spacing w:before="119"/>
        <w:ind w:left="720" w:right="951"/>
        <w:jc w:val="both"/>
      </w:pPr>
      <w:r>
        <w:t xml:space="preserve">The column ‘Other credit risks’ then contains the scenarios of the P&amp;L distribution overall credit sub risks except credit spread risk, premium risk TCIS, exchange rate risk. If </w:t>
      </w:r>
      <w:r w:rsidR="006E383E">
        <w:t>relevant</w:t>
      </w:r>
      <w:r>
        <w:t xml:space="preserve">, the cross-terms </w:t>
      </w:r>
      <w:r w:rsidR="006E383E">
        <w:t>between</w:t>
      </w:r>
      <w:r>
        <w:t xml:space="preserve"> credit risk</w:t>
      </w:r>
      <w:r w:rsidR="006E383E">
        <w:t>s</w:t>
      </w:r>
      <w:r>
        <w:t xml:space="preserve"> should be covered in this column.</w:t>
      </w:r>
      <w:r w:rsidR="004162B8">
        <w:t xml:space="preserve"> Typically, the ‘Other credit risk’ would contain risks related to reinsurance, receivables, mortgages etc.</w:t>
      </w:r>
    </w:p>
    <w:p w14:paraId="614C3D69" w14:textId="4F7C58A6" w:rsidR="00C34EA4" w:rsidRDefault="00C34EA4" w:rsidP="00E93EAE">
      <w:pPr>
        <w:pStyle w:val="BodyText"/>
        <w:spacing w:before="119"/>
        <w:ind w:left="720" w:right="951"/>
        <w:jc w:val="both"/>
      </w:pPr>
      <w:r>
        <w:t xml:space="preserve">If credit spread risk </w:t>
      </w:r>
      <w:r w:rsidR="006E383E">
        <w:t xml:space="preserve">for financial instruments </w:t>
      </w:r>
      <w:r>
        <w:t xml:space="preserve">is modelled within credit risk, the scenarios </w:t>
      </w:r>
      <w:r w:rsidR="004162B8">
        <w:t xml:space="preserve">related to the credit spread risk should be filled into this column. If this distribution is not available, the undertaking can use </w:t>
      </w:r>
      <w:r>
        <w:t>in this column should be set to the difference of two runs</w:t>
      </w:r>
      <w:r w:rsidR="006E383E">
        <w:t xml:space="preserve">, namely one with stochastic and one with deterministic credit spreads for financial instruments. </w:t>
      </w:r>
      <w:r>
        <w:t xml:space="preserve">This difference should be calculated on a simulation-by-simulation basis. If credit spread risk is not modelled within credit risk, the scenarios should be </w:t>
      </w:r>
      <w:r w:rsidR="006E383E">
        <w:t>left blank</w:t>
      </w:r>
      <w:r>
        <w:t>.</w:t>
      </w:r>
    </w:p>
    <w:p w14:paraId="6AEBC41F" w14:textId="7061AE9F" w:rsidR="00C34EA4" w:rsidRDefault="00C34EA4" w:rsidP="00E93EAE">
      <w:pPr>
        <w:pStyle w:val="BodyText"/>
        <w:spacing w:before="119"/>
        <w:ind w:left="720" w:right="951"/>
        <w:jc w:val="both"/>
      </w:pPr>
      <w:r>
        <w:t>The column ‘Premium risk Trade Credit &amp; Suretyship’</w:t>
      </w:r>
      <w:r w:rsidR="00734349">
        <w:t xml:space="preserve"> (TCIS)</w:t>
      </w:r>
      <w:r>
        <w:t xml:space="preserve"> </w:t>
      </w:r>
      <w:r w:rsidR="00196AB7">
        <w:t xml:space="preserve">should contain on a simulation-by-simulation basis the contribution of the TCIS premium risk towards the total credit risk. </w:t>
      </w:r>
      <w:r w:rsidR="003A6478">
        <w:t xml:space="preserve">If FX </w:t>
      </w:r>
      <w:r w:rsidR="003A6478">
        <w:lastRenderedPageBreak/>
        <w:t xml:space="preserve">risk and/or credit spread risk is also modelled within credit risk, they should be set to a deterministic setting (fixed spreads and FX rates) to calculate this contribution. </w:t>
      </w:r>
      <w:r w:rsidR="00196AB7">
        <w:t xml:space="preserve">If the TCIS premium risk is modelled outside of credit risk, the scenarios should be </w:t>
      </w:r>
      <w:r w:rsidR="006E383E">
        <w:t>left blank</w:t>
      </w:r>
      <w:r w:rsidR="00196AB7">
        <w:t>.</w:t>
      </w:r>
    </w:p>
    <w:p w14:paraId="28E926E1" w14:textId="316F5BF9" w:rsidR="00196AB7" w:rsidRDefault="00196AB7" w:rsidP="00E93EAE">
      <w:pPr>
        <w:pStyle w:val="BodyText"/>
        <w:spacing w:before="119"/>
        <w:ind w:left="720" w:right="951"/>
        <w:jc w:val="both"/>
      </w:pPr>
      <w:r>
        <w:t xml:space="preserve">The column ‘FX Risk in credit risk’ should </w:t>
      </w:r>
      <w:r w:rsidR="00D8158C">
        <w:t xml:space="preserve">contain </w:t>
      </w:r>
      <w:r w:rsidR="006E383E">
        <w:t xml:space="preserve">the FX risk related to credit risks if not modelled within market risk, but within credit risk. </w:t>
      </w:r>
      <w:r w:rsidR="00D8158C">
        <w:t xml:space="preserve">If no separate simulation data is readily available, the undertaking can calculate this as a difference between two runs, namely one with stochastic and one with deterministic exchange rates. </w:t>
      </w:r>
      <w:r>
        <w:t xml:space="preserve">If exchange rate risk is not modelled within credit risk, the scenarios should be </w:t>
      </w:r>
      <w:r w:rsidR="006E383E">
        <w:t>left blank</w:t>
      </w:r>
      <w:r>
        <w:t>.</w:t>
      </w:r>
    </w:p>
    <w:p w14:paraId="244D7718" w14:textId="77777777" w:rsidR="006E383E" w:rsidRDefault="006E383E" w:rsidP="00E93EAE">
      <w:pPr>
        <w:pStyle w:val="BodyText"/>
        <w:spacing w:before="119"/>
        <w:ind w:left="720" w:right="951"/>
        <w:jc w:val="both"/>
      </w:pPr>
    </w:p>
    <w:p w14:paraId="450288BB" w14:textId="6C93F9EA" w:rsidR="00E602EF" w:rsidRDefault="00D8158C" w:rsidP="00E93EAE">
      <w:pPr>
        <w:pStyle w:val="BodyText"/>
        <w:spacing w:before="119"/>
        <w:ind w:left="720" w:right="951" w:firstLine="720"/>
        <w:jc w:val="both"/>
        <w:rPr>
          <w:i/>
          <w:iCs/>
        </w:rPr>
      </w:pPr>
      <w:r>
        <w:rPr>
          <w:i/>
          <w:iCs/>
        </w:rPr>
        <w:t xml:space="preserve">Expense and lapse </w:t>
      </w:r>
      <w:r w:rsidR="00196AB7">
        <w:rPr>
          <w:i/>
          <w:iCs/>
        </w:rPr>
        <w:t>risk</w:t>
      </w:r>
    </w:p>
    <w:p w14:paraId="2E0495BE" w14:textId="2752F9B2" w:rsidR="004704BB" w:rsidRDefault="00196AB7" w:rsidP="00E93EAE">
      <w:pPr>
        <w:pStyle w:val="BodyText"/>
        <w:spacing w:before="119"/>
        <w:ind w:left="720" w:right="951"/>
        <w:jc w:val="both"/>
      </w:pPr>
      <w:r w:rsidRPr="001161E9">
        <w:t xml:space="preserve">The </w:t>
      </w:r>
      <w:r w:rsidR="00D8158C">
        <w:t>e</w:t>
      </w:r>
      <w:r w:rsidR="00D8158C" w:rsidRPr="00D8158C">
        <w:t>xpense and lapse</w:t>
      </w:r>
      <w:r w:rsidRPr="001161E9">
        <w:t xml:space="preserve"> risk</w:t>
      </w:r>
      <w:r w:rsidR="00D8158C">
        <w:t>s</w:t>
      </w:r>
      <w:r w:rsidR="009271FC" w:rsidRPr="001161E9">
        <w:t xml:space="preserve">, </w:t>
      </w:r>
      <w:r w:rsidR="009271FC" w:rsidRPr="001161E9">
        <w:rPr>
          <w:rStyle w:val="tlid-translation"/>
          <w:lang w:val="en"/>
        </w:rPr>
        <w:t xml:space="preserve">when modeled explicitly and isolated from life, </w:t>
      </w:r>
      <w:r w:rsidR="005B5F71" w:rsidRPr="001161E9">
        <w:rPr>
          <w:rStyle w:val="tlid-translation"/>
          <w:lang w:val="en"/>
        </w:rPr>
        <w:t>non-life</w:t>
      </w:r>
      <w:r w:rsidR="009271FC" w:rsidRPr="001161E9">
        <w:rPr>
          <w:rStyle w:val="tlid-translation"/>
          <w:lang w:val="en"/>
        </w:rPr>
        <w:t xml:space="preserve"> and health</w:t>
      </w:r>
      <w:r w:rsidR="00A33D50" w:rsidRPr="00A33D50">
        <w:rPr>
          <w:rStyle w:val="tlid-translation"/>
          <w:lang w:val="en"/>
        </w:rPr>
        <w:t xml:space="preserve"> </w:t>
      </w:r>
      <w:r w:rsidR="00A33D50" w:rsidRPr="001161E9">
        <w:rPr>
          <w:rStyle w:val="tlid-translation"/>
          <w:lang w:val="en"/>
        </w:rPr>
        <w:t>risks</w:t>
      </w:r>
      <w:r w:rsidR="009271FC" w:rsidRPr="001161E9">
        <w:rPr>
          <w:rStyle w:val="tlid-translation"/>
          <w:lang w:val="en"/>
        </w:rPr>
        <w:t>,</w:t>
      </w:r>
      <w:r w:rsidRPr="001161E9">
        <w:t xml:space="preserve"> is split into its parts referring to the life, non-life and health business</w:t>
      </w:r>
      <w:r w:rsidR="0055658A" w:rsidRPr="001161E9">
        <w:t xml:space="preserve"> and ‘FX risk in </w:t>
      </w:r>
      <w:r w:rsidR="00D8158C">
        <w:t>e</w:t>
      </w:r>
      <w:r w:rsidR="00D8158C" w:rsidRPr="00D8158C">
        <w:t>xpense and lapse</w:t>
      </w:r>
      <w:r w:rsidR="0055658A" w:rsidRPr="001161E9">
        <w:t xml:space="preserve"> risk</w:t>
      </w:r>
      <w:r w:rsidR="00D8158C">
        <w:t>s</w:t>
      </w:r>
      <w:r w:rsidR="0055658A" w:rsidRPr="001161E9">
        <w:t>’</w:t>
      </w:r>
      <w:r w:rsidRPr="001161E9">
        <w:t xml:space="preserve">. </w:t>
      </w:r>
      <w:r w:rsidR="0055658A" w:rsidRPr="001161E9">
        <w:t>For the columns referring to life, non-life and health risk, th</w:t>
      </w:r>
      <w:r w:rsidRPr="001161E9">
        <w:t>ese columns should contain the P&amp;L result per scenario for its respective sub-risk</w:t>
      </w:r>
      <w:r w:rsidR="001161E9">
        <w:t xml:space="preserve">, </w:t>
      </w:r>
      <w:r w:rsidR="00D8158C">
        <w:t>considering</w:t>
      </w:r>
      <w:r w:rsidR="001161E9">
        <w:t xml:space="preserve"> constant FX rates if these are modelled within the </w:t>
      </w:r>
      <w:r w:rsidR="00D8158C">
        <w:t>e</w:t>
      </w:r>
      <w:r w:rsidR="00D8158C" w:rsidRPr="00D8158C">
        <w:t>xpense and lapse</w:t>
      </w:r>
      <w:r w:rsidR="001161E9">
        <w:t xml:space="preserve"> risk</w:t>
      </w:r>
      <w:r w:rsidR="00D8158C">
        <w:t>s</w:t>
      </w:r>
      <w:r w:rsidR="001161E9">
        <w:t xml:space="preserve"> module.</w:t>
      </w:r>
      <w:r w:rsidRPr="001161E9">
        <w:t xml:space="preserve"> </w:t>
      </w:r>
      <w:r w:rsidR="0055658A" w:rsidRPr="001161E9">
        <w:t xml:space="preserve">The column for ‘FX risk in </w:t>
      </w:r>
      <w:r w:rsidR="00D8158C">
        <w:t>e</w:t>
      </w:r>
      <w:r w:rsidR="00D8158C" w:rsidRPr="00D8158C">
        <w:t>xpense and lapse</w:t>
      </w:r>
      <w:r w:rsidR="0055658A" w:rsidRPr="001161E9">
        <w:t xml:space="preserve"> risk’ should contain </w:t>
      </w:r>
      <w:r w:rsidR="00D8158C">
        <w:t xml:space="preserve">the impact due to stochastic exchange rates. If this simulation data is not readily available </w:t>
      </w:r>
      <w:r w:rsidR="0055658A" w:rsidRPr="001161E9">
        <w:t xml:space="preserve">the scenarios based on the </w:t>
      </w:r>
      <w:r w:rsidR="00D8158C">
        <w:t xml:space="preserve">undertaking can use the </w:t>
      </w:r>
      <w:r w:rsidR="0055658A" w:rsidRPr="001161E9">
        <w:t>difference of two runs</w:t>
      </w:r>
      <w:r w:rsidR="004704BB" w:rsidRPr="001161E9">
        <w:t xml:space="preserve"> for </w:t>
      </w:r>
      <w:r w:rsidR="001161E9">
        <w:t xml:space="preserve">the </w:t>
      </w:r>
      <w:r w:rsidR="00D8158C">
        <w:t>e</w:t>
      </w:r>
      <w:r w:rsidR="00D8158C" w:rsidRPr="00D8158C">
        <w:t>xpense and lapse</w:t>
      </w:r>
      <w:r w:rsidR="004704BB" w:rsidRPr="001161E9">
        <w:t xml:space="preserve"> risk</w:t>
      </w:r>
      <w:r w:rsidR="001161E9">
        <w:t xml:space="preserve"> module</w:t>
      </w:r>
      <w:r w:rsidR="0055658A" w:rsidRPr="001161E9">
        <w:t xml:space="preserve">: one run with standard internal model settings (e.g. including stochastic exchange rates) and one where exchange rates are fixed but all other settings </w:t>
      </w:r>
      <w:r w:rsidR="00F278A2">
        <w:t>remain unchanged</w:t>
      </w:r>
      <w:r w:rsidR="0055658A" w:rsidRPr="001161E9">
        <w:t xml:space="preserve">. If exchange rate risk is not modelled within </w:t>
      </w:r>
      <w:r w:rsidR="00D8158C">
        <w:t>a separate e</w:t>
      </w:r>
      <w:r w:rsidR="00D8158C" w:rsidRPr="00D8158C">
        <w:t>xpense and lapse</w:t>
      </w:r>
      <w:r w:rsidR="0055658A" w:rsidRPr="001161E9">
        <w:t xml:space="preserve"> risk</w:t>
      </w:r>
      <w:r w:rsidR="00D8158C">
        <w:t xml:space="preserve"> module</w:t>
      </w:r>
      <w:r w:rsidR="0055658A" w:rsidRPr="001161E9">
        <w:t xml:space="preserve">, the scenarios should be </w:t>
      </w:r>
      <w:r w:rsidR="00531E94">
        <w:t>left blank</w:t>
      </w:r>
      <w:r w:rsidR="0055658A" w:rsidRPr="001161E9">
        <w:t>. T</w:t>
      </w:r>
      <w:r w:rsidRPr="001161E9">
        <w:t xml:space="preserve">he scenarios of the </w:t>
      </w:r>
      <w:r w:rsidR="00D8158C">
        <w:t>e</w:t>
      </w:r>
      <w:r w:rsidR="00D8158C" w:rsidRPr="00D8158C">
        <w:t>xpense and lapse</w:t>
      </w:r>
      <w:r w:rsidRPr="001161E9">
        <w:t xml:space="preserve"> sub-risks should sum up to the total </w:t>
      </w:r>
      <w:r w:rsidR="00D8158C">
        <w:t>e</w:t>
      </w:r>
      <w:r w:rsidR="00D8158C" w:rsidRPr="00D8158C">
        <w:t>xpense and lapse</w:t>
      </w:r>
      <w:r w:rsidRPr="001161E9">
        <w:t xml:space="preserve"> risk. If </w:t>
      </w:r>
      <w:r w:rsidR="00D8158C">
        <w:t>e</w:t>
      </w:r>
      <w:r w:rsidR="00D8158C" w:rsidRPr="00D8158C">
        <w:t>xpense and lapse</w:t>
      </w:r>
      <w:r w:rsidRPr="001161E9">
        <w:t xml:space="preserve"> risk is not modelled as a top-level risk, all scenarios should be </w:t>
      </w:r>
      <w:r w:rsidR="00D8158C">
        <w:t>left blank</w:t>
      </w:r>
      <w:r w:rsidRPr="001161E9">
        <w:t>.</w:t>
      </w:r>
    </w:p>
    <w:p w14:paraId="5ACC4318" w14:textId="77777777" w:rsidR="006E383E" w:rsidRPr="001161E9" w:rsidRDefault="006E383E" w:rsidP="00E93EAE">
      <w:pPr>
        <w:pStyle w:val="BodyText"/>
        <w:spacing w:before="119"/>
        <w:ind w:left="720" w:right="951"/>
        <w:jc w:val="both"/>
      </w:pPr>
    </w:p>
    <w:p w14:paraId="52974026" w14:textId="158BCD9D" w:rsidR="00196AB7" w:rsidRPr="00196AB7" w:rsidRDefault="00196AB7" w:rsidP="00E93EAE">
      <w:pPr>
        <w:pStyle w:val="BodyText"/>
        <w:spacing w:before="119"/>
        <w:ind w:left="720" w:right="951" w:firstLine="720"/>
        <w:jc w:val="both"/>
        <w:rPr>
          <w:i/>
          <w:iCs/>
        </w:rPr>
      </w:pPr>
      <w:r w:rsidRPr="00196AB7">
        <w:rPr>
          <w:i/>
          <w:iCs/>
        </w:rPr>
        <w:t>Life</w:t>
      </w:r>
      <w:r w:rsidR="004704BB">
        <w:rPr>
          <w:i/>
          <w:iCs/>
        </w:rPr>
        <w:t xml:space="preserve"> risk</w:t>
      </w:r>
    </w:p>
    <w:p w14:paraId="47581688" w14:textId="68356611" w:rsidR="001161E9" w:rsidRDefault="004704BB" w:rsidP="00E93EAE">
      <w:pPr>
        <w:pStyle w:val="BodyText"/>
        <w:spacing w:before="119"/>
        <w:ind w:left="720" w:right="951"/>
        <w:jc w:val="both"/>
      </w:pPr>
      <w:r>
        <w:t xml:space="preserve">Life underwriting risk is split into ‘Non-life annuities </w:t>
      </w:r>
      <w:r w:rsidR="001161E9">
        <w:t xml:space="preserve">included </w:t>
      </w:r>
      <w:r>
        <w:t>in life underwriting risk’, ‘Health liabilities included in life underwriting risk’, ‘Pension risk’</w:t>
      </w:r>
      <w:r w:rsidR="00403C6B">
        <w:t xml:space="preserve"> (</w:t>
      </w:r>
      <w:r w:rsidR="00403C6B" w:rsidRPr="0079250A">
        <w:t>own personnel)</w:t>
      </w:r>
      <w:r>
        <w:t>, ‘FX risk in life underwriting risk’</w:t>
      </w:r>
      <w:r w:rsidR="00512C9D">
        <w:t xml:space="preserve">and </w:t>
      </w:r>
      <w:r>
        <w:t>‘Other life underwriting risks’. The scenarios in these columns should sum to the scenarios in the ‘Life Risk’ column.</w:t>
      </w:r>
      <w:r w:rsidR="001161E9">
        <w:t xml:space="preserve"> The scenarios of any of these risks not modelled within life risk should be </w:t>
      </w:r>
      <w:r w:rsidR="00196009">
        <w:t>left blank</w:t>
      </w:r>
      <w:r w:rsidR="001161E9">
        <w:t>.</w:t>
      </w:r>
    </w:p>
    <w:p w14:paraId="3636489F" w14:textId="511AE2F6" w:rsidR="009B56A9" w:rsidRDefault="009B56A9" w:rsidP="00531E94">
      <w:pPr>
        <w:pStyle w:val="BodyText"/>
        <w:spacing w:before="119"/>
        <w:ind w:left="720" w:right="951"/>
        <w:jc w:val="both"/>
      </w:pPr>
      <w:r>
        <w:t>The column ‘Other life underwriting risks’ then contains the scenarios of the P&amp;L distribution over all life underwriting sub risks except non-life annuities, health liabilities, pension risk and exchange rate risk. If relevant, the cross-terms between life risks should be covered in this column. This column would therefore typically contain longevity, mortality, lapse mass risks etc. as well as expense and laps</w:t>
      </w:r>
      <w:r w:rsidR="00531E94">
        <w:t>e</w:t>
      </w:r>
      <w:r>
        <w:t xml:space="preserve"> risks not modelled in a separate module.</w:t>
      </w:r>
    </w:p>
    <w:p w14:paraId="213D95B7" w14:textId="0F81EAC3" w:rsidR="004704BB" w:rsidRDefault="004704BB" w:rsidP="00E93EAE">
      <w:pPr>
        <w:pStyle w:val="BodyText"/>
        <w:spacing w:before="119"/>
        <w:ind w:left="720" w:right="951"/>
        <w:jc w:val="both"/>
      </w:pPr>
      <w:r>
        <w:t xml:space="preserve">The columns ‘Non-life annuities in </w:t>
      </w:r>
      <w:r w:rsidR="00512C9D">
        <w:t xml:space="preserve">life underwriting risk’, ‘Health liabilities in life underwriting risk’ and ‘Pension risk’ refer to the P&amp;L result per scenario for each risk respectively. Note that exchange rate risk should not be included and therefore that these results should be </w:t>
      </w:r>
      <w:r w:rsidR="009B56A9">
        <w:t>based on</w:t>
      </w:r>
      <w:r w:rsidR="00512C9D">
        <w:t xml:space="preserve"> fixed exchange rates.</w:t>
      </w:r>
    </w:p>
    <w:p w14:paraId="09AAABDC" w14:textId="0617E3D4" w:rsidR="004704BB" w:rsidRDefault="004704BB" w:rsidP="00E93EAE">
      <w:pPr>
        <w:pStyle w:val="BodyText"/>
        <w:spacing w:before="119"/>
        <w:ind w:left="720" w:right="951"/>
        <w:jc w:val="both"/>
      </w:pPr>
      <w:r>
        <w:t xml:space="preserve">The column ‘FX Risk in life underwriting risk’ should contain scenarios based on the difference of two runs for life underwriting risk: one run with standard internal model settings (e.g. including stochastic exchange rates) and one where exchange rates are fixed but all other settings </w:t>
      </w:r>
      <w:r w:rsidR="00215978">
        <w:t>are unchanged</w:t>
      </w:r>
      <w:r>
        <w:t xml:space="preserve">. If exchange rate risk is not modelled within life underwriting risk, the scenarios should be </w:t>
      </w:r>
      <w:r w:rsidR="009B56A9">
        <w:t>left blank</w:t>
      </w:r>
      <w:r>
        <w:t>.</w:t>
      </w:r>
    </w:p>
    <w:p w14:paraId="12CE7B1F" w14:textId="7EBB6EC2" w:rsidR="006E383E" w:rsidRDefault="006E383E" w:rsidP="00E93EAE">
      <w:pPr>
        <w:pStyle w:val="BodyText"/>
        <w:spacing w:before="119"/>
        <w:ind w:left="720" w:right="951"/>
        <w:jc w:val="both"/>
      </w:pPr>
    </w:p>
    <w:p w14:paraId="1BAE9788" w14:textId="5274617E" w:rsidR="00196AB7" w:rsidRPr="00196AB7" w:rsidRDefault="00196AB7" w:rsidP="00E93EAE">
      <w:pPr>
        <w:pStyle w:val="BodyText"/>
        <w:spacing w:before="119"/>
        <w:ind w:left="720" w:right="951" w:firstLine="720"/>
        <w:jc w:val="both"/>
        <w:rPr>
          <w:i/>
          <w:iCs/>
        </w:rPr>
      </w:pPr>
      <w:r w:rsidRPr="00196AB7">
        <w:rPr>
          <w:i/>
          <w:iCs/>
        </w:rPr>
        <w:t>Non-Life</w:t>
      </w:r>
      <w:r w:rsidR="00512C9D">
        <w:rPr>
          <w:i/>
          <w:iCs/>
        </w:rPr>
        <w:t xml:space="preserve"> risk</w:t>
      </w:r>
    </w:p>
    <w:p w14:paraId="4893997C" w14:textId="6BA5D787" w:rsidR="00196AB7" w:rsidRDefault="00512C9D" w:rsidP="00E93EAE">
      <w:pPr>
        <w:pStyle w:val="BodyText"/>
        <w:spacing w:before="119"/>
        <w:ind w:left="720" w:right="951"/>
        <w:jc w:val="both"/>
      </w:pPr>
      <w:r>
        <w:t>Non-Life underwriting risk is split into ‘Health liabilities in non-life underwriting risk’, ‘FX risk in non-life underwriting risk’ and ‘Other non-life underwriting risks’. The scenarios in these columns should sum to the scenarios in the ‘Non-Life Risk’ column.</w:t>
      </w:r>
      <w:r w:rsidR="00E04039">
        <w:t xml:space="preserve"> The scenarios of any of these risks not modelled within non-life risk should be </w:t>
      </w:r>
      <w:r w:rsidR="00531E94">
        <w:t>left blank</w:t>
      </w:r>
      <w:r w:rsidR="00E04039">
        <w:t>.</w:t>
      </w:r>
    </w:p>
    <w:p w14:paraId="50EFEBEB" w14:textId="302AB8E3" w:rsidR="000C0BE4" w:rsidRDefault="000C0BE4" w:rsidP="00531E94">
      <w:pPr>
        <w:pStyle w:val="BodyText"/>
        <w:spacing w:before="119"/>
        <w:ind w:left="720" w:right="951"/>
        <w:jc w:val="both"/>
      </w:pPr>
      <w:r>
        <w:lastRenderedPageBreak/>
        <w:t xml:space="preserve">The column ‘Other non-life underwriting risks’ then contains the scenarios of the P&amp;L distribution over all non-life underwriting sub risks except health liabilities and exchange rate risk. If </w:t>
      </w:r>
      <w:r w:rsidR="00C83D4E">
        <w:t>relevant</w:t>
      </w:r>
      <w:r>
        <w:t xml:space="preserve">, the cross-terms </w:t>
      </w:r>
      <w:r w:rsidR="00C83D4E">
        <w:t>between</w:t>
      </w:r>
      <w:r>
        <w:t xml:space="preserve"> non-life risk</w:t>
      </w:r>
      <w:r w:rsidR="00C83D4E">
        <w:t>s</w:t>
      </w:r>
      <w:r>
        <w:t xml:space="preserve"> should be covered in this column. This column would typically contain the premium, reserve, man-made catastrophe and natural catastrophe risks related to the non-life liabilities.</w:t>
      </w:r>
    </w:p>
    <w:p w14:paraId="59D640CA" w14:textId="0386441E" w:rsidR="00512C9D" w:rsidRDefault="00512C9D" w:rsidP="00E93EAE">
      <w:pPr>
        <w:pStyle w:val="BodyText"/>
        <w:spacing w:before="119"/>
        <w:ind w:left="720" w:right="951"/>
        <w:jc w:val="both"/>
      </w:pPr>
      <w:r>
        <w:t>The column ‘Health liabilities in non-life underwriting risk’ refers to the P&amp;L result per scenario for health liabilities modelled within non-life underwriting risk. Note that exchange rate risk should not be included and therefore that these results should be obtained from a run with fixed exchange rates.</w:t>
      </w:r>
    </w:p>
    <w:p w14:paraId="0B2CFB6A" w14:textId="7DED0C7C" w:rsidR="00512C9D" w:rsidRDefault="00512C9D" w:rsidP="00E93EAE">
      <w:pPr>
        <w:pStyle w:val="BodyText"/>
        <w:spacing w:before="119"/>
        <w:ind w:left="720" w:right="951"/>
        <w:jc w:val="both"/>
      </w:pPr>
      <w:r>
        <w:t xml:space="preserve">The column ‘FX Risk in non-life underwriting risk’ should contain scenarios based on the difference of two runs for non-life underwriting risk: one run with standard internal model settings (e.g. including stochastic exchange rates) and one where exchange rates are fixed but all other settings </w:t>
      </w:r>
      <w:r w:rsidR="00215978">
        <w:t>are unchanged</w:t>
      </w:r>
      <w:r>
        <w:t xml:space="preserve">. If exchange rate risk is not modelled within </w:t>
      </w:r>
      <w:r w:rsidR="00C40F89">
        <w:t>non-</w:t>
      </w:r>
      <w:r>
        <w:t xml:space="preserve">life underwriting risk, the scenarios should be </w:t>
      </w:r>
      <w:r w:rsidR="004305F3">
        <w:t>left blank</w:t>
      </w:r>
      <w:r>
        <w:t>.</w:t>
      </w:r>
    </w:p>
    <w:p w14:paraId="7F9383B3" w14:textId="77777777" w:rsidR="003F4E39" w:rsidRDefault="003F4E39" w:rsidP="00E93EAE">
      <w:pPr>
        <w:pStyle w:val="BodyText"/>
        <w:spacing w:before="119"/>
        <w:ind w:left="720" w:right="951"/>
        <w:jc w:val="both"/>
      </w:pPr>
    </w:p>
    <w:p w14:paraId="3AA64E8F" w14:textId="30092BCB" w:rsidR="00196AB7" w:rsidRDefault="00196AB7" w:rsidP="00E93EAE">
      <w:pPr>
        <w:pStyle w:val="BodyText"/>
        <w:spacing w:before="119"/>
        <w:ind w:left="720" w:right="951" w:firstLine="720"/>
        <w:jc w:val="both"/>
        <w:rPr>
          <w:i/>
          <w:iCs/>
        </w:rPr>
      </w:pPr>
      <w:r w:rsidRPr="00196AB7">
        <w:rPr>
          <w:i/>
          <w:iCs/>
        </w:rPr>
        <w:t>Health</w:t>
      </w:r>
      <w:r w:rsidR="0055658A">
        <w:rPr>
          <w:i/>
          <w:iCs/>
        </w:rPr>
        <w:t xml:space="preserve"> risk</w:t>
      </w:r>
    </w:p>
    <w:p w14:paraId="6AE1DE97" w14:textId="67F84E1E" w:rsidR="00E04039" w:rsidRPr="00196AB7" w:rsidRDefault="00E04039" w:rsidP="00E93EAE">
      <w:pPr>
        <w:pStyle w:val="BodyText"/>
        <w:spacing w:before="119"/>
        <w:ind w:left="720" w:right="951"/>
        <w:jc w:val="both"/>
        <w:rPr>
          <w:i/>
          <w:iCs/>
        </w:rPr>
      </w:pPr>
      <w:r>
        <w:t xml:space="preserve">If health risk is not modelled </w:t>
      </w:r>
      <w:r w:rsidR="00377FF9">
        <w:t>separately,</w:t>
      </w:r>
      <w:r>
        <w:t xml:space="preserve"> all scenarios should be </w:t>
      </w:r>
      <w:r w:rsidR="004305F3">
        <w:t>left blank</w:t>
      </w:r>
      <w:r>
        <w:t>.</w:t>
      </w:r>
    </w:p>
    <w:p w14:paraId="0A2F8714" w14:textId="6A30A36C" w:rsidR="0055658A" w:rsidRDefault="0055658A" w:rsidP="00E93EAE">
      <w:pPr>
        <w:pStyle w:val="BodyText"/>
        <w:spacing w:before="119"/>
        <w:ind w:left="720" w:right="951"/>
        <w:jc w:val="both"/>
      </w:pPr>
      <w:r>
        <w:t>Health underwriting risk is split into ‘FX Risk in health underwriting risk’ and ‘Other health underwriting risk’. The scenarios in these columns should sum to the scenarios in the ‘Health Risk’ column.</w:t>
      </w:r>
      <w:r w:rsidR="00E04039">
        <w:t xml:space="preserve"> The scenarios of any of these risks not modelled within health risk should be </w:t>
      </w:r>
      <w:r w:rsidR="00531E94">
        <w:t>left blank</w:t>
      </w:r>
      <w:r w:rsidR="00E04039">
        <w:t>.</w:t>
      </w:r>
    </w:p>
    <w:p w14:paraId="5C5DBAD1" w14:textId="66FA5128" w:rsidR="0055658A" w:rsidRDefault="0055658A" w:rsidP="00E93EAE">
      <w:pPr>
        <w:pStyle w:val="BodyText"/>
        <w:spacing w:before="119"/>
        <w:ind w:left="720" w:right="951"/>
        <w:jc w:val="both"/>
      </w:pPr>
      <w:r>
        <w:t>The column ‘FX Risk in health underwriting risk’ should contain scenarios based on the difference of two run</w:t>
      </w:r>
      <w:r w:rsidR="004704BB">
        <w:t>s</w:t>
      </w:r>
      <w:r w:rsidR="004704BB" w:rsidRPr="004704BB">
        <w:t xml:space="preserve"> </w:t>
      </w:r>
      <w:r w:rsidR="004704BB">
        <w:t>for health underwriting risk</w:t>
      </w:r>
      <w:r>
        <w:t xml:space="preserve">: one run with standard internal model settings (e.g. including stochastic exchange rates) and one where exchange rates are fixed but all other settings </w:t>
      </w:r>
      <w:r w:rsidR="00215978">
        <w:t>are unchanged</w:t>
      </w:r>
      <w:r>
        <w:t xml:space="preserve">. If exchange rate risk is not modelled within health risk, the scenarios should be </w:t>
      </w:r>
      <w:r w:rsidR="00531E94">
        <w:t>left blank</w:t>
      </w:r>
      <w:r>
        <w:t>.</w:t>
      </w:r>
    </w:p>
    <w:p w14:paraId="182F0D12" w14:textId="5F717E23" w:rsidR="00196AB7" w:rsidRDefault="0055658A" w:rsidP="00E93EAE">
      <w:pPr>
        <w:pStyle w:val="BodyText"/>
        <w:spacing w:before="119"/>
        <w:ind w:left="720" w:right="951"/>
        <w:jc w:val="both"/>
      </w:pPr>
      <w:r>
        <w:t xml:space="preserve">The column ‘Other health underwriting risks’ then contains the scenarios of the P&amp;L distribution over all health </w:t>
      </w:r>
      <w:r w:rsidR="004704BB">
        <w:t>sub risks</w:t>
      </w:r>
      <w:r>
        <w:t xml:space="preserve"> except exchange rate risk. If cross-terms are not modelled explicitly as a top-level risk, the cross-terms related to health risk should be covered in this column.</w:t>
      </w:r>
    </w:p>
    <w:p w14:paraId="2000F7BC" w14:textId="77777777" w:rsidR="006E383E" w:rsidRDefault="006E383E" w:rsidP="00E93EAE">
      <w:pPr>
        <w:pStyle w:val="BodyText"/>
        <w:spacing w:before="119"/>
        <w:ind w:left="720" w:right="951"/>
        <w:jc w:val="both"/>
      </w:pPr>
    </w:p>
    <w:p w14:paraId="26DD7C69" w14:textId="434FC5DA" w:rsidR="00196AB7" w:rsidRPr="00196AB7" w:rsidRDefault="00196AB7" w:rsidP="00E93EAE">
      <w:pPr>
        <w:pStyle w:val="BodyText"/>
        <w:spacing w:before="119"/>
        <w:ind w:left="720" w:right="951" w:firstLine="720"/>
        <w:jc w:val="both"/>
        <w:rPr>
          <w:i/>
          <w:iCs/>
        </w:rPr>
      </w:pPr>
      <w:r w:rsidRPr="00196AB7">
        <w:rPr>
          <w:i/>
          <w:iCs/>
        </w:rPr>
        <w:t>Operational</w:t>
      </w:r>
      <w:r w:rsidR="0055658A">
        <w:rPr>
          <w:i/>
          <w:iCs/>
        </w:rPr>
        <w:t xml:space="preserve"> risk</w:t>
      </w:r>
    </w:p>
    <w:p w14:paraId="566E29EE" w14:textId="1AF268D2" w:rsidR="00196AB7" w:rsidRDefault="0055658A" w:rsidP="00E93EAE">
      <w:pPr>
        <w:pStyle w:val="BodyText"/>
        <w:spacing w:before="119"/>
        <w:ind w:left="720" w:right="951"/>
        <w:jc w:val="both"/>
      </w:pPr>
      <w:r>
        <w:t>Operational risk</w:t>
      </w:r>
      <w:r w:rsidR="001B5039">
        <w:t xml:space="preserve"> is split into ‘</w:t>
      </w:r>
      <w:r>
        <w:t xml:space="preserve">FX Risk in operational risk’ and </w:t>
      </w:r>
      <w:r w:rsidR="001B5039">
        <w:t xml:space="preserve">‘Other </w:t>
      </w:r>
      <w:r>
        <w:t xml:space="preserve">operational </w:t>
      </w:r>
      <w:r w:rsidR="001B5039">
        <w:t>risk’. The scenarios in these columns should sum to the scenarios in the ‘</w:t>
      </w:r>
      <w:r>
        <w:t>Operational</w:t>
      </w:r>
      <w:r w:rsidR="001B5039">
        <w:t xml:space="preserve"> Risk’ column.</w:t>
      </w:r>
    </w:p>
    <w:p w14:paraId="3EED20CD" w14:textId="61A9A74F" w:rsidR="0055658A" w:rsidRDefault="0055658A" w:rsidP="00E93EAE">
      <w:pPr>
        <w:pStyle w:val="BodyText"/>
        <w:spacing w:before="119"/>
        <w:ind w:left="720" w:right="951"/>
        <w:jc w:val="both"/>
      </w:pPr>
      <w:r>
        <w:t>The column ‘FX Risk in operational risk’ should contain scenarios based on the difference of two runs</w:t>
      </w:r>
      <w:r w:rsidR="004704BB" w:rsidRPr="004704BB">
        <w:t xml:space="preserve"> </w:t>
      </w:r>
      <w:r w:rsidR="004704BB">
        <w:t>for operational risk</w:t>
      </w:r>
      <w:r>
        <w:t xml:space="preserve">: one run with standard internal model settings (e.g. including stochastic exchange rates) and one where exchange rates are fixed but all other settings </w:t>
      </w:r>
      <w:r w:rsidR="00215978">
        <w:t>are unchanged</w:t>
      </w:r>
      <w:r>
        <w:t xml:space="preserve">. If exchange rate risk is not modelled within operational risk, the scenarios should be </w:t>
      </w:r>
      <w:r w:rsidR="00531E94">
        <w:t>left blank</w:t>
      </w:r>
      <w:r>
        <w:t>.</w:t>
      </w:r>
    </w:p>
    <w:p w14:paraId="60ABEE98" w14:textId="4C8FBC5F" w:rsidR="0055658A" w:rsidRDefault="0055658A" w:rsidP="00E93EAE">
      <w:pPr>
        <w:pStyle w:val="BodyText"/>
        <w:spacing w:before="119"/>
        <w:ind w:left="720" w:right="951"/>
        <w:jc w:val="both"/>
      </w:pPr>
      <w:r>
        <w:t xml:space="preserve">The column ‘Other operational risks’ then contains the scenarios of the P&amp;L distribution over all operational </w:t>
      </w:r>
      <w:r w:rsidR="004704BB">
        <w:t>sub risks</w:t>
      </w:r>
      <w:r>
        <w:t xml:space="preserve"> except exchange rate risk. If cross-terms are not modelled explicitly as a top-level risk, the cross-terms related to operational risk should be covered in this column.</w:t>
      </w:r>
    </w:p>
    <w:p w14:paraId="413A5803" w14:textId="77777777" w:rsidR="00A84E35" w:rsidRDefault="00A84E35" w:rsidP="00E93EAE">
      <w:pPr>
        <w:pStyle w:val="BodyText"/>
        <w:spacing w:before="119"/>
        <w:ind w:left="720" w:right="951"/>
        <w:jc w:val="both"/>
      </w:pPr>
    </w:p>
    <w:p w14:paraId="67EA0676" w14:textId="64454F12" w:rsidR="00196AB7" w:rsidRDefault="00196AB7" w:rsidP="00E93EAE">
      <w:pPr>
        <w:pStyle w:val="BodyText"/>
        <w:spacing w:before="119"/>
        <w:ind w:left="720" w:right="951" w:firstLine="720"/>
        <w:jc w:val="both"/>
        <w:rPr>
          <w:i/>
          <w:iCs/>
        </w:rPr>
      </w:pPr>
      <w:r w:rsidRPr="00196AB7">
        <w:rPr>
          <w:i/>
          <w:iCs/>
        </w:rPr>
        <w:t>Other</w:t>
      </w:r>
      <w:r w:rsidR="001B5039">
        <w:rPr>
          <w:i/>
          <w:iCs/>
        </w:rPr>
        <w:t xml:space="preserve"> risks</w:t>
      </w:r>
    </w:p>
    <w:p w14:paraId="35D73FBF" w14:textId="07D5D183" w:rsidR="00196AB7" w:rsidRDefault="001B5039" w:rsidP="00E93EAE">
      <w:pPr>
        <w:pStyle w:val="BodyText"/>
        <w:spacing w:before="119"/>
        <w:ind w:left="720" w:right="951"/>
        <w:jc w:val="both"/>
      </w:pPr>
      <w:r>
        <w:t xml:space="preserve">The ‘Other Risks’ are further clarified in two columns: the column ‘Liquidity risk’ should contain the P&amp;L result per scenario of the modelled liquidity risk and similar for the column ‘Pension Risk’. If both risks are modelled within another top-level risk, the scenarios should be </w:t>
      </w:r>
      <w:r w:rsidR="00531E94">
        <w:t>left blank</w:t>
      </w:r>
      <w:r>
        <w:t>.</w:t>
      </w:r>
    </w:p>
    <w:p w14:paraId="2AE6E7D8" w14:textId="77777777" w:rsidR="006E383E" w:rsidRPr="00196AB7" w:rsidRDefault="006E383E" w:rsidP="00E93EAE">
      <w:pPr>
        <w:pStyle w:val="BodyText"/>
        <w:spacing w:before="119"/>
        <w:ind w:left="720" w:right="951"/>
        <w:jc w:val="both"/>
      </w:pPr>
    </w:p>
    <w:p w14:paraId="62D462B5" w14:textId="3EBDF8CD" w:rsidR="001D3EF8" w:rsidRPr="00C062B9" w:rsidRDefault="001D3EF8" w:rsidP="00E93EAE">
      <w:pPr>
        <w:pStyle w:val="ListParagraph"/>
        <w:numPr>
          <w:ilvl w:val="0"/>
          <w:numId w:val="35"/>
        </w:numPr>
        <w:ind w:left="567" w:right="951" w:hanging="567"/>
        <w:jc w:val="both"/>
      </w:pPr>
      <w:r>
        <w:t>Company/group profile</w:t>
      </w:r>
    </w:p>
    <w:p w14:paraId="364D97C4" w14:textId="22CD5AC7" w:rsidR="009C5B81" w:rsidRPr="00965CBE" w:rsidRDefault="009C5B81" w:rsidP="00E93EAE">
      <w:pPr>
        <w:pStyle w:val="ListParagraph"/>
        <w:numPr>
          <w:ilvl w:val="0"/>
          <w:numId w:val="46"/>
        </w:numPr>
        <w:ind w:left="1134" w:right="951" w:hanging="425"/>
        <w:jc w:val="both"/>
      </w:pPr>
      <w:r w:rsidRPr="00965CBE">
        <w:t xml:space="preserve">mVaR – this is the SCR </w:t>
      </w:r>
      <w:r w:rsidR="00003FD5">
        <w:t>before Tax included in the model</w:t>
      </w:r>
      <w:r w:rsidRPr="00965CBE">
        <w:t xml:space="preserve">. It is obtained by aggregating the </w:t>
      </w:r>
      <w:r w:rsidRPr="00965CBE">
        <w:lastRenderedPageBreak/>
        <w:t xml:space="preserve">distributions of </w:t>
      </w:r>
      <w:r w:rsidR="00900E6C" w:rsidRPr="00965CBE">
        <w:t>top-level</w:t>
      </w:r>
      <w:r w:rsidRPr="00965CBE">
        <w:t xml:space="preserve"> risks. The value in this cell should coincide with the value of the fields mVaR on the column “Total” in the two tabs</w:t>
      </w:r>
    </w:p>
    <w:p w14:paraId="59C41337" w14:textId="193956AA" w:rsidR="009C5B81" w:rsidRPr="00965CBE" w:rsidRDefault="009C5B81" w:rsidP="00E93EAE">
      <w:pPr>
        <w:pStyle w:val="ListParagraph"/>
        <w:numPr>
          <w:ilvl w:val="0"/>
          <w:numId w:val="45"/>
        </w:numPr>
        <w:ind w:right="951"/>
        <w:jc w:val="both"/>
      </w:pPr>
      <w:r w:rsidRPr="00965CBE">
        <w:t>“Standardi</w:t>
      </w:r>
      <w:r w:rsidR="00BA37E4" w:rsidRPr="00965CBE">
        <w:t>z</w:t>
      </w:r>
      <w:r w:rsidRPr="00965CBE">
        <w:t>ed model reporting” (</w:t>
      </w:r>
      <w:r w:rsidR="009F6628" w:rsidRPr="00965CBE">
        <w:t xml:space="preserve">it </w:t>
      </w:r>
      <w:r w:rsidRPr="00965CBE">
        <w:rPr>
          <w:rStyle w:val="tlid-translation"/>
          <w:lang w:val="en"/>
        </w:rPr>
        <w:t xml:space="preserve">is obtained by </w:t>
      </w:r>
      <w:r w:rsidR="009F6628" w:rsidRPr="00965CBE">
        <w:rPr>
          <w:rStyle w:val="tlid-translation"/>
          <w:lang w:val="en"/>
        </w:rPr>
        <w:t>summing</w:t>
      </w:r>
      <w:r w:rsidRPr="00965CBE">
        <w:rPr>
          <w:rStyle w:val="tlid-translation"/>
          <w:lang w:val="en"/>
        </w:rPr>
        <w:t xml:space="preserve"> the </w:t>
      </w:r>
      <w:r w:rsidR="009F6628" w:rsidRPr="00965CBE">
        <w:rPr>
          <w:rStyle w:val="tlid-translation"/>
          <w:lang w:val="en"/>
        </w:rPr>
        <w:t xml:space="preserve">standardized </w:t>
      </w:r>
      <w:r w:rsidRPr="00965CBE">
        <w:rPr>
          <w:rStyle w:val="tlid-translation"/>
          <w:lang w:val="en"/>
        </w:rPr>
        <w:t>risks</w:t>
      </w:r>
      <w:r w:rsidRPr="00965CBE">
        <w:t xml:space="preserve"> </w:t>
      </w:r>
      <w:r w:rsidR="009F6628" w:rsidRPr="00965CBE">
        <w:t xml:space="preserve">of </w:t>
      </w:r>
      <w:r w:rsidRPr="00965CBE">
        <w:rPr>
          <w:rStyle w:val="tlid-translation"/>
          <w:lang w:val="en"/>
        </w:rPr>
        <w:t xml:space="preserve">market, credit, non-life, </w:t>
      </w:r>
      <w:r w:rsidR="009F6628" w:rsidRPr="00965CBE">
        <w:rPr>
          <w:rStyle w:val="tlid-translation"/>
          <w:lang w:val="en"/>
        </w:rPr>
        <w:t>life, health,</w:t>
      </w:r>
      <w:r w:rsidRPr="00965CBE">
        <w:rPr>
          <w:rStyle w:val="tlid-translation"/>
          <w:lang w:val="en"/>
        </w:rPr>
        <w:t xml:space="preserve"> operational</w:t>
      </w:r>
      <w:r w:rsidR="009F6628" w:rsidRPr="00965CBE">
        <w:rPr>
          <w:rStyle w:val="tlid-translation"/>
          <w:lang w:val="en"/>
        </w:rPr>
        <w:t xml:space="preserve"> and the cross terms and other risks contribution</w:t>
      </w:r>
      <w:r w:rsidRPr="00965CBE">
        <w:rPr>
          <w:rStyle w:val="tlid-translation"/>
          <w:lang w:val="en"/>
        </w:rPr>
        <w:t>)</w:t>
      </w:r>
      <w:r w:rsidRPr="00965CBE">
        <w:t xml:space="preserve"> </w:t>
      </w:r>
    </w:p>
    <w:p w14:paraId="52221D17" w14:textId="7277882F" w:rsidR="009C5B81" w:rsidRPr="00965CBE" w:rsidRDefault="009C5B81" w:rsidP="00E93EAE">
      <w:pPr>
        <w:pStyle w:val="ListParagraph"/>
        <w:numPr>
          <w:ilvl w:val="0"/>
          <w:numId w:val="45"/>
        </w:numPr>
        <w:ind w:right="951"/>
        <w:jc w:val="both"/>
      </w:pPr>
      <w:r w:rsidRPr="00965CBE">
        <w:t>“Internal model reporting” (</w:t>
      </w:r>
      <w:r w:rsidR="009F6628" w:rsidRPr="00965CBE">
        <w:t xml:space="preserve">it is </w:t>
      </w:r>
      <w:r w:rsidRPr="00965CBE">
        <w:rPr>
          <w:rStyle w:val="tlid-translation"/>
          <w:lang w:val="en"/>
        </w:rPr>
        <w:t xml:space="preserve">obtained by </w:t>
      </w:r>
      <w:r w:rsidR="009F6628" w:rsidRPr="00965CBE">
        <w:rPr>
          <w:rStyle w:val="tlid-translation"/>
          <w:lang w:val="en"/>
        </w:rPr>
        <w:t>summing</w:t>
      </w:r>
      <w:r w:rsidRPr="00965CBE">
        <w:rPr>
          <w:rStyle w:val="tlid-translation"/>
          <w:lang w:val="en"/>
        </w:rPr>
        <w:t xml:space="preserve"> the risks </w:t>
      </w:r>
      <w:r w:rsidR="009F6628" w:rsidRPr="00965CBE">
        <w:rPr>
          <w:rStyle w:val="tlid-translation"/>
          <w:lang w:val="en"/>
        </w:rPr>
        <w:t xml:space="preserve">of </w:t>
      </w:r>
      <w:r w:rsidRPr="00965CBE">
        <w:rPr>
          <w:rStyle w:val="tlid-translation"/>
          <w:lang w:val="en"/>
        </w:rPr>
        <w:t xml:space="preserve">market, credit, </w:t>
      </w:r>
      <w:r w:rsidR="009F6628" w:rsidRPr="00965CBE">
        <w:rPr>
          <w:rStyle w:val="tlid-translation"/>
          <w:lang w:val="en"/>
        </w:rPr>
        <w:t xml:space="preserve">business, </w:t>
      </w:r>
      <w:r w:rsidRPr="00965CBE">
        <w:rPr>
          <w:rStyle w:val="tlid-translation"/>
          <w:lang w:val="en"/>
        </w:rPr>
        <w:t xml:space="preserve">life, </w:t>
      </w:r>
      <w:r w:rsidR="00900E6C" w:rsidRPr="00965CBE">
        <w:rPr>
          <w:rStyle w:val="tlid-translation"/>
          <w:lang w:val="en"/>
        </w:rPr>
        <w:t>non-life</w:t>
      </w:r>
      <w:r w:rsidRPr="00965CBE">
        <w:rPr>
          <w:rStyle w:val="tlid-translation"/>
          <w:lang w:val="en"/>
        </w:rPr>
        <w:t xml:space="preserve">, health, </w:t>
      </w:r>
      <w:r w:rsidR="009F6628" w:rsidRPr="00965CBE">
        <w:rPr>
          <w:rStyle w:val="tlid-translation"/>
          <w:lang w:val="en"/>
        </w:rPr>
        <w:t>operational,</w:t>
      </w:r>
      <w:r w:rsidRPr="00965CBE">
        <w:rPr>
          <w:rStyle w:val="tlid-translation"/>
          <w:lang w:val="en"/>
        </w:rPr>
        <w:t xml:space="preserve"> other risks</w:t>
      </w:r>
      <w:r w:rsidR="009F6628" w:rsidRPr="00965CBE">
        <w:rPr>
          <w:rStyle w:val="tlid-translation"/>
          <w:lang w:val="en"/>
        </w:rPr>
        <w:t xml:space="preserve"> and the cross terms</w:t>
      </w:r>
      <w:r w:rsidRPr="00965CBE">
        <w:rPr>
          <w:rStyle w:val="tlid-translation"/>
          <w:lang w:val="en"/>
        </w:rPr>
        <w:t>)</w:t>
      </w:r>
      <w:r w:rsidRPr="00965CBE">
        <w:t>.</w:t>
      </w:r>
    </w:p>
    <w:p w14:paraId="01C2DBB8" w14:textId="19D712FB" w:rsidR="009C5B81" w:rsidRPr="00965CBE" w:rsidRDefault="00BA37E4" w:rsidP="00E93EAE">
      <w:pPr>
        <w:pStyle w:val="ListParagraph"/>
        <w:numPr>
          <w:ilvl w:val="0"/>
          <w:numId w:val="47"/>
        </w:numPr>
        <w:ind w:left="1134" w:right="951" w:hanging="425"/>
        <w:jc w:val="both"/>
      </w:pPr>
      <w:r w:rsidRPr="00965CBE">
        <w:t>Miscellaneous</w:t>
      </w:r>
      <w:r w:rsidR="009C5B81" w:rsidRPr="00965CBE">
        <w:t xml:space="preserve"> – total of other contributions defined in the internal model but not already considered in the term mVar, like intangible risk, </w:t>
      </w:r>
      <w:r w:rsidR="00900E6C" w:rsidRPr="00965CBE">
        <w:t>non-linearity</w:t>
      </w:r>
      <w:r w:rsidR="009C5B81" w:rsidRPr="00965CBE">
        <w:t xml:space="preserve"> and model adjustments, regulatory add-on, etc</w:t>
      </w:r>
      <w:r w:rsidR="00900E6C" w:rsidRPr="00965CBE">
        <w:t>.</w:t>
      </w:r>
    </w:p>
    <w:p w14:paraId="2B73C596" w14:textId="77777777" w:rsidR="009C5B81" w:rsidRPr="00965CBE" w:rsidRDefault="009C5B81" w:rsidP="00E93EAE">
      <w:pPr>
        <w:pStyle w:val="ListParagraph"/>
        <w:numPr>
          <w:ilvl w:val="0"/>
          <w:numId w:val="47"/>
        </w:numPr>
        <w:ind w:left="1134" w:right="951" w:hanging="425"/>
        <w:jc w:val="both"/>
      </w:pPr>
      <w:r w:rsidRPr="00965CBE">
        <w:t>Tax - loss absorbing capacity of deferred taxes (as defined in the Directive 2009/138/EC- section 9)</w:t>
      </w:r>
    </w:p>
    <w:p w14:paraId="594EDE66" w14:textId="5567B47F" w:rsidR="00D41777" w:rsidRDefault="00D41777" w:rsidP="00E93EAE">
      <w:pPr>
        <w:pStyle w:val="ListParagraph"/>
        <w:numPr>
          <w:ilvl w:val="0"/>
          <w:numId w:val="47"/>
        </w:numPr>
        <w:ind w:left="1134" w:right="951" w:hanging="425"/>
        <w:jc w:val="both"/>
      </w:pPr>
      <w:r>
        <w:t xml:space="preserve">Risks in Standard Formula – the diversified contribution of the risks included in the Standard Formula should filled in here. </w:t>
      </w:r>
      <w:r w:rsidRPr="00A2740A">
        <w:rPr>
          <w:b/>
          <w:bCs/>
        </w:rPr>
        <w:t>This field is applicable only to undertakings with a Partial Internal Model.</w:t>
      </w:r>
    </w:p>
    <w:p w14:paraId="136FD7A0" w14:textId="55989311" w:rsidR="009C5B81" w:rsidRPr="00965CBE" w:rsidRDefault="009C5B81" w:rsidP="00E93EAE">
      <w:pPr>
        <w:pStyle w:val="ListParagraph"/>
        <w:numPr>
          <w:ilvl w:val="0"/>
          <w:numId w:val="47"/>
        </w:numPr>
        <w:ind w:left="1134" w:right="951" w:hanging="425"/>
        <w:jc w:val="both"/>
      </w:pPr>
      <w:r w:rsidRPr="00965CBE">
        <w:t>U</w:t>
      </w:r>
      <w:r w:rsidR="00404DCA" w:rsidRPr="00965CBE">
        <w:t xml:space="preserve">ndertakings in </w:t>
      </w:r>
      <w:r w:rsidR="00900E6C" w:rsidRPr="00965CBE">
        <w:t>s</w:t>
      </w:r>
      <w:r w:rsidR="00404DCA" w:rsidRPr="00965CBE">
        <w:t xml:space="preserve">tandard </w:t>
      </w:r>
      <w:r w:rsidR="00900E6C" w:rsidRPr="00965CBE">
        <w:t>f</w:t>
      </w:r>
      <w:r w:rsidR="00404DCA" w:rsidRPr="00965CBE">
        <w:t>ormula</w:t>
      </w:r>
      <w:r w:rsidRPr="00965CBE">
        <w:t xml:space="preserve"> - </w:t>
      </w:r>
      <w:r w:rsidR="00461A5D" w:rsidRPr="00965CBE">
        <w:t>in particular, this field is valued in the case of groups</w:t>
      </w:r>
      <w:r w:rsidRPr="00965CBE">
        <w:t xml:space="preserve"> to indicate the contribution obtained for some of the companies or insurance activities that do not fall within the scope of application of the internal model and are quantified using the standard formula</w:t>
      </w:r>
      <w:r w:rsidR="00900E6C" w:rsidRPr="00965CBE">
        <w:t>.</w:t>
      </w:r>
      <w:r w:rsidR="00770904">
        <w:t xml:space="preserve"> </w:t>
      </w:r>
      <w:r w:rsidR="00770904" w:rsidRPr="008B75A1">
        <w:rPr>
          <w:b/>
        </w:rPr>
        <w:t>This field is applicable to groups only</w:t>
      </w:r>
      <w:r w:rsidR="00770904">
        <w:t>.</w:t>
      </w:r>
    </w:p>
    <w:p w14:paraId="44AFCE38" w14:textId="0AC7FF3A" w:rsidR="009C5B81" w:rsidRPr="00965CBE" w:rsidRDefault="009C5B81" w:rsidP="00E93EAE">
      <w:pPr>
        <w:pStyle w:val="ListParagraph"/>
        <w:numPr>
          <w:ilvl w:val="0"/>
          <w:numId w:val="47"/>
        </w:numPr>
        <w:ind w:left="1134" w:right="951" w:hanging="425"/>
        <w:jc w:val="both"/>
      </w:pPr>
      <w:r w:rsidRPr="00965CBE">
        <w:t>Other</w:t>
      </w:r>
      <w:r w:rsidR="0041259F" w:rsidRPr="00965CBE">
        <w:t xml:space="preserve"> </w:t>
      </w:r>
      <w:r w:rsidR="00770904">
        <w:t>institutions</w:t>
      </w:r>
      <w:r w:rsidR="00770904" w:rsidRPr="00965CBE">
        <w:t xml:space="preserve"> </w:t>
      </w:r>
      <w:r w:rsidRPr="00965CBE">
        <w:t xml:space="preserve">- </w:t>
      </w:r>
      <w:r w:rsidR="00461A5D" w:rsidRPr="00965CBE">
        <w:t xml:space="preserve">in particular, this field is valued in the case of groups </w:t>
      </w:r>
      <w:r w:rsidRPr="00965CBE">
        <w:t>to indicate the contribution that is obtained for some of the non-insurance companies or activities, assessed using other methods than the standard formula. This should include, for example, the contribution from banking sector and pension funds (including ring fence funds, as business operated in accordance with Art. 4 of Directive 2003/41/EC)</w:t>
      </w:r>
      <w:r w:rsidR="00900E6C" w:rsidRPr="00965CBE">
        <w:t>.</w:t>
      </w:r>
      <w:r w:rsidR="00770904">
        <w:t xml:space="preserve"> </w:t>
      </w:r>
      <w:r w:rsidR="00770904" w:rsidRPr="008B75A1">
        <w:rPr>
          <w:b/>
        </w:rPr>
        <w:t>This field is applicable to groups only</w:t>
      </w:r>
      <w:r w:rsidR="009C342C">
        <w:rPr>
          <w:b/>
        </w:rPr>
        <w:t>.</w:t>
      </w:r>
    </w:p>
    <w:p w14:paraId="0CAC90E6" w14:textId="412D00FC" w:rsidR="009C5B81" w:rsidRPr="00965CBE" w:rsidRDefault="009C5B81" w:rsidP="00E93EAE">
      <w:pPr>
        <w:pStyle w:val="ListParagraph"/>
        <w:numPr>
          <w:ilvl w:val="0"/>
          <w:numId w:val="47"/>
        </w:numPr>
        <w:ind w:left="1134" w:right="951" w:hanging="425"/>
        <w:jc w:val="both"/>
      </w:pPr>
      <w:r w:rsidRPr="00965CBE">
        <w:t>SCR – total solvency capital requirement of the solo entity or the group under consideration</w:t>
      </w:r>
      <w:r w:rsidR="00900E6C" w:rsidRPr="00965CBE">
        <w:t>.</w:t>
      </w:r>
      <w:r w:rsidR="00770904">
        <w:t xml:space="preserve"> It should match the sum of the 5 previous terms.</w:t>
      </w:r>
    </w:p>
    <w:p w14:paraId="4751C4AC" w14:textId="532289DF" w:rsidR="001F4A0D" w:rsidRPr="00C062B9" w:rsidRDefault="001F4A0D" w:rsidP="00E93EAE">
      <w:pPr>
        <w:pStyle w:val="ListParagraph"/>
        <w:numPr>
          <w:ilvl w:val="0"/>
          <w:numId w:val="35"/>
        </w:numPr>
        <w:ind w:left="567" w:right="951" w:hanging="567"/>
        <w:jc w:val="both"/>
      </w:pPr>
      <w:r>
        <w:t>Correlation matrices</w:t>
      </w:r>
    </w:p>
    <w:p w14:paraId="306A97DF" w14:textId="77777777" w:rsidR="009C5B81" w:rsidRPr="00BA10D7" w:rsidRDefault="009C5B81" w:rsidP="00E93EAE">
      <w:pPr>
        <w:pStyle w:val="BodyText"/>
        <w:spacing w:before="119"/>
        <w:ind w:left="113" w:right="951"/>
        <w:jc w:val="both"/>
      </w:pPr>
      <w:r w:rsidRPr="00BA10D7">
        <w:t xml:space="preserve">This section contains information on the linear (i.e. Pearson) correlation matrix to be evaluated as an output of the internal model using the complete probability distribution of risks losses at top level. </w:t>
      </w:r>
    </w:p>
    <w:p w14:paraId="045121E1" w14:textId="77777777" w:rsidR="009C5B81" w:rsidRPr="00BA10D7" w:rsidRDefault="009C5B81" w:rsidP="00E93EAE">
      <w:pPr>
        <w:pStyle w:val="BodyText"/>
        <w:spacing w:before="95"/>
        <w:ind w:left="1190" w:right="951"/>
        <w:jc w:val="both"/>
        <w:rPr>
          <w:rStyle w:val="tlid-translation"/>
          <w:lang w:val="en"/>
        </w:rPr>
      </w:pPr>
      <w:r w:rsidRPr="00BA10D7">
        <w:rPr>
          <w:rStyle w:val="tlid-translation"/>
          <w:lang w:val="en"/>
        </w:rPr>
        <w:t xml:space="preserve">Two cases are considered: </w:t>
      </w:r>
    </w:p>
    <w:p w14:paraId="378D5C60" w14:textId="38A6E0DB" w:rsidR="009C5B81" w:rsidRPr="00C66FC2" w:rsidRDefault="009C5B81" w:rsidP="00E93EAE">
      <w:pPr>
        <w:pStyle w:val="ListParagraph"/>
        <w:numPr>
          <w:ilvl w:val="0"/>
          <w:numId w:val="48"/>
        </w:numPr>
        <w:ind w:right="951"/>
        <w:jc w:val="both"/>
        <w:rPr>
          <w:rStyle w:val="tlid-translation"/>
          <w:color w:val="000000" w:themeColor="text1"/>
        </w:rPr>
      </w:pPr>
      <w:r w:rsidRPr="00C66FC2">
        <w:rPr>
          <w:rStyle w:val="tlid-translation"/>
          <w:lang w:val="en"/>
        </w:rPr>
        <w:t xml:space="preserve">the </w:t>
      </w:r>
      <w:r w:rsidR="0057769D" w:rsidRPr="00C66FC2">
        <w:rPr>
          <w:rStyle w:val="tlid-translation"/>
          <w:lang w:val="en"/>
        </w:rPr>
        <w:t xml:space="preserve">linear </w:t>
      </w:r>
      <w:r w:rsidRPr="00C66FC2">
        <w:rPr>
          <w:rStyle w:val="tlid-translation"/>
          <w:lang w:val="en"/>
        </w:rPr>
        <w:t xml:space="preserve">correlation between the risks (market, credit, non-life, life, health, business, operational and other) defined according to the </w:t>
      </w:r>
      <w:r w:rsidR="00461A5D" w:rsidRPr="00C66FC2">
        <w:rPr>
          <w:rStyle w:val="tlid-translation"/>
          <w:lang w:val="en"/>
        </w:rPr>
        <w:t xml:space="preserve">own </w:t>
      </w:r>
      <w:r w:rsidRPr="00C66FC2">
        <w:rPr>
          <w:rStyle w:val="tlid-translation"/>
          <w:lang w:val="en"/>
        </w:rPr>
        <w:t>classification adopted in the internal model</w:t>
      </w:r>
      <w:r w:rsidR="00203899" w:rsidRPr="00C66FC2">
        <w:rPr>
          <w:rStyle w:val="tlid-translation"/>
          <w:lang w:val="en"/>
        </w:rPr>
        <w:t>,</w:t>
      </w:r>
    </w:p>
    <w:p w14:paraId="41E9C528" w14:textId="77777777" w:rsidR="008D422D" w:rsidRPr="00C66FC2" w:rsidRDefault="009C5B81" w:rsidP="00E93EAE">
      <w:pPr>
        <w:pStyle w:val="ListParagraph"/>
        <w:numPr>
          <w:ilvl w:val="0"/>
          <w:numId w:val="48"/>
        </w:numPr>
        <w:ind w:right="951"/>
        <w:jc w:val="both"/>
        <w:rPr>
          <w:rStyle w:val="tlid-translation"/>
          <w:bCs/>
          <w:color w:val="000000" w:themeColor="text1"/>
        </w:rPr>
      </w:pPr>
      <w:r w:rsidRPr="00C66FC2">
        <w:rPr>
          <w:rStyle w:val="tlid-translation"/>
          <w:bCs/>
          <w:lang w:val="en"/>
        </w:rPr>
        <w:t xml:space="preserve">the </w:t>
      </w:r>
      <w:r w:rsidR="00816433" w:rsidRPr="00C66FC2">
        <w:rPr>
          <w:rStyle w:val="tlid-translation"/>
          <w:bCs/>
          <w:lang w:val="en"/>
        </w:rPr>
        <w:t xml:space="preserve">linear </w:t>
      </w:r>
      <w:r w:rsidRPr="00C66FC2">
        <w:rPr>
          <w:rStyle w:val="tlid-translation"/>
          <w:bCs/>
          <w:lang w:val="en"/>
        </w:rPr>
        <w:t>correlation between the risks (market, credit, non-life, life, health and operational) based on the</w:t>
      </w:r>
      <w:r w:rsidRPr="00C66FC2">
        <w:rPr>
          <w:rStyle w:val="tlid-translation"/>
          <w:lang w:val="en"/>
        </w:rPr>
        <w:t xml:space="preserve"> standardized classification of risks.</w:t>
      </w:r>
    </w:p>
    <w:p w14:paraId="2EE94A7A" w14:textId="1407BC5E" w:rsidR="00432E3A" w:rsidRDefault="00432E3A" w:rsidP="00E93EAE">
      <w:pPr>
        <w:pStyle w:val="BodyText"/>
        <w:spacing w:before="119"/>
        <w:ind w:right="951"/>
        <w:jc w:val="both"/>
        <w:rPr>
          <w:rStyle w:val="tlid-translation"/>
          <w:lang w:val="en"/>
        </w:rPr>
      </w:pPr>
      <w:r>
        <w:t>Both</w:t>
      </w:r>
      <w:r w:rsidRPr="00C062B9">
        <w:t xml:space="preserve"> matrices should correspond to the pair-wise linear correlations between the generated scenarios in the internal model and standardised model reporting tabs. If no scenarios could be provided (e.g. in a Var-Covar aggregation framework), the linear correlations used to aggregate the top-level risks should be filled</w:t>
      </w:r>
      <w:r w:rsidR="00E70B1A">
        <w:t xml:space="preserve"> in.</w:t>
      </w:r>
      <w:r w:rsidR="00267449">
        <w:t xml:space="preserve"> </w:t>
      </w:r>
      <w:r w:rsidR="00267449">
        <w:rPr>
          <w:rStyle w:val="tlid-translation"/>
          <w:lang w:val="en"/>
        </w:rPr>
        <w:t>If the granularity of the own correlation matrix deviates from the provided granularity for Internal Model reporting – Linear Output Correlation Matrices, the undertaking can leave correlations related to the risks which are not relevant blank. Similarly, if the undertaking has other risk categories, these can be added to the matrix in the cells provided.</w:t>
      </w:r>
    </w:p>
    <w:p w14:paraId="07D22151" w14:textId="77777777" w:rsidR="00267449" w:rsidRPr="00C062B9" w:rsidRDefault="00267449" w:rsidP="00E93EAE">
      <w:pPr>
        <w:pStyle w:val="BodyText"/>
        <w:spacing w:before="119"/>
        <w:ind w:right="951"/>
        <w:jc w:val="both"/>
      </w:pPr>
    </w:p>
    <w:p w14:paraId="0B4590DE" w14:textId="41A957C5" w:rsidR="0013206A" w:rsidRDefault="0013206A" w:rsidP="00E93EAE">
      <w:pPr>
        <w:pStyle w:val="Heading1"/>
        <w:numPr>
          <w:ilvl w:val="0"/>
          <w:numId w:val="13"/>
        </w:numPr>
        <w:spacing w:before="174"/>
        <w:ind w:left="567" w:right="951" w:hanging="567"/>
        <w:jc w:val="both"/>
      </w:pPr>
      <w:bookmarkStart w:id="16" w:name="_Toc47537715"/>
      <w:bookmarkStart w:id="17" w:name="_Toc48679253"/>
      <w:r>
        <w:t>Deadline and practical aspects of filling out the data</w:t>
      </w:r>
      <w:r w:rsidRPr="0013206A">
        <w:t xml:space="preserve"> </w:t>
      </w:r>
      <w:r>
        <w:t>request</w:t>
      </w:r>
      <w:bookmarkEnd w:id="16"/>
      <w:bookmarkEnd w:id="17"/>
    </w:p>
    <w:p w14:paraId="06D355D7" w14:textId="77777777" w:rsidR="0013206A" w:rsidRDefault="0013206A" w:rsidP="00E93EAE">
      <w:pPr>
        <w:pStyle w:val="BodyText"/>
        <w:spacing w:before="4"/>
        <w:ind w:right="951"/>
        <w:jc w:val="both"/>
        <w:rPr>
          <w:b/>
          <w:sz w:val="20"/>
        </w:rPr>
      </w:pPr>
    </w:p>
    <w:p w14:paraId="7490CDA1" w14:textId="77777777" w:rsidR="0013206A" w:rsidRDefault="0013206A" w:rsidP="00E93EAE">
      <w:pPr>
        <w:spacing w:before="1"/>
        <w:ind w:left="113" w:right="951"/>
        <w:jc w:val="both"/>
        <w:rPr>
          <w:i/>
        </w:rPr>
      </w:pPr>
      <w:r>
        <w:rPr>
          <w:i/>
        </w:rPr>
        <w:t>Deadline</w:t>
      </w:r>
    </w:p>
    <w:p w14:paraId="722D7FFD" w14:textId="1C2B61FA" w:rsidR="0013206A" w:rsidRDefault="0013206A" w:rsidP="00E93EAE">
      <w:pPr>
        <w:spacing w:before="121"/>
        <w:ind w:left="113" w:right="951"/>
        <w:jc w:val="both"/>
      </w:pPr>
      <w:r>
        <w:t xml:space="preserve">Final deadline for all </w:t>
      </w:r>
      <w:r w:rsidRPr="008B75A1">
        <w:t xml:space="preserve">submissions </w:t>
      </w:r>
      <w:r w:rsidR="008B75A1" w:rsidRPr="008B75A1">
        <w:rPr>
          <w:b/>
          <w:u w:val="single" w:color="FF0000"/>
        </w:rPr>
        <w:t>15th January 2021</w:t>
      </w:r>
      <w:r w:rsidRPr="008B75A1">
        <w:t xml:space="preserve">. In case </w:t>
      </w:r>
      <w:r>
        <w:t xml:space="preserve">you have severe restrictions, please </w:t>
      </w:r>
      <w:r>
        <w:lastRenderedPageBreak/>
        <w:t>liaise with your supervisor to get additional support or discuss deadline flexibility</w:t>
      </w:r>
      <w:r w:rsidR="000829BF">
        <w:rPr>
          <w:rStyle w:val="FootnoteReference"/>
        </w:rPr>
        <w:footnoteReference w:id="4"/>
      </w:r>
      <w:r>
        <w:t>.</w:t>
      </w:r>
    </w:p>
    <w:p w14:paraId="5693F955" w14:textId="0CF9D01D" w:rsidR="0013206A" w:rsidRDefault="0013206A" w:rsidP="00E93EAE">
      <w:pPr>
        <w:pStyle w:val="BodyText"/>
        <w:spacing w:before="119"/>
        <w:ind w:left="113" w:right="951"/>
        <w:jc w:val="both"/>
      </w:pPr>
      <w:r>
        <w:t xml:space="preserve">However, </w:t>
      </w:r>
      <w:r w:rsidR="009D245C">
        <w:t xml:space="preserve">undertakings </w:t>
      </w:r>
      <w:r>
        <w:t xml:space="preserve">are invited to provide </w:t>
      </w:r>
      <w:r w:rsidR="009D245C">
        <w:t>their</w:t>
      </w:r>
      <w:r>
        <w:t xml:space="preserve"> (group) supervisor with the answers to the data request as soon as possible.</w:t>
      </w:r>
    </w:p>
    <w:p w14:paraId="05D1056E" w14:textId="77777777" w:rsidR="0013206A" w:rsidRDefault="0013206A" w:rsidP="00E93EAE">
      <w:pPr>
        <w:pStyle w:val="BodyText"/>
        <w:spacing w:before="5"/>
        <w:ind w:right="951"/>
        <w:jc w:val="both"/>
        <w:rPr>
          <w:sz w:val="20"/>
        </w:rPr>
      </w:pPr>
    </w:p>
    <w:p w14:paraId="6A8E801C" w14:textId="33D51888" w:rsidR="0013206A" w:rsidRDefault="00372388" w:rsidP="00E93EAE">
      <w:pPr>
        <w:ind w:left="113" w:right="951"/>
        <w:jc w:val="both"/>
        <w:rPr>
          <w:i/>
        </w:rPr>
      </w:pPr>
      <w:r>
        <w:rPr>
          <w:i/>
        </w:rPr>
        <w:t>Quantitative submission</w:t>
      </w:r>
    </w:p>
    <w:p w14:paraId="77D597D9" w14:textId="1B9DDD3B" w:rsidR="0013206A" w:rsidRDefault="0013206A" w:rsidP="00E93EAE">
      <w:pPr>
        <w:pStyle w:val="BodyText"/>
        <w:spacing w:before="120"/>
        <w:ind w:left="113" w:right="951"/>
        <w:jc w:val="both"/>
      </w:pPr>
      <w:r>
        <w:t xml:space="preserve">The data requested in </w:t>
      </w:r>
      <w:r w:rsidR="00372388">
        <w:t>the quantitative submission</w:t>
      </w:r>
      <w:r>
        <w:t xml:space="preserve"> should be inserted in the dedicated sheets of the following ‘response template’ </w:t>
      </w:r>
      <w:r>
        <w:rPr>
          <w:u w:val="single"/>
        </w:rPr>
        <w:t>spreadsheet</w:t>
      </w:r>
      <w:r>
        <w:t>:</w:t>
      </w:r>
    </w:p>
    <w:p w14:paraId="07C61354" w14:textId="63710390" w:rsidR="000829BF" w:rsidRDefault="0013206A" w:rsidP="00E93EAE">
      <w:pPr>
        <w:pStyle w:val="ListParagraph"/>
        <w:numPr>
          <w:ilvl w:val="0"/>
          <w:numId w:val="18"/>
        </w:numPr>
        <w:tabs>
          <w:tab w:val="left" w:pos="834"/>
        </w:tabs>
        <w:spacing w:before="122"/>
        <w:ind w:right="951" w:hanging="361"/>
        <w:jc w:val="both"/>
      </w:pPr>
      <w:r>
        <w:t>‘</w:t>
      </w:r>
      <w:r w:rsidR="000829BF">
        <w:t>xxx</w:t>
      </w:r>
      <w:r>
        <w:t>.xlsx’,</w:t>
      </w:r>
    </w:p>
    <w:p w14:paraId="45EACFC2" w14:textId="77777777" w:rsidR="0013206A" w:rsidRDefault="0013206A" w:rsidP="00E93EAE">
      <w:pPr>
        <w:pStyle w:val="BodyText"/>
        <w:spacing w:before="5"/>
        <w:ind w:right="951"/>
        <w:jc w:val="both"/>
        <w:rPr>
          <w:sz w:val="20"/>
        </w:rPr>
      </w:pPr>
    </w:p>
    <w:p w14:paraId="5C312C5A" w14:textId="77777777" w:rsidR="0013206A" w:rsidRDefault="0013206A" w:rsidP="00E93EAE">
      <w:pPr>
        <w:ind w:left="113" w:right="951"/>
        <w:jc w:val="both"/>
        <w:rPr>
          <w:i/>
        </w:rPr>
      </w:pPr>
      <w:r>
        <w:rPr>
          <w:i/>
        </w:rPr>
        <w:t>Data quality</w:t>
      </w:r>
    </w:p>
    <w:p w14:paraId="657F6198" w14:textId="717737CC" w:rsidR="0013206A" w:rsidRDefault="0013206A" w:rsidP="00E93EAE">
      <w:pPr>
        <w:pStyle w:val="BodyText"/>
        <w:spacing w:before="122" w:line="242" w:lineRule="auto"/>
        <w:ind w:left="113" w:right="951"/>
        <w:jc w:val="both"/>
      </w:pPr>
      <w:r>
        <w:t xml:space="preserve">Please note that </w:t>
      </w:r>
      <w:r w:rsidR="009D245C">
        <w:t xml:space="preserve">undertakings </w:t>
      </w:r>
      <w:r>
        <w:t xml:space="preserve">are expected to verify the correctness of </w:t>
      </w:r>
      <w:r w:rsidR="009D245C">
        <w:t>their</w:t>
      </w:r>
      <w:r>
        <w:t xml:space="preserve"> response to this data request before handing in </w:t>
      </w:r>
      <w:r w:rsidR="009D245C">
        <w:t xml:space="preserve">their </w:t>
      </w:r>
      <w:r>
        <w:t>answers.</w:t>
      </w:r>
    </w:p>
    <w:p w14:paraId="62CFE972" w14:textId="77777777" w:rsidR="0013206A" w:rsidRDefault="0013206A" w:rsidP="00E93EAE">
      <w:pPr>
        <w:spacing w:before="233"/>
        <w:ind w:left="113" w:right="951"/>
        <w:jc w:val="both"/>
        <w:rPr>
          <w:i/>
        </w:rPr>
      </w:pPr>
      <w:r>
        <w:rPr>
          <w:i/>
        </w:rPr>
        <w:t>Number format</w:t>
      </w:r>
    </w:p>
    <w:p w14:paraId="5D3BA376" w14:textId="77777777" w:rsidR="0013206A" w:rsidRDefault="0013206A" w:rsidP="00E93EAE">
      <w:pPr>
        <w:pStyle w:val="BodyText"/>
        <w:spacing w:before="4"/>
        <w:ind w:right="951"/>
        <w:jc w:val="both"/>
        <w:rPr>
          <w:i/>
          <w:sz w:val="20"/>
        </w:rPr>
      </w:pPr>
    </w:p>
    <w:p w14:paraId="66DBEBE1" w14:textId="047F90E0" w:rsidR="003F0A90" w:rsidRDefault="003F0A90" w:rsidP="00E93EAE">
      <w:pPr>
        <w:pStyle w:val="BodyText"/>
        <w:ind w:left="113" w:right="951"/>
        <w:jc w:val="both"/>
        <w:rPr>
          <w:rStyle w:val="tlid-translation"/>
          <w:lang w:val="en"/>
        </w:rPr>
      </w:pPr>
      <w:r>
        <w:rPr>
          <w:rStyle w:val="tlid-translation"/>
          <w:lang w:val="en"/>
        </w:rPr>
        <w:t>The economic quantities must be indicated in the unit of the currency used. Do not use data in thousands, millions, etc…</w:t>
      </w:r>
    </w:p>
    <w:p w14:paraId="76894588" w14:textId="187EA4EE" w:rsidR="00C27EAD" w:rsidRPr="006C6071" w:rsidRDefault="00957814" w:rsidP="00E93EAE">
      <w:pPr>
        <w:pStyle w:val="Heading1"/>
        <w:numPr>
          <w:ilvl w:val="0"/>
          <w:numId w:val="13"/>
        </w:numPr>
        <w:spacing w:before="176"/>
        <w:ind w:left="567" w:right="951" w:hanging="567"/>
        <w:jc w:val="both"/>
      </w:pPr>
      <w:bookmarkStart w:id="18" w:name="_Toc47537716"/>
      <w:bookmarkStart w:id="19" w:name="_Toc48679254"/>
      <w:r>
        <w:t>Appendix</w:t>
      </w:r>
      <w:bookmarkEnd w:id="18"/>
      <w:bookmarkEnd w:id="19"/>
    </w:p>
    <w:p w14:paraId="3A631F6C" w14:textId="03576F0E" w:rsidR="00CE31F4" w:rsidRPr="00CE31F4" w:rsidRDefault="007A3E9B" w:rsidP="00E93EAE">
      <w:pPr>
        <w:pStyle w:val="Heading1"/>
        <w:numPr>
          <w:ilvl w:val="1"/>
          <w:numId w:val="3"/>
        </w:numPr>
        <w:spacing w:before="174"/>
        <w:ind w:left="567" w:right="951" w:hanging="567"/>
        <w:jc w:val="both"/>
      </w:pPr>
      <w:bookmarkStart w:id="20" w:name="_Toc47537718"/>
      <w:bookmarkStart w:id="21" w:name="_Toc48679256"/>
      <w:r>
        <w:t xml:space="preserve">Appendix </w:t>
      </w:r>
      <w:r w:rsidR="006403FA">
        <w:t>1</w:t>
      </w:r>
      <w:r>
        <w:t>: v</w:t>
      </w:r>
      <w:r w:rsidR="00CE31F4" w:rsidRPr="00CE31F4">
        <w:t>alidation checks</w:t>
      </w:r>
      <w:bookmarkEnd w:id="20"/>
      <w:bookmarkEnd w:id="21"/>
    </w:p>
    <w:p w14:paraId="07B93719" w14:textId="2AE2BBC6" w:rsidR="00CE31F4" w:rsidRPr="00913B17" w:rsidRDefault="00CE31F4" w:rsidP="00E93EAE">
      <w:pPr>
        <w:pStyle w:val="BodyText"/>
        <w:ind w:left="1134" w:right="951"/>
        <w:jc w:val="both"/>
        <w:rPr>
          <w:rStyle w:val="tlid-translation"/>
        </w:rPr>
      </w:pPr>
      <w:r w:rsidRPr="00913B17">
        <w:rPr>
          <w:rStyle w:val="tlid-translation"/>
        </w:rPr>
        <w:t>Here the validation checks in the excel format are described (</w:t>
      </w:r>
      <w:r w:rsidR="004E3CE4" w:rsidRPr="00913B17">
        <w:rPr>
          <w:rStyle w:val="tlid-translation"/>
        </w:rPr>
        <w:t>obviously</w:t>
      </w:r>
      <w:r w:rsidRPr="00913B17">
        <w:rPr>
          <w:rStyle w:val="tlid-translation"/>
        </w:rPr>
        <w:t xml:space="preserve"> this section of the </w:t>
      </w:r>
      <w:r w:rsidR="001410D1">
        <w:rPr>
          <w:rStyle w:val="tlid-translation"/>
        </w:rPr>
        <w:t>E</w:t>
      </w:r>
      <w:r w:rsidRPr="00913B17">
        <w:rPr>
          <w:rStyle w:val="tlid-translation"/>
        </w:rPr>
        <w:t xml:space="preserve">xcel does not need to be completed by the </w:t>
      </w:r>
      <w:r w:rsidR="00571C18">
        <w:rPr>
          <w:rStyle w:val="tlid-translation"/>
        </w:rPr>
        <w:t>undertaking</w:t>
      </w:r>
      <w:r w:rsidR="00571C18" w:rsidRPr="00913B17">
        <w:rPr>
          <w:rStyle w:val="tlid-translation"/>
        </w:rPr>
        <w:t xml:space="preserve"> </w:t>
      </w:r>
      <w:r w:rsidRPr="00913B17">
        <w:rPr>
          <w:rStyle w:val="tlid-translation"/>
        </w:rPr>
        <w:t>or the group).</w:t>
      </w:r>
    </w:p>
    <w:p w14:paraId="67836AC9" w14:textId="77777777" w:rsidR="00CE31F4" w:rsidRPr="00F60EA7" w:rsidRDefault="00CE31F4" w:rsidP="00E93EAE">
      <w:pPr>
        <w:pStyle w:val="BodyText"/>
        <w:ind w:left="1134" w:right="951"/>
        <w:jc w:val="both"/>
        <w:rPr>
          <w:rStyle w:val="tlid-translation"/>
        </w:rPr>
      </w:pPr>
      <w:r w:rsidRPr="00913B17">
        <w:rPr>
          <w:rStyle w:val="tlid-translation"/>
        </w:rPr>
        <w:t xml:space="preserve">The following </w:t>
      </w:r>
      <w:r w:rsidRPr="00F60EA7">
        <w:rPr>
          <w:rStyle w:val="tlid-translation"/>
        </w:rPr>
        <w:t>checks, scenario by scenario, are implemented:</w:t>
      </w:r>
    </w:p>
    <w:p w14:paraId="37A47D68" w14:textId="2CC7976E" w:rsidR="00CE31F4" w:rsidRPr="00AF5CCE" w:rsidRDefault="00CE31F4" w:rsidP="00E93EAE">
      <w:pPr>
        <w:pStyle w:val="ListParagraph"/>
        <w:numPr>
          <w:ilvl w:val="0"/>
          <w:numId w:val="36"/>
        </w:numPr>
        <w:ind w:right="951"/>
        <w:jc w:val="both"/>
        <w:rPr>
          <w:rStyle w:val="tlid-translation"/>
          <w:bCs/>
          <w:color w:val="000000" w:themeColor="text1"/>
          <w:lang w:val="en"/>
        </w:rPr>
      </w:pPr>
      <w:r w:rsidRPr="00F60EA7">
        <w:rPr>
          <w:rStyle w:val="tlid-translation"/>
          <w:color w:val="000000" w:themeColor="text1"/>
          <w:lang w:val="en"/>
        </w:rPr>
        <w:t>The total in sheets “</w:t>
      </w:r>
      <w:r w:rsidR="00D71C4E" w:rsidRPr="00F60EA7">
        <w:rPr>
          <w:rStyle w:val="tlid-translation"/>
          <w:color w:val="000000" w:themeColor="text1"/>
          <w:lang w:val="en"/>
        </w:rPr>
        <w:t>Standardized</w:t>
      </w:r>
      <w:r w:rsidRPr="00F60EA7">
        <w:rPr>
          <w:rStyle w:val="tlid-translation"/>
          <w:color w:val="000000" w:themeColor="text1"/>
          <w:lang w:val="en"/>
        </w:rPr>
        <w:t xml:space="preserve"> model reporting” and “Internal model reporting” should have the same value.</w:t>
      </w:r>
    </w:p>
    <w:p w14:paraId="52EF1552" w14:textId="77777777" w:rsidR="00AF5CCE" w:rsidRPr="00F60EA7" w:rsidRDefault="00AF5CCE" w:rsidP="008B75A1">
      <w:pPr>
        <w:pStyle w:val="ListParagraph"/>
        <w:ind w:left="1800" w:right="951" w:firstLine="0"/>
        <w:jc w:val="both"/>
        <w:rPr>
          <w:rStyle w:val="tlid-translation"/>
          <w:bCs/>
          <w:color w:val="000000" w:themeColor="text1"/>
          <w:lang w:val="en"/>
        </w:rPr>
      </w:pPr>
    </w:p>
    <w:p w14:paraId="3C6BD732" w14:textId="000931C7" w:rsidR="00CE31F4" w:rsidRPr="00C66FC2" w:rsidRDefault="00CE31F4" w:rsidP="00E93EAE">
      <w:pPr>
        <w:ind w:left="1134" w:right="951"/>
        <w:jc w:val="both"/>
        <w:rPr>
          <w:rStyle w:val="tlid-translation"/>
          <w:bCs/>
          <w:color w:val="000000" w:themeColor="text1"/>
          <w:lang w:val="en"/>
        </w:rPr>
      </w:pPr>
      <w:r w:rsidRPr="00C66FC2">
        <w:rPr>
          <w:rStyle w:val="tlid-translation"/>
          <w:bCs/>
          <w:color w:val="000000" w:themeColor="text1"/>
          <w:lang w:val="en"/>
        </w:rPr>
        <w:t>Concerning the “</w:t>
      </w:r>
      <w:r w:rsidR="00D71C4E" w:rsidRPr="00C66FC2">
        <w:rPr>
          <w:rStyle w:val="tlid-translation"/>
          <w:bCs/>
          <w:color w:val="000000" w:themeColor="text1"/>
          <w:lang w:val="en"/>
        </w:rPr>
        <w:t>Standardized</w:t>
      </w:r>
      <w:r w:rsidRPr="00C66FC2">
        <w:rPr>
          <w:rStyle w:val="tlid-translation"/>
          <w:bCs/>
          <w:color w:val="000000" w:themeColor="text1"/>
          <w:lang w:val="en"/>
        </w:rPr>
        <w:t xml:space="preserve"> model reporting” the following check, on a scenario by scenario base, is implemented:</w:t>
      </w:r>
    </w:p>
    <w:p w14:paraId="102B7FE5" w14:textId="08153FF7" w:rsidR="00CE31F4" w:rsidRPr="00DD737A" w:rsidRDefault="00CE31F4" w:rsidP="00E93EAE">
      <w:pPr>
        <w:pStyle w:val="ListParagraph"/>
        <w:numPr>
          <w:ilvl w:val="0"/>
          <w:numId w:val="36"/>
        </w:numPr>
        <w:ind w:right="951"/>
        <w:jc w:val="both"/>
        <w:rPr>
          <w:rStyle w:val="tlid-translation"/>
          <w:color w:val="000000" w:themeColor="text1"/>
          <w:lang w:val="en"/>
        </w:rPr>
      </w:pPr>
      <w:r w:rsidRPr="00DD737A">
        <w:rPr>
          <w:rStyle w:val="tlid-translation"/>
          <w:color w:val="000000" w:themeColor="text1"/>
          <w:lang w:val="en"/>
        </w:rPr>
        <w:t xml:space="preserve">Total (col. D) is equal to the sum of cross-terms (col. E), market (col. F), credit (col. G), life (col. H), </w:t>
      </w:r>
      <w:r w:rsidR="006B250C" w:rsidRPr="00DD737A">
        <w:rPr>
          <w:rStyle w:val="tlid-translation"/>
          <w:color w:val="000000" w:themeColor="text1"/>
          <w:lang w:val="en"/>
        </w:rPr>
        <w:t>non-life</w:t>
      </w:r>
      <w:r w:rsidRPr="00DD737A">
        <w:rPr>
          <w:rStyle w:val="tlid-translation"/>
          <w:color w:val="000000" w:themeColor="text1"/>
          <w:lang w:val="en"/>
        </w:rPr>
        <w:t xml:space="preserve"> (col. I), health (col. J), operational (col. K) and other (col. L).</w:t>
      </w:r>
    </w:p>
    <w:p w14:paraId="0A88DABE" w14:textId="77777777" w:rsidR="00AF5CCE" w:rsidRDefault="00AF5CCE" w:rsidP="00E93EAE">
      <w:pPr>
        <w:ind w:left="1134" w:right="951"/>
        <w:jc w:val="both"/>
        <w:rPr>
          <w:rStyle w:val="tlid-translation"/>
          <w:bCs/>
          <w:color w:val="000000" w:themeColor="text1"/>
          <w:lang w:val="en"/>
        </w:rPr>
      </w:pPr>
    </w:p>
    <w:p w14:paraId="6FD628CA" w14:textId="132EEEB9" w:rsidR="00CE31F4" w:rsidRPr="00FE3E5F" w:rsidRDefault="00CE31F4" w:rsidP="00E93EAE">
      <w:pPr>
        <w:ind w:left="1134" w:right="951"/>
        <w:jc w:val="both"/>
        <w:rPr>
          <w:rStyle w:val="tlid-translation"/>
          <w:bCs/>
          <w:color w:val="000000" w:themeColor="text1"/>
          <w:lang w:val="en"/>
        </w:rPr>
      </w:pPr>
      <w:r w:rsidRPr="00FE3E5F">
        <w:rPr>
          <w:rStyle w:val="tlid-translation"/>
          <w:bCs/>
          <w:color w:val="000000" w:themeColor="text1"/>
          <w:lang w:val="en"/>
        </w:rPr>
        <w:t>Concerning the “Internal model reporting”, on a scenario by scenario base, the following checks are implemented:</w:t>
      </w:r>
    </w:p>
    <w:p w14:paraId="05E7BADB" w14:textId="1D5BF3B6" w:rsidR="00CE31F4" w:rsidRPr="00DD737A" w:rsidRDefault="00CE31F4" w:rsidP="00E93EAE">
      <w:pPr>
        <w:pStyle w:val="ListParagraph"/>
        <w:numPr>
          <w:ilvl w:val="0"/>
          <w:numId w:val="36"/>
        </w:numPr>
        <w:ind w:right="951"/>
        <w:jc w:val="both"/>
        <w:rPr>
          <w:rStyle w:val="tlid-translation"/>
          <w:bCs/>
          <w:color w:val="000000" w:themeColor="text1"/>
          <w:lang w:val="en"/>
        </w:rPr>
      </w:pPr>
      <w:r w:rsidRPr="00DD737A">
        <w:rPr>
          <w:rStyle w:val="tlid-translation"/>
          <w:bCs/>
          <w:color w:val="000000" w:themeColor="text1"/>
          <w:lang w:val="en"/>
        </w:rPr>
        <w:t xml:space="preserve">Total (column D) is equal to the sum of cross terms (col. E), market (col. F), credit (col. N), business (col. S), life (col. X), </w:t>
      </w:r>
      <w:r w:rsidR="006B250C" w:rsidRPr="00DD737A">
        <w:rPr>
          <w:rStyle w:val="tlid-translation"/>
          <w:bCs/>
          <w:color w:val="000000" w:themeColor="text1"/>
          <w:lang w:val="en"/>
        </w:rPr>
        <w:t>non-life</w:t>
      </w:r>
      <w:r w:rsidRPr="00DD737A">
        <w:rPr>
          <w:rStyle w:val="tlid-translation"/>
          <w:bCs/>
          <w:color w:val="000000" w:themeColor="text1"/>
          <w:lang w:val="en"/>
        </w:rPr>
        <w:t xml:space="preserve"> (col. AD), health (col. AH), operational (col. AK) and other (col. AN) risks.</w:t>
      </w:r>
    </w:p>
    <w:p w14:paraId="25F82593" w14:textId="77777777" w:rsidR="00CE31F4" w:rsidRPr="00DD737A" w:rsidRDefault="00CE31F4" w:rsidP="00E93EAE">
      <w:pPr>
        <w:pStyle w:val="ListParagraph"/>
        <w:numPr>
          <w:ilvl w:val="0"/>
          <w:numId w:val="36"/>
        </w:numPr>
        <w:ind w:right="951"/>
        <w:jc w:val="both"/>
        <w:rPr>
          <w:rStyle w:val="tlid-translation"/>
          <w:bCs/>
          <w:color w:val="000000" w:themeColor="text1"/>
          <w:lang w:val="en"/>
        </w:rPr>
      </w:pPr>
      <w:r w:rsidRPr="00DD737A">
        <w:rPr>
          <w:rStyle w:val="tlid-translation"/>
          <w:bCs/>
          <w:color w:val="000000" w:themeColor="text1"/>
          <w:lang w:val="en"/>
        </w:rPr>
        <w:t>Market risk (col. F) is equal to the sum of migration and default (col. G), inflation included in market (col. H) and other market risks including cross-terms (col. M).</w:t>
      </w:r>
    </w:p>
    <w:p w14:paraId="3BC62CDA" w14:textId="77777777" w:rsidR="00CE31F4" w:rsidRPr="00DD737A" w:rsidRDefault="00CE31F4" w:rsidP="00E93EAE">
      <w:pPr>
        <w:pStyle w:val="ListParagraph"/>
        <w:numPr>
          <w:ilvl w:val="0"/>
          <w:numId w:val="36"/>
        </w:numPr>
        <w:ind w:right="951"/>
        <w:jc w:val="both"/>
        <w:rPr>
          <w:rStyle w:val="tlid-translation"/>
          <w:bCs/>
          <w:color w:val="000000" w:themeColor="text1"/>
          <w:lang w:val="en"/>
        </w:rPr>
      </w:pPr>
      <w:r w:rsidRPr="00DD737A">
        <w:rPr>
          <w:rStyle w:val="tlid-translation"/>
          <w:bCs/>
          <w:color w:val="000000" w:themeColor="text1"/>
          <w:lang w:val="en"/>
        </w:rPr>
        <w:t>Inflation risk included in market risk (col. H) is equal to the sum of inflation risk life included in market risk (excluding non-life annuities) (col. I) and inflation risk non-life included in market risk (incl. non-life annuities) (col. L).</w:t>
      </w:r>
    </w:p>
    <w:p w14:paraId="3CB386BB" w14:textId="77777777" w:rsidR="00CE31F4" w:rsidRPr="00DD737A" w:rsidRDefault="00CE31F4" w:rsidP="00E93EAE">
      <w:pPr>
        <w:pStyle w:val="ListParagraph"/>
        <w:numPr>
          <w:ilvl w:val="0"/>
          <w:numId w:val="36"/>
        </w:numPr>
        <w:ind w:right="951"/>
        <w:jc w:val="both"/>
        <w:rPr>
          <w:rStyle w:val="tlid-translation"/>
          <w:color w:val="000000" w:themeColor="text1"/>
        </w:rPr>
      </w:pPr>
      <w:r w:rsidRPr="00DD737A">
        <w:rPr>
          <w:rStyle w:val="tlid-translation"/>
          <w:bCs/>
          <w:color w:val="000000" w:themeColor="text1"/>
          <w:lang w:val="en"/>
        </w:rPr>
        <w:t>Credit risk (col. N) is equal to the sum of credit spread risk financial instruments included in credit risk (col. O), premium risk credit &amp; suretyship included in credit risk (col. P), FX risk credit risk included in credit risk (col. Q) and other credit risks including cross-terms (col. R).</w:t>
      </w:r>
    </w:p>
    <w:p w14:paraId="4E447E1D" w14:textId="77777777" w:rsidR="00CE31F4" w:rsidRPr="00DD737A" w:rsidRDefault="00CE31F4" w:rsidP="00E93EAE">
      <w:pPr>
        <w:pStyle w:val="ListParagraph"/>
        <w:numPr>
          <w:ilvl w:val="0"/>
          <w:numId w:val="36"/>
        </w:numPr>
        <w:ind w:right="951"/>
        <w:jc w:val="both"/>
        <w:rPr>
          <w:lang w:val="en"/>
        </w:rPr>
      </w:pPr>
      <w:r w:rsidRPr="00DD737A">
        <w:rPr>
          <w:lang w:val="en"/>
        </w:rPr>
        <w:t>Business risk (col. S) is equal to the sum of business risk life (col. T), business risk non-life (col.U), business risk health (col V) and FX risk business risk (col. W).</w:t>
      </w:r>
    </w:p>
    <w:p w14:paraId="34A6F1A2" w14:textId="77777777" w:rsidR="00CE31F4" w:rsidRPr="00DD737A" w:rsidRDefault="00CE31F4" w:rsidP="00E93EAE">
      <w:pPr>
        <w:pStyle w:val="ListParagraph"/>
        <w:numPr>
          <w:ilvl w:val="0"/>
          <w:numId w:val="36"/>
        </w:numPr>
        <w:ind w:right="951"/>
        <w:jc w:val="both"/>
        <w:rPr>
          <w:lang w:val="en"/>
        </w:rPr>
      </w:pPr>
      <w:r w:rsidRPr="00DD737A">
        <w:rPr>
          <w:lang w:val="en"/>
        </w:rPr>
        <w:lastRenderedPageBreak/>
        <w:t>Life risk (col. X) is equal to the sum of non-life annuities included in life (col. Y), health liabilities included in life (col. Z), pension risk (col. AA), FX risk life included in life (col. AB) and other life underwriting risks including cross-terms (col AC).</w:t>
      </w:r>
    </w:p>
    <w:p w14:paraId="03909831" w14:textId="77777777" w:rsidR="00CE31F4" w:rsidRPr="00DD737A" w:rsidRDefault="00CE31F4" w:rsidP="00E93EAE">
      <w:pPr>
        <w:pStyle w:val="ListParagraph"/>
        <w:numPr>
          <w:ilvl w:val="0"/>
          <w:numId w:val="36"/>
        </w:numPr>
        <w:ind w:right="951"/>
        <w:jc w:val="both"/>
        <w:rPr>
          <w:lang w:val="en"/>
        </w:rPr>
      </w:pPr>
      <w:r w:rsidRPr="00DD737A">
        <w:rPr>
          <w:lang w:val="en"/>
        </w:rPr>
        <w:t>Non-life risk (col. AD) is equal to the sum of non-life underwriting risks health liabilities included in life (col. AE), FX risk included in non-life (col. AF) and other non-life underwriting risks (col. AG)</w:t>
      </w:r>
    </w:p>
    <w:p w14:paraId="5D2B3616" w14:textId="77777777" w:rsidR="00CE31F4" w:rsidRPr="00DD737A" w:rsidRDefault="00CE31F4" w:rsidP="00E93EAE">
      <w:pPr>
        <w:pStyle w:val="ListParagraph"/>
        <w:numPr>
          <w:ilvl w:val="0"/>
          <w:numId w:val="36"/>
        </w:numPr>
        <w:ind w:right="951"/>
        <w:jc w:val="both"/>
        <w:rPr>
          <w:lang w:val="en"/>
        </w:rPr>
      </w:pPr>
      <w:r w:rsidRPr="00DD737A">
        <w:rPr>
          <w:lang w:val="en"/>
        </w:rPr>
        <w:t>Business risk (col. AH) is equal to the sum of FX risk health (col. AI) and other health risks (col AJ)</w:t>
      </w:r>
    </w:p>
    <w:p w14:paraId="5DC6E33A" w14:textId="77777777" w:rsidR="00CE31F4" w:rsidRPr="00DD737A" w:rsidRDefault="00CE31F4" w:rsidP="00E93EAE">
      <w:pPr>
        <w:pStyle w:val="ListParagraph"/>
        <w:numPr>
          <w:ilvl w:val="0"/>
          <w:numId w:val="36"/>
        </w:numPr>
        <w:ind w:right="951"/>
        <w:jc w:val="both"/>
      </w:pPr>
      <w:r w:rsidRPr="00DD737A">
        <w:rPr>
          <w:lang w:val="en"/>
        </w:rPr>
        <w:t>Operational risk (col. AK) is equal to the sum of FX risk included in operational risk (col. AL) and other operational risk (col. AM)</w:t>
      </w:r>
    </w:p>
    <w:p w14:paraId="3207FDDD" w14:textId="77777777" w:rsidR="00CE31F4" w:rsidRPr="00BA10D7" w:rsidRDefault="00CE31F4" w:rsidP="00E93EAE">
      <w:pPr>
        <w:pStyle w:val="ListParagraph"/>
        <w:numPr>
          <w:ilvl w:val="0"/>
          <w:numId w:val="36"/>
        </w:numPr>
        <w:ind w:right="951"/>
        <w:jc w:val="both"/>
      </w:pPr>
      <w:r w:rsidRPr="00DD737A">
        <w:rPr>
          <w:lang w:val="en"/>
        </w:rPr>
        <w:t>Other IM risks (col. AN) is equal to the sum of liquidity (col. AO) and pension (col. AP) risks</w:t>
      </w:r>
    </w:p>
    <w:p w14:paraId="0B2C024F" w14:textId="77777777" w:rsidR="00CE31F4" w:rsidRPr="00CE31F4" w:rsidRDefault="00CE31F4" w:rsidP="00E93EAE">
      <w:pPr>
        <w:pStyle w:val="BodyText"/>
        <w:spacing w:before="122" w:line="242" w:lineRule="auto"/>
        <w:ind w:left="113" w:right="951"/>
        <w:jc w:val="both"/>
        <w:rPr>
          <w:color w:val="000000" w:themeColor="text1"/>
        </w:rPr>
      </w:pPr>
    </w:p>
    <w:sectPr w:rsidR="00CE31F4" w:rsidRPr="00CE31F4">
      <w:footerReference w:type="default" r:id="rId13"/>
      <w:pgSz w:w="11910" w:h="16850"/>
      <w:pgMar w:top="1060" w:right="300" w:bottom="780" w:left="1020" w:header="0" w:footer="599"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AE013C" w16cid:durableId="230F72FD"/>
  <w16cid:commentId w16cid:paraId="1C6DB4DB" w16cid:durableId="230F732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CCB2F" w14:textId="77777777" w:rsidR="00EE5FB5" w:rsidRDefault="00EE5FB5">
      <w:r>
        <w:separator/>
      </w:r>
    </w:p>
  </w:endnote>
  <w:endnote w:type="continuationSeparator" w:id="0">
    <w:p w14:paraId="55684D5A" w14:textId="77777777" w:rsidR="00EE5FB5" w:rsidRDefault="00EE5FB5">
      <w:r>
        <w:continuationSeparator/>
      </w:r>
    </w:p>
  </w:endnote>
  <w:endnote w:type="continuationNotice" w:id="1">
    <w:p w14:paraId="62058BFB" w14:textId="77777777" w:rsidR="00EE5FB5" w:rsidRDefault="00EE5F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AC508" w14:textId="74FBAB30" w:rsidR="00196009" w:rsidRDefault="00196009">
    <w:pPr>
      <w:pStyle w:val="Footer"/>
      <w:jc w:val="center"/>
    </w:pPr>
  </w:p>
  <w:sdt>
    <w:sdtPr>
      <w:id w:val="-1193138470"/>
      <w:docPartObj>
        <w:docPartGallery w:val="Page Numbers (Bottom of Page)"/>
        <w:docPartUnique/>
      </w:docPartObj>
    </w:sdtPr>
    <w:sdtEndPr/>
    <w:sdtContent>
      <w:sdt>
        <w:sdtPr>
          <w:id w:val="-1705238520"/>
          <w:docPartObj>
            <w:docPartGallery w:val="Page Numbers (Top of Page)"/>
            <w:docPartUnique/>
          </w:docPartObj>
        </w:sdtPr>
        <w:sdtEndPr/>
        <w:sdtContent>
          <w:p w14:paraId="46A8D45D" w14:textId="2B501CBE" w:rsidR="00196009" w:rsidRDefault="00196009" w:rsidP="008B75A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2253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2253E">
              <w:rPr>
                <w:b/>
                <w:bCs/>
                <w:noProof/>
              </w:rPr>
              <w:t>14</w:t>
            </w:r>
            <w:r>
              <w:rPr>
                <w:b/>
                <w:bCs/>
                <w:sz w:val="24"/>
                <w:szCs w:val="24"/>
              </w:rPr>
              <w:fldChar w:fldCharType="end"/>
            </w:r>
          </w:p>
        </w:sdtContent>
      </w:sdt>
    </w:sdtContent>
  </w:sdt>
  <w:p w14:paraId="3E6BB059" w14:textId="1A799DD6" w:rsidR="00196009" w:rsidRDefault="0019600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A5AC1" w14:textId="77777777" w:rsidR="00EE5FB5" w:rsidRDefault="00EE5FB5">
      <w:r>
        <w:separator/>
      </w:r>
    </w:p>
  </w:footnote>
  <w:footnote w:type="continuationSeparator" w:id="0">
    <w:p w14:paraId="5DBD1178" w14:textId="77777777" w:rsidR="00EE5FB5" w:rsidRDefault="00EE5FB5">
      <w:r>
        <w:continuationSeparator/>
      </w:r>
    </w:p>
  </w:footnote>
  <w:footnote w:type="continuationNotice" w:id="1">
    <w:p w14:paraId="6A38681A" w14:textId="77777777" w:rsidR="00EE5FB5" w:rsidRDefault="00EE5FB5"/>
  </w:footnote>
  <w:footnote w:id="2">
    <w:p w14:paraId="3D5C05B5" w14:textId="2C82D4DC" w:rsidR="00196009" w:rsidRPr="00DF0457" w:rsidRDefault="00196009">
      <w:pPr>
        <w:pStyle w:val="FootnoteText"/>
        <w:rPr>
          <w:lang w:val="en-GB"/>
        </w:rPr>
      </w:pPr>
      <w:r>
        <w:rPr>
          <w:rStyle w:val="FootnoteReference"/>
        </w:rPr>
        <w:footnoteRef/>
      </w:r>
      <w:r>
        <w:t xml:space="preserve"> </w:t>
      </w:r>
      <w:r w:rsidRPr="00332FFE">
        <w:t>https://www.eiopa.europa.eu/content/preparation-internal-model-applications%E2%80%8B%E2%80%8B_en?source=search</w:t>
      </w:r>
    </w:p>
  </w:footnote>
  <w:footnote w:id="3">
    <w:p w14:paraId="5E8408E3" w14:textId="1F69FB88" w:rsidR="00196009" w:rsidRPr="006167A2" w:rsidRDefault="00196009">
      <w:pPr>
        <w:pStyle w:val="FootnoteText"/>
      </w:pPr>
      <w:r>
        <w:rPr>
          <w:rStyle w:val="FootnoteReference"/>
        </w:rPr>
        <w:footnoteRef/>
      </w:r>
      <w:r>
        <w:t xml:space="preserve"> Excluding UK</w:t>
      </w:r>
    </w:p>
  </w:footnote>
  <w:footnote w:id="4">
    <w:p w14:paraId="51C6BE77" w14:textId="19F4E683" w:rsidR="00196009" w:rsidRPr="000829BF" w:rsidRDefault="00196009">
      <w:pPr>
        <w:pStyle w:val="FootnoteText"/>
      </w:pPr>
      <w:r>
        <w:rPr>
          <w:rStyle w:val="FootnoteReference"/>
        </w:rPr>
        <w:footnoteRef/>
      </w:r>
      <w:r w:rsidRPr="000829BF">
        <w:t>Please note that regarding any relevant change in the deadline, the decision will have to be discussed with the EIOPA Diversification Project Group to ensure that the overall project schedule is not materially impaired.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662EF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E35B8"/>
    <w:multiLevelType w:val="hybridMultilevel"/>
    <w:tmpl w:val="42A40C74"/>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1A42F77"/>
    <w:multiLevelType w:val="hybridMultilevel"/>
    <w:tmpl w:val="5014A952"/>
    <w:lvl w:ilvl="0" w:tplc="0813000F">
      <w:start w:val="1"/>
      <w:numFmt w:val="decimal"/>
      <w:lvlText w:val="%1."/>
      <w:lvlJc w:val="left"/>
      <w:pPr>
        <w:ind w:left="833" w:hanging="360"/>
      </w:pPr>
    </w:lvl>
    <w:lvl w:ilvl="1" w:tplc="08130019" w:tentative="1">
      <w:start w:val="1"/>
      <w:numFmt w:val="lowerLetter"/>
      <w:lvlText w:val="%2."/>
      <w:lvlJc w:val="left"/>
      <w:pPr>
        <w:ind w:left="1553" w:hanging="360"/>
      </w:pPr>
    </w:lvl>
    <w:lvl w:ilvl="2" w:tplc="0813001B" w:tentative="1">
      <w:start w:val="1"/>
      <w:numFmt w:val="lowerRoman"/>
      <w:lvlText w:val="%3."/>
      <w:lvlJc w:val="right"/>
      <w:pPr>
        <w:ind w:left="2273" w:hanging="180"/>
      </w:pPr>
    </w:lvl>
    <w:lvl w:ilvl="3" w:tplc="0813000F" w:tentative="1">
      <w:start w:val="1"/>
      <w:numFmt w:val="decimal"/>
      <w:lvlText w:val="%4."/>
      <w:lvlJc w:val="left"/>
      <w:pPr>
        <w:ind w:left="2993" w:hanging="360"/>
      </w:pPr>
    </w:lvl>
    <w:lvl w:ilvl="4" w:tplc="08130019" w:tentative="1">
      <w:start w:val="1"/>
      <w:numFmt w:val="lowerLetter"/>
      <w:lvlText w:val="%5."/>
      <w:lvlJc w:val="left"/>
      <w:pPr>
        <w:ind w:left="3713" w:hanging="360"/>
      </w:pPr>
    </w:lvl>
    <w:lvl w:ilvl="5" w:tplc="0813001B" w:tentative="1">
      <w:start w:val="1"/>
      <w:numFmt w:val="lowerRoman"/>
      <w:lvlText w:val="%6."/>
      <w:lvlJc w:val="right"/>
      <w:pPr>
        <w:ind w:left="4433" w:hanging="180"/>
      </w:pPr>
    </w:lvl>
    <w:lvl w:ilvl="6" w:tplc="0813000F" w:tentative="1">
      <w:start w:val="1"/>
      <w:numFmt w:val="decimal"/>
      <w:lvlText w:val="%7."/>
      <w:lvlJc w:val="left"/>
      <w:pPr>
        <w:ind w:left="5153" w:hanging="360"/>
      </w:pPr>
    </w:lvl>
    <w:lvl w:ilvl="7" w:tplc="08130019" w:tentative="1">
      <w:start w:val="1"/>
      <w:numFmt w:val="lowerLetter"/>
      <w:lvlText w:val="%8."/>
      <w:lvlJc w:val="left"/>
      <w:pPr>
        <w:ind w:left="5873" w:hanging="360"/>
      </w:pPr>
    </w:lvl>
    <w:lvl w:ilvl="8" w:tplc="0813001B" w:tentative="1">
      <w:start w:val="1"/>
      <w:numFmt w:val="lowerRoman"/>
      <w:lvlText w:val="%9."/>
      <w:lvlJc w:val="right"/>
      <w:pPr>
        <w:ind w:left="6593" w:hanging="180"/>
      </w:pPr>
    </w:lvl>
  </w:abstractNum>
  <w:abstractNum w:abstractNumId="3" w15:restartNumberingAfterBreak="0">
    <w:nsid w:val="021D41EB"/>
    <w:multiLevelType w:val="hybridMultilevel"/>
    <w:tmpl w:val="3BFCB27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2CA396A"/>
    <w:multiLevelType w:val="hybridMultilevel"/>
    <w:tmpl w:val="567A169E"/>
    <w:lvl w:ilvl="0" w:tplc="E5F48352">
      <w:start w:val="1"/>
      <w:numFmt w:val="decimal"/>
      <w:lvlText w:val="%1."/>
      <w:lvlJc w:val="left"/>
      <w:pPr>
        <w:ind w:left="720" w:hanging="360"/>
      </w:pPr>
      <w:rPr>
        <w:rFonts w:ascii="Cambria" w:eastAsia="Cambria" w:hAnsi="Cambria" w:cs="Cambr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1157A2"/>
    <w:multiLevelType w:val="hybridMultilevel"/>
    <w:tmpl w:val="D5A46DAA"/>
    <w:lvl w:ilvl="0" w:tplc="331ABC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3241F67"/>
    <w:multiLevelType w:val="hybridMultilevel"/>
    <w:tmpl w:val="F6C2FDF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6C7234A"/>
    <w:multiLevelType w:val="hybridMultilevel"/>
    <w:tmpl w:val="F11087C6"/>
    <w:lvl w:ilvl="0" w:tplc="4970E39E">
      <w:numFmt w:val="bullet"/>
      <w:lvlText w:val="•"/>
      <w:lvlJc w:val="left"/>
      <w:pPr>
        <w:ind w:left="833" w:hanging="360"/>
      </w:pPr>
      <w:rPr>
        <w:rFonts w:hint="default"/>
        <w:w w:val="100"/>
        <w:lang w:val="en-US" w:eastAsia="en-US" w:bidi="ar-SA"/>
      </w:rPr>
    </w:lvl>
    <w:lvl w:ilvl="1" w:tplc="D7E2AA9C">
      <w:numFmt w:val="bullet"/>
      <w:lvlText w:val="•"/>
      <w:lvlJc w:val="left"/>
      <w:pPr>
        <w:ind w:left="1814" w:hanging="360"/>
      </w:pPr>
      <w:rPr>
        <w:rFonts w:hint="default"/>
        <w:lang w:val="en-US" w:eastAsia="en-US" w:bidi="ar-SA"/>
      </w:rPr>
    </w:lvl>
    <w:lvl w:ilvl="2" w:tplc="BF6E6060">
      <w:numFmt w:val="bullet"/>
      <w:lvlText w:val="•"/>
      <w:lvlJc w:val="left"/>
      <w:pPr>
        <w:ind w:left="2789" w:hanging="360"/>
      </w:pPr>
      <w:rPr>
        <w:rFonts w:hint="default"/>
        <w:lang w:val="en-US" w:eastAsia="en-US" w:bidi="ar-SA"/>
      </w:rPr>
    </w:lvl>
    <w:lvl w:ilvl="3" w:tplc="DFC897D0">
      <w:numFmt w:val="bullet"/>
      <w:lvlText w:val="•"/>
      <w:lvlJc w:val="left"/>
      <w:pPr>
        <w:ind w:left="3763" w:hanging="360"/>
      </w:pPr>
      <w:rPr>
        <w:rFonts w:hint="default"/>
        <w:lang w:val="en-US" w:eastAsia="en-US" w:bidi="ar-SA"/>
      </w:rPr>
    </w:lvl>
    <w:lvl w:ilvl="4" w:tplc="71F42912">
      <w:numFmt w:val="bullet"/>
      <w:lvlText w:val="•"/>
      <w:lvlJc w:val="left"/>
      <w:pPr>
        <w:ind w:left="4738" w:hanging="360"/>
      </w:pPr>
      <w:rPr>
        <w:rFonts w:hint="default"/>
        <w:lang w:val="en-US" w:eastAsia="en-US" w:bidi="ar-SA"/>
      </w:rPr>
    </w:lvl>
    <w:lvl w:ilvl="5" w:tplc="DB641668">
      <w:numFmt w:val="bullet"/>
      <w:lvlText w:val="•"/>
      <w:lvlJc w:val="left"/>
      <w:pPr>
        <w:ind w:left="5713" w:hanging="360"/>
      </w:pPr>
      <w:rPr>
        <w:rFonts w:hint="default"/>
        <w:lang w:val="en-US" w:eastAsia="en-US" w:bidi="ar-SA"/>
      </w:rPr>
    </w:lvl>
    <w:lvl w:ilvl="6" w:tplc="D92E6252">
      <w:numFmt w:val="bullet"/>
      <w:lvlText w:val="•"/>
      <w:lvlJc w:val="left"/>
      <w:pPr>
        <w:ind w:left="6687" w:hanging="360"/>
      </w:pPr>
      <w:rPr>
        <w:rFonts w:hint="default"/>
        <w:lang w:val="en-US" w:eastAsia="en-US" w:bidi="ar-SA"/>
      </w:rPr>
    </w:lvl>
    <w:lvl w:ilvl="7" w:tplc="432C4380">
      <w:numFmt w:val="bullet"/>
      <w:lvlText w:val="•"/>
      <w:lvlJc w:val="left"/>
      <w:pPr>
        <w:ind w:left="7662" w:hanging="360"/>
      </w:pPr>
      <w:rPr>
        <w:rFonts w:hint="default"/>
        <w:lang w:val="en-US" w:eastAsia="en-US" w:bidi="ar-SA"/>
      </w:rPr>
    </w:lvl>
    <w:lvl w:ilvl="8" w:tplc="D0444176">
      <w:numFmt w:val="bullet"/>
      <w:lvlText w:val="•"/>
      <w:lvlJc w:val="left"/>
      <w:pPr>
        <w:ind w:left="8637" w:hanging="360"/>
      </w:pPr>
      <w:rPr>
        <w:rFonts w:hint="default"/>
        <w:lang w:val="en-US" w:eastAsia="en-US" w:bidi="ar-SA"/>
      </w:rPr>
    </w:lvl>
  </w:abstractNum>
  <w:abstractNum w:abstractNumId="8" w15:restartNumberingAfterBreak="0">
    <w:nsid w:val="0757477E"/>
    <w:multiLevelType w:val="hybridMultilevel"/>
    <w:tmpl w:val="0BD413EE"/>
    <w:lvl w:ilvl="0" w:tplc="0410000B">
      <w:start w:val="1"/>
      <w:numFmt w:val="bullet"/>
      <w:lvlText w:val=""/>
      <w:lvlJc w:val="left"/>
      <w:pPr>
        <w:ind w:left="927" w:hanging="360"/>
      </w:pPr>
      <w:rPr>
        <w:rFonts w:ascii="Wingdings" w:hAnsi="Wingdings"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 w15:restartNumberingAfterBreak="0">
    <w:nsid w:val="07933A16"/>
    <w:multiLevelType w:val="hybridMultilevel"/>
    <w:tmpl w:val="1BB8CC4A"/>
    <w:lvl w:ilvl="0" w:tplc="E4343884">
      <w:numFmt w:val="bullet"/>
      <w:lvlText w:val="-"/>
      <w:lvlJc w:val="left"/>
      <w:pPr>
        <w:ind w:left="833" w:hanging="360"/>
      </w:pPr>
      <w:rPr>
        <w:rFonts w:ascii="Cambria" w:eastAsia="Cambria" w:hAnsi="Cambria" w:cs="Cambria" w:hint="default"/>
        <w:w w:val="100"/>
        <w:sz w:val="22"/>
        <w:szCs w:val="22"/>
        <w:lang w:val="en-US" w:eastAsia="en-US" w:bidi="ar-SA"/>
      </w:rPr>
    </w:lvl>
    <w:lvl w:ilvl="1" w:tplc="8DBCFDA8">
      <w:numFmt w:val="bullet"/>
      <w:lvlText w:val="o"/>
      <w:lvlJc w:val="left"/>
      <w:pPr>
        <w:ind w:left="1553" w:hanging="360"/>
      </w:pPr>
      <w:rPr>
        <w:rFonts w:ascii="Courier New" w:eastAsia="Courier New" w:hAnsi="Courier New" w:cs="Courier New" w:hint="default"/>
        <w:w w:val="100"/>
        <w:sz w:val="22"/>
        <w:szCs w:val="22"/>
        <w:lang w:val="en-US" w:eastAsia="en-US" w:bidi="ar-SA"/>
      </w:rPr>
    </w:lvl>
    <w:lvl w:ilvl="2" w:tplc="D124CD6C">
      <w:numFmt w:val="bullet"/>
      <w:lvlText w:val="•"/>
      <w:lvlJc w:val="left"/>
      <w:pPr>
        <w:ind w:left="2562" w:hanging="360"/>
      </w:pPr>
      <w:rPr>
        <w:rFonts w:hint="default"/>
        <w:lang w:val="en-US" w:eastAsia="en-US" w:bidi="ar-SA"/>
      </w:rPr>
    </w:lvl>
    <w:lvl w:ilvl="3" w:tplc="3D18302E">
      <w:numFmt w:val="bullet"/>
      <w:lvlText w:val="•"/>
      <w:lvlJc w:val="left"/>
      <w:pPr>
        <w:ind w:left="3565" w:hanging="360"/>
      </w:pPr>
      <w:rPr>
        <w:rFonts w:hint="default"/>
        <w:lang w:val="en-US" w:eastAsia="en-US" w:bidi="ar-SA"/>
      </w:rPr>
    </w:lvl>
    <w:lvl w:ilvl="4" w:tplc="E0F01AD8">
      <w:numFmt w:val="bullet"/>
      <w:lvlText w:val="•"/>
      <w:lvlJc w:val="left"/>
      <w:pPr>
        <w:ind w:left="4568" w:hanging="360"/>
      </w:pPr>
      <w:rPr>
        <w:rFonts w:hint="default"/>
        <w:lang w:val="en-US" w:eastAsia="en-US" w:bidi="ar-SA"/>
      </w:rPr>
    </w:lvl>
    <w:lvl w:ilvl="5" w:tplc="14788834">
      <w:numFmt w:val="bullet"/>
      <w:lvlText w:val="•"/>
      <w:lvlJc w:val="left"/>
      <w:pPr>
        <w:ind w:left="5571" w:hanging="360"/>
      </w:pPr>
      <w:rPr>
        <w:rFonts w:hint="default"/>
        <w:lang w:val="en-US" w:eastAsia="en-US" w:bidi="ar-SA"/>
      </w:rPr>
    </w:lvl>
    <w:lvl w:ilvl="6" w:tplc="D472D0FC">
      <w:numFmt w:val="bullet"/>
      <w:lvlText w:val="•"/>
      <w:lvlJc w:val="left"/>
      <w:pPr>
        <w:ind w:left="6574" w:hanging="360"/>
      </w:pPr>
      <w:rPr>
        <w:rFonts w:hint="default"/>
        <w:lang w:val="en-US" w:eastAsia="en-US" w:bidi="ar-SA"/>
      </w:rPr>
    </w:lvl>
    <w:lvl w:ilvl="7" w:tplc="CBAE597A">
      <w:numFmt w:val="bullet"/>
      <w:lvlText w:val="•"/>
      <w:lvlJc w:val="left"/>
      <w:pPr>
        <w:ind w:left="7577" w:hanging="360"/>
      </w:pPr>
      <w:rPr>
        <w:rFonts w:hint="default"/>
        <w:lang w:val="en-US" w:eastAsia="en-US" w:bidi="ar-SA"/>
      </w:rPr>
    </w:lvl>
    <w:lvl w:ilvl="8" w:tplc="1A5A4D38">
      <w:numFmt w:val="bullet"/>
      <w:lvlText w:val="•"/>
      <w:lvlJc w:val="left"/>
      <w:pPr>
        <w:ind w:left="8580" w:hanging="360"/>
      </w:pPr>
      <w:rPr>
        <w:rFonts w:hint="default"/>
        <w:lang w:val="en-US" w:eastAsia="en-US" w:bidi="ar-SA"/>
      </w:rPr>
    </w:lvl>
  </w:abstractNum>
  <w:abstractNum w:abstractNumId="10" w15:restartNumberingAfterBreak="0">
    <w:nsid w:val="07D34A39"/>
    <w:multiLevelType w:val="hybridMultilevel"/>
    <w:tmpl w:val="80A23F10"/>
    <w:lvl w:ilvl="0" w:tplc="224AED12">
      <w:numFmt w:val="bullet"/>
      <w:lvlText w:val=""/>
      <w:lvlJc w:val="left"/>
      <w:pPr>
        <w:ind w:left="1353" w:hanging="360"/>
      </w:pPr>
      <w:rPr>
        <w:rFonts w:ascii="Symbol" w:eastAsia="Symbol" w:hAnsi="Symbol" w:cs="Symbol" w:hint="default"/>
        <w:w w:val="100"/>
        <w:sz w:val="22"/>
        <w:szCs w:val="22"/>
        <w:lang w:val="en-US" w:eastAsia="en-US" w:bidi="ar-SA"/>
      </w:rPr>
    </w:lvl>
    <w:lvl w:ilvl="1" w:tplc="04100001">
      <w:start w:val="1"/>
      <w:numFmt w:val="bullet"/>
      <w:lvlText w:val=""/>
      <w:lvlJc w:val="left"/>
      <w:pPr>
        <w:ind w:left="2073" w:hanging="360"/>
      </w:pPr>
      <w:rPr>
        <w:rFonts w:ascii="Symbol" w:hAnsi="Symbol" w:hint="default"/>
      </w:rPr>
    </w:lvl>
    <w:lvl w:ilvl="2" w:tplc="04100005">
      <w:start w:val="1"/>
      <w:numFmt w:val="bullet"/>
      <w:lvlText w:val=""/>
      <w:lvlJc w:val="left"/>
      <w:pPr>
        <w:ind w:left="2793" w:hanging="360"/>
      </w:pPr>
      <w:rPr>
        <w:rFonts w:ascii="Wingdings" w:hAnsi="Wingdings" w:hint="default"/>
      </w:rPr>
    </w:lvl>
    <w:lvl w:ilvl="3" w:tplc="04100001">
      <w:start w:val="1"/>
      <w:numFmt w:val="bullet"/>
      <w:lvlText w:val=""/>
      <w:lvlJc w:val="left"/>
      <w:pPr>
        <w:ind w:left="3513" w:hanging="360"/>
      </w:pPr>
      <w:rPr>
        <w:rFonts w:ascii="Symbol" w:hAnsi="Symbol" w:hint="default"/>
      </w:rPr>
    </w:lvl>
    <w:lvl w:ilvl="4" w:tplc="04100003">
      <w:start w:val="1"/>
      <w:numFmt w:val="bullet"/>
      <w:lvlText w:val="o"/>
      <w:lvlJc w:val="left"/>
      <w:pPr>
        <w:ind w:left="4233" w:hanging="360"/>
      </w:pPr>
      <w:rPr>
        <w:rFonts w:ascii="Courier New" w:hAnsi="Courier New" w:cs="Courier New" w:hint="default"/>
      </w:rPr>
    </w:lvl>
    <w:lvl w:ilvl="5" w:tplc="04100005">
      <w:start w:val="1"/>
      <w:numFmt w:val="bullet"/>
      <w:lvlText w:val=""/>
      <w:lvlJc w:val="left"/>
      <w:pPr>
        <w:ind w:left="4953" w:hanging="360"/>
      </w:pPr>
      <w:rPr>
        <w:rFonts w:ascii="Wingdings" w:hAnsi="Wingdings" w:hint="default"/>
      </w:rPr>
    </w:lvl>
    <w:lvl w:ilvl="6" w:tplc="0410000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11" w15:restartNumberingAfterBreak="0">
    <w:nsid w:val="0BD527EF"/>
    <w:multiLevelType w:val="hybridMultilevel"/>
    <w:tmpl w:val="51E63434"/>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0E4525C7"/>
    <w:multiLevelType w:val="hybridMultilevel"/>
    <w:tmpl w:val="1F2ADA9C"/>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3" w15:restartNumberingAfterBreak="0">
    <w:nsid w:val="0F7C3A63"/>
    <w:multiLevelType w:val="multilevel"/>
    <w:tmpl w:val="29867154"/>
    <w:lvl w:ilvl="0">
      <w:start w:val="4"/>
      <w:numFmt w:val="upperRoman"/>
      <w:lvlText w:val="%1"/>
      <w:lvlJc w:val="left"/>
      <w:pPr>
        <w:ind w:left="1190" w:hanging="512"/>
      </w:pPr>
      <w:rPr>
        <w:rFonts w:hint="default"/>
        <w:lang w:val="en-US" w:eastAsia="en-US" w:bidi="ar-SA"/>
      </w:rPr>
    </w:lvl>
    <w:lvl w:ilvl="1">
      <w:start w:val="1"/>
      <w:numFmt w:val="decimal"/>
      <w:lvlText w:val="%1.%2."/>
      <w:lvlJc w:val="left"/>
      <w:pPr>
        <w:ind w:left="1190" w:hanging="512"/>
      </w:pPr>
      <w:rPr>
        <w:rFonts w:ascii="Cambria" w:eastAsia="Cambria" w:hAnsi="Cambria" w:cs="Cambria" w:hint="default"/>
        <w:b/>
        <w:bCs/>
        <w:spacing w:val="-2"/>
        <w:w w:val="100"/>
        <w:sz w:val="22"/>
        <w:szCs w:val="22"/>
        <w:lang w:val="en-US" w:eastAsia="en-US" w:bidi="ar-SA"/>
      </w:rPr>
    </w:lvl>
    <w:lvl w:ilvl="2">
      <w:start w:val="1"/>
      <w:numFmt w:val="decimalZero"/>
      <w:lvlText w:val="%3."/>
      <w:lvlJc w:val="left"/>
      <w:pPr>
        <w:ind w:left="826" w:hanging="356"/>
      </w:pPr>
      <w:rPr>
        <w:rFonts w:ascii="Cambria" w:eastAsia="Cambria" w:hAnsi="Cambria" w:cs="Cambria" w:hint="default"/>
        <w:w w:val="100"/>
        <w:sz w:val="22"/>
        <w:szCs w:val="22"/>
        <w:lang w:val="en-US" w:eastAsia="en-US" w:bidi="ar-SA"/>
      </w:rPr>
    </w:lvl>
    <w:lvl w:ilvl="3">
      <w:start w:val="1"/>
      <w:numFmt w:val="lowerLetter"/>
      <w:lvlText w:val="(%4)"/>
      <w:lvlJc w:val="left"/>
      <w:pPr>
        <w:ind w:left="1553" w:hanging="360"/>
      </w:pPr>
      <w:rPr>
        <w:rFonts w:ascii="Cambria" w:eastAsia="Cambria" w:hAnsi="Cambria" w:cs="Cambria" w:hint="default"/>
        <w:w w:val="100"/>
        <w:sz w:val="22"/>
        <w:szCs w:val="22"/>
        <w:lang w:val="en-US" w:eastAsia="en-US" w:bidi="ar-SA"/>
      </w:rPr>
    </w:lvl>
    <w:lvl w:ilvl="4">
      <w:numFmt w:val="bullet"/>
      <w:lvlText w:val="•"/>
      <w:lvlJc w:val="left"/>
      <w:pPr>
        <w:ind w:left="3816" w:hanging="360"/>
      </w:pPr>
      <w:rPr>
        <w:rFonts w:hint="default"/>
        <w:lang w:val="en-US" w:eastAsia="en-US" w:bidi="ar-SA"/>
      </w:rPr>
    </w:lvl>
    <w:lvl w:ilvl="5">
      <w:numFmt w:val="bullet"/>
      <w:lvlText w:val="•"/>
      <w:lvlJc w:val="left"/>
      <w:pPr>
        <w:ind w:left="4944" w:hanging="360"/>
      </w:pPr>
      <w:rPr>
        <w:rFonts w:hint="default"/>
        <w:lang w:val="en-US" w:eastAsia="en-US" w:bidi="ar-SA"/>
      </w:rPr>
    </w:lvl>
    <w:lvl w:ilvl="6">
      <w:numFmt w:val="bullet"/>
      <w:lvlText w:val="•"/>
      <w:lvlJc w:val="left"/>
      <w:pPr>
        <w:ind w:left="6073" w:hanging="360"/>
      </w:pPr>
      <w:rPr>
        <w:rFonts w:hint="default"/>
        <w:lang w:val="en-US" w:eastAsia="en-US" w:bidi="ar-SA"/>
      </w:rPr>
    </w:lvl>
    <w:lvl w:ilvl="7">
      <w:numFmt w:val="bullet"/>
      <w:lvlText w:val="•"/>
      <w:lvlJc w:val="left"/>
      <w:pPr>
        <w:ind w:left="7201" w:hanging="360"/>
      </w:pPr>
      <w:rPr>
        <w:rFonts w:hint="default"/>
        <w:lang w:val="en-US" w:eastAsia="en-US" w:bidi="ar-SA"/>
      </w:rPr>
    </w:lvl>
    <w:lvl w:ilvl="8">
      <w:numFmt w:val="bullet"/>
      <w:lvlText w:val="•"/>
      <w:lvlJc w:val="left"/>
      <w:pPr>
        <w:ind w:left="8329" w:hanging="360"/>
      </w:pPr>
      <w:rPr>
        <w:rFonts w:hint="default"/>
        <w:lang w:val="en-US" w:eastAsia="en-US" w:bidi="ar-SA"/>
      </w:rPr>
    </w:lvl>
  </w:abstractNum>
  <w:abstractNum w:abstractNumId="14" w15:restartNumberingAfterBreak="0">
    <w:nsid w:val="10D15793"/>
    <w:multiLevelType w:val="hybridMultilevel"/>
    <w:tmpl w:val="BA9A58EC"/>
    <w:lvl w:ilvl="0" w:tplc="0813000F">
      <w:start w:val="1"/>
      <w:numFmt w:val="decimal"/>
      <w:lvlText w:val="%1."/>
      <w:lvlJc w:val="left"/>
      <w:pPr>
        <w:ind w:left="832" w:hanging="360"/>
      </w:pPr>
    </w:lvl>
    <w:lvl w:ilvl="1" w:tplc="08130019" w:tentative="1">
      <w:start w:val="1"/>
      <w:numFmt w:val="lowerLetter"/>
      <w:lvlText w:val="%2."/>
      <w:lvlJc w:val="left"/>
      <w:pPr>
        <w:ind w:left="1552" w:hanging="360"/>
      </w:pPr>
    </w:lvl>
    <w:lvl w:ilvl="2" w:tplc="0813001B" w:tentative="1">
      <w:start w:val="1"/>
      <w:numFmt w:val="lowerRoman"/>
      <w:lvlText w:val="%3."/>
      <w:lvlJc w:val="right"/>
      <w:pPr>
        <w:ind w:left="2272" w:hanging="180"/>
      </w:pPr>
    </w:lvl>
    <w:lvl w:ilvl="3" w:tplc="0813000F" w:tentative="1">
      <w:start w:val="1"/>
      <w:numFmt w:val="decimal"/>
      <w:lvlText w:val="%4."/>
      <w:lvlJc w:val="left"/>
      <w:pPr>
        <w:ind w:left="2992" w:hanging="360"/>
      </w:pPr>
    </w:lvl>
    <w:lvl w:ilvl="4" w:tplc="08130019" w:tentative="1">
      <w:start w:val="1"/>
      <w:numFmt w:val="lowerLetter"/>
      <w:lvlText w:val="%5."/>
      <w:lvlJc w:val="left"/>
      <w:pPr>
        <w:ind w:left="3712" w:hanging="360"/>
      </w:pPr>
    </w:lvl>
    <w:lvl w:ilvl="5" w:tplc="0813001B" w:tentative="1">
      <w:start w:val="1"/>
      <w:numFmt w:val="lowerRoman"/>
      <w:lvlText w:val="%6."/>
      <w:lvlJc w:val="right"/>
      <w:pPr>
        <w:ind w:left="4432" w:hanging="180"/>
      </w:pPr>
    </w:lvl>
    <w:lvl w:ilvl="6" w:tplc="0813000F" w:tentative="1">
      <w:start w:val="1"/>
      <w:numFmt w:val="decimal"/>
      <w:lvlText w:val="%7."/>
      <w:lvlJc w:val="left"/>
      <w:pPr>
        <w:ind w:left="5152" w:hanging="360"/>
      </w:pPr>
    </w:lvl>
    <w:lvl w:ilvl="7" w:tplc="08130019" w:tentative="1">
      <w:start w:val="1"/>
      <w:numFmt w:val="lowerLetter"/>
      <w:lvlText w:val="%8."/>
      <w:lvlJc w:val="left"/>
      <w:pPr>
        <w:ind w:left="5872" w:hanging="360"/>
      </w:pPr>
    </w:lvl>
    <w:lvl w:ilvl="8" w:tplc="0813001B" w:tentative="1">
      <w:start w:val="1"/>
      <w:numFmt w:val="lowerRoman"/>
      <w:lvlText w:val="%9."/>
      <w:lvlJc w:val="right"/>
      <w:pPr>
        <w:ind w:left="6592" w:hanging="180"/>
      </w:pPr>
    </w:lvl>
  </w:abstractNum>
  <w:abstractNum w:abstractNumId="15" w15:restartNumberingAfterBreak="0">
    <w:nsid w:val="12882746"/>
    <w:multiLevelType w:val="hybridMultilevel"/>
    <w:tmpl w:val="0AD25400"/>
    <w:lvl w:ilvl="0" w:tplc="0410000F">
      <w:start w:val="1"/>
      <w:numFmt w:val="decimal"/>
      <w:lvlText w:val="%1."/>
      <w:lvlJc w:val="left"/>
      <w:pPr>
        <w:ind w:left="473" w:hanging="360"/>
      </w:p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16" w15:restartNumberingAfterBreak="0">
    <w:nsid w:val="12B551B5"/>
    <w:multiLevelType w:val="multilevel"/>
    <w:tmpl w:val="89CE1A78"/>
    <w:lvl w:ilvl="0">
      <w:start w:val="1"/>
      <w:numFmt w:val="decimal"/>
      <w:lvlText w:val="%1."/>
      <w:lvlJc w:val="left"/>
      <w:pPr>
        <w:ind w:left="512" w:hanging="512"/>
      </w:pPr>
      <w:rPr>
        <w:rFonts w:hint="default"/>
        <w:lang w:val="en-US" w:eastAsia="en-US" w:bidi="ar-SA"/>
      </w:rPr>
    </w:lvl>
    <w:lvl w:ilvl="1">
      <w:start w:val="1"/>
      <w:numFmt w:val="decimal"/>
      <w:lvlText w:val="%1.%2."/>
      <w:lvlJc w:val="left"/>
      <w:pPr>
        <w:ind w:left="512" w:hanging="512"/>
      </w:pPr>
      <w:rPr>
        <w:rFonts w:ascii="Cambria" w:eastAsia="Cambria" w:hAnsi="Cambria" w:cs="Cambria" w:hint="default"/>
        <w:b/>
        <w:bCs/>
        <w:spacing w:val="-2"/>
        <w:w w:val="100"/>
        <w:sz w:val="22"/>
        <w:szCs w:val="22"/>
        <w:lang w:val="en-US" w:eastAsia="en-US" w:bidi="ar-SA"/>
      </w:rPr>
    </w:lvl>
    <w:lvl w:ilvl="2">
      <w:start w:val="1"/>
      <w:numFmt w:val="decimalZero"/>
      <w:lvlText w:val="%3."/>
      <w:lvlJc w:val="left"/>
      <w:pPr>
        <w:ind w:left="148" w:hanging="356"/>
      </w:pPr>
      <w:rPr>
        <w:rFonts w:ascii="Cambria" w:eastAsia="Cambria" w:hAnsi="Cambria" w:cs="Cambria" w:hint="default"/>
        <w:w w:val="100"/>
        <w:sz w:val="22"/>
        <w:szCs w:val="22"/>
        <w:lang w:val="en-US" w:eastAsia="en-US" w:bidi="ar-SA"/>
      </w:rPr>
    </w:lvl>
    <w:lvl w:ilvl="3">
      <w:start w:val="1"/>
      <w:numFmt w:val="lowerLetter"/>
      <w:lvlText w:val="(%4)"/>
      <w:lvlJc w:val="left"/>
      <w:pPr>
        <w:ind w:left="875" w:hanging="360"/>
      </w:pPr>
      <w:rPr>
        <w:rFonts w:ascii="Cambria" w:eastAsia="Cambria" w:hAnsi="Cambria" w:cs="Cambria" w:hint="default"/>
        <w:w w:val="100"/>
        <w:sz w:val="22"/>
        <w:szCs w:val="22"/>
        <w:lang w:val="en-US" w:eastAsia="en-US" w:bidi="ar-SA"/>
      </w:rPr>
    </w:lvl>
    <w:lvl w:ilvl="4">
      <w:numFmt w:val="bullet"/>
      <w:lvlText w:val="•"/>
      <w:lvlJc w:val="left"/>
      <w:pPr>
        <w:ind w:left="3138" w:hanging="360"/>
      </w:pPr>
      <w:rPr>
        <w:rFonts w:hint="default"/>
        <w:lang w:val="en-US" w:eastAsia="en-US" w:bidi="ar-SA"/>
      </w:rPr>
    </w:lvl>
    <w:lvl w:ilvl="5">
      <w:numFmt w:val="bullet"/>
      <w:lvlText w:val="•"/>
      <w:lvlJc w:val="left"/>
      <w:pPr>
        <w:ind w:left="4266" w:hanging="360"/>
      </w:pPr>
      <w:rPr>
        <w:rFonts w:hint="default"/>
        <w:lang w:val="en-US" w:eastAsia="en-US" w:bidi="ar-SA"/>
      </w:rPr>
    </w:lvl>
    <w:lvl w:ilvl="6">
      <w:numFmt w:val="bullet"/>
      <w:lvlText w:val="•"/>
      <w:lvlJc w:val="left"/>
      <w:pPr>
        <w:ind w:left="5395" w:hanging="360"/>
      </w:pPr>
      <w:rPr>
        <w:rFonts w:hint="default"/>
        <w:lang w:val="en-US" w:eastAsia="en-US" w:bidi="ar-SA"/>
      </w:rPr>
    </w:lvl>
    <w:lvl w:ilvl="7">
      <w:numFmt w:val="bullet"/>
      <w:lvlText w:val="•"/>
      <w:lvlJc w:val="left"/>
      <w:pPr>
        <w:ind w:left="6523" w:hanging="360"/>
      </w:pPr>
      <w:rPr>
        <w:rFonts w:hint="default"/>
        <w:lang w:val="en-US" w:eastAsia="en-US" w:bidi="ar-SA"/>
      </w:rPr>
    </w:lvl>
    <w:lvl w:ilvl="8">
      <w:numFmt w:val="bullet"/>
      <w:lvlText w:val="•"/>
      <w:lvlJc w:val="left"/>
      <w:pPr>
        <w:ind w:left="7651" w:hanging="360"/>
      </w:pPr>
      <w:rPr>
        <w:rFonts w:hint="default"/>
        <w:lang w:val="en-US" w:eastAsia="en-US" w:bidi="ar-SA"/>
      </w:rPr>
    </w:lvl>
  </w:abstractNum>
  <w:abstractNum w:abstractNumId="17" w15:restartNumberingAfterBreak="0">
    <w:nsid w:val="14053D54"/>
    <w:multiLevelType w:val="hybridMultilevel"/>
    <w:tmpl w:val="93E2C228"/>
    <w:lvl w:ilvl="0" w:tplc="30881A9E">
      <w:numFmt w:val="bullet"/>
      <w:lvlText w:val="-"/>
      <w:lvlJc w:val="left"/>
      <w:pPr>
        <w:ind w:left="720" w:hanging="360"/>
      </w:pPr>
      <w:rPr>
        <w:rFonts w:ascii="Cambria" w:eastAsia="Cambria" w:hAnsi="Cambria"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DDE7339"/>
    <w:multiLevelType w:val="hybridMultilevel"/>
    <w:tmpl w:val="5DF86402"/>
    <w:lvl w:ilvl="0" w:tplc="0809000F">
      <w:start w:val="1"/>
      <w:numFmt w:val="decimal"/>
      <w:lvlText w:val="%1."/>
      <w:lvlJc w:val="left"/>
      <w:pPr>
        <w:ind w:left="473" w:hanging="360"/>
      </w:pPr>
      <w:rPr>
        <w:rFonts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9" w15:restartNumberingAfterBreak="0">
    <w:nsid w:val="23B646A5"/>
    <w:multiLevelType w:val="hybridMultilevel"/>
    <w:tmpl w:val="D526CA86"/>
    <w:lvl w:ilvl="0" w:tplc="04100001">
      <w:start w:val="1"/>
      <w:numFmt w:val="bullet"/>
      <w:lvlText w:val=""/>
      <w:lvlJc w:val="left"/>
      <w:pPr>
        <w:ind w:left="1192" w:hanging="360"/>
      </w:pPr>
      <w:rPr>
        <w:rFonts w:ascii="Symbol" w:hAnsi="Symbol" w:hint="defaul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20" w15:restartNumberingAfterBreak="0">
    <w:nsid w:val="26FF4901"/>
    <w:multiLevelType w:val="hybridMultilevel"/>
    <w:tmpl w:val="C75CA618"/>
    <w:lvl w:ilvl="0" w:tplc="57F81934">
      <w:start w:val="1"/>
      <w:numFmt w:val="upperLetter"/>
      <w:lvlText w:val="(%1)"/>
      <w:lvlJc w:val="left"/>
      <w:pPr>
        <w:ind w:left="833" w:hanging="408"/>
      </w:pPr>
      <w:rPr>
        <w:rFonts w:ascii="Cambria" w:eastAsia="Cambria" w:hAnsi="Cambria" w:cs="Cambria" w:hint="default"/>
        <w:spacing w:val="-2"/>
        <w:w w:val="100"/>
        <w:sz w:val="22"/>
        <w:szCs w:val="22"/>
        <w:lang w:val="en-US" w:eastAsia="en-US" w:bidi="ar-SA"/>
      </w:rPr>
    </w:lvl>
    <w:lvl w:ilvl="1" w:tplc="405C5B46">
      <w:numFmt w:val="bullet"/>
      <w:lvlText w:val="•"/>
      <w:lvlJc w:val="left"/>
      <w:pPr>
        <w:ind w:left="1814" w:hanging="408"/>
      </w:pPr>
      <w:rPr>
        <w:rFonts w:hint="default"/>
        <w:lang w:val="en-US" w:eastAsia="en-US" w:bidi="ar-SA"/>
      </w:rPr>
    </w:lvl>
    <w:lvl w:ilvl="2" w:tplc="FF341808">
      <w:numFmt w:val="bullet"/>
      <w:lvlText w:val="•"/>
      <w:lvlJc w:val="left"/>
      <w:pPr>
        <w:ind w:left="2789" w:hanging="408"/>
      </w:pPr>
      <w:rPr>
        <w:rFonts w:hint="default"/>
        <w:lang w:val="en-US" w:eastAsia="en-US" w:bidi="ar-SA"/>
      </w:rPr>
    </w:lvl>
    <w:lvl w:ilvl="3" w:tplc="4B0804C8">
      <w:numFmt w:val="bullet"/>
      <w:lvlText w:val="•"/>
      <w:lvlJc w:val="left"/>
      <w:pPr>
        <w:ind w:left="3763" w:hanging="408"/>
      </w:pPr>
      <w:rPr>
        <w:rFonts w:hint="default"/>
        <w:lang w:val="en-US" w:eastAsia="en-US" w:bidi="ar-SA"/>
      </w:rPr>
    </w:lvl>
    <w:lvl w:ilvl="4" w:tplc="D46490B6">
      <w:numFmt w:val="bullet"/>
      <w:lvlText w:val="•"/>
      <w:lvlJc w:val="left"/>
      <w:pPr>
        <w:ind w:left="4738" w:hanging="408"/>
      </w:pPr>
      <w:rPr>
        <w:rFonts w:hint="default"/>
        <w:lang w:val="en-US" w:eastAsia="en-US" w:bidi="ar-SA"/>
      </w:rPr>
    </w:lvl>
    <w:lvl w:ilvl="5" w:tplc="3288E20C">
      <w:numFmt w:val="bullet"/>
      <w:lvlText w:val="•"/>
      <w:lvlJc w:val="left"/>
      <w:pPr>
        <w:ind w:left="5713" w:hanging="408"/>
      </w:pPr>
      <w:rPr>
        <w:rFonts w:hint="default"/>
        <w:lang w:val="en-US" w:eastAsia="en-US" w:bidi="ar-SA"/>
      </w:rPr>
    </w:lvl>
    <w:lvl w:ilvl="6" w:tplc="98D25CE6">
      <w:numFmt w:val="bullet"/>
      <w:lvlText w:val="•"/>
      <w:lvlJc w:val="left"/>
      <w:pPr>
        <w:ind w:left="6687" w:hanging="408"/>
      </w:pPr>
      <w:rPr>
        <w:rFonts w:hint="default"/>
        <w:lang w:val="en-US" w:eastAsia="en-US" w:bidi="ar-SA"/>
      </w:rPr>
    </w:lvl>
    <w:lvl w:ilvl="7" w:tplc="4DC0339A">
      <w:numFmt w:val="bullet"/>
      <w:lvlText w:val="•"/>
      <w:lvlJc w:val="left"/>
      <w:pPr>
        <w:ind w:left="7662" w:hanging="408"/>
      </w:pPr>
      <w:rPr>
        <w:rFonts w:hint="default"/>
        <w:lang w:val="en-US" w:eastAsia="en-US" w:bidi="ar-SA"/>
      </w:rPr>
    </w:lvl>
    <w:lvl w:ilvl="8" w:tplc="1548D1DA">
      <w:numFmt w:val="bullet"/>
      <w:lvlText w:val="•"/>
      <w:lvlJc w:val="left"/>
      <w:pPr>
        <w:ind w:left="8637" w:hanging="408"/>
      </w:pPr>
      <w:rPr>
        <w:rFonts w:hint="default"/>
        <w:lang w:val="en-US" w:eastAsia="en-US" w:bidi="ar-SA"/>
      </w:rPr>
    </w:lvl>
  </w:abstractNum>
  <w:abstractNum w:abstractNumId="21" w15:restartNumberingAfterBreak="0">
    <w:nsid w:val="28883657"/>
    <w:multiLevelType w:val="hybridMultilevel"/>
    <w:tmpl w:val="8806D4CE"/>
    <w:lvl w:ilvl="0" w:tplc="9DB478CC">
      <w:numFmt w:val="bullet"/>
      <w:lvlText w:val="-"/>
      <w:lvlJc w:val="left"/>
      <w:pPr>
        <w:ind w:left="473" w:hanging="360"/>
      </w:pPr>
      <w:rPr>
        <w:rFonts w:ascii="Cambria" w:eastAsia="Cambria" w:hAnsi="Cambria" w:cs="Cambria"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2" w15:restartNumberingAfterBreak="0">
    <w:nsid w:val="28B903BD"/>
    <w:multiLevelType w:val="hybridMultilevel"/>
    <w:tmpl w:val="57D6100C"/>
    <w:lvl w:ilvl="0" w:tplc="E80248F6">
      <w:numFmt w:val="bullet"/>
      <w:lvlText w:val="o"/>
      <w:lvlJc w:val="left"/>
      <w:pPr>
        <w:ind w:left="1553" w:hanging="408"/>
      </w:pPr>
      <w:rPr>
        <w:rFonts w:ascii="Courier New" w:eastAsia="Courier New" w:hAnsi="Courier New" w:cs="Courier New" w:hint="default"/>
        <w:w w:val="100"/>
        <w:sz w:val="22"/>
        <w:szCs w:val="22"/>
        <w:lang w:val="en-US" w:eastAsia="en-US" w:bidi="ar-SA"/>
      </w:rPr>
    </w:lvl>
    <w:lvl w:ilvl="1" w:tplc="737E2E22">
      <w:numFmt w:val="bullet"/>
      <w:lvlText w:val="•"/>
      <w:lvlJc w:val="left"/>
      <w:pPr>
        <w:ind w:left="2462" w:hanging="408"/>
      </w:pPr>
      <w:rPr>
        <w:rFonts w:hint="default"/>
        <w:lang w:val="en-US" w:eastAsia="en-US" w:bidi="ar-SA"/>
      </w:rPr>
    </w:lvl>
    <w:lvl w:ilvl="2" w:tplc="3B7EC27E">
      <w:numFmt w:val="bullet"/>
      <w:lvlText w:val="•"/>
      <w:lvlJc w:val="left"/>
      <w:pPr>
        <w:ind w:left="3365" w:hanging="408"/>
      </w:pPr>
      <w:rPr>
        <w:rFonts w:hint="default"/>
        <w:lang w:val="en-US" w:eastAsia="en-US" w:bidi="ar-SA"/>
      </w:rPr>
    </w:lvl>
    <w:lvl w:ilvl="3" w:tplc="FC18D00C">
      <w:numFmt w:val="bullet"/>
      <w:lvlText w:val="•"/>
      <w:lvlJc w:val="left"/>
      <w:pPr>
        <w:ind w:left="4267" w:hanging="408"/>
      </w:pPr>
      <w:rPr>
        <w:rFonts w:hint="default"/>
        <w:lang w:val="en-US" w:eastAsia="en-US" w:bidi="ar-SA"/>
      </w:rPr>
    </w:lvl>
    <w:lvl w:ilvl="4" w:tplc="D3285FD6">
      <w:numFmt w:val="bullet"/>
      <w:lvlText w:val="•"/>
      <w:lvlJc w:val="left"/>
      <w:pPr>
        <w:ind w:left="5170" w:hanging="408"/>
      </w:pPr>
      <w:rPr>
        <w:rFonts w:hint="default"/>
        <w:lang w:val="en-US" w:eastAsia="en-US" w:bidi="ar-SA"/>
      </w:rPr>
    </w:lvl>
    <w:lvl w:ilvl="5" w:tplc="FE5CCE8C">
      <w:numFmt w:val="bullet"/>
      <w:lvlText w:val="•"/>
      <w:lvlJc w:val="left"/>
      <w:pPr>
        <w:ind w:left="6073" w:hanging="408"/>
      </w:pPr>
      <w:rPr>
        <w:rFonts w:hint="default"/>
        <w:lang w:val="en-US" w:eastAsia="en-US" w:bidi="ar-SA"/>
      </w:rPr>
    </w:lvl>
    <w:lvl w:ilvl="6" w:tplc="58D685F8">
      <w:numFmt w:val="bullet"/>
      <w:lvlText w:val="•"/>
      <w:lvlJc w:val="left"/>
      <w:pPr>
        <w:ind w:left="6975" w:hanging="408"/>
      </w:pPr>
      <w:rPr>
        <w:rFonts w:hint="default"/>
        <w:lang w:val="en-US" w:eastAsia="en-US" w:bidi="ar-SA"/>
      </w:rPr>
    </w:lvl>
    <w:lvl w:ilvl="7" w:tplc="05EC7BB0">
      <w:numFmt w:val="bullet"/>
      <w:lvlText w:val="•"/>
      <w:lvlJc w:val="left"/>
      <w:pPr>
        <w:ind w:left="7878" w:hanging="408"/>
      </w:pPr>
      <w:rPr>
        <w:rFonts w:hint="default"/>
        <w:lang w:val="en-US" w:eastAsia="en-US" w:bidi="ar-SA"/>
      </w:rPr>
    </w:lvl>
    <w:lvl w:ilvl="8" w:tplc="8C58A970">
      <w:numFmt w:val="bullet"/>
      <w:lvlText w:val="•"/>
      <w:lvlJc w:val="left"/>
      <w:pPr>
        <w:ind w:left="8781" w:hanging="408"/>
      </w:pPr>
      <w:rPr>
        <w:rFonts w:hint="default"/>
        <w:lang w:val="en-US" w:eastAsia="en-US" w:bidi="ar-SA"/>
      </w:rPr>
    </w:lvl>
  </w:abstractNum>
  <w:abstractNum w:abstractNumId="23" w15:restartNumberingAfterBreak="0">
    <w:nsid w:val="31F257F7"/>
    <w:multiLevelType w:val="hybridMultilevel"/>
    <w:tmpl w:val="C284FC6A"/>
    <w:lvl w:ilvl="0" w:tplc="04100017">
      <w:start w:val="1"/>
      <w:numFmt w:val="lowerLetter"/>
      <w:lvlText w:val="%1)"/>
      <w:lvlJc w:val="left"/>
      <w:pPr>
        <w:ind w:left="833" w:hanging="360"/>
      </w:pPr>
    </w:lvl>
    <w:lvl w:ilvl="1" w:tplc="08130019" w:tentative="1">
      <w:start w:val="1"/>
      <w:numFmt w:val="lowerLetter"/>
      <w:lvlText w:val="%2."/>
      <w:lvlJc w:val="left"/>
      <w:pPr>
        <w:ind w:left="1553" w:hanging="360"/>
      </w:pPr>
    </w:lvl>
    <w:lvl w:ilvl="2" w:tplc="0813001B" w:tentative="1">
      <w:start w:val="1"/>
      <w:numFmt w:val="lowerRoman"/>
      <w:lvlText w:val="%3."/>
      <w:lvlJc w:val="right"/>
      <w:pPr>
        <w:ind w:left="2273" w:hanging="180"/>
      </w:pPr>
    </w:lvl>
    <w:lvl w:ilvl="3" w:tplc="0813000F" w:tentative="1">
      <w:start w:val="1"/>
      <w:numFmt w:val="decimal"/>
      <w:lvlText w:val="%4."/>
      <w:lvlJc w:val="left"/>
      <w:pPr>
        <w:ind w:left="2993" w:hanging="360"/>
      </w:pPr>
    </w:lvl>
    <w:lvl w:ilvl="4" w:tplc="08130019" w:tentative="1">
      <w:start w:val="1"/>
      <w:numFmt w:val="lowerLetter"/>
      <w:lvlText w:val="%5."/>
      <w:lvlJc w:val="left"/>
      <w:pPr>
        <w:ind w:left="3713" w:hanging="360"/>
      </w:pPr>
    </w:lvl>
    <w:lvl w:ilvl="5" w:tplc="0813001B" w:tentative="1">
      <w:start w:val="1"/>
      <w:numFmt w:val="lowerRoman"/>
      <w:lvlText w:val="%6."/>
      <w:lvlJc w:val="right"/>
      <w:pPr>
        <w:ind w:left="4433" w:hanging="180"/>
      </w:pPr>
    </w:lvl>
    <w:lvl w:ilvl="6" w:tplc="0813000F" w:tentative="1">
      <w:start w:val="1"/>
      <w:numFmt w:val="decimal"/>
      <w:lvlText w:val="%7."/>
      <w:lvlJc w:val="left"/>
      <w:pPr>
        <w:ind w:left="5153" w:hanging="360"/>
      </w:pPr>
    </w:lvl>
    <w:lvl w:ilvl="7" w:tplc="08130019" w:tentative="1">
      <w:start w:val="1"/>
      <w:numFmt w:val="lowerLetter"/>
      <w:lvlText w:val="%8."/>
      <w:lvlJc w:val="left"/>
      <w:pPr>
        <w:ind w:left="5873" w:hanging="360"/>
      </w:pPr>
    </w:lvl>
    <w:lvl w:ilvl="8" w:tplc="0813001B" w:tentative="1">
      <w:start w:val="1"/>
      <w:numFmt w:val="lowerRoman"/>
      <w:lvlText w:val="%9."/>
      <w:lvlJc w:val="right"/>
      <w:pPr>
        <w:ind w:left="6593" w:hanging="180"/>
      </w:pPr>
    </w:lvl>
  </w:abstractNum>
  <w:abstractNum w:abstractNumId="24" w15:restartNumberingAfterBreak="0">
    <w:nsid w:val="34850D6F"/>
    <w:multiLevelType w:val="hybridMultilevel"/>
    <w:tmpl w:val="03E27002"/>
    <w:lvl w:ilvl="0" w:tplc="04100019">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25" w15:restartNumberingAfterBreak="0">
    <w:nsid w:val="35EB2692"/>
    <w:multiLevelType w:val="hybridMultilevel"/>
    <w:tmpl w:val="F7CE3CB2"/>
    <w:lvl w:ilvl="0" w:tplc="C3C860A6">
      <w:start w:val="1"/>
      <w:numFmt w:val="lowerLetter"/>
      <w:lvlText w:val="(%1)"/>
      <w:lvlJc w:val="left"/>
      <w:pPr>
        <w:ind w:left="1193" w:hanging="325"/>
      </w:pPr>
      <w:rPr>
        <w:rFonts w:ascii="Cambria" w:eastAsia="Cambria" w:hAnsi="Cambria" w:cs="Cambria" w:hint="default"/>
        <w:w w:val="100"/>
        <w:sz w:val="22"/>
        <w:szCs w:val="22"/>
        <w:lang w:val="en-US" w:eastAsia="en-US" w:bidi="ar-SA"/>
      </w:rPr>
    </w:lvl>
    <w:lvl w:ilvl="1" w:tplc="4DECB63A">
      <w:numFmt w:val="bullet"/>
      <w:lvlText w:val="•"/>
      <w:lvlJc w:val="left"/>
      <w:pPr>
        <w:ind w:left="2138" w:hanging="325"/>
      </w:pPr>
      <w:rPr>
        <w:rFonts w:hint="default"/>
        <w:lang w:val="en-US" w:eastAsia="en-US" w:bidi="ar-SA"/>
      </w:rPr>
    </w:lvl>
    <w:lvl w:ilvl="2" w:tplc="6B5E6DA8">
      <w:numFmt w:val="bullet"/>
      <w:lvlText w:val="•"/>
      <w:lvlJc w:val="left"/>
      <w:pPr>
        <w:ind w:left="3077" w:hanging="325"/>
      </w:pPr>
      <w:rPr>
        <w:rFonts w:hint="default"/>
        <w:lang w:val="en-US" w:eastAsia="en-US" w:bidi="ar-SA"/>
      </w:rPr>
    </w:lvl>
    <w:lvl w:ilvl="3" w:tplc="658E7432">
      <w:numFmt w:val="bullet"/>
      <w:lvlText w:val="•"/>
      <w:lvlJc w:val="left"/>
      <w:pPr>
        <w:ind w:left="4015" w:hanging="325"/>
      </w:pPr>
      <w:rPr>
        <w:rFonts w:hint="default"/>
        <w:lang w:val="en-US" w:eastAsia="en-US" w:bidi="ar-SA"/>
      </w:rPr>
    </w:lvl>
    <w:lvl w:ilvl="4" w:tplc="35BCD978">
      <w:numFmt w:val="bullet"/>
      <w:lvlText w:val="•"/>
      <w:lvlJc w:val="left"/>
      <w:pPr>
        <w:ind w:left="4954" w:hanging="325"/>
      </w:pPr>
      <w:rPr>
        <w:rFonts w:hint="default"/>
        <w:lang w:val="en-US" w:eastAsia="en-US" w:bidi="ar-SA"/>
      </w:rPr>
    </w:lvl>
    <w:lvl w:ilvl="5" w:tplc="5A32C5D6">
      <w:numFmt w:val="bullet"/>
      <w:lvlText w:val="•"/>
      <w:lvlJc w:val="left"/>
      <w:pPr>
        <w:ind w:left="5893" w:hanging="325"/>
      </w:pPr>
      <w:rPr>
        <w:rFonts w:hint="default"/>
        <w:lang w:val="en-US" w:eastAsia="en-US" w:bidi="ar-SA"/>
      </w:rPr>
    </w:lvl>
    <w:lvl w:ilvl="6" w:tplc="3AAC6002">
      <w:numFmt w:val="bullet"/>
      <w:lvlText w:val="•"/>
      <w:lvlJc w:val="left"/>
      <w:pPr>
        <w:ind w:left="6831" w:hanging="325"/>
      </w:pPr>
      <w:rPr>
        <w:rFonts w:hint="default"/>
        <w:lang w:val="en-US" w:eastAsia="en-US" w:bidi="ar-SA"/>
      </w:rPr>
    </w:lvl>
    <w:lvl w:ilvl="7" w:tplc="C22A798E">
      <w:numFmt w:val="bullet"/>
      <w:lvlText w:val="•"/>
      <w:lvlJc w:val="left"/>
      <w:pPr>
        <w:ind w:left="7770" w:hanging="325"/>
      </w:pPr>
      <w:rPr>
        <w:rFonts w:hint="default"/>
        <w:lang w:val="en-US" w:eastAsia="en-US" w:bidi="ar-SA"/>
      </w:rPr>
    </w:lvl>
    <w:lvl w:ilvl="8" w:tplc="9F0ABAEA">
      <w:numFmt w:val="bullet"/>
      <w:lvlText w:val="•"/>
      <w:lvlJc w:val="left"/>
      <w:pPr>
        <w:ind w:left="8709" w:hanging="325"/>
      </w:pPr>
      <w:rPr>
        <w:rFonts w:hint="default"/>
        <w:lang w:val="en-US" w:eastAsia="en-US" w:bidi="ar-SA"/>
      </w:rPr>
    </w:lvl>
  </w:abstractNum>
  <w:abstractNum w:abstractNumId="26" w15:restartNumberingAfterBreak="0">
    <w:nsid w:val="371D0AEE"/>
    <w:multiLevelType w:val="hybridMultilevel"/>
    <w:tmpl w:val="FF3E768E"/>
    <w:lvl w:ilvl="0" w:tplc="04100001">
      <w:start w:val="1"/>
      <w:numFmt w:val="bullet"/>
      <w:lvlText w:val=""/>
      <w:lvlJc w:val="left"/>
      <w:pPr>
        <w:ind w:left="1910" w:hanging="360"/>
      </w:pPr>
      <w:rPr>
        <w:rFonts w:ascii="Symbol" w:hAnsi="Symbol" w:hint="default"/>
      </w:rPr>
    </w:lvl>
    <w:lvl w:ilvl="1" w:tplc="04100003" w:tentative="1">
      <w:start w:val="1"/>
      <w:numFmt w:val="bullet"/>
      <w:lvlText w:val="o"/>
      <w:lvlJc w:val="left"/>
      <w:pPr>
        <w:ind w:left="2630" w:hanging="360"/>
      </w:pPr>
      <w:rPr>
        <w:rFonts w:ascii="Courier New" w:hAnsi="Courier New" w:cs="Courier New" w:hint="default"/>
      </w:rPr>
    </w:lvl>
    <w:lvl w:ilvl="2" w:tplc="04100005" w:tentative="1">
      <w:start w:val="1"/>
      <w:numFmt w:val="bullet"/>
      <w:lvlText w:val=""/>
      <w:lvlJc w:val="left"/>
      <w:pPr>
        <w:ind w:left="3350" w:hanging="360"/>
      </w:pPr>
      <w:rPr>
        <w:rFonts w:ascii="Wingdings" w:hAnsi="Wingdings" w:hint="default"/>
      </w:rPr>
    </w:lvl>
    <w:lvl w:ilvl="3" w:tplc="04100001" w:tentative="1">
      <w:start w:val="1"/>
      <w:numFmt w:val="bullet"/>
      <w:lvlText w:val=""/>
      <w:lvlJc w:val="left"/>
      <w:pPr>
        <w:ind w:left="4070" w:hanging="360"/>
      </w:pPr>
      <w:rPr>
        <w:rFonts w:ascii="Symbol" w:hAnsi="Symbol" w:hint="default"/>
      </w:rPr>
    </w:lvl>
    <w:lvl w:ilvl="4" w:tplc="04100003" w:tentative="1">
      <w:start w:val="1"/>
      <w:numFmt w:val="bullet"/>
      <w:lvlText w:val="o"/>
      <w:lvlJc w:val="left"/>
      <w:pPr>
        <w:ind w:left="4790" w:hanging="360"/>
      </w:pPr>
      <w:rPr>
        <w:rFonts w:ascii="Courier New" w:hAnsi="Courier New" w:cs="Courier New" w:hint="default"/>
      </w:rPr>
    </w:lvl>
    <w:lvl w:ilvl="5" w:tplc="04100005" w:tentative="1">
      <w:start w:val="1"/>
      <w:numFmt w:val="bullet"/>
      <w:lvlText w:val=""/>
      <w:lvlJc w:val="left"/>
      <w:pPr>
        <w:ind w:left="5510" w:hanging="360"/>
      </w:pPr>
      <w:rPr>
        <w:rFonts w:ascii="Wingdings" w:hAnsi="Wingdings" w:hint="default"/>
      </w:rPr>
    </w:lvl>
    <w:lvl w:ilvl="6" w:tplc="04100001" w:tentative="1">
      <w:start w:val="1"/>
      <w:numFmt w:val="bullet"/>
      <w:lvlText w:val=""/>
      <w:lvlJc w:val="left"/>
      <w:pPr>
        <w:ind w:left="6230" w:hanging="360"/>
      </w:pPr>
      <w:rPr>
        <w:rFonts w:ascii="Symbol" w:hAnsi="Symbol" w:hint="default"/>
      </w:rPr>
    </w:lvl>
    <w:lvl w:ilvl="7" w:tplc="04100003" w:tentative="1">
      <w:start w:val="1"/>
      <w:numFmt w:val="bullet"/>
      <w:lvlText w:val="o"/>
      <w:lvlJc w:val="left"/>
      <w:pPr>
        <w:ind w:left="6950" w:hanging="360"/>
      </w:pPr>
      <w:rPr>
        <w:rFonts w:ascii="Courier New" w:hAnsi="Courier New" w:cs="Courier New" w:hint="default"/>
      </w:rPr>
    </w:lvl>
    <w:lvl w:ilvl="8" w:tplc="04100005" w:tentative="1">
      <w:start w:val="1"/>
      <w:numFmt w:val="bullet"/>
      <w:lvlText w:val=""/>
      <w:lvlJc w:val="left"/>
      <w:pPr>
        <w:ind w:left="7670" w:hanging="360"/>
      </w:pPr>
      <w:rPr>
        <w:rFonts w:ascii="Wingdings" w:hAnsi="Wingdings" w:hint="default"/>
      </w:rPr>
    </w:lvl>
  </w:abstractNum>
  <w:abstractNum w:abstractNumId="27" w15:restartNumberingAfterBreak="0">
    <w:nsid w:val="37C66FB8"/>
    <w:multiLevelType w:val="hybridMultilevel"/>
    <w:tmpl w:val="6F661C6A"/>
    <w:lvl w:ilvl="0" w:tplc="224AED12">
      <w:numFmt w:val="bullet"/>
      <w:lvlText w:val=""/>
      <w:lvlJc w:val="left"/>
      <w:pPr>
        <w:ind w:left="720" w:hanging="360"/>
      </w:pPr>
      <w:rPr>
        <w:rFonts w:ascii="Symbol" w:eastAsia="Symbol" w:hAnsi="Symbol" w:cs="Symbol" w:hint="default"/>
        <w:w w:val="100"/>
        <w:sz w:val="22"/>
        <w:szCs w:val="22"/>
        <w:lang w:val="en-US"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CF94E6E"/>
    <w:multiLevelType w:val="hybridMultilevel"/>
    <w:tmpl w:val="365002BE"/>
    <w:lvl w:ilvl="0" w:tplc="04100017">
      <w:start w:val="1"/>
      <w:numFmt w:val="lowerLetter"/>
      <w:lvlText w:val="%1)"/>
      <w:lvlJc w:val="left"/>
      <w:pPr>
        <w:ind w:left="1912" w:hanging="360"/>
      </w:pPr>
    </w:lvl>
    <w:lvl w:ilvl="1" w:tplc="04100019" w:tentative="1">
      <w:start w:val="1"/>
      <w:numFmt w:val="lowerLetter"/>
      <w:lvlText w:val="%2."/>
      <w:lvlJc w:val="left"/>
      <w:pPr>
        <w:ind w:left="2632" w:hanging="360"/>
      </w:pPr>
    </w:lvl>
    <w:lvl w:ilvl="2" w:tplc="0410001B" w:tentative="1">
      <w:start w:val="1"/>
      <w:numFmt w:val="lowerRoman"/>
      <w:lvlText w:val="%3."/>
      <w:lvlJc w:val="right"/>
      <w:pPr>
        <w:ind w:left="3352" w:hanging="180"/>
      </w:pPr>
    </w:lvl>
    <w:lvl w:ilvl="3" w:tplc="0410000F" w:tentative="1">
      <w:start w:val="1"/>
      <w:numFmt w:val="decimal"/>
      <w:lvlText w:val="%4."/>
      <w:lvlJc w:val="left"/>
      <w:pPr>
        <w:ind w:left="4072" w:hanging="360"/>
      </w:pPr>
    </w:lvl>
    <w:lvl w:ilvl="4" w:tplc="04100019" w:tentative="1">
      <w:start w:val="1"/>
      <w:numFmt w:val="lowerLetter"/>
      <w:lvlText w:val="%5."/>
      <w:lvlJc w:val="left"/>
      <w:pPr>
        <w:ind w:left="4792" w:hanging="360"/>
      </w:pPr>
    </w:lvl>
    <w:lvl w:ilvl="5" w:tplc="0410001B" w:tentative="1">
      <w:start w:val="1"/>
      <w:numFmt w:val="lowerRoman"/>
      <w:lvlText w:val="%6."/>
      <w:lvlJc w:val="right"/>
      <w:pPr>
        <w:ind w:left="5512" w:hanging="180"/>
      </w:pPr>
    </w:lvl>
    <w:lvl w:ilvl="6" w:tplc="0410000F" w:tentative="1">
      <w:start w:val="1"/>
      <w:numFmt w:val="decimal"/>
      <w:lvlText w:val="%7."/>
      <w:lvlJc w:val="left"/>
      <w:pPr>
        <w:ind w:left="6232" w:hanging="360"/>
      </w:pPr>
    </w:lvl>
    <w:lvl w:ilvl="7" w:tplc="04100019" w:tentative="1">
      <w:start w:val="1"/>
      <w:numFmt w:val="lowerLetter"/>
      <w:lvlText w:val="%8."/>
      <w:lvlJc w:val="left"/>
      <w:pPr>
        <w:ind w:left="6952" w:hanging="360"/>
      </w:pPr>
    </w:lvl>
    <w:lvl w:ilvl="8" w:tplc="0410001B" w:tentative="1">
      <w:start w:val="1"/>
      <w:numFmt w:val="lowerRoman"/>
      <w:lvlText w:val="%9."/>
      <w:lvlJc w:val="right"/>
      <w:pPr>
        <w:ind w:left="7672" w:hanging="180"/>
      </w:pPr>
    </w:lvl>
  </w:abstractNum>
  <w:abstractNum w:abstractNumId="29" w15:restartNumberingAfterBreak="0">
    <w:nsid w:val="3FD92138"/>
    <w:multiLevelType w:val="hybridMultilevel"/>
    <w:tmpl w:val="45425FDC"/>
    <w:lvl w:ilvl="0" w:tplc="224AED12">
      <w:numFmt w:val="bullet"/>
      <w:lvlText w:val=""/>
      <w:lvlJc w:val="left"/>
      <w:pPr>
        <w:ind w:left="720" w:hanging="360"/>
      </w:pPr>
      <w:rPr>
        <w:rFonts w:ascii="Symbol" w:eastAsia="Symbol" w:hAnsi="Symbol" w:cs="Symbol" w:hint="default"/>
        <w:w w:val="100"/>
        <w:sz w:val="22"/>
        <w:szCs w:val="22"/>
        <w:lang w:val="en-US"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56A435F"/>
    <w:multiLevelType w:val="hybridMultilevel"/>
    <w:tmpl w:val="87C8A8BA"/>
    <w:lvl w:ilvl="0" w:tplc="6EC4C4EC">
      <w:numFmt w:val="bullet"/>
      <w:lvlText w:val="-"/>
      <w:lvlJc w:val="left"/>
      <w:pPr>
        <w:ind w:left="833" w:hanging="360"/>
      </w:pPr>
      <w:rPr>
        <w:rFonts w:ascii="Cambria" w:eastAsia="Cambria" w:hAnsi="Cambria" w:cs="Cambria" w:hint="default"/>
        <w:w w:val="100"/>
        <w:sz w:val="22"/>
        <w:szCs w:val="22"/>
        <w:lang w:val="en-US" w:eastAsia="en-US" w:bidi="ar-SA"/>
      </w:rPr>
    </w:lvl>
    <w:lvl w:ilvl="1" w:tplc="1D046A4A">
      <w:numFmt w:val="bullet"/>
      <w:lvlText w:val="•"/>
      <w:lvlJc w:val="left"/>
      <w:pPr>
        <w:ind w:left="1814" w:hanging="360"/>
      </w:pPr>
      <w:rPr>
        <w:rFonts w:hint="default"/>
        <w:lang w:val="en-US" w:eastAsia="en-US" w:bidi="ar-SA"/>
      </w:rPr>
    </w:lvl>
    <w:lvl w:ilvl="2" w:tplc="20744D04">
      <w:numFmt w:val="bullet"/>
      <w:lvlText w:val="•"/>
      <w:lvlJc w:val="left"/>
      <w:pPr>
        <w:ind w:left="2789" w:hanging="360"/>
      </w:pPr>
      <w:rPr>
        <w:rFonts w:hint="default"/>
        <w:lang w:val="en-US" w:eastAsia="en-US" w:bidi="ar-SA"/>
      </w:rPr>
    </w:lvl>
    <w:lvl w:ilvl="3" w:tplc="F5EAB51C">
      <w:numFmt w:val="bullet"/>
      <w:lvlText w:val="•"/>
      <w:lvlJc w:val="left"/>
      <w:pPr>
        <w:ind w:left="3763" w:hanging="360"/>
      </w:pPr>
      <w:rPr>
        <w:rFonts w:hint="default"/>
        <w:lang w:val="en-US" w:eastAsia="en-US" w:bidi="ar-SA"/>
      </w:rPr>
    </w:lvl>
    <w:lvl w:ilvl="4" w:tplc="6EDA210A">
      <w:numFmt w:val="bullet"/>
      <w:lvlText w:val="•"/>
      <w:lvlJc w:val="left"/>
      <w:pPr>
        <w:ind w:left="4738" w:hanging="360"/>
      </w:pPr>
      <w:rPr>
        <w:rFonts w:hint="default"/>
        <w:lang w:val="en-US" w:eastAsia="en-US" w:bidi="ar-SA"/>
      </w:rPr>
    </w:lvl>
    <w:lvl w:ilvl="5" w:tplc="EB781A26">
      <w:numFmt w:val="bullet"/>
      <w:lvlText w:val="•"/>
      <w:lvlJc w:val="left"/>
      <w:pPr>
        <w:ind w:left="5713" w:hanging="360"/>
      </w:pPr>
      <w:rPr>
        <w:rFonts w:hint="default"/>
        <w:lang w:val="en-US" w:eastAsia="en-US" w:bidi="ar-SA"/>
      </w:rPr>
    </w:lvl>
    <w:lvl w:ilvl="6" w:tplc="876007F8">
      <w:numFmt w:val="bullet"/>
      <w:lvlText w:val="•"/>
      <w:lvlJc w:val="left"/>
      <w:pPr>
        <w:ind w:left="6687" w:hanging="360"/>
      </w:pPr>
      <w:rPr>
        <w:rFonts w:hint="default"/>
        <w:lang w:val="en-US" w:eastAsia="en-US" w:bidi="ar-SA"/>
      </w:rPr>
    </w:lvl>
    <w:lvl w:ilvl="7" w:tplc="F09E6806">
      <w:numFmt w:val="bullet"/>
      <w:lvlText w:val="•"/>
      <w:lvlJc w:val="left"/>
      <w:pPr>
        <w:ind w:left="7662" w:hanging="360"/>
      </w:pPr>
      <w:rPr>
        <w:rFonts w:hint="default"/>
        <w:lang w:val="en-US" w:eastAsia="en-US" w:bidi="ar-SA"/>
      </w:rPr>
    </w:lvl>
    <w:lvl w:ilvl="8" w:tplc="13E6B14A">
      <w:numFmt w:val="bullet"/>
      <w:lvlText w:val="•"/>
      <w:lvlJc w:val="left"/>
      <w:pPr>
        <w:ind w:left="8637" w:hanging="360"/>
      </w:pPr>
      <w:rPr>
        <w:rFonts w:hint="default"/>
        <w:lang w:val="en-US" w:eastAsia="en-US" w:bidi="ar-SA"/>
      </w:rPr>
    </w:lvl>
  </w:abstractNum>
  <w:abstractNum w:abstractNumId="31" w15:restartNumberingAfterBreak="0">
    <w:nsid w:val="53A65A1A"/>
    <w:multiLevelType w:val="hybridMultilevel"/>
    <w:tmpl w:val="AD9CDD18"/>
    <w:lvl w:ilvl="0" w:tplc="79CADE4C">
      <w:numFmt w:val="bullet"/>
      <w:lvlText w:val=""/>
      <w:lvlJc w:val="left"/>
      <w:pPr>
        <w:ind w:left="833" w:hanging="360"/>
      </w:pPr>
      <w:rPr>
        <w:rFonts w:ascii="Symbol" w:eastAsia="Symbol" w:hAnsi="Symbol" w:cs="Symbol" w:hint="default"/>
        <w:w w:val="100"/>
        <w:sz w:val="22"/>
        <w:szCs w:val="22"/>
        <w:lang w:val="en-US" w:eastAsia="en-US" w:bidi="ar-SA"/>
      </w:rPr>
    </w:lvl>
    <w:lvl w:ilvl="1" w:tplc="98D00E24">
      <w:numFmt w:val="bullet"/>
      <w:lvlText w:val="•"/>
      <w:lvlJc w:val="left"/>
      <w:pPr>
        <w:ind w:left="1814" w:hanging="360"/>
      </w:pPr>
      <w:rPr>
        <w:rFonts w:hint="default"/>
        <w:lang w:val="en-US" w:eastAsia="en-US" w:bidi="ar-SA"/>
      </w:rPr>
    </w:lvl>
    <w:lvl w:ilvl="2" w:tplc="BC0A7524">
      <w:numFmt w:val="bullet"/>
      <w:lvlText w:val="•"/>
      <w:lvlJc w:val="left"/>
      <w:pPr>
        <w:ind w:left="2789" w:hanging="360"/>
      </w:pPr>
      <w:rPr>
        <w:rFonts w:hint="default"/>
        <w:lang w:val="en-US" w:eastAsia="en-US" w:bidi="ar-SA"/>
      </w:rPr>
    </w:lvl>
    <w:lvl w:ilvl="3" w:tplc="432A2B72">
      <w:numFmt w:val="bullet"/>
      <w:lvlText w:val="•"/>
      <w:lvlJc w:val="left"/>
      <w:pPr>
        <w:ind w:left="3763" w:hanging="360"/>
      </w:pPr>
      <w:rPr>
        <w:rFonts w:hint="default"/>
        <w:lang w:val="en-US" w:eastAsia="en-US" w:bidi="ar-SA"/>
      </w:rPr>
    </w:lvl>
    <w:lvl w:ilvl="4" w:tplc="095EB46E">
      <w:numFmt w:val="bullet"/>
      <w:lvlText w:val="•"/>
      <w:lvlJc w:val="left"/>
      <w:pPr>
        <w:ind w:left="4738" w:hanging="360"/>
      </w:pPr>
      <w:rPr>
        <w:rFonts w:hint="default"/>
        <w:lang w:val="en-US" w:eastAsia="en-US" w:bidi="ar-SA"/>
      </w:rPr>
    </w:lvl>
    <w:lvl w:ilvl="5" w:tplc="62141BC4">
      <w:numFmt w:val="bullet"/>
      <w:lvlText w:val="•"/>
      <w:lvlJc w:val="left"/>
      <w:pPr>
        <w:ind w:left="5713" w:hanging="360"/>
      </w:pPr>
      <w:rPr>
        <w:rFonts w:hint="default"/>
        <w:lang w:val="en-US" w:eastAsia="en-US" w:bidi="ar-SA"/>
      </w:rPr>
    </w:lvl>
    <w:lvl w:ilvl="6" w:tplc="A4582D02">
      <w:numFmt w:val="bullet"/>
      <w:lvlText w:val="•"/>
      <w:lvlJc w:val="left"/>
      <w:pPr>
        <w:ind w:left="6687" w:hanging="360"/>
      </w:pPr>
      <w:rPr>
        <w:rFonts w:hint="default"/>
        <w:lang w:val="en-US" w:eastAsia="en-US" w:bidi="ar-SA"/>
      </w:rPr>
    </w:lvl>
    <w:lvl w:ilvl="7" w:tplc="30DA9AFE">
      <w:numFmt w:val="bullet"/>
      <w:lvlText w:val="•"/>
      <w:lvlJc w:val="left"/>
      <w:pPr>
        <w:ind w:left="7662" w:hanging="360"/>
      </w:pPr>
      <w:rPr>
        <w:rFonts w:hint="default"/>
        <w:lang w:val="en-US" w:eastAsia="en-US" w:bidi="ar-SA"/>
      </w:rPr>
    </w:lvl>
    <w:lvl w:ilvl="8" w:tplc="9DDCAB52">
      <w:numFmt w:val="bullet"/>
      <w:lvlText w:val="•"/>
      <w:lvlJc w:val="left"/>
      <w:pPr>
        <w:ind w:left="8637" w:hanging="360"/>
      </w:pPr>
      <w:rPr>
        <w:rFonts w:hint="default"/>
        <w:lang w:val="en-US" w:eastAsia="en-US" w:bidi="ar-SA"/>
      </w:rPr>
    </w:lvl>
  </w:abstractNum>
  <w:abstractNum w:abstractNumId="32" w15:restartNumberingAfterBreak="0">
    <w:nsid w:val="58C255EB"/>
    <w:multiLevelType w:val="multilevel"/>
    <w:tmpl w:val="8CDA1AAE"/>
    <w:lvl w:ilvl="0">
      <w:start w:val="6"/>
      <w:numFmt w:val="upperRoman"/>
      <w:lvlText w:val="%1"/>
      <w:lvlJc w:val="left"/>
      <w:pPr>
        <w:ind w:left="727" w:hanging="615"/>
      </w:pPr>
      <w:rPr>
        <w:rFonts w:hint="default"/>
        <w:lang w:val="en-US" w:eastAsia="en-US" w:bidi="ar-SA"/>
      </w:rPr>
    </w:lvl>
    <w:lvl w:ilvl="1">
      <w:start w:val="1"/>
      <w:numFmt w:val="decimal"/>
      <w:lvlText w:val="%1.%2."/>
      <w:lvlJc w:val="left"/>
      <w:pPr>
        <w:ind w:left="727" w:hanging="615"/>
      </w:pPr>
      <w:rPr>
        <w:rFonts w:ascii="Cambria" w:eastAsia="Cambria" w:hAnsi="Cambria" w:cs="Cambria" w:hint="default"/>
        <w:b/>
        <w:bCs/>
        <w:spacing w:val="-2"/>
        <w:w w:val="100"/>
        <w:sz w:val="22"/>
        <w:szCs w:val="22"/>
        <w:lang w:val="en-US" w:eastAsia="en-US" w:bidi="ar-SA"/>
      </w:rPr>
    </w:lvl>
    <w:lvl w:ilvl="2">
      <w:numFmt w:val="bullet"/>
      <w:lvlText w:val=""/>
      <w:lvlJc w:val="left"/>
      <w:pPr>
        <w:ind w:left="833" w:hanging="360"/>
      </w:pPr>
      <w:rPr>
        <w:rFonts w:ascii="Symbol" w:eastAsia="Symbol" w:hAnsi="Symbol" w:cs="Symbol" w:hint="default"/>
        <w:w w:val="100"/>
        <w:sz w:val="22"/>
        <w:szCs w:val="22"/>
        <w:lang w:val="en-US" w:eastAsia="en-US" w:bidi="ar-SA"/>
      </w:rPr>
    </w:lvl>
    <w:lvl w:ilvl="3">
      <w:numFmt w:val="bullet"/>
      <w:lvlText w:val=""/>
      <w:lvlJc w:val="left"/>
      <w:pPr>
        <w:ind w:left="1553" w:hanging="360"/>
      </w:pPr>
      <w:rPr>
        <w:rFonts w:ascii="Symbol" w:eastAsia="Symbol" w:hAnsi="Symbol" w:cs="Symbol" w:hint="default"/>
        <w:w w:val="100"/>
        <w:sz w:val="22"/>
        <w:szCs w:val="22"/>
        <w:lang w:val="en-US" w:eastAsia="en-US" w:bidi="ar-SA"/>
      </w:rPr>
    </w:lvl>
    <w:lvl w:ilvl="4">
      <w:numFmt w:val="bullet"/>
      <w:lvlText w:val="•"/>
      <w:lvlJc w:val="left"/>
      <w:pPr>
        <w:ind w:left="3816" w:hanging="360"/>
      </w:pPr>
      <w:rPr>
        <w:rFonts w:hint="default"/>
        <w:lang w:val="en-US" w:eastAsia="en-US" w:bidi="ar-SA"/>
      </w:rPr>
    </w:lvl>
    <w:lvl w:ilvl="5">
      <w:numFmt w:val="bullet"/>
      <w:lvlText w:val="•"/>
      <w:lvlJc w:val="left"/>
      <w:pPr>
        <w:ind w:left="4944" w:hanging="360"/>
      </w:pPr>
      <w:rPr>
        <w:rFonts w:hint="default"/>
        <w:lang w:val="en-US" w:eastAsia="en-US" w:bidi="ar-SA"/>
      </w:rPr>
    </w:lvl>
    <w:lvl w:ilvl="6">
      <w:numFmt w:val="bullet"/>
      <w:lvlText w:val="•"/>
      <w:lvlJc w:val="left"/>
      <w:pPr>
        <w:ind w:left="6073" w:hanging="360"/>
      </w:pPr>
      <w:rPr>
        <w:rFonts w:hint="default"/>
        <w:lang w:val="en-US" w:eastAsia="en-US" w:bidi="ar-SA"/>
      </w:rPr>
    </w:lvl>
    <w:lvl w:ilvl="7">
      <w:numFmt w:val="bullet"/>
      <w:lvlText w:val="•"/>
      <w:lvlJc w:val="left"/>
      <w:pPr>
        <w:ind w:left="7201" w:hanging="360"/>
      </w:pPr>
      <w:rPr>
        <w:rFonts w:hint="default"/>
        <w:lang w:val="en-US" w:eastAsia="en-US" w:bidi="ar-SA"/>
      </w:rPr>
    </w:lvl>
    <w:lvl w:ilvl="8">
      <w:numFmt w:val="bullet"/>
      <w:lvlText w:val="•"/>
      <w:lvlJc w:val="left"/>
      <w:pPr>
        <w:ind w:left="8329" w:hanging="360"/>
      </w:pPr>
      <w:rPr>
        <w:rFonts w:hint="default"/>
        <w:lang w:val="en-US" w:eastAsia="en-US" w:bidi="ar-SA"/>
      </w:rPr>
    </w:lvl>
  </w:abstractNum>
  <w:abstractNum w:abstractNumId="33" w15:restartNumberingAfterBreak="0">
    <w:nsid w:val="5A3C6B87"/>
    <w:multiLevelType w:val="hybridMultilevel"/>
    <w:tmpl w:val="1A687DCC"/>
    <w:lvl w:ilvl="0" w:tplc="0410000B">
      <w:start w:val="1"/>
      <w:numFmt w:val="bullet"/>
      <w:lvlText w:val=""/>
      <w:lvlJc w:val="left"/>
      <w:pPr>
        <w:ind w:left="465" w:hanging="360"/>
      </w:pPr>
      <w:rPr>
        <w:rFonts w:ascii="Wingdings" w:hAnsi="Wingdings" w:hint="default"/>
      </w:rPr>
    </w:lvl>
    <w:lvl w:ilvl="1" w:tplc="04100001">
      <w:start w:val="1"/>
      <w:numFmt w:val="bullet"/>
      <w:lvlText w:val=""/>
      <w:lvlJc w:val="left"/>
      <w:pPr>
        <w:ind w:left="1185" w:hanging="360"/>
      </w:pPr>
      <w:rPr>
        <w:rFonts w:ascii="Symbol" w:hAnsi="Symbol" w:hint="default"/>
      </w:rPr>
    </w:lvl>
    <w:lvl w:ilvl="2" w:tplc="04100005">
      <w:start w:val="1"/>
      <w:numFmt w:val="bullet"/>
      <w:lvlText w:val=""/>
      <w:lvlJc w:val="left"/>
      <w:pPr>
        <w:ind w:left="1905" w:hanging="360"/>
      </w:pPr>
      <w:rPr>
        <w:rFonts w:ascii="Wingdings" w:hAnsi="Wingdings" w:hint="default"/>
      </w:rPr>
    </w:lvl>
    <w:lvl w:ilvl="3" w:tplc="04100001">
      <w:start w:val="1"/>
      <w:numFmt w:val="bullet"/>
      <w:lvlText w:val=""/>
      <w:lvlJc w:val="left"/>
      <w:pPr>
        <w:ind w:left="2625" w:hanging="360"/>
      </w:pPr>
      <w:rPr>
        <w:rFonts w:ascii="Symbol" w:hAnsi="Symbol" w:hint="default"/>
      </w:rPr>
    </w:lvl>
    <w:lvl w:ilvl="4" w:tplc="04100003">
      <w:start w:val="1"/>
      <w:numFmt w:val="bullet"/>
      <w:lvlText w:val="o"/>
      <w:lvlJc w:val="left"/>
      <w:pPr>
        <w:ind w:left="3345" w:hanging="360"/>
      </w:pPr>
      <w:rPr>
        <w:rFonts w:ascii="Courier New" w:hAnsi="Courier New" w:cs="Courier New" w:hint="default"/>
      </w:rPr>
    </w:lvl>
    <w:lvl w:ilvl="5" w:tplc="04100005">
      <w:start w:val="1"/>
      <w:numFmt w:val="bullet"/>
      <w:lvlText w:val=""/>
      <w:lvlJc w:val="left"/>
      <w:pPr>
        <w:ind w:left="4065" w:hanging="360"/>
      </w:pPr>
      <w:rPr>
        <w:rFonts w:ascii="Wingdings" w:hAnsi="Wingdings" w:hint="default"/>
      </w:rPr>
    </w:lvl>
    <w:lvl w:ilvl="6" w:tplc="04100001">
      <w:start w:val="1"/>
      <w:numFmt w:val="bullet"/>
      <w:lvlText w:val=""/>
      <w:lvlJc w:val="left"/>
      <w:pPr>
        <w:ind w:left="4785" w:hanging="360"/>
      </w:pPr>
      <w:rPr>
        <w:rFonts w:ascii="Symbol" w:hAnsi="Symbol" w:hint="default"/>
      </w:rPr>
    </w:lvl>
    <w:lvl w:ilvl="7" w:tplc="04100003" w:tentative="1">
      <w:start w:val="1"/>
      <w:numFmt w:val="bullet"/>
      <w:lvlText w:val="o"/>
      <w:lvlJc w:val="left"/>
      <w:pPr>
        <w:ind w:left="5505" w:hanging="360"/>
      </w:pPr>
      <w:rPr>
        <w:rFonts w:ascii="Courier New" w:hAnsi="Courier New" w:cs="Courier New" w:hint="default"/>
      </w:rPr>
    </w:lvl>
    <w:lvl w:ilvl="8" w:tplc="04100005" w:tentative="1">
      <w:start w:val="1"/>
      <w:numFmt w:val="bullet"/>
      <w:lvlText w:val=""/>
      <w:lvlJc w:val="left"/>
      <w:pPr>
        <w:ind w:left="6225" w:hanging="360"/>
      </w:pPr>
      <w:rPr>
        <w:rFonts w:ascii="Wingdings" w:hAnsi="Wingdings" w:hint="default"/>
      </w:rPr>
    </w:lvl>
  </w:abstractNum>
  <w:abstractNum w:abstractNumId="34" w15:restartNumberingAfterBreak="0">
    <w:nsid w:val="5F4C371D"/>
    <w:multiLevelType w:val="hybridMultilevel"/>
    <w:tmpl w:val="83527170"/>
    <w:lvl w:ilvl="0" w:tplc="224AED12">
      <w:numFmt w:val="bullet"/>
      <w:lvlText w:val=""/>
      <w:lvlJc w:val="left"/>
      <w:pPr>
        <w:ind w:left="1647" w:hanging="360"/>
      </w:pPr>
      <w:rPr>
        <w:rFonts w:ascii="Symbol" w:eastAsia="Symbol" w:hAnsi="Symbol" w:cs="Symbol" w:hint="default"/>
        <w:w w:val="100"/>
        <w:sz w:val="22"/>
        <w:szCs w:val="22"/>
        <w:lang w:val="en-US" w:eastAsia="en-US" w:bidi="ar-SA"/>
      </w:rPr>
    </w:lvl>
    <w:lvl w:ilvl="1" w:tplc="04100003" w:tentative="1">
      <w:start w:val="1"/>
      <w:numFmt w:val="bullet"/>
      <w:lvlText w:val="o"/>
      <w:lvlJc w:val="left"/>
      <w:pPr>
        <w:ind w:left="2367" w:hanging="360"/>
      </w:pPr>
      <w:rPr>
        <w:rFonts w:ascii="Courier New" w:hAnsi="Courier New" w:cs="Courier New" w:hint="default"/>
      </w:rPr>
    </w:lvl>
    <w:lvl w:ilvl="2" w:tplc="04100005" w:tentative="1">
      <w:start w:val="1"/>
      <w:numFmt w:val="bullet"/>
      <w:lvlText w:val=""/>
      <w:lvlJc w:val="left"/>
      <w:pPr>
        <w:ind w:left="3087" w:hanging="360"/>
      </w:pPr>
      <w:rPr>
        <w:rFonts w:ascii="Wingdings" w:hAnsi="Wingdings" w:hint="default"/>
      </w:rPr>
    </w:lvl>
    <w:lvl w:ilvl="3" w:tplc="04100001" w:tentative="1">
      <w:start w:val="1"/>
      <w:numFmt w:val="bullet"/>
      <w:lvlText w:val=""/>
      <w:lvlJc w:val="left"/>
      <w:pPr>
        <w:ind w:left="3807" w:hanging="360"/>
      </w:pPr>
      <w:rPr>
        <w:rFonts w:ascii="Symbol" w:hAnsi="Symbol" w:hint="default"/>
      </w:rPr>
    </w:lvl>
    <w:lvl w:ilvl="4" w:tplc="04100003" w:tentative="1">
      <w:start w:val="1"/>
      <w:numFmt w:val="bullet"/>
      <w:lvlText w:val="o"/>
      <w:lvlJc w:val="left"/>
      <w:pPr>
        <w:ind w:left="4527" w:hanging="360"/>
      </w:pPr>
      <w:rPr>
        <w:rFonts w:ascii="Courier New" w:hAnsi="Courier New" w:cs="Courier New" w:hint="default"/>
      </w:rPr>
    </w:lvl>
    <w:lvl w:ilvl="5" w:tplc="04100005" w:tentative="1">
      <w:start w:val="1"/>
      <w:numFmt w:val="bullet"/>
      <w:lvlText w:val=""/>
      <w:lvlJc w:val="left"/>
      <w:pPr>
        <w:ind w:left="5247" w:hanging="360"/>
      </w:pPr>
      <w:rPr>
        <w:rFonts w:ascii="Wingdings" w:hAnsi="Wingdings" w:hint="default"/>
      </w:rPr>
    </w:lvl>
    <w:lvl w:ilvl="6" w:tplc="04100001" w:tentative="1">
      <w:start w:val="1"/>
      <w:numFmt w:val="bullet"/>
      <w:lvlText w:val=""/>
      <w:lvlJc w:val="left"/>
      <w:pPr>
        <w:ind w:left="5967" w:hanging="360"/>
      </w:pPr>
      <w:rPr>
        <w:rFonts w:ascii="Symbol" w:hAnsi="Symbol" w:hint="default"/>
      </w:rPr>
    </w:lvl>
    <w:lvl w:ilvl="7" w:tplc="04100003" w:tentative="1">
      <w:start w:val="1"/>
      <w:numFmt w:val="bullet"/>
      <w:lvlText w:val="o"/>
      <w:lvlJc w:val="left"/>
      <w:pPr>
        <w:ind w:left="6687" w:hanging="360"/>
      </w:pPr>
      <w:rPr>
        <w:rFonts w:ascii="Courier New" w:hAnsi="Courier New" w:cs="Courier New" w:hint="default"/>
      </w:rPr>
    </w:lvl>
    <w:lvl w:ilvl="8" w:tplc="04100005" w:tentative="1">
      <w:start w:val="1"/>
      <w:numFmt w:val="bullet"/>
      <w:lvlText w:val=""/>
      <w:lvlJc w:val="left"/>
      <w:pPr>
        <w:ind w:left="7407" w:hanging="360"/>
      </w:pPr>
      <w:rPr>
        <w:rFonts w:ascii="Wingdings" w:hAnsi="Wingdings" w:hint="default"/>
      </w:rPr>
    </w:lvl>
  </w:abstractNum>
  <w:abstractNum w:abstractNumId="35" w15:restartNumberingAfterBreak="0">
    <w:nsid w:val="609E5348"/>
    <w:multiLevelType w:val="hybridMultilevel"/>
    <w:tmpl w:val="5FD25548"/>
    <w:lvl w:ilvl="0" w:tplc="212E4DB2">
      <w:numFmt w:val="bullet"/>
      <w:lvlText w:val="-"/>
      <w:lvlJc w:val="left"/>
      <w:pPr>
        <w:ind w:left="1193" w:hanging="360"/>
      </w:pPr>
      <w:rPr>
        <w:rFonts w:ascii="Calibri" w:eastAsia="Calibri" w:hAnsi="Calibri" w:cs="Calibri" w:hint="default"/>
        <w:w w:val="100"/>
        <w:sz w:val="22"/>
        <w:szCs w:val="22"/>
        <w:lang w:val="en-US" w:eastAsia="en-US" w:bidi="ar-SA"/>
      </w:rPr>
    </w:lvl>
    <w:lvl w:ilvl="1" w:tplc="10168B54">
      <w:numFmt w:val="bullet"/>
      <w:lvlText w:val="•"/>
      <w:lvlJc w:val="left"/>
      <w:pPr>
        <w:ind w:left="2138" w:hanging="360"/>
      </w:pPr>
      <w:rPr>
        <w:rFonts w:hint="default"/>
        <w:lang w:val="en-US" w:eastAsia="en-US" w:bidi="ar-SA"/>
      </w:rPr>
    </w:lvl>
    <w:lvl w:ilvl="2" w:tplc="BB962230">
      <w:numFmt w:val="bullet"/>
      <w:lvlText w:val="•"/>
      <w:lvlJc w:val="left"/>
      <w:pPr>
        <w:ind w:left="3077" w:hanging="360"/>
      </w:pPr>
      <w:rPr>
        <w:rFonts w:hint="default"/>
        <w:lang w:val="en-US" w:eastAsia="en-US" w:bidi="ar-SA"/>
      </w:rPr>
    </w:lvl>
    <w:lvl w:ilvl="3" w:tplc="EE6C6A70">
      <w:numFmt w:val="bullet"/>
      <w:lvlText w:val="•"/>
      <w:lvlJc w:val="left"/>
      <w:pPr>
        <w:ind w:left="4015" w:hanging="360"/>
      </w:pPr>
      <w:rPr>
        <w:rFonts w:hint="default"/>
        <w:lang w:val="en-US" w:eastAsia="en-US" w:bidi="ar-SA"/>
      </w:rPr>
    </w:lvl>
    <w:lvl w:ilvl="4" w:tplc="DAF8F440">
      <w:numFmt w:val="bullet"/>
      <w:lvlText w:val="•"/>
      <w:lvlJc w:val="left"/>
      <w:pPr>
        <w:ind w:left="4954" w:hanging="360"/>
      </w:pPr>
      <w:rPr>
        <w:rFonts w:hint="default"/>
        <w:lang w:val="en-US" w:eastAsia="en-US" w:bidi="ar-SA"/>
      </w:rPr>
    </w:lvl>
    <w:lvl w:ilvl="5" w:tplc="E3E4205A">
      <w:numFmt w:val="bullet"/>
      <w:lvlText w:val="•"/>
      <w:lvlJc w:val="left"/>
      <w:pPr>
        <w:ind w:left="5893" w:hanging="360"/>
      </w:pPr>
      <w:rPr>
        <w:rFonts w:hint="default"/>
        <w:lang w:val="en-US" w:eastAsia="en-US" w:bidi="ar-SA"/>
      </w:rPr>
    </w:lvl>
    <w:lvl w:ilvl="6" w:tplc="5F942800">
      <w:numFmt w:val="bullet"/>
      <w:lvlText w:val="•"/>
      <w:lvlJc w:val="left"/>
      <w:pPr>
        <w:ind w:left="6831" w:hanging="360"/>
      </w:pPr>
      <w:rPr>
        <w:rFonts w:hint="default"/>
        <w:lang w:val="en-US" w:eastAsia="en-US" w:bidi="ar-SA"/>
      </w:rPr>
    </w:lvl>
    <w:lvl w:ilvl="7" w:tplc="DE44512E">
      <w:numFmt w:val="bullet"/>
      <w:lvlText w:val="•"/>
      <w:lvlJc w:val="left"/>
      <w:pPr>
        <w:ind w:left="7770" w:hanging="360"/>
      </w:pPr>
      <w:rPr>
        <w:rFonts w:hint="default"/>
        <w:lang w:val="en-US" w:eastAsia="en-US" w:bidi="ar-SA"/>
      </w:rPr>
    </w:lvl>
    <w:lvl w:ilvl="8" w:tplc="CD0023BC">
      <w:numFmt w:val="bullet"/>
      <w:lvlText w:val="•"/>
      <w:lvlJc w:val="left"/>
      <w:pPr>
        <w:ind w:left="8709" w:hanging="360"/>
      </w:pPr>
      <w:rPr>
        <w:rFonts w:hint="default"/>
        <w:lang w:val="en-US" w:eastAsia="en-US" w:bidi="ar-SA"/>
      </w:rPr>
    </w:lvl>
  </w:abstractNum>
  <w:abstractNum w:abstractNumId="36" w15:restartNumberingAfterBreak="0">
    <w:nsid w:val="647E01E3"/>
    <w:multiLevelType w:val="hybridMultilevel"/>
    <w:tmpl w:val="0152071A"/>
    <w:lvl w:ilvl="0" w:tplc="B0B0E986">
      <w:numFmt w:val="bullet"/>
      <w:lvlText w:val="•"/>
      <w:lvlJc w:val="left"/>
      <w:pPr>
        <w:ind w:left="833" w:hanging="360"/>
      </w:pPr>
      <w:rPr>
        <w:rFonts w:ascii="Times New Roman" w:eastAsia="Times New Roman" w:hAnsi="Times New Roman" w:cs="Times New Roman" w:hint="default"/>
        <w:w w:val="100"/>
        <w:sz w:val="22"/>
        <w:szCs w:val="22"/>
        <w:lang w:val="en-US" w:eastAsia="en-US" w:bidi="ar-SA"/>
      </w:rPr>
    </w:lvl>
    <w:lvl w:ilvl="1" w:tplc="37620D82">
      <w:numFmt w:val="bullet"/>
      <w:lvlText w:val="•"/>
      <w:lvlJc w:val="left"/>
      <w:pPr>
        <w:ind w:left="1814" w:hanging="360"/>
      </w:pPr>
      <w:rPr>
        <w:rFonts w:hint="default"/>
        <w:lang w:val="en-US" w:eastAsia="en-US" w:bidi="ar-SA"/>
      </w:rPr>
    </w:lvl>
    <w:lvl w:ilvl="2" w:tplc="B5C4BC88">
      <w:numFmt w:val="bullet"/>
      <w:lvlText w:val="•"/>
      <w:lvlJc w:val="left"/>
      <w:pPr>
        <w:ind w:left="2789" w:hanging="360"/>
      </w:pPr>
      <w:rPr>
        <w:rFonts w:hint="default"/>
        <w:lang w:val="en-US" w:eastAsia="en-US" w:bidi="ar-SA"/>
      </w:rPr>
    </w:lvl>
    <w:lvl w:ilvl="3" w:tplc="68061C86">
      <w:numFmt w:val="bullet"/>
      <w:lvlText w:val="•"/>
      <w:lvlJc w:val="left"/>
      <w:pPr>
        <w:ind w:left="3763" w:hanging="360"/>
      </w:pPr>
      <w:rPr>
        <w:rFonts w:hint="default"/>
        <w:lang w:val="en-US" w:eastAsia="en-US" w:bidi="ar-SA"/>
      </w:rPr>
    </w:lvl>
    <w:lvl w:ilvl="4" w:tplc="94B4402A">
      <w:numFmt w:val="bullet"/>
      <w:lvlText w:val="•"/>
      <w:lvlJc w:val="left"/>
      <w:pPr>
        <w:ind w:left="4738" w:hanging="360"/>
      </w:pPr>
      <w:rPr>
        <w:rFonts w:hint="default"/>
        <w:lang w:val="en-US" w:eastAsia="en-US" w:bidi="ar-SA"/>
      </w:rPr>
    </w:lvl>
    <w:lvl w:ilvl="5" w:tplc="E3F4973C">
      <w:numFmt w:val="bullet"/>
      <w:lvlText w:val="•"/>
      <w:lvlJc w:val="left"/>
      <w:pPr>
        <w:ind w:left="5713" w:hanging="360"/>
      </w:pPr>
      <w:rPr>
        <w:rFonts w:hint="default"/>
        <w:lang w:val="en-US" w:eastAsia="en-US" w:bidi="ar-SA"/>
      </w:rPr>
    </w:lvl>
    <w:lvl w:ilvl="6" w:tplc="49C467FA">
      <w:numFmt w:val="bullet"/>
      <w:lvlText w:val="•"/>
      <w:lvlJc w:val="left"/>
      <w:pPr>
        <w:ind w:left="6687" w:hanging="360"/>
      </w:pPr>
      <w:rPr>
        <w:rFonts w:hint="default"/>
        <w:lang w:val="en-US" w:eastAsia="en-US" w:bidi="ar-SA"/>
      </w:rPr>
    </w:lvl>
    <w:lvl w:ilvl="7" w:tplc="63EE3248">
      <w:numFmt w:val="bullet"/>
      <w:lvlText w:val="•"/>
      <w:lvlJc w:val="left"/>
      <w:pPr>
        <w:ind w:left="7662" w:hanging="360"/>
      </w:pPr>
      <w:rPr>
        <w:rFonts w:hint="default"/>
        <w:lang w:val="en-US" w:eastAsia="en-US" w:bidi="ar-SA"/>
      </w:rPr>
    </w:lvl>
    <w:lvl w:ilvl="8" w:tplc="59547B78">
      <w:numFmt w:val="bullet"/>
      <w:lvlText w:val="•"/>
      <w:lvlJc w:val="left"/>
      <w:pPr>
        <w:ind w:left="8637" w:hanging="360"/>
      </w:pPr>
      <w:rPr>
        <w:rFonts w:hint="default"/>
        <w:lang w:val="en-US" w:eastAsia="en-US" w:bidi="ar-SA"/>
      </w:rPr>
    </w:lvl>
  </w:abstractNum>
  <w:abstractNum w:abstractNumId="37" w15:restartNumberingAfterBreak="0">
    <w:nsid w:val="65ED0081"/>
    <w:multiLevelType w:val="hybridMultilevel"/>
    <w:tmpl w:val="FB1AB632"/>
    <w:lvl w:ilvl="0" w:tplc="04100017">
      <w:start w:val="1"/>
      <w:numFmt w:val="lowerLetter"/>
      <w:lvlText w:val="%1)"/>
      <w:lvlJc w:val="left"/>
      <w:pPr>
        <w:ind w:left="1192" w:hanging="360"/>
      </w:pPr>
      <w:rPr>
        <w:rFonts w:hint="defaul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38" w15:restartNumberingAfterBreak="0">
    <w:nsid w:val="674B6A64"/>
    <w:multiLevelType w:val="hybridMultilevel"/>
    <w:tmpl w:val="32C89AC8"/>
    <w:lvl w:ilvl="0" w:tplc="E3B88A62">
      <w:start w:val="1"/>
      <w:numFmt w:val="decimal"/>
      <w:lvlText w:val="%1."/>
      <w:lvlJc w:val="left"/>
      <w:pPr>
        <w:ind w:left="472" w:hanging="360"/>
      </w:pPr>
      <w:rPr>
        <w:rFonts w:hint="default"/>
      </w:rPr>
    </w:lvl>
    <w:lvl w:ilvl="1" w:tplc="08130019" w:tentative="1">
      <w:start w:val="1"/>
      <w:numFmt w:val="lowerLetter"/>
      <w:lvlText w:val="%2."/>
      <w:lvlJc w:val="left"/>
      <w:pPr>
        <w:ind w:left="1192" w:hanging="360"/>
      </w:pPr>
    </w:lvl>
    <w:lvl w:ilvl="2" w:tplc="0813001B" w:tentative="1">
      <w:start w:val="1"/>
      <w:numFmt w:val="lowerRoman"/>
      <w:lvlText w:val="%3."/>
      <w:lvlJc w:val="right"/>
      <w:pPr>
        <w:ind w:left="1912" w:hanging="180"/>
      </w:pPr>
    </w:lvl>
    <w:lvl w:ilvl="3" w:tplc="0813000F" w:tentative="1">
      <w:start w:val="1"/>
      <w:numFmt w:val="decimal"/>
      <w:lvlText w:val="%4."/>
      <w:lvlJc w:val="left"/>
      <w:pPr>
        <w:ind w:left="2632" w:hanging="360"/>
      </w:pPr>
    </w:lvl>
    <w:lvl w:ilvl="4" w:tplc="08130019" w:tentative="1">
      <w:start w:val="1"/>
      <w:numFmt w:val="lowerLetter"/>
      <w:lvlText w:val="%5."/>
      <w:lvlJc w:val="left"/>
      <w:pPr>
        <w:ind w:left="3352" w:hanging="360"/>
      </w:pPr>
    </w:lvl>
    <w:lvl w:ilvl="5" w:tplc="0813001B" w:tentative="1">
      <w:start w:val="1"/>
      <w:numFmt w:val="lowerRoman"/>
      <w:lvlText w:val="%6."/>
      <w:lvlJc w:val="right"/>
      <w:pPr>
        <w:ind w:left="4072" w:hanging="180"/>
      </w:pPr>
    </w:lvl>
    <w:lvl w:ilvl="6" w:tplc="0813000F" w:tentative="1">
      <w:start w:val="1"/>
      <w:numFmt w:val="decimal"/>
      <w:lvlText w:val="%7."/>
      <w:lvlJc w:val="left"/>
      <w:pPr>
        <w:ind w:left="4792" w:hanging="360"/>
      </w:pPr>
    </w:lvl>
    <w:lvl w:ilvl="7" w:tplc="08130019" w:tentative="1">
      <w:start w:val="1"/>
      <w:numFmt w:val="lowerLetter"/>
      <w:lvlText w:val="%8."/>
      <w:lvlJc w:val="left"/>
      <w:pPr>
        <w:ind w:left="5512" w:hanging="360"/>
      </w:pPr>
    </w:lvl>
    <w:lvl w:ilvl="8" w:tplc="0813001B" w:tentative="1">
      <w:start w:val="1"/>
      <w:numFmt w:val="lowerRoman"/>
      <w:lvlText w:val="%9."/>
      <w:lvlJc w:val="right"/>
      <w:pPr>
        <w:ind w:left="6232" w:hanging="180"/>
      </w:pPr>
    </w:lvl>
  </w:abstractNum>
  <w:abstractNum w:abstractNumId="39" w15:restartNumberingAfterBreak="0">
    <w:nsid w:val="68E26E01"/>
    <w:multiLevelType w:val="hybridMultilevel"/>
    <w:tmpl w:val="0DD64B9C"/>
    <w:lvl w:ilvl="0" w:tplc="04100017">
      <w:start w:val="1"/>
      <w:numFmt w:val="lowerLetter"/>
      <w:lvlText w:val="%1)"/>
      <w:lvlJc w:val="left"/>
      <w:pPr>
        <w:ind w:left="1910" w:hanging="360"/>
      </w:pPr>
    </w:lvl>
    <w:lvl w:ilvl="1" w:tplc="04100019" w:tentative="1">
      <w:start w:val="1"/>
      <w:numFmt w:val="lowerLetter"/>
      <w:lvlText w:val="%2."/>
      <w:lvlJc w:val="left"/>
      <w:pPr>
        <w:ind w:left="2630" w:hanging="360"/>
      </w:pPr>
    </w:lvl>
    <w:lvl w:ilvl="2" w:tplc="0410001B" w:tentative="1">
      <w:start w:val="1"/>
      <w:numFmt w:val="lowerRoman"/>
      <w:lvlText w:val="%3."/>
      <w:lvlJc w:val="right"/>
      <w:pPr>
        <w:ind w:left="3350" w:hanging="180"/>
      </w:pPr>
    </w:lvl>
    <w:lvl w:ilvl="3" w:tplc="0410000F" w:tentative="1">
      <w:start w:val="1"/>
      <w:numFmt w:val="decimal"/>
      <w:lvlText w:val="%4."/>
      <w:lvlJc w:val="left"/>
      <w:pPr>
        <w:ind w:left="4070" w:hanging="360"/>
      </w:pPr>
    </w:lvl>
    <w:lvl w:ilvl="4" w:tplc="04100019" w:tentative="1">
      <w:start w:val="1"/>
      <w:numFmt w:val="lowerLetter"/>
      <w:lvlText w:val="%5."/>
      <w:lvlJc w:val="left"/>
      <w:pPr>
        <w:ind w:left="4790" w:hanging="360"/>
      </w:pPr>
    </w:lvl>
    <w:lvl w:ilvl="5" w:tplc="0410001B" w:tentative="1">
      <w:start w:val="1"/>
      <w:numFmt w:val="lowerRoman"/>
      <w:lvlText w:val="%6."/>
      <w:lvlJc w:val="right"/>
      <w:pPr>
        <w:ind w:left="5510" w:hanging="180"/>
      </w:pPr>
    </w:lvl>
    <w:lvl w:ilvl="6" w:tplc="0410000F" w:tentative="1">
      <w:start w:val="1"/>
      <w:numFmt w:val="decimal"/>
      <w:lvlText w:val="%7."/>
      <w:lvlJc w:val="left"/>
      <w:pPr>
        <w:ind w:left="6230" w:hanging="360"/>
      </w:pPr>
    </w:lvl>
    <w:lvl w:ilvl="7" w:tplc="04100019" w:tentative="1">
      <w:start w:val="1"/>
      <w:numFmt w:val="lowerLetter"/>
      <w:lvlText w:val="%8."/>
      <w:lvlJc w:val="left"/>
      <w:pPr>
        <w:ind w:left="6950" w:hanging="360"/>
      </w:pPr>
    </w:lvl>
    <w:lvl w:ilvl="8" w:tplc="0410001B" w:tentative="1">
      <w:start w:val="1"/>
      <w:numFmt w:val="lowerRoman"/>
      <w:lvlText w:val="%9."/>
      <w:lvlJc w:val="right"/>
      <w:pPr>
        <w:ind w:left="7670" w:hanging="180"/>
      </w:pPr>
    </w:lvl>
  </w:abstractNum>
  <w:abstractNum w:abstractNumId="40" w15:restartNumberingAfterBreak="0">
    <w:nsid w:val="69DB4A9C"/>
    <w:multiLevelType w:val="hybridMultilevel"/>
    <w:tmpl w:val="12FCCA38"/>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41" w15:restartNumberingAfterBreak="0">
    <w:nsid w:val="6CC924DA"/>
    <w:multiLevelType w:val="hybridMultilevel"/>
    <w:tmpl w:val="03D429C8"/>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42" w15:restartNumberingAfterBreak="0">
    <w:nsid w:val="70525424"/>
    <w:multiLevelType w:val="hybridMultilevel"/>
    <w:tmpl w:val="81AE7D64"/>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43" w15:restartNumberingAfterBreak="0">
    <w:nsid w:val="70FB1E26"/>
    <w:multiLevelType w:val="hybridMultilevel"/>
    <w:tmpl w:val="B02AB492"/>
    <w:lvl w:ilvl="0" w:tplc="E3E42FAC">
      <w:start w:val="1"/>
      <w:numFmt w:val="upperRoman"/>
      <w:lvlText w:val="%1."/>
      <w:lvlJc w:val="left"/>
      <w:pPr>
        <w:ind w:left="473" w:hanging="360"/>
      </w:pPr>
      <w:rPr>
        <w:rFonts w:ascii="Cambria" w:eastAsia="Cambria" w:hAnsi="Cambria" w:cs="Cambria" w:hint="default"/>
        <w:b/>
        <w:bCs/>
        <w:spacing w:val="-1"/>
        <w:w w:val="100"/>
        <w:sz w:val="22"/>
        <w:szCs w:val="22"/>
        <w:lang w:val="en-US" w:eastAsia="en-US" w:bidi="ar-SA"/>
      </w:rPr>
    </w:lvl>
    <w:lvl w:ilvl="1" w:tplc="224AED12">
      <w:numFmt w:val="bullet"/>
      <w:lvlText w:val=""/>
      <w:lvlJc w:val="left"/>
      <w:pPr>
        <w:ind w:left="833" w:hanging="360"/>
      </w:pPr>
      <w:rPr>
        <w:rFonts w:ascii="Symbol" w:eastAsia="Symbol" w:hAnsi="Symbol" w:cs="Symbol" w:hint="default"/>
        <w:w w:val="100"/>
        <w:sz w:val="22"/>
        <w:szCs w:val="22"/>
        <w:lang w:val="en-US" w:eastAsia="en-US" w:bidi="ar-SA"/>
      </w:rPr>
    </w:lvl>
    <w:lvl w:ilvl="2" w:tplc="74F8E346">
      <w:numFmt w:val="bullet"/>
      <w:lvlText w:val="•"/>
      <w:lvlJc w:val="left"/>
      <w:pPr>
        <w:ind w:left="1922" w:hanging="360"/>
      </w:pPr>
      <w:rPr>
        <w:rFonts w:hint="default"/>
        <w:lang w:val="en-US" w:eastAsia="en-US" w:bidi="ar-SA"/>
      </w:rPr>
    </w:lvl>
    <w:lvl w:ilvl="3" w:tplc="A3D82D10">
      <w:numFmt w:val="bullet"/>
      <w:lvlText w:val="•"/>
      <w:lvlJc w:val="left"/>
      <w:pPr>
        <w:ind w:left="3005" w:hanging="360"/>
      </w:pPr>
      <w:rPr>
        <w:rFonts w:hint="default"/>
        <w:lang w:val="en-US" w:eastAsia="en-US" w:bidi="ar-SA"/>
      </w:rPr>
    </w:lvl>
    <w:lvl w:ilvl="4" w:tplc="1E4CA504">
      <w:numFmt w:val="bullet"/>
      <w:lvlText w:val="•"/>
      <w:lvlJc w:val="left"/>
      <w:pPr>
        <w:ind w:left="4088" w:hanging="360"/>
      </w:pPr>
      <w:rPr>
        <w:rFonts w:hint="default"/>
        <w:lang w:val="en-US" w:eastAsia="en-US" w:bidi="ar-SA"/>
      </w:rPr>
    </w:lvl>
    <w:lvl w:ilvl="5" w:tplc="24649252">
      <w:numFmt w:val="bullet"/>
      <w:lvlText w:val="•"/>
      <w:lvlJc w:val="left"/>
      <w:pPr>
        <w:ind w:left="5171" w:hanging="360"/>
      </w:pPr>
      <w:rPr>
        <w:rFonts w:hint="default"/>
        <w:lang w:val="en-US" w:eastAsia="en-US" w:bidi="ar-SA"/>
      </w:rPr>
    </w:lvl>
    <w:lvl w:ilvl="6" w:tplc="EC947248">
      <w:numFmt w:val="bullet"/>
      <w:lvlText w:val="•"/>
      <w:lvlJc w:val="left"/>
      <w:pPr>
        <w:ind w:left="6254" w:hanging="360"/>
      </w:pPr>
      <w:rPr>
        <w:rFonts w:hint="default"/>
        <w:lang w:val="en-US" w:eastAsia="en-US" w:bidi="ar-SA"/>
      </w:rPr>
    </w:lvl>
    <w:lvl w:ilvl="7" w:tplc="99221F9A">
      <w:numFmt w:val="bullet"/>
      <w:lvlText w:val="•"/>
      <w:lvlJc w:val="left"/>
      <w:pPr>
        <w:ind w:left="7337" w:hanging="360"/>
      </w:pPr>
      <w:rPr>
        <w:rFonts w:hint="default"/>
        <w:lang w:val="en-US" w:eastAsia="en-US" w:bidi="ar-SA"/>
      </w:rPr>
    </w:lvl>
    <w:lvl w:ilvl="8" w:tplc="B64E5A7E">
      <w:numFmt w:val="bullet"/>
      <w:lvlText w:val="•"/>
      <w:lvlJc w:val="left"/>
      <w:pPr>
        <w:ind w:left="8420" w:hanging="360"/>
      </w:pPr>
      <w:rPr>
        <w:rFonts w:hint="default"/>
        <w:lang w:val="en-US" w:eastAsia="en-US" w:bidi="ar-SA"/>
      </w:rPr>
    </w:lvl>
  </w:abstractNum>
  <w:abstractNum w:abstractNumId="44" w15:restartNumberingAfterBreak="0">
    <w:nsid w:val="74315C98"/>
    <w:multiLevelType w:val="hybridMultilevel"/>
    <w:tmpl w:val="DB7CAAFA"/>
    <w:lvl w:ilvl="0" w:tplc="3F72521A">
      <w:start w:val="1"/>
      <w:numFmt w:val="decimal"/>
      <w:lvlText w:val="%1"/>
      <w:lvlJc w:val="left"/>
      <w:pPr>
        <w:ind w:left="113" w:hanging="166"/>
      </w:pPr>
      <w:rPr>
        <w:rFonts w:hint="default"/>
        <w:w w:val="99"/>
        <w:position w:val="6"/>
        <w:lang w:val="en-US" w:eastAsia="en-US" w:bidi="ar-SA"/>
      </w:rPr>
    </w:lvl>
    <w:lvl w:ilvl="1" w:tplc="072A2522">
      <w:numFmt w:val="bullet"/>
      <w:lvlText w:val=""/>
      <w:lvlJc w:val="left"/>
      <w:pPr>
        <w:ind w:left="833" w:hanging="360"/>
      </w:pPr>
      <w:rPr>
        <w:rFonts w:ascii="Symbol" w:eastAsia="Symbol" w:hAnsi="Symbol" w:cs="Symbol" w:hint="default"/>
        <w:w w:val="100"/>
        <w:sz w:val="22"/>
        <w:szCs w:val="22"/>
        <w:lang w:val="en-US" w:eastAsia="en-US" w:bidi="ar-SA"/>
      </w:rPr>
    </w:lvl>
    <w:lvl w:ilvl="2" w:tplc="ED4C2B90">
      <w:numFmt w:val="bullet"/>
      <w:lvlText w:val=""/>
      <w:lvlJc w:val="left"/>
      <w:pPr>
        <w:ind w:left="1553" w:hanging="360"/>
      </w:pPr>
      <w:rPr>
        <w:rFonts w:ascii="Symbol" w:eastAsia="Symbol" w:hAnsi="Symbol" w:cs="Symbol" w:hint="default"/>
        <w:w w:val="100"/>
        <w:sz w:val="22"/>
        <w:szCs w:val="22"/>
        <w:lang w:val="en-US" w:eastAsia="en-US" w:bidi="ar-SA"/>
      </w:rPr>
    </w:lvl>
    <w:lvl w:ilvl="3" w:tplc="B668503E">
      <w:numFmt w:val="bullet"/>
      <w:lvlText w:val="•"/>
      <w:lvlJc w:val="left"/>
      <w:pPr>
        <w:ind w:left="2688" w:hanging="360"/>
      </w:pPr>
      <w:rPr>
        <w:rFonts w:hint="default"/>
        <w:lang w:val="en-US" w:eastAsia="en-US" w:bidi="ar-SA"/>
      </w:rPr>
    </w:lvl>
    <w:lvl w:ilvl="4" w:tplc="C0AC1610">
      <w:numFmt w:val="bullet"/>
      <w:lvlText w:val="•"/>
      <w:lvlJc w:val="left"/>
      <w:pPr>
        <w:ind w:left="3816" w:hanging="360"/>
      </w:pPr>
      <w:rPr>
        <w:rFonts w:hint="default"/>
        <w:lang w:val="en-US" w:eastAsia="en-US" w:bidi="ar-SA"/>
      </w:rPr>
    </w:lvl>
    <w:lvl w:ilvl="5" w:tplc="BEA43644">
      <w:numFmt w:val="bullet"/>
      <w:lvlText w:val="•"/>
      <w:lvlJc w:val="left"/>
      <w:pPr>
        <w:ind w:left="4944" w:hanging="360"/>
      </w:pPr>
      <w:rPr>
        <w:rFonts w:hint="default"/>
        <w:lang w:val="en-US" w:eastAsia="en-US" w:bidi="ar-SA"/>
      </w:rPr>
    </w:lvl>
    <w:lvl w:ilvl="6" w:tplc="49EEBCE2">
      <w:numFmt w:val="bullet"/>
      <w:lvlText w:val="•"/>
      <w:lvlJc w:val="left"/>
      <w:pPr>
        <w:ind w:left="6073" w:hanging="360"/>
      </w:pPr>
      <w:rPr>
        <w:rFonts w:hint="default"/>
        <w:lang w:val="en-US" w:eastAsia="en-US" w:bidi="ar-SA"/>
      </w:rPr>
    </w:lvl>
    <w:lvl w:ilvl="7" w:tplc="C3504832">
      <w:numFmt w:val="bullet"/>
      <w:lvlText w:val="•"/>
      <w:lvlJc w:val="left"/>
      <w:pPr>
        <w:ind w:left="7201" w:hanging="360"/>
      </w:pPr>
      <w:rPr>
        <w:rFonts w:hint="default"/>
        <w:lang w:val="en-US" w:eastAsia="en-US" w:bidi="ar-SA"/>
      </w:rPr>
    </w:lvl>
    <w:lvl w:ilvl="8" w:tplc="3B743C76">
      <w:numFmt w:val="bullet"/>
      <w:lvlText w:val="•"/>
      <w:lvlJc w:val="left"/>
      <w:pPr>
        <w:ind w:left="8329" w:hanging="360"/>
      </w:pPr>
      <w:rPr>
        <w:rFonts w:hint="default"/>
        <w:lang w:val="en-US" w:eastAsia="en-US" w:bidi="ar-SA"/>
      </w:rPr>
    </w:lvl>
  </w:abstractNum>
  <w:abstractNum w:abstractNumId="45" w15:restartNumberingAfterBreak="0">
    <w:nsid w:val="7A1A09BF"/>
    <w:multiLevelType w:val="hybridMultilevel"/>
    <w:tmpl w:val="7BEC8C12"/>
    <w:lvl w:ilvl="0" w:tplc="8FC600B4">
      <w:numFmt w:val="bullet"/>
      <w:lvlText w:val=""/>
      <w:lvlJc w:val="left"/>
      <w:pPr>
        <w:ind w:left="720" w:hanging="360"/>
      </w:pPr>
      <w:rPr>
        <w:rFonts w:ascii="Wingdings" w:eastAsia="Cambria" w:hAnsi="Wingdings" w:cs="Cambri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7B070B73"/>
    <w:multiLevelType w:val="hybridMultilevel"/>
    <w:tmpl w:val="D30612AC"/>
    <w:lvl w:ilvl="0" w:tplc="224AED12">
      <w:numFmt w:val="bullet"/>
      <w:lvlText w:val=""/>
      <w:lvlJc w:val="left"/>
      <w:pPr>
        <w:ind w:left="1080" w:hanging="360"/>
      </w:pPr>
      <w:rPr>
        <w:rFonts w:ascii="Symbol" w:eastAsia="Symbol" w:hAnsi="Symbol" w:cs="Symbol" w:hint="default"/>
        <w:w w:val="100"/>
        <w:sz w:val="22"/>
        <w:szCs w:val="22"/>
        <w:lang w:val="en-US" w:eastAsia="en-US" w:bidi="ar-SA"/>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7" w15:restartNumberingAfterBreak="0">
    <w:nsid w:val="7F9F3FCC"/>
    <w:multiLevelType w:val="multilevel"/>
    <w:tmpl w:val="D8CEED02"/>
    <w:lvl w:ilvl="0">
      <w:start w:val="1"/>
      <w:numFmt w:val="upperRoman"/>
      <w:lvlText w:val="%1."/>
      <w:lvlJc w:val="left"/>
      <w:pPr>
        <w:ind w:left="341" w:hanging="228"/>
      </w:pPr>
      <w:rPr>
        <w:rFonts w:ascii="Cambria" w:eastAsia="Cambria" w:hAnsi="Cambria" w:cs="Cambria" w:hint="default"/>
        <w:b/>
        <w:bCs/>
        <w:spacing w:val="-1"/>
        <w:w w:val="99"/>
        <w:sz w:val="20"/>
        <w:szCs w:val="20"/>
        <w:lang w:val="en-US" w:eastAsia="en-US" w:bidi="ar-SA"/>
      </w:rPr>
    </w:lvl>
    <w:lvl w:ilvl="1">
      <w:start w:val="1"/>
      <w:numFmt w:val="decimal"/>
      <w:lvlText w:val="%1.%2."/>
      <w:lvlJc w:val="left"/>
      <w:pPr>
        <w:ind w:left="569" w:hanging="456"/>
      </w:pPr>
      <w:rPr>
        <w:rFonts w:ascii="Cambria" w:eastAsia="Cambria" w:hAnsi="Cambria" w:cs="Cambria" w:hint="default"/>
        <w:b/>
        <w:bCs/>
        <w:spacing w:val="-1"/>
        <w:w w:val="99"/>
        <w:sz w:val="20"/>
        <w:szCs w:val="20"/>
        <w:lang w:val="en-US" w:eastAsia="en-US" w:bidi="ar-SA"/>
      </w:rPr>
    </w:lvl>
    <w:lvl w:ilvl="2">
      <w:numFmt w:val="bullet"/>
      <w:lvlText w:val="•"/>
      <w:lvlJc w:val="left"/>
      <w:pPr>
        <w:ind w:left="1674" w:hanging="456"/>
      </w:pPr>
      <w:rPr>
        <w:rFonts w:hint="default"/>
        <w:lang w:val="en-US" w:eastAsia="en-US" w:bidi="ar-SA"/>
      </w:rPr>
    </w:lvl>
    <w:lvl w:ilvl="3">
      <w:numFmt w:val="bullet"/>
      <w:lvlText w:val="•"/>
      <w:lvlJc w:val="left"/>
      <w:pPr>
        <w:ind w:left="2788" w:hanging="456"/>
      </w:pPr>
      <w:rPr>
        <w:rFonts w:hint="default"/>
        <w:lang w:val="en-US" w:eastAsia="en-US" w:bidi="ar-SA"/>
      </w:rPr>
    </w:lvl>
    <w:lvl w:ilvl="4">
      <w:numFmt w:val="bullet"/>
      <w:lvlText w:val="•"/>
      <w:lvlJc w:val="left"/>
      <w:pPr>
        <w:ind w:left="3902" w:hanging="456"/>
      </w:pPr>
      <w:rPr>
        <w:rFonts w:hint="default"/>
        <w:lang w:val="en-US" w:eastAsia="en-US" w:bidi="ar-SA"/>
      </w:rPr>
    </w:lvl>
    <w:lvl w:ilvl="5">
      <w:numFmt w:val="bullet"/>
      <w:lvlText w:val="•"/>
      <w:lvlJc w:val="left"/>
      <w:pPr>
        <w:ind w:left="5016" w:hanging="456"/>
      </w:pPr>
      <w:rPr>
        <w:rFonts w:hint="default"/>
        <w:lang w:val="en-US" w:eastAsia="en-US" w:bidi="ar-SA"/>
      </w:rPr>
    </w:lvl>
    <w:lvl w:ilvl="6">
      <w:numFmt w:val="bullet"/>
      <w:lvlText w:val="•"/>
      <w:lvlJc w:val="left"/>
      <w:pPr>
        <w:ind w:left="6130" w:hanging="456"/>
      </w:pPr>
      <w:rPr>
        <w:rFonts w:hint="default"/>
        <w:lang w:val="en-US" w:eastAsia="en-US" w:bidi="ar-SA"/>
      </w:rPr>
    </w:lvl>
    <w:lvl w:ilvl="7">
      <w:numFmt w:val="bullet"/>
      <w:lvlText w:val="•"/>
      <w:lvlJc w:val="left"/>
      <w:pPr>
        <w:ind w:left="7244" w:hanging="456"/>
      </w:pPr>
      <w:rPr>
        <w:rFonts w:hint="default"/>
        <w:lang w:val="en-US" w:eastAsia="en-US" w:bidi="ar-SA"/>
      </w:rPr>
    </w:lvl>
    <w:lvl w:ilvl="8">
      <w:numFmt w:val="bullet"/>
      <w:lvlText w:val="•"/>
      <w:lvlJc w:val="left"/>
      <w:pPr>
        <w:ind w:left="8358" w:hanging="456"/>
      </w:pPr>
      <w:rPr>
        <w:rFonts w:hint="default"/>
        <w:lang w:val="en-US" w:eastAsia="en-US" w:bidi="ar-SA"/>
      </w:rPr>
    </w:lvl>
  </w:abstractNum>
  <w:num w:numId="1">
    <w:abstractNumId w:val="30"/>
  </w:num>
  <w:num w:numId="2">
    <w:abstractNumId w:val="9"/>
  </w:num>
  <w:num w:numId="3">
    <w:abstractNumId w:val="32"/>
  </w:num>
  <w:num w:numId="4">
    <w:abstractNumId w:val="31"/>
  </w:num>
  <w:num w:numId="5">
    <w:abstractNumId w:val="7"/>
  </w:num>
  <w:num w:numId="6">
    <w:abstractNumId w:val="36"/>
  </w:num>
  <w:num w:numId="7">
    <w:abstractNumId w:val="22"/>
  </w:num>
  <w:num w:numId="8">
    <w:abstractNumId w:val="35"/>
  </w:num>
  <w:num w:numId="9">
    <w:abstractNumId w:val="25"/>
  </w:num>
  <w:num w:numId="10">
    <w:abstractNumId w:val="20"/>
  </w:num>
  <w:num w:numId="11">
    <w:abstractNumId w:val="13"/>
  </w:num>
  <w:num w:numId="12">
    <w:abstractNumId w:val="44"/>
  </w:num>
  <w:num w:numId="13">
    <w:abstractNumId w:val="43"/>
  </w:num>
  <w:num w:numId="14">
    <w:abstractNumId w:val="47"/>
  </w:num>
  <w:num w:numId="15">
    <w:abstractNumId w:val="43"/>
    <w:lvlOverride w:ilvl="0">
      <w:startOverride w:val="1"/>
    </w:lvlOverride>
    <w:lvlOverride w:ilvl="1"/>
    <w:lvlOverride w:ilvl="2"/>
    <w:lvlOverride w:ilvl="3"/>
    <w:lvlOverride w:ilvl="4"/>
    <w:lvlOverride w:ilvl="5"/>
    <w:lvlOverride w:ilvl="6"/>
    <w:lvlOverride w:ilvl="7"/>
    <w:lvlOverride w:ilvl="8"/>
  </w:num>
  <w:num w:numId="16">
    <w:abstractNumId w:val="5"/>
  </w:num>
  <w:num w:numId="17">
    <w:abstractNumId w:val="44"/>
  </w:num>
  <w:num w:numId="18">
    <w:abstractNumId w:val="31"/>
  </w:num>
  <w:num w:numId="19">
    <w:abstractNumId w:val="13"/>
    <w:lvlOverride w:ilvl="0">
      <w:startOverride w:val="4"/>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0">
    <w:abstractNumId w:val="38"/>
  </w:num>
  <w:num w:numId="21">
    <w:abstractNumId w:val="14"/>
  </w:num>
  <w:num w:numId="22">
    <w:abstractNumId w:val="2"/>
  </w:num>
  <w:num w:numId="23">
    <w:abstractNumId w:val="0"/>
  </w:num>
  <w:num w:numId="24">
    <w:abstractNumId w:val="37"/>
  </w:num>
  <w:num w:numId="25">
    <w:abstractNumId w:val="33"/>
  </w:num>
  <w:num w:numId="26">
    <w:abstractNumId w:val="19"/>
  </w:num>
  <w:num w:numId="27">
    <w:abstractNumId w:val="28"/>
  </w:num>
  <w:num w:numId="28">
    <w:abstractNumId w:val="39"/>
  </w:num>
  <w:num w:numId="29">
    <w:abstractNumId w:val="24"/>
  </w:num>
  <w:num w:numId="30">
    <w:abstractNumId w:val="45"/>
  </w:num>
  <w:num w:numId="31">
    <w:abstractNumId w:val="26"/>
  </w:num>
  <w:num w:numId="32">
    <w:abstractNumId w:val="11"/>
  </w:num>
  <w:num w:numId="33">
    <w:abstractNumId w:val="3"/>
  </w:num>
  <w:num w:numId="34">
    <w:abstractNumId w:val="15"/>
  </w:num>
  <w:num w:numId="35">
    <w:abstractNumId w:val="16"/>
  </w:num>
  <w:num w:numId="36">
    <w:abstractNumId w:val="42"/>
  </w:num>
  <w:num w:numId="37">
    <w:abstractNumId w:val="40"/>
  </w:num>
  <w:num w:numId="38">
    <w:abstractNumId w:val="8"/>
  </w:num>
  <w:num w:numId="39">
    <w:abstractNumId w:val="34"/>
  </w:num>
  <w:num w:numId="40">
    <w:abstractNumId w:val="10"/>
  </w:num>
  <w:num w:numId="41">
    <w:abstractNumId w:val="1"/>
  </w:num>
  <w:num w:numId="42">
    <w:abstractNumId w:val="6"/>
  </w:num>
  <w:num w:numId="43">
    <w:abstractNumId w:val="23"/>
  </w:num>
  <w:num w:numId="44">
    <w:abstractNumId w:val="27"/>
  </w:num>
  <w:num w:numId="45">
    <w:abstractNumId w:val="12"/>
  </w:num>
  <w:num w:numId="46">
    <w:abstractNumId w:val="46"/>
  </w:num>
  <w:num w:numId="47">
    <w:abstractNumId w:val="29"/>
  </w:num>
  <w:num w:numId="48">
    <w:abstractNumId w:val="41"/>
  </w:num>
  <w:num w:numId="49">
    <w:abstractNumId w:val="4"/>
  </w:num>
  <w:num w:numId="50">
    <w:abstractNumId w:val="21"/>
  </w:num>
  <w:num w:numId="51">
    <w:abstractNumId w:val="18"/>
  </w:num>
  <w:num w:numId="52">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EAD"/>
    <w:rsid w:val="00001E61"/>
    <w:rsid w:val="00003FD5"/>
    <w:rsid w:val="00012893"/>
    <w:rsid w:val="00012C79"/>
    <w:rsid w:val="00025B12"/>
    <w:rsid w:val="00026594"/>
    <w:rsid w:val="000265F2"/>
    <w:rsid w:val="00030974"/>
    <w:rsid w:val="00052C6D"/>
    <w:rsid w:val="00060758"/>
    <w:rsid w:val="000631AF"/>
    <w:rsid w:val="00066E21"/>
    <w:rsid w:val="00072FA6"/>
    <w:rsid w:val="000829BF"/>
    <w:rsid w:val="00084E2E"/>
    <w:rsid w:val="00086B8E"/>
    <w:rsid w:val="000925B1"/>
    <w:rsid w:val="00096488"/>
    <w:rsid w:val="00097499"/>
    <w:rsid w:val="000A58B2"/>
    <w:rsid w:val="000A5BE5"/>
    <w:rsid w:val="000B26C1"/>
    <w:rsid w:val="000B5F46"/>
    <w:rsid w:val="000C0BE4"/>
    <w:rsid w:val="000C3743"/>
    <w:rsid w:val="000D3C3F"/>
    <w:rsid w:val="000E05C6"/>
    <w:rsid w:val="000E6CC0"/>
    <w:rsid w:val="000E752E"/>
    <w:rsid w:val="000F0B85"/>
    <w:rsid w:val="00104902"/>
    <w:rsid w:val="00114C7B"/>
    <w:rsid w:val="001161E9"/>
    <w:rsid w:val="001216BD"/>
    <w:rsid w:val="00123333"/>
    <w:rsid w:val="00127C1B"/>
    <w:rsid w:val="0013206A"/>
    <w:rsid w:val="001410D1"/>
    <w:rsid w:val="00155AFF"/>
    <w:rsid w:val="001654CB"/>
    <w:rsid w:val="00171E43"/>
    <w:rsid w:val="001779CD"/>
    <w:rsid w:val="00181A26"/>
    <w:rsid w:val="0018501C"/>
    <w:rsid w:val="00187032"/>
    <w:rsid w:val="001873A4"/>
    <w:rsid w:val="00195668"/>
    <w:rsid w:val="00196009"/>
    <w:rsid w:val="00196AB7"/>
    <w:rsid w:val="001B5039"/>
    <w:rsid w:val="001C53A6"/>
    <w:rsid w:val="001D3EF8"/>
    <w:rsid w:val="001D7FD1"/>
    <w:rsid w:val="001E1101"/>
    <w:rsid w:val="001E6C4A"/>
    <w:rsid w:val="001F0275"/>
    <w:rsid w:val="001F4A0D"/>
    <w:rsid w:val="00203899"/>
    <w:rsid w:val="00215978"/>
    <w:rsid w:val="00217DCC"/>
    <w:rsid w:val="00240144"/>
    <w:rsid w:val="002432B4"/>
    <w:rsid w:val="002442F5"/>
    <w:rsid w:val="00264426"/>
    <w:rsid w:val="00267449"/>
    <w:rsid w:val="00284A05"/>
    <w:rsid w:val="0028794B"/>
    <w:rsid w:val="00293758"/>
    <w:rsid w:val="0029484D"/>
    <w:rsid w:val="002A785C"/>
    <w:rsid w:val="002B79B1"/>
    <w:rsid w:val="002D108C"/>
    <w:rsid w:val="002E37E9"/>
    <w:rsid w:val="002F63E5"/>
    <w:rsid w:val="00300214"/>
    <w:rsid w:val="00305544"/>
    <w:rsid w:val="003108EB"/>
    <w:rsid w:val="0031683A"/>
    <w:rsid w:val="00332FFE"/>
    <w:rsid w:val="00333DE8"/>
    <w:rsid w:val="0033639C"/>
    <w:rsid w:val="003432CF"/>
    <w:rsid w:val="00345CE2"/>
    <w:rsid w:val="0035170F"/>
    <w:rsid w:val="00352099"/>
    <w:rsid w:val="00360C00"/>
    <w:rsid w:val="003615BB"/>
    <w:rsid w:val="00363329"/>
    <w:rsid w:val="00372388"/>
    <w:rsid w:val="00373F2A"/>
    <w:rsid w:val="00377FF9"/>
    <w:rsid w:val="00383D89"/>
    <w:rsid w:val="00387D75"/>
    <w:rsid w:val="0039227A"/>
    <w:rsid w:val="003A6478"/>
    <w:rsid w:val="003A7170"/>
    <w:rsid w:val="003C5F73"/>
    <w:rsid w:val="003D5419"/>
    <w:rsid w:val="003F0A90"/>
    <w:rsid w:val="003F4E39"/>
    <w:rsid w:val="00403C6B"/>
    <w:rsid w:val="00404DCA"/>
    <w:rsid w:val="00406C1C"/>
    <w:rsid w:val="0041259F"/>
    <w:rsid w:val="004162B8"/>
    <w:rsid w:val="0042253E"/>
    <w:rsid w:val="004305F3"/>
    <w:rsid w:val="00432E3A"/>
    <w:rsid w:val="00461A5D"/>
    <w:rsid w:val="00464304"/>
    <w:rsid w:val="004704BB"/>
    <w:rsid w:val="00480B1A"/>
    <w:rsid w:val="0048625C"/>
    <w:rsid w:val="00486A51"/>
    <w:rsid w:val="004A084A"/>
    <w:rsid w:val="004B386F"/>
    <w:rsid w:val="004B4936"/>
    <w:rsid w:val="004B501A"/>
    <w:rsid w:val="004C05FA"/>
    <w:rsid w:val="004C0EBC"/>
    <w:rsid w:val="004C1FE5"/>
    <w:rsid w:val="004D051B"/>
    <w:rsid w:val="004D19A9"/>
    <w:rsid w:val="004D6921"/>
    <w:rsid w:val="004E3B0C"/>
    <w:rsid w:val="004E3CE4"/>
    <w:rsid w:val="004E652E"/>
    <w:rsid w:val="004E75A6"/>
    <w:rsid w:val="004F70F1"/>
    <w:rsid w:val="0050021B"/>
    <w:rsid w:val="00504BFB"/>
    <w:rsid w:val="00507B8B"/>
    <w:rsid w:val="00512C9D"/>
    <w:rsid w:val="00513805"/>
    <w:rsid w:val="00516021"/>
    <w:rsid w:val="00530F6E"/>
    <w:rsid w:val="00531E94"/>
    <w:rsid w:val="005400F6"/>
    <w:rsid w:val="005424E6"/>
    <w:rsid w:val="0054527D"/>
    <w:rsid w:val="0055658A"/>
    <w:rsid w:val="00560115"/>
    <w:rsid w:val="0056012F"/>
    <w:rsid w:val="00571C18"/>
    <w:rsid w:val="00573DD9"/>
    <w:rsid w:val="0057769D"/>
    <w:rsid w:val="0058601F"/>
    <w:rsid w:val="00594819"/>
    <w:rsid w:val="00595C50"/>
    <w:rsid w:val="005A336F"/>
    <w:rsid w:val="005B0B47"/>
    <w:rsid w:val="005B5F71"/>
    <w:rsid w:val="005B6CBF"/>
    <w:rsid w:val="005C05D4"/>
    <w:rsid w:val="005C7A94"/>
    <w:rsid w:val="005D0C39"/>
    <w:rsid w:val="005D324F"/>
    <w:rsid w:val="005E3FFA"/>
    <w:rsid w:val="005E440C"/>
    <w:rsid w:val="005E52C1"/>
    <w:rsid w:val="005E6DF7"/>
    <w:rsid w:val="005F0802"/>
    <w:rsid w:val="005F2D23"/>
    <w:rsid w:val="005F33C6"/>
    <w:rsid w:val="00605425"/>
    <w:rsid w:val="00605E49"/>
    <w:rsid w:val="006167A2"/>
    <w:rsid w:val="006403FA"/>
    <w:rsid w:val="00660898"/>
    <w:rsid w:val="006640E6"/>
    <w:rsid w:val="00673923"/>
    <w:rsid w:val="0069770A"/>
    <w:rsid w:val="006A0271"/>
    <w:rsid w:val="006B250C"/>
    <w:rsid w:val="006C0D1D"/>
    <w:rsid w:val="006C2D94"/>
    <w:rsid w:val="006C6071"/>
    <w:rsid w:val="006D5E26"/>
    <w:rsid w:val="006E383E"/>
    <w:rsid w:val="006E7EA2"/>
    <w:rsid w:val="00714742"/>
    <w:rsid w:val="00734349"/>
    <w:rsid w:val="0073480C"/>
    <w:rsid w:val="00752D98"/>
    <w:rsid w:val="00755D15"/>
    <w:rsid w:val="00770904"/>
    <w:rsid w:val="00771A06"/>
    <w:rsid w:val="00772DB7"/>
    <w:rsid w:val="007858C9"/>
    <w:rsid w:val="0079089E"/>
    <w:rsid w:val="0079250A"/>
    <w:rsid w:val="007A3285"/>
    <w:rsid w:val="007A3E9B"/>
    <w:rsid w:val="007A4107"/>
    <w:rsid w:val="007B0765"/>
    <w:rsid w:val="007B59F5"/>
    <w:rsid w:val="007D6B4C"/>
    <w:rsid w:val="007E4723"/>
    <w:rsid w:val="007E61BE"/>
    <w:rsid w:val="00801D2D"/>
    <w:rsid w:val="00803853"/>
    <w:rsid w:val="008079C2"/>
    <w:rsid w:val="00816433"/>
    <w:rsid w:val="00821C18"/>
    <w:rsid w:val="0085325A"/>
    <w:rsid w:val="008547FF"/>
    <w:rsid w:val="008626B0"/>
    <w:rsid w:val="008659EA"/>
    <w:rsid w:val="0087062D"/>
    <w:rsid w:val="00881D72"/>
    <w:rsid w:val="008864DB"/>
    <w:rsid w:val="00886DC5"/>
    <w:rsid w:val="00887970"/>
    <w:rsid w:val="00893A2C"/>
    <w:rsid w:val="00897F02"/>
    <w:rsid w:val="008A4776"/>
    <w:rsid w:val="008B420E"/>
    <w:rsid w:val="008B5FB1"/>
    <w:rsid w:val="008B75A1"/>
    <w:rsid w:val="008D0E40"/>
    <w:rsid w:val="008D422D"/>
    <w:rsid w:val="008F150C"/>
    <w:rsid w:val="008F42B4"/>
    <w:rsid w:val="00900E6C"/>
    <w:rsid w:val="0091382B"/>
    <w:rsid w:val="00913B17"/>
    <w:rsid w:val="00916DCE"/>
    <w:rsid w:val="009176C7"/>
    <w:rsid w:val="00917989"/>
    <w:rsid w:val="009271FC"/>
    <w:rsid w:val="00933475"/>
    <w:rsid w:val="00940029"/>
    <w:rsid w:val="00957814"/>
    <w:rsid w:val="00957EEC"/>
    <w:rsid w:val="00965552"/>
    <w:rsid w:val="00965CBE"/>
    <w:rsid w:val="00973526"/>
    <w:rsid w:val="00975323"/>
    <w:rsid w:val="00996578"/>
    <w:rsid w:val="009A0AE6"/>
    <w:rsid w:val="009A24B7"/>
    <w:rsid w:val="009B05BB"/>
    <w:rsid w:val="009B56A9"/>
    <w:rsid w:val="009C342C"/>
    <w:rsid w:val="009C5B81"/>
    <w:rsid w:val="009D245C"/>
    <w:rsid w:val="009D2771"/>
    <w:rsid w:val="009E6137"/>
    <w:rsid w:val="009F4941"/>
    <w:rsid w:val="009F6628"/>
    <w:rsid w:val="00A16138"/>
    <w:rsid w:val="00A2740A"/>
    <w:rsid w:val="00A33D50"/>
    <w:rsid w:val="00A41408"/>
    <w:rsid w:val="00A43CD3"/>
    <w:rsid w:val="00A4788C"/>
    <w:rsid w:val="00A614B2"/>
    <w:rsid w:val="00A67164"/>
    <w:rsid w:val="00A73915"/>
    <w:rsid w:val="00A809D8"/>
    <w:rsid w:val="00A81E47"/>
    <w:rsid w:val="00A823C0"/>
    <w:rsid w:val="00A84E35"/>
    <w:rsid w:val="00AA40C6"/>
    <w:rsid w:val="00AA744D"/>
    <w:rsid w:val="00AB3518"/>
    <w:rsid w:val="00AB7F0C"/>
    <w:rsid w:val="00AC1CDF"/>
    <w:rsid w:val="00AC468C"/>
    <w:rsid w:val="00AC48B2"/>
    <w:rsid w:val="00AD1951"/>
    <w:rsid w:val="00AF5CCE"/>
    <w:rsid w:val="00B02863"/>
    <w:rsid w:val="00B041BF"/>
    <w:rsid w:val="00B05A93"/>
    <w:rsid w:val="00B14BB3"/>
    <w:rsid w:val="00B31B9F"/>
    <w:rsid w:val="00B3318E"/>
    <w:rsid w:val="00B43DCA"/>
    <w:rsid w:val="00B656B8"/>
    <w:rsid w:val="00B7404D"/>
    <w:rsid w:val="00B74319"/>
    <w:rsid w:val="00B77F87"/>
    <w:rsid w:val="00B83383"/>
    <w:rsid w:val="00BA10D7"/>
    <w:rsid w:val="00BA1341"/>
    <w:rsid w:val="00BA37E4"/>
    <w:rsid w:val="00BA4EBF"/>
    <w:rsid w:val="00BB3850"/>
    <w:rsid w:val="00BC3603"/>
    <w:rsid w:val="00BD42E5"/>
    <w:rsid w:val="00BE09B0"/>
    <w:rsid w:val="00C02D8D"/>
    <w:rsid w:val="00C11F3C"/>
    <w:rsid w:val="00C17B66"/>
    <w:rsid w:val="00C27EAD"/>
    <w:rsid w:val="00C308DF"/>
    <w:rsid w:val="00C312F2"/>
    <w:rsid w:val="00C34954"/>
    <w:rsid w:val="00C34EA4"/>
    <w:rsid w:val="00C40F89"/>
    <w:rsid w:val="00C42A3D"/>
    <w:rsid w:val="00C47064"/>
    <w:rsid w:val="00C64068"/>
    <w:rsid w:val="00C66FC2"/>
    <w:rsid w:val="00C737C8"/>
    <w:rsid w:val="00C83D4E"/>
    <w:rsid w:val="00C84E6E"/>
    <w:rsid w:val="00C8735B"/>
    <w:rsid w:val="00C911B4"/>
    <w:rsid w:val="00C96C88"/>
    <w:rsid w:val="00CA2FC4"/>
    <w:rsid w:val="00CA6A50"/>
    <w:rsid w:val="00CC446E"/>
    <w:rsid w:val="00CC7BE6"/>
    <w:rsid w:val="00CD1B43"/>
    <w:rsid w:val="00CD40D4"/>
    <w:rsid w:val="00CE00AA"/>
    <w:rsid w:val="00CE31F4"/>
    <w:rsid w:val="00D0734D"/>
    <w:rsid w:val="00D108D2"/>
    <w:rsid w:val="00D134F1"/>
    <w:rsid w:val="00D155B2"/>
    <w:rsid w:val="00D20455"/>
    <w:rsid w:val="00D24D3A"/>
    <w:rsid w:val="00D31B44"/>
    <w:rsid w:val="00D41777"/>
    <w:rsid w:val="00D5179C"/>
    <w:rsid w:val="00D567BD"/>
    <w:rsid w:val="00D61B73"/>
    <w:rsid w:val="00D66A81"/>
    <w:rsid w:val="00D71C4E"/>
    <w:rsid w:val="00D81004"/>
    <w:rsid w:val="00D8158C"/>
    <w:rsid w:val="00D81893"/>
    <w:rsid w:val="00DA2D48"/>
    <w:rsid w:val="00DA4222"/>
    <w:rsid w:val="00DB792C"/>
    <w:rsid w:val="00DD737A"/>
    <w:rsid w:val="00DE01C6"/>
    <w:rsid w:val="00DE083B"/>
    <w:rsid w:val="00DF0457"/>
    <w:rsid w:val="00DF71F3"/>
    <w:rsid w:val="00E04039"/>
    <w:rsid w:val="00E2402D"/>
    <w:rsid w:val="00E302DA"/>
    <w:rsid w:val="00E312B5"/>
    <w:rsid w:val="00E43F42"/>
    <w:rsid w:val="00E52945"/>
    <w:rsid w:val="00E545C0"/>
    <w:rsid w:val="00E602EF"/>
    <w:rsid w:val="00E70B1A"/>
    <w:rsid w:val="00E82B4D"/>
    <w:rsid w:val="00E9126B"/>
    <w:rsid w:val="00E938DA"/>
    <w:rsid w:val="00E93EAE"/>
    <w:rsid w:val="00E9509A"/>
    <w:rsid w:val="00E964F4"/>
    <w:rsid w:val="00ED2905"/>
    <w:rsid w:val="00ED33C6"/>
    <w:rsid w:val="00EE4C8A"/>
    <w:rsid w:val="00EE4CDD"/>
    <w:rsid w:val="00EE5FB5"/>
    <w:rsid w:val="00EE5FDB"/>
    <w:rsid w:val="00EF098B"/>
    <w:rsid w:val="00EF2385"/>
    <w:rsid w:val="00EF5184"/>
    <w:rsid w:val="00EF5B29"/>
    <w:rsid w:val="00F0496A"/>
    <w:rsid w:val="00F11BF9"/>
    <w:rsid w:val="00F20D35"/>
    <w:rsid w:val="00F23EA0"/>
    <w:rsid w:val="00F278A2"/>
    <w:rsid w:val="00F31795"/>
    <w:rsid w:val="00F3456E"/>
    <w:rsid w:val="00F35062"/>
    <w:rsid w:val="00F3762A"/>
    <w:rsid w:val="00F55619"/>
    <w:rsid w:val="00F60BDB"/>
    <w:rsid w:val="00F60EA7"/>
    <w:rsid w:val="00F613BB"/>
    <w:rsid w:val="00F70DC2"/>
    <w:rsid w:val="00F7132C"/>
    <w:rsid w:val="00F801EC"/>
    <w:rsid w:val="00F836CA"/>
    <w:rsid w:val="00F93231"/>
    <w:rsid w:val="00FC1FE7"/>
    <w:rsid w:val="00FC5DE2"/>
    <w:rsid w:val="00FD5BF3"/>
    <w:rsid w:val="00FE3E5F"/>
    <w:rsid w:val="00FF68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EBE2EE"/>
  <w15:docId w15:val="{24B95F93-C7EB-41E7-A4D2-5BBE7547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679" w:hanging="567"/>
      <w:outlineLvl w:val="0"/>
    </w:pPr>
    <w:rPr>
      <w:b/>
      <w:bCs/>
    </w:rPr>
  </w:style>
  <w:style w:type="paragraph" w:styleId="Heading2">
    <w:name w:val="heading 2"/>
    <w:basedOn w:val="Normal"/>
    <w:uiPriority w:val="9"/>
    <w:unhideWhenUsed/>
    <w:qFormat/>
    <w:pPr>
      <w:spacing w:before="119"/>
      <w:ind w:left="473" w:right="829"/>
      <w:jc w:val="both"/>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5"/>
      <w:ind w:left="569" w:hanging="457"/>
    </w:pPr>
    <w:rPr>
      <w:b/>
      <w:bCs/>
      <w:sz w:val="20"/>
      <w:szCs w:val="20"/>
    </w:rPr>
  </w:style>
  <w:style w:type="paragraph" w:styleId="BodyText">
    <w:name w:val="Body Text"/>
    <w:basedOn w:val="Normal"/>
    <w:link w:val="BodyTextChar"/>
    <w:uiPriority w:val="1"/>
    <w:qFormat/>
  </w:style>
  <w:style w:type="paragraph" w:styleId="Title">
    <w:name w:val="Title"/>
    <w:basedOn w:val="Normal"/>
    <w:uiPriority w:val="10"/>
    <w:qFormat/>
    <w:pPr>
      <w:spacing w:before="258"/>
      <w:ind w:left="1689" w:right="2410"/>
      <w:jc w:val="center"/>
    </w:pPr>
    <w:rPr>
      <w:b/>
      <w:bCs/>
      <w:i/>
      <w:sz w:val="34"/>
      <w:szCs w:val="34"/>
    </w:rPr>
  </w:style>
  <w:style w:type="paragraph" w:styleId="ListParagraph">
    <w:name w:val="List Paragraph"/>
    <w:basedOn w:val="Normal"/>
    <w:uiPriority w:val="1"/>
    <w:qFormat/>
    <w:pPr>
      <w:spacing w:before="119"/>
      <w:ind w:left="833" w:hanging="360"/>
    </w:pPr>
  </w:style>
  <w:style w:type="paragraph" w:customStyle="1" w:styleId="TableParagraph">
    <w:name w:val="Table Paragraph"/>
    <w:basedOn w:val="Normal"/>
    <w:uiPriority w:val="1"/>
    <w:qFormat/>
    <w:pPr>
      <w:spacing w:line="204" w:lineRule="exact"/>
    </w:pPr>
  </w:style>
  <w:style w:type="character" w:styleId="CommentReference">
    <w:name w:val="annotation reference"/>
    <w:basedOn w:val="DefaultParagraphFont"/>
    <w:uiPriority w:val="99"/>
    <w:semiHidden/>
    <w:unhideWhenUsed/>
    <w:rsid w:val="00EE4CDD"/>
    <w:rPr>
      <w:sz w:val="16"/>
      <w:szCs w:val="16"/>
    </w:rPr>
  </w:style>
  <w:style w:type="paragraph" w:styleId="CommentText">
    <w:name w:val="annotation text"/>
    <w:basedOn w:val="Normal"/>
    <w:link w:val="CommentTextChar"/>
    <w:uiPriority w:val="99"/>
    <w:semiHidden/>
    <w:unhideWhenUsed/>
    <w:rsid w:val="00EE4CDD"/>
    <w:rPr>
      <w:sz w:val="20"/>
      <w:szCs w:val="20"/>
    </w:rPr>
  </w:style>
  <w:style w:type="character" w:customStyle="1" w:styleId="CommentTextChar">
    <w:name w:val="Comment Text Char"/>
    <w:basedOn w:val="DefaultParagraphFont"/>
    <w:link w:val="CommentText"/>
    <w:uiPriority w:val="99"/>
    <w:semiHidden/>
    <w:rsid w:val="00EE4CDD"/>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EE4CDD"/>
    <w:rPr>
      <w:b/>
      <w:bCs/>
    </w:rPr>
  </w:style>
  <w:style w:type="character" w:customStyle="1" w:styleId="CommentSubjectChar">
    <w:name w:val="Comment Subject Char"/>
    <w:basedOn w:val="CommentTextChar"/>
    <w:link w:val="CommentSubject"/>
    <w:uiPriority w:val="99"/>
    <w:semiHidden/>
    <w:rsid w:val="00EE4CDD"/>
    <w:rPr>
      <w:rFonts w:ascii="Cambria" w:eastAsia="Cambria" w:hAnsi="Cambria" w:cs="Cambria"/>
      <w:b/>
      <w:bCs/>
      <w:sz w:val="20"/>
      <w:szCs w:val="20"/>
    </w:rPr>
  </w:style>
  <w:style w:type="paragraph" w:styleId="BalloonText">
    <w:name w:val="Balloon Text"/>
    <w:basedOn w:val="Normal"/>
    <w:link w:val="BalloonTextChar"/>
    <w:uiPriority w:val="99"/>
    <w:semiHidden/>
    <w:unhideWhenUsed/>
    <w:rsid w:val="00EE4C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CDD"/>
    <w:rPr>
      <w:rFonts w:ascii="Segoe UI" w:eastAsia="Cambria" w:hAnsi="Segoe UI" w:cs="Segoe UI"/>
      <w:sz w:val="18"/>
      <w:szCs w:val="18"/>
    </w:rPr>
  </w:style>
  <w:style w:type="character" w:styleId="Hyperlink">
    <w:name w:val="Hyperlink"/>
    <w:basedOn w:val="DefaultParagraphFont"/>
    <w:uiPriority w:val="99"/>
    <w:unhideWhenUsed/>
    <w:rsid w:val="006C2D94"/>
    <w:rPr>
      <w:color w:val="0000FF" w:themeColor="hyperlink"/>
      <w:u w:val="single"/>
    </w:rPr>
  </w:style>
  <w:style w:type="paragraph" w:styleId="TOCHeading">
    <w:name w:val="TOC Heading"/>
    <w:basedOn w:val="Heading1"/>
    <w:next w:val="Normal"/>
    <w:autoRedefine/>
    <w:uiPriority w:val="39"/>
    <w:unhideWhenUsed/>
    <w:qFormat/>
    <w:rsid w:val="001C53A6"/>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000000" w:themeColor="text1"/>
      <w:sz w:val="32"/>
      <w:szCs w:val="32"/>
    </w:rPr>
  </w:style>
  <w:style w:type="paragraph" w:styleId="Header">
    <w:name w:val="header"/>
    <w:basedOn w:val="Normal"/>
    <w:link w:val="HeaderChar"/>
    <w:uiPriority w:val="99"/>
    <w:unhideWhenUsed/>
    <w:rsid w:val="005E6DF7"/>
    <w:pPr>
      <w:tabs>
        <w:tab w:val="center" w:pos="4513"/>
        <w:tab w:val="right" w:pos="9026"/>
      </w:tabs>
    </w:pPr>
  </w:style>
  <w:style w:type="character" w:customStyle="1" w:styleId="HeaderChar">
    <w:name w:val="Header Char"/>
    <w:basedOn w:val="DefaultParagraphFont"/>
    <w:link w:val="Header"/>
    <w:uiPriority w:val="99"/>
    <w:rsid w:val="005E6DF7"/>
    <w:rPr>
      <w:rFonts w:ascii="Cambria" w:eastAsia="Cambria" w:hAnsi="Cambria" w:cs="Cambria"/>
    </w:rPr>
  </w:style>
  <w:style w:type="paragraph" w:styleId="Footer">
    <w:name w:val="footer"/>
    <w:basedOn w:val="Normal"/>
    <w:link w:val="FooterChar"/>
    <w:uiPriority w:val="99"/>
    <w:unhideWhenUsed/>
    <w:rsid w:val="005E6DF7"/>
    <w:pPr>
      <w:tabs>
        <w:tab w:val="center" w:pos="4513"/>
        <w:tab w:val="right" w:pos="9026"/>
      </w:tabs>
    </w:pPr>
  </w:style>
  <w:style w:type="character" w:customStyle="1" w:styleId="FooterChar">
    <w:name w:val="Footer Char"/>
    <w:basedOn w:val="DefaultParagraphFont"/>
    <w:link w:val="Footer"/>
    <w:uiPriority w:val="99"/>
    <w:rsid w:val="005E6DF7"/>
    <w:rPr>
      <w:rFonts w:ascii="Cambria" w:eastAsia="Cambria" w:hAnsi="Cambria" w:cs="Cambria"/>
    </w:rPr>
  </w:style>
  <w:style w:type="paragraph" w:styleId="FootnoteText">
    <w:name w:val="footnote text"/>
    <w:basedOn w:val="Normal"/>
    <w:link w:val="FootnoteTextChar"/>
    <w:uiPriority w:val="99"/>
    <w:semiHidden/>
    <w:unhideWhenUsed/>
    <w:rsid w:val="000829BF"/>
    <w:rPr>
      <w:sz w:val="20"/>
      <w:szCs w:val="20"/>
    </w:rPr>
  </w:style>
  <w:style w:type="character" w:customStyle="1" w:styleId="FootnoteTextChar">
    <w:name w:val="Footnote Text Char"/>
    <w:basedOn w:val="DefaultParagraphFont"/>
    <w:link w:val="FootnoteText"/>
    <w:uiPriority w:val="99"/>
    <w:semiHidden/>
    <w:rsid w:val="000829BF"/>
    <w:rPr>
      <w:rFonts w:ascii="Cambria" w:eastAsia="Cambria" w:hAnsi="Cambria" w:cs="Cambria"/>
      <w:sz w:val="20"/>
      <w:szCs w:val="20"/>
    </w:rPr>
  </w:style>
  <w:style w:type="character" w:styleId="FootnoteReference">
    <w:name w:val="footnote reference"/>
    <w:basedOn w:val="DefaultParagraphFont"/>
    <w:uiPriority w:val="99"/>
    <w:semiHidden/>
    <w:unhideWhenUsed/>
    <w:rsid w:val="000829BF"/>
    <w:rPr>
      <w:vertAlign w:val="superscript"/>
    </w:rPr>
  </w:style>
  <w:style w:type="paragraph" w:styleId="TOC2">
    <w:name w:val="toc 2"/>
    <w:basedOn w:val="Normal"/>
    <w:next w:val="Normal"/>
    <w:autoRedefine/>
    <w:uiPriority w:val="39"/>
    <w:unhideWhenUsed/>
    <w:rsid w:val="000829BF"/>
    <w:pPr>
      <w:widowControl/>
      <w:autoSpaceDE/>
      <w:autoSpaceDN/>
      <w:spacing w:after="100" w:line="259" w:lineRule="auto"/>
      <w:ind w:left="220"/>
    </w:pPr>
    <w:rPr>
      <w:rFonts w:asciiTheme="minorHAnsi" w:eastAsiaTheme="minorEastAsia" w:hAnsiTheme="minorHAnsi" w:cs="Times New Roman"/>
    </w:rPr>
  </w:style>
  <w:style w:type="paragraph" w:styleId="TOC3">
    <w:name w:val="toc 3"/>
    <w:basedOn w:val="Normal"/>
    <w:next w:val="Normal"/>
    <w:autoRedefine/>
    <w:uiPriority w:val="39"/>
    <w:unhideWhenUsed/>
    <w:rsid w:val="000829BF"/>
    <w:pPr>
      <w:widowControl/>
      <w:autoSpaceDE/>
      <w:autoSpaceDN/>
      <w:spacing w:after="100" w:line="259" w:lineRule="auto"/>
      <w:ind w:left="440"/>
    </w:pPr>
    <w:rPr>
      <w:rFonts w:asciiTheme="minorHAnsi" w:eastAsiaTheme="minorEastAsia" w:hAnsiTheme="minorHAnsi" w:cs="Times New Roman"/>
    </w:rPr>
  </w:style>
  <w:style w:type="character" w:customStyle="1" w:styleId="BodyTextChar">
    <w:name w:val="Body Text Char"/>
    <w:basedOn w:val="DefaultParagraphFont"/>
    <w:link w:val="BodyText"/>
    <w:uiPriority w:val="1"/>
    <w:rsid w:val="00372388"/>
    <w:rPr>
      <w:rFonts w:ascii="Cambria" w:eastAsia="Cambria" w:hAnsi="Cambria" w:cs="Cambria"/>
    </w:rPr>
  </w:style>
  <w:style w:type="paragraph" w:styleId="ListBullet">
    <w:name w:val="List Bullet"/>
    <w:basedOn w:val="Normal"/>
    <w:uiPriority w:val="99"/>
    <w:unhideWhenUsed/>
    <w:rsid w:val="001B5039"/>
    <w:pPr>
      <w:numPr>
        <w:numId w:val="23"/>
      </w:numPr>
      <w:contextualSpacing/>
    </w:pPr>
  </w:style>
  <w:style w:type="character" w:customStyle="1" w:styleId="tlid-translation">
    <w:name w:val="tlid-translation"/>
    <w:basedOn w:val="DefaultParagraphFont"/>
    <w:rsid w:val="00A43CD3"/>
  </w:style>
  <w:style w:type="paragraph" w:styleId="Revision">
    <w:name w:val="Revision"/>
    <w:hidden/>
    <w:uiPriority w:val="99"/>
    <w:semiHidden/>
    <w:rsid w:val="00E312B5"/>
    <w:pPr>
      <w:widowControl/>
      <w:autoSpaceDE/>
      <w:autoSpaceDN/>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1465">
      <w:bodyDiv w:val="1"/>
      <w:marLeft w:val="0"/>
      <w:marRight w:val="0"/>
      <w:marTop w:val="0"/>
      <w:marBottom w:val="0"/>
      <w:divBdr>
        <w:top w:val="none" w:sz="0" w:space="0" w:color="auto"/>
        <w:left w:val="none" w:sz="0" w:space="0" w:color="auto"/>
        <w:bottom w:val="none" w:sz="0" w:space="0" w:color="auto"/>
        <w:right w:val="none" w:sz="0" w:space="0" w:color="auto"/>
      </w:divBdr>
    </w:div>
    <w:div w:id="70010205">
      <w:bodyDiv w:val="1"/>
      <w:marLeft w:val="0"/>
      <w:marRight w:val="0"/>
      <w:marTop w:val="0"/>
      <w:marBottom w:val="0"/>
      <w:divBdr>
        <w:top w:val="none" w:sz="0" w:space="0" w:color="auto"/>
        <w:left w:val="none" w:sz="0" w:space="0" w:color="auto"/>
        <w:bottom w:val="none" w:sz="0" w:space="0" w:color="auto"/>
        <w:right w:val="none" w:sz="0" w:space="0" w:color="auto"/>
      </w:divBdr>
    </w:div>
    <w:div w:id="128868830">
      <w:bodyDiv w:val="1"/>
      <w:marLeft w:val="0"/>
      <w:marRight w:val="0"/>
      <w:marTop w:val="0"/>
      <w:marBottom w:val="0"/>
      <w:divBdr>
        <w:top w:val="none" w:sz="0" w:space="0" w:color="auto"/>
        <w:left w:val="none" w:sz="0" w:space="0" w:color="auto"/>
        <w:bottom w:val="none" w:sz="0" w:space="0" w:color="auto"/>
        <w:right w:val="none" w:sz="0" w:space="0" w:color="auto"/>
      </w:divBdr>
    </w:div>
    <w:div w:id="507523462">
      <w:bodyDiv w:val="1"/>
      <w:marLeft w:val="0"/>
      <w:marRight w:val="0"/>
      <w:marTop w:val="0"/>
      <w:marBottom w:val="0"/>
      <w:divBdr>
        <w:top w:val="none" w:sz="0" w:space="0" w:color="auto"/>
        <w:left w:val="none" w:sz="0" w:space="0" w:color="auto"/>
        <w:bottom w:val="none" w:sz="0" w:space="0" w:color="auto"/>
        <w:right w:val="none" w:sz="0" w:space="0" w:color="auto"/>
      </w:divBdr>
    </w:div>
    <w:div w:id="628054060">
      <w:bodyDiv w:val="1"/>
      <w:marLeft w:val="0"/>
      <w:marRight w:val="0"/>
      <w:marTop w:val="0"/>
      <w:marBottom w:val="0"/>
      <w:divBdr>
        <w:top w:val="none" w:sz="0" w:space="0" w:color="auto"/>
        <w:left w:val="none" w:sz="0" w:space="0" w:color="auto"/>
        <w:bottom w:val="none" w:sz="0" w:space="0" w:color="auto"/>
        <w:right w:val="none" w:sz="0" w:space="0" w:color="auto"/>
      </w:divBdr>
    </w:div>
    <w:div w:id="776296236">
      <w:bodyDiv w:val="1"/>
      <w:marLeft w:val="0"/>
      <w:marRight w:val="0"/>
      <w:marTop w:val="0"/>
      <w:marBottom w:val="0"/>
      <w:divBdr>
        <w:top w:val="none" w:sz="0" w:space="0" w:color="auto"/>
        <w:left w:val="none" w:sz="0" w:space="0" w:color="auto"/>
        <w:bottom w:val="none" w:sz="0" w:space="0" w:color="auto"/>
        <w:right w:val="none" w:sz="0" w:space="0" w:color="auto"/>
      </w:divBdr>
    </w:div>
    <w:div w:id="934367087">
      <w:bodyDiv w:val="1"/>
      <w:marLeft w:val="0"/>
      <w:marRight w:val="0"/>
      <w:marTop w:val="0"/>
      <w:marBottom w:val="0"/>
      <w:divBdr>
        <w:top w:val="none" w:sz="0" w:space="0" w:color="auto"/>
        <w:left w:val="none" w:sz="0" w:space="0" w:color="auto"/>
        <w:bottom w:val="none" w:sz="0" w:space="0" w:color="auto"/>
        <w:right w:val="none" w:sz="0" w:space="0" w:color="auto"/>
      </w:divBdr>
    </w:div>
    <w:div w:id="983899632">
      <w:bodyDiv w:val="1"/>
      <w:marLeft w:val="0"/>
      <w:marRight w:val="0"/>
      <w:marTop w:val="0"/>
      <w:marBottom w:val="0"/>
      <w:divBdr>
        <w:top w:val="none" w:sz="0" w:space="0" w:color="auto"/>
        <w:left w:val="none" w:sz="0" w:space="0" w:color="auto"/>
        <w:bottom w:val="none" w:sz="0" w:space="0" w:color="auto"/>
        <w:right w:val="none" w:sz="0" w:space="0" w:color="auto"/>
      </w:divBdr>
    </w:div>
    <w:div w:id="1017804976">
      <w:bodyDiv w:val="1"/>
      <w:marLeft w:val="0"/>
      <w:marRight w:val="0"/>
      <w:marTop w:val="0"/>
      <w:marBottom w:val="0"/>
      <w:divBdr>
        <w:top w:val="none" w:sz="0" w:space="0" w:color="auto"/>
        <w:left w:val="none" w:sz="0" w:space="0" w:color="auto"/>
        <w:bottom w:val="none" w:sz="0" w:space="0" w:color="auto"/>
        <w:right w:val="none" w:sz="0" w:space="0" w:color="auto"/>
      </w:divBdr>
    </w:div>
    <w:div w:id="1034571896">
      <w:bodyDiv w:val="1"/>
      <w:marLeft w:val="0"/>
      <w:marRight w:val="0"/>
      <w:marTop w:val="0"/>
      <w:marBottom w:val="0"/>
      <w:divBdr>
        <w:top w:val="none" w:sz="0" w:space="0" w:color="auto"/>
        <w:left w:val="none" w:sz="0" w:space="0" w:color="auto"/>
        <w:bottom w:val="none" w:sz="0" w:space="0" w:color="auto"/>
        <w:right w:val="none" w:sz="0" w:space="0" w:color="auto"/>
      </w:divBdr>
    </w:div>
    <w:div w:id="1113672149">
      <w:bodyDiv w:val="1"/>
      <w:marLeft w:val="0"/>
      <w:marRight w:val="0"/>
      <w:marTop w:val="0"/>
      <w:marBottom w:val="0"/>
      <w:divBdr>
        <w:top w:val="none" w:sz="0" w:space="0" w:color="auto"/>
        <w:left w:val="none" w:sz="0" w:space="0" w:color="auto"/>
        <w:bottom w:val="none" w:sz="0" w:space="0" w:color="auto"/>
        <w:right w:val="none" w:sz="0" w:space="0" w:color="auto"/>
      </w:divBdr>
    </w:div>
    <w:div w:id="1176730431">
      <w:bodyDiv w:val="1"/>
      <w:marLeft w:val="0"/>
      <w:marRight w:val="0"/>
      <w:marTop w:val="0"/>
      <w:marBottom w:val="0"/>
      <w:divBdr>
        <w:top w:val="none" w:sz="0" w:space="0" w:color="auto"/>
        <w:left w:val="none" w:sz="0" w:space="0" w:color="auto"/>
        <w:bottom w:val="none" w:sz="0" w:space="0" w:color="auto"/>
        <w:right w:val="none" w:sz="0" w:space="0" w:color="auto"/>
      </w:divBdr>
    </w:div>
    <w:div w:id="1286427717">
      <w:bodyDiv w:val="1"/>
      <w:marLeft w:val="0"/>
      <w:marRight w:val="0"/>
      <w:marTop w:val="0"/>
      <w:marBottom w:val="0"/>
      <w:divBdr>
        <w:top w:val="none" w:sz="0" w:space="0" w:color="auto"/>
        <w:left w:val="none" w:sz="0" w:space="0" w:color="auto"/>
        <w:bottom w:val="none" w:sz="0" w:space="0" w:color="auto"/>
        <w:right w:val="none" w:sz="0" w:space="0" w:color="auto"/>
      </w:divBdr>
    </w:div>
    <w:div w:id="1301425560">
      <w:bodyDiv w:val="1"/>
      <w:marLeft w:val="0"/>
      <w:marRight w:val="0"/>
      <w:marTop w:val="0"/>
      <w:marBottom w:val="0"/>
      <w:divBdr>
        <w:top w:val="none" w:sz="0" w:space="0" w:color="auto"/>
        <w:left w:val="none" w:sz="0" w:space="0" w:color="auto"/>
        <w:bottom w:val="none" w:sz="0" w:space="0" w:color="auto"/>
        <w:right w:val="none" w:sz="0" w:space="0" w:color="auto"/>
      </w:divBdr>
    </w:div>
    <w:div w:id="1331328333">
      <w:bodyDiv w:val="1"/>
      <w:marLeft w:val="0"/>
      <w:marRight w:val="0"/>
      <w:marTop w:val="0"/>
      <w:marBottom w:val="0"/>
      <w:divBdr>
        <w:top w:val="none" w:sz="0" w:space="0" w:color="auto"/>
        <w:left w:val="none" w:sz="0" w:space="0" w:color="auto"/>
        <w:bottom w:val="none" w:sz="0" w:space="0" w:color="auto"/>
        <w:right w:val="none" w:sz="0" w:space="0" w:color="auto"/>
      </w:divBdr>
    </w:div>
    <w:div w:id="1341663343">
      <w:bodyDiv w:val="1"/>
      <w:marLeft w:val="0"/>
      <w:marRight w:val="0"/>
      <w:marTop w:val="0"/>
      <w:marBottom w:val="0"/>
      <w:divBdr>
        <w:top w:val="none" w:sz="0" w:space="0" w:color="auto"/>
        <w:left w:val="none" w:sz="0" w:space="0" w:color="auto"/>
        <w:bottom w:val="none" w:sz="0" w:space="0" w:color="auto"/>
        <w:right w:val="none" w:sz="0" w:space="0" w:color="auto"/>
      </w:divBdr>
    </w:div>
    <w:div w:id="1411611901">
      <w:bodyDiv w:val="1"/>
      <w:marLeft w:val="0"/>
      <w:marRight w:val="0"/>
      <w:marTop w:val="0"/>
      <w:marBottom w:val="0"/>
      <w:divBdr>
        <w:top w:val="none" w:sz="0" w:space="0" w:color="auto"/>
        <w:left w:val="none" w:sz="0" w:space="0" w:color="auto"/>
        <w:bottom w:val="none" w:sz="0" w:space="0" w:color="auto"/>
        <w:right w:val="none" w:sz="0" w:space="0" w:color="auto"/>
      </w:divBdr>
    </w:div>
    <w:div w:id="1705859754">
      <w:bodyDiv w:val="1"/>
      <w:marLeft w:val="0"/>
      <w:marRight w:val="0"/>
      <w:marTop w:val="0"/>
      <w:marBottom w:val="0"/>
      <w:divBdr>
        <w:top w:val="none" w:sz="0" w:space="0" w:color="auto"/>
        <w:left w:val="none" w:sz="0" w:space="0" w:color="auto"/>
        <w:bottom w:val="none" w:sz="0" w:space="0" w:color="auto"/>
        <w:right w:val="none" w:sz="0" w:space="0" w:color="auto"/>
      </w:divBdr>
    </w:div>
    <w:div w:id="1708601314">
      <w:bodyDiv w:val="1"/>
      <w:marLeft w:val="0"/>
      <w:marRight w:val="0"/>
      <w:marTop w:val="0"/>
      <w:marBottom w:val="0"/>
      <w:divBdr>
        <w:top w:val="none" w:sz="0" w:space="0" w:color="auto"/>
        <w:left w:val="none" w:sz="0" w:space="0" w:color="auto"/>
        <w:bottom w:val="none" w:sz="0" w:space="0" w:color="auto"/>
        <w:right w:val="none" w:sz="0" w:space="0" w:color="auto"/>
      </w:divBdr>
    </w:div>
    <w:div w:id="1813520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B831DBC2B2144E8108962E3FDB5E5B" ma:contentTypeVersion="1" ma:contentTypeDescription="Create a new document." ma:contentTypeScope="" ma:versionID="6b88e3f0b93d11fd43e7afa1b2cd7a0b">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720AA-4EDB-4F0A-8E3E-5003DC310D4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951D371-2406-442B-B75E-6ECBFF278A0A}">
  <ds:schemaRefs>
    <ds:schemaRef ds:uri="http://schemas.microsoft.com/sharepoint/v3/contenttype/forms"/>
  </ds:schemaRefs>
</ds:datastoreItem>
</file>

<file path=customXml/itemProps3.xml><?xml version="1.0" encoding="utf-8"?>
<ds:datastoreItem xmlns:ds="http://schemas.openxmlformats.org/officeDocument/2006/customXml" ds:itemID="{6500CD57-A8BB-4782-B97B-997DC268D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156C2A-2F7B-4E0F-BF71-DC328556E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5707</Words>
  <Characters>32534</Characters>
  <Application>Microsoft Office Word</Application>
  <DocSecurity>0</DocSecurity>
  <Lines>271</Lines>
  <Paragraphs>76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vector>
  </TitlesOfParts>
  <Company>National Bank of Belgium</Company>
  <LinksUpToDate>false</LinksUpToDate>
  <CharactersWithSpaces>38165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 De Louvencourt</dc:creator>
  <cp:lastModifiedBy>Henry Daha</cp:lastModifiedBy>
  <cp:revision>2</cp:revision>
  <dcterms:created xsi:type="dcterms:W3CDTF">2020-10-01T10:47:00Z</dcterms:created>
  <dcterms:modified xsi:type="dcterms:W3CDTF">2020-10-01T10:47:00Z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2020-05-07T00:00:00Z</vt:filetime>
  </property>
  <property fmtid="{D5CDD505-2E9C-101B-9397-08002B2CF9AE}" pid="3" name="Creator">
    <vt:lpwstr>Microsoft® Word 2016</vt:lpwstr>
  </property>
  <property fmtid="{D5CDD505-2E9C-101B-9397-08002B2CF9AE}" pid="4" name="LastSaved">
    <vt:filetime>2020-07-27T00:00:00Z</vt:filetime>
  </property>
  <property fmtid="{D5CDD505-2E9C-101B-9397-08002B2CF9AE}" pid="5" name="ContentTypeId">
    <vt:lpwstr>0x0101009AB831DBC2B2144E8108962E3FDB5E5B</vt:lpwstr>
  </property>
</Properties>
</file>