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28120050" w14:textId="77777777" w:rsidTr="00315E96">
        <w:trPr>
          <w:trHeight w:val="284"/>
        </w:trPr>
        <w:tc>
          <w:tcPr>
            <w:tcW w:w="9412" w:type="dxa"/>
          </w:tcPr>
          <w:p w14:paraId="40DE37DD" w14:textId="77777777"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55A2CD89"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1261BCC5" w14:textId="77777777" w:rsidTr="00210E59">
        <w:trPr>
          <w:trHeight w:hRule="exact" w:val="1620"/>
        </w:trPr>
        <w:tc>
          <w:tcPr>
            <w:tcW w:w="10051" w:type="dxa"/>
            <w:vAlign w:val="bottom"/>
          </w:tcPr>
          <w:p w14:paraId="61B3DDC1" w14:textId="77777777"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4C4F1EE9" w14:textId="77777777" w:rsidR="006F4535" w:rsidRPr="009A053D" w:rsidRDefault="006F4535" w:rsidP="00210E59">
            <w:pPr>
              <w:pStyle w:val="01aDBTitle"/>
              <w:jc w:val="left"/>
              <w:rPr>
                <w:rFonts w:cs="Arial"/>
                <w:sz w:val="32"/>
              </w:rPr>
            </w:pPr>
          </w:p>
        </w:tc>
      </w:tr>
      <w:tr w:rsidR="006F4535" w:rsidRPr="00616B9B" w14:paraId="1901E18F" w14:textId="77777777" w:rsidTr="00210E59">
        <w:trPr>
          <w:trHeight w:hRule="exact" w:val="809"/>
        </w:trPr>
        <w:tc>
          <w:tcPr>
            <w:tcW w:w="10051" w:type="dxa"/>
            <w:tcMar>
              <w:top w:w="142" w:type="dxa"/>
            </w:tcMar>
          </w:tcPr>
          <w:p w14:paraId="4A93892A"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7836E17E"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041773FE" w14:textId="77777777" w:rsidTr="00315E96">
        <w:trPr>
          <w:trHeight w:hRule="exact" w:val="964"/>
        </w:trPr>
        <w:tc>
          <w:tcPr>
            <w:tcW w:w="2325" w:type="dxa"/>
          </w:tcPr>
          <w:p w14:paraId="6C75A7F7"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78B99F0B" w14:textId="77777777" w:rsidR="00704EED" w:rsidRPr="004E49B0" w:rsidRDefault="00704EED" w:rsidP="00337A3F">
            <w:pPr>
              <w:pStyle w:val="02Date"/>
              <w:rPr>
                <w:rFonts w:cs="Arial"/>
              </w:rPr>
            </w:pPr>
            <w:r>
              <w:rPr>
                <w:rFonts w:cs="Arial"/>
                <w:shd w:val="clear" w:color="auto" w:fill="FFFFFF" w:themeFill="background1"/>
              </w:rPr>
              <w:t>ESMA 30-201-535</w:t>
            </w:r>
          </w:p>
        </w:tc>
      </w:tr>
    </w:tbl>
    <w:p w14:paraId="12C988A7"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588C3D0B" w14:textId="77777777" w:rsidR="00197794" w:rsidRPr="00197794" w:rsidRDefault="00197794" w:rsidP="00197794">
      <w:pPr>
        <w:spacing w:after="240"/>
        <w:jc w:val="both"/>
        <w:rPr>
          <w:rStyle w:val="SubtleEmphasis"/>
          <w:b w:val="0"/>
          <w:sz w:val="22"/>
        </w:rPr>
      </w:pPr>
      <w:r w:rsidRPr="00197794">
        <w:rPr>
          <w:rStyle w:val="SubtleEmphasis"/>
          <w:b w:val="0"/>
          <w:sz w:val="22"/>
        </w:rPr>
        <w:t>The European Supervisory Authorities (ESAs) welcome comments on this consultation paper setting out proposed amendments to Commission Delegated Regulation (EU) 2017/653 of 8 March 2017</w:t>
      </w:r>
      <w:r w:rsidRPr="00197794">
        <w:rPr>
          <w:rStyle w:val="SubtleEmphasis"/>
          <w:b w:val="0"/>
          <w:sz w:val="22"/>
        </w:rPr>
        <w:footnoteReference w:id="2"/>
      </w:r>
      <w:r w:rsidRPr="00197794">
        <w:rPr>
          <w:rStyle w:val="SubtleEmphasis"/>
          <w:b w:val="0"/>
          <w:sz w:val="22"/>
        </w:rPr>
        <w:t xml:space="preserve"> (hereinafter “PRIIPs Delegated Regulation”).</w:t>
      </w:r>
    </w:p>
    <w:p w14:paraId="170EA8B0" w14:textId="77777777" w:rsidR="00197794" w:rsidRPr="00197794" w:rsidRDefault="00197794" w:rsidP="00197794">
      <w:pPr>
        <w:jc w:val="both"/>
        <w:rPr>
          <w:rStyle w:val="SubtleEmphasis"/>
          <w:b w:val="0"/>
          <w:sz w:val="22"/>
        </w:rPr>
      </w:pPr>
    </w:p>
    <w:p w14:paraId="286A2BAD" w14:textId="77777777" w:rsidR="00197794" w:rsidRPr="00197794" w:rsidRDefault="00197794" w:rsidP="00197794">
      <w:pPr>
        <w:jc w:val="both"/>
        <w:rPr>
          <w:rStyle w:val="SubtleEmphasis"/>
          <w:b w:val="0"/>
          <w:sz w:val="22"/>
        </w:rPr>
      </w:pPr>
      <w:r w:rsidRPr="00197794">
        <w:rPr>
          <w:rStyle w:val="SubtleEmphasis"/>
          <w:b w:val="0"/>
          <w:sz w:val="22"/>
        </w:rPr>
        <w:t xml:space="preserve">The consultation package includes: </w:t>
      </w:r>
    </w:p>
    <w:p w14:paraId="0C1A471F" w14:textId="77777777"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The consultation paper</w:t>
      </w:r>
    </w:p>
    <w:p w14:paraId="6727175F" w14:textId="77777777" w:rsid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r>
      <w:r>
        <w:rPr>
          <w:rStyle w:val="SubtleEmphasis"/>
          <w:b w:val="0"/>
          <w:sz w:val="22"/>
        </w:rPr>
        <w:t>Template for comments</w:t>
      </w:r>
    </w:p>
    <w:p w14:paraId="61B890AB" w14:textId="77777777" w:rsidR="00197794" w:rsidRDefault="00197794" w:rsidP="00197794">
      <w:pPr>
        <w:jc w:val="both"/>
        <w:rPr>
          <w:rStyle w:val="SubtleEmphasis"/>
          <w:b w:val="0"/>
          <w:sz w:val="22"/>
        </w:rPr>
      </w:pPr>
    </w:p>
    <w:p w14:paraId="0092E550" w14:textId="77777777" w:rsidR="00197794" w:rsidRPr="00197794" w:rsidRDefault="00197794" w:rsidP="00197794">
      <w:pPr>
        <w:jc w:val="both"/>
        <w:rPr>
          <w:rStyle w:val="SubtleEmphasis"/>
          <w:b w:val="0"/>
          <w:sz w:val="22"/>
        </w:rPr>
      </w:pPr>
      <w:r w:rsidRPr="00197794">
        <w:rPr>
          <w:rStyle w:val="SubtleEmphasis"/>
          <w:b w:val="0"/>
          <w:sz w:val="22"/>
        </w:rPr>
        <w:t>The ESAs invite comments on any aspect of this paper. Comments are most helpful if they:</w:t>
      </w:r>
    </w:p>
    <w:p w14:paraId="1E73E4D6"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contain a clear rationale; and</w:t>
      </w:r>
    </w:p>
    <w:p w14:paraId="5F1EB71D" w14:textId="77777777" w:rsidR="00197794" w:rsidRPr="00197794" w:rsidRDefault="00197794" w:rsidP="00197794">
      <w:pPr>
        <w:jc w:val="both"/>
        <w:rPr>
          <w:rStyle w:val="SubtleEmphasis"/>
          <w:b w:val="0"/>
          <w:sz w:val="22"/>
        </w:rPr>
      </w:pPr>
      <w:r w:rsidRPr="00197794">
        <w:rPr>
          <w:rStyle w:val="SubtleEmphasis"/>
          <w:b w:val="0"/>
          <w:sz w:val="22"/>
        </w:rPr>
        <w:t>•</w:t>
      </w:r>
      <w:r w:rsidRPr="00197794">
        <w:rPr>
          <w:rStyle w:val="SubtleEmphasis"/>
          <w:b w:val="0"/>
          <w:sz w:val="22"/>
        </w:rPr>
        <w:tab/>
        <w:t>describe any alternatives the ESAs should consider.</w:t>
      </w:r>
    </w:p>
    <w:p w14:paraId="3863C2EB" w14:textId="77777777" w:rsidR="00197794" w:rsidRDefault="00197794" w:rsidP="00197794">
      <w:pPr>
        <w:jc w:val="both"/>
        <w:rPr>
          <w:rStyle w:val="SubtleEmphasis"/>
          <w:b w:val="0"/>
          <w:sz w:val="22"/>
        </w:rPr>
      </w:pPr>
    </w:p>
    <w:p w14:paraId="66397867" w14:textId="77777777" w:rsidR="00197794" w:rsidRPr="00197794" w:rsidRDefault="00197794" w:rsidP="00197794">
      <w:pPr>
        <w:spacing w:after="240"/>
        <w:jc w:val="both"/>
        <w:rPr>
          <w:rStyle w:val="SubtleEmphasis"/>
          <w:b w:val="0"/>
          <w:sz w:val="22"/>
        </w:rPr>
      </w:pPr>
      <w:r w:rsidRPr="00197794">
        <w:rPr>
          <w:rStyle w:val="SubtleEmphasis"/>
          <w:b w:val="0"/>
          <w:sz w:val="22"/>
        </w:rPr>
        <w:t xml:space="preserve">When describing alternative approaches the ESAs encourage stakeholders to consider how </w:t>
      </w:r>
      <w:r w:rsidR="004B1D0D">
        <w:rPr>
          <w:rStyle w:val="SubtleEmphasis"/>
          <w:b w:val="0"/>
          <w:sz w:val="22"/>
        </w:rPr>
        <w:t xml:space="preserve">the </w:t>
      </w:r>
      <w:r w:rsidRPr="00197794">
        <w:rPr>
          <w:rStyle w:val="SubtleEmphasis"/>
          <w:b w:val="0"/>
          <w:sz w:val="22"/>
        </w:rPr>
        <w:t>approach would achieve the aims of Regulation (EU) No 1286/2014</w:t>
      </w:r>
      <w:r w:rsidRPr="00197794">
        <w:rPr>
          <w:rStyle w:val="SubtleEmphasis"/>
          <w:b w:val="0"/>
          <w:sz w:val="22"/>
        </w:rPr>
        <w:footnoteReference w:id="3"/>
      </w:r>
      <w:r w:rsidRPr="00197794">
        <w:rPr>
          <w:rStyle w:val="SubtleEmphasis"/>
          <w:b w:val="0"/>
          <w:sz w:val="22"/>
        </w:rPr>
        <w:t xml:space="preserve"> (hereinafter “PRIIPs Regulation”). </w:t>
      </w:r>
    </w:p>
    <w:p w14:paraId="45CCE8C0" w14:textId="77777777" w:rsidR="00EC1154" w:rsidRDefault="00EC1154" w:rsidP="00AF38AF">
      <w:pPr>
        <w:rPr>
          <w:rStyle w:val="SubtleEmphasis"/>
          <w:b w:val="0"/>
          <w:sz w:val="22"/>
        </w:rPr>
      </w:pPr>
    </w:p>
    <w:p w14:paraId="6109E5B7"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3BE80C2"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4E5E862A"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14:paraId="1B4DE47C"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&lt;ESA_QUESTION_</w:t>
      </w:r>
      <w:r w:rsidR="00197794">
        <w:rPr>
          <w:rStyle w:val="SubtleEmphasis"/>
          <w:b w:val="0"/>
          <w:sz w:val="22"/>
        </w:rPr>
        <w:t>PKID</w:t>
      </w:r>
      <w:r w:rsidRPr="00E40A5C">
        <w:rPr>
          <w:rStyle w:val="SubtleEmphasis"/>
          <w:b w:val="0"/>
          <w:sz w:val="22"/>
        </w:rPr>
        <w:t>_1&gt;. Your response to each question has to be framed by the two tags corresponding to the question.</w:t>
      </w:r>
    </w:p>
    <w:p w14:paraId="164319C1"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273FB723" w14:textId="77777777"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ESA_</w:t>
      </w:r>
      <w:r w:rsidR="00197794">
        <w:rPr>
          <w:rStyle w:val="SubtleEmphasis"/>
          <w:b w:val="0"/>
          <w:sz w:val="22"/>
        </w:rPr>
        <w:t>PKID</w:t>
      </w:r>
      <w:r w:rsidRPr="00E40A5C">
        <w:rPr>
          <w:rStyle w:val="SubtleEmphasis"/>
          <w:b w:val="0"/>
          <w:sz w:val="22"/>
        </w:rPr>
        <w:t>_nameofrespondent_RESPONSEFORM. For example, for a respondent named ABCD, the response form would be entitled ESA_</w:t>
      </w:r>
      <w:r w:rsidR="00197794">
        <w:rPr>
          <w:rStyle w:val="SubtleEmphasis"/>
          <w:b w:val="0"/>
          <w:sz w:val="22"/>
        </w:rPr>
        <w:t>PKID</w:t>
      </w:r>
      <w:r w:rsidRPr="00E40A5C">
        <w:rPr>
          <w:rStyle w:val="SubtleEmphasis"/>
          <w:b w:val="0"/>
          <w:sz w:val="22"/>
        </w:rPr>
        <w:t>_ABCD_RESPONSEFORM.</w:t>
      </w:r>
    </w:p>
    <w:p w14:paraId="52619221" w14:textId="77777777" w:rsidR="00197794" w:rsidRP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lastRenderedPageBreak/>
        <w:t>The consultation paper is available on the websites of the three ESAs</w:t>
      </w:r>
      <w:r w:rsidR="00764042">
        <w:rPr>
          <w:rStyle w:val="SubtleEmphasis"/>
          <w:b w:val="0"/>
          <w:sz w:val="22"/>
        </w:rPr>
        <w:t xml:space="preserve"> and the Joint Committee</w:t>
      </w:r>
      <w:r w:rsidRPr="00197794">
        <w:rPr>
          <w:rStyle w:val="SubtleEmphasis"/>
          <w:b w:val="0"/>
          <w:sz w:val="22"/>
        </w:rPr>
        <w:t xml:space="preserve">. Comments on this consultation paper can be sent using the response form, via the </w:t>
      </w:r>
      <w:hyperlink r:id="rId16" w:history="1">
        <w:r w:rsidRPr="00197794">
          <w:rPr>
            <w:rStyle w:val="Hyperlink"/>
            <w:rFonts w:cs="Arial"/>
            <w:sz w:val="22"/>
          </w:rPr>
          <w:t>ESMA website</w:t>
        </w:r>
      </w:hyperlink>
      <w:r w:rsidRPr="00197794">
        <w:rPr>
          <w:rStyle w:val="SubtleEmphasis"/>
          <w:b w:val="0"/>
          <w:sz w:val="24"/>
        </w:rPr>
        <w:t xml:space="preserve"> </w:t>
      </w:r>
      <w:r w:rsidRPr="00197794">
        <w:rPr>
          <w:rStyle w:val="SubtleEmphasis"/>
          <w:b w:val="0"/>
          <w:sz w:val="22"/>
        </w:rPr>
        <w:t xml:space="preserve">under the heading ‘Your input - Consultations’ by </w:t>
      </w:r>
      <w:r w:rsidRPr="00197794">
        <w:rPr>
          <w:rStyle w:val="SubtleEmphasis"/>
          <w:sz w:val="22"/>
        </w:rPr>
        <w:t>13 January 2020</w:t>
      </w:r>
      <w:r w:rsidRPr="00197794">
        <w:rPr>
          <w:rStyle w:val="SubtleEmphasis"/>
          <w:b w:val="0"/>
          <w:sz w:val="22"/>
        </w:rPr>
        <w:t>.</w:t>
      </w:r>
    </w:p>
    <w:p w14:paraId="042FE2B8" w14:textId="77777777" w:rsidR="00197794" w:rsidRDefault="00197794" w:rsidP="00197794">
      <w:pPr>
        <w:pStyle w:val="ListParagraph"/>
        <w:numPr>
          <w:ilvl w:val="0"/>
          <w:numId w:val="37"/>
        </w:numPr>
        <w:spacing w:after="240" w:line="276" w:lineRule="auto"/>
        <w:ind w:left="567" w:hanging="567"/>
        <w:contextualSpacing w:val="0"/>
        <w:jc w:val="both"/>
        <w:rPr>
          <w:rStyle w:val="SubtleEmphasis"/>
          <w:b w:val="0"/>
          <w:sz w:val="22"/>
        </w:rPr>
      </w:pPr>
      <w:r w:rsidRPr="00197794">
        <w:rPr>
          <w:rStyle w:val="SubtleEmphasis"/>
          <w:b w:val="0"/>
          <w:sz w:val="22"/>
        </w:rPr>
        <w:t>Contributions not provided in the template for comments, or after the deadline will not be processed.</w:t>
      </w:r>
    </w:p>
    <w:p w14:paraId="3C196172" w14:textId="77777777" w:rsidR="00197794" w:rsidRPr="00197794" w:rsidRDefault="00197794" w:rsidP="00197794">
      <w:pPr>
        <w:spacing w:after="240" w:line="276" w:lineRule="auto"/>
        <w:jc w:val="both"/>
        <w:rPr>
          <w:rStyle w:val="SubtleEmphasis"/>
          <w:b w:val="0"/>
          <w:sz w:val="22"/>
        </w:rPr>
      </w:pPr>
    </w:p>
    <w:p w14:paraId="34BC1986" w14:textId="77777777" w:rsidR="00210E59" w:rsidRPr="00210E59" w:rsidRDefault="00210E59" w:rsidP="00210E59">
      <w:pPr>
        <w:spacing w:after="120"/>
        <w:jc w:val="both"/>
        <w:rPr>
          <w:rStyle w:val="SubtleEmphasis"/>
          <w:sz w:val="22"/>
        </w:rPr>
      </w:pPr>
      <w:r w:rsidRPr="00210E59">
        <w:rPr>
          <w:rStyle w:val="SubtleEmphasis"/>
          <w:sz w:val="22"/>
        </w:rPr>
        <w:t>Publication of responses</w:t>
      </w:r>
    </w:p>
    <w:p w14:paraId="2F2BEB9E"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42FAE03E" w14:textId="77777777" w:rsidR="00197794" w:rsidRDefault="00197794" w:rsidP="004E6AE4">
      <w:pPr>
        <w:rPr>
          <w:rStyle w:val="SubtleEmphasis"/>
          <w:sz w:val="22"/>
          <w:lang w:eastAsia="en-GB"/>
        </w:rPr>
      </w:pPr>
    </w:p>
    <w:p w14:paraId="2D798E2E" w14:textId="77777777" w:rsidR="00197794" w:rsidRDefault="00197794" w:rsidP="004E6AE4">
      <w:pPr>
        <w:rPr>
          <w:rStyle w:val="SubtleEmphasis"/>
          <w:sz w:val="22"/>
          <w:lang w:eastAsia="en-GB"/>
        </w:rPr>
      </w:pPr>
    </w:p>
    <w:p w14:paraId="2B504484" w14:textId="77777777" w:rsidR="009A3017" w:rsidRPr="00E40A5C" w:rsidRDefault="009A3017" w:rsidP="004E6AE4">
      <w:pPr>
        <w:rPr>
          <w:rStyle w:val="SubtleEmphasis"/>
          <w:sz w:val="22"/>
          <w:lang w:eastAsia="en-GB"/>
        </w:rPr>
      </w:pPr>
      <w:r w:rsidRPr="00E40A5C">
        <w:rPr>
          <w:rStyle w:val="SubtleEmphasis"/>
          <w:sz w:val="22"/>
          <w:lang w:eastAsia="en-GB"/>
        </w:rPr>
        <w:t>Data protection</w:t>
      </w:r>
    </w:p>
    <w:p w14:paraId="41615292" w14:textId="77777777" w:rsidR="00197794" w:rsidRDefault="00197794" w:rsidP="00210E59">
      <w:pPr>
        <w:rPr>
          <w:sz w:val="22"/>
        </w:rPr>
      </w:pPr>
    </w:p>
    <w:p w14:paraId="4DA983FA" w14:textId="77777777"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otnoteReference"/>
          <w:rFonts w:cs="Arial"/>
          <w:sz w:val="22"/>
        </w:rPr>
        <w:footnoteReference w:id="4"/>
      </w:r>
      <w:r w:rsidRPr="00197794">
        <w:rPr>
          <w:rFonts w:cs="Arial"/>
          <w:sz w:val="22"/>
        </w:rPr>
        <w:t xml:space="preserve">. Further information on data protection can be found under the </w:t>
      </w:r>
      <w:hyperlink r:id="rId17" w:history="1">
        <w:r w:rsidRPr="00197794">
          <w:rPr>
            <w:rStyle w:val="Hyperlink"/>
            <w:rFonts w:cs="Arial"/>
            <w:sz w:val="22"/>
          </w:rPr>
          <w:t>Legal notice</w:t>
        </w:r>
      </w:hyperlink>
      <w:r w:rsidRPr="00197794">
        <w:rPr>
          <w:rFonts w:cs="Arial"/>
          <w:sz w:val="22"/>
        </w:rPr>
        <w:t xml:space="preserve"> section of the EBA website and under the </w:t>
      </w:r>
      <w:hyperlink r:id="rId18" w:history="1">
        <w:r w:rsidRPr="00197794">
          <w:rPr>
            <w:rStyle w:val="Hyperlink"/>
            <w:rFonts w:cs="Arial"/>
            <w:sz w:val="22"/>
          </w:rPr>
          <w:t>Legal notice</w:t>
        </w:r>
      </w:hyperlink>
      <w:r w:rsidRPr="00197794">
        <w:rPr>
          <w:rFonts w:cs="Arial"/>
          <w:sz w:val="22"/>
        </w:rPr>
        <w:t xml:space="preserve"> section of the EIOPA website and under the </w:t>
      </w:r>
      <w:hyperlink r:id="rId19" w:history="1">
        <w:r w:rsidRPr="00197794">
          <w:rPr>
            <w:rStyle w:val="Hyperlink"/>
            <w:rFonts w:cs="Arial"/>
            <w:sz w:val="22"/>
          </w:rPr>
          <w:t>Legal notice</w:t>
        </w:r>
      </w:hyperlink>
      <w:r w:rsidRPr="00197794">
        <w:rPr>
          <w:rFonts w:cs="Arial"/>
          <w:sz w:val="22"/>
        </w:rPr>
        <w:t xml:space="preserve"> section of the ESMA website.</w:t>
      </w:r>
    </w:p>
    <w:p w14:paraId="7B38FEF5" w14:textId="77777777" w:rsidR="00210E59" w:rsidRDefault="00210E59" w:rsidP="009A3017">
      <w:pPr>
        <w:spacing w:after="120"/>
        <w:jc w:val="both"/>
        <w:rPr>
          <w:rStyle w:val="SubtleEmphasis"/>
          <w:sz w:val="22"/>
          <w:lang w:eastAsia="en-GB"/>
        </w:rPr>
      </w:pPr>
    </w:p>
    <w:bookmarkEnd w:id="0"/>
    <w:p w14:paraId="549A07D8" w14:textId="77777777" w:rsidR="002E4F86" w:rsidRPr="00EC1154" w:rsidRDefault="002E4F86" w:rsidP="00EC1154">
      <w:pPr>
        <w:rPr>
          <w:sz w:val="22"/>
        </w:rPr>
      </w:pPr>
    </w:p>
    <w:p w14:paraId="342BD9A3" w14:textId="77777777" w:rsidR="00332304" w:rsidRDefault="00332304" w:rsidP="004E6AE4">
      <w:pPr>
        <w:rPr>
          <w:rFonts w:cs="Arial"/>
          <w:b/>
          <w:bCs/>
          <w:kern w:val="32"/>
          <w:sz w:val="24"/>
          <w:szCs w:val="32"/>
        </w:rPr>
      </w:pPr>
      <w:r>
        <w:br w:type="page"/>
      </w:r>
    </w:p>
    <w:p w14:paraId="114918D6" w14:textId="77777777" w:rsidR="00B327E9" w:rsidRPr="00AB6D88" w:rsidRDefault="00B327E9" w:rsidP="00B327E9">
      <w:pPr>
        <w:pStyle w:val="Heading1"/>
        <w:numPr>
          <w:ilvl w:val="0"/>
          <w:numId w:val="0"/>
        </w:numPr>
      </w:pPr>
      <w:r w:rsidRPr="00AB6D88">
        <w:lastRenderedPageBreak/>
        <w:t>General information about respondent</w:t>
      </w:r>
    </w:p>
    <w:p w14:paraId="3C4A7C52"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309AB42" w14:textId="77777777" w:rsidTr="00091F36">
        <w:tc>
          <w:tcPr>
            <w:tcW w:w="3929" w:type="dxa"/>
            <w:shd w:val="clear" w:color="auto" w:fill="auto"/>
          </w:tcPr>
          <w:p w14:paraId="10902092" w14:textId="77777777" w:rsidR="00B327E9" w:rsidRPr="00E40A5C" w:rsidRDefault="00B327E9" w:rsidP="00091F36">
            <w:pPr>
              <w:rPr>
                <w:rFonts w:cs="Arial"/>
                <w:sz w:val="22"/>
              </w:rPr>
            </w:pPr>
            <w:permStart w:id="53555106" w:edGrp="everyone" w:colFirst="1" w:colLast="1"/>
            <w:r w:rsidRPr="00E40A5C">
              <w:rPr>
                <w:rFonts w:cs="Arial"/>
                <w:sz w:val="22"/>
              </w:rPr>
              <w:t>Name of the company / organisation</w:t>
            </w:r>
          </w:p>
        </w:tc>
        <w:sdt>
          <w:sdtPr>
            <w:rPr>
              <w:rStyle w:val="PlaceholderText"/>
              <w:rFonts w:cs="Arial"/>
            </w:rPr>
            <w:id w:val="-1905066999"/>
            <w:text/>
          </w:sdtPr>
          <w:sdtContent>
            <w:tc>
              <w:tcPr>
                <w:tcW w:w="5595" w:type="dxa"/>
                <w:shd w:val="clear" w:color="auto" w:fill="auto"/>
              </w:tcPr>
              <w:p w14:paraId="043E3F29" w14:textId="77777777" w:rsidR="00B327E9" w:rsidRPr="00AB6D88" w:rsidRDefault="000E7CE4" w:rsidP="000E7CE4">
                <w:pPr>
                  <w:rPr>
                    <w:rStyle w:val="PlaceholderText"/>
                    <w:rFonts w:cs="Arial"/>
                  </w:rPr>
                </w:pPr>
                <w:r>
                  <w:t>Schroders Investment Management</w:t>
                </w:r>
              </w:p>
            </w:tc>
          </w:sdtContent>
        </w:sdt>
      </w:tr>
      <w:tr w:rsidR="00B327E9" w:rsidRPr="00AB6D88" w14:paraId="7DF5C0DB" w14:textId="77777777" w:rsidTr="00091F36">
        <w:tc>
          <w:tcPr>
            <w:tcW w:w="3929" w:type="dxa"/>
            <w:shd w:val="clear" w:color="auto" w:fill="auto"/>
          </w:tcPr>
          <w:p w14:paraId="04FBF8FE" w14:textId="77777777" w:rsidR="00B327E9" w:rsidRPr="00E40A5C" w:rsidRDefault="00B327E9" w:rsidP="00091F36">
            <w:pPr>
              <w:rPr>
                <w:rFonts w:cs="Arial"/>
                <w:sz w:val="22"/>
              </w:rPr>
            </w:pPr>
            <w:permStart w:id="671159611" w:edGrp="everyone" w:colFirst="1" w:colLast="1"/>
            <w:permEnd w:id="53555106"/>
            <w:r w:rsidRPr="00E40A5C">
              <w:rPr>
                <w:rFonts w:cs="Arial"/>
                <w:sz w:val="22"/>
              </w:rPr>
              <w:t>Activity</w:t>
            </w:r>
          </w:p>
        </w:tc>
        <w:tc>
          <w:tcPr>
            <w:tcW w:w="5595" w:type="dxa"/>
            <w:shd w:val="clear" w:color="auto" w:fill="auto"/>
          </w:tcPr>
          <w:p w14:paraId="518BDEF8" w14:textId="77777777" w:rsidR="00B327E9" w:rsidRPr="00AB6D88" w:rsidRDefault="004D7C5E" w:rsidP="00091F36">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0E7CE4">
                  <w:rPr>
                    <w:rFonts w:cs="Arial"/>
                  </w:rPr>
                  <w:t>Investment Services</w:t>
                </w:r>
              </w:sdtContent>
            </w:sdt>
          </w:p>
        </w:tc>
      </w:tr>
      <w:tr w:rsidR="00B327E9" w:rsidRPr="00AB6D88" w14:paraId="6DF12350" w14:textId="77777777" w:rsidTr="00091F36">
        <w:tc>
          <w:tcPr>
            <w:tcW w:w="3929" w:type="dxa"/>
            <w:shd w:val="clear" w:color="auto" w:fill="auto"/>
          </w:tcPr>
          <w:p w14:paraId="57F49FEC" w14:textId="77777777" w:rsidR="00B327E9" w:rsidRPr="00E40A5C" w:rsidRDefault="00B327E9" w:rsidP="00091F36">
            <w:pPr>
              <w:rPr>
                <w:rFonts w:cs="Arial"/>
                <w:sz w:val="22"/>
              </w:rPr>
            </w:pPr>
            <w:permStart w:id="1026716721" w:edGrp="everyone" w:colFirst="1" w:colLast="1"/>
            <w:permEnd w:id="671159611"/>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Content>
            <w:tc>
              <w:tcPr>
                <w:tcW w:w="5595" w:type="dxa"/>
                <w:shd w:val="clear" w:color="auto" w:fill="auto"/>
              </w:tcPr>
              <w:p w14:paraId="5EA7FF11" w14:textId="77777777" w:rsidR="00B327E9" w:rsidRPr="00AB6D88" w:rsidRDefault="00B327E9" w:rsidP="00091F36">
                <w:pPr>
                  <w:rPr>
                    <w:rFonts w:cs="Arial"/>
                  </w:rPr>
                </w:pPr>
                <w:r>
                  <w:rPr>
                    <w:rFonts w:ascii="MS Gothic" w:eastAsia="MS Gothic" w:hAnsi="MS Gothic" w:cs="Arial" w:hint="eastAsia"/>
                  </w:rPr>
                  <w:t>☐</w:t>
                </w:r>
              </w:p>
            </w:tc>
          </w:sdtContent>
        </w:sdt>
      </w:tr>
      <w:tr w:rsidR="00B327E9" w:rsidRPr="00AB6D88" w14:paraId="6EDE5FB8" w14:textId="77777777" w:rsidTr="00091F36">
        <w:tc>
          <w:tcPr>
            <w:tcW w:w="3929" w:type="dxa"/>
            <w:shd w:val="clear" w:color="auto" w:fill="auto"/>
          </w:tcPr>
          <w:p w14:paraId="56E4A2BB" w14:textId="77777777" w:rsidR="00B327E9" w:rsidRPr="00E40A5C" w:rsidRDefault="00B327E9" w:rsidP="00091F36">
            <w:pPr>
              <w:rPr>
                <w:rFonts w:cs="Arial"/>
                <w:sz w:val="22"/>
              </w:rPr>
            </w:pPr>
            <w:permStart w:id="2043702749" w:edGrp="everyone" w:colFirst="1" w:colLast="1"/>
            <w:permEnd w:id="102671672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1C43C4B7" w14:textId="77777777" w:rsidR="00B327E9" w:rsidRPr="00AB6D88" w:rsidRDefault="000E7CE4" w:rsidP="00091F36">
                <w:pPr>
                  <w:rPr>
                    <w:rFonts w:cs="Arial"/>
                  </w:rPr>
                </w:pPr>
                <w:r>
                  <w:rPr>
                    <w:rFonts w:cs="Arial"/>
                  </w:rPr>
                  <w:t>UK</w:t>
                </w:r>
              </w:p>
            </w:tc>
          </w:sdtContent>
        </w:sdt>
      </w:tr>
      <w:permEnd w:id="2043702749"/>
    </w:tbl>
    <w:p w14:paraId="640AFB5F" w14:textId="77777777" w:rsidR="00B327E9" w:rsidRDefault="00B327E9" w:rsidP="00B327E9">
      <w:pPr>
        <w:spacing w:after="120" w:line="264" w:lineRule="auto"/>
      </w:pPr>
    </w:p>
    <w:p w14:paraId="145A4A26" w14:textId="77777777" w:rsidR="00B327E9" w:rsidRDefault="00B327E9" w:rsidP="00B327E9">
      <w:pPr>
        <w:pStyle w:val="Heading1"/>
        <w:numPr>
          <w:ilvl w:val="0"/>
          <w:numId w:val="0"/>
        </w:numPr>
        <w:ind w:left="431" w:hanging="431"/>
      </w:pPr>
      <w:r>
        <w:t>Introduction</w:t>
      </w:r>
    </w:p>
    <w:p w14:paraId="66DB5717"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7A8EB8B" w14:textId="77777777" w:rsidR="00B327E9" w:rsidRPr="00BF28DA" w:rsidRDefault="00B327E9" w:rsidP="00B327E9"/>
    <w:p w14:paraId="7660F355" w14:textId="77777777" w:rsidR="00B327E9" w:rsidRPr="006F4535" w:rsidRDefault="00B327E9" w:rsidP="00B327E9">
      <w:r w:rsidRPr="006F4535">
        <w:t>&lt;ESA_COMMENT_</w:t>
      </w:r>
      <w:r w:rsidR="00197794">
        <w:rPr>
          <w:rStyle w:val="SubtleEmphasis"/>
          <w:b w:val="0"/>
          <w:sz w:val="22"/>
        </w:rPr>
        <w:t>PKID</w:t>
      </w:r>
      <w:r w:rsidRPr="006F4535">
        <w:t>_1&gt;</w:t>
      </w:r>
    </w:p>
    <w:p w14:paraId="0063FACB" w14:textId="4B03387E" w:rsidR="00270DF2" w:rsidRDefault="002B3EAC" w:rsidP="002B3EAC">
      <w:permStart w:id="117244220" w:edGrp="everyone"/>
      <w:r w:rsidRPr="002B3EAC">
        <w:t xml:space="preserve">Schroders fully supports the objectives of the PRIIP KID and </w:t>
      </w:r>
      <w:r>
        <w:t xml:space="preserve">the </w:t>
      </w:r>
      <w:r w:rsidRPr="002B3EAC">
        <w:t>broader regulatory emphasis on giving investors all the information they need to make investment decisions</w:t>
      </w:r>
      <w:r>
        <w:t xml:space="preserve">. We </w:t>
      </w:r>
      <w:r w:rsidR="00E16CDF">
        <w:t>further</w:t>
      </w:r>
      <w:r>
        <w:t xml:space="preserve"> support the aim </w:t>
      </w:r>
      <w:r w:rsidRPr="002B3EAC">
        <w:t>to</w:t>
      </w:r>
      <w:r>
        <w:t xml:space="preserve"> ap</w:t>
      </w:r>
      <w:r w:rsidRPr="002B3EAC">
        <w:t>ply standards of disclosure</w:t>
      </w:r>
      <w:r w:rsidR="00E16CDF">
        <w:t>,</w:t>
      </w:r>
      <w:r w:rsidRPr="002B3EAC">
        <w:t xml:space="preserve"> that have applied for some years</w:t>
      </w:r>
      <w:r>
        <w:t xml:space="preserve"> </w:t>
      </w:r>
      <w:r w:rsidRPr="002B3EAC">
        <w:t xml:space="preserve">to </w:t>
      </w:r>
      <w:r>
        <w:t>UCITS</w:t>
      </w:r>
      <w:r w:rsidR="00E16CDF">
        <w:t>,</w:t>
      </w:r>
      <w:r w:rsidRPr="002B3EAC">
        <w:t xml:space="preserve"> to all investment-based products (including</w:t>
      </w:r>
      <w:r>
        <w:t xml:space="preserve"> </w:t>
      </w:r>
      <w:r w:rsidRPr="002B3EAC">
        <w:t>those within an insurance or banking wrapper).</w:t>
      </w:r>
      <w:r>
        <w:t xml:space="preserve"> The first edition of the recurrent cost and performance reports by </w:t>
      </w:r>
      <w:hyperlink r:id="rId20" w:history="1">
        <w:r w:rsidRPr="004247EF">
          <w:rPr>
            <w:rStyle w:val="Hyperlink"/>
          </w:rPr>
          <w:t>ESMA</w:t>
        </w:r>
      </w:hyperlink>
      <w:r>
        <w:t xml:space="preserve">, </w:t>
      </w:r>
      <w:hyperlink r:id="rId21" w:history="1">
        <w:r w:rsidRPr="004247EF">
          <w:rPr>
            <w:rStyle w:val="Hyperlink"/>
          </w:rPr>
          <w:t>EIOPA</w:t>
        </w:r>
      </w:hyperlink>
      <w:r>
        <w:t xml:space="preserve"> and </w:t>
      </w:r>
      <w:hyperlink r:id="rId22" w:history="1">
        <w:r w:rsidRPr="004247EF">
          <w:rPr>
            <w:rStyle w:val="Hyperlink"/>
          </w:rPr>
          <w:t>EBA</w:t>
        </w:r>
      </w:hyperlink>
      <w:r w:rsidR="004247EF">
        <w:t xml:space="preserve">, as </w:t>
      </w:r>
      <w:hyperlink r:id="rId23" w:history="1">
        <w:r w:rsidR="004247EF" w:rsidRPr="004247EF">
          <w:rPr>
            <w:rStyle w:val="Hyperlink"/>
          </w:rPr>
          <w:t>mandated</w:t>
        </w:r>
      </w:hyperlink>
      <w:r w:rsidR="004247EF">
        <w:t xml:space="preserve"> by the European Commission in the context of the CMU agenda, clearly indicated that the analysis </w:t>
      </w:r>
      <w:r w:rsidR="00E16CDF">
        <w:t xml:space="preserve">required by the Commission could only be delivered by ESMA given the cost and return data available through the UCITS framework. </w:t>
      </w:r>
    </w:p>
    <w:p w14:paraId="1698FB6A" w14:textId="77777777" w:rsidR="005152F3" w:rsidRDefault="005152F3" w:rsidP="00270DF2"/>
    <w:p w14:paraId="05F1D7CC" w14:textId="027DF445" w:rsidR="00270DF2" w:rsidRPr="00B2299C" w:rsidRDefault="004D7C5E" w:rsidP="00270DF2">
      <w:r>
        <w:t>A</w:t>
      </w:r>
      <w:r w:rsidR="00270DF2">
        <w:t xml:space="preserve"> level-playing field of transparency is needed. However, in the effort to create a </w:t>
      </w:r>
      <w:r>
        <w:t xml:space="preserve">common </w:t>
      </w:r>
      <w:r w:rsidR="00270DF2">
        <w:t xml:space="preserve">set of metrics that apply across the very diverse universe of products that fall within the PRIIP scope, we have lost sight of the </w:t>
      </w:r>
      <w:r w:rsidR="005152F3">
        <w:t>question whether this is achievable in a meaningful way. T</w:t>
      </w:r>
      <w:r w:rsidR="00270DF2">
        <w:t>he balance between providing information that is comparable and information that is meaningful</w:t>
      </w:r>
      <w:r w:rsidR="005152F3">
        <w:t xml:space="preserve"> has been definitely skewed in favour of the former, thus ending up in a place where everyone provides information </w:t>
      </w:r>
      <w:r w:rsidR="005152F3" w:rsidRPr="00B2299C">
        <w:t>that</w:t>
      </w:r>
      <w:r w:rsidR="00F47507" w:rsidRPr="00B2299C">
        <w:t xml:space="preserve"> is theoretically comparable </w:t>
      </w:r>
      <w:r w:rsidR="005152F3" w:rsidRPr="00B2299C">
        <w:t>but</w:t>
      </w:r>
      <w:r w:rsidR="00F47507" w:rsidRPr="00B2299C">
        <w:t xml:space="preserve"> is, in practice,</w:t>
      </w:r>
      <w:r w:rsidR="005152F3" w:rsidRPr="00B2299C">
        <w:t xml:space="preserve"> unusable</w:t>
      </w:r>
      <w:r w:rsidR="00A77595" w:rsidRPr="00B2299C">
        <w:t xml:space="preserve"> to retail investors, i.e. the target audience</w:t>
      </w:r>
      <w:r w:rsidR="004B3C92" w:rsidRPr="00B2299C">
        <w:t xml:space="preserve"> of the PRIIP KID</w:t>
      </w:r>
      <w:r w:rsidR="00270DF2" w:rsidRPr="00B2299C">
        <w:t>.</w:t>
      </w:r>
    </w:p>
    <w:p w14:paraId="29F05721" w14:textId="77777777" w:rsidR="005152F3" w:rsidRPr="00B2299C" w:rsidRDefault="005152F3" w:rsidP="002B3EAC"/>
    <w:p w14:paraId="044B447F" w14:textId="27DB7B42" w:rsidR="00D91422" w:rsidRDefault="00E16CDF" w:rsidP="002B3EAC">
      <w:r w:rsidRPr="00B2299C">
        <w:t xml:space="preserve">Although PRIIPs </w:t>
      </w:r>
      <w:r w:rsidR="00D91422" w:rsidRPr="00B2299C">
        <w:t>has been</w:t>
      </w:r>
      <w:r w:rsidRPr="00B2299C">
        <w:t xml:space="preserve"> envisaged </w:t>
      </w:r>
      <w:r w:rsidR="00D91422" w:rsidRPr="00B2299C">
        <w:t>as the way to</w:t>
      </w:r>
      <w:r w:rsidRPr="00B2299C">
        <w:t xml:space="preserve"> close </w:t>
      </w:r>
      <w:r w:rsidR="005152F3" w:rsidRPr="00B2299C">
        <w:t>the</w:t>
      </w:r>
      <w:r w:rsidRPr="00B2299C">
        <w:t xml:space="preserve"> </w:t>
      </w:r>
      <w:r w:rsidR="00A77595" w:rsidRPr="00B2299C">
        <w:t xml:space="preserve">costs and performance </w:t>
      </w:r>
      <w:r w:rsidRPr="00B2299C">
        <w:t>data gap</w:t>
      </w:r>
      <w:r w:rsidR="005152F3" w:rsidRPr="00B2299C">
        <w:t xml:space="preserve"> between UCITS and other retail investment products</w:t>
      </w:r>
      <w:r w:rsidRPr="00B2299C">
        <w:t xml:space="preserve">, the evidence so far would </w:t>
      </w:r>
      <w:r w:rsidR="00A77595" w:rsidRPr="00B2299C">
        <w:t xml:space="preserve">indicate that this is unlikely to be achieved. It would also indicate that the data already available from UCITS disclosures, is going to be discontinued and replaced by data points that cannot be used in the same way. </w:t>
      </w:r>
      <w:r w:rsidR="00D91422" w:rsidRPr="00B2299C">
        <w:t>Thi</w:t>
      </w:r>
      <w:r w:rsidR="00D91422">
        <w:t>s means that we are moving further away from transparency that is meaningful for both clients and regulators.</w:t>
      </w:r>
    </w:p>
    <w:p w14:paraId="568F67F8" w14:textId="77777777" w:rsidR="005152F3" w:rsidRDefault="005152F3" w:rsidP="002B3EAC"/>
    <w:p w14:paraId="569478E6" w14:textId="77777777" w:rsidR="00D91422" w:rsidRDefault="00D91422" w:rsidP="002B3EAC">
      <w:r>
        <w:t xml:space="preserve">The reason for this lies in the </w:t>
      </w:r>
      <w:r w:rsidR="00901B31">
        <w:t>existing</w:t>
      </w:r>
      <w:r>
        <w:t xml:space="preserve"> rules that:</w:t>
      </w:r>
    </w:p>
    <w:p w14:paraId="18EEE74C" w14:textId="77777777" w:rsidR="00D91422" w:rsidRDefault="00D91422" w:rsidP="00F51E97">
      <w:pPr>
        <w:pStyle w:val="ListParagraph"/>
        <w:numPr>
          <w:ilvl w:val="0"/>
          <w:numId w:val="43"/>
        </w:numPr>
      </w:pPr>
      <w:r>
        <w:t>Preclude past performance information</w:t>
      </w:r>
    </w:p>
    <w:p w14:paraId="202C1CFD" w14:textId="77777777" w:rsidR="00D91422" w:rsidRDefault="00D91422" w:rsidP="00F51E97">
      <w:pPr>
        <w:pStyle w:val="ListParagraph"/>
        <w:numPr>
          <w:ilvl w:val="0"/>
          <w:numId w:val="43"/>
        </w:numPr>
      </w:pPr>
      <w:r>
        <w:t>Present performance scenarios that are based on historical information</w:t>
      </w:r>
    </w:p>
    <w:p w14:paraId="5760C93C" w14:textId="77777777" w:rsidR="00D91422" w:rsidRDefault="00D91422" w:rsidP="00F51E97">
      <w:pPr>
        <w:pStyle w:val="ListParagraph"/>
        <w:numPr>
          <w:ilvl w:val="0"/>
          <w:numId w:val="43"/>
        </w:numPr>
      </w:pPr>
      <w:r>
        <w:t>Require presentation of costs as a reduction in return instead of actual cost</w:t>
      </w:r>
    </w:p>
    <w:p w14:paraId="3714ECE5" w14:textId="77777777" w:rsidR="00D91422" w:rsidRDefault="00D91422" w:rsidP="00F51E97">
      <w:pPr>
        <w:pStyle w:val="ListParagraph"/>
        <w:numPr>
          <w:ilvl w:val="0"/>
          <w:numId w:val="43"/>
        </w:numPr>
      </w:pPr>
      <w:r>
        <w:t>Prescribe transaction cost estimation methods that include market movement</w:t>
      </w:r>
    </w:p>
    <w:p w14:paraId="38D0EED3" w14:textId="77777777" w:rsidR="005152F3" w:rsidRDefault="005152F3" w:rsidP="00D91422"/>
    <w:p w14:paraId="4266E221" w14:textId="357A03D3" w:rsidR="00D91422" w:rsidRDefault="00D91422" w:rsidP="00D91422">
      <w:r>
        <w:t xml:space="preserve">We fully appreciate and recognise the continued efforts by the ESAs to address all these points </w:t>
      </w:r>
      <w:r w:rsidR="00901B31">
        <w:t>and to maintain an</w:t>
      </w:r>
      <w:r>
        <w:t xml:space="preserve"> open dialogue with industry and consumer representatives. </w:t>
      </w:r>
      <w:r w:rsidR="00901B31">
        <w:t>We further note that there has been considerable progress in the solutions that are being considered, particularly in the current proposals to include past performance,</w:t>
      </w:r>
      <w:r w:rsidR="004B3C92">
        <w:t xml:space="preserve"> to</w:t>
      </w:r>
      <w:r w:rsidR="00901B31">
        <w:t xml:space="preserve"> think of consistency with MiFID II for cost presentation, and </w:t>
      </w:r>
      <w:r w:rsidR="004B3C92">
        <w:t xml:space="preserve">to </w:t>
      </w:r>
      <w:r w:rsidR="00901B31">
        <w:t>move away from the slippage methodology for estimating transaction costs</w:t>
      </w:r>
      <w:r w:rsidR="008F3BC4">
        <w:t>,</w:t>
      </w:r>
      <w:r w:rsidR="00901B31">
        <w:t xml:space="preserve"> at least </w:t>
      </w:r>
      <w:r w:rsidR="008F3BC4">
        <w:t xml:space="preserve">for </w:t>
      </w:r>
      <w:r w:rsidR="00901B31">
        <w:t>some asset classes</w:t>
      </w:r>
      <w:r>
        <w:t xml:space="preserve">. </w:t>
      </w:r>
    </w:p>
    <w:p w14:paraId="7FFDDEC8" w14:textId="77777777" w:rsidR="005152F3" w:rsidRDefault="005152F3" w:rsidP="00D91422"/>
    <w:p w14:paraId="495893D8" w14:textId="366E7624" w:rsidR="005152F3" w:rsidRDefault="004D7C5E" w:rsidP="00D91422">
      <w:r>
        <w:t>Nonetheless,</w:t>
      </w:r>
      <w:r w:rsidR="00901B31">
        <w:t xml:space="preserve"> as we outline in detail for each q</w:t>
      </w:r>
      <w:r w:rsidR="0003230C">
        <w:t>uestion below, the proposals do not go far enough in properly addressing the known problems with the PRIIP KID regulation. There are two reasons for this. First, the focus remains on amending the technical standards in increasingly co</w:t>
      </w:r>
      <w:r>
        <w:t xml:space="preserve">mplicated ways that attempt to </w:t>
      </w:r>
      <w:r w:rsidR="0003230C">
        <w:t xml:space="preserve">reverse-engineer an outcome that could be deemed reasonable </w:t>
      </w:r>
      <w:r>
        <w:t>instead of</w:t>
      </w:r>
      <w:r w:rsidR="0003230C">
        <w:t xml:space="preserve"> consider</w:t>
      </w:r>
      <w:r>
        <w:t>ing</w:t>
      </w:r>
      <w:r w:rsidR="0003230C">
        <w:t xml:space="preserve"> simple and straightforward ways in which to convey key information to retail investors. Second, there is a clear mandate by the Commission to fix this by amending the technical standards rather than revisit</w:t>
      </w:r>
      <w:r w:rsidR="008F3BC4">
        <w:t>ing</w:t>
      </w:r>
      <w:r w:rsidR="0003230C">
        <w:t xml:space="preserve"> the constraints placed by Level 1 regulation</w:t>
      </w:r>
      <w:r w:rsidR="008B34B2">
        <w:t xml:space="preserve"> (which directly leads to the first point).</w:t>
      </w:r>
    </w:p>
    <w:p w14:paraId="662CA29A" w14:textId="77777777" w:rsidR="00901B31" w:rsidRDefault="008B34B2" w:rsidP="00D91422">
      <w:r>
        <w:t xml:space="preserve"> </w:t>
      </w:r>
    </w:p>
    <w:p w14:paraId="4E50C90C" w14:textId="77777777" w:rsidR="004D7C5E" w:rsidRDefault="008F3BC4" w:rsidP="00D91422">
      <w:r>
        <w:lastRenderedPageBreak/>
        <w:t xml:space="preserve">The ESAs note in the consultation paper that </w:t>
      </w:r>
      <w:r w:rsidRPr="00AD76A8">
        <w:rPr>
          <w:i/>
        </w:rPr>
        <w:t>“it is not expected that all of the different elements of the review required by Article 33 of the PRIIPs will be completed by the end of this year”</w:t>
      </w:r>
      <w:r>
        <w:t>. According to anecdotal information</w:t>
      </w:r>
      <w:r w:rsidR="00AD76A8">
        <w:t>,</w:t>
      </w:r>
      <w:r>
        <w:t xml:space="preserve"> this Level 1 review will not take place until 2024. We would urge the ESAs to recommend that the Commission reconsiders this. If the known issues with the PRIIP KID cannot be addressed with changes in the technical standards</w:t>
      </w:r>
      <w:r w:rsidR="000F3A53">
        <w:t xml:space="preserve"> (and the ESAs acknowledge on page 8 of the consultation paper that </w:t>
      </w:r>
      <w:r w:rsidR="000F3A53" w:rsidRPr="000F3A53">
        <w:rPr>
          <w:i/>
        </w:rPr>
        <w:t>“some of the concerns expressed by stakeholders relating to performance scenarios, costs and MOPs might not be entirely resolvable through a change in the PRIIP Delegated Regulation”</w:t>
      </w:r>
      <w:r w:rsidR="000F3A53">
        <w:t>)</w:t>
      </w:r>
      <w:r>
        <w:t xml:space="preserve">, then </w:t>
      </w:r>
      <w:r w:rsidR="00091F36">
        <w:t>the result will be presenting</w:t>
      </w:r>
      <w:r>
        <w:t xml:space="preserve"> retail investors with ever changing versions of the KID</w:t>
      </w:r>
      <w:r w:rsidR="00091F36">
        <w:t xml:space="preserve">: </w:t>
      </w:r>
    </w:p>
    <w:p w14:paraId="7E20204E" w14:textId="77777777" w:rsidR="004D7C5E" w:rsidRDefault="00091F36" w:rsidP="004D7C5E">
      <w:pPr>
        <w:pStyle w:val="BulletedtextRegularB17"/>
      </w:pPr>
      <w:r>
        <w:t>first, the existing version that is already in circulatio</w:t>
      </w:r>
      <w:r w:rsidR="004D7C5E">
        <w:t>n which we know is problematic;</w:t>
      </w:r>
    </w:p>
    <w:p w14:paraId="25E36E37" w14:textId="77777777" w:rsidR="004D7C5E" w:rsidRDefault="00091F36" w:rsidP="004D7C5E">
      <w:pPr>
        <w:pStyle w:val="BulletedtextRegularB17"/>
      </w:pPr>
      <w:r>
        <w:t xml:space="preserve">then an amended version </w:t>
      </w:r>
      <w:r w:rsidR="004D7C5E">
        <w:t xml:space="preserve">based on the proposals in this consultation paper </w:t>
      </w:r>
      <w:r>
        <w:t>that is likely to be problematic for different reasons</w:t>
      </w:r>
    </w:p>
    <w:p w14:paraId="311FC1CF" w14:textId="77777777" w:rsidR="004D7C5E" w:rsidRDefault="00091F36" w:rsidP="004D7C5E">
      <w:pPr>
        <w:pStyle w:val="BulletedtextRegularB17"/>
      </w:pPr>
      <w:r>
        <w:t>and then (hopefully) a version that provides simple, meaningful information to retail investors</w:t>
      </w:r>
      <w:r w:rsidR="004D7C5E">
        <w:t xml:space="preserve"> following a proper review of the Level 1 regulation.</w:t>
      </w:r>
    </w:p>
    <w:p w14:paraId="5966E5AE" w14:textId="754347A0" w:rsidR="008B34B2" w:rsidRDefault="00091F36" w:rsidP="00D91422">
      <w:r>
        <w:t>Having different disclosures every couple of years is unlikely to enhance consumer confidence and</w:t>
      </w:r>
      <w:r w:rsidRPr="00091F36">
        <w:t xml:space="preserve"> trust in the information presented to them</w:t>
      </w:r>
      <w:r>
        <w:t xml:space="preserve"> and inspire them to invest (a key pillar of the CMU agenda). </w:t>
      </w:r>
    </w:p>
    <w:p w14:paraId="5B862817" w14:textId="77777777" w:rsidR="005152F3" w:rsidRDefault="005152F3" w:rsidP="00D91422"/>
    <w:p w14:paraId="44BCD911" w14:textId="6C3DF2DB" w:rsidR="00091F36" w:rsidRDefault="00091F36" w:rsidP="00D91422">
      <w:r>
        <w:t>There is an additional risk in the</w:t>
      </w:r>
      <w:r w:rsidR="00270DF2">
        <w:t xml:space="preserve"> </w:t>
      </w:r>
      <w:r w:rsidR="00270DF2" w:rsidRPr="00B2299C">
        <w:t>current</w:t>
      </w:r>
      <w:r w:rsidRPr="00B2299C">
        <w:t xml:space="preserve"> </w:t>
      </w:r>
      <w:r w:rsidR="00F90361" w:rsidRPr="00B2299C">
        <w:t xml:space="preserve">focus on </w:t>
      </w:r>
      <w:r w:rsidRPr="00B2299C">
        <w:t>technical standards</w:t>
      </w:r>
      <w:r w:rsidR="005F5846" w:rsidRPr="00B2299C">
        <w:t xml:space="preserve"> that centres around theoretical assumptions and includes detailed and very </w:t>
      </w:r>
      <w:r w:rsidRPr="00B2299C">
        <w:t>complicated calculations</w:t>
      </w:r>
      <w:r w:rsidR="004D7C5E">
        <w:t>. Namely, it</w:t>
      </w:r>
      <w:r w:rsidR="005F5846" w:rsidRPr="00B2299C">
        <w:t xml:space="preserve"> forgets</w:t>
      </w:r>
      <w:r w:rsidRPr="00B2299C">
        <w:t xml:space="preserve"> to ask whether </w:t>
      </w:r>
      <w:r w:rsidR="00270DF2" w:rsidRPr="00B2299C">
        <w:t>investors engage with this information or even know that it is important that they read it in the first place</w:t>
      </w:r>
      <w:r w:rsidR="004C0D38" w:rsidRPr="00B2299C">
        <w:t xml:space="preserve"> (</w:t>
      </w:r>
      <w:r w:rsidR="00C40986" w:rsidRPr="00B2299C">
        <w:t>which the evidence so far would suggest is not the case)</w:t>
      </w:r>
      <w:r w:rsidR="00270DF2" w:rsidRPr="00B2299C">
        <w:t xml:space="preserve">. </w:t>
      </w:r>
      <w:r w:rsidR="005152F3" w:rsidRPr="00B2299C">
        <w:t xml:space="preserve">In this context, </w:t>
      </w:r>
      <w:r w:rsidR="005F5846" w:rsidRPr="00B2299C">
        <w:t xml:space="preserve">we find it surprising that </w:t>
      </w:r>
      <w:r w:rsidR="005152F3" w:rsidRPr="00B2299C">
        <w:t>voices by prominent consumer groups, such as Better Finance,</w:t>
      </w:r>
      <w:r w:rsidR="005F5846" w:rsidRPr="00B2299C">
        <w:t xml:space="preserve"> do not seem to be fully reflected in the proposals</w:t>
      </w:r>
      <w:r w:rsidR="00B2299C">
        <w:t>.</w:t>
      </w:r>
      <w:r w:rsidR="005152F3" w:rsidRPr="00B2299C">
        <w:t xml:space="preserve"> </w:t>
      </w:r>
    </w:p>
    <w:p w14:paraId="1BE02B6F" w14:textId="77777777" w:rsidR="005152F3" w:rsidRDefault="005152F3" w:rsidP="00D91422"/>
    <w:p w14:paraId="01EEF507" w14:textId="77777777" w:rsidR="005152F3" w:rsidRDefault="005152F3" w:rsidP="00D91422">
      <w:r>
        <w:t>There are ways to address the issues with the PRIIP KID:</w:t>
      </w:r>
    </w:p>
    <w:p w14:paraId="473ACDC2" w14:textId="246B6A90" w:rsidR="005152F3" w:rsidRDefault="00722503" w:rsidP="00A861A4">
      <w:pPr>
        <w:pStyle w:val="ListParagraph"/>
        <w:numPr>
          <w:ilvl w:val="0"/>
          <w:numId w:val="47"/>
        </w:numPr>
      </w:pPr>
      <w:r>
        <w:t>Allow</w:t>
      </w:r>
      <w:r w:rsidR="005152F3">
        <w:t xml:space="preserve"> different type</w:t>
      </w:r>
      <w:r w:rsidR="004D7C5E">
        <w:t>s</w:t>
      </w:r>
      <w:r w:rsidR="005152F3">
        <w:t xml:space="preserve"> of performance disclosure for different types of PRIIPs (including presenting past performance information on its own and future performance scenarios on their own where it is appropriate to do so)</w:t>
      </w:r>
      <w:r>
        <w:t>.</w:t>
      </w:r>
      <w:r w:rsidR="004D7C5E">
        <w:t xml:space="preserve"> Essentially, this would mean interpreting the Level 1 requirement of “appropriate performance scenarios” in a consumer-friendly way.</w:t>
      </w:r>
    </w:p>
    <w:p w14:paraId="35F45882" w14:textId="77777777" w:rsidR="005152F3" w:rsidRDefault="005152F3" w:rsidP="00A861A4">
      <w:pPr>
        <w:pStyle w:val="ListParagraph"/>
        <w:numPr>
          <w:ilvl w:val="0"/>
          <w:numId w:val="47"/>
        </w:numPr>
      </w:pPr>
      <w:r>
        <w:t xml:space="preserve">Express cost </w:t>
      </w:r>
      <w:r w:rsidR="008B0B4E">
        <w:t xml:space="preserve">in a way that is consistent with MiFID II, that is, </w:t>
      </w:r>
      <w:r>
        <w:t>as a cost and not</w:t>
      </w:r>
      <w:r w:rsidR="00722503">
        <w:t xml:space="preserve"> as</w:t>
      </w:r>
      <w:r>
        <w:t xml:space="preserve"> lost return</w:t>
      </w:r>
      <w:r w:rsidR="00722503">
        <w:t>.</w:t>
      </w:r>
    </w:p>
    <w:p w14:paraId="79F43336" w14:textId="45C942E2" w:rsidR="008B0B4E" w:rsidRDefault="008B0B4E" w:rsidP="00A861A4">
      <w:pPr>
        <w:pStyle w:val="ListParagraph"/>
        <w:numPr>
          <w:ilvl w:val="0"/>
          <w:numId w:val="47"/>
        </w:numPr>
      </w:pPr>
      <w:r>
        <w:t>Amend the methodology for estimating implicit transaction costs to remove the noise from market movement</w:t>
      </w:r>
      <w:r w:rsidR="004D7C5E">
        <w:t>, ensuring again a Level 2 interpretation that is harmonised with MiFID II.</w:t>
      </w:r>
    </w:p>
    <w:p w14:paraId="285DA378" w14:textId="77777777" w:rsidR="008B0B4E" w:rsidRDefault="008B0B4E" w:rsidP="008B0B4E">
      <w:r>
        <w:t>None of these are explicitly prop</w:t>
      </w:r>
      <w:r w:rsidR="00722503">
        <w:t xml:space="preserve">osed in the consultation paper for various reasons, </w:t>
      </w:r>
      <w:r>
        <w:t xml:space="preserve">not </w:t>
      </w:r>
      <w:r w:rsidRPr="00B2299C">
        <w:t>least</w:t>
      </w:r>
      <w:r w:rsidR="00F90361" w:rsidRPr="00B2299C">
        <w:t>, we are told,</w:t>
      </w:r>
      <w:r w:rsidRPr="00B2299C">
        <w:t xml:space="preserve"> </w:t>
      </w:r>
      <w:r w:rsidR="00722503">
        <w:t>due to</w:t>
      </w:r>
      <w:r>
        <w:t xml:space="preserve"> constraints with Level 1 regulation. </w:t>
      </w:r>
    </w:p>
    <w:p w14:paraId="2B54E805" w14:textId="77777777" w:rsidR="00722503" w:rsidRDefault="00722503" w:rsidP="008B0B4E"/>
    <w:p w14:paraId="59BF1717" w14:textId="77777777" w:rsidR="00FB33B4" w:rsidRDefault="00722503" w:rsidP="002B3EAC">
      <w:r>
        <w:t>If the desire is to extend the transparency standards enjoyed by UCITS investors to o</w:t>
      </w:r>
      <w:r w:rsidR="00B12C14">
        <w:t xml:space="preserve">ther products, regulators need to consider what made the UCITS </w:t>
      </w:r>
      <w:r w:rsidR="00B12C14" w:rsidRPr="00B2299C">
        <w:t xml:space="preserve">disclosure </w:t>
      </w:r>
      <w:r w:rsidR="009C2A81" w:rsidRPr="00B2299C">
        <w:t>effective</w:t>
      </w:r>
      <w:r w:rsidR="00B12C14" w:rsidRPr="00B2299C">
        <w:t>. We</w:t>
      </w:r>
      <w:r w:rsidR="0003230C" w:rsidRPr="00B2299C">
        <w:t xml:space="preserve"> need to </w:t>
      </w:r>
      <w:r w:rsidR="0003230C" w:rsidRPr="0003230C">
        <w:t>be clear as to what we are seeking to achieve and what investors are going to do with the information when they get it</w:t>
      </w:r>
      <w:r w:rsidR="00B12C14">
        <w:t xml:space="preserve">. </w:t>
      </w:r>
      <w:r w:rsidR="002B3EAC" w:rsidRPr="002B3EAC">
        <w:t xml:space="preserve">We need to ensure </w:t>
      </w:r>
      <w:r w:rsidR="00B12C14">
        <w:t xml:space="preserve">that </w:t>
      </w:r>
      <w:r w:rsidR="002B3EAC" w:rsidRPr="002B3EAC">
        <w:t xml:space="preserve">consumers receive simple, accessible and </w:t>
      </w:r>
      <w:r w:rsidR="00B12C14">
        <w:t>meaningful</w:t>
      </w:r>
      <w:r w:rsidR="002B3EAC" w:rsidRPr="002B3EAC">
        <w:t xml:space="preserve"> information</w:t>
      </w:r>
      <w:r w:rsidR="00B12C14">
        <w:t xml:space="preserve">. We need to recognise that different investors will have different needs, for example, </w:t>
      </w:r>
      <w:r w:rsidR="002B3EAC" w:rsidRPr="002B3EAC">
        <w:t>some will want very simple information while others may want more detail</w:t>
      </w:r>
      <w:r w:rsidR="00B12C14">
        <w:t xml:space="preserve">, and that this will vary depending on what product type investors are looking to buy. </w:t>
      </w:r>
    </w:p>
    <w:p w14:paraId="307A86AF" w14:textId="77777777" w:rsidR="00FB33B4" w:rsidRDefault="00FB33B4" w:rsidP="002B3EAC"/>
    <w:p w14:paraId="2ACF1694" w14:textId="77777777" w:rsidR="00FB33B4" w:rsidRPr="00B2299C" w:rsidRDefault="00FB33B4" w:rsidP="00FB33B4">
      <w:r w:rsidRPr="00B2299C">
        <w:t xml:space="preserve">In this respect, we would like to refer to a statement by the ESAs in the </w:t>
      </w:r>
      <w:hyperlink r:id="rId24" w:history="1">
        <w:r w:rsidRPr="004B3C92">
          <w:rPr>
            <w:rStyle w:val="Hyperlink"/>
          </w:rPr>
          <w:t>Final Report</w:t>
        </w:r>
      </w:hyperlink>
      <w:r>
        <w:rPr>
          <w:color w:val="FF0000"/>
        </w:rPr>
        <w:t xml:space="preserve"> </w:t>
      </w:r>
      <w:r w:rsidRPr="00B2299C">
        <w:t xml:space="preserve">following the </w:t>
      </w:r>
    </w:p>
    <w:p w14:paraId="70B6C522" w14:textId="77777777" w:rsidR="00FB33B4" w:rsidRPr="00B2299C" w:rsidRDefault="00FB33B4" w:rsidP="002B3EAC">
      <w:r w:rsidRPr="00B2299C">
        <w:t xml:space="preserve">2018 joint consultation: </w:t>
      </w:r>
      <w:r w:rsidRPr="00B2299C">
        <w:rPr>
          <w:i/>
        </w:rPr>
        <w:t>“... it is intended to analyse if it is appropriate to introduce some additional differentiation in how the rules apply to different types of products, while still adhering to the overarching aim of comparability between substitutable products”</w:t>
      </w:r>
      <w:r w:rsidRPr="00B2299C">
        <w:t xml:space="preserve">. A decisive point in this consideration is what constitutes “substitutable products”. </w:t>
      </w:r>
    </w:p>
    <w:p w14:paraId="15EB1F5A" w14:textId="77777777" w:rsidR="00FB33B4" w:rsidRPr="00B2299C" w:rsidRDefault="00FB33B4" w:rsidP="002B3EAC"/>
    <w:p w14:paraId="7355CED8" w14:textId="5EF29672" w:rsidR="002B3EAC" w:rsidRPr="00B2299C" w:rsidRDefault="00B12C14" w:rsidP="002B3EAC">
      <w:r>
        <w:t xml:space="preserve">We </w:t>
      </w:r>
      <w:r w:rsidR="009C2A81">
        <w:t>should</w:t>
      </w:r>
      <w:r>
        <w:t xml:space="preserve"> bear </w:t>
      </w:r>
      <w:r w:rsidRPr="00B2299C">
        <w:t>in mind that</w:t>
      </w:r>
      <w:r w:rsidR="001F2940" w:rsidRPr="00B2299C">
        <w:t xml:space="preserve"> </w:t>
      </w:r>
      <w:r w:rsidR="009C2A81" w:rsidRPr="00B2299C">
        <w:t>if investors start thinking of a range of different products as substitutable</w:t>
      </w:r>
      <w:r w:rsidR="00B2299C" w:rsidRPr="00B2299C">
        <w:t>,</w:t>
      </w:r>
      <w:r w:rsidR="001F2940" w:rsidRPr="00B2299C">
        <w:t xml:space="preserve"> </w:t>
      </w:r>
      <w:r w:rsidR="004B3C92" w:rsidRPr="00B2299C">
        <w:t>they</w:t>
      </w:r>
      <w:r w:rsidR="009C2A81" w:rsidRPr="00B2299C">
        <w:t xml:space="preserve"> would need help </w:t>
      </w:r>
      <w:r w:rsidR="004B3C92" w:rsidRPr="00B2299C">
        <w:t>to</w:t>
      </w:r>
      <w:r w:rsidR="009C2A81" w:rsidRPr="00B2299C">
        <w:t xml:space="preserve"> </w:t>
      </w:r>
      <w:r w:rsidR="001F2940" w:rsidRPr="00B2299C">
        <w:t>recognise and understand</w:t>
      </w:r>
      <w:r w:rsidR="009C2A81" w:rsidRPr="00B2299C">
        <w:t xml:space="preserve"> the differences between products. </w:t>
      </w:r>
      <w:r w:rsidR="001F2940" w:rsidRPr="00B2299C">
        <w:t>Exact and complete c</w:t>
      </w:r>
      <w:r w:rsidRPr="00B2299C">
        <w:t xml:space="preserve">omparability </w:t>
      </w:r>
      <w:r w:rsidR="004B3C92" w:rsidRPr="00B2299C">
        <w:t>across a diverse set of products</w:t>
      </w:r>
      <w:r w:rsidR="00817A5F" w:rsidRPr="00B2299C">
        <w:t xml:space="preserve"> may, indeed, mask </w:t>
      </w:r>
      <w:r w:rsidR="009C2A81" w:rsidRPr="00B2299C">
        <w:t xml:space="preserve">these </w:t>
      </w:r>
      <w:r w:rsidR="00817A5F" w:rsidRPr="00B2299C">
        <w:t xml:space="preserve">important differences. </w:t>
      </w:r>
    </w:p>
    <w:p w14:paraId="3DED3C2A" w14:textId="60C54D6E" w:rsidR="00B12C14" w:rsidRDefault="00B12C14" w:rsidP="002B3EAC"/>
    <w:p w14:paraId="5129EF4C" w14:textId="4ABB6F69" w:rsidR="000A3227" w:rsidRDefault="00AF66E9" w:rsidP="00B327E9">
      <w:r>
        <w:t>Schroders is very committed to finding a solution and we are suggesting possible ways forward. We have done so in this response and, additionally, we have provided data to the Investment Association (IA) for its modelling of the new proposals, particularly for performance disclosure. We will not duplicate the content of the IA response, bu</w:t>
      </w:r>
      <w:r w:rsidR="00D20C10">
        <w:t xml:space="preserve">t wish to point to the findings of their research that explain why the current proposals are not going to provide a long-term solution to the </w:t>
      </w:r>
      <w:r w:rsidR="00D20C10" w:rsidRPr="00B2299C">
        <w:t>known issues with the PRIIP KID disclosure.</w:t>
      </w:r>
      <w:r w:rsidR="005F5846" w:rsidRPr="00B2299C">
        <w:t xml:space="preserve"> Moreover, </w:t>
      </w:r>
      <w:r w:rsidR="005F5846" w:rsidRPr="00B2299C">
        <w:lastRenderedPageBreak/>
        <w:t>we have provided input to the response of the European Fund and Asset Management Association (EFAMA) and support the views expressed therein.</w:t>
      </w:r>
    </w:p>
    <w:permEnd w:id="117244220"/>
    <w:p w14:paraId="50CE20DB" w14:textId="77777777" w:rsidR="00B327E9" w:rsidRPr="00BF28DA" w:rsidRDefault="00B327E9" w:rsidP="00B327E9">
      <w:r w:rsidRPr="00BF28DA">
        <w:t>&lt;ESA_COMMENT_</w:t>
      </w:r>
      <w:r w:rsidR="00197794">
        <w:rPr>
          <w:rStyle w:val="SubtleEmphasis"/>
          <w:b w:val="0"/>
          <w:sz w:val="22"/>
        </w:rPr>
        <w:t>PKID</w:t>
      </w:r>
      <w:r w:rsidR="000A58BE">
        <w:t>_</w:t>
      </w:r>
      <w:r w:rsidRPr="00BF28DA">
        <w:t>1&gt;</w:t>
      </w:r>
    </w:p>
    <w:p w14:paraId="0ECF6121" w14:textId="77777777" w:rsidR="00F31E57" w:rsidRPr="00BF28DA" w:rsidRDefault="00F31E57" w:rsidP="00D34282"/>
    <w:p w14:paraId="44CDF439"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2C1F0241" w14:textId="77777777" w:rsidR="003E573C" w:rsidRDefault="003E573C" w:rsidP="003E573C">
      <w:pPr>
        <w:rPr>
          <w:rFonts w:cs="Arial"/>
        </w:rPr>
      </w:pPr>
      <w:r>
        <w:rPr>
          <w:rFonts w:cs="Arial"/>
        </w:rPr>
        <w:t>&lt;ESA_QUESTION_PKID_1&gt;</w:t>
      </w:r>
    </w:p>
    <w:p w14:paraId="67CB820A" w14:textId="183F9A33" w:rsidR="00612F89" w:rsidRPr="00B2299C" w:rsidRDefault="00612F89" w:rsidP="003E573C">
      <w:pPr>
        <w:rPr>
          <w:rFonts w:cs="Arial"/>
        </w:rPr>
      </w:pPr>
      <w:permStart w:id="809648987" w:edGrp="everyone"/>
      <w:r w:rsidRPr="00B2299C">
        <w:rPr>
          <w:rFonts w:cs="Arial"/>
        </w:rPr>
        <w:t xml:space="preserve">We would like to note that Schroders interprets “digital solution” as an online interface that allows interaction with the information shown and not </w:t>
      </w:r>
      <w:r w:rsidR="005E22BB">
        <w:rPr>
          <w:rFonts w:cs="Arial"/>
        </w:rPr>
        <w:t xml:space="preserve">just </w:t>
      </w:r>
      <w:r w:rsidRPr="00B2299C">
        <w:rPr>
          <w:rFonts w:cs="Arial"/>
        </w:rPr>
        <w:t xml:space="preserve">sending electronically a soft copy of the KID, such as a pdf file. </w:t>
      </w:r>
    </w:p>
    <w:p w14:paraId="5F19E3AC" w14:textId="77777777" w:rsidR="00612F89" w:rsidRDefault="00612F89" w:rsidP="003E573C">
      <w:pPr>
        <w:rPr>
          <w:rFonts w:cs="Arial"/>
        </w:rPr>
      </w:pPr>
    </w:p>
    <w:p w14:paraId="3CA63F65" w14:textId="2BBFC8D7" w:rsidR="00FD01F4" w:rsidRDefault="00612F89" w:rsidP="003E573C">
      <w:pPr>
        <w:rPr>
          <w:rFonts w:cs="Arial"/>
        </w:rPr>
      </w:pPr>
      <w:r>
        <w:rPr>
          <w:rFonts w:cs="Arial"/>
        </w:rPr>
        <w:t>In this context, t</w:t>
      </w:r>
      <w:r w:rsidR="000A687A">
        <w:rPr>
          <w:rFonts w:cs="Arial"/>
        </w:rPr>
        <w:t>he sections that we consider to be relevant to the digital solution question, are in the PRIIPs Regulation. First, Article 6</w:t>
      </w:r>
      <w:r w:rsidR="00364756">
        <w:rPr>
          <w:rFonts w:cs="Arial"/>
        </w:rPr>
        <w:t>(</w:t>
      </w:r>
      <w:r w:rsidR="000A687A">
        <w:rPr>
          <w:rFonts w:cs="Arial"/>
        </w:rPr>
        <w:t>4</w:t>
      </w:r>
      <w:r w:rsidR="00364756">
        <w:rPr>
          <w:rFonts w:cs="Arial"/>
        </w:rPr>
        <w:t>)</w:t>
      </w:r>
      <w:r w:rsidR="000A687A">
        <w:rPr>
          <w:rFonts w:cs="Arial"/>
        </w:rPr>
        <w:t xml:space="preserve"> makes references to </w:t>
      </w:r>
      <w:r w:rsidR="000A687A" w:rsidRPr="00AD76A8">
        <w:rPr>
          <w:rFonts w:cs="Arial"/>
          <w:i/>
        </w:rPr>
        <w:t>“document”</w:t>
      </w:r>
      <w:r w:rsidR="000A687A">
        <w:rPr>
          <w:rFonts w:cs="Arial"/>
        </w:rPr>
        <w:t xml:space="preserve"> and a </w:t>
      </w:r>
      <w:r w:rsidR="000A687A" w:rsidRPr="00AD76A8">
        <w:rPr>
          <w:rFonts w:cs="Arial"/>
          <w:i/>
        </w:rPr>
        <w:t>“paper”</w:t>
      </w:r>
      <w:r w:rsidR="000A687A">
        <w:rPr>
          <w:rFonts w:cs="Arial"/>
        </w:rPr>
        <w:t xml:space="preserve">. Second, Article 14, refers to </w:t>
      </w:r>
      <w:r w:rsidR="000A687A" w:rsidRPr="00AD76A8">
        <w:rPr>
          <w:rFonts w:cs="Arial"/>
          <w:i/>
        </w:rPr>
        <w:t>“paper”</w:t>
      </w:r>
      <w:r w:rsidR="000A687A">
        <w:rPr>
          <w:rFonts w:cs="Arial"/>
        </w:rPr>
        <w:t xml:space="preserve"> and </w:t>
      </w:r>
      <w:r w:rsidR="000A687A" w:rsidRPr="00AD76A8">
        <w:rPr>
          <w:rFonts w:cs="Arial"/>
          <w:i/>
        </w:rPr>
        <w:t>“durable medium”</w:t>
      </w:r>
      <w:r w:rsidR="000A687A">
        <w:rPr>
          <w:rFonts w:cs="Arial"/>
        </w:rPr>
        <w:t xml:space="preserve">; the latter even where the </w:t>
      </w:r>
      <w:r w:rsidR="00C40986">
        <w:rPr>
          <w:rFonts w:cs="Arial"/>
        </w:rPr>
        <w:t>KID</w:t>
      </w:r>
      <w:r w:rsidR="000A687A">
        <w:rPr>
          <w:rFonts w:cs="Arial"/>
        </w:rPr>
        <w:t xml:space="preserve"> is provided via a website. </w:t>
      </w:r>
      <w:r w:rsidR="00162DA9">
        <w:rPr>
          <w:rFonts w:cs="Arial"/>
        </w:rPr>
        <w:t xml:space="preserve">So the Regulation uses </w:t>
      </w:r>
      <w:r w:rsidR="00C40986">
        <w:rPr>
          <w:rFonts w:cs="Arial"/>
        </w:rPr>
        <w:t xml:space="preserve">the word </w:t>
      </w:r>
      <w:r w:rsidR="00162DA9">
        <w:rPr>
          <w:rFonts w:cs="Arial"/>
        </w:rPr>
        <w:t xml:space="preserve">“document” and not </w:t>
      </w:r>
      <w:r w:rsidR="00364756">
        <w:rPr>
          <w:rFonts w:cs="Arial"/>
        </w:rPr>
        <w:t>“</w:t>
      </w:r>
      <w:r w:rsidR="00162DA9">
        <w:rPr>
          <w:rFonts w:cs="Arial"/>
        </w:rPr>
        <w:t xml:space="preserve">tool”. </w:t>
      </w:r>
      <w:r w:rsidR="00FD01F4">
        <w:rPr>
          <w:rFonts w:cs="Arial"/>
        </w:rPr>
        <w:t xml:space="preserve">This would imply that a digital version of the </w:t>
      </w:r>
      <w:r w:rsidR="00AD76A8">
        <w:rPr>
          <w:rFonts w:cs="Arial"/>
        </w:rPr>
        <w:t>KID</w:t>
      </w:r>
      <w:r w:rsidR="00FD01F4">
        <w:rPr>
          <w:rFonts w:cs="Arial"/>
        </w:rPr>
        <w:t xml:space="preserve"> that remains static while the consumer is invested in a </w:t>
      </w:r>
      <w:r w:rsidR="00AD76A8">
        <w:rPr>
          <w:rFonts w:cs="Arial"/>
        </w:rPr>
        <w:t>PRIIP</w:t>
      </w:r>
      <w:r w:rsidR="00FD01F4">
        <w:rPr>
          <w:rFonts w:cs="Arial"/>
        </w:rPr>
        <w:t>, is possible, but the rules would not accommodate a digital solution that presents information in a more interactive way</w:t>
      </w:r>
      <w:r w:rsidR="00C40986">
        <w:rPr>
          <w:rFonts w:cs="Arial"/>
        </w:rPr>
        <w:t xml:space="preserve"> and</w:t>
      </w:r>
      <w:r w:rsidR="00FD01F4">
        <w:rPr>
          <w:rFonts w:cs="Arial"/>
        </w:rPr>
        <w:t xml:space="preserve"> is kept up-to-date while a consumer is invested in a </w:t>
      </w:r>
      <w:r w:rsidR="00AD76A8">
        <w:rPr>
          <w:rFonts w:cs="Arial"/>
        </w:rPr>
        <w:t>PRIIP</w:t>
      </w:r>
      <w:r w:rsidR="00FD01F4">
        <w:rPr>
          <w:rFonts w:cs="Arial"/>
        </w:rPr>
        <w:t>. To allow this, the Regulation would need to be amended.</w:t>
      </w:r>
    </w:p>
    <w:permEnd w:id="809648987"/>
    <w:p w14:paraId="4FBC70E3" w14:textId="77777777" w:rsidR="003E573C" w:rsidRDefault="003E573C" w:rsidP="003E573C">
      <w:pPr>
        <w:rPr>
          <w:rFonts w:cs="Arial"/>
        </w:rPr>
      </w:pPr>
      <w:r>
        <w:rPr>
          <w:rFonts w:cs="Arial"/>
        </w:rPr>
        <w:t>&lt;ESA_QUESTION_PKID_1&gt;</w:t>
      </w:r>
    </w:p>
    <w:p w14:paraId="0B43A11D" w14:textId="77777777" w:rsidR="003E573C" w:rsidRDefault="003E573C" w:rsidP="003E573C">
      <w:pPr>
        <w:rPr>
          <w:rFonts w:cs="Arial"/>
        </w:rPr>
      </w:pPr>
    </w:p>
    <w:p w14:paraId="3C88978C"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5F2AB0AC" w14:textId="77777777" w:rsidR="003E573C" w:rsidRDefault="003E573C" w:rsidP="003E573C">
      <w:pPr>
        <w:rPr>
          <w:rFonts w:cs="Arial"/>
        </w:rPr>
      </w:pPr>
      <w:r>
        <w:rPr>
          <w:rFonts w:cs="Arial"/>
        </w:rPr>
        <w:t>&lt;ESA_QUESTION_PKID_2&gt;</w:t>
      </w:r>
    </w:p>
    <w:p w14:paraId="03C89606" w14:textId="0CB5EF52" w:rsidR="0057553D" w:rsidRDefault="0057553D" w:rsidP="0057553D">
      <w:pPr>
        <w:rPr>
          <w:rFonts w:cs="Arial"/>
        </w:rPr>
      </w:pPr>
      <w:permStart w:id="528221304" w:edGrp="everyone"/>
      <w:r>
        <w:rPr>
          <w:rFonts w:cs="Arial"/>
        </w:rPr>
        <w:t>During</w:t>
      </w:r>
      <w:r w:rsidRPr="0057553D">
        <w:rPr>
          <w:rFonts w:cs="Arial"/>
        </w:rPr>
        <w:t xml:space="preserve"> preparatory </w:t>
      </w:r>
      <w:r>
        <w:rPr>
          <w:rFonts w:cs="Arial"/>
        </w:rPr>
        <w:t xml:space="preserve">discussions for </w:t>
      </w:r>
      <w:r w:rsidRPr="0057553D">
        <w:rPr>
          <w:rFonts w:cs="Arial"/>
        </w:rPr>
        <w:t xml:space="preserve">the Deloitte </w:t>
      </w:r>
      <w:hyperlink r:id="rId25" w:history="1">
        <w:r w:rsidRPr="0057553D">
          <w:rPr>
            <w:rStyle w:val="Hyperlink"/>
            <w:rFonts w:cs="Arial"/>
          </w:rPr>
          <w:t>study</w:t>
        </w:r>
      </w:hyperlink>
      <w:r w:rsidRPr="0057553D">
        <w:rPr>
          <w:rFonts w:cs="Arial"/>
        </w:rPr>
        <w:t xml:space="preserve"> on online comparison tools</w:t>
      </w:r>
      <w:r>
        <w:rPr>
          <w:rFonts w:cs="Arial"/>
        </w:rPr>
        <w:t xml:space="preserve"> (which is done in the context of the broader CMU agenda)</w:t>
      </w:r>
      <w:r w:rsidRPr="0057553D">
        <w:rPr>
          <w:rFonts w:cs="Arial"/>
        </w:rPr>
        <w:t xml:space="preserve">, some distributors reported that consumers spend an average of two seconds on the KIID/KID (UCITS/PRIIPs). This means that consumers either do not know they should read </w:t>
      </w:r>
      <w:r w:rsidRPr="00B2299C">
        <w:rPr>
          <w:rFonts w:cs="Arial"/>
        </w:rPr>
        <w:t>the information, aren’t interested in the information, prefer the information in a more user-friendly way</w:t>
      </w:r>
      <w:r w:rsidR="00612F89" w:rsidRPr="00B2299C">
        <w:rPr>
          <w:rFonts w:cs="Arial"/>
        </w:rPr>
        <w:t xml:space="preserve"> (such as that provided by a MiFID-compliant non-advisory platform via a smartphone)</w:t>
      </w:r>
      <w:r w:rsidRPr="00B2299C">
        <w:rPr>
          <w:rFonts w:cs="Arial"/>
        </w:rPr>
        <w:t xml:space="preserve">, or </w:t>
      </w:r>
      <w:r w:rsidRPr="0057553D">
        <w:rPr>
          <w:rFonts w:cs="Arial"/>
        </w:rPr>
        <w:t>the engagement is so minimal that it is practically the same as if not reading the disclosures at all.</w:t>
      </w:r>
    </w:p>
    <w:p w14:paraId="413007FF" w14:textId="77777777" w:rsidR="0057553D" w:rsidRDefault="0057553D" w:rsidP="0057553D">
      <w:pPr>
        <w:rPr>
          <w:rFonts w:cs="Arial"/>
        </w:rPr>
      </w:pPr>
    </w:p>
    <w:p w14:paraId="6AAF94BB" w14:textId="33E9C7ED" w:rsidR="004C0D38" w:rsidRPr="00260089" w:rsidRDefault="005E22BB" w:rsidP="00C40986">
      <w:pPr>
        <w:rPr>
          <w:rFonts w:cs="Arial"/>
          <w:color w:val="FF0000"/>
        </w:rPr>
      </w:pPr>
      <w:r>
        <w:rPr>
          <w:rFonts w:cs="Arial"/>
        </w:rPr>
        <w:t>T</w:t>
      </w:r>
      <w:r w:rsidR="0054371C">
        <w:rPr>
          <w:rFonts w:cs="Arial"/>
        </w:rPr>
        <w:t xml:space="preserve">he increasing use of </w:t>
      </w:r>
      <w:r w:rsidR="00EF56D0">
        <w:rPr>
          <w:rFonts w:cs="Arial"/>
        </w:rPr>
        <w:t>online interfaces instead of paper</w:t>
      </w:r>
      <w:r w:rsidR="00AD76A8">
        <w:rPr>
          <w:rFonts w:cs="Arial"/>
        </w:rPr>
        <w:t xml:space="preserve"> when investing</w:t>
      </w:r>
      <w:r w:rsidRPr="005E22BB">
        <w:rPr>
          <w:rFonts w:cs="Arial"/>
        </w:rPr>
        <w:t xml:space="preserve"> </w:t>
      </w:r>
      <w:r>
        <w:rPr>
          <w:rFonts w:cs="Arial"/>
        </w:rPr>
        <w:t>is a</w:t>
      </w:r>
      <w:r>
        <w:rPr>
          <w:rFonts w:cs="Arial"/>
        </w:rPr>
        <w:t xml:space="preserve"> further barrier to consumers reading the KID</w:t>
      </w:r>
      <w:r w:rsidR="00EF56D0">
        <w:rPr>
          <w:rFonts w:cs="Arial"/>
        </w:rPr>
        <w:t xml:space="preserve">. </w:t>
      </w:r>
      <w:r w:rsidR="00AD76A8">
        <w:rPr>
          <w:rFonts w:cs="Arial"/>
        </w:rPr>
        <w:t xml:space="preserve">This is a topic on which Schroders has carried out and published </w:t>
      </w:r>
      <w:hyperlink r:id="rId26" w:history="1">
        <w:r w:rsidR="00AD76A8" w:rsidRPr="00AD76A8">
          <w:rPr>
            <w:rStyle w:val="Hyperlink"/>
            <w:rFonts w:cs="Arial"/>
          </w:rPr>
          <w:t>research</w:t>
        </w:r>
      </w:hyperlink>
      <w:r w:rsidR="00AD76A8">
        <w:rPr>
          <w:rFonts w:cs="Arial"/>
        </w:rPr>
        <w:t xml:space="preserve">. </w:t>
      </w:r>
      <w:r w:rsidR="00EF56D0" w:rsidRPr="00EF56D0">
        <w:rPr>
          <w:rFonts w:cs="Arial"/>
        </w:rPr>
        <w:t xml:space="preserve">Recent results from </w:t>
      </w:r>
      <w:r w:rsidR="00EF56D0">
        <w:rPr>
          <w:rFonts w:cs="Arial"/>
        </w:rPr>
        <w:t xml:space="preserve">the </w:t>
      </w:r>
      <w:hyperlink r:id="rId27" w:history="1">
        <w:r w:rsidR="00EF56D0" w:rsidRPr="00EF56D0">
          <w:rPr>
            <w:rStyle w:val="Hyperlink"/>
            <w:rFonts w:cs="Arial"/>
          </w:rPr>
          <w:t>Schroders Global Investor Study</w:t>
        </w:r>
      </w:hyperlink>
      <w:r w:rsidR="00EF56D0" w:rsidRPr="00EF56D0">
        <w:rPr>
          <w:rFonts w:cs="Arial"/>
        </w:rPr>
        <w:t xml:space="preserve"> (22,000 consumers from 30 countries) show that </w:t>
      </w:r>
      <w:r w:rsidR="00EF56D0">
        <w:rPr>
          <w:rFonts w:cs="Arial"/>
        </w:rPr>
        <w:t>two thirds</w:t>
      </w:r>
      <w:r w:rsidR="00EF56D0" w:rsidRPr="00EF56D0">
        <w:rPr>
          <w:rFonts w:cs="Arial"/>
        </w:rPr>
        <w:t xml:space="preserve"> of investors use technology for choosing</w:t>
      </w:r>
      <w:r w:rsidR="00EF56D0">
        <w:rPr>
          <w:rFonts w:cs="Arial"/>
        </w:rPr>
        <w:t xml:space="preserve"> and managing their investments. </w:t>
      </w:r>
      <w:r>
        <w:rPr>
          <w:rFonts w:cs="Arial"/>
        </w:rPr>
        <w:t>T</w:t>
      </w:r>
      <w:r w:rsidR="00AD76A8">
        <w:rPr>
          <w:rFonts w:cs="Arial"/>
        </w:rPr>
        <w:t>he use of smartphones and tablets</w:t>
      </w:r>
      <w:r w:rsidRPr="005E22BB">
        <w:rPr>
          <w:rFonts w:cs="Arial"/>
        </w:rPr>
        <w:t xml:space="preserve"> </w:t>
      </w:r>
      <w:r>
        <w:rPr>
          <w:rFonts w:cs="Arial"/>
        </w:rPr>
        <w:t>poses a</w:t>
      </w:r>
      <w:r>
        <w:rPr>
          <w:rFonts w:cs="Arial"/>
        </w:rPr>
        <w:t>n additional complication</w:t>
      </w:r>
      <w:r w:rsidR="00AD76A8">
        <w:rPr>
          <w:rFonts w:cs="Arial"/>
        </w:rPr>
        <w:t>. Namely, a</w:t>
      </w:r>
      <w:r w:rsidR="00EF56D0" w:rsidRPr="00EF56D0">
        <w:rPr>
          <w:rFonts w:cs="Arial"/>
        </w:rPr>
        <w:t xml:space="preserve"> 3-page pdf of a PRIIP KID is either illegible on a smartphone due to small font size or requires significant enlargement and scrolling in both </w:t>
      </w:r>
      <w:r w:rsidR="00AD76A8">
        <w:rPr>
          <w:rFonts w:cs="Arial"/>
        </w:rPr>
        <w:t xml:space="preserve">directions in order to be read (making it even more unlikely </w:t>
      </w:r>
      <w:r>
        <w:rPr>
          <w:rFonts w:cs="Arial"/>
        </w:rPr>
        <w:t>that it will be</w:t>
      </w:r>
      <w:r w:rsidR="00AD76A8">
        <w:rPr>
          <w:rFonts w:cs="Arial"/>
        </w:rPr>
        <w:t xml:space="preserve"> read).</w:t>
      </w:r>
      <w:r w:rsidR="00EF56D0" w:rsidRPr="00EF56D0">
        <w:rPr>
          <w:rFonts w:cs="Arial"/>
        </w:rPr>
        <w:t xml:space="preserve"> </w:t>
      </w:r>
      <w:r w:rsidR="00C40986">
        <w:rPr>
          <w:rFonts w:cs="Arial"/>
        </w:rPr>
        <w:t xml:space="preserve">This </w:t>
      </w:r>
      <w:r w:rsidR="00C40986" w:rsidRPr="00B2299C">
        <w:rPr>
          <w:rFonts w:cs="Arial"/>
        </w:rPr>
        <w:t>creates a question to what extent delivering a KID via a smartphone or tablet is compatible with PRIIPs Regulation, Article 6</w:t>
      </w:r>
      <w:r w:rsidR="00364756" w:rsidRPr="00B2299C">
        <w:rPr>
          <w:rFonts w:cs="Arial"/>
        </w:rPr>
        <w:t>(</w:t>
      </w:r>
      <w:r w:rsidR="00C40986" w:rsidRPr="00B2299C">
        <w:rPr>
          <w:rFonts w:cs="Arial"/>
        </w:rPr>
        <w:t>4a</w:t>
      </w:r>
      <w:r w:rsidR="00364756" w:rsidRPr="00B2299C">
        <w:rPr>
          <w:rFonts w:cs="Arial"/>
        </w:rPr>
        <w:t>)</w:t>
      </w:r>
      <w:r w:rsidR="00C40986" w:rsidRPr="00B2299C">
        <w:rPr>
          <w:rFonts w:cs="Arial"/>
        </w:rPr>
        <w:t xml:space="preserve">, which requires a document that is </w:t>
      </w:r>
      <w:r w:rsidR="00C40986" w:rsidRPr="00B2299C">
        <w:rPr>
          <w:rFonts w:cs="Arial"/>
          <w:i/>
        </w:rPr>
        <w:t>“presented and laid out in a way that is easy to read, using characters of readable size”</w:t>
      </w:r>
      <w:r w:rsidR="00C40986" w:rsidRPr="00B2299C">
        <w:rPr>
          <w:rFonts w:cs="Arial"/>
        </w:rPr>
        <w:t xml:space="preserve">. </w:t>
      </w:r>
      <w:r w:rsidR="00260089" w:rsidRPr="00B2299C">
        <w:rPr>
          <w:rFonts w:cs="Arial"/>
        </w:rPr>
        <w:t>It is also worth noting that the way things are read online is quite different from the way they are read on paper where informati</w:t>
      </w:r>
      <w:r>
        <w:rPr>
          <w:rFonts w:cs="Arial"/>
        </w:rPr>
        <w:t>on is generally presented in a layered</w:t>
      </w:r>
      <w:r w:rsidR="00260089" w:rsidRPr="00B2299C">
        <w:rPr>
          <w:rFonts w:cs="Arial"/>
        </w:rPr>
        <w:t xml:space="preserve"> way rather than requiring scrolling, or </w:t>
      </w:r>
      <w:r w:rsidR="003B369B" w:rsidRPr="00B2299C">
        <w:rPr>
          <w:rFonts w:cs="Arial"/>
        </w:rPr>
        <w:t>where the information starts</w:t>
      </w:r>
      <w:r w:rsidR="00260089" w:rsidRPr="00B2299C">
        <w:rPr>
          <w:rFonts w:cs="Arial"/>
        </w:rPr>
        <w:t xml:space="preserve"> from the top left and </w:t>
      </w:r>
      <w:r w:rsidR="003B369B" w:rsidRPr="00B2299C">
        <w:rPr>
          <w:rFonts w:cs="Arial"/>
        </w:rPr>
        <w:t>finishes</w:t>
      </w:r>
      <w:r w:rsidR="00260089" w:rsidRPr="00B2299C">
        <w:rPr>
          <w:rFonts w:cs="Arial"/>
        </w:rPr>
        <w:t xml:space="preserve"> at the bottom right of a long document.  </w:t>
      </w:r>
    </w:p>
    <w:p w14:paraId="6CE9B4A1" w14:textId="77777777" w:rsidR="004C0D38" w:rsidRPr="00EF56D0" w:rsidRDefault="004C0D38" w:rsidP="00EF56D0">
      <w:pPr>
        <w:rPr>
          <w:rFonts w:cs="Arial"/>
        </w:rPr>
      </w:pPr>
    </w:p>
    <w:p w14:paraId="5CC37780" w14:textId="09E1AED8" w:rsidR="00EF56D0" w:rsidRDefault="00EF56D0" w:rsidP="00EF56D0">
      <w:pPr>
        <w:rPr>
          <w:rFonts w:cs="Arial"/>
        </w:rPr>
      </w:pPr>
      <w:r w:rsidRPr="00EF56D0">
        <w:rPr>
          <w:rFonts w:cs="Arial"/>
        </w:rPr>
        <w:t xml:space="preserve">EBA’s recent </w:t>
      </w:r>
      <w:hyperlink r:id="rId28" w:history="1">
        <w:r w:rsidRPr="004C0D38">
          <w:rPr>
            <w:rStyle w:val="Hyperlink"/>
            <w:rFonts w:cs="Arial"/>
          </w:rPr>
          <w:t>opinion</w:t>
        </w:r>
      </w:hyperlink>
      <w:r w:rsidRPr="00EF56D0">
        <w:rPr>
          <w:rFonts w:cs="Arial"/>
        </w:rPr>
        <w:t xml:space="preserve"> on possible amendments to the Distance Marketing Directive requests that </w:t>
      </w:r>
      <w:r w:rsidRPr="00EF56D0">
        <w:rPr>
          <w:rFonts w:cs="Arial"/>
          <w:i/>
        </w:rPr>
        <w:t>“information should be presented in plain and intelligible language and in a readable font size, which should easily adapt to work on any kind of device”</w:t>
      </w:r>
      <w:r w:rsidRPr="00EF56D0">
        <w:rPr>
          <w:rFonts w:cs="Arial"/>
        </w:rPr>
        <w:t xml:space="preserve">. </w:t>
      </w:r>
      <w:r w:rsidR="004C0D38">
        <w:rPr>
          <w:rFonts w:cs="Arial"/>
        </w:rPr>
        <w:t xml:space="preserve">Moreover, </w:t>
      </w:r>
      <w:r w:rsidRPr="00EF56D0">
        <w:rPr>
          <w:rFonts w:cs="Arial"/>
        </w:rPr>
        <w:t xml:space="preserve">IOSCO </w:t>
      </w:r>
      <w:hyperlink r:id="rId29" w:history="1">
        <w:r w:rsidRPr="004C0D38">
          <w:rPr>
            <w:rStyle w:val="Hyperlink"/>
            <w:rFonts w:cs="Arial"/>
          </w:rPr>
          <w:t>stressed</w:t>
        </w:r>
      </w:hyperlink>
      <w:r w:rsidRPr="00EF56D0">
        <w:rPr>
          <w:rFonts w:cs="Arial"/>
        </w:rPr>
        <w:t xml:space="preserve"> that regulators need to account for the fact that more people now make their investments in an online environment and that this differs from the, so far, more traditional means of disclosure. </w:t>
      </w:r>
    </w:p>
    <w:p w14:paraId="51CC62CF" w14:textId="77777777" w:rsidR="00C40986" w:rsidRDefault="00C40986" w:rsidP="00EF56D0">
      <w:pPr>
        <w:rPr>
          <w:rFonts w:cs="Arial"/>
        </w:rPr>
      </w:pPr>
    </w:p>
    <w:p w14:paraId="28F77BF6" w14:textId="77777777" w:rsidR="004C0D38" w:rsidRPr="00EF56D0" w:rsidRDefault="004C0D38" w:rsidP="00EF56D0">
      <w:pPr>
        <w:rPr>
          <w:rFonts w:cs="Arial"/>
        </w:rPr>
      </w:pPr>
      <w:r>
        <w:rPr>
          <w:rFonts w:cs="Arial"/>
        </w:rPr>
        <w:t xml:space="preserve">That is why we very strongly agree that providing the content of the KID via an IT tool that is more interactive would be helpful for consumers in multiple ways. First, it would increase the chances that they engage with the information in the first place rather than dismiss it as </w:t>
      </w:r>
      <w:r w:rsidR="00C40986">
        <w:rPr>
          <w:rFonts w:cs="Arial"/>
        </w:rPr>
        <w:t>‘</w:t>
      </w:r>
      <w:r>
        <w:rPr>
          <w:rFonts w:cs="Arial"/>
        </w:rPr>
        <w:t>small print</w:t>
      </w:r>
      <w:r w:rsidR="00C40986">
        <w:rPr>
          <w:rFonts w:cs="Arial"/>
        </w:rPr>
        <w:t>’</w:t>
      </w:r>
      <w:r>
        <w:rPr>
          <w:rFonts w:cs="Arial"/>
        </w:rPr>
        <w:t xml:space="preserve">. Second, it could serve as a means to keep consumers up-to-date and engage them throughout the holding period. Third, it could facilitate the development of online comparison tools that are based on regulated disclosures. </w:t>
      </w:r>
    </w:p>
    <w:p w14:paraId="395B6143" w14:textId="77777777" w:rsidR="0057553D" w:rsidRPr="002B3EAC" w:rsidRDefault="0057553D" w:rsidP="0057553D">
      <w:pPr>
        <w:rPr>
          <w:rFonts w:cs="Arial"/>
        </w:rPr>
      </w:pPr>
    </w:p>
    <w:p w14:paraId="01AF1977" w14:textId="7D1D194B" w:rsidR="000A3227" w:rsidRDefault="0057553D" w:rsidP="003E573C">
      <w:pPr>
        <w:rPr>
          <w:rFonts w:cs="Arial"/>
        </w:rPr>
      </w:pPr>
      <w:r w:rsidRPr="000A3227">
        <w:rPr>
          <w:rFonts w:cs="Arial"/>
        </w:rPr>
        <w:t xml:space="preserve">Having said that, </w:t>
      </w:r>
      <w:r w:rsidR="001D53B9">
        <w:rPr>
          <w:rFonts w:cs="Arial"/>
        </w:rPr>
        <w:t>the development of online interfaces is not going to help where the content is misleading or unusable. Hence, amending the Regulation to allow the use of IT</w:t>
      </w:r>
      <w:r w:rsidRPr="000A3227">
        <w:rPr>
          <w:rFonts w:cs="Arial"/>
        </w:rPr>
        <w:t xml:space="preserve"> tools </w:t>
      </w:r>
      <w:r w:rsidR="001D53B9">
        <w:rPr>
          <w:rFonts w:cs="Arial"/>
        </w:rPr>
        <w:t xml:space="preserve">is not going to help address the </w:t>
      </w:r>
      <w:r w:rsidR="001D53B9">
        <w:rPr>
          <w:rFonts w:cs="Arial"/>
        </w:rPr>
        <w:lastRenderedPageBreak/>
        <w:t>known issues with the actual content of the PRIIP KID</w:t>
      </w:r>
      <w:r w:rsidR="005E22BB">
        <w:rPr>
          <w:rFonts w:cs="Arial"/>
        </w:rPr>
        <w:t xml:space="preserve"> that are discussed in this consultation paper</w:t>
      </w:r>
      <w:r w:rsidR="001D53B9">
        <w:rPr>
          <w:rFonts w:cs="Arial"/>
        </w:rPr>
        <w:t xml:space="preserve">. On the contrary, if </w:t>
      </w:r>
      <w:r w:rsidRPr="000A3227">
        <w:rPr>
          <w:rFonts w:cs="Arial"/>
        </w:rPr>
        <w:t xml:space="preserve">we anticipate that </w:t>
      </w:r>
      <w:r w:rsidR="001D53B9">
        <w:rPr>
          <w:rFonts w:cs="Arial"/>
        </w:rPr>
        <w:t>consumers</w:t>
      </w:r>
      <w:r w:rsidRPr="000A3227">
        <w:rPr>
          <w:rFonts w:cs="Arial"/>
        </w:rPr>
        <w:t xml:space="preserve"> will engage more with the information if it is in a digital form, then it is even more imperative to fix the content</w:t>
      </w:r>
      <w:r w:rsidR="001D53B9">
        <w:rPr>
          <w:rFonts w:cs="Arial"/>
        </w:rPr>
        <w:t xml:space="preserve"> now.</w:t>
      </w:r>
    </w:p>
    <w:permEnd w:id="528221304"/>
    <w:p w14:paraId="3570A0B4" w14:textId="77777777" w:rsidR="003E573C" w:rsidRDefault="003E573C" w:rsidP="003E573C">
      <w:pPr>
        <w:rPr>
          <w:rFonts w:cs="Arial"/>
        </w:rPr>
      </w:pPr>
      <w:r>
        <w:rPr>
          <w:rFonts w:cs="Arial"/>
        </w:rPr>
        <w:t>&lt;ESA_QUESTION_PKID_2&gt;</w:t>
      </w:r>
    </w:p>
    <w:p w14:paraId="3CD1F541" w14:textId="77777777" w:rsidR="003E573C" w:rsidRDefault="003E573C" w:rsidP="003E573C">
      <w:pPr>
        <w:rPr>
          <w:rFonts w:cs="Arial"/>
        </w:rPr>
      </w:pPr>
    </w:p>
    <w:p w14:paraId="5DBAA39D"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C23B88B" w14:textId="77777777" w:rsidR="003E573C" w:rsidRDefault="003E573C" w:rsidP="003E573C">
      <w:pPr>
        <w:rPr>
          <w:rFonts w:cs="Arial"/>
        </w:rPr>
      </w:pPr>
      <w:r>
        <w:rPr>
          <w:rFonts w:cs="Arial"/>
        </w:rPr>
        <w:t>&lt;ESA_QUESTION_PKID_3&gt;</w:t>
      </w:r>
    </w:p>
    <w:p w14:paraId="7B12EEE7" w14:textId="7E8D262C" w:rsidR="005E22BB" w:rsidRDefault="00F80E7F" w:rsidP="005E22BB">
      <w:pPr>
        <w:rPr>
          <w:rFonts w:cs="Arial"/>
        </w:rPr>
      </w:pPr>
      <w:permStart w:id="1494490068" w:edGrp="everyone"/>
      <w:r>
        <w:rPr>
          <w:rFonts w:cs="Arial"/>
        </w:rPr>
        <w:t xml:space="preserve">We recognise that there are currently misleading KIDs in circulation for PRIIPs other than UCITS. This is the result of disclosure requirements that had not been thoroughly thought through. Which is why it is imperative that the same mistake does not happen twice. </w:t>
      </w:r>
      <w:r w:rsidR="000347A5">
        <w:rPr>
          <w:rFonts w:cs="Arial"/>
        </w:rPr>
        <w:t xml:space="preserve">This is particularly important as the ESAs note in several places in the consultation paper that the proposals presented (even if some of them are flagged as the </w:t>
      </w:r>
      <w:r w:rsidR="000347A5" w:rsidRPr="000347A5">
        <w:rPr>
          <w:rFonts w:cs="Arial"/>
          <w:i/>
        </w:rPr>
        <w:t>“preferred options”</w:t>
      </w:r>
      <w:r w:rsidR="000347A5">
        <w:rPr>
          <w:rFonts w:cs="Arial"/>
        </w:rPr>
        <w:t>) have not been thoroughly tested, and issues may arise again. Regulators could make good use of any additional time to test and review what the new disclosures would look like and how consumers may react to them</w:t>
      </w:r>
      <w:r>
        <w:rPr>
          <w:rFonts w:cs="Arial"/>
        </w:rPr>
        <w:t xml:space="preserve"> rather than implement changes to existing PRIIPs, realise there are still issues and then carry out a further wave of changes</w:t>
      </w:r>
      <w:r w:rsidR="005E22BB">
        <w:rPr>
          <w:rFonts w:cs="Arial"/>
        </w:rPr>
        <w:t>.</w:t>
      </w:r>
      <w:r w:rsidR="005E22BB" w:rsidRPr="005E22BB">
        <w:rPr>
          <w:rFonts w:cs="Arial"/>
        </w:rPr>
        <w:t xml:space="preserve"> </w:t>
      </w:r>
    </w:p>
    <w:p w14:paraId="07FE5F12" w14:textId="77777777" w:rsidR="005E22BB" w:rsidRDefault="005E22BB" w:rsidP="005E22BB">
      <w:pPr>
        <w:rPr>
          <w:rFonts w:cs="Arial"/>
        </w:rPr>
      </w:pPr>
    </w:p>
    <w:p w14:paraId="3D1ECB62" w14:textId="4AD03A48" w:rsidR="000A3227" w:rsidRDefault="005E22BB" w:rsidP="003E573C">
      <w:pPr>
        <w:rPr>
          <w:rFonts w:cs="Arial"/>
        </w:rPr>
      </w:pPr>
      <w:r>
        <w:rPr>
          <w:rFonts w:cs="Arial"/>
        </w:rPr>
        <w:t xml:space="preserve">Taking a piecemeal approach to implementing changes in the PRIIP KID is not going to be helpful for consumers as it may confuse them and reduce confidence in the reliability and usability of the KID as a source of important information. </w:t>
      </w:r>
      <w:r w:rsidR="000A3227" w:rsidRPr="000A3227">
        <w:rPr>
          <w:rFonts w:cs="Arial"/>
        </w:rPr>
        <w:t xml:space="preserve"> </w:t>
      </w:r>
    </w:p>
    <w:permEnd w:id="1494490068"/>
    <w:p w14:paraId="616D3974" w14:textId="77777777" w:rsidR="003E573C" w:rsidRDefault="003E573C" w:rsidP="003E573C">
      <w:pPr>
        <w:rPr>
          <w:rFonts w:cs="Arial"/>
        </w:rPr>
      </w:pPr>
      <w:r>
        <w:rPr>
          <w:rFonts w:cs="Arial"/>
        </w:rPr>
        <w:t>&lt;ESA_QUESTION_PKID_3&gt;</w:t>
      </w:r>
    </w:p>
    <w:p w14:paraId="36420297" w14:textId="77777777" w:rsidR="003E573C" w:rsidRDefault="003E573C" w:rsidP="003E573C">
      <w:pPr>
        <w:rPr>
          <w:rFonts w:cs="Arial"/>
        </w:rPr>
      </w:pPr>
    </w:p>
    <w:p w14:paraId="1D6A2077"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0B6C4542" w14:textId="77777777" w:rsidR="003E573C" w:rsidRDefault="003E573C" w:rsidP="003E573C">
      <w:pPr>
        <w:rPr>
          <w:rFonts w:cs="Arial"/>
        </w:rPr>
      </w:pPr>
      <w:r>
        <w:rPr>
          <w:rFonts w:cs="Arial"/>
        </w:rPr>
        <w:t>&lt;ESA_QUESTION_PKID_4&gt;</w:t>
      </w:r>
    </w:p>
    <w:p w14:paraId="53A9A827" w14:textId="77777777" w:rsidR="00D3360E" w:rsidRPr="000A3227" w:rsidRDefault="008B0994" w:rsidP="000A3227">
      <w:pPr>
        <w:rPr>
          <w:rFonts w:cs="Arial"/>
        </w:rPr>
      </w:pPr>
      <w:permStart w:id="1907954081" w:edGrp="everyone"/>
      <w:r>
        <w:rPr>
          <w:rFonts w:cs="Arial"/>
        </w:rPr>
        <w:t xml:space="preserve">As in our response to Question 3, </w:t>
      </w:r>
      <w:r w:rsidR="00D3360E">
        <w:rPr>
          <w:rFonts w:cs="Arial"/>
        </w:rPr>
        <w:t xml:space="preserve">we do not consider that a gradual approach is going to be particularly helpful to consumers. Implementing all changes at once at the beginning of </w:t>
      </w:r>
      <w:r w:rsidR="00D3360E" w:rsidRPr="00B2299C">
        <w:rPr>
          <w:rFonts w:cs="Arial"/>
        </w:rPr>
        <w:t>2022</w:t>
      </w:r>
      <w:r w:rsidR="00996B67" w:rsidRPr="00B2299C">
        <w:rPr>
          <w:rFonts w:cs="Arial"/>
        </w:rPr>
        <w:t xml:space="preserve"> with sufficient time to adapt to the new changes</w:t>
      </w:r>
      <w:r w:rsidR="00D3360E" w:rsidRPr="00B2299C">
        <w:rPr>
          <w:rFonts w:cs="Arial"/>
        </w:rPr>
        <w:t xml:space="preserve"> is going </w:t>
      </w:r>
      <w:r w:rsidR="00D3360E">
        <w:rPr>
          <w:rFonts w:cs="Arial"/>
        </w:rPr>
        <w:t>to be more conducive for consistency.</w:t>
      </w:r>
    </w:p>
    <w:permEnd w:id="1907954081"/>
    <w:p w14:paraId="2EA4BC55" w14:textId="77777777" w:rsidR="003E573C" w:rsidRDefault="003E573C" w:rsidP="003E573C">
      <w:pPr>
        <w:rPr>
          <w:rFonts w:cs="Arial"/>
        </w:rPr>
      </w:pPr>
      <w:r>
        <w:rPr>
          <w:rFonts w:cs="Arial"/>
        </w:rPr>
        <w:t>&lt;ESA_QUESTION_PKID_4&gt;</w:t>
      </w:r>
    </w:p>
    <w:p w14:paraId="00D9CC65" w14:textId="77777777" w:rsidR="003E573C" w:rsidRDefault="003E573C" w:rsidP="003E573C">
      <w:pPr>
        <w:rPr>
          <w:rFonts w:cs="Arial"/>
        </w:rPr>
      </w:pPr>
    </w:p>
    <w:p w14:paraId="3E82E50E"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3E9A23ED" w14:textId="77777777" w:rsidR="003E573C" w:rsidRDefault="003E573C" w:rsidP="003E573C">
      <w:pPr>
        <w:rPr>
          <w:rFonts w:cs="Arial"/>
        </w:rPr>
      </w:pPr>
      <w:r>
        <w:rPr>
          <w:rFonts w:cs="Arial"/>
        </w:rPr>
        <w:t>&lt;ESA_QUESTION_PKID_5&gt;</w:t>
      </w:r>
    </w:p>
    <w:p w14:paraId="0462A0B4" w14:textId="77777777" w:rsidR="005E22BB" w:rsidRDefault="00F80E7F" w:rsidP="003E573C">
      <w:pPr>
        <w:rPr>
          <w:rFonts w:cs="Arial"/>
        </w:rPr>
      </w:pPr>
      <w:permStart w:id="1934886144" w:edGrp="everyone"/>
      <w:r>
        <w:rPr>
          <w:rFonts w:cs="Arial"/>
        </w:rPr>
        <w:t xml:space="preserve">We consider that there are material issues and that resolving these would require a change in the PRIIPs Regulation and not just the PRIIPs Delegated Regulation. </w:t>
      </w:r>
      <w:r w:rsidR="00364756">
        <w:rPr>
          <w:rFonts w:cs="Arial"/>
        </w:rPr>
        <w:t>For example, the 3-page limit in Article 6(4) is going to be a considerable challenge if</w:t>
      </w:r>
      <w:r w:rsidR="005E22BB">
        <w:rPr>
          <w:rFonts w:cs="Arial"/>
        </w:rPr>
        <w:t>:</w:t>
      </w:r>
    </w:p>
    <w:p w14:paraId="649EB4D5" w14:textId="77777777" w:rsidR="005E22BB" w:rsidRDefault="00364756" w:rsidP="005E22BB">
      <w:pPr>
        <w:pStyle w:val="BulletedtextRegularB17"/>
        <w:ind w:left="357" w:hanging="357"/>
      </w:pPr>
      <w:r>
        <w:t>at least some types of PRIIPs will be required to present past performance and future scenarios</w:t>
      </w:r>
    </w:p>
    <w:p w14:paraId="67534670" w14:textId="77777777" w:rsidR="005E22BB" w:rsidRDefault="00364756" w:rsidP="005E22BB">
      <w:pPr>
        <w:pStyle w:val="BulletedtextRegularB17"/>
        <w:ind w:left="357" w:hanging="357"/>
      </w:pPr>
      <w:r>
        <w:t>all PRIIPs</w:t>
      </w:r>
      <w:r w:rsidR="005E22BB">
        <w:t xml:space="preserve"> have to add new information</w:t>
      </w:r>
      <w:r>
        <w:t xml:space="preserve"> in light of the new sustainability disclosure regulation. </w:t>
      </w:r>
    </w:p>
    <w:p w14:paraId="385A9C3E" w14:textId="77777777" w:rsidR="005E22BB" w:rsidRDefault="005E22BB" w:rsidP="003E573C">
      <w:pPr>
        <w:rPr>
          <w:rFonts w:cs="Arial"/>
        </w:rPr>
      </w:pPr>
    </w:p>
    <w:p w14:paraId="3A61183C" w14:textId="640B1102" w:rsidR="00364756" w:rsidRPr="00B2299C" w:rsidRDefault="00364756" w:rsidP="003E573C">
      <w:pPr>
        <w:rPr>
          <w:rFonts w:cs="Arial"/>
        </w:rPr>
      </w:pPr>
      <w:r>
        <w:rPr>
          <w:rFonts w:cs="Arial"/>
        </w:rPr>
        <w:t xml:space="preserve">Another example is the interpretation of </w:t>
      </w:r>
      <w:r w:rsidRPr="00364756">
        <w:rPr>
          <w:rFonts w:cs="Arial"/>
          <w:i/>
        </w:rPr>
        <w:t xml:space="preserve">“appropriate </w:t>
      </w:r>
      <w:r w:rsidR="005E22BB">
        <w:rPr>
          <w:rFonts w:cs="Arial"/>
          <w:i/>
        </w:rPr>
        <w:t xml:space="preserve">performance </w:t>
      </w:r>
      <w:r w:rsidRPr="00364756">
        <w:rPr>
          <w:rFonts w:cs="Arial"/>
          <w:i/>
        </w:rPr>
        <w:t>scenarios”</w:t>
      </w:r>
      <w:r>
        <w:rPr>
          <w:rFonts w:cs="Arial"/>
        </w:rPr>
        <w:t xml:space="preserve"> in Article 8(3)(d)(iii</w:t>
      </w:r>
      <w:r w:rsidRPr="00B2299C">
        <w:rPr>
          <w:rFonts w:cs="Arial"/>
        </w:rPr>
        <w:t xml:space="preserve">) </w:t>
      </w:r>
      <w:r w:rsidR="00996B67" w:rsidRPr="00B2299C">
        <w:rPr>
          <w:rFonts w:cs="Arial"/>
        </w:rPr>
        <w:t xml:space="preserve">which </w:t>
      </w:r>
      <w:r w:rsidR="003B369B" w:rsidRPr="00B2299C">
        <w:rPr>
          <w:rFonts w:cs="Arial"/>
        </w:rPr>
        <w:t>currently is interpreted to strictly mean</w:t>
      </w:r>
      <w:r w:rsidR="00996B67" w:rsidRPr="00B2299C">
        <w:rPr>
          <w:rFonts w:cs="Arial"/>
        </w:rPr>
        <w:t xml:space="preserve"> “future” scenarios, but this need not be the case.  </w:t>
      </w:r>
    </w:p>
    <w:p w14:paraId="39EB872B" w14:textId="77777777" w:rsidR="00364756" w:rsidRDefault="00364756" w:rsidP="003E573C">
      <w:pPr>
        <w:rPr>
          <w:rFonts w:cs="Arial"/>
        </w:rPr>
      </w:pPr>
    </w:p>
    <w:p w14:paraId="1BAD6081" w14:textId="7C6DAA1E" w:rsidR="000A3227" w:rsidRDefault="005E22BB" w:rsidP="003E573C">
      <w:pPr>
        <w:rPr>
          <w:rFonts w:cs="Arial"/>
        </w:rPr>
      </w:pPr>
      <w:r>
        <w:rPr>
          <w:rFonts w:cs="Arial"/>
        </w:rPr>
        <w:t>G</w:t>
      </w:r>
      <w:r w:rsidR="000A3227" w:rsidRPr="000A3227">
        <w:rPr>
          <w:rFonts w:cs="Arial"/>
        </w:rPr>
        <w:t xml:space="preserve">iven that the consultation </w:t>
      </w:r>
      <w:r w:rsidR="00364756">
        <w:rPr>
          <w:rFonts w:cs="Arial"/>
        </w:rPr>
        <w:t xml:space="preserve">paper </w:t>
      </w:r>
      <w:r w:rsidR="000A3227" w:rsidRPr="000A3227">
        <w:rPr>
          <w:rFonts w:cs="Arial"/>
        </w:rPr>
        <w:t xml:space="preserve">is limited </w:t>
      </w:r>
      <w:r w:rsidR="008955C8">
        <w:rPr>
          <w:rFonts w:cs="Arial"/>
        </w:rPr>
        <w:t>to changes in the Delegated Regulation</w:t>
      </w:r>
      <w:r w:rsidR="000A3227" w:rsidRPr="000A3227">
        <w:rPr>
          <w:rFonts w:cs="Arial"/>
        </w:rPr>
        <w:t>,</w:t>
      </w:r>
      <w:r w:rsidR="008955C8">
        <w:rPr>
          <w:rFonts w:cs="Arial"/>
        </w:rPr>
        <w:t xml:space="preserve"> it is the limited scope itself that needs to be addressed</w:t>
      </w:r>
      <w:r w:rsidR="000A3227" w:rsidRPr="000A3227">
        <w:rPr>
          <w:rFonts w:cs="Arial"/>
        </w:rPr>
        <w:t>.</w:t>
      </w:r>
    </w:p>
    <w:permEnd w:id="1934886144"/>
    <w:p w14:paraId="655BED35" w14:textId="77777777" w:rsidR="003E573C" w:rsidRDefault="003E573C" w:rsidP="003E573C">
      <w:pPr>
        <w:rPr>
          <w:rFonts w:cs="Arial"/>
        </w:rPr>
      </w:pPr>
      <w:r>
        <w:rPr>
          <w:rFonts w:cs="Arial"/>
        </w:rPr>
        <w:t>&lt;ESA_QUESTION_PKID_5&gt;</w:t>
      </w:r>
    </w:p>
    <w:p w14:paraId="12A7FAE0" w14:textId="77777777" w:rsidR="003E573C" w:rsidRDefault="003E573C" w:rsidP="003E573C">
      <w:pPr>
        <w:rPr>
          <w:rFonts w:cs="Arial"/>
        </w:rPr>
      </w:pPr>
    </w:p>
    <w:p w14:paraId="51501713"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08921A7C" w14:textId="77777777" w:rsidR="003E573C" w:rsidRDefault="003E573C" w:rsidP="003E573C">
      <w:pPr>
        <w:rPr>
          <w:rFonts w:cs="Arial"/>
        </w:rPr>
      </w:pPr>
      <w:r>
        <w:rPr>
          <w:rFonts w:cs="Arial"/>
        </w:rPr>
        <w:lastRenderedPageBreak/>
        <w:t>&lt;ESA_QUESTION_PKID_6&gt;</w:t>
      </w:r>
    </w:p>
    <w:p w14:paraId="680EADB5" w14:textId="77777777" w:rsidR="00C201BF" w:rsidRPr="00C201BF" w:rsidRDefault="00C201BF" w:rsidP="00C201BF">
      <w:pPr>
        <w:rPr>
          <w:rFonts w:cs="Arial"/>
        </w:rPr>
      </w:pPr>
      <w:permStart w:id="1112350973" w:edGrp="everyone"/>
      <w:r>
        <w:rPr>
          <w:rFonts w:cs="Arial"/>
        </w:rPr>
        <w:t xml:space="preserve">Schroders agrees with the remarks made by the ESAs in their two letters to the European Commission (the </w:t>
      </w:r>
      <w:hyperlink r:id="rId30" w:history="1">
        <w:r w:rsidRPr="00C201BF">
          <w:rPr>
            <w:rStyle w:val="Hyperlink"/>
            <w:rFonts w:cs="Arial"/>
          </w:rPr>
          <w:t>first one</w:t>
        </w:r>
      </w:hyperlink>
      <w:r>
        <w:rPr>
          <w:rFonts w:cs="Arial"/>
        </w:rPr>
        <w:t xml:space="preserve"> dated 23 May 2019 and the </w:t>
      </w:r>
      <w:hyperlink r:id="rId31" w:history="1">
        <w:r w:rsidRPr="00C201BF">
          <w:rPr>
            <w:rStyle w:val="Hyperlink"/>
            <w:rFonts w:cs="Arial"/>
          </w:rPr>
          <w:t>second one</w:t>
        </w:r>
      </w:hyperlink>
      <w:r>
        <w:rPr>
          <w:rFonts w:cs="Arial"/>
        </w:rPr>
        <w:t xml:space="preserve"> dated 30 July 2019) on the content of this consumer research, and particularly with the comments to </w:t>
      </w:r>
      <w:r w:rsidRPr="00C201BF">
        <w:rPr>
          <w:rFonts w:cs="Arial"/>
          <w:i/>
        </w:rPr>
        <w:t>“keep more options open to test consumer understanding of various presentations and where consumer preferences really lie”</w:t>
      </w:r>
      <w:r>
        <w:rPr>
          <w:rFonts w:cs="Arial"/>
        </w:rPr>
        <w:t xml:space="preserve"> and that </w:t>
      </w:r>
      <w:r w:rsidRPr="00C201BF">
        <w:rPr>
          <w:rFonts w:cs="Arial"/>
          <w:i/>
        </w:rPr>
        <w:t>“the limitation of the scope of the exercise [is viewed] as a significant missed opportunity</w:t>
      </w:r>
      <w:r>
        <w:rPr>
          <w:rFonts w:cs="Arial"/>
          <w:i/>
        </w:rPr>
        <w:t>… which can weaken our ability to take informed policy decisions to ensure that investors receive meaningful information</w:t>
      </w:r>
      <w:r w:rsidRPr="00C201BF">
        <w:rPr>
          <w:rFonts w:cs="Arial"/>
          <w:i/>
        </w:rPr>
        <w:t>”</w:t>
      </w:r>
      <w:r>
        <w:rPr>
          <w:rFonts w:cs="Arial"/>
        </w:rPr>
        <w:t xml:space="preserve">. </w:t>
      </w:r>
    </w:p>
    <w:p w14:paraId="162AEE78" w14:textId="77777777" w:rsidR="00C201BF" w:rsidRDefault="00C201BF" w:rsidP="003E573C">
      <w:pPr>
        <w:rPr>
          <w:rFonts w:cs="Arial"/>
        </w:rPr>
      </w:pPr>
    </w:p>
    <w:p w14:paraId="080B32C9" w14:textId="77777777" w:rsidR="00C201BF" w:rsidRDefault="007C2541" w:rsidP="003E573C">
      <w:pPr>
        <w:rPr>
          <w:rFonts w:cs="Arial"/>
        </w:rPr>
      </w:pPr>
      <w:r>
        <w:rPr>
          <w:rFonts w:cs="Arial"/>
        </w:rPr>
        <w:t>We view this as a missed opportunity indeed</w:t>
      </w:r>
      <w:r w:rsidR="00EF1CBA">
        <w:rPr>
          <w:rFonts w:cs="Arial"/>
        </w:rPr>
        <w:t xml:space="preserve"> for two reasons. First,</w:t>
      </w:r>
      <w:r>
        <w:rPr>
          <w:rFonts w:cs="Arial"/>
        </w:rPr>
        <w:t xml:space="preserve"> </w:t>
      </w:r>
      <w:r w:rsidR="00EF1CBA">
        <w:rPr>
          <w:rFonts w:cs="Arial"/>
        </w:rPr>
        <w:t xml:space="preserve">some of the proposals in the consultation paper are not going to be tested. For example, how well do consumers understand </w:t>
      </w:r>
      <w:r w:rsidR="0053138E">
        <w:rPr>
          <w:rFonts w:cs="Arial"/>
        </w:rPr>
        <w:t xml:space="preserve">the new </w:t>
      </w:r>
      <w:r w:rsidR="00EF1CBA">
        <w:rPr>
          <w:rFonts w:cs="Arial"/>
        </w:rPr>
        <w:t xml:space="preserve">probabilistic scenarios and how do they react once they see a range of outcomes that doesn’t vary year-on-year whereas their real outcome does? Second, </w:t>
      </w:r>
      <w:r>
        <w:rPr>
          <w:rFonts w:cs="Arial"/>
        </w:rPr>
        <w:t>several options that we consider to be meaningful</w:t>
      </w:r>
      <w:r w:rsidR="00EF1CBA">
        <w:rPr>
          <w:rFonts w:cs="Arial"/>
        </w:rPr>
        <w:t xml:space="preserve">, </w:t>
      </w:r>
      <w:r>
        <w:rPr>
          <w:rFonts w:cs="Arial"/>
        </w:rPr>
        <w:t>such as presenting costs in a MiFID II consistent way or having different types of performance disclosure for different types o</w:t>
      </w:r>
      <w:r w:rsidR="00EF1CBA">
        <w:rPr>
          <w:rFonts w:cs="Arial"/>
        </w:rPr>
        <w:t>f PRIIPs,</w:t>
      </w:r>
      <w:r>
        <w:rPr>
          <w:rFonts w:cs="Arial"/>
        </w:rPr>
        <w:t xml:space="preserve"> will not be part of the consumer testing</w:t>
      </w:r>
      <w:r w:rsidR="00EF1CBA">
        <w:rPr>
          <w:rFonts w:cs="Arial"/>
        </w:rPr>
        <w:t xml:space="preserve"> at all</w:t>
      </w:r>
      <w:r>
        <w:rPr>
          <w:rFonts w:cs="Arial"/>
        </w:rPr>
        <w:t>. This is frustrating, not least because:</w:t>
      </w:r>
    </w:p>
    <w:p w14:paraId="30A7FD8C" w14:textId="77777777" w:rsidR="007C2541" w:rsidRDefault="007C2541" w:rsidP="00F51E97">
      <w:pPr>
        <w:pStyle w:val="ListParagraph"/>
        <w:numPr>
          <w:ilvl w:val="0"/>
          <w:numId w:val="40"/>
        </w:numPr>
        <w:rPr>
          <w:rFonts w:cs="Arial"/>
        </w:rPr>
      </w:pPr>
      <w:r>
        <w:rPr>
          <w:rFonts w:cs="Arial"/>
        </w:rPr>
        <w:t xml:space="preserve">Considerable changes are being proposed on cost presentation but </w:t>
      </w:r>
      <w:r w:rsidR="00EF1CBA">
        <w:rPr>
          <w:rFonts w:cs="Arial"/>
        </w:rPr>
        <w:t>the consumer testing looks only at performance presentation.</w:t>
      </w:r>
    </w:p>
    <w:p w14:paraId="37B6A400" w14:textId="77777777" w:rsidR="007C2541" w:rsidRDefault="007C2541" w:rsidP="00F51E97">
      <w:pPr>
        <w:pStyle w:val="ListParagraph"/>
        <w:numPr>
          <w:ilvl w:val="0"/>
          <w:numId w:val="40"/>
        </w:numPr>
        <w:rPr>
          <w:rFonts w:cs="Arial"/>
        </w:rPr>
      </w:pPr>
      <w:r>
        <w:rPr>
          <w:rFonts w:cs="Arial"/>
        </w:rPr>
        <w:t xml:space="preserve">Aspects of performance disclosure that are being tested, have already been subject to the </w:t>
      </w:r>
      <w:hyperlink r:id="rId32" w:history="1">
        <w:r w:rsidRPr="007C2541">
          <w:rPr>
            <w:rStyle w:val="Hyperlink"/>
            <w:rFonts w:cs="Arial"/>
          </w:rPr>
          <w:t>initial consumer research</w:t>
        </w:r>
      </w:hyperlink>
      <w:r w:rsidR="00CD1BE1">
        <w:rPr>
          <w:rFonts w:cs="Arial"/>
        </w:rPr>
        <w:t xml:space="preserve">, including the option to show one instead of three holding periods and the option to attach estimated probabilities. </w:t>
      </w:r>
    </w:p>
    <w:p w14:paraId="74BE5A0E" w14:textId="77777777" w:rsidR="00CD1BE1" w:rsidRDefault="00CD1BE1" w:rsidP="003E573C">
      <w:pPr>
        <w:rPr>
          <w:rFonts w:cs="Arial"/>
        </w:rPr>
      </w:pPr>
      <w:r>
        <w:rPr>
          <w:rFonts w:cs="Arial"/>
        </w:rPr>
        <w:t>It is not clear why points for which consumer research has already been carried out are included again, while other issues that are much more important, such as cost disclosure, are not.</w:t>
      </w:r>
    </w:p>
    <w:p w14:paraId="4591C4EB" w14:textId="77777777" w:rsidR="00CD1BE1" w:rsidRDefault="00CD1BE1" w:rsidP="003E573C">
      <w:pPr>
        <w:rPr>
          <w:rFonts w:cs="Arial"/>
        </w:rPr>
      </w:pPr>
    </w:p>
    <w:p w14:paraId="043C52B4" w14:textId="77777777" w:rsidR="000A3227" w:rsidRDefault="00CD1BE1" w:rsidP="003E573C">
      <w:pPr>
        <w:rPr>
          <w:rFonts w:cs="Arial"/>
        </w:rPr>
      </w:pPr>
      <w:r>
        <w:rPr>
          <w:rFonts w:cs="Arial"/>
        </w:rPr>
        <w:t>The fact that the consumer research is going to be completed only after this consultation will be closed, makes it impossible to comment on the results or even use any insights that may be gained from this exercise in responding. The consumer testing results may even render some of the proposals in the consultation paper</w:t>
      </w:r>
      <w:r w:rsidR="00EF1CBA">
        <w:rPr>
          <w:rFonts w:cs="Arial"/>
        </w:rPr>
        <w:t xml:space="preserve"> </w:t>
      </w:r>
      <w:r>
        <w:rPr>
          <w:rFonts w:cs="Arial"/>
        </w:rPr>
        <w:t>entirely redundant.</w:t>
      </w:r>
    </w:p>
    <w:p w14:paraId="193D6303" w14:textId="77777777" w:rsidR="00840312" w:rsidRDefault="00840312" w:rsidP="003E573C">
      <w:pPr>
        <w:rPr>
          <w:rFonts w:cs="Arial"/>
        </w:rPr>
      </w:pPr>
    </w:p>
    <w:p w14:paraId="630C3697" w14:textId="77777777" w:rsidR="00840312" w:rsidRDefault="00840312" w:rsidP="003E573C">
      <w:pPr>
        <w:rPr>
          <w:rFonts w:cs="Arial"/>
        </w:rPr>
      </w:pPr>
      <w:r>
        <w:rPr>
          <w:rFonts w:cs="Arial"/>
        </w:rPr>
        <w:t>Beyond this, considering the options outlined on page 12 of the consultation paper, we think that inclusion of past performance should be part of the research and that the research should explore a number of points:</w:t>
      </w:r>
    </w:p>
    <w:p w14:paraId="66972A27" w14:textId="148A9A0B" w:rsidR="00840312" w:rsidRPr="00840312" w:rsidRDefault="00840312" w:rsidP="00F51E97">
      <w:pPr>
        <w:pStyle w:val="ListParagraph"/>
        <w:numPr>
          <w:ilvl w:val="0"/>
          <w:numId w:val="42"/>
        </w:numPr>
        <w:rPr>
          <w:rFonts w:cs="Arial"/>
        </w:rPr>
      </w:pPr>
      <w:r w:rsidRPr="00840312">
        <w:rPr>
          <w:rFonts w:cs="Arial"/>
        </w:rPr>
        <w:t>Are consumers confused by the combination of the two</w:t>
      </w:r>
      <w:r w:rsidR="005E22BB">
        <w:rPr>
          <w:rFonts w:cs="Arial"/>
        </w:rPr>
        <w:t>, i.e. past and future performance</w:t>
      </w:r>
      <w:r w:rsidRPr="00840312">
        <w:rPr>
          <w:rFonts w:cs="Arial"/>
        </w:rPr>
        <w:t>?</w:t>
      </w:r>
    </w:p>
    <w:p w14:paraId="5038F834" w14:textId="77777777" w:rsidR="00840312" w:rsidRPr="00840312" w:rsidRDefault="00840312" w:rsidP="00F51E97">
      <w:pPr>
        <w:pStyle w:val="ListParagraph"/>
        <w:numPr>
          <w:ilvl w:val="0"/>
          <w:numId w:val="42"/>
        </w:numPr>
        <w:rPr>
          <w:rFonts w:cs="Arial"/>
        </w:rPr>
      </w:pPr>
      <w:r w:rsidRPr="00840312">
        <w:rPr>
          <w:rFonts w:cs="Arial"/>
        </w:rPr>
        <w:t>How do consumers understand and react when the see (a) only past performance, (b) the combination, (c) only scenarios?</w:t>
      </w:r>
    </w:p>
    <w:p w14:paraId="3496BB28" w14:textId="77777777" w:rsidR="00840312" w:rsidRDefault="00840312" w:rsidP="00F51E97">
      <w:pPr>
        <w:pStyle w:val="ListParagraph"/>
        <w:numPr>
          <w:ilvl w:val="0"/>
          <w:numId w:val="42"/>
        </w:numPr>
        <w:rPr>
          <w:rFonts w:cs="Arial"/>
        </w:rPr>
      </w:pPr>
      <w:r>
        <w:rPr>
          <w:rFonts w:cs="Arial"/>
        </w:rPr>
        <w:t>Do consumers use performance for comparison across different types of PRIIPs and would different types of performance disclosure for different types of PRIIPs (but same within the same type) affect their decision making?</w:t>
      </w:r>
    </w:p>
    <w:p w14:paraId="76200AF2" w14:textId="77777777" w:rsidR="005E22BB" w:rsidRDefault="005E22BB" w:rsidP="008649D2">
      <w:pPr>
        <w:rPr>
          <w:rFonts w:cs="Arial"/>
        </w:rPr>
      </w:pPr>
    </w:p>
    <w:p w14:paraId="1596C653" w14:textId="258F7272" w:rsidR="008649D2" w:rsidRPr="008649D2" w:rsidRDefault="005E22BB" w:rsidP="008649D2">
      <w:pPr>
        <w:rPr>
          <w:rFonts w:cs="Arial"/>
        </w:rPr>
      </w:pPr>
      <w:r>
        <w:rPr>
          <w:rFonts w:cs="Arial"/>
        </w:rPr>
        <w:t>Still</w:t>
      </w:r>
      <w:r w:rsidR="008649D2">
        <w:rPr>
          <w:rFonts w:cs="Arial"/>
        </w:rPr>
        <w:t>, in light of the fact that the consumer research is run by the European Commission and has already started, it is not clear why the ESAs have chosen to invite comments about the research content in this consultation paper.</w:t>
      </w:r>
    </w:p>
    <w:permEnd w:id="1112350973"/>
    <w:p w14:paraId="54431AFE" w14:textId="77777777" w:rsidR="003E573C" w:rsidRDefault="003E573C" w:rsidP="003E573C">
      <w:pPr>
        <w:rPr>
          <w:rFonts w:cs="Arial"/>
        </w:rPr>
      </w:pPr>
      <w:r>
        <w:rPr>
          <w:rFonts w:cs="Arial"/>
        </w:rPr>
        <w:t>&lt;ESA_QUESTION_PKID_6&gt;</w:t>
      </w:r>
    </w:p>
    <w:p w14:paraId="2D6F6EFF" w14:textId="77777777" w:rsidR="003E573C" w:rsidRDefault="003E573C" w:rsidP="003E573C">
      <w:pPr>
        <w:rPr>
          <w:rFonts w:cs="Arial"/>
        </w:rPr>
      </w:pPr>
    </w:p>
    <w:p w14:paraId="2701F5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11388518" w14:textId="77777777" w:rsidR="003E573C" w:rsidRDefault="003E573C" w:rsidP="003E573C">
      <w:pPr>
        <w:rPr>
          <w:rFonts w:cs="Arial"/>
        </w:rPr>
      </w:pPr>
      <w:r>
        <w:rPr>
          <w:rFonts w:cs="Arial"/>
        </w:rPr>
        <w:t>&lt;ESA_QUESTION_PKID_7&gt;</w:t>
      </w:r>
    </w:p>
    <w:p w14:paraId="4056A344" w14:textId="77777777" w:rsidR="00372DAB" w:rsidRDefault="00372DAB" w:rsidP="003E573C">
      <w:pPr>
        <w:rPr>
          <w:rFonts w:cs="Arial"/>
        </w:rPr>
      </w:pPr>
      <w:permStart w:id="1290485358" w:edGrp="everyone"/>
      <w:r>
        <w:rPr>
          <w:rFonts w:cs="Arial"/>
        </w:rPr>
        <w:t xml:space="preserve">In regards to the first part of this question, assuming that “intermediate scenarios” means those calculated for RHP/2 (and not the moderate scenarios across different holding periods), we are of the view that they can be excluded given that the initial PRIIP KID consumer testing had indicated that there is not significant difference if consumers are presented with the scenarios for the RHP only or more periods. We consider that showing the 1 year scenarios alongside </w:t>
      </w:r>
      <w:r w:rsidRPr="00B2299C">
        <w:rPr>
          <w:rFonts w:cs="Arial"/>
        </w:rPr>
        <w:t>the RHP ones, would be helpful to indicate the consequences of an early exit</w:t>
      </w:r>
      <w:r w:rsidR="00BA3DE6" w:rsidRPr="00B2299C">
        <w:rPr>
          <w:rFonts w:cs="Arial"/>
        </w:rPr>
        <w:t xml:space="preserve"> (in particular the impact of initial charges)</w:t>
      </w:r>
      <w:r w:rsidRPr="00B2299C">
        <w:rPr>
          <w:rFonts w:cs="Arial"/>
        </w:rPr>
        <w:t>. We se</w:t>
      </w:r>
      <w:r>
        <w:rPr>
          <w:rFonts w:cs="Arial"/>
        </w:rPr>
        <w:t xml:space="preserve">e little value in doing so for only one type of PRIIPs. Such a change should apply across the board. </w:t>
      </w:r>
    </w:p>
    <w:p w14:paraId="56C22E5C" w14:textId="77777777" w:rsidR="00372DAB" w:rsidRDefault="00372DAB" w:rsidP="003E573C">
      <w:pPr>
        <w:rPr>
          <w:rFonts w:cs="Arial"/>
        </w:rPr>
      </w:pPr>
    </w:p>
    <w:p w14:paraId="72796446" w14:textId="77777777" w:rsidR="00372DAB" w:rsidRDefault="00550878" w:rsidP="003E573C">
      <w:pPr>
        <w:rPr>
          <w:rFonts w:cs="Arial"/>
        </w:rPr>
      </w:pPr>
      <w:r>
        <w:rPr>
          <w:rFonts w:cs="Arial"/>
        </w:rPr>
        <w:lastRenderedPageBreak/>
        <w:t xml:space="preserve">If the ESAs define “intermediate” as the moderate scenario, then we disagree with the proposal to remove this. It is the only scenario that would relate to normal circumstances rather than the extremes. We are aware of the danger that consumers place too much importance </w:t>
      </w:r>
      <w:r w:rsidR="00D14536">
        <w:rPr>
          <w:rFonts w:cs="Arial"/>
        </w:rPr>
        <w:t xml:space="preserve">on </w:t>
      </w:r>
      <w:r>
        <w:rPr>
          <w:rFonts w:cs="Arial"/>
        </w:rPr>
        <w:t>it, but this is the broader issue with showing future performance in the first place. That is why, no matter what is meant by “intermediate”,</w:t>
      </w:r>
      <w:r w:rsidR="00372DAB">
        <w:rPr>
          <w:rFonts w:cs="Arial"/>
        </w:rPr>
        <w:t xml:space="preserve"> </w:t>
      </w:r>
      <w:r>
        <w:rPr>
          <w:rFonts w:cs="Arial"/>
        </w:rPr>
        <w:t xml:space="preserve"> whether it is part of the scenario table or not</w:t>
      </w:r>
      <w:r w:rsidR="00372DAB">
        <w:rPr>
          <w:rFonts w:cs="Arial"/>
        </w:rPr>
        <w:t xml:space="preserve"> is a secondary issue as it still does not address the more pressing question of whether showing future performance scenarios for some types of PRIIPs is meaningful. </w:t>
      </w:r>
    </w:p>
    <w:p w14:paraId="3608BE00" w14:textId="77777777" w:rsidR="00372DAB" w:rsidRDefault="00372DAB" w:rsidP="003E573C">
      <w:pPr>
        <w:rPr>
          <w:rFonts w:cs="Arial"/>
        </w:rPr>
      </w:pPr>
    </w:p>
    <w:p w14:paraId="086DE77C" w14:textId="61500B68" w:rsidR="00582DB6" w:rsidRDefault="00372DAB" w:rsidP="003E573C">
      <w:pPr>
        <w:rPr>
          <w:rFonts w:cs="Arial"/>
        </w:rPr>
      </w:pPr>
      <w:r>
        <w:rPr>
          <w:rFonts w:cs="Arial"/>
        </w:rPr>
        <w:t xml:space="preserve">In regards to the second part of the question, it is not clear what is being asked. The question itself refers to the </w:t>
      </w:r>
      <w:r w:rsidR="00550878">
        <w:rPr>
          <w:rFonts w:cs="Arial"/>
        </w:rPr>
        <w:t>performance</w:t>
      </w:r>
      <w:r>
        <w:rPr>
          <w:rFonts w:cs="Arial"/>
        </w:rPr>
        <w:t xml:space="preserve"> assumption that should be used for the costs section. But </w:t>
      </w:r>
      <w:r w:rsidR="00550878">
        <w:rPr>
          <w:rFonts w:cs="Arial"/>
        </w:rPr>
        <w:t>the cost section uses</w:t>
      </w:r>
      <w:r>
        <w:rPr>
          <w:rFonts w:cs="Arial"/>
        </w:rPr>
        <w:t xml:space="preserve"> the </w:t>
      </w:r>
      <w:r w:rsidRPr="00550878">
        <w:rPr>
          <w:rFonts w:cs="Arial"/>
          <w:u w:val="single"/>
        </w:rPr>
        <w:t>moderate</w:t>
      </w:r>
      <w:r>
        <w:rPr>
          <w:rFonts w:cs="Arial"/>
        </w:rPr>
        <w:t xml:space="preserve"> scenario and not the RHP/2 </w:t>
      </w:r>
      <w:r w:rsidR="00550878">
        <w:rPr>
          <w:rFonts w:cs="Arial"/>
        </w:rPr>
        <w:t xml:space="preserve">scenarios (which </w:t>
      </w:r>
      <w:r w:rsidR="005E22BB">
        <w:rPr>
          <w:rFonts w:cs="Arial"/>
        </w:rPr>
        <w:t xml:space="preserve">is what </w:t>
      </w:r>
      <w:r>
        <w:rPr>
          <w:rFonts w:cs="Arial"/>
        </w:rPr>
        <w:t>we interpret to be “intermediate” given the ESA</w:t>
      </w:r>
      <w:r w:rsidR="00550878">
        <w:rPr>
          <w:rFonts w:cs="Arial"/>
        </w:rPr>
        <w:t xml:space="preserve">s’ statement on page 18 that intermediate scenarios </w:t>
      </w:r>
      <w:r w:rsidR="00550878" w:rsidRPr="00550878">
        <w:rPr>
          <w:rFonts w:cs="Arial"/>
          <w:i/>
        </w:rPr>
        <w:t>“can be seen as relevant to indicate the implication so fending the investment before the end of the recommended holding period”</w:t>
      </w:r>
      <w:r w:rsidR="00550878">
        <w:rPr>
          <w:rFonts w:cs="Arial"/>
        </w:rPr>
        <w:t>).</w:t>
      </w:r>
      <w:r w:rsidR="00582DB6" w:rsidRPr="00582DB6">
        <w:rPr>
          <w:rFonts w:cs="Arial"/>
        </w:rPr>
        <w:t xml:space="preserve"> </w:t>
      </w:r>
      <w:r w:rsidR="00845AAE">
        <w:rPr>
          <w:rFonts w:cs="Arial"/>
        </w:rPr>
        <w:t>In any case, the need to have a return assumption (which will be true only by accident), is an indicative shortcoming of showing costs as an</w:t>
      </w:r>
      <w:r w:rsidR="00582DB6" w:rsidRPr="00582DB6">
        <w:rPr>
          <w:rFonts w:cs="Arial"/>
        </w:rPr>
        <w:t xml:space="preserve"> RIY indicator</w:t>
      </w:r>
      <w:r w:rsidR="00845AAE">
        <w:rPr>
          <w:rFonts w:cs="Arial"/>
        </w:rPr>
        <w:t xml:space="preserve"> and not as a percentage of assets.</w:t>
      </w:r>
    </w:p>
    <w:permEnd w:id="1290485358"/>
    <w:p w14:paraId="7B563F95" w14:textId="77777777" w:rsidR="003E573C" w:rsidRDefault="003E573C" w:rsidP="003E573C">
      <w:pPr>
        <w:rPr>
          <w:rFonts w:cs="Arial"/>
        </w:rPr>
      </w:pPr>
      <w:r>
        <w:rPr>
          <w:rFonts w:cs="Arial"/>
        </w:rPr>
        <w:t>&lt;ESA_QUESTION_PKID_7&gt;</w:t>
      </w:r>
    </w:p>
    <w:p w14:paraId="36D23888" w14:textId="77777777" w:rsidR="003E573C" w:rsidRDefault="003E573C" w:rsidP="003E573C">
      <w:pPr>
        <w:rPr>
          <w:rFonts w:cs="Arial"/>
        </w:rPr>
      </w:pPr>
    </w:p>
    <w:p w14:paraId="39CF878F"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69903DBB" w14:textId="77777777" w:rsidR="003E573C" w:rsidRDefault="003E573C" w:rsidP="003E573C">
      <w:pPr>
        <w:rPr>
          <w:rFonts w:cs="Arial"/>
        </w:rPr>
      </w:pPr>
      <w:r>
        <w:rPr>
          <w:rFonts w:cs="Arial"/>
        </w:rPr>
        <w:t>&lt;ESA_QUESTION_PKID_8&gt;</w:t>
      </w:r>
    </w:p>
    <w:p w14:paraId="5D9D2565" w14:textId="3ED7A4E5" w:rsidR="00845AAE" w:rsidRPr="00B2299C" w:rsidRDefault="00845AAE" w:rsidP="003E573C">
      <w:pPr>
        <w:rPr>
          <w:rFonts w:cs="Arial"/>
        </w:rPr>
      </w:pPr>
      <w:permStart w:id="1132009434" w:edGrp="everyone"/>
      <w:r>
        <w:rPr>
          <w:rFonts w:cs="Arial"/>
        </w:rPr>
        <w:t>The purpose of the stress scenario is to give an indication of outcomes in periods of extreme volatility. This is anyway dependent on historical observations that can always become irrelevant if h</w:t>
      </w:r>
      <w:r w:rsidR="005E22BB">
        <w:rPr>
          <w:rFonts w:cs="Arial"/>
        </w:rPr>
        <w:t>igher volatility is experienced. Since</w:t>
      </w:r>
      <w:r>
        <w:rPr>
          <w:rFonts w:cs="Arial"/>
        </w:rPr>
        <w:t xml:space="preserve"> the </w:t>
      </w:r>
      <w:r w:rsidRPr="00B2299C">
        <w:rPr>
          <w:rFonts w:cs="Arial"/>
        </w:rPr>
        <w:t>unfavourable scenario is already providing a picture of the lower end of outcomes, we believe that</w:t>
      </w:r>
      <w:r w:rsidR="00BA3DE6" w:rsidRPr="00B2299C">
        <w:rPr>
          <w:rFonts w:cs="Arial"/>
        </w:rPr>
        <w:t xml:space="preserve"> if any </w:t>
      </w:r>
      <w:r w:rsidR="00C624C8" w:rsidRPr="00B2299C">
        <w:rPr>
          <w:rFonts w:cs="Arial"/>
        </w:rPr>
        <w:t>future</w:t>
      </w:r>
      <w:r w:rsidR="00BA3DE6" w:rsidRPr="00B2299C">
        <w:rPr>
          <w:rFonts w:cs="Arial"/>
        </w:rPr>
        <w:t xml:space="preserve"> scenarios are to be shown,</w:t>
      </w:r>
      <w:r w:rsidRPr="00B2299C">
        <w:rPr>
          <w:rFonts w:cs="Arial"/>
        </w:rPr>
        <w:t xml:space="preserve"> the stress scenario could be omitted</w:t>
      </w:r>
      <w:r w:rsidR="005E22BB">
        <w:rPr>
          <w:rFonts w:cs="Arial"/>
        </w:rPr>
        <w:t xml:space="preserve"> – not least, in order</w:t>
      </w:r>
      <w:r w:rsidRPr="00B2299C">
        <w:rPr>
          <w:rFonts w:cs="Arial"/>
        </w:rPr>
        <w:t xml:space="preserve"> to avoid overload of information that is not usable in the first place. </w:t>
      </w:r>
    </w:p>
    <w:p w14:paraId="70B07432" w14:textId="77777777" w:rsidR="00845AAE" w:rsidRDefault="00845AAE" w:rsidP="003E573C">
      <w:pPr>
        <w:rPr>
          <w:rFonts w:cs="Arial"/>
        </w:rPr>
      </w:pPr>
    </w:p>
    <w:p w14:paraId="3C66A092" w14:textId="4B22A553" w:rsidR="00582DB6" w:rsidRDefault="00845AAE" w:rsidP="003E573C">
      <w:pPr>
        <w:rPr>
          <w:rFonts w:cs="Arial"/>
        </w:rPr>
      </w:pPr>
      <w:r>
        <w:rPr>
          <w:rFonts w:cs="Arial"/>
        </w:rPr>
        <w:t>If there are concerns that consumers are not sufficiently warned that t</w:t>
      </w:r>
      <w:r w:rsidR="00EC7E0B">
        <w:rPr>
          <w:rFonts w:cs="Arial"/>
        </w:rPr>
        <w:t>he unfavourable scenario is not the wors</w:t>
      </w:r>
      <w:r w:rsidR="005E22BB">
        <w:rPr>
          <w:rFonts w:cs="Arial"/>
        </w:rPr>
        <w:t>t</w:t>
      </w:r>
      <w:r w:rsidR="00EC7E0B">
        <w:rPr>
          <w:rFonts w:cs="Arial"/>
        </w:rPr>
        <w:t xml:space="preserve"> possible outcome, then an appropriate disclaimer can be added. Still, this remains a secondary point, given the potential shortfalls of showing future performance in any shape or form</w:t>
      </w:r>
      <w:r w:rsidR="005E22BB">
        <w:rPr>
          <w:rFonts w:cs="Arial"/>
        </w:rPr>
        <w:t xml:space="preserve"> for non-structured PRIIPs</w:t>
      </w:r>
      <w:r w:rsidR="00EC7E0B">
        <w:rPr>
          <w:rFonts w:cs="Arial"/>
        </w:rPr>
        <w:t>.</w:t>
      </w:r>
    </w:p>
    <w:permEnd w:id="1132009434"/>
    <w:p w14:paraId="482AC500" w14:textId="77777777" w:rsidR="003E573C" w:rsidRDefault="003E573C" w:rsidP="003E573C">
      <w:pPr>
        <w:rPr>
          <w:rFonts w:cs="Arial"/>
        </w:rPr>
      </w:pPr>
      <w:r>
        <w:rPr>
          <w:rFonts w:cs="Arial"/>
        </w:rPr>
        <w:t>&lt;ESA_QUESTION_PKID_8&gt;</w:t>
      </w:r>
    </w:p>
    <w:p w14:paraId="2BD4612D" w14:textId="77777777" w:rsidR="003E573C" w:rsidRDefault="003E573C" w:rsidP="003E573C">
      <w:pPr>
        <w:rPr>
          <w:rFonts w:cs="Arial"/>
        </w:rPr>
      </w:pPr>
    </w:p>
    <w:p w14:paraId="0DA0BC77"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A6ACEC9" w14:textId="77777777" w:rsidR="003E573C" w:rsidRDefault="003E573C" w:rsidP="003E573C">
      <w:pPr>
        <w:rPr>
          <w:rFonts w:cs="Arial"/>
        </w:rPr>
      </w:pPr>
      <w:r>
        <w:rPr>
          <w:rFonts w:cs="Arial"/>
        </w:rPr>
        <w:t>&lt;ESA_QUESTION_PKID_9&gt;</w:t>
      </w:r>
    </w:p>
    <w:p w14:paraId="1E8BDFA5" w14:textId="29636C9D" w:rsidR="00A869A8" w:rsidRDefault="00613A20" w:rsidP="003E573C">
      <w:pPr>
        <w:rPr>
          <w:rFonts w:cs="Arial"/>
        </w:rPr>
      </w:pPr>
      <w:permStart w:id="1113008328" w:edGrp="everyone"/>
      <w:r>
        <w:rPr>
          <w:rFonts w:cs="Arial"/>
        </w:rPr>
        <w:t xml:space="preserve">This would depend on how granular the definition of the reference rate would be. Presumably, it would need to be on </w:t>
      </w:r>
      <w:r w:rsidR="005E22BB">
        <w:rPr>
          <w:rFonts w:cs="Arial"/>
        </w:rPr>
        <w:t xml:space="preserve">an </w:t>
      </w:r>
      <w:r>
        <w:rPr>
          <w:rFonts w:cs="Arial"/>
        </w:rPr>
        <w:t xml:space="preserve">asset-weighted basis to reflect the geographical and asset class exposure of the fund. Or alternatively, it would need to reflect the investor experience and what would be the reference rate for them, e.g. German reference rate for </w:t>
      </w:r>
      <w:r w:rsidRPr="00B2299C">
        <w:rPr>
          <w:rFonts w:cs="Arial"/>
        </w:rPr>
        <w:t xml:space="preserve">residents in Germany etc. This is what seems to be the case, given point 13 on page 60 of the consultation paper. </w:t>
      </w:r>
      <w:r w:rsidR="00A869A8" w:rsidRPr="00B2299C">
        <w:rPr>
          <w:rFonts w:cs="Arial"/>
        </w:rPr>
        <w:t>Would this imply distinct versions of the KID depending on the residence of each end-client</w:t>
      </w:r>
      <w:r w:rsidR="00BA3DE6" w:rsidRPr="00B2299C">
        <w:rPr>
          <w:rFonts w:cs="Arial"/>
        </w:rPr>
        <w:t xml:space="preserve"> </w:t>
      </w:r>
      <w:r w:rsidR="006162C6" w:rsidRPr="00B2299C">
        <w:rPr>
          <w:rFonts w:cs="Arial"/>
        </w:rPr>
        <w:t>(clearly an</w:t>
      </w:r>
      <w:r w:rsidR="00BA3DE6" w:rsidRPr="00B2299C">
        <w:rPr>
          <w:rFonts w:cs="Arial"/>
        </w:rPr>
        <w:t xml:space="preserve"> undesirable outcome if we are to encourage cross-border activity)</w:t>
      </w:r>
      <w:r w:rsidR="00A869A8" w:rsidRPr="00B2299C">
        <w:rPr>
          <w:rFonts w:cs="Arial"/>
        </w:rPr>
        <w:t xml:space="preserve">? It is not yet clear that, with the exception of US reference rates, there is sufficient data availability to accommodate this, and so perhaps one common reference rate across the EU </w:t>
      </w:r>
      <w:r w:rsidR="00A869A8">
        <w:rPr>
          <w:rFonts w:cs="Arial"/>
        </w:rPr>
        <w:t xml:space="preserve">would be simpler to implement. </w:t>
      </w:r>
    </w:p>
    <w:p w14:paraId="770F829F" w14:textId="77777777" w:rsidR="00A869A8" w:rsidRDefault="00A869A8" w:rsidP="003E573C">
      <w:pPr>
        <w:rPr>
          <w:rFonts w:cs="Arial"/>
        </w:rPr>
      </w:pPr>
    </w:p>
    <w:p w14:paraId="29130B1E" w14:textId="77777777" w:rsidR="00582DB6" w:rsidRDefault="00A869A8" w:rsidP="003E573C">
      <w:pPr>
        <w:rPr>
          <w:rFonts w:cs="Arial"/>
        </w:rPr>
      </w:pPr>
      <w:r>
        <w:rPr>
          <w:rFonts w:cs="Arial"/>
        </w:rPr>
        <w:t xml:space="preserve">Overall, we question how meaningful it is to add such a degree of complexity to effectively make an educated guess on a range of outcomes which could anyway be wrong. </w:t>
      </w:r>
    </w:p>
    <w:permEnd w:id="1113008328"/>
    <w:p w14:paraId="5A9E5364" w14:textId="77777777" w:rsidR="003E573C" w:rsidRDefault="003E573C" w:rsidP="003E573C">
      <w:pPr>
        <w:rPr>
          <w:rFonts w:cs="Arial"/>
        </w:rPr>
      </w:pPr>
      <w:r>
        <w:rPr>
          <w:rFonts w:cs="Arial"/>
        </w:rPr>
        <w:t>&lt;ESA_QUESTION_PKID_9&gt;</w:t>
      </w:r>
    </w:p>
    <w:p w14:paraId="06F206D6" w14:textId="77777777" w:rsidR="003E573C" w:rsidRDefault="003E573C" w:rsidP="003E573C">
      <w:pPr>
        <w:rPr>
          <w:rFonts w:cs="Arial"/>
        </w:rPr>
      </w:pPr>
    </w:p>
    <w:p w14:paraId="0DFCFB9D"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3D4D6E88" w14:textId="77777777" w:rsidR="003E573C" w:rsidRDefault="003E573C" w:rsidP="003E573C">
      <w:pPr>
        <w:rPr>
          <w:rFonts w:cs="Arial"/>
        </w:rPr>
      </w:pPr>
      <w:r>
        <w:rPr>
          <w:rFonts w:cs="Arial"/>
        </w:rPr>
        <w:lastRenderedPageBreak/>
        <w:t>&lt;ESA_QUESTION_PKID_10&gt;</w:t>
      </w:r>
    </w:p>
    <w:p w14:paraId="5E962F98" w14:textId="29EA26D5" w:rsidR="00582DB6" w:rsidRDefault="00A869A8" w:rsidP="00582DB6">
      <w:pPr>
        <w:rPr>
          <w:rFonts w:cs="Arial"/>
        </w:rPr>
      </w:pPr>
      <w:permStart w:id="931547909" w:edGrp="everyone"/>
      <w:r>
        <w:rPr>
          <w:rFonts w:cs="Arial"/>
        </w:rPr>
        <w:t>It is not clear what would be the advantage of adding such a degree of granularity whereby manufacturers need to look into individual holdings in order to split into asset class, country and sector (a common set of definitions across Europe would be needed for this).</w:t>
      </w:r>
      <w:r w:rsidR="009A156B">
        <w:rPr>
          <w:rFonts w:cs="Arial"/>
        </w:rPr>
        <w:t xml:space="preserve"> Schroders has provided data to the Investment Association </w:t>
      </w:r>
      <w:r w:rsidR="005E22BB">
        <w:rPr>
          <w:rFonts w:cs="Arial"/>
        </w:rPr>
        <w:t xml:space="preserve">(IA) </w:t>
      </w:r>
      <w:r w:rsidR="009A156B">
        <w:rPr>
          <w:rFonts w:cs="Arial"/>
        </w:rPr>
        <w:t>for its modelling and the results would indicate that</w:t>
      </w:r>
      <w:r w:rsidR="00582DB6" w:rsidRPr="00582DB6">
        <w:rPr>
          <w:rFonts w:cs="Arial"/>
        </w:rPr>
        <w:t xml:space="preserve"> using the yield data on an aggregate fund level produces </w:t>
      </w:r>
      <w:r w:rsidR="009A156B">
        <w:rPr>
          <w:rFonts w:cs="Arial"/>
        </w:rPr>
        <w:t>a very similar result</w:t>
      </w:r>
      <w:r w:rsidR="00582DB6" w:rsidRPr="00582DB6">
        <w:rPr>
          <w:rFonts w:cs="Arial"/>
        </w:rPr>
        <w:t xml:space="preserve"> as </w:t>
      </w:r>
      <w:r w:rsidR="009A156B">
        <w:rPr>
          <w:rFonts w:cs="Arial"/>
        </w:rPr>
        <w:t>taking</w:t>
      </w:r>
      <w:r w:rsidR="00582DB6" w:rsidRPr="00582DB6">
        <w:rPr>
          <w:rFonts w:cs="Arial"/>
        </w:rPr>
        <w:t xml:space="preserve"> the detailed</w:t>
      </w:r>
      <w:r w:rsidR="009A156B">
        <w:rPr>
          <w:rFonts w:cs="Arial"/>
        </w:rPr>
        <w:t xml:space="preserve"> asset class</w:t>
      </w:r>
      <w:r w:rsidR="00582DB6" w:rsidRPr="00582DB6">
        <w:rPr>
          <w:rFonts w:cs="Arial"/>
        </w:rPr>
        <w:t xml:space="preserve"> breakdown.</w:t>
      </w:r>
      <w:r w:rsidR="009A156B">
        <w:rPr>
          <w:rFonts w:cs="Arial"/>
        </w:rPr>
        <w:t xml:space="preserve"> Hence, we question whether such a degree of look-through is needed to deliver the ESAs’ preferred probabilistic approach.</w:t>
      </w:r>
    </w:p>
    <w:p w14:paraId="42ACD267" w14:textId="77777777" w:rsidR="00543B30" w:rsidRDefault="00543B30" w:rsidP="00543B30">
      <w:pPr>
        <w:rPr>
          <w:rFonts w:cs="Arial"/>
        </w:rPr>
      </w:pPr>
    </w:p>
    <w:p w14:paraId="7B10A0BE" w14:textId="779C0555" w:rsidR="00543B30" w:rsidRPr="009A156B" w:rsidRDefault="00543B30" w:rsidP="00543B30">
      <w:pPr>
        <w:rPr>
          <w:rFonts w:cs="Arial"/>
        </w:rPr>
      </w:pPr>
      <w:r>
        <w:rPr>
          <w:rFonts w:cs="Arial"/>
        </w:rPr>
        <w:t xml:space="preserve">More importantly, based on the results of the analysis carried out by the </w:t>
      </w:r>
      <w:r w:rsidR="005E22BB">
        <w:rPr>
          <w:rFonts w:cs="Arial"/>
        </w:rPr>
        <w:t>IA</w:t>
      </w:r>
      <w:r>
        <w:rPr>
          <w:rFonts w:cs="Arial"/>
        </w:rPr>
        <w:t>, we see much bigger issues with the new probabilistic approach that must be considered:</w:t>
      </w:r>
    </w:p>
    <w:p w14:paraId="47F3855F" w14:textId="77777777" w:rsidR="00543B30" w:rsidRPr="009A156B" w:rsidRDefault="00543B30" w:rsidP="00F51E97">
      <w:pPr>
        <w:numPr>
          <w:ilvl w:val="0"/>
          <w:numId w:val="41"/>
        </w:numPr>
        <w:rPr>
          <w:rFonts w:cs="Arial"/>
        </w:rPr>
      </w:pPr>
      <w:r>
        <w:rPr>
          <w:rFonts w:cs="Arial"/>
        </w:rPr>
        <w:t>At a very high level, it still provides estimations of what may or may not happen in the future. Irrespectively if future scenarios are accompanied by past performance or not, they can be interpreted as what an investor should expect to get from a fund. The reality will always be different. It is also questionable to what extent it actually works in the context of the path dependency of structured products.</w:t>
      </w:r>
    </w:p>
    <w:p w14:paraId="64505A29" w14:textId="77777777" w:rsidR="00543B30" w:rsidRPr="00B2299C" w:rsidRDefault="004A5BC4" w:rsidP="00F51E97">
      <w:pPr>
        <w:numPr>
          <w:ilvl w:val="0"/>
          <w:numId w:val="41"/>
        </w:numPr>
        <w:rPr>
          <w:rFonts w:cs="Arial"/>
        </w:rPr>
      </w:pPr>
      <w:r>
        <w:rPr>
          <w:rFonts w:cs="Arial"/>
        </w:rPr>
        <w:t>As acknowledged by the ESAs on page 26 of the consultation paper, the new probabilistic approach</w:t>
      </w:r>
      <w:r w:rsidR="00543B30" w:rsidRPr="009A156B">
        <w:rPr>
          <w:rFonts w:cs="Arial"/>
        </w:rPr>
        <w:t xml:space="preserve"> is </w:t>
      </w:r>
      <w:r w:rsidR="00543B30">
        <w:rPr>
          <w:rFonts w:cs="Arial"/>
        </w:rPr>
        <w:t xml:space="preserve">complicated and explaining it to a retail investor is going to be </w:t>
      </w:r>
      <w:r w:rsidR="00543B30" w:rsidRPr="00B2299C">
        <w:rPr>
          <w:rFonts w:cs="Arial"/>
        </w:rPr>
        <w:t>particularly</w:t>
      </w:r>
      <w:r w:rsidR="00BA3DE6" w:rsidRPr="00B2299C">
        <w:rPr>
          <w:rFonts w:cs="Arial"/>
        </w:rPr>
        <w:t xml:space="preserve"> and unnecessarily</w:t>
      </w:r>
      <w:r w:rsidR="00543B30" w:rsidRPr="00B2299C">
        <w:rPr>
          <w:rFonts w:cs="Arial"/>
        </w:rPr>
        <w:t xml:space="preserve"> challenging</w:t>
      </w:r>
      <w:r w:rsidR="00BA3DE6" w:rsidRPr="00B2299C">
        <w:rPr>
          <w:rFonts w:cs="Arial"/>
        </w:rPr>
        <w:t xml:space="preserve"> and risks spurious accuracy</w:t>
      </w:r>
      <w:r w:rsidR="00543B30" w:rsidRPr="00B2299C">
        <w:rPr>
          <w:rFonts w:cs="Arial"/>
        </w:rPr>
        <w:t xml:space="preserve">. </w:t>
      </w:r>
    </w:p>
    <w:p w14:paraId="799FD020" w14:textId="77777777" w:rsidR="00543B30" w:rsidRPr="009A156B" w:rsidRDefault="00543B30" w:rsidP="00F51E97">
      <w:pPr>
        <w:numPr>
          <w:ilvl w:val="0"/>
          <w:numId w:val="41"/>
        </w:numPr>
        <w:rPr>
          <w:rFonts w:cs="Arial"/>
        </w:rPr>
      </w:pPr>
      <w:r w:rsidRPr="009A156B">
        <w:rPr>
          <w:rFonts w:cs="Arial"/>
        </w:rPr>
        <w:t>Since all scenarios evolve around the expected return of the asset class, the scenarios within each asset class will come closer together making it difficult for consumers to distinguish</w:t>
      </w:r>
      <w:r>
        <w:rPr>
          <w:rFonts w:cs="Arial"/>
        </w:rPr>
        <w:t xml:space="preserve"> between products</w:t>
      </w:r>
      <w:r w:rsidRPr="009A156B">
        <w:rPr>
          <w:rFonts w:cs="Arial"/>
        </w:rPr>
        <w:t>.</w:t>
      </w:r>
      <w:r>
        <w:rPr>
          <w:rFonts w:cs="Arial"/>
        </w:rPr>
        <w:t xml:space="preserve"> </w:t>
      </w:r>
      <w:r w:rsidR="004A5BC4">
        <w:rPr>
          <w:rFonts w:cs="Arial"/>
        </w:rPr>
        <w:t>Cost becomes then t</w:t>
      </w:r>
      <w:r>
        <w:rPr>
          <w:rFonts w:cs="Arial"/>
        </w:rPr>
        <w:t xml:space="preserve">he only </w:t>
      </w:r>
      <w:r w:rsidR="004A5BC4">
        <w:rPr>
          <w:rFonts w:cs="Arial"/>
        </w:rPr>
        <w:t>distinctive</w:t>
      </w:r>
      <w:r>
        <w:rPr>
          <w:rFonts w:cs="Arial"/>
        </w:rPr>
        <w:t xml:space="preserve"> characteristic </w:t>
      </w:r>
      <w:r w:rsidR="004A5BC4">
        <w:rPr>
          <w:rFonts w:cs="Arial"/>
        </w:rPr>
        <w:t>for the calculation of net returns</w:t>
      </w:r>
      <w:r>
        <w:rPr>
          <w:rFonts w:cs="Arial"/>
        </w:rPr>
        <w:t xml:space="preserve">, meaning that the average active fund will always have scenarios that look slightly worse than those of the average passive fund (within the same </w:t>
      </w:r>
      <w:r w:rsidR="004A5BC4">
        <w:rPr>
          <w:rFonts w:cs="Arial"/>
        </w:rPr>
        <w:t>asset class</w:t>
      </w:r>
      <w:r>
        <w:rPr>
          <w:rFonts w:cs="Arial"/>
        </w:rPr>
        <w:t>) even if the net returns are higher (as proven by the IA analysis).</w:t>
      </w:r>
    </w:p>
    <w:p w14:paraId="030057C9" w14:textId="77777777" w:rsidR="00543B30" w:rsidRDefault="00543B30" w:rsidP="00F51E97">
      <w:pPr>
        <w:numPr>
          <w:ilvl w:val="0"/>
          <w:numId w:val="41"/>
        </w:numPr>
        <w:rPr>
          <w:rFonts w:cs="Arial"/>
        </w:rPr>
      </w:pPr>
      <w:r>
        <w:rPr>
          <w:rFonts w:cs="Arial"/>
        </w:rPr>
        <w:t>It requires data from external sources that operate on a commercial basis. Having this as a regulatory requirement, creates an inelastic demand for the services of these companies. There have been some remarks that manufacturers already subscribe to these services, but we would like to stress that this relates to licences that have been purchased for specific uses and purposes. The estimation of PRIIPs scenarios would most likely be seen as an opportunity f</w:t>
      </w:r>
      <w:r w:rsidR="004A5BC4">
        <w:rPr>
          <w:rFonts w:cs="Arial"/>
        </w:rPr>
        <w:t xml:space="preserve">or a different type of licence, </w:t>
      </w:r>
      <w:r>
        <w:rPr>
          <w:rFonts w:cs="Arial"/>
        </w:rPr>
        <w:t>the price of which will be subject to inelastic demand.</w:t>
      </w:r>
    </w:p>
    <w:p w14:paraId="3F346CBF" w14:textId="60016201" w:rsidR="00543B30" w:rsidRDefault="00543B30" w:rsidP="00F51E97">
      <w:pPr>
        <w:numPr>
          <w:ilvl w:val="0"/>
          <w:numId w:val="41"/>
        </w:numPr>
        <w:rPr>
          <w:rFonts w:cs="Arial"/>
        </w:rPr>
      </w:pPr>
      <w:r>
        <w:rPr>
          <w:rFonts w:cs="Arial"/>
        </w:rPr>
        <w:t xml:space="preserve">The IA analysis </w:t>
      </w:r>
      <w:r w:rsidR="005E22BB">
        <w:rPr>
          <w:rFonts w:cs="Arial"/>
        </w:rPr>
        <w:t>(</w:t>
      </w:r>
      <w:r>
        <w:rPr>
          <w:rFonts w:cs="Arial"/>
        </w:rPr>
        <w:t>but also the evidence in pages 22-24 of the consultation paper</w:t>
      </w:r>
      <w:r w:rsidR="005E22BB">
        <w:rPr>
          <w:rFonts w:cs="Arial"/>
        </w:rPr>
        <w:t>)</w:t>
      </w:r>
      <w:r>
        <w:rPr>
          <w:rFonts w:cs="Arial"/>
        </w:rPr>
        <w:t xml:space="preserve"> shows that for equities the new probabilistic scenarios vary very little year on year while the actual outcome is quite volatile, </w:t>
      </w:r>
      <w:r w:rsidR="005E22BB">
        <w:rPr>
          <w:rFonts w:cs="Arial"/>
        </w:rPr>
        <w:t>whereas</w:t>
      </w:r>
      <w:r>
        <w:rPr>
          <w:rFonts w:cs="Arial"/>
        </w:rPr>
        <w:t xml:space="preserve"> for money market funds the opposite happens. </w:t>
      </w:r>
      <w:r w:rsidRPr="00B2299C">
        <w:rPr>
          <w:rFonts w:cs="Arial"/>
        </w:rPr>
        <w:t xml:space="preserve">This </w:t>
      </w:r>
      <w:r w:rsidR="00E8240E" w:rsidRPr="00B2299C">
        <w:rPr>
          <w:rFonts w:cs="Arial"/>
        </w:rPr>
        <w:t xml:space="preserve">does not help investors understand the nature of risk and </w:t>
      </w:r>
      <w:r w:rsidRPr="00B2299C">
        <w:rPr>
          <w:rFonts w:cs="Arial"/>
        </w:rPr>
        <w:t>may create a gap in investors’ expectatio</w:t>
      </w:r>
      <w:r>
        <w:rPr>
          <w:rFonts w:cs="Arial"/>
        </w:rPr>
        <w:t>ns between the outcomes they are shown and the outcomes they actually experience</w:t>
      </w:r>
      <w:r w:rsidR="006034DC">
        <w:rPr>
          <w:rFonts w:cs="Arial"/>
        </w:rPr>
        <w:t>. This is specifically</w:t>
      </w:r>
      <w:r>
        <w:rPr>
          <w:rFonts w:cs="Arial"/>
        </w:rPr>
        <w:t xml:space="preserve"> in terms of volatility and perceived risk</w:t>
      </w:r>
      <w:r w:rsidR="004A5BC4">
        <w:rPr>
          <w:rFonts w:cs="Arial"/>
        </w:rPr>
        <w:t>, with unforeseen consequences for their appetite to invest or remain invested.</w:t>
      </w:r>
    </w:p>
    <w:p w14:paraId="593CB41A" w14:textId="77777777" w:rsidR="00543B30" w:rsidRDefault="00543B30" w:rsidP="00543B30">
      <w:pPr>
        <w:rPr>
          <w:rFonts w:cs="Arial"/>
        </w:rPr>
      </w:pPr>
    </w:p>
    <w:p w14:paraId="08D63CB0" w14:textId="77777777" w:rsidR="00543B30" w:rsidRPr="00582DB6" w:rsidRDefault="00543B30" w:rsidP="00582DB6">
      <w:pPr>
        <w:rPr>
          <w:rFonts w:cs="Arial"/>
        </w:rPr>
      </w:pPr>
      <w:r>
        <w:rPr>
          <w:rFonts w:cs="Arial"/>
        </w:rPr>
        <w:t xml:space="preserve">It remains unclear that this methodology actually works. The consultation paper already makes a special case for money market funds. </w:t>
      </w:r>
      <w:r w:rsidR="004A5BC4">
        <w:rPr>
          <w:rFonts w:cs="Arial"/>
        </w:rPr>
        <w:t xml:space="preserve">We have not been able to test this, but we would expect challenges in the implementation for funds that use </w:t>
      </w:r>
      <w:r>
        <w:rPr>
          <w:rFonts w:cs="Arial"/>
        </w:rPr>
        <w:t>derivatives (for example, for absolute return funds)</w:t>
      </w:r>
      <w:r w:rsidRPr="009A156B">
        <w:rPr>
          <w:rFonts w:cs="Arial"/>
        </w:rPr>
        <w:t>.</w:t>
      </w:r>
      <w:r>
        <w:rPr>
          <w:rFonts w:cs="Arial"/>
        </w:rPr>
        <w:t xml:space="preserve"> As mentioned, we have been working with the IA to test as much of this as possible. We also appreciate the efforts by the ESAs </w:t>
      </w:r>
      <w:r w:rsidR="004A5BC4">
        <w:rPr>
          <w:rFonts w:cs="Arial"/>
        </w:rPr>
        <w:t>for what is</w:t>
      </w:r>
      <w:r>
        <w:rPr>
          <w:rFonts w:cs="Arial"/>
        </w:rPr>
        <w:t xml:space="preserve"> no mean task. But we see little scope for producing a consultation document identifying a preferred method without having adequately tested it first. </w:t>
      </w:r>
    </w:p>
    <w:permEnd w:id="931547909"/>
    <w:p w14:paraId="1DE2ED5A" w14:textId="77777777" w:rsidR="003E573C" w:rsidRDefault="003E573C" w:rsidP="003E573C">
      <w:pPr>
        <w:rPr>
          <w:rFonts w:cs="Arial"/>
        </w:rPr>
      </w:pPr>
      <w:r>
        <w:rPr>
          <w:rFonts w:cs="Arial"/>
        </w:rPr>
        <w:t>&lt;ESA_QUESTION_PKID_10&gt;</w:t>
      </w:r>
    </w:p>
    <w:p w14:paraId="25B85F21" w14:textId="77777777" w:rsidR="003E573C" w:rsidRDefault="003E573C" w:rsidP="003E573C">
      <w:pPr>
        <w:rPr>
          <w:rFonts w:cs="Arial"/>
        </w:rPr>
      </w:pPr>
    </w:p>
    <w:p w14:paraId="2D2628C4"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2BF6AE63" w14:textId="77777777" w:rsidR="003E573C" w:rsidRDefault="003E573C" w:rsidP="003E573C">
      <w:pPr>
        <w:rPr>
          <w:rFonts w:cs="Arial"/>
        </w:rPr>
      </w:pPr>
      <w:r>
        <w:rPr>
          <w:rFonts w:cs="Arial"/>
        </w:rPr>
        <w:t>&lt;ESA_QUESTION_PKID_11&gt;</w:t>
      </w:r>
    </w:p>
    <w:p w14:paraId="2618EFD1" w14:textId="77777777" w:rsidR="00735E82" w:rsidRDefault="001F45DC" w:rsidP="003E573C">
      <w:pPr>
        <w:rPr>
          <w:rFonts w:cs="Arial"/>
        </w:rPr>
      </w:pPr>
      <w:permStart w:id="1745703433" w:edGrp="everyone"/>
      <w:r>
        <w:rPr>
          <w:rFonts w:cs="Arial"/>
        </w:rPr>
        <w:t xml:space="preserve">This question is a good example of the complexities that the new probabilistic approach creates. </w:t>
      </w:r>
      <w:r w:rsidR="00524168">
        <w:rPr>
          <w:rFonts w:cs="Arial"/>
        </w:rPr>
        <w:t>First, this is relevant only for equities. Then, i</w:t>
      </w:r>
      <w:r w:rsidR="002A1A4B">
        <w:rPr>
          <w:rFonts w:cs="Arial"/>
        </w:rPr>
        <w:t xml:space="preserve">f dividend rates are averaged, over what time period should it happen? Should this be connected to the recommended holding period? </w:t>
      </w:r>
      <w:r w:rsidR="00762037">
        <w:rPr>
          <w:rFonts w:cs="Arial"/>
        </w:rPr>
        <w:t xml:space="preserve">Does the approach ignore </w:t>
      </w:r>
      <w:r w:rsidR="00762037" w:rsidRPr="00762037">
        <w:rPr>
          <w:rFonts w:cs="Arial"/>
        </w:rPr>
        <w:t>earnings growth in stocks</w:t>
      </w:r>
      <w:r w:rsidR="00762037">
        <w:rPr>
          <w:rFonts w:cs="Arial"/>
        </w:rPr>
        <w:t>?</w:t>
      </w:r>
    </w:p>
    <w:p w14:paraId="4FA4A09F" w14:textId="77777777" w:rsidR="00735E82" w:rsidRPr="00B2299C" w:rsidRDefault="00735E82" w:rsidP="003E573C">
      <w:pPr>
        <w:rPr>
          <w:rFonts w:cs="Arial"/>
        </w:rPr>
      </w:pPr>
    </w:p>
    <w:p w14:paraId="318CD4DF" w14:textId="57ABF58A" w:rsidR="00524168" w:rsidRDefault="00735E82" w:rsidP="003E573C">
      <w:pPr>
        <w:rPr>
          <w:rFonts w:cs="Arial"/>
        </w:rPr>
      </w:pPr>
      <w:r w:rsidRPr="00B2299C">
        <w:rPr>
          <w:rFonts w:cs="Arial"/>
        </w:rPr>
        <w:lastRenderedPageBreak/>
        <w:t>Such examples of minor points that can be tweaked in the calculations beg the question whether there should be any concerns</w:t>
      </w:r>
      <w:r w:rsidR="00762037" w:rsidRPr="00B2299C">
        <w:rPr>
          <w:rFonts w:cs="Arial"/>
        </w:rPr>
        <w:t xml:space="preserve"> </w:t>
      </w:r>
      <w:r w:rsidRPr="00B2299C">
        <w:rPr>
          <w:rFonts w:cs="Arial"/>
        </w:rPr>
        <w:t>about the</w:t>
      </w:r>
      <w:r w:rsidR="002A1A4B" w:rsidRPr="00B2299C">
        <w:rPr>
          <w:rFonts w:cs="Arial"/>
        </w:rPr>
        <w:t xml:space="preserve"> consistency of approach</w:t>
      </w:r>
      <w:r w:rsidRPr="00B2299C">
        <w:rPr>
          <w:rFonts w:cs="Arial"/>
        </w:rPr>
        <w:t xml:space="preserve"> and comparability of end-results.</w:t>
      </w:r>
      <w:r w:rsidR="002A1A4B" w:rsidRPr="00B2299C">
        <w:rPr>
          <w:rFonts w:cs="Arial"/>
        </w:rPr>
        <w:t xml:space="preserve"> </w:t>
      </w:r>
      <w:r w:rsidRPr="00B2299C">
        <w:rPr>
          <w:rFonts w:cs="Arial"/>
        </w:rPr>
        <w:t>If that were the case, a possible solution would be that</w:t>
      </w:r>
      <w:r w:rsidR="00762037" w:rsidRPr="00B2299C">
        <w:rPr>
          <w:rFonts w:cs="Arial"/>
        </w:rPr>
        <w:t xml:space="preserve"> </w:t>
      </w:r>
      <w:r w:rsidR="00762037">
        <w:rPr>
          <w:rFonts w:cs="Arial"/>
        </w:rPr>
        <w:t>the technical standards provide</w:t>
      </w:r>
      <w:r w:rsidR="00667A90">
        <w:rPr>
          <w:rFonts w:cs="Arial"/>
        </w:rPr>
        <w:t xml:space="preserve"> specific</w:t>
      </w:r>
      <w:r w:rsidR="00762037">
        <w:rPr>
          <w:rFonts w:cs="Arial"/>
        </w:rPr>
        <w:t xml:space="preserve"> answers</w:t>
      </w:r>
      <w:r w:rsidR="00667A90">
        <w:rPr>
          <w:rFonts w:cs="Arial"/>
        </w:rPr>
        <w:t xml:space="preserve">. Which, in turn, </w:t>
      </w:r>
      <w:r w:rsidR="00762037">
        <w:rPr>
          <w:rFonts w:cs="Arial"/>
        </w:rPr>
        <w:t xml:space="preserve">opens the discussion how to determine the right answer, whether there is one in the first place, etc. </w:t>
      </w:r>
      <w:r w:rsidR="00762037" w:rsidRPr="00B2299C">
        <w:rPr>
          <w:rFonts w:cs="Arial"/>
        </w:rPr>
        <w:t>creating the risk that the approach becomes so prescriptive that some of the resulting figures are not meaningful.</w:t>
      </w:r>
      <w:r w:rsidR="001C0A55" w:rsidRPr="00B2299C">
        <w:rPr>
          <w:rFonts w:cs="Arial"/>
        </w:rPr>
        <w:t xml:space="preserve"> Unfortunately, we have not been able to examine this in the time provided to respond</w:t>
      </w:r>
      <w:r w:rsidR="00667A90" w:rsidRPr="00B2299C">
        <w:rPr>
          <w:rFonts w:cs="Arial"/>
        </w:rPr>
        <w:t xml:space="preserve"> to this consultation</w:t>
      </w:r>
      <w:r w:rsidR="001C0A55" w:rsidRPr="00B2299C">
        <w:rPr>
          <w:rFonts w:cs="Arial"/>
        </w:rPr>
        <w:t xml:space="preserve">, but it may be helpful to test </w:t>
      </w:r>
      <w:r w:rsidR="00667A90" w:rsidRPr="00B2299C">
        <w:rPr>
          <w:rFonts w:cs="Arial"/>
        </w:rPr>
        <w:t>from what point</w:t>
      </w:r>
      <w:r w:rsidR="001C0A55" w:rsidRPr="00B2299C">
        <w:rPr>
          <w:rFonts w:cs="Arial"/>
        </w:rPr>
        <w:t xml:space="preserve"> discr</w:t>
      </w:r>
      <w:r w:rsidR="00667A90" w:rsidRPr="00B2299C">
        <w:rPr>
          <w:rFonts w:cs="Arial"/>
        </w:rPr>
        <w:t>etion with such technicalities could impact the end-result.</w:t>
      </w:r>
      <w:r w:rsidR="001C0A55" w:rsidRPr="00B2299C">
        <w:rPr>
          <w:rFonts w:cs="Arial"/>
        </w:rPr>
        <w:t xml:space="preserve">  </w:t>
      </w:r>
    </w:p>
    <w:permEnd w:id="1745703433"/>
    <w:p w14:paraId="02CF3EBD" w14:textId="77777777" w:rsidR="003E573C" w:rsidRDefault="003E573C" w:rsidP="003E573C">
      <w:pPr>
        <w:rPr>
          <w:rFonts w:cs="Arial"/>
        </w:rPr>
      </w:pPr>
      <w:r>
        <w:rPr>
          <w:rFonts w:cs="Arial"/>
        </w:rPr>
        <w:t>&lt;ESA_QUESTION_PKID_11&gt;</w:t>
      </w:r>
    </w:p>
    <w:p w14:paraId="63A69653" w14:textId="77777777" w:rsidR="003E573C" w:rsidRDefault="003E573C" w:rsidP="003E573C">
      <w:pPr>
        <w:rPr>
          <w:rFonts w:cs="Arial"/>
        </w:rPr>
      </w:pPr>
    </w:p>
    <w:p w14:paraId="08E1DACE" w14:textId="77777777" w:rsidR="003E573C" w:rsidRDefault="003E573C" w:rsidP="003E573C">
      <w:pPr>
        <w:pStyle w:val="Questionstyle"/>
        <w:numPr>
          <w:ilvl w:val="0"/>
          <w:numId w:val="39"/>
        </w:numPr>
      </w:pPr>
      <w:r>
        <w:t xml:space="preserve">: </w:t>
      </w:r>
      <w:r w:rsidRPr="00763760">
        <w:t>How should share buyback rates be estimated?</w:t>
      </w:r>
    </w:p>
    <w:p w14:paraId="5B93C37C" w14:textId="77777777" w:rsidR="003E573C" w:rsidRDefault="003E573C" w:rsidP="003E573C">
      <w:pPr>
        <w:rPr>
          <w:rFonts w:cs="Arial"/>
        </w:rPr>
      </w:pPr>
      <w:r>
        <w:rPr>
          <w:rFonts w:cs="Arial"/>
        </w:rPr>
        <w:t>&lt;ESA_QUESTION_PKID_12&gt;</w:t>
      </w:r>
    </w:p>
    <w:p w14:paraId="4EBF6428" w14:textId="77777777" w:rsidR="00524168" w:rsidRPr="00524168" w:rsidRDefault="00524168" w:rsidP="00524168">
      <w:pPr>
        <w:rPr>
          <w:rFonts w:cs="Arial"/>
        </w:rPr>
      </w:pPr>
      <w:permStart w:id="698747725" w:edGrp="everyone"/>
      <w:r w:rsidRPr="00524168">
        <w:rPr>
          <w:rFonts w:cs="Arial"/>
        </w:rPr>
        <w:t>TYPE YOUR TEXT HERE</w:t>
      </w:r>
    </w:p>
    <w:permEnd w:id="698747725"/>
    <w:p w14:paraId="1F7232E4" w14:textId="77777777" w:rsidR="003E573C" w:rsidRDefault="003E573C" w:rsidP="003E573C">
      <w:pPr>
        <w:rPr>
          <w:rFonts w:cs="Arial"/>
        </w:rPr>
      </w:pPr>
      <w:r>
        <w:rPr>
          <w:rFonts w:cs="Arial"/>
        </w:rPr>
        <w:t>&lt;ESA_QUESTION_PKID_12&gt;</w:t>
      </w:r>
    </w:p>
    <w:p w14:paraId="7B171EEE" w14:textId="77777777" w:rsidR="003E573C" w:rsidRDefault="003E573C" w:rsidP="003E573C">
      <w:pPr>
        <w:rPr>
          <w:rFonts w:cs="Arial"/>
        </w:rPr>
      </w:pPr>
    </w:p>
    <w:p w14:paraId="410A82F4"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4B4E9319" w14:textId="77777777" w:rsidR="003E573C" w:rsidRDefault="003E573C" w:rsidP="003E573C">
      <w:pPr>
        <w:rPr>
          <w:rFonts w:cs="Arial"/>
        </w:rPr>
      </w:pPr>
      <w:r>
        <w:rPr>
          <w:rFonts w:cs="Arial"/>
        </w:rPr>
        <w:t>&lt;ESA_QUESTION_PKID_13&gt;</w:t>
      </w:r>
    </w:p>
    <w:p w14:paraId="206DF25C" w14:textId="77777777" w:rsidR="003E573C" w:rsidRDefault="003E573C" w:rsidP="003E573C">
      <w:pPr>
        <w:rPr>
          <w:rFonts w:cs="Arial"/>
        </w:rPr>
      </w:pPr>
      <w:permStart w:id="505245824" w:edGrp="everyone"/>
      <w:r>
        <w:rPr>
          <w:rFonts w:cs="Arial"/>
        </w:rPr>
        <w:t>TYPE YOUR TEXT HERE</w:t>
      </w:r>
    </w:p>
    <w:permEnd w:id="505245824"/>
    <w:p w14:paraId="34F789D1" w14:textId="77777777" w:rsidR="003E573C" w:rsidRDefault="003E573C" w:rsidP="003E573C">
      <w:pPr>
        <w:rPr>
          <w:rFonts w:cs="Arial"/>
        </w:rPr>
      </w:pPr>
      <w:r>
        <w:rPr>
          <w:rFonts w:cs="Arial"/>
        </w:rPr>
        <w:t>&lt;ESA_QUESTION_PKID_13&gt;</w:t>
      </w:r>
    </w:p>
    <w:p w14:paraId="176EDAF7" w14:textId="77777777" w:rsidR="003E573C" w:rsidRDefault="003E573C" w:rsidP="003E573C">
      <w:pPr>
        <w:rPr>
          <w:rFonts w:cs="Arial"/>
        </w:rPr>
      </w:pPr>
    </w:p>
    <w:p w14:paraId="12D2E683"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3FE1EC95" w14:textId="77777777" w:rsidR="003E573C" w:rsidRDefault="003E573C" w:rsidP="003E573C">
      <w:pPr>
        <w:rPr>
          <w:rFonts w:cs="Arial"/>
        </w:rPr>
      </w:pPr>
      <w:r>
        <w:rPr>
          <w:rFonts w:cs="Arial"/>
        </w:rPr>
        <w:t>&lt;ESA_QUESTION_PKID_14&gt;</w:t>
      </w:r>
    </w:p>
    <w:p w14:paraId="593DE46C" w14:textId="77777777" w:rsidR="003E573C" w:rsidRDefault="003E573C" w:rsidP="003E573C">
      <w:pPr>
        <w:rPr>
          <w:rFonts w:cs="Arial"/>
        </w:rPr>
      </w:pPr>
      <w:permStart w:id="103575255" w:edGrp="everyone"/>
      <w:r>
        <w:rPr>
          <w:rFonts w:cs="Arial"/>
        </w:rPr>
        <w:t>TYPE YOUR TEXT HERE</w:t>
      </w:r>
    </w:p>
    <w:permEnd w:id="103575255"/>
    <w:p w14:paraId="3670EA56" w14:textId="77777777" w:rsidR="003E573C" w:rsidRDefault="003E573C" w:rsidP="003E573C">
      <w:pPr>
        <w:rPr>
          <w:rFonts w:cs="Arial"/>
        </w:rPr>
      </w:pPr>
      <w:r>
        <w:rPr>
          <w:rFonts w:cs="Arial"/>
        </w:rPr>
        <w:t>&lt;ESA_QUESTION_PKID_14&gt;</w:t>
      </w:r>
    </w:p>
    <w:p w14:paraId="24DABCAF" w14:textId="77777777" w:rsidR="003E573C" w:rsidRDefault="003E573C" w:rsidP="003E573C">
      <w:pPr>
        <w:rPr>
          <w:rFonts w:cs="Arial"/>
        </w:rPr>
      </w:pPr>
    </w:p>
    <w:p w14:paraId="76855E70"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7584D8DC" w14:textId="77777777" w:rsidR="003E573C" w:rsidRDefault="003E573C" w:rsidP="003E573C">
      <w:pPr>
        <w:rPr>
          <w:rFonts w:cs="Arial"/>
        </w:rPr>
      </w:pPr>
      <w:r>
        <w:rPr>
          <w:rFonts w:cs="Arial"/>
        </w:rPr>
        <w:t>&lt;ESA_QUESTION_PKID_15&gt;</w:t>
      </w:r>
    </w:p>
    <w:p w14:paraId="0480589A" w14:textId="77777777" w:rsidR="002437CE" w:rsidRDefault="002437CE" w:rsidP="003E573C">
      <w:pPr>
        <w:rPr>
          <w:rFonts w:cs="Arial"/>
        </w:rPr>
      </w:pPr>
      <w:permStart w:id="1881764694" w:edGrp="everyone"/>
      <w:r>
        <w:rPr>
          <w:rFonts w:cs="Arial"/>
        </w:rPr>
        <w:t>T</w:t>
      </w:r>
      <w:r w:rsidR="00582DB6" w:rsidRPr="00582DB6">
        <w:rPr>
          <w:rFonts w:cs="Arial"/>
        </w:rPr>
        <w:t xml:space="preserve">he fact </w:t>
      </w:r>
      <w:r>
        <w:rPr>
          <w:rFonts w:cs="Arial"/>
        </w:rPr>
        <w:t>that</w:t>
      </w:r>
      <w:r w:rsidR="00582DB6" w:rsidRPr="00582DB6">
        <w:rPr>
          <w:rFonts w:cs="Arial"/>
        </w:rPr>
        <w:t xml:space="preserve"> compensatory mechanisms</w:t>
      </w:r>
      <w:r>
        <w:rPr>
          <w:rFonts w:cs="Arial"/>
        </w:rPr>
        <w:t xml:space="preserve"> are brought forward</w:t>
      </w:r>
      <w:r w:rsidR="00582DB6" w:rsidRPr="00582DB6">
        <w:rPr>
          <w:rFonts w:cs="Arial"/>
        </w:rPr>
        <w:t xml:space="preserve"> is interesting in itself. </w:t>
      </w:r>
      <w:r>
        <w:rPr>
          <w:rFonts w:cs="Arial"/>
        </w:rPr>
        <w:t xml:space="preserve">First, it signals that the ESAs expect that the probabilistic approach is not going to work in all cases (rightly so). Second, it gives the impression that where the probabilistic approach won’t work, i.e. produces figures that no one would consider reasonable, manufacturers can then use tweaks to reverse engineer an outcome that could be deemed more reasonable. This is not acceptable. </w:t>
      </w:r>
    </w:p>
    <w:p w14:paraId="4AD3B5FB" w14:textId="77777777" w:rsidR="002437CE" w:rsidRDefault="002437CE" w:rsidP="003E573C">
      <w:pPr>
        <w:rPr>
          <w:rFonts w:cs="Arial"/>
        </w:rPr>
      </w:pPr>
    </w:p>
    <w:p w14:paraId="36F93434" w14:textId="3D28B226" w:rsidR="00582DB6" w:rsidRDefault="002437CE" w:rsidP="003E573C">
      <w:pPr>
        <w:rPr>
          <w:rFonts w:cs="Arial"/>
        </w:rPr>
      </w:pPr>
      <w:r>
        <w:rPr>
          <w:rFonts w:cs="Arial"/>
        </w:rPr>
        <w:t>As long as the approach is trying to predict the future, there will always be methodological faults, the scenarios will not capture extreme circumstances, and won’t work always for all products. That is t</w:t>
      </w:r>
      <w:r w:rsidR="00C807CD">
        <w:rPr>
          <w:rFonts w:cs="Arial"/>
        </w:rPr>
        <w:t xml:space="preserve">he consequence of focussing on </w:t>
      </w:r>
      <w:r w:rsidR="00C807CD" w:rsidRPr="00C807CD">
        <w:rPr>
          <w:rFonts w:cs="Arial"/>
          <w:u w:val="single"/>
        </w:rPr>
        <w:t>future</w:t>
      </w:r>
      <w:r w:rsidR="00C807CD">
        <w:rPr>
          <w:rFonts w:cs="Arial"/>
        </w:rPr>
        <w:t xml:space="preserve"> performance scenarios and not </w:t>
      </w:r>
      <w:r w:rsidRPr="00C807CD">
        <w:rPr>
          <w:rFonts w:cs="Arial"/>
          <w:u w:val="single"/>
        </w:rPr>
        <w:t>appropriate</w:t>
      </w:r>
      <w:r>
        <w:rPr>
          <w:rFonts w:cs="Arial"/>
        </w:rPr>
        <w:t xml:space="preserve"> pe</w:t>
      </w:r>
      <w:r w:rsidR="00C807CD">
        <w:rPr>
          <w:rFonts w:cs="Arial"/>
        </w:rPr>
        <w:t>rformance scenarios</w:t>
      </w:r>
      <w:r>
        <w:rPr>
          <w:rFonts w:cs="Arial"/>
        </w:rPr>
        <w:t xml:space="preserve"> as in the PRIIP Regulation, Article 8(3)(d)(iii).</w:t>
      </w:r>
    </w:p>
    <w:permEnd w:id="1881764694"/>
    <w:p w14:paraId="11547673" w14:textId="77777777" w:rsidR="003E573C" w:rsidRDefault="003E573C" w:rsidP="003E573C">
      <w:pPr>
        <w:rPr>
          <w:rFonts w:cs="Arial"/>
        </w:rPr>
      </w:pPr>
      <w:r>
        <w:rPr>
          <w:rFonts w:cs="Arial"/>
        </w:rPr>
        <w:t>&lt;ESA_QUESTION_PKID_15&gt;</w:t>
      </w:r>
    </w:p>
    <w:p w14:paraId="7050DF29" w14:textId="77777777" w:rsidR="003E573C" w:rsidRDefault="003E573C" w:rsidP="003E573C">
      <w:pPr>
        <w:rPr>
          <w:rFonts w:cs="Arial"/>
        </w:rPr>
      </w:pPr>
    </w:p>
    <w:p w14:paraId="698E0960"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090A8DDB" w14:textId="77777777" w:rsidR="003E573C" w:rsidRDefault="003E573C" w:rsidP="003E573C">
      <w:pPr>
        <w:rPr>
          <w:rFonts w:cs="Arial"/>
        </w:rPr>
      </w:pPr>
      <w:r>
        <w:rPr>
          <w:rFonts w:cs="Arial"/>
        </w:rPr>
        <w:t>&lt;ESA_QUESTION_PKID_16&gt;</w:t>
      </w:r>
    </w:p>
    <w:p w14:paraId="74F0C633" w14:textId="77777777" w:rsidR="005B7352" w:rsidRDefault="00BF6559" w:rsidP="003E573C">
      <w:pPr>
        <w:rPr>
          <w:rFonts w:cs="Arial"/>
        </w:rPr>
      </w:pPr>
      <w:permStart w:id="1936265809" w:edGrp="everyone"/>
      <w:r>
        <w:rPr>
          <w:rFonts w:cs="Arial"/>
        </w:rPr>
        <w:lastRenderedPageBreak/>
        <w:t>There is certainly merit in considering alternatives to the pref</w:t>
      </w:r>
      <w:r w:rsidR="00582DB6" w:rsidRPr="00582DB6">
        <w:rPr>
          <w:rFonts w:cs="Arial"/>
        </w:rPr>
        <w:t xml:space="preserve">erred probabilistic approach </w:t>
      </w:r>
      <w:r>
        <w:rPr>
          <w:rFonts w:cs="Arial"/>
        </w:rPr>
        <w:t>considering how complex it is</w:t>
      </w:r>
      <w:r w:rsidR="00582DB6" w:rsidRPr="00582DB6">
        <w:rPr>
          <w:rFonts w:cs="Arial"/>
        </w:rPr>
        <w:t xml:space="preserve">, </w:t>
      </w:r>
      <w:r>
        <w:rPr>
          <w:rFonts w:cs="Arial"/>
        </w:rPr>
        <w:t>how it</w:t>
      </w:r>
      <w:r w:rsidR="00582DB6" w:rsidRPr="00582DB6">
        <w:rPr>
          <w:rFonts w:cs="Arial"/>
        </w:rPr>
        <w:t xml:space="preserve"> makes </w:t>
      </w:r>
      <w:r w:rsidR="005B7352">
        <w:rPr>
          <w:rFonts w:cs="Arial"/>
        </w:rPr>
        <w:t>manufacturers</w:t>
      </w:r>
      <w:r w:rsidR="00582DB6" w:rsidRPr="00582DB6">
        <w:rPr>
          <w:rFonts w:cs="Arial"/>
        </w:rPr>
        <w:t xml:space="preserve"> dependent on </w:t>
      </w:r>
      <w:r w:rsidR="005B7352">
        <w:rPr>
          <w:rFonts w:cs="Arial"/>
        </w:rPr>
        <w:t xml:space="preserve">commercial </w:t>
      </w:r>
      <w:r w:rsidR="00582DB6" w:rsidRPr="00582DB6">
        <w:rPr>
          <w:rFonts w:cs="Arial"/>
        </w:rPr>
        <w:t xml:space="preserve">data vendors </w:t>
      </w:r>
      <w:r>
        <w:rPr>
          <w:rFonts w:cs="Arial"/>
        </w:rPr>
        <w:t>by creating</w:t>
      </w:r>
      <w:r w:rsidR="00582DB6" w:rsidRPr="00582DB6">
        <w:rPr>
          <w:rFonts w:cs="Arial"/>
        </w:rPr>
        <w:t xml:space="preserve"> an inelastic demand for their services, </w:t>
      </w:r>
      <w:r>
        <w:rPr>
          <w:rFonts w:cs="Arial"/>
        </w:rPr>
        <w:t>with still no guarantee t</w:t>
      </w:r>
      <w:r w:rsidR="00582DB6" w:rsidRPr="00582DB6">
        <w:rPr>
          <w:rFonts w:cs="Arial"/>
        </w:rPr>
        <w:t xml:space="preserve">hat the </w:t>
      </w:r>
      <w:r>
        <w:rPr>
          <w:rFonts w:cs="Arial"/>
        </w:rPr>
        <w:t>ensuing figures</w:t>
      </w:r>
      <w:r w:rsidR="00582DB6" w:rsidRPr="00582DB6">
        <w:rPr>
          <w:rFonts w:cs="Arial"/>
        </w:rPr>
        <w:t xml:space="preserve"> </w:t>
      </w:r>
      <w:r>
        <w:rPr>
          <w:rFonts w:cs="Arial"/>
        </w:rPr>
        <w:t>will</w:t>
      </w:r>
      <w:r w:rsidR="00582DB6" w:rsidRPr="00582DB6">
        <w:rPr>
          <w:rFonts w:cs="Arial"/>
        </w:rPr>
        <w:t xml:space="preserve"> be meaningful</w:t>
      </w:r>
      <w:r w:rsidR="005B7352">
        <w:rPr>
          <w:rFonts w:cs="Arial"/>
        </w:rPr>
        <w:t>.</w:t>
      </w:r>
    </w:p>
    <w:p w14:paraId="53F082D8" w14:textId="77777777" w:rsidR="005B7352" w:rsidRDefault="005B7352" w:rsidP="003E573C">
      <w:pPr>
        <w:rPr>
          <w:rFonts w:cs="Arial"/>
        </w:rPr>
      </w:pPr>
    </w:p>
    <w:p w14:paraId="4CD87D19" w14:textId="77777777" w:rsidR="009E32BF" w:rsidRDefault="005B7352" w:rsidP="003E573C">
      <w:pPr>
        <w:rPr>
          <w:rFonts w:cs="Arial"/>
        </w:rPr>
      </w:pPr>
      <w:r>
        <w:rPr>
          <w:rFonts w:cs="Arial"/>
        </w:rPr>
        <w:t xml:space="preserve">The idea of using past observations to give a range of outcomes that consumers have experienced in the past, as in, the best, average and worst historical returns for an RHP over e.g. the last 10 years (with the strict understanding that this is the past and no guarantee for future returns), could be a simple and meaningful alternative to providing a range of outcomes </w:t>
      </w:r>
      <w:r w:rsidRPr="009E32BF">
        <w:rPr>
          <w:rFonts w:cs="Arial"/>
          <w:u w:val="single"/>
        </w:rPr>
        <w:t>instead of scenarios</w:t>
      </w:r>
      <w:r>
        <w:rPr>
          <w:rFonts w:cs="Arial"/>
        </w:rPr>
        <w:t xml:space="preserve"> for linear PRIIPs. This range of outcomes would then mirror the path dependent range of outcomes for non-linear PRIIPs. We have provided examples of such disclosure in a recent </w:t>
      </w:r>
      <w:hyperlink r:id="rId33" w:history="1">
        <w:r w:rsidRPr="009E32BF">
          <w:rPr>
            <w:rStyle w:val="Hyperlink"/>
            <w:rFonts w:cs="Arial"/>
          </w:rPr>
          <w:t>research paper</w:t>
        </w:r>
      </w:hyperlink>
      <w:r w:rsidR="009E32BF">
        <w:rPr>
          <w:rFonts w:cs="Arial"/>
        </w:rPr>
        <w:t xml:space="preserve"> (see page 6, table 2).</w:t>
      </w:r>
    </w:p>
    <w:p w14:paraId="2843FFC0" w14:textId="77777777" w:rsidR="009E32BF" w:rsidRDefault="009E32BF" w:rsidP="003E573C">
      <w:pPr>
        <w:rPr>
          <w:rFonts w:cs="Arial"/>
        </w:rPr>
      </w:pPr>
    </w:p>
    <w:p w14:paraId="53B73028" w14:textId="6E125711" w:rsidR="00582DB6" w:rsidRDefault="009E32BF" w:rsidP="003E573C">
      <w:pPr>
        <w:rPr>
          <w:rFonts w:cs="Arial"/>
        </w:rPr>
      </w:pPr>
      <w:r>
        <w:rPr>
          <w:rFonts w:cs="Arial"/>
        </w:rPr>
        <w:t xml:space="preserve">Using the best and worst historical returns to amend </w:t>
      </w:r>
      <w:r w:rsidR="004101B5">
        <w:rPr>
          <w:rFonts w:cs="Arial"/>
        </w:rPr>
        <w:t xml:space="preserve">rather than replace </w:t>
      </w:r>
      <w:r>
        <w:rPr>
          <w:rFonts w:cs="Arial"/>
        </w:rPr>
        <w:t>the scenarios</w:t>
      </w:r>
      <w:r w:rsidR="004101B5">
        <w:rPr>
          <w:rFonts w:cs="Arial"/>
        </w:rPr>
        <w:t xml:space="preserve"> may be even more confusing for retail investors</w:t>
      </w:r>
      <w:r w:rsidR="00BF6559">
        <w:rPr>
          <w:rFonts w:cs="Arial"/>
        </w:rPr>
        <w:t xml:space="preserve"> as</w:t>
      </w:r>
      <w:r w:rsidR="004101B5">
        <w:rPr>
          <w:rFonts w:cs="Arial"/>
        </w:rPr>
        <w:t xml:space="preserve"> it combines </w:t>
      </w:r>
      <w:r w:rsidR="00BF6559">
        <w:rPr>
          <w:rFonts w:cs="Arial"/>
        </w:rPr>
        <w:t xml:space="preserve">returns that are real and have been experienced by investors with returns that are </w:t>
      </w:r>
      <w:r w:rsidR="004101B5">
        <w:rPr>
          <w:rFonts w:cs="Arial"/>
        </w:rPr>
        <w:t>theoretical</w:t>
      </w:r>
      <w:r w:rsidR="00762037">
        <w:rPr>
          <w:rFonts w:cs="Arial"/>
        </w:rPr>
        <w:t xml:space="preserve"> and have not and will not be experienced by anyone</w:t>
      </w:r>
      <w:r w:rsidR="004101B5">
        <w:rPr>
          <w:rFonts w:cs="Arial"/>
        </w:rPr>
        <w:t xml:space="preserve">. </w:t>
      </w:r>
      <w:r w:rsidR="00BF6559">
        <w:rPr>
          <w:rFonts w:cs="Arial"/>
        </w:rPr>
        <w:t xml:space="preserve">This adds a degree of complexity, in that, notwithstanding the challenges of explaining the new probabilistic approach to retail investors, they would then be presented with historical data depending on circumstances and on each manufacturer’s view of what could be considered to be realistic. A significant simplification would be to replace the probabilistic scenarios with the </w:t>
      </w:r>
      <w:r w:rsidR="00BF6559" w:rsidRPr="00B2299C">
        <w:rPr>
          <w:rFonts w:cs="Arial"/>
        </w:rPr>
        <w:t>best</w:t>
      </w:r>
      <w:r w:rsidR="001C0A55" w:rsidRPr="00B2299C">
        <w:rPr>
          <w:rFonts w:cs="Arial"/>
        </w:rPr>
        <w:t>, average</w:t>
      </w:r>
      <w:r w:rsidR="00BF6559" w:rsidRPr="00B2299C">
        <w:rPr>
          <w:rFonts w:cs="Arial"/>
        </w:rPr>
        <w:t xml:space="preserve"> and </w:t>
      </w:r>
      <w:r w:rsidR="00BF6559">
        <w:rPr>
          <w:rFonts w:cs="Arial"/>
        </w:rPr>
        <w:t xml:space="preserve">worst returns observed in the past with the usual caveat that this is no guarantee for future outcomes. </w:t>
      </w:r>
    </w:p>
    <w:permEnd w:id="1936265809"/>
    <w:p w14:paraId="35BF4C58" w14:textId="77777777" w:rsidR="003E573C" w:rsidRDefault="003E573C" w:rsidP="003E573C">
      <w:pPr>
        <w:rPr>
          <w:rFonts w:cs="Arial"/>
        </w:rPr>
      </w:pPr>
      <w:r>
        <w:rPr>
          <w:rFonts w:cs="Arial"/>
        </w:rPr>
        <w:t>&lt;ESA_QUESTION_PKID_16&gt;</w:t>
      </w:r>
    </w:p>
    <w:p w14:paraId="06E08F55" w14:textId="77777777" w:rsidR="003E573C" w:rsidRDefault="003E573C" w:rsidP="003E573C">
      <w:pPr>
        <w:rPr>
          <w:rFonts w:cs="Arial"/>
        </w:rPr>
      </w:pPr>
    </w:p>
    <w:p w14:paraId="6FE76EAB"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1C8D7834" w14:textId="77777777" w:rsidR="003E573C" w:rsidRDefault="003E573C" w:rsidP="003E573C">
      <w:pPr>
        <w:rPr>
          <w:rFonts w:cs="Arial"/>
        </w:rPr>
      </w:pPr>
      <w:r>
        <w:rPr>
          <w:rFonts w:cs="Arial"/>
        </w:rPr>
        <w:t>&lt;ESA_QUESTION_PKID_17&gt;</w:t>
      </w:r>
    </w:p>
    <w:p w14:paraId="7A4933E3" w14:textId="2F9021D1" w:rsidR="00762037" w:rsidRDefault="00C807CD" w:rsidP="003E573C">
      <w:pPr>
        <w:rPr>
          <w:rFonts w:cs="Arial"/>
        </w:rPr>
      </w:pPr>
      <w:permStart w:id="655973743" w:edGrp="everyone"/>
      <w:r>
        <w:rPr>
          <w:rFonts w:cs="Arial"/>
        </w:rPr>
        <w:t>This question</w:t>
      </w:r>
      <w:r w:rsidR="00582DB6" w:rsidRPr="00582DB6">
        <w:rPr>
          <w:rFonts w:cs="Arial"/>
        </w:rPr>
        <w:t xml:space="preserve"> is hard to answer if the methodological faults are unforeseen. But this is indicative of the limitations of the approach itself</w:t>
      </w:r>
      <w:r w:rsidR="005F11CD">
        <w:rPr>
          <w:rFonts w:cs="Arial"/>
        </w:rPr>
        <w:t xml:space="preserve"> that</w:t>
      </w:r>
      <w:r w:rsidR="00762037">
        <w:rPr>
          <w:rFonts w:cs="Arial"/>
        </w:rPr>
        <w:t>:</w:t>
      </w:r>
    </w:p>
    <w:p w14:paraId="655872DD" w14:textId="77777777" w:rsidR="00762037" w:rsidRDefault="005F11CD" w:rsidP="00F51E97">
      <w:pPr>
        <w:pStyle w:val="ListParagraph"/>
        <w:numPr>
          <w:ilvl w:val="0"/>
          <w:numId w:val="44"/>
        </w:numPr>
        <w:rPr>
          <w:rFonts w:cs="Arial"/>
        </w:rPr>
      </w:pPr>
      <w:r w:rsidRPr="00762037">
        <w:rPr>
          <w:rFonts w:cs="Arial"/>
        </w:rPr>
        <w:t xml:space="preserve">cannot apply where there is limited data (there is less historical data for European markets compared to the US), </w:t>
      </w:r>
    </w:p>
    <w:p w14:paraId="0D3B7B9A" w14:textId="5AEEEE9A" w:rsidR="00762037" w:rsidRDefault="00EF6C8D" w:rsidP="00F51E97">
      <w:pPr>
        <w:pStyle w:val="ListParagraph"/>
        <w:numPr>
          <w:ilvl w:val="0"/>
          <w:numId w:val="44"/>
        </w:numPr>
        <w:rPr>
          <w:rFonts w:cs="Arial"/>
        </w:rPr>
      </w:pPr>
      <w:r w:rsidRPr="00762037">
        <w:rPr>
          <w:rFonts w:cs="Arial"/>
        </w:rPr>
        <w:t xml:space="preserve">needs to be amended for some asset classes (as is </w:t>
      </w:r>
      <w:r w:rsidR="00C807CD">
        <w:rPr>
          <w:rFonts w:cs="Arial"/>
        </w:rPr>
        <w:t xml:space="preserve">already </w:t>
      </w:r>
      <w:r w:rsidRPr="00762037">
        <w:rPr>
          <w:rFonts w:cs="Arial"/>
        </w:rPr>
        <w:t xml:space="preserve">the case for money market funds) </w:t>
      </w:r>
    </w:p>
    <w:p w14:paraId="3E018B54" w14:textId="77777777" w:rsidR="00762037" w:rsidRDefault="00EF6C8D" w:rsidP="00F51E97">
      <w:pPr>
        <w:pStyle w:val="ListParagraph"/>
        <w:numPr>
          <w:ilvl w:val="0"/>
          <w:numId w:val="44"/>
        </w:numPr>
        <w:rPr>
          <w:rFonts w:cs="Arial"/>
        </w:rPr>
      </w:pPr>
      <w:r w:rsidRPr="00762037">
        <w:rPr>
          <w:rFonts w:cs="Arial"/>
        </w:rPr>
        <w:t>can still produce figures that do not reflect what an asset class has historically delivered</w:t>
      </w:r>
      <w:r w:rsidR="00582DB6" w:rsidRPr="00762037">
        <w:rPr>
          <w:rFonts w:cs="Arial"/>
        </w:rPr>
        <w:t>.</w:t>
      </w:r>
      <w:r w:rsidR="005F11CD" w:rsidRPr="00762037">
        <w:rPr>
          <w:rFonts w:cs="Arial"/>
        </w:rPr>
        <w:t xml:space="preserve"> </w:t>
      </w:r>
    </w:p>
    <w:p w14:paraId="5C4ADAD3" w14:textId="77777777" w:rsidR="002E6E5E" w:rsidRDefault="002E6E5E" w:rsidP="00762037">
      <w:pPr>
        <w:rPr>
          <w:rFonts w:cs="Arial"/>
        </w:rPr>
      </w:pPr>
    </w:p>
    <w:p w14:paraId="3EB9AB2B" w14:textId="77777777" w:rsidR="00582DB6" w:rsidRPr="00762037" w:rsidRDefault="005F11CD" w:rsidP="00762037">
      <w:pPr>
        <w:rPr>
          <w:rFonts w:cs="Arial"/>
        </w:rPr>
      </w:pPr>
      <w:r w:rsidRPr="00762037">
        <w:rPr>
          <w:rFonts w:cs="Arial"/>
        </w:rPr>
        <w:t xml:space="preserve">We would like to caution against </w:t>
      </w:r>
      <w:r w:rsidR="00EF6C8D" w:rsidRPr="00762037">
        <w:rPr>
          <w:rFonts w:cs="Arial"/>
        </w:rPr>
        <w:t>an</w:t>
      </w:r>
      <w:r w:rsidRPr="00762037">
        <w:rPr>
          <w:rFonts w:cs="Arial"/>
        </w:rPr>
        <w:t xml:space="preserve"> approach </w:t>
      </w:r>
      <w:r w:rsidR="00EF6C8D" w:rsidRPr="00762037">
        <w:rPr>
          <w:rFonts w:cs="Arial"/>
        </w:rPr>
        <w:t>that requires</w:t>
      </w:r>
      <w:r w:rsidRPr="00762037">
        <w:rPr>
          <w:rFonts w:cs="Arial"/>
        </w:rPr>
        <w:t xml:space="preserve"> compensatory mechanisms</w:t>
      </w:r>
      <w:r w:rsidR="00EF6C8D" w:rsidRPr="00762037">
        <w:rPr>
          <w:rFonts w:cs="Arial"/>
        </w:rPr>
        <w:t xml:space="preserve"> not only because of the additional complexity and the difficulty in explaining the figures to retail investors, but also for the window it opens for different or slightly </w:t>
      </w:r>
      <w:r w:rsidR="00762037">
        <w:rPr>
          <w:rFonts w:cs="Arial"/>
        </w:rPr>
        <w:t>tweaked methodologies that make</w:t>
      </w:r>
      <w:r w:rsidR="00EF6C8D" w:rsidRPr="00762037">
        <w:rPr>
          <w:rFonts w:cs="Arial"/>
        </w:rPr>
        <w:t xml:space="preserve"> the figures less comparable even within the same PRIIP category.</w:t>
      </w:r>
    </w:p>
    <w:permEnd w:id="655973743"/>
    <w:p w14:paraId="73E85447" w14:textId="77777777" w:rsidR="003E573C" w:rsidRDefault="003E573C" w:rsidP="003E573C">
      <w:pPr>
        <w:rPr>
          <w:rFonts w:cs="Arial"/>
        </w:rPr>
      </w:pPr>
      <w:r>
        <w:rPr>
          <w:rFonts w:cs="Arial"/>
        </w:rPr>
        <w:t>&lt;ESA_QUESTION_PKID_17&gt;</w:t>
      </w:r>
    </w:p>
    <w:p w14:paraId="32F628D2" w14:textId="77777777" w:rsidR="003E573C" w:rsidRDefault="003E573C" w:rsidP="003E573C">
      <w:pPr>
        <w:rPr>
          <w:rFonts w:cs="Arial"/>
        </w:rPr>
      </w:pPr>
    </w:p>
    <w:p w14:paraId="2888D20A"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23EE83A1" w14:textId="77777777" w:rsidR="003E573C" w:rsidRDefault="003E573C" w:rsidP="003E573C">
      <w:pPr>
        <w:rPr>
          <w:rFonts w:cs="Arial"/>
        </w:rPr>
      </w:pPr>
      <w:r>
        <w:rPr>
          <w:rFonts w:cs="Arial"/>
        </w:rPr>
        <w:t>&lt;ESA_QUESTION_PKID_18&gt;</w:t>
      </w:r>
    </w:p>
    <w:p w14:paraId="103C8198" w14:textId="77777777" w:rsidR="00EF5789" w:rsidRDefault="002E6E5E" w:rsidP="003E573C">
      <w:pPr>
        <w:rPr>
          <w:rFonts w:cs="Arial"/>
        </w:rPr>
      </w:pPr>
      <w:permStart w:id="2056794214" w:edGrp="everyone"/>
      <w:r>
        <w:rPr>
          <w:rFonts w:cs="Arial"/>
        </w:rPr>
        <w:t xml:space="preserve">An approach based on rates provided by a regulator or other </w:t>
      </w:r>
      <w:r w:rsidRPr="00C807CD">
        <w:rPr>
          <w:rFonts w:cs="Arial"/>
          <w:u w:val="single"/>
        </w:rPr>
        <w:t>non-commercial</w:t>
      </w:r>
      <w:r>
        <w:rPr>
          <w:rFonts w:cs="Arial"/>
        </w:rPr>
        <w:t xml:space="preserve"> external body would have the advantage of simplicity of both implementation by firms and explanation to consumers. </w:t>
      </w:r>
      <w:r w:rsidR="00EF5789">
        <w:rPr>
          <w:rFonts w:cs="Arial"/>
        </w:rPr>
        <w:t xml:space="preserve">This is subject to </w:t>
      </w:r>
      <w:r w:rsidR="002339D1">
        <w:rPr>
          <w:rFonts w:cs="Arial"/>
        </w:rPr>
        <w:t>three</w:t>
      </w:r>
      <w:r w:rsidR="00EF5789">
        <w:rPr>
          <w:rFonts w:cs="Arial"/>
        </w:rPr>
        <w:t xml:space="preserve"> conditions:</w:t>
      </w:r>
    </w:p>
    <w:p w14:paraId="7C447058" w14:textId="6F6F4792" w:rsidR="00EF5789" w:rsidRDefault="00EF5789" w:rsidP="003B7DEB">
      <w:pPr>
        <w:pStyle w:val="BulletedtextRegularB17"/>
        <w:ind w:left="357" w:hanging="357"/>
      </w:pPr>
      <w:r>
        <w:t>First, we consider that a range of rates and not just maximum growth rates would be preferable so as to</w:t>
      </w:r>
      <w:r w:rsidR="00C807CD">
        <w:t xml:space="preserve"> also</w:t>
      </w:r>
      <w:r>
        <w:t xml:space="preserve"> illustrate the “average” and “worst” cases. We would like to reiterate that the issue with the current methodology is not only the unrealistically favourable growth rates that we see now (as stated on page 27 of the consultation paper) but also the potential for unrealistically unfavourable growth rates immediately after a market downturn. </w:t>
      </w:r>
    </w:p>
    <w:p w14:paraId="6896CEC9" w14:textId="77777777" w:rsidR="002339D1" w:rsidRDefault="002339D1" w:rsidP="003B7DEB">
      <w:pPr>
        <w:pStyle w:val="BulletedtextRegularB17"/>
        <w:ind w:left="357" w:hanging="357"/>
      </w:pPr>
      <w:r>
        <w:t>Second, a sufficient degree of asset class granularity is granted that looks through to the major asset classes</w:t>
      </w:r>
      <w:r w:rsidR="00E8240E">
        <w:t xml:space="preserve"> but is</w:t>
      </w:r>
      <w:r w:rsidR="00B90EEC">
        <w:t xml:space="preserve"> not too granular.</w:t>
      </w:r>
    </w:p>
    <w:p w14:paraId="7C87E7BB" w14:textId="77777777" w:rsidR="002339D1" w:rsidRDefault="00B90EEC" w:rsidP="003B7DEB">
      <w:pPr>
        <w:pStyle w:val="BulletedtextRegularB17"/>
        <w:ind w:left="357" w:hanging="357"/>
      </w:pPr>
      <w:r>
        <w:lastRenderedPageBreak/>
        <w:t>Third</w:t>
      </w:r>
      <w:r w:rsidR="00EF5789">
        <w:t xml:space="preserve">, we agree that this would require a clear methodology for the calculation of the rates and that a long historical record would be more appropriate. This methodology </w:t>
      </w:r>
      <w:r w:rsidR="002339D1">
        <w:t>could</w:t>
      </w:r>
      <w:r w:rsidR="00EF5789">
        <w:t xml:space="preserve"> be subject to the same conditions for review as the scenarios by manufacturers currently are, i.e. </w:t>
      </w:r>
      <w:r w:rsidR="002339D1">
        <w:t>at least on an annual basis or if one of the underlying parameters changes significantly (as per Article 15 of the PRIIP Delegated Regulation). However, this would depend on the length of the historical period that will be chosen as an average over 40 years (mentioned on page 27 of the consultation paper).</w:t>
      </w:r>
    </w:p>
    <w:p w14:paraId="04D1F4A9" w14:textId="77777777" w:rsidR="002339D1" w:rsidRDefault="002339D1" w:rsidP="003E573C">
      <w:pPr>
        <w:rPr>
          <w:rFonts w:cs="Arial"/>
        </w:rPr>
      </w:pPr>
    </w:p>
    <w:p w14:paraId="05A3B776" w14:textId="7FEFAA4F" w:rsidR="00582DB6" w:rsidRDefault="00B90EEC" w:rsidP="003E573C">
      <w:pPr>
        <w:rPr>
          <w:rFonts w:cs="Arial"/>
        </w:rPr>
      </w:pPr>
      <w:r>
        <w:rPr>
          <w:rFonts w:cs="Arial"/>
        </w:rPr>
        <w:t xml:space="preserve">Although this approach would be preferable to the probabilistic one, </w:t>
      </w:r>
      <w:r w:rsidR="00CD46E9">
        <w:rPr>
          <w:rFonts w:cs="Arial"/>
        </w:rPr>
        <w:t>some issues remain. Namely, funds within the same asset classes would have scenarios that are more similar</w:t>
      </w:r>
      <w:r w:rsidR="00C807CD">
        <w:rPr>
          <w:rFonts w:cs="Arial"/>
        </w:rPr>
        <w:t xml:space="preserve"> to each other</w:t>
      </w:r>
      <w:r w:rsidR="00CD46E9">
        <w:rPr>
          <w:rFonts w:cs="Arial"/>
        </w:rPr>
        <w:t xml:space="preserve"> than actual returns</w:t>
      </w:r>
      <w:r w:rsidR="00C807CD">
        <w:rPr>
          <w:rFonts w:cs="Arial"/>
        </w:rPr>
        <w:t xml:space="preserve"> are. I</w:t>
      </w:r>
      <w:r w:rsidR="00CD46E9">
        <w:rPr>
          <w:rFonts w:cs="Arial"/>
        </w:rPr>
        <w:t xml:space="preserve">mportantly, as scenarios are required to be presented net of costs, the average active fund will always appear slightly </w:t>
      </w:r>
      <w:r w:rsidR="00C307C7">
        <w:rPr>
          <w:rFonts w:cs="Arial"/>
        </w:rPr>
        <w:t xml:space="preserve">worse than the average passive fund. </w:t>
      </w:r>
    </w:p>
    <w:permEnd w:id="2056794214"/>
    <w:p w14:paraId="74C1E8F4" w14:textId="77777777" w:rsidR="003E573C" w:rsidRDefault="003E573C" w:rsidP="003E573C">
      <w:pPr>
        <w:rPr>
          <w:rFonts w:cs="Arial"/>
        </w:rPr>
      </w:pPr>
      <w:r>
        <w:rPr>
          <w:rFonts w:cs="Arial"/>
        </w:rPr>
        <w:t>&lt;ESA_QUESTION_PKID_18&gt;</w:t>
      </w:r>
    </w:p>
    <w:p w14:paraId="4E12D698" w14:textId="77777777" w:rsidR="003E573C" w:rsidRDefault="003E573C" w:rsidP="003E573C">
      <w:pPr>
        <w:rPr>
          <w:rFonts w:cs="Arial"/>
        </w:rPr>
      </w:pPr>
    </w:p>
    <w:p w14:paraId="43BF6C18"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21A2BD9F" w14:textId="77777777" w:rsidR="003E573C" w:rsidRDefault="003E573C" w:rsidP="003E573C">
      <w:pPr>
        <w:rPr>
          <w:rFonts w:cs="Arial"/>
        </w:rPr>
      </w:pPr>
      <w:r>
        <w:rPr>
          <w:rFonts w:cs="Arial"/>
        </w:rPr>
        <w:t>&lt;ESA_QUESTION_PKID_19&gt;</w:t>
      </w:r>
    </w:p>
    <w:p w14:paraId="7B513BA0" w14:textId="77777777" w:rsidR="00582DB6" w:rsidRDefault="00C307C7" w:rsidP="003E573C">
      <w:pPr>
        <w:rPr>
          <w:rFonts w:cs="Arial"/>
        </w:rPr>
      </w:pPr>
      <w:permStart w:id="651258183" w:edGrp="everyone"/>
      <w:r>
        <w:rPr>
          <w:rFonts w:cs="Arial"/>
        </w:rPr>
        <w:t xml:space="preserve">See our response to question 18. If such an approach is taken, the table would need to be complemented by historical average and minimum (“worst”) growth rates) for completeness and to present consumers with the full range of historical outcomes. </w:t>
      </w:r>
    </w:p>
    <w:permEnd w:id="651258183"/>
    <w:p w14:paraId="7669522C" w14:textId="77777777" w:rsidR="003E573C" w:rsidRDefault="003E573C" w:rsidP="003E573C">
      <w:pPr>
        <w:rPr>
          <w:rFonts w:cs="Arial"/>
        </w:rPr>
      </w:pPr>
      <w:r>
        <w:rPr>
          <w:rFonts w:cs="Arial"/>
        </w:rPr>
        <w:t>&lt;ESA_QUESTION_PKID_19&gt;</w:t>
      </w:r>
    </w:p>
    <w:p w14:paraId="4182554D" w14:textId="77777777" w:rsidR="003E573C" w:rsidRDefault="003E573C" w:rsidP="003E573C">
      <w:pPr>
        <w:rPr>
          <w:rFonts w:cs="Arial"/>
        </w:rPr>
      </w:pPr>
    </w:p>
    <w:p w14:paraId="400F336E"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2234CF3D" w14:textId="77777777" w:rsidR="003E573C" w:rsidRDefault="003E573C" w:rsidP="003E573C">
      <w:pPr>
        <w:rPr>
          <w:rFonts w:cs="Arial"/>
        </w:rPr>
      </w:pPr>
      <w:r>
        <w:rPr>
          <w:rFonts w:cs="Arial"/>
        </w:rPr>
        <w:t>&lt;ESA_QUESTION_PKID_20&gt;</w:t>
      </w:r>
    </w:p>
    <w:p w14:paraId="5EFF2D8D" w14:textId="77777777" w:rsidR="006F7369" w:rsidRDefault="00A93ABB" w:rsidP="00582DB6">
      <w:pPr>
        <w:rPr>
          <w:rFonts w:cs="Arial"/>
        </w:rPr>
      </w:pPr>
      <w:permStart w:id="1491954099" w:edGrp="everyone"/>
      <w:r>
        <w:rPr>
          <w:rFonts w:cs="Arial"/>
        </w:rPr>
        <w:t xml:space="preserve">We recognise that the reason for the development of the probabilistic methodology was to have one common performance measure that would apply across the very diverse universe of PRIIPs. </w:t>
      </w:r>
    </w:p>
    <w:p w14:paraId="7E83649E" w14:textId="77777777" w:rsidR="006F7369" w:rsidRDefault="006F7369" w:rsidP="00582DB6">
      <w:pPr>
        <w:rPr>
          <w:rFonts w:cs="Arial"/>
        </w:rPr>
      </w:pPr>
    </w:p>
    <w:p w14:paraId="11B7FEE8" w14:textId="37E823DA" w:rsidR="00D51BFE" w:rsidRDefault="00A93ABB" w:rsidP="00582DB6">
      <w:pPr>
        <w:rPr>
          <w:rFonts w:cs="Arial"/>
        </w:rPr>
      </w:pPr>
      <w:r>
        <w:rPr>
          <w:rFonts w:cs="Arial"/>
        </w:rPr>
        <w:t>The issue that we see with the probabilistic methodology for non-structured products (that appl</w:t>
      </w:r>
      <w:r w:rsidR="006F7369">
        <w:rPr>
          <w:rFonts w:cs="Arial"/>
        </w:rPr>
        <w:t>y to Schroders) is that it tries</w:t>
      </w:r>
      <w:r>
        <w:rPr>
          <w:rFonts w:cs="Arial"/>
        </w:rPr>
        <w:t xml:space="preserve"> to predict the future. This will always pose problems as so well illustrated by the current </w:t>
      </w:r>
      <w:r w:rsidR="004D3C42">
        <w:rPr>
          <w:rFonts w:cs="Arial"/>
        </w:rPr>
        <w:t xml:space="preserve">state of the </w:t>
      </w:r>
      <w:r>
        <w:rPr>
          <w:rFonts w:cs="Arial"/>
        </w:rPr>
        <w:t>debate. The existing probabilistic method</w:t>
      </w:r>
      <w:r w:rsidR="004D3C42">
        <w:rPr>
          <w:rFonts w:cs="Arial"/>
        </w:rPr>
        <w:t xml:space="preserve"> relies only on internal data,</w:t>
      </w:r>
      <w:r>
        <w:rPr>
          <w:rFonts w:cs="Arial"/>
        </w:rPr>
        <w:t xml:space="preserve"> is simple to implement and explain but is based on past performance and results in procyclical scenarios</w:t>
      </w:r>
      <w:r w:rsidR="004D3C42">
        <w:rPr>
          <w:rFonts w:cs="Arial"/>
        </w:rPr>
        <w:t xml:space="preserve">. The new probabilistic method corrects the </w:t>
      </w:r>
      <w:proofErr w:type="spellStart"/>
      <w:r w:rsidR="004D3C42">
        <w:rPr>
          <w:rFonts w:cs="Arial"/>
        </w:rPr>
        <w:t>procyclicality</w:t>
      </w:r>
      <w:proofErr w:type="spellEnd"/>
      <w:r w:rsidR="004D3C42">
        <w:rPr>
          <w:rFonts w:cs="Arial"/>
        </w:rPr>
        <w:t xml:space="preserve"> but relies on many different types of external data (the availability for which is in some cases far from guaranteed), is complicated to implement and explain, and requires compensatory mechanisms. </w:t>
      </w:r>
    </w:p>
    <w:p w14:paraId="5ABAC759" w14:textId="77777777" w:rsidR="004D3C42" w:rsidRDefault="004D3C42" w:rsidP="00582DB6">
      <w:pPr>
        <w:rPr>
          <w:rFonts w:cs="Arial"/>
        </w:rPr>
      </w:pPr>
    </w:p>
    <w:p w14:paraId="4A7E7C98" w14:textId="77777777" w:rsidR="00582DB6" w:rsidRDefault="006F7369" w:rsidP="003E573C">
      <w:pPr>
        <w:rPr>
          <w:rFonts w:cs="Arial"/>
        </w:rPr>
      </w:pPr>
      <w:r>
        <w:rPr>
          <w:rFonts w:cs="Arial"/>
        </w:rPr>
        <w:t>A reasonable version of p</w:t>
      </w:r>
      <w:r w:rsidR="004D3C42">
        <w:rPr>
          <w:rFonts w:cs="Arial"/>
        </w:rPr>
        <w:t xml:space="preserve">robabilistic scenarios may be more appropriate for other types of PRIIPs that are sold on the basis of a </w:t>
      </w:r>
      <w:r>
        <w:rPr>
          <w:rFonts w:cs="Arial"/>
        </w:rPr>
        <w:t>specific</w:t>
      </w:r>
      <w:r w:rsidR="004D3C42">
        <w:rPr>
          <w:rFonts w:cs="Arial"/>
        </w:rPr>
        <w:t xml:space="preserve"> outcome in the future, such as some insurance products or structured products. But the views of manufacturers of those products will be more relevant on this point.</w:t>
      </w:r>
    </w:p>
    <w:permEnd w:id="1491954099"/>
    <w:p w14:paraId="717EB632" w14:textId="77777777" w:rsidR="003E573C" w:rsidRDefault="003E573C" w:rsidP="003E573C">
      <w:pPr>
        <w:rPr>
          <w:rFonts w:cs="Arial"/>
        </w:rPr>
      </w:pPr>
      <w:r>
        <w:rPr>
          <w:rFonts w:cs="Arial"/>
        </w:rPr>
        <w:t>&lt;ESA_QUESTION_PKID_20&gt;</w:t>
      </w:r>
    </w:p>
    <w:p w14:paraId="25209A58" w14:textId="77777777" w:rsidR="003E573C" w:rsidRDefault="003E573C" w:rsidP="003E573C">
      <w:pPr>
        <w:rPr>
          <w:rFonts w:cs="Arial"/>
        </w:rPr>
      </w:pPr>
    </w:p>
    <w:p w14:paraId="6ECDF74F"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6E958DA1" w14:textId="77777777" w:rsidR="003E573C" w:rsidRDefault="003E573C" w:rsidP="003E573C">
      <w:pPr>
        <w:rPr>
          <w:rFonts w:cs="Arial"/>
        </w:rPr>
      </w:pPr>
      <w:r>
        <w:rPr>
          <w:rFonts w:cs="Arial"/>
        </w:rPr>
        <w:t>&lt;ESA_QUESTION_PKID_21&gt;</w:t>
      </w:r>
    </w:p>
    <w:p w14:paraId="7A67441C" w14:textId="77777777" w:rsidR="00134D1B" w:rsidRDefault="006F7369" w:rsidP="003E573C">
      <w:pPr>
        <w:rPr>
          <w:rFonts w:cs="Arial"/>
        </w:rPr>
      </w:pPr>
      <w:permStart w:id="1061633069" w:edGrp="everyone"/>
      <w:r>
        <w:rPr>
          <w:rFonts w:cs="Arial"/>
        </w:rPr>
        <w:t>We note that two of the three options presented on page 28 of the consultation paper refer to equities</w:t>
      </w:r>
      <w:r w:rsidR="00134D1B">
        <w:rPr>
          <w:rFonts w:cs="Arial"/>
        </w:rPr>
        <w:t xml:space="preserve">, hence we can only assume that the ESAs have considered their application to other asset classes as well. </w:t>
      </w:r>
    </w:p>
    <w:p w14:paraId="66ACD24B" w14:textId="77777777" w:rsidR="00134D1B" w:rsidRDefault="00134D1B" w:rsidP="003E573C">
      <w:pPr>
        <w:rPr>
          <w:rFonts w:cs="Arial"/>
        </w:rPr>
      </w:pPr>
    </w:p>
    <w:p w14:paraId="0F0C6549" w14:textId="24695EF9" w:rsidR="00134D1B" w:rsidRDefault="00134D1B" w:rsidP="003E573C">
      <w:pPr>
        <w:rPr>
          <w:rFonts w:cs="Arial"/>
        </w:rPr>
      </w:pPr>
      <w:r>
        <w:rPr>
          <w:rFonts w:cs="Arial"/>
        </w:rPr>
        <w:t xml:space="preserve">The use of the Capital Asset Pricing Model </w:t>
      </w:r>
      <w:r w:rsidR="00C807CD">
        <w:rPr>
          <w:rFonts w:cs="Arial"/>
        </w:rPr>
        <w:t xml:space="preserve">(CAPM) </w:t>
      </w:r>
      <w:r>
        <w:rPr>
          <w:rFonts w:cs="Arial"/>
        </w:rPr>
        <w:t xml:space="preserve">would be subject to challenge of how to determine the “market portfolio”. Would this be one common portfolio that contains all asset classes across all sectors </w:t>
      </w:r>
      <w:r>
        <w:rPr>
          <w:rFonts w:cs="Arial"/>
        </w:rPr>
        <w:lastRenderedPageBreak/>
        <w:t xml:space="preserve">and regions? Would it be more granular and asset class specific? Would the CAPM produce reliable results if the latter? In this context, it may be useful to remember Roll’s critique of the model, and specifically the impossibility of testing its validity given the impossibility of defining the market portfolio. </w:t>
      </w:r>
    </w:p>
    <w:p w14:paraId="6996536B" w14:textId="77777777" w:rsidR="00134D1B" w:rsidRDefault="00134D1B" w:rsidP="003E573C">
      <w:pPr>
        <w:rPr>
          <w:rFonts w:cs="Arial"/>
        </w:rPr>
      </w:pPr>
    </w:p>
    <w:p w14:paraId="470B2F06" w14:textId="142D0328" w:rsidR="00582DB6" w:rsidRDefault="00C146B7" w:rsidP="003E573C">
      <w:pPr>
        <w:rPr>
          <w:rFonts w:cs="Arial"/>
        </w:rPr>
      </w:pPr>
      <w:r>
        <w:rPr>
          <w:rFonts w:cs="Arial"/>
        </w:rPr>
        <w:t>V</w:t>
      </w:r>
      <w:r w:rsidR="00134D1B">
        <w:rPr>
          <w:rFonts w:cs="Arial"/>
        </w:rPr>
        <w:t>ery few details are provided in the consultation paper on how exactly the S</w:t>
      </w:r>
      <w:r w:rsidR="0086775F">
        <w:rPr>
          <w:rFonts w:cs="Arial"/>
        </w:rPr>
        <w:t xml:space="preserve">harpe ratio approach would work. If it would require the use of historical data to calculate the ratio on a fund level, i.e. the excess return of the fund over the volatility of fund returns, then it is very likely it </w:t>
      </w:r>
      <w:r w:rsidR="001C0A55">
        <w:rPr>
          <w:rFonts w:cs="Arial"/>
        </w:rPr>
        <w:t xml:space="preserve">too </w:t>
      </w:r>
      <w:r w:rsidR="0086775F">
        <w:rPr>
          <w:rFonts w:cs="Arial"/>
        </w:rPr>
        <w:t>will result in procyclical figures. If it wo</w:t>
      </w:r>
      <w:r>
        <w:rPr>
          <w:rFonts w:cs="Arial"/>
        </w:rPr>
        <w:t>u</w:t>
      </w:r>
      <w:r w:rsidR="0086775F">
        <w:rPr>
          <w:rFonts w:cs="Arial"/>
        </w:rPr>
        <w:t>ld require long-term historical data on an asset class level, then it is very similar to the proposal for the maximum growth rates, and the issue becomes that active funds again will look on average worse than passive funds even if they deliver higher net returns (on this point we would like to refer again to the evidence provided in the response by the IA).</w:t>
      </w:r>
    </w:p>
    <w:permEnd w:id="1061633069"/>
    <w:p w14:paraId="1317DC63" w14:textId="77777777" w:rsidR="003E573C" w:rsidRDefault="003E573C" w:rsidP="003E573C">
      <w:pPr>
        <w:rPr>
          <w:rFonts w:cs="Arial"/>
        </w:rPr>
      </w:pPr>
      <w:r>
        <w:rPr>
          <w:rFonts w:cs="Arial"/>
        </w:rPr>
        <w:t>&lt;ESA_QUESTION_PKID_21&gt;</w:t>
      </w:r>
    </w:p>
    <w:p w14:paraId="156E8853" w14:textId="77777777" w:rsidR="003E573C" w:rsidRDefault="003E573C" w:rsidP="003E573C">
      <w:pPr>
        <w:rPr>
          <w:rFonts w:cs="Arial"/>
        </w:rPr>
      </w:pPr>
    </w:p>
    <w:p w14:paraId="4C70A122"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7E26C0C" w14:textId="77777777" w:rsidR="003E573C" w:rsidRDefault="003E573C" w:rsidP="003E573C">
      <w:pPr>
        <w:rPr>
          <w:rFonts w:cs="Arial"/>
        </w:rPr>
      </w:pPr>
      <w:r>
        <w:rPr>
          <w:rFonts w:cs="Arial"/>
        </w:rPr>
        <w:t>&lt;ESA_QUESTION_PKID_22&gt;</w:t>
      </w:r>
    </w:p>
    <w:p w14:paraId="6457C1E7" w14:textId="77777777" w:rsidR="007D293D" w:rsidRDefault="007D293D" w:rsidP="006D79C9">
      <w:pPr>
        <w:rPr>
          <w:rStyle w:val="Hyperlink"/>
          <w:rFonts w:cs="Arial"/>
        </w:rPr>
      </w:pPr>
      <w:permStart w:id="1818376548" w:edGrp="everyone"/>
      <w:r>
        <w:rPr>
          <w:rFonts w:cs="Arial"/>
        </w:rPr>
        <w:t xml:space="preserve">For this question we would like to refer you to our recent </w:t>
      </w:r>
      <w:hyperlink r:id="rId34" w:history="1">
        <w:r w:rsidRPr="009E32BF">
          <w:rPr>
            <w:rStyle w:val="Hyperlink"/>
            <w:rFonts w:cs="Arial"/>
          </w:rPr>
          <w:t>research paper</w:t>
        </w:r>
      </w:hyperlink>
      <w:r>
        <w:rPr>
          <w:rStyle w:val="Hyperlink"/>
          <w:rFonts w:cs="Arial"/>
        </w:rPr>
        <w:t xml:space="preserve">. </w:t>
      </w:r>
    </w:p>
    <w:p w14:paraId="15B6A7F1" w14:textId="77777777" w:rsidR="007D293D" w:rsidRDefault="007D293D" w:rsidP="006D79C9">
      <w:pPr>
        <w:rPr>
          <w:rStyle w:val="Hyperlink"/>
          <w:rFonts w:cs="Arial"/>
        </w:rPr>
      </w:pPr>
    </w:p>
    <w:p w14:paraId="1B55870B" w14:textId="2C43BDB4" w:rsidR="006D79C9" w:rsidRDefault="006D79C9" w:rsidP="006D79C9">
      <w:pPr>
        <w:rPr>
          <w:rFonts w:cs="Arial"/>
        </w:rPr>
      </w:pPr>
      <w:r>
        <w:rPr>
          <w:rFonts w:cs="Arial"/>
        </w:rPr>
        <w:t>We maintain the view that</w:t>
      </w:r>
      <w:r w:rsidR="007D293D">
        <w:rPr>
          <w:rFonts w:cs="Arial"/>
        </w:rPr>
        <w:t xml:space="preserve"> the</w:t>
      </w:r>
      <w:r>
        <w:rPr>
          <w:rFonts w:cs="Arial"/>
        </w:rPr>
        <w:t xml:space="preserve"> biggest challenge with performance disclosure for PRIIPs is that the approach</w:t>
      </w:r>
      <w:r w:rsidR="00C807CD">
        <w:rPr>
          <w:rFonts w:cs="Arial"/>
        </w:rPr>
        <w:t xml:space="preserve"> (at least so far)</w:t>
      </w:r>
      <w:r>
        <w:rPr>
          <w:rFonts w:cs="Arial"/>
        </w:rPr>
        <w:t xml:space="preserve"> has been to find one common metric across a very diverse set of products. Non-structured UCITS, open-end and closed-end funds, will never be able to deliver what is shown in a future scenario table. The disclaimer that </w:t>
      </w:r>
      <w:r w:rsidRPr="006D79C9">
        <w:rPr>
          <w:rFonts w:cs="Arial"/>
          <w:i/>
        </w:rPr>
        <w:t>“past performance is not an indicator of future outcomes”</w:t>
      </w:r>
      <w:r w:rsidRPr="006D79C9">
        <w:rPr>
          <w:rFonts w:cs="Arial"/>
        </w:rPr>
        <w:t xml:space="preserve"> </w:t>
      </w:r>
      <w:r w:rsidR="00853A70">
        <w:rPr>
          <w:rFonts w:cs="Arial"/>
        </w:rPr>
        <w:t xml:space="preserve">is very relevant not only to indicate the limitations of past performance but also the unpredictability of future outcomes. At the same time, some insurance products and structured UCITS, can only simulate past performance. That is why in the context of UCITS disclosure, only past performance is shown where it exists and scenarios are shown instead of past performance where it is more appropriate to do so. </w:t>
      </w:r>
    </w:p>
    <w:p w14:paraId="3B2A7734" w14:textId="77777777" w:rsidR="00853A70" w:rsidRDefault="00853A70" w:rsidP="006D79C9">
      <w:pPr>
        <w:rPr>
          <w:rFonts w:cs="Arial"/>
        </w:rPr>
      </w:pPr>
    </w:p>
    <w:p w14:paraId="672BE74C" w14:textId="7AFCA2AC" w:rsidR="00853A70" w:rsidRDefault="00853A70" w:rsidP="006D79C9">
      <w:pPr>
        <w:rPr>
          <w:rFonts w:cs="Arial"/>
        </w:rPr>
      </w:pPr>
      <w:r>
        <w:rPr>
          <w:rFonts w:cs="Arial"/>
        </w:rPr>
        <w:t>Forcing all types of PRIIPs to have only one type of performance disclosure for the sake of comparability, means that we would be doing one of two things:</w:t>
      </w:r>
    </w:p>
    <w:p w14:paraId="1A552D8C" w14:textId="77777777" w:rsidR="00853A70" w:rsidRDefault="00853A70" w:rsidP="00853A70">
      <w:pPr>
        <w:pStyle w:val="BulletedtextRegularB17"/>
        <w:ind w:left="357" w:hanging="357"/>
      </w:pPr>
      <w:r>
        <w:t>comparing meaningful information for structured products with meaningless information for non-structured products if we go with future scenarios;</w:t>
      </w:r>
    </w:p>
    <w:p w14:paraId="50C10CA8" w14:textId="77777777" w:rsidR="00853A70" w:rsidRDefault="00853A70" w:rsidP="00853A70">
      <w:pPr>
        <w:pStyle w:val="BulletedtextRegularB17"/>
        <w:ind w:left="357" w:hanging="357"/>
      </w:pPr>
      <w:r>
        <w:t>comparing meaningless information for structured products with meaningful information for non-structured products if we go with past performance.</w:t>
      </w:r>
    </w:p>
    <w:p w14:paraId="190F56BC" w14:textId="77777777" w:rsidR="002E5150" w:rsidRDefault="002E5150" w:rsidP="002E5150">
      <w:pPr>
        <w:pStyle w:val="BulletedtextRegularB17"/>
        <w:numPr>
          <w:ilvl w:val="0"/>
          <w:numId w:val="0"/>
        </w:numPr>
      </w:pPr>
    </w:p>
    <w:p w14:paraId="7C7F2BA2" w14:textId="1D925F31" w:rsidR="00A114A7" w:rsidRDefault="00853A70" w:rsidP="002E5150">
      <w:pPr>
        <w:pStyle w:val="BulletedtextRegularB17"/>
        <w:numPr>
          <w:ilvl w:val="0"/>
          <w:numId w:val="0"/>
        </w:numPr>
        <w:rPr>
          <w:rFonts w:cs="Arial"/>
        </w:rPr>
      </w:pPr>
      <w:r w:rsidRPr="00853A70">
        <w:rPr>
          <w:rFonts w:cs="Arial"/>
          <w:b/>
        </w:rPr>
        <w:t>Comparability should not come at the cost of providing meaningful information to retail investors</w:t>
      </w:r>
      <w:r>
        <w:rPr>
          <w:rFonts w:cs="Arial"/>
        </w:rPr>
        <w:t>.</w:t>
      </w:r>
      <w:r w:rsidR="002E5150">
        <w:rPr>
          <w:rFonts w:cs="Arial"/>
        </w:rPr>
        <w:t xml:space="preserve"> </w:t>
      </w:r>
      <w:r>
        <w:rPr>
          <w:rFonts w:cs="Arial"/>
        </w:rPr>
        <w:t xml:space="preserve">That is why we believe the most effective way to address all concerns in regards to performance disclosure is to either make </w:t>
      </w:r>
      <w:r w:rsidR="00DE2681">
        <w:rPr>
          <w:rFonts w:cs="Arial"/>
        </w:rPr>
        <w:t xml:space="preserve">a change </w:t>
      </w:r>
      <w:r w:rsidR="00A114A7">
        <w:rPr>
          <w:rFonts w:cs="Arial"/>
        </w:rPr>
        <w:t xml:space="preserve">in Article 8(3)(d)(iii) </w:t>
      </w:r>
      <w:r w:rsidR="00DE2681">
        <w:rPr>
          <w:rFonts w:cs="Arial"/>
        </w:rPr>
        <w:t xml:space="preserve">of the PRIIP Regulation </w:t>
      </w:r>
      <w:r w:rsidR="00E61D87">
        <w:rPr>
          <w:rFonts w:cs="Arial"/>
        </w:rPr>
        <w:t>to distinguish</w:t>
      </w:r>
      <w:r w:rsidR="00A114A7">
        <w:rPr>
          <w:rFonts w:cs="Arial"/>
        </w:rPr>
        <w:t xml:space="preserve"> between types of PRIIPs or reconsider what “appropriate performance scenarios” in this Article means. It is not clear why the approa</w:t>
      </w:r>
      <w:r w:rsidR="00C807CD">
        <w:rPr>
          <w:rFonts w:cs="Arial"/>
        </w:rPr>
        <w:t>ch taken by the UCITS rules</w:t>
      </w:r>
      <w:r w:rsidR="002E5150">
        <w:rPr>
          <w:rFonts w:cs="Arial"/>
        </w:rPr>
        <w:t xml:space="preserve"> </w:t>
      </w:r>
      <w:r w:rsidR="00C807CD">
        <w:rPr>
          <w:rFonts w:cs="Arial"/>
        </w:rPr>
        <w:t>(</w:t>
      </w:r>
      <w:r w:rsidR="002E5150">
        <w:rPr>
          <w:rFonts w:cs="Arial"/>
        </w:rPr>
        <w:t xml:space="preserve">which </w:t>
      </w:r>
      <w:r w:rsidR="00A114A7">
        <w:rPr>
          <w:rFonts w:cs="Arial"/>
        </w:rPr>
        <w:t xml:space="preserve">accounts for </w:t>
      </w:r>
      <w:r w:rsidR="00C807CD">
        <w:rPr>
          <w:rFonts w:cs="Arial"/>
        </w:rPr>
        <w:t>the</w:t>
      </w:r>
      <w:r w:rsidR="00A114A7">
        <w:rPr>
          <w:rFonts w:cs="Arial"/>
        </w:rPr>
        <w:t xml:space="preserve"> important difference</w:t>
      </w:r>
      <w:r w:rsidR="00C807CD">
        <w:rPr>
          <w:rFonts w:cs="Arial"/>
        </w:rPr>
        <w:t xml:space="preserve"> between structured and non-structured products)</w:t>
      </w:r>
      <w:r w:rsidR="00A114A7">
        <w:rPr>
          <w:rFonts w:cs="Arial"/>
        </w:rPr>
        <w:t xml:space="preserve"> is not deemed appropriate for PRIIPs. All other aspects of the KID would remain the same and </w:t>
      </w:r>
      <w:r w:rsidR="00C807CD">
        <w:rPr>
          <w:rFonts w:cs="Arial"/>
        </w:rPr>
        <w:t xml:space="preserve">be </w:t>
      </w:r>
      <w:r w:rsidR="00A114A7">
        <w:rPr>
          <w:rFonts w:cs="Arial"/>
        </w:rPr>
        <w:t xml:space="preserve">fully comparable. </w:t>
      </w:r>
    </w:p>
    <w:p w14:paraId="35B9CEAD" w14:textId="77777777" w:rsidR="007D293D" w:rsidRDefault="007D293D" w:rsidP="007D293D">
      <w:pPr>
        <w:rPr>
          <w:rFonts w:cs="Arial"/>
        </w:rPr>
      </w:pPr>
    </w:p>
    <w:p w14:paraId="343AA12F" w14:textId="77777777" w:rsidR="007D293D" w:rsidRDefault="00A114A7" w:rsidP="007D293D">
      <w:pPr>
        <w:keepNext/>
        <w:rPr>
          <w:rFonts w:cs="Arial"/>
        </w:rPr>
      </w:pPr>
      <w:r>
        <w:rPr>
          <w:rFonts w:cs="Arial"/>
        </w:rPr>
        <w:t xml:space="preserve">The “second best” approach would be for scenarios to be recalibrated to </w:t>
      </w:r>
      <w:r w:rsidR="006C71B1">
        <w:rPr>
          <w:rFonts w:cs="Arial"/>
        </w:rPr>
        <w:t xml:space="preserve">show range of possible outcomes to reflect the “favourable”, “moderate” and “unfavourable” scenarios. Non-linear products could use their path dependent outcomes to show a best/average/worst case. Linear products </w:t>
      </w:r>
      <w:r w:rsidR="007D293D">
        <w:rPr>
          <w:rFonts w:cs="Arial"/>
        </w:rPr>
        <w:t>could use historical observations to show the best/average/worst 5-year returns based on the last 10 year discrete annual return disclosure that exists in UCITS.</w:t>
      </w:r>
      <w:r w:rsidR="00E61D87">
        <w:rPr>
          <w:rFonts w:cs="Arial"/>
        </w:rPr>
        <w:t xml:space="preserve"> </w:t>
      </w:r>
    </w:p>
    <w:p w14:paraId="484655D9" w14:textId="77777777" w:rsidR="007D293D" w:rsidRDefault="007D293D" w:rsidP="007D293D">
      <w:pPr>
        <w:keepNext/>
        <w:rPr>
          <w:rFonts w:cs="Arial"/>
        </w:rPr>
      </w:pPr>
    </w:p>
    <w:p w14:paraId="4D585480" w14:textId="77777777" w:rsidR="007D293D" w:rsidRDefault="007D293D" w:rsidP="007D293D">
      <w:pPr>
        <w:keepNext/>
        <w:rPr>
          <w:rFonts w:cs="Arial"/>
        </w:rPr>
      </w:pPr>
      <w:r>
        <w:rPr>
          <w:rFonts w:cs="Arial"/>
        </w:rPr>
        <w:t>If neither solution is acceptable, given the complexity of the preferred probabilistic approach, the “third best” approach would be the provision of standard growth rates by the regulator as long as:</w:t>
      </w:r>
    </w:p>
    <w:p w14:paraId="50AE9734" w14:textId="77777777" w:rsidR="007D293D" w:rsidRDefault="007D293D" w:rsidP="004B16AC">
      <w:pPr>
        <w:pStyle w:val="BulletedtextRegularB17"/>
        <w:ind w:left="357" w:hanging="357"/>
      </w:pPr>
      <w:r>
        <w:t>The imbalance between active and passive funds is addressed (possibly by showing the rates on a gross of fees basis)</w:t>
      </w:r>
    </w:p>
    <w:p w14:paraId="54EB8486" w14:textId="77777777" w:rsidR="00582DB6" w:rsidRPr="004B16AC" w:rsidRDefault="007D293D" w:rsidP="003E573C">
      <w:pPr>
        <w:pStyle w:val="BulletedtextRegularB17"/>
        <w:ind w:left="357" w:hanging="357"/>
        <w:rPr>
          <w:rFonts w:ascii="Noto Sans" w:eastAsia="Noto Sans" w:hAnsi="Noto Sans"/>
          <w:b/>
          <w:color w:val="0074B7"/>
          <w:sz w:val="19"/>
          <w:szCs w:val="22"/>
          <w:lang w:eastAsia="en-US"/>
        </w:rPr>
      </w:pPr>
      <w:r>
        <w:t>These are complemented by disclosure of past performance</w:t>
      </w:r>
      <w:r w:rsidR="002E5150">
        <w:t xml:space="preserve"> where it is available</w:t>
      </w:r>
      <w:r>
        <w:t xml:space="preserve">. </w:t>
      </w:r>
    </w:p>
    <w:permEnd w:id="1818376548"/>
    <w:p w14:paraId="6A47F254" w14:textId="77777777" w:rsidR="003E573C" w:rsidRDefault="003E573C" w:rsidP="003E573C">
      <w:pPr>
        <w:rPr>
          <w:rFonts w:cs="Arial"/>
        </w:rPr>
      </w:pPr>
      <w:r>
        <w:rPr>
          <w:rFonts w:cs="Arial"/>
        </w:rPr>
        <w:t>&lt;ESA_QUESTION_PKID_22&gt;</w:t>
      </w:r>
    </w:p>
    <w:p w14:paraId="65285EB3" w14:textId="77777777" w:rsidR="003E573C" w:rsidRDefault="003E573C" w:rsidP="003E573C">
      <w:pPr>
        <w:rPr>
          <w:rFonts w:cs="Arial"/>
        </w:rPr>
      </w:pPr>
    </w:p>
    <w:p w14:paraId="58C5DF3A" w14:textId="77777777" w:rsidR="003E573C" w:rsidRDefault="003E573C" w:rsidP="003E573C">
      <w:pPr>
        <w:pStyle w:val="Questionstyle"/>
        <w:numPr>
          <w:ilvl w:val="0"/>
          <w:numId w:val="39"/>
        </w:numPr>
      </w:pPr>
      <w:r>
        <w:lastRenderedPageBreak/>
        <w:t xml:space="preserve">: </w:t>
      </w:r>
      <w:r w:rsidRPr="00763760">
        <w:t>Do you think illustrative scenarios should be included in the KID as well as probabilistic scenarios for structured products?</w:t>
      </w:r>
    </w:p>
    <w:p w14:paraId="3A11AAFB" w14:textId="77777777" w:rsidR="003E573C" w:rsidRDefault="003E573C" w:rsidP="003E573C">
      <w:pPr>
        <w:rPr>
          <w:rFonts w:cs="Arial"/>
        </w:rPr>
      </w:pPr>
      <w:r>
        <w:rPr>
          <w:rFonts w:cs="Arial"/>
        </w:rPr>
        <w:t>&lt;ESA_QUESTION_PKID_23&gt;</w:t>
      </w:r>
    </w:p>
    <w:p w14:paraId="52D94323" w14:textId="10CF3644" w:rsidR="002E5150" w:rsidRDefault="002E5150" w:rsidP="003E573C">
      <w:pPr>
        <w:rPr>
          <w:rFonts w:cs="Arial"/>
        </w:rPr>
      </w:pPr>
      <w:permStart w:id="1958101022" w:edGrp="everyone"/>
      <w:r>
        <w:rPr>
          <w:rFonts w:cs="Arial"/>
        </w:rPr>
        <w:t>The idea of illustrative scenarios</w:t>
      </w:r>
      <w:r w:rsidR="00F353AB">
        <w:rPr>
          <w:rFonts w:cs="Arial"/>
        </w:rPr>
        <w:t>, not just for structured PRIIPs but for all types of PRIIPs,</w:t>
      </w:r>
      <w:r>
        <w:rPr>
          <w:rFonts w:cs="Arial"/>
        </w:rPr>
        <w:t xml:space="preserve"> is attractive</w:t>
      </w:r>
      <w:r w:rsidR="00F353AB">
        <w:rPr>
          <w:rFonts w:cs="Arial"/>
        </w:rPr>
        <w:t>, not least</w:t>
      </w:r>
      <w:r>
        <w:rPr>
          <w:rFonts w:cs="Arial"/>
        </w:rPr>
        <w:t xml:space="preserve"> for educational purposes</w:t>
      </w:r>
      <w:r w:rsidR="00F353AB">
        <w:rPr>
          <w:rFonts w:cs="Arial"/>
        </w:rPr>
        <w:t>, in that they may explain in a more useful way how products work. There is</w:t>
      </w:r>
      <w:r w:rsidR="00A40296">
        <w:rPr>
          <w:rFonts w:cs="Arial"/>
        </w:rPr>
        <w:t xml:space="preserve"> a risk</w:t>
      </w:r>
      <w:r w:rsidR="00F353AB">
        <w:rPr>
          <w:rFonts w:cs="Arial"/>
        </w:rPr>
        <w:t xml:space="preserve"> that this will affect comparability of products even within the same type. Moreover, longer narratives may be skipped and not read at all by retail investors as consumer testing has indicated that they find large blocks of text off-putting</w:t>
      </w:r>
      <w:r w:rsidR="004B6258">
        <w:rPr>
          <w:rFonts w:cs="Arial"/>
        </w:rPr>
        <w:t>.</w:t>
      </w:r>
    </w:p>
    <w:p w14:paraId="73F17B64" w14:textId="77777777" w:rsidR="00F353AB" w:rsidRDefault="00F353AB" w:rsidP="003E573C">
      <w:pPr>
        <w:rPr>
          <w:rFonts w:cs="Arial"/>
        </w:rPr>
      </w:pPr>
    </w:p>
    <w:p w14:paraId="121797D4" w14:textId="6AB40417" w:rsidR="000425C4" w:rsidRDefault="00F353AB" w:rsidP="003E573C">
      <w:pPr>
        <w:rPr>
          <w:rFonts w:cs="Arial"/>
        </w:rPr>
      </w:pPr>
      <w:r>
        <w:rPr>
          <w:rFonts w:cs="Arial"/>
        </w:rPr>
        <w:t xml:space="preserve">Having said that, we note that this is being proposed only for structured products while we think it could provide more meaningful information than the probabilistic scenarios for all </w:t>
      </w:r>
      <w:r w:rsidR="00A40296">
        <w:rPr>
          <w:rFonts w:cs="Arial"/>
        </w:rPr>
        <w:t xml:space="preserve">types of </w:t>
      </w:r>
      <w:r>
        <w:rPr>
          <w:rFonts w:cs="Arial"/>
        </w:rPr>
        <w:t xml:space="preserve">PRIIPs. </w:t>
      </w:r>
    </w:p>
    <w:permEnd w:id="1958101022"/>
    <w:p w14:paraId="2E285418" w14:textId="77777777" w:rsidR="003E573C" w:rsidRDefault="003E573C" w:rsidP="003E573C">
      <w:pPr>
        <w:rPr>
          <w:rFonts w:cs="Arial"/>
        </w:rPr>
      </w:pPr>
      <w:r>
        <w:rPr>
          <w:rFonts w:cs="Arial"/>
        </w:rPr>
        <w:t>&lt;ESA_QUESTION_PKID_23&gt;</w:t>
      </w:r>
    </w:p>
    <w:p w14:paraId="5C2ED969" w14:textId="77777777" w:rsidR="003E573C" w:rsidRDefault="003E573C" w:rsidP="003E573C">
      <w:pPr>
        <w:rPr>
          <w:rFonts w:cs="Arial"/>
        </w:rPr>
      </w:pPr>
    </w:p>
    <w:p w14:paraId="0C576FEF"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116DCEB0" w14:textId="77777777" w:rsidR="003E573C" w:rsidRDefault="003E573C" w:rsidP="003E573C">
      <w:pPr>
        <w:rPr>
          <w:rFonts w:cs="Arial"/>
        </w:rPr>
      </w:pPr>
      <w:r>
        <w:rPr>
          <w:rFonts w:cs="Arial"/>
        </w:rPr>
        <w:t>&lt;ESA_QUESTION_PKID_24&gt;</w:t>
      </w:r>
    </w:p>
    <w:p w14:paraId="3C9EE584" w14:textId="77777777" w:rsidR="004B6258" w:rsidRDefault="00F353AB" w:rsidP="003E573C">
      <w:pPr>
        <w:rPr>
          <w:rFonts w:cs="Arial"/>
        </w:rPr>
      </w:pPr>
      <w:permStart w:id="2082227480" w:edGrp="everyone"/>
      <w:r>
        <w:rPr>
          <w:rFonts w:cs="Arial"/>
        </w:rPr>
        <w:t xml:space="preserve">If this option is being considered, then we would expect that it replaces probabilistic scenarios as we don’t see what is the added value of having both, particularly in the context of the 3-page space constraints. </w:t>
      </w:r>
      <w:r w:rsidR="004B6258">
        <w:rPr>
          <w:rFonts w:cs="Arial"/>
        </w:rPr>
        <w:t>We would also expect for this to apply to all types of PRIIPs.</w:t>
      </w:r>
    </w:p>
    <w:p w14:paraId="36D7DFE8" w14:textId="77777777" w:rsidR="004B6258" w:rsidRDefault="004B6258" w:rsidP="003E573C">
      <w:pPr>
        <w:rPr>
          <w:rFonts w:cs="Arial"/>
        </w:rPr>
      </w:pPr>
    </w:p>
    <w:p w14:paraId="12B590CA" w14:textId="77777777" w:rsidR="000425C4" w:rsidRDefault="004B6258" w:rsidP="003E573C">
      <w:pPr>
        <w:rPr>
          <w:rFonts w:cs="Arial"/>
        </w:rPr>
      </w:pPr>
      <w:r>
        <w:rPr>
          <w:rFonts w:cs="Arial"/>
        </w:rPr>
        <w:t>But before doing such a change, some input from consumer testing should be obtained.</w:t>
      </w:r>
    </w:p>
    <w:permEnd w:id="2082227480"/>
    <w:p w14:paraId="5A805020" w14:textId="77777777" w:rsidR="003E573C" w:rsidRDefault="003E573C" w:rsidP="003E573C">
      <w:pPr>
        <w:rPr>
          <w:rFonts w:cs="Arial"/>
        </w:rPr>
      </w:pPr>
      <w:r>
        <w:rPr>
          <w:rFonts w:cs="Arial"/>
        </w:rPr>
        <w:t>&lt;ESA_QUESTION_PKID_24&gt;</w:t>
      </w:r>
    </w:p>
    <w:p w14:paraId="078EC50E" w14:textId="77777777" w:rsidR="003E573C" w:rsidRDefault="003E573C" w:rsidP="003E573C">
      <w:pPr>
        <w:rPr>
          <w:rFonts w:cs="Arial"/>
        </w:rPr>
      </w:pPr>
    </w:p>
    <w:p w14:paraId="0B2A4D02"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70D8EB90" w14:textId="77777777" w:rsidR="003E573C" w:rsidRDefault="003E573C" w:rsidP="003E573C">
      <w:pPr>
        <w:rPr>
          <w:rFonts w:cs="Arial"/>
        </w:rPr>
      </w:pPr>
      <w:r>
        <w:rPr>
          <w:rFonts w:cs="Arial"/>
        </w:rPr>
        <w:t>&lt;ESA_QUESTION_PKID_25&gt;</w:t>
      </w:r>
    </w:p>
    <w:p w14:paraId="4CD1E919" w14:textId="77777777" w:rsidR="003E573C" w:rsidRDefault="004B6258" w:rsidP="003E573C">
      <w:pPr>
        <w:rPr>
          <w:rFonts w:cs="Arial"/>
        </w:rPr>
      </w:pPr>
      <w:permStart w:id="1798376561" w:edGrp="everyone"/>
      <w:r>
        <w:rPr>
          <w:rFonts w:cs="Arial"/>
        </w:rPr>
        <w:t>See answers to questions 23 and 24.</w:t>
      </w:r>
    </w:p>
    <w:permEnd w:id="1798376561"/>
    <w:p w14:paraId="2BE8529A" w14:textId="77777777" w:rsidR="003E573C" w:rsidRDefault="003E573C" w:rsidP="003E573C">
      <w:pPr>
        <w:rPr>
          <w:rFonts w:cs="Arial"/>
        </w:rPr>
      </w:pPr>
      <w:r>
        <w:rPr>
          <w:rFonts w:cs="Arial"/>
        </w:rPr>
        <w:t>&lt;ESA_QUESTION_PKID_25&gt;</w:t>
      </w:r>
    </w:p>
    <w:p w14:paraId="0AB5B4B7" w14:textId="77777777" w:rsidR="003E573C" w:rsidRDefault="003E573C" w:rsidP="003E573C">
      <w:pPr>
        <w:rPr>
          <w:rFonts w:cs="Arial"/>
        </w:rPr>
      </w:pPr>
    </w:p>
    <w:p w14:paraId="77E290FE"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9E1492C" w14:textId="77777777" w:rsidR="003E573C" w:rsidRDefault="003E573C" w:rsidP="003E573C">
      <w:pPr>
        <w:rPr>
          <w:rFonts w:cs="Arial"/>
        </w:rPr>
      </w:pPr>
      <w:r>
        <w:rPr>
          <w:rFonts w:cs="Arial"/>
        </w:rPr>
        <w:t>&lt;ESA_QUESTION_PKID_26&gt;</w:t>
      </w:r>
    </w:p>
    <w:p w14:paraId="1491A75A" w14:textId="77777777" w:rsidR="006034DC" w:rsidRPr="00B2299C" w:rsidRDefault="004B6258" w:rsidP="003E573C">
      <w:pPr>
        <w:rPr>
          <w:rFonts w:cs="Arial"/>
        </w:rPr>
      </w:pPr>
      <w:permStart w:id="1669797200" w:edGrp="everyone"/>
      <w:r w:rsidRPr="00A40296">
        <w:rPr>
          <w:rFonts w:cs="Arial"/>
          <w:b/>
        </w:rPr>
        <w:t xml:space="preserve">Schroders would be </w:t>
      </w:r>
      <w:r w:rsidR="00C3583B" w:rsidRPr="00A40296">
        <w:rPr>
          <w:rFonts w:cs="Arial"/>
          <w:b/>
        </w:rPr>
        <w:t xml:space="preserve">firmly </w:t>
      </w:r>
      <w:r w:rsidRPr="00A40296">
        <w:rPr>
          <w:rFonts w:cs="Arial"/>
          <w:b/>
        </w:rPr>
        <w:t>in favour of including past performance information where it is available independently of what is decided about the future performance scenarios.</w:t>
      </w:r>
      <w:r w:rsidRPr="00B2299C">
        <w:rPr>
          <w:rFonts w:cs="Arial"/>
        </w:rPr>
        <w:t xml:space="preserve"> Past performance </w:t>
      </w:r>
      <w:r w:rsidR="000425C4" w:rsidRPr="00B2299C">
        <w:rPr>
          <w:rFonts w:cs="Arial"/>
        </w:rPr>
        <w:t xml:space="preserve">is the only factual information that </w:t>
      </w:r>
      <w:r w:rsidRPr="00B2299C">
        <w:rPr>
          <w:rFonts w:cs="Arial"/>
        </w:rPr>
        <w:t>exists</w:t>
      </w:r>
      <w:r w:rsidR="000425C4" w:rsidRPr="00B2299C">
        <w:rPr>
          <w:rFonts w:cs="Arial"/>
        </w:rPr>
        <w:t xml:space="preserve"> on performance and </w:t>
      </w:r>
      <w:r w:rsidRPr="00B2299C">
        <w:rPr>
          <w:rFonts w:cs="Arial"/>
        </w:rPr>
        <w:t xml:space="preserve">is </w:t>
      </w:r>
      <w:r w:rsidR="000425C4" w:rsidRPr="00B2299C">
        <w:rPr>
          <w:rFonts w:cs="Arial"/>
        </w:rPr>
        <w:t>essential for assessing delivery and accountability.</w:t>
      </w:r>
    </w:p>
    <w:p w14:paraId="3046F54E" w14:textId="77777777" w:rsidR="006034DC" w:rsidRPr="00B2299C" w:rsidRDefault="006034DC" w:rsidP="003E573C">
      <w:pPr>
        <w:rPr>
          <w:rFonts w:cs="Arial"/>
        </w:rPr>
      </w:pPr>
    </w:p>
    <w:p w14:paraId="62C10236" w14:textId="30224B0A" w:rsidR="003E573C" w:rsidRPr="00B2299C" w:rsidRDefault="006034DC" w:rsidP="003E573C">
      <w:pPr>
        <w:rPr>
          <w:rFonts w:cs="Arial"/>
        </w:rPr>
      </w:pPr>
      <w:r w:rsidRPr="00B2299C">
        <w:rPr>
          <w:rFonts w:cs="Arial"/>
        </w:rPr>
        <w:t xml:space="preserve">There is an additional benefit that is specific to the discrete calendar year past performance disclosure that exists within the UCITS framework. Showing that returns go both up and down is a simple way to communicate volatility. There is evidence to suggest that investors use performance in that way from the original consumer testing of the UCITS KIID. The danger of </w:t>
      </w:r>
      <w:r w:rsidR="00D73071" w:rsidRPr="00B2299C">
        <w:rPr>
          <w:rFonts w:cs="Arial"/>
        </w:rPr>
        <w:t xml:space="preserve">using </w:t>
      </w:r>
      <w:r w:rsidRPr="00B2299C">
        <w:rPr>
          <w:rFonts w:cs="Arial"/>
        </w:rPr>
        <w:t xml:space="preserve">“straight line” projections and </w:t>
      </w:r>
      <w:r w:rsidR="00D73071" w:rsidRPr="00B2299C">
        <w:rPr>
          <w:rFonts w:cs="Arial"/>
        </w:rPr>
        <w:t xml:space="preserve">a </w:t>
      </w:r>
      <w:r w:rsidRPr="00B2299C">
        <w:rPr>
          <w:rFonts w:cs="Arial"/>
        </w:rPr>
        <w:t xml:space="preserve">snapshot of future scenarios is </w:t>
      </w:r>
      <w:r w:rsidR="00D73071" w:rsidRPr="00B2299C">
        <w:rPr>
          <w:rFonts w:cs="Arial"/>
        </w:rPr>
        <w:t>that they do not help investors</w:t>
      </w:r>
      <w:r w:rsidRPr="00B2299C">
        <w:rPr>
          <w:rFonts w:cs="Arial"/>
        </w:rPr>
        <w:t xml:space="preserve"> understand </w:t>
      </w:r>
      <w:r w:rsidR="00D73071" w:rsidRPr="00B2299C">
        <w:rPr>
          <w:rFonts w:cs="Arial"/>
        </w:rPr>
        <w:t>the balance between short-term volatility and long-</w:t>
      </w:r>
      <w:r w:rsidRPr="00B2299C">
        <w:rPr>
          <w:rFonts w:cs="Arial"/>
        </w:rPr>
        <w:t xml:space="preserve">term growth.   </w:t>
      </w:r>
    </w:p>
    <w:p w14:paraId="217EBAAB" w14:textId="77777777" w:rsidR="004B6258" w:rsidRDefault="004B6258" w:rsidP="003E573C">
      <w:pPr>
        <w:rPr>
          <w:rFonts w:cs="Arial"/>
        </w:rPr>
      </w:pPr>
    </w:p>
    <w:p w14:paraId="15CBFEED" w14:textId="70D0E96B" w:rsidR="004B6258" w:rsidRDefault="004B6258" w:rsidP="003E573C">
      <w:pPr>
        <w:rPr>
          <w:rFonts w:cs="Arial"/>
        </w:rPr>
      </w:pPr>
      <w:r>
        <w:rPr>
          <w:rFonts w:cs="Arial"/>
        </w:rPr>
        <w:t>As another example of the gaps in consumer testing,</w:t>
      </w:r>
      <w:r w:rsidR="006F365A">
        <w:rPr>
          <w:rFonts w:cs="Arial"/>
        </w:rPr>
        <w:t xml:space="preserve"> the ESAs state on page 32 that they did not propose testing showing only past performance as this was already tested in the context of the UCITS KIID. A</w:t>
      </w:r>
      <w:r>
        <w:rPr>
          <w:rFonts w:cs="Arial"/>
        </w:rPr>
        <w:t>lthough</w:t>
      </w:r>
      <w:r w:rsidR="006F365A">
        <w:rPr>
          <w:rFonts w:cs="Arial"/>
        </w:rPr>
        <w:t xml:space="preserve"> past performance was tested for the UCITS KIID this was done to test</w:t>
      </w:r>
      <w:r>
        <w:rPr>
          <w:rFonts w:cs="Arial"/>
        </w:rPr>
        <w:t xml:space="preserve"> different types of presentation of past performance </w:t>
      </w:r>
      <w:r w:rsidR="006F365A">
        <w:rPr>
          <w:rFonts w:cs="Arial"/>
        </w:rPr>
        <w:t xml:space="preserve">and not to compare it to </w:t>
      </w:r>
      <w:r w:rsidR="00A40296">
        <w:rPr>
          <w:rFonts w:cs="Arial"/>
        </w:rPr>
        <w:t>alternative</w:t>
      </w:r>
      <w:r w:rsidR="006F365A">
        <w:rPr>
          <w:rFonts w:cs="Arial"/>
        </w:rPr>
        <w:t xml:space="preserve"> forms </w:t>
      </w:r>
      <w:r w:rsidR="00A40296">
        <w:rPr>
          <w:rFonts w:cs="Arial"/>
        </w:rPr>
        <w:t xml:space="preserve">of performance disclosure </w:t>
      </w:r>
      <w:r w:rsidR="006F365A">
        <w:rPr>
          <w:rFonts w:cs="Arial"/>
        </w:rPr>
        <w:t>such as fu</w:t>
      </w:r>
      <w:r w:rsidR="006F365A">
        <w:rPr>
          <w:rFonts w:cs="Arial"/>
        </w:rPr>
        <w:lastRenderedPageBreak/>
        <w:t xml:space="preserve">ture scenarios. </w:t>
      </w:r>
      <w:r w:rsidR="0013408C">
        <w:rPr>
          <w:rFonts w:cs="Arial"/>
        </w:rPr>
        <w:t>Given that</w:t>
      </w:r>
      <w:r w:rsidR="006F365A">
        <w:rPr>
          <w:rFonts w:cs="Arial"/>
        </w:rPr>
        <w:t xml:space="preserve"> t</w:t>
      </w:r>
      <w:r>
        <w:rPr>
          <w:rFonts w:cs="Arial"/>
        </w:rPr>
        <w:t>he new consumer research will look</w:t>
      </w:r>
      <w:r w:rsidR="00A40296">
        <w:rPr>
          <w:rFonts w:cs="Arial"/>
        </w:rPr>
        <w:t xml:space="preserve"> only</w:t>
      </w:r>
      <w:r>
        <w:rPr>
          <w:rFonts w:cs="Arial"/>
        </w:rPr>
        <w:t xml:space="preserve"> into the combination of past performance and scenarios, to date, there hasn’t been (nor does it seem there will be) any consumer testing that compares and contrasts understanding and choices when consumers are presented with:</w:t>
      </w:r>
    </w:p>
    <w:p w14:paraId="4DFF848B" w14:textId="77777777" w:rsidR="004B6258" w:rsidRDefault="004B6258" w:rsidP="004B6258">
      <w:pPr>
        <w:pStyle w:val="BulletedtextRegularB17"/>
        <w:ind w:left="357" w:hanging="357"/>
      </w:pPr>
      <w:r>
        <w:t>Past performance</w:t>
      </w:r>
    </w:p>
    <w:p w14:paraId="5E8C960C" w14:textId="77777777" w:rsidR="004B6258" w:rsidRDefault="004B6258" w:rsidP="004B6258">
      <w:pPr>
        <w:pStyle w:val="BulletedtextRegularB17"/>
        <w:ind w:left="357" w:hanging="357"/>
      </w:pPr>
      <w:r>
        <w:t>Future scenarios</w:t>
      </w:r>
    </w:p>
    <w:p w14:paraId="5265241F" w14:textId="77777777" w:rsidR="004B6258" w:rsidRDefault="004B6258" w:rsidP="004B6258">
      <w:pPr>
        <w:pStyle w:val="BulletedtextRegularB17"/>
        <w:ind w:left="357" w:hanging="357"/>
      </w:pPr>
      <w:r>
        <w:t>Both</w:t>
      </w:r>
    </w:p>
    <w:p w14:paraId="0D27AA55" w14:textId="77777777" w:rsidR="004B6258" w:rsidRDefault="004B6258" w:rsidP="00F353AB">
      <w:pPr>
        <w:rPr>
          <w:rFonts w:cs="Arial"/>
        </w:rPr>
      </w:pPr>
    </w:p>
    <w:p w14:paraId="45BE3607" w14:textId="62FA464D" w:rsidR="000425C4" w:rsidRDefault="004B6258" w:rsidP="003E573C">
      <w:pPr>
        <w:rPr>
          <w:rFonts w:cs="Arial"/>
        </w:rPr>
      </w:pPr>
      <w:r>
        <w:rPr>
          <w:rFonts w:cs="Arial"/>
        </w:rPr>
        <w:t xml:space="preserve">Another important point is </w:t>
      </w:r>
      <w:r w:rsidR="006F365A">
        <w:rPr>
          <w:rFonts w:cs="Arial"/>
        </w:rPr>
        <w:t xml:space="preserve">to consider the outcome of </w:t>
      </w:r>
      <w:r w:rsidR="00673839">
        <w:rPr>
          <w:rFonts w:cs="Arial"/>
        </w:rPr>
        <w:t xml:space="preserve">the proposals in Sections 6 and 7 of the consultation paper. The combination of the two would mean </w:t>
      </w:r>
      <w:r w:rsidR="006F365A">
        <w:rPr>
          <w:rFonts w:cs="Arial"/>
        </w:rPr>
        <w:t xml:space="preserve">having probabilistic scenarios and past performance for </w:t>
      </w:r>
      <w:r w:rsidR="00673839">
        <w:rPr>
          <w:rFonts w:cs="Arial"/>
        </w:rPr>
        <w:t>linear PRIIPs</w:t>
      </w:r>
      <w:r w:rsidR="006F365A">
        <w:rPr>
          <w:rFonts w:cs="Arial"/>
        </w:rPr>
        <w:t xml:space="preserve"> and probabilistic scenarios and illustrative scenarios for </w:t>
      </w:r>
      <w:r w:rsidR="00673839">
        <w:rPr>
          <w:rFonts w:cs="Arial"/>
        </w:rPr>
        <w:t>non-linear PRIIPs</w:t>
      </w:r>
      <w:r w:rsidR="006F365A">
        <w:rPr>
          <w:rFonts w:cs="Arial"/>
        </w:rPr>
        <w:t>. First, this would seem to go again</w:t>
      </w:r>
      <w:r w:rsidR="00673839">
        <w:rPr>
          <w:rFonts w:cs="Arial"/>
        </w:rPr>
        <w:t>st</w:t>
      </w:r>
      <w:r w:rsidR="006F365A">
        <w:rPr>
          <w:rFonts w:cs="Arial"/>
        </w:rPr>
        <w:t xml:space="preserve"> the comparability principle in that a different set of metrics is shown for different products. Second, </w:t>
      </w:r>
      <w:r w:rsidR="0013408C">
        <w:rPr>
          <w:rFonts w:cs="Arial"/>
        </w:rPr>
        <w:t xml:space="preserve">if both structured and non-structured PRIIPs require performance disclosure </w:t>
      </w:r>
      <w:r w:rsidR="00673839">
        <w:rPr>
          <w:rFonts w:cs="Arial"/>
        </w:rPr>
        <w:t>on top of the</w:t>
      </w:r>
      <w:r w:rsidR="0013408C">
        <w:rPr>
          <w:rFonts w:cs="Arial"/>
        </w:rPr>
        <w:t xml:space="preserve"> probabilistic scenarios, then it begs the question why the </w:t>
      </w:r>
      <w:r w:rsidR="00A40296">
        <w:rPr>
          <w:rFonts w:cs="Arial"/>
        </w:rPr>
        <w:t>probabilistic scenarios</w:t>
      </w:r>
      <w:r w:rsidR="0013408C">
        <w:rPr>
          <w:rFonts w:cs="Arial"/>
        </w:rPr>
        <w:t xml:space="preserve"> should be kept</w:t>
      </w:r>
      <w:r w:rsidR="00673839">
        <w:rPr>
          <w:rFonts w:cs="Arial"/>
        </w:rPr>
        <w:t xml:space="preserve"> at all</w:t>
      </w:r>
      <w:r w:rsidR="0013408C">
        <w:rPr>
          <w:rFonts w:cs="Arial"/>
        </w:rPr>
        <w:t xml:space="preserve">. </w:t>
      </w:r>
    </w:p>
    <w:permEnd w:id="1669797200"/>
    <w:p w14:paraId="2D2B7865" w14:textId="77777777" w:rsidR="003E573C" w:rsidRDefault="003E573C" w:rsidP="003E573C">
      <w:pPr>
        <w:rPr>
          <w:rFonts w:cs="Arial"/>
        </w:rPr>
      </w:pPr>
      <w:r>
        <w:rPr>
          <w:rFonts w:cs="Arial"/>
        </w:rPr>
        <w:t>&lt;ESA_QUESTION_PKID_26&gt;</w:t>
      </w:r>
    </w:p>
    <w:p w14:paraId="77B689F6" w14:textId="77777777" w:rsidR="003E573C" w:rsidRDefault="003E573C" w:rsidP="003E573C">
      <w:pPr>
        <w:rPr>
          <w:rFonts w:cs="Arial"/>
        </w:rPr>
      </w:pPr>
    </w:p>
    <w:p w14:paraId="30D7A95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5C874125" w14:textId="77777777" w:rsidR="003E573C" w:rsidRDefault="003E573C" w:rsidP="003E573C">
      <w:pPr>
        <w:rPr>
          <w:rFonts w:cs="Arial"/>
        </w:rPr>
      </w:pPr>
      <w:r>
        <w:rPr>
          <w:rFonts w:cs="Arial"/>
        </w:rPr>
        <w:t>&lt;ESA_QUESTION_PKID_27&gt;</w:t>
      </w:r>
    </w:p>
    <w:p w14:paraId="4BDB1589" w14:textId="637E6491" w:rsidR="000425C4" w:rsidRDefault="00E61D87" w:rsidP="003E573C">
      <w:pPr>
        <w:rPr>
          <w:rFonts w:cs="Arial"/>
        </w:rPr>
      </w:pPr>
      <w:permStart w:id="1943433029" w:edGrp="everyone"/>
      <w:r>
        <w:rPr>
          <w:rFonts w:cs="Arial"/>
        </w:rPr>
        <w:t>No,</w:t>
      </w:r>
      <w:r w:rsidR="000425C4" w:rsidRPr="000425C4">
        <w:rPr>
          <w:rFonts w:cs="Arial"/>
        </w:rPr>
        <w:t xml:space="preserve"> </w:t>
      </w:r>
      <w:r>
        <w:rPr>
          <w:rFonts w:cs="Arial"/>
        </w:rPr>
        <w:t>b</w:t>
      </w:r>
      <w:r w:rsidR="000425C4" w:rsidRPr="000425C4">
        <w:rPr>
          <w:rFonts w:cs="Arial"/>
        </w:rPr>
        <w:t>ut space constraints is a real concern. Particularly if we consider that as part of the EU's sustainable finance agenda, there will eventually be a requirement to add details of environmental and soci</w:t>
      </w:r>
      <w:r w:rsidR="0013408C">
        <w:rPr>
          <w:rFonts w:cs="Arial"/>
        </w:rPr>
        <w:t xml:space="preserve">al objectives. Digital delivery and </w:t>
      </w:r>
      <w:r w:rsidR="000425C4" w:rsidRPr="000425C4">
        <w:rPr>
          <w:rFonts w:cs="Arial"/>
        </w:rPr>
        <w:t>IT tools may help</w:t>
      </w:r>
      <w:r w:rsidR="0013408C">
        <w:rPr>
          <w:rFonts w:cs="Arial"/>
        </w:rPr>
        <w:t xml:space="preserve"> in this respect </w:t>
      </w:r>
      <w:r w:rsidR="00673839">
        <w:rPr>
          <w:rFonts w:cs="Arial"/>
        </w:rPr>
        <w:t>by replacing the 3-page pdf document</w:t>
      </w:r>
      <w:r w:rsidR="000425C4" w:rsidRPr="000425C4">
        <w:rPr>
          <w:rFonts w:cs="Arial"/>
        </w:rPr>
        <w:t>.</w:t>
      </w:r>
      <w:r w:rsidR="00673839">
        <w:rPr>
          <w:rFonts w:cs="Arial"/>
        </w:rPr>
        <w:t xml:space="preserve"> But as discussed for Question 1, this would require changes to Level 1 regulation, which </w:t>
      </w:r>
      <w:r w:rsidR="00A40296">
        <w:rPr>
          <w:rFonts w:cs="Arial"/>
        </w:rPr>
        <w:t xml:space="preserve">(if it happens) </w:t>
      </w:r>
      <w:r w:rsidR="00673839">
        <w:rPr>
          <w:rFonts w:cs="Arial"/>
        </w:rPr>
        <w:t>would anyway allow the necessary changes in the rule</w:t>
      </w:r>
      <w:r>
        <w:rPr>
          <w:rFonts w:cs="Arial"/>
        </w:rPr>
        <w:t xml:space="preserve">s for performance disclosure, </w:t>
      </w:r>
      <w:r w:rsidR="00673839">
        <w:rPr>
          <w:rFonts w:cs="Arial"/>
        </w:rPr>
        <w:t>render</w:t>
      </w:r>
      <w:r>
        <w:rPr>
          <w:rFonts w:cs="Arial"/>
        </w:rPr>
        <w:t>ing</w:t>
      </w:r>
      <w:r w:rsidR="00673839">
        <w:rPr>
          <w:rFonts w:cs="Arial"/>
        </w:rPr>
        <w:t xml:space="preserve"> the issue </w:t>
      </w:r>
      <w:r>
        <w:rPr>
          <w:rFonts w:cs="Arial"/>
        </w:rPr>
        <w:t>of</w:t>
      </w:r>
      <w:r w:rsidR="00673839">
        <w:rPr>
          <w:rFonts w:cs="Arial"/>
        </w:rPr>
        <w:t xml:space="preserve"> space constraints obsolete.</w:t>
      </w:r>
    </w:p>
    <w:permEnd w:id="1943433029"/>
    <w:p w14:paraId="2ED61498" w14:textId="77777777" w:rsidR="003E573C" w:rsidRDefault="003E573C" w:rsidP="003E573C">
      <w:pPr>
        <w:rPr>
          <w:rFonts w:cs="Arial"/>
        </w:rPr>
      </w:pPr>
      <w:r>
        <w:rPr>
          <w:rFonts w:cs="Arial"/>
        </w:rPr>
        <w:t>&lt;ESA_QUESTION_PKID_27&gt;</w:t>
      </w:r>
    </w:p>
    <w:p w14:paraId="65E0CD4E" w14:textId="77777777" w:rsidR="003E573C" w:rsidRDefault="003E573C" w:rsidP="003E573C">
      <w:pPr>
        <w:rPr>
          <w:rFonts w:cs="Arial"/>
        </w:rPr>
      </w:pPr>
    </w:p>
    <w:p w14:paraId="7C310B1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00845951" w14:textId="77777777" w:rsidR="003E573C" w:rsidRDefault="003E573C" w:rsidP="003E573C">
      <w:pPr>
        <w:rPr>
          <w:rFonts w:cs="Arial"/>
        </w:rPr>
      </w:pPr>
      <w:r>
        <w:rPr>
          <w:rFonts w:cs="Arial"/>
        </w:rPr>
        <w:t>&lt;ESA_QUESTION_PKID_28&gt;</w:t>
      </w:r>
    </w:p>
    <w:p w14:paraId="70631C9D" w14:textId="2DB1D581" w:rsidR="004547D4" w:rsidRDefault="00D73071" w:rsidP="003E573C">
      <w:pPr>
        <w:rPr>
          <w:rFonts w:cs="Arial"/>
        </w:rPr>
      </w:pPr>
      <w:permStart w:id="1003628954" w:edGrp="everyone"/>
      <w:r w:rsidRPr="00B2299C">
        <w:rPr>
          <w:rFonts w:cs="Arial"/>
        </w:rPr>
        <w:t>As mentioned under Question 26, w</w:t>
      </w:r>
      <w:r w:rsidR="00673839" w:rsidRPr="00B2299C">
        <w:rPr>
          <w:rFonts w:cs="Arial"/>
        </w:rPr>
        <w:t>e consider that</w:t>
      </w:r>
      <w:r w:rsidR="004547D4" w:rsidRPr="00B2299C">
        <w:rPr>
          <w:rFonts w:cs="Arial"/>
        </w:rPr>
        <w:t xml:space="preserve"> one </w:t>
      </w:r>
      <w:r w:rsidR="00E61D87" w:rsidRPr="00B2299C">
        <w:rPr>
          <w:rFonts w:cs="Arial"/>
        </w:rPr>
        <w:t xml:space="preserve">significant </w:t>
      </w:r>
      <w:r w:rsidR="004547D4" w:rsidRPr="00B2299C">
        <w:rPr>
          <w:rFonts w:cs="Arial"/>
        </w:rPr>
        <w:t xml:space="preserve">advantage of the 10 year discrete annual return disclosure </w:t>
      </w:r>
      <w:r w:rsidR="00E61D87">
        <w:rPr>
          <w:rFonts w:cs="Arial"/>
        </w:rPr>
        <w:t>for</w:t>
      </w:r>
      <w:r w:rsidR="004547D4" w:rsidRPr="004547D4">
        <w:rPr>
          <w:rFonts w:cs="Arial"/>
        </w:rPr>
        <w:t xml:space="preserve"> UCITS is that it conveys volatility in a very si</w:t>
      </w:r>
      <w:r w:rsidR="00A861A4">
        <w:rPr>
          <w:rFonts w:cs="Arial"/>
        </w:rPr>
        <w:t>mple and easy to understand way. Namely, that</w:t>
      </w:r>
      <w:r w:rsidR="00673839">
        <w:rPr>
          <w:rFonts w:cs="Arial"/>
        </w:rPr>
        <w:t xml:space="preserve"> </w:t>
      </w:r>
      <w:r w:rsidR="004547D4" w:rsidRPr="004547D4">
        <w:rPr>
          <w:rFonts w:cs="Arial"/>
        </w:rPr>
        <w:t xml:space="preserve">returns can go both up and down. </w:t>
      </w:r>
      <w:r w:rsidR="00A861A4">
        <w:rPr>
          <w:rFonts w:cs="Arial"/>
        </w:rPr>
        <w:t xml:space="preserve">The </w:t>
      </w:r>
      <w:r w:rsidR="00673839">
        <w:rPr>
          <w:rFonts w:cs="Arial"/>
        </w:rPr>
        <w:t xml:space="preserve">original consumer testing for the UCITS KIID had </w:t>
      </w:r>
      <w:r w:rsidR="00A861A4">
        <w:rPr>
          <w:rFonts w:cs="Arial"/>
        </w:rPr>
        <w:t>shown</w:t>
      </w:r>
      <w:r w:rsidR="00673839">
        <w:rPr>
          <w:rFonts w:cs="Arial"/>
        </w:rPr>
        <w:t xml:space="preserve"> that consumers use this bar chart as an indication of risk as well as return</w:t>
      </w:r>
      <w:r w:rsidR="00E61D87">
        <w:rPr>
          <w:rFonts w:cs="Arial"/>
        </w:rPr>
        <w:t>.</w:t>
      </w:r>
      <w:r w:rsidR="00673839">
        <w:rPr>
          <w:rFonts w:cs="Arial"/>
        </w:rPr>
        <w:t xml:space="preserve"> </w:t>
      </w:r>
      <w:r w:rsidR="00A40296">
        <w:rPr>
          <w:rFonts w:cs="Arial"/>
        </w:rPr>
        <w:t>Showing a</w:t>
      </w:r>
      <w:r w:rsidR="00673839">
        <w:rPr>
          <w:rFonts w:cs="Arial"/>
        </w:rPr>
        <w:t>verages would take this away</w:t>
      </w:r>
      <w:r w:rsidR="004547D4" w:rsidRPr="004547D4">
        <w:rPr>
          <w:rFonts w:cs="Arial"/>
        </w:rPr>
        <w:t xml:space="preserve">. </w:t>
      </w:r>
    </w:p>
    <w:permEnd w:id="1003628954"/>
    <w:p w14:paraId="254DA8FA" w14:textId="77777777" w:rsidR="003E573C" w:rsidRDefault="003E573C" w:rsidP="003E573C">
      <w:pPr>
        <w:rPr>
          <w:rFonts w:cs="Arial"/>
        </w:rPr>
      </w:pPr>
      <w:r>
        <w:rPr>
          <w:rFonts w:cs="Arial"/>
        </w:rPr>
        <w:t>&lt;ESA_QUESTION_PKID_28&gt;</w:t>
      </w:r>
    </w:p>
    <w:p w14:paraId="2F583A17" w14:textId="77777777" w:rsidR="003E573C" w:rsidRDefault="003E573C" w:rsidP="003E573C">
      <w:pPr>
        <w:rPr>
          <w:rFonts w:cs="Arial"/>
        </w:rPr>
      </w:pPr>
    </w:p>
    <w:p w14:paraId="66B951D4"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6E852B2C" w14:textId="77777777" w:rsidR="003E573C" w:rsidRDefault="003E573C" w:rsidP="003E573C">
      <w:pPr>
        <w:rPr>
          <w:rFonts w:cs="Arial"/>
        </w:rPr>
      </w:pPr>
      <w:r>
        <w:rPr>
          <w:rFonts w:cs="Arial"/>
        </w:rPr>
        <w:t>&lt;ESA_QUESTION_PKID_29&gt;</w:t>
      </w:r>
    </w:p>
    <w:p w14:paraId="4B12C3A1" w14:textId="77777777" w:rsidR="00A40296" w:rsidRDefault="004547D4" w:rsidP="004547D4">
      <w:pPr>
        <w:rPr>
          <w:rFonts w:cs="Arial"/>
        </w:rPr>
      </w:pPr>
      <w:permStart w:id="2085491962" w:edGrp="everyone"/>
      <w:r w:rsidRPr="004547D4">
        <w:rPr>
          <w:rFonts w:cs="Arial"/>
        </w:rPr>
        <w:t xml:space="preserve">If both past performance and scenarios are shown, there will </w:t>
      </w:r>
      <w:r w:rsidR="00A861A4">
        <w:rPr>
          <w:rFonts w:cs="Arial"/>
        </w:rPr>
        <w:t>need</w:t>
      </w:r>
      <w:r w:rsidRPr="004547D4">
        <w:rPr>
          <w:rFonts w:cs="Arial"/>
        </w:rPr>
        <w:t xml:space="preserve"> to be some </w:t>
      </w:r>
      <w:r w:rsidR="00673839">
        <w:rPr>
          <w:rFonts w:cs="Arial"/>
        </w:rPr>
        <w:t>narrative to explain that past performance is no guarantee for future outcomes and this should be followed by narrative that explain</w:t>
      </w:r>
      <w:r w:rsidR="002D1356">
        <w:rPr>
          <w:rFonts w:cs="Arial"/>
        </w:rPr>
        <w:t>s how the</w:t>
      </w:r>
      <w:r w:rsidR="00673839">
        <w:rPr>
          <w:rFonts w:cs="Arial"/>
        </w:rPr>
        <w:t xml:space="preserve"> future scenarios are </w:t>
      </w:r>
      <w:r w:rsidR="002D1356">
        <w:rPr>
          <w:rFonts w:cs="Arial"/>
        </w:rPr>
        <w:t xml:space="preserve">derived (i.e. </w:t>
      </w:r>
      <w:r w:rsidR="00673839">
        <w:rPr>
          <w:rFonts w:cs="Arial"/>
        </w:rPr>
        <w:t>based on historical observations</w:t>
      </w:r>
      <w:r w:rsidR="002D1356">
        <w:rPr>
          <w:rFonts w:cs="Arial"/>
        </w:rPr>
        <w:t>) but w</w:t>
      </w:r>
      <w:r w:rsidR="00673839">
        <w:rPr>
          <w:rFonts w:cs="Arial"/>
        </w:rPr>
        <w:t xml:space="preserve">ithout </w:t>
      </w:r>
      <w:r w:rsidR="002D1356">
        <w:rPr>
          <w:rFonts w:cs="Arial"/>
        </w:rPr>
        <w:t xml:space="preserve">contradicting </w:t>
      </w:r>
      <w:r w:rsidR="00673839">
        <w:rPr>
          <w:rFonts w:cs="Arial"/>
        </w:rPr>
        <w:t xml:space="preserve">the first </w:t>
      </w:r>
      <w:r w:rsidR="002D1356" w:rsidRPr="00B2299C">
        <w:rPr>
          <w:rFonts w:cs="Arial"/>
        </w:rPr>
        <w:t xml:space="preserve">narrative. </w:t>
      </w:r>
    </w:p>
    <w:p w14:paraId="2C9ADC4C" w14:textId="77777777" w:rsidR="00A40296" w:rsidRDefault="00A40296" w:rsidP="004547D4">
      <w:pPr>
        <w:rPr>
          <w:rFonts w:cs="Arial"/>
        </w:rPr>
      </w:pPr>
    </w:p>
    <w:p w14:paraId="5C2583A2" w14:textId="275F4B56" w:rsidR="004547D4" w:rsidRDefault="00A861A4" w:rsidP="003E573C">
      <w:pPr>
        <w:rPr>
          <w:rFonts w:cs="Arial"/>
        </w:rPr>
      </w:pPr>
      <w:r w:rsidRPr="00B2299C">
        <w:rPr>
          <w:rFonts w:cs="Arial"/>
        </w:rPr>
        <w:t>This is a challenge in itself.</w:t>
      </w:r>
      <w:r w:rsidR="00A40296">
        <w:rPr>
          <w:rFonts w:cs="Arial"/>
        </w:rPr>
        <w:t xml:space="preserve"> </w:t>
      </w:r>
      <w:r>
        <w:rPr>
          <w:rFonts w:cs="Arial"/>
        </w:rPr>
        <w:t>It</w:t>
      </w:r>
      <w:r w:rsidR="002D1356">
        <w:rPr>
          <w:rFonts w:cs="Arial"/>
        </w:rPr>
        <w:t xml:space="preserve"> creates additional pressure for the space constraints, but given the potential to confuse investors</w:t>
      </w:r>
      <w:r w:rsidR="00C3583B">
        <w:rPr>
          <w:rFonts w:cs="Arial"/>
        </w:rPr>
        <w:t>, it is important to include an</w:t>
      </w:r>
      <w:r w:rsidR="002D1356">
        <w:rPr>
          <w:rFonts w:cs="Arial"/>
        </w:rPr>
        <w:t xml:space="preserve"> explanation of both and how they connect, even if the text is likely to be skipped by retail investors (as with all narratives)</w:t>
      </w:r>
      <w:r w:rsidR="004547D4" w:rsidRPr="004547D4">
        <w:rPr>
          <w:rFonts w:cs="Arial"/>
        </w:rPr>
        <w:t>.</w:t>
      </w:r>
      <w:r w:rsidR="002D1356">
        <w:rPr>
          <w:rFonts w:cs="Arial"/>
        </w:rPr>
        <w:t xml:space="preserve"> The results of the consumer research should provide some helpful insights in this respect.</w:t>
      </w:r>
    </w:p>
    <w:permEnd w:id="2085491962"/>
    <w:p w14:paraId="2637C1BC" w14:textId="77777777" w:rsidR="003E573C" w:rsidRDefault="003E573C" w:rsidP="003E573C">
      <w:pPr>
        <w:rPr>
          <w:rFonts w:cs="Arial"/>
        </w:rPr>
      </w:pPr>
      <w:r>
        <w:rPr>
          <w:rFonts w:cs="Arial"/>
        </w:rPr>
        <w:lastRenderedPageBreak/>
        <w:t>&lt;ESA_QUESTION_PKID_29&gt;</w:t>
      </w:r>
    </w:p>
    <w:p w14:paraId="441001A5" w14:textId="77777777" w:rsidR="003E573C" w:rsidRDefault="003E573C" w:rsidP="003E573C">
      <w:pPr>
        <w:rPr>
          <w:rFonts w:cs="Arial"/>
        </w:rPr>
      </w:pPr>
    </w:p>
    <w:p w14:paraId="351BE132"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099B153B" w14:textId="77777777" w:rsidR="003E573C" w:rsidRDefault="003E573C" w:rsidP="003E573C">
      <w:pPr>
        <w:rPr>
          <w:rFonts w:cs="Arial"/>
        </w:rPr>
      </w:pPr>
      <w:r>
        <w:rPr>
          <w:rFonts w:cs="Arial"/>
        </w:rPr>
        <w:t>&lt;ESA_QUESTION_PKID_30&gt;</w:t>
      </w:r>
    </w:p>
    <w:p w14:paraId="1D8A38A6" w14:textId="77777777" w:rsidR="004547D4" w:rsidRDefault="004547D4" w:rsidP="003E573C">
      <w:pPr>
        <w:rPr>
          <w:rFonts w:cs="Arial"/>
        </w:rPr>
      </w:pPr>
      <w:permStart w:id="1693454916" w:edGrp="everyone"/>
      <w:r>
        <w:rPr>
          <w:rFonts w:cs="Arial"/>
        </w:rPr>
        <w:t xml:space="preserve">See </w:t>
      </w:r>
      <w:r w:rsidR="002D1356">
        <w:rPr>
          <w:rFonts w:cs="Arial"/>
        </w:rPr>
        <w:t>answer to question 29.</w:t>
      </w:r>
    </w:p>
    <w:permEnd w:id="1693454916"/>
    <w:p w14:paraId="5AAC0554" w14:textId="77777777" w:rsidR="003E573C" w:rsidRDefault="003E573C" w:rsidP="003E573C">
      <w:pPr>
        <w:rPr>
          <w:rFonts w:cs="Arial"/>
        </w:rPr>
      </w:pPr>
      <w:r>
        <w:rPr>
          <w:rFonts w:cs="Arial"/>
        </w:rPr>
        <w:t>&lt;ESA_QUESTION_PKID_30&gt;</w:t>
      </w:r>
    </w:p>
    <w:p w14:paraId="14555D3B" w14:textId="77777777" w:rsidR="003E573C" w:rsidRDefault="003E573C" w:rsidP="003E573C">
      <w:pPr>
        <w:rPr>
          <w:rFonts w:cs="Arial"/>
        </w:rPr>
      </w:pPr>
    </w:p>
    <w:p w14:paraId="29E6619F"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otnoteReference"/>
          <w:rFonts w:cstheme="minorHAnsi"/>
          <w:iCs/>
          <w:szCs w:val="24"/>
        </w:rPr>
        <w:footnoteReference w:id="5"/>
      </w:r>
      <w:r w:rsidRPr="00424904">
        <w:rPr>
          <w:rFonts w:cstheme="minorHAnsi"/>
          <w:iCs/>
          <w:color w:val="000000"/>
        </w:rPr>
        <w:t>?</w:t>
      </w:r>
    </w:p>
    <w:p w14:paraId="063BEBA7" w14:textId="77777777" w:rsidR="003E573C" w:rsidRDefault="003E573C" w:rsidP="003E573C">
      <w:pPr>
        <w:rPr>
          <w:rFonts w:cs="Arial"/>
        </w:rPr>
      </w:pPr>
      <w:r>
        <w:rPr>
          <w:rFonts w:cs="Arial"/>
        </w:rPr>
        <w:t>&lt;ESA_QUESTION_PKID_31&gt;</w:t>
      </w:r>
    </w:p>
    <w:p w14:paraId="43CC25CF" w14:textId="7B2539C6" w:rsidR="00320648" w:rsidRDefault="00E61D87" w:rsidP="003E573C">
      <w:pPr>
        <w:rPr>
          <w:rFonts w:cs="Arial"/>
        </w:rPr>
      </w:pPr>
      <w:permStart w:id="306516352" w:edGrp="everyone"/>
      <w:r>
        <w:rPr>
          <w:rFonts w:cs="Arial"/>
        </w:rPr>
        <w:t>We note</w:t>
      </w:r>
      <w:r w:rsidR="002D1356">
        <w:rPr>
          <w:rFonts w:cs="Arial"/>
        </w:rPr>
        <w:t xml:space="preserve"> that the specific amendments to the Q&amp;A for UCITS</w:t>
      </w:r>
      <w:r>
        <w:rPr>
          <w:rFonts w:cs="Arial"/>
        </w:rPr>
        <w:t>/AIF</w:t>
      </w:r>
      <w:r w:rsidR="00F042F9">
        <w:rPr>
          <w:rFonts w:cs="Arial"/>
        </w:rPr>
        <w:t>s</w:t>
      </w:r>
      <w:r w:rsidR="002D1356">
        <w:rPr>
          <w:rFonts w:cs="Arial"/>
        </w:rPr>
        <w:t xml:space="preserve"> had not been subject to consultation</w:t>
      </w:r>
      <w:r>
        <w:rPr>
          <w:rFonts w:cs="Arial"/>
        </w:rPr>
        <w:t xml:space="preserve"> even though </w:t>
      </w:r>
      <w:r w:rsidR="00320648">
        <w:rPr>
          <w:rFonts w:cs="Arial"/>
        </w:rPr>
        <w:t>some</w:t>
      </w:r>
      <w:r w:rsidR="00A40296">
        <w:rPr>
          <w:rFonts w:cs="Arial"/>
        </w:rPr>
        <w:t xml:space="preserve"> changes</w:t>
      </w:r>
      <w:r w:rsidR="00320648">
        <w:rPr>
          <w:rFonts w:cs="Arial"/>
        </w:rPr>
        <w:t xml:space="preserve"> were</w:t>
      </w:r>
      <w:r>
        <w:rPr>
          <w:rFonts w:cs="Arial"/>
        </w:rPr>
        <w:t xml:space="preserve"> quite significant</w:t>
      </w:r>
      <w:r w:rsidR="00320648">
        <w:rPr>
          <w:rFonts w:cs="Arial"/>
        </w:rPr>
        <w:t>. Namely, the definition of what could include or imply a reference to a benchmark is quite wid</w:t>
      </w:r>
      <w:r w:rsidR="00A861A4">
        <w:rPr>
          <w:rFonts w:cs="Arial"/>
        </w:rPr>
        <w:t>e-</w:t>
      </w:r>
      <w:r w:rsidR="00320648">
        <w:rPr>
          <w:rFonts w:cs="Arial"/>
        </w:rPr>
        <w:t xml:space="preserve">ranging and in some cases, possibly not relevant to the construction of a fund or the delivery of the investment objective. </w:t>
      </w:r>
    </w:p>
    <w:p w14:paraId="09D33C43" w14:textId="77777777" w:rsidR="00320648" w:rsidRDefault="00320648" w:rsidP="003E573C">
      <w:pPr>
        <w:rPr>
          <w:rFonts w:cs="Arial"/>
        </w:rPr>
      </w:pPr>
    </w:p>
    <w:p w14:paraId="07BB8373" w14:textId="77777777" w:rsidR="004547D4" w:rsidRDefault="00320648" w:rsidP="003E573C">
      <w:pPr>
        <w:rPr>
          <w:rFonts w:cs="Arial"/>
        </w:rPr>
      </w:pPr>
      <w:r>
        <w:rPr>
          <w:rFonts w:cs="Arial"/>
        </w:rPr>
        <w:t>We consider that benchmarking rules that apply to UCITS should be transposed into the PRIIP regime but we would urge the regulators to review these where they have not previously been subject to consultation</w:t>
      </w:r>
      <w:r w:rsidR="002D1356">
        <w:rPr>
          <w:rFonts w:cs="Arial"/>
        </w:rPr>
        <w:t>.</w:t>
      </w:r>
    </w:p>
    <w:permEnd w:id="306516352"/>
    <w:p w14:paraId="3FAE9397" w14:textId="77777777" w:rsidR="003E573C" w:rsidRDefault="003E573C" w:rsidP="003E573C">
      <w:pPr>
        <w:rPr>
          <w:rFonts w:cs="Arial"/>
        </w:rPr>
      </w:pPr>
      <w:r>
        <w:rPr>
          <w:rFonts w:cs="Arial"/>
        </w:rPr>
        <w:t>&lt;ESA_QUESTION_PKID_31&gt;</w:t>
      </w:r>
    </w:p>
    <w:p w14:paraId="2760E644" w14:textId="77777777" w:rsidR="003E573C" w:rsidRDefault="003E573C" w:rsidP="003E573C">
      <w:pPr>
        <w:rPr>
          <w:rFonts w:cs="Arial"/>
        </w:rPr>
      </w:pPr>
    </w:p>
    <w:p w14:paraId="4B6E9372"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6C1B66F6" w14:textId="77777777" w:rsidR="003E573C" w:rsidRDefault="003E573C" w:rsidP="003E573C">
      <w:pPr>
        <w:rPr>
          <w:rFonts w:cs="Arial"/>
        </w:rPr>
      </w:pPr>
      <w:r>
        <w:rPr>
          <w:rFonts w:cs="Arial"/>
        </w:rPr>
        <w:t>&lt;ESA_QUESTION_PKID_32&gt;</w:t>
      </w:r>
    </w:p>
    <w:p w14:paraId="7249D071" w14:textId="77777777" w:rsidR="004547D4" w:rsidRDefault="00003094" w:rsidP="003E573C">
      <w:pPr>
        <w:rPr>
          <w:rFonts w:cs="Arial"/>
        </w:rPr>
      </w:pPr>
      <w:permStart w:id="1138561753" w:edGrp="everyone"/>
      <w:r w:rsidRPr="00003094">
        <w:rPr>
          <w:rFonts w:cs="Arial"/>
        </w:rPr>
        <w:t>TYPE YOUR TEXT HERE</w:t>
      </w:r>
    </w:p>
    <w:permEnd w:id="1138561753"/>
    <w:p w14:paraId="14CE809B" w14:textId="77777777" w:rsidR="003E573C" w:rsidRDefault="003E573C" w:rsidP="003E573C">
      <w:pPr>
        <w:rPr>
          <w:rFonts w:cs="Arial"/>
        </w:rPr>
      </w:pPr>
      <w:r>
        <w:rPr>
          <w:rFonts w:cs="Arial"/>
        </w:rPr>
        <w:t>&lt;ESA_QUESTION_PKID_32&gt;</w:t>
      </w:r>
    </w:p>
    <w:p w14:paraId="51287008" w14:textId="77777777" w:rsidR="003E573C" w:rsidRDefault="003E573C" w:rsidP="003E573C">
      <w:pPr>
        <w:rPr>
          <w:rFonts w:cs="Arial"/>
        </w:rPr>
      </w:pPr>
    </w:p>
    <w:p w14:paraId="175EC5D0"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29D78D69" w14:textId="77777777" w:rsidR="003E573C" w:rsidRDefault="003E573C" w:rsidP="003E573C">
      <w:pPr>
        <w:rPr>
          <w:rFonts w:cs="Arial"/>
        </w:rPr>
      </w:pPr>
      <w:r>
        <w:rPr>
          <w:rFonts w:cs="Arial"/>
        </w:rPr>
        <w:t>&lt;ESA_QUESTION_PKID_33&gt;</w:t>
      </w:r>
    </w:p>
    <w:p w14:paraId="4D58CE9C" w14:textId="212EA4D8" w:rsidR="004547D4" w:rsidRDefault="00320648" w:rsidP="003E573C">
      <w:pPr>
        <w:rPr>
          <w:rFonts w:cs="Arial"/>
        </w:rPr>
      </w:pPr>
      <w:permStart w:id="2128887901" w:edGrp="everyone"/>
      <w:r>
        <w:rPr>
          <w:rFonts w:cs="Arial"/>
        </w:rPr>
        <w:t>In the interests of simplicity, more concise information is preferable as long as it remains meaningful. In this context, it is not clear that t</w:t>
      </w:r>
      <w:r w:rsidR="004547D4" w:rsidRPr="004547D4">
        <w:rPr>
          <w:rFonts w:cs="Arial"/>
        </w:rPr>
        <w:t>he intermediate period is really needed. Showing costs for one-year and RHP should be enough to communicate the effect of costs (including entry fees)</w:t>
      </w:r>
      <w:r>
        <w:rPr>
          <w:rFonts w:cs="Arial"/>
        </w:rPr>
        <w:t xml:space="preserve"> both if investors exit before the recommended holding period and if they </w:t>
      </w:r>
      <w:r w:rsidR="00A40296">
        <w:rPr>
          <w:rFonts w:cs="Arial"/>
        </w:rPr>
        <w:t>hold their investment until the end of the RHP</w:t>
      </w:r>
      <w:r w:rsidR="004547D4" w:rsidRPr="004547D4">
        <w:rPr>
          <w:rFonts w:cs="Arial"/>
        </w:rPr>
        <w:t xml:space="preserve">. </w:t>
      </w:r>
    </w:p>
    <w:permEnd w:id="2128887901"/>
    <w:p w14:paraId="62FB0BDD" w14:textId="77777777" w:rsidR="003E573C" w:rsidRDefault="003E573C" w:rsidP="003E573C">
      <w:pPr>
        <w:rPr>
          <w:rFonts w:cs="Arial"/>
        </w:rPr>
      </w:pPr>
      <w:r>
        <w:rPr>
          <w:rFonts w:cs="Arial"/>
        </w:rPr>
        <w:t>&lt;ESA_QUESTION_PKID_33&gt;</w:t>
      </w:r>
    </w:p>
    <w:p w14:paraId="54030B47" w14:textId="77777777" w:rsidR="003E573C" w:rsidRDefault="003E573C" w:rsidP="003E573C">
      <w:pPr>
        <w:rPr>
          <w:rFonts w:cs="Arial"/>
        </w:rPr>
      </w:pPr>
    </w:p>
    <w:p w14:paraId="13D49583"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5D787996" w14:textId="77777777" w:rsidR="003E573C" w:rsidRDefault="003E573C" w:rsidP="003E573C">
      <w:pPr>
        <w:rPr>
          <w:rFonts w:cs="Arial"/>
        </w:rPr>
      </w:pPr>
      <w:r>
        <w:rPr>
          <w:rFonts w:cs="Arial"/>
        </w:rPr>
        <w:t>&lt;ESA_QUESTION_PKID_34&gt;</w:t>
      </w:r>
    </w:p>
    <w:p w14:paraId="71DD55C4" w14:textId="77777777" w:rsidR="003E573C" w:rsidRDefault="00C03380" w:rsidP="003E573C">
      <w:pPr>
        <w:rPr>
          <w:rFonts w:cs="Arial"/>
        </w:rPr>
      </w:pPr>
      <w:permStart w:id="2005482779" w:edGrp="everyone"/>
      <w:r>
        <w:rPr>
          <w:rFonts w:cs="Arial"/>
        </w:rPr>
        <w:t xml:space="preserve">If the intermediate time period is kept, we believe that it should be standardised and applied to products that are very long-term. </w:t>
      </w:r>
    </w:p>
    <w:permEnd w:id="2005482779"/>
    <w:p w14:paraId="53303E15" w14:textId="77777777" w:rsidR="003E573C" w:rsidRDefault="003E573C" w:rsidP="003E573C">
      <w:pPr>
        <w:rPr>
          <w:rFonts w:cs="Arial"/>
        </w:rPr>
      </w:pPr>
      <w:r>
        <w:rPr>
          <w:rFonts w:cs="Arial"/>
        </w:rPr>
        <w:t>&lt;ESA_QUESTION_PKID_34&gt;</w:t>
      </w:r>
    </w:p>
    <w:p w14:paraId="7CCA8B75" w14:textId="77777777" w:rsidR="003E573C" w:rsidRDefault="003E573C" w:rsidP="003E573C">
      <w:pPr>
        <w:rPr>
          <w:rFonts w:cs="Arial"/>
        </w:rPr>
      </w:pPr>
    </w:p>
    <w:p w14:paraId="015513EC" w14:textId="77777777" w:rsidR="003E573C" w:rsidRDefault="003E573C" w:rsidP="003E573C">
      <w:pPr>
        <w:pStyle w:val="Questionstyle"/>
        <w:numPr>
          <w:ilvl w:val="0"/>
          <w:numId w:val="39"/>
        </w:numPr>
      </w:pPr>
      <w:r>
        <w:lastRenderedPageBreak/>
        <w:t xml:space="preserve">: </w:t>
      </w:r>
      <w:r w:rsidRPr="00763760">
        <w:t>Do you think it would be relevant to either (i) use an annual average cost figure at the recommended holding period, or (ii) to present both an annual average cost figure and a total (accumulated) costs figure?</w:t>
      </w:r>
    </w:p>
    <w:p w14:paraId="37EA077F" w14:textId="77777777" w:rsidR="003E573C" w:rsidRDefault="003E573C" w:rsidP="003E573C">
      <w:pPr>
        <w:rPr>
          <w:rFonts w:cs="Arial"/>
        </w:rPr>
      </w:pPr>
      <w:r>
        <w:rPr>
          <w:rFonts w:cs="Arial"/>
        </w:rPr>
        <w:t>&lt;ESA_QUESTION_PKID_35&gt;</w:t>
      </w:r>
    </w:p>
    <w:p w14:paraId="282E66E9" w14:textId="77777777" w:rsidR="004547D4" w:rsidRDefault="00C03380" w:rsidP="003E573C">
      <w:pPr>
        <w:rPr>
          <w:rFonts w:cs="Arial"/>
        </w:rPr>
      </w:pPr>
      <w:permStart w:id="1768038247" w:edGrp="everyone"/>
      <w:r>
        <w:rPr>
          <w:rFonts w:cs="Arial"/>
        </w:rPr>
        <w:t>We consider that both numbers would be relevant, but in the interest of providing as concise information as possible, we would prioritise the annual average cost figure at the RHP.</w:t>
      </w:r>
    </w:p>
    <w:permEnd w:id="1768038247"/>
    <w:p w14:paraId="172EBA6F" w14:textId="77777777" w:rsidR="003E573C" w:rsidRDefault="003E573C" w:rsidP="003E573C">
      <w:pPr>
        <w:rPr>
          <w:rFonts w:cs="Arial"/>
        </w:rPr>
      </w:pPr>
      <w:r>
        <w:rPr>
          <w:rFonts w:cs="Arial"/>
        </w:rPr>
        <w:t>&lt;ESA_QUESTION_PKID_35&gt;</w:t>
      </w:r>
    </w:p>
    <w:p w14:paraId="76B2FA3B" w14:textId="77777777" w:rsidR="003E573C" w:rsidRDefault="003E573C" w:rsidP="003E573C">
      <w:pPr>
        <w:rPr>
          <w:rFonts w:cs="Arial"/>
        </w:rPr>
      </w:pPr>
    </w:p>
    <w:p w14:paraId="4B369554"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080BA6F0" w14:textId="77777777" w:rsidR="003E573C" w:rsidRDefault="003E573C" w:rsidP="003E573C">
      <w:pPr>
        <w:rPr>
          <w:rFonts w:cs="Arial"/>
        </w:rPr>
      </w:pPr>
      <w:r>
        <w:rPr>
          <w:rFonts w:cs="Arial"/>
        </w:rPr>
        <w:t>&lt;ESA_QUESTION_PKID_36&gt;</w:t>
      </w:r>
    </w:p>
    <w:p w14:paraId="420FFC7C" w14:textId="08A8CBE0" w:rsidR="004547D4" w:rsidRDefault="00C03380" w:rsidP="00C03380">
      <w:pPr>
        <w:rPr>
          <w:rFonts w:cs="Arial"/>
        </w:rPr>
      </w:pPr>
      <w:permStart w:id="1069424509" w:edGrp="everyone"/>
      <w:r>
        <w:rPr>
          <w:rFonts w:cs="Arial"/>
        </w:rPr>
        <w:t>Schroders is of the view that this is not only helpful but</w:t>
      </w:r>
      <w:r w:rsidR="004547D4" w:rsidRPr="004547D4">
        <w:rPr>
          <w:rFonts w:cs="Arial"/>
        </w:rPr>
        <w:t xml:space="preserve"> </w:t>
      </w:r>
      <w:r w:rsidR="006F746E">
        <w:rPr>
          <w:rFonts w:cs="Arial"/>
        </w:rPr>
        <w:t xml:space="preserve">also </w:t>
      </w:r>
      <w:r w:rsidR="004547D4" w:rsidRPr="004547D4">
        <w:rPr>
          <w:rFonts w:cs="Arial"/>
        </w:rPr>
        <w:t>essent</w:t>
      </w:r>
      <w:r w:rsidR="00A861A4">
        <w:rPr>
          <w:rFonts w:cs="Arial"/>
        </w:rPr>
        <w:t>ial. Currently, because of the R</w:t>
      </w:r>
      <w:r w:rsidR="004547D4" w:rsidRPr="004547D4">
        <w:rPr>
          <w:rFonts w:cs="Arial"/>
        </w:rPr>
        <w:t xml:space="preserve">IY indicator, investors see different </w:t>
      </w:r>
      <w:r>
        <w:rPr>
          <w:rFonts w:cs="Arial"/>
        </w:rPr>
        <w:t xml:space="preserve">numbers for the same </w:t>
      </w:r>
      <w:proofErr w:type="spellStart"/>
      <w:r>
        <w:rPr>
          <w:rFonts w:cs="Arial"/>
        </w:rPr>
        <w:t>datapoint</w:t>
      </w:r>
      <w:proofErr w:type="spellEnd"/>
      <w:r>
        <w:rPr>
          <w:rFonts w:cs="Arial"/>
        </w:rPr>
        <w:t>. For example, investors looking</w:t>
      </w:r>
      <w:r w:rsidR="003B7DEB">
        <w:rPr>
          <w:rFonts w:cs="Arial"/>
        </w:rPr>
        <w:t xml:space="preserve"> at cost disclosure for an </w:t>
      </w:r>
      <w:r w:rsidR="004547D4" w:rsidRPr="004547D4">
        <w:rPr>
          <w:rFonts w:cs="Arial"/>
        </w:rPr>
        <w:t>i</w:t>
      </w:r>
      <w:r>
        <w:rPr>
          <w:rFonts w:cs="Arial"/>
        </w:rPr>
        <w:t xml:space="preserve">nvestment trust on a platform, would </w:t>
      </w:r>
      <w:r w:rsidR="004547D4" w:rsidRPr="004547D4">
        <w:rPr>
          <w:rFonts w:cs="Arial"/>
        </w:rPr>
        <w:t>see numbers</w:t>
      </w:r>
      <w:r>
        <w:rPr>
          <w:rFonts w:cs="Arial"/>
        </w:rPr>
        <w:t xml:space="preserve"> that are different than</w:t>
      </w:r>
      <w:r w:rsidR="004547D4" w:rsidRPr="004547D4">
        <w:rPr>
          <w:rFonts w:cs="Arial"/>
        </w:rPr>
        <w:t xml:space="preserve"> if they</w:t>
      </w:r>
      <w:r>
        <w:rPr>
          <w:rFonts w:cs="Arial"/>
        </w:rPr>
        <w:t xml:space="preserve"> would</w:t>
      </w:r>
      <w:r w:rsidR="004547D4" w:rsidRPr="004547D4">
        <w:rPr>
          <w:rFonts w:cs="Arial"/>
        </w:rPr>
        <w:t xml:space="preserve"> open the </w:t>
      </w:r>
      <w:r>
        <w:rPr>
          <w:rFonts w:cs="Arial"/>
        </w:rPr>
        <w:t xml:space="preserve">link to the pdf of the </w:t>
      </w:r>
      <w:r w:rsidR="004547D4" w:rsidRPr="004547D4">
        <w:rPr>
          <w:rFonts w:cs="Arial"/>
        </w:rPr>
        <w:t>KID (the link to which is</w:t>
      </w:r>
      <w:r>
        <w:rPr>
          <w:rFonts w:cs="Arial"/>
        </w:rPr>
        <w:t xml:space="preserve"> usually</w:t>
      </w:r>
      <w:r w:rsidR="004547D4" w:rsidRPr="004547D4">
        <w:rPr>
          <w:rFonts w:cs="Arial"/>
        </w:rPr>
        <w:t xml:space="preserve"> provided right next to the cost disclosure). </w:t>
      </w:r>
    </w:p>
    <w:p w14:paraId="7A55FCD5" w14:textId="77777777" w:rsidR="00C03380" w:rsidRDefault="00C03380" w:rsidP="00FA509F">
      <w:pPr>
        <w:rPr>
          <w:rFonts w:cs="Arial"/>
        </w:rPr>
      </w:pPr>
    </w:p>
    <w:p w14:paraId="57815F07" w14:textId="441B45BD" w:rsidR="002F4AD9" w:rsidRDefault="00FB33B4" w:rsidP="00C03380">
      <w:pPr>
        <w:rPr>
          <w:rFonts w:cs="Arial"/>
        </w:rPr>
      </w:pPr>
      <w:r>
        <w:rPr>
          <w:rFonts w:cs="Arial"/>
        </w:rPr>
        <w:t>As</w:t>
      </w:r>
      <w:r w:rsidR="002F4AD9">
        <w:rPr>
          <w:rFonts w:cs="Arial"/>
        </w:rPr>
        <w:t xml:space="preserve"> consumers have difficulty understanding percentages in the first place and are unlikely to read the details of the text, having different numbers for the same </w:t>
      </w:r>
      <w:proofErr w:type="spellStart"/>
      <w:r w:rsidR="002F4AD9">
        <w:rPr>
          <w:rFonts w:cs="Arial"/>
        </w:rPr>
        <w:t>datapoint</w:t>
      </w:r>
      <w:proofErr w:type="spellEnd"/>
      <w:r w:rsidR="002F4AD9">
        <w:rPr>
          <w:rFonts w:cs="Arial"/>
        </w:rPr>
        <w:t xml:space="preserve"> is</w:t>
      </w:r>
      <w:r w:rsidR="00C03380" w:rsidRPr="004547D4">
        <w:rPr>
          <w:rFonts w:cs="Arial"/>
        </w:rPr>
        <w:t xml:space="preserve"> very confusing and needs to be amended. </w:t>
      </w:r>
    </w:p>
    <w:p w14:paraId="19276BEF" w14:textId="77777777" w:rsidR="002F4AD9" w:rsidRDefault="002F4AD9" w:rsidP="00C03380">
      <w:pPr>
        <w:rPr>
          <w:rFonts w:cs="Arial"/>
        </w:rPr>
      </w:pPr>
    </w:p>
    <w:p w14:paraId="186461E1" w14:textId="537D984D" w:rsidR="00C03380" w:rsidRDefault="002F4AD9" w:rsidP="00C03380">
      <w:pPr>
        <w:rPr>
          <w:rFonts w:cs="Arial"/>
        </w:rPr>
      </w:pPr>
      <w:r>
        <w:rPr>
          <w:rFonts w:cs="Arial"/>
        </w:rPr>
        <w:t xml:space="preserve">We do not support the use of the </w:t>
      </w:r>
      <w:r w:rsidR="00C03380" w:rsidRPr="004547D4">
        <w:rPr>
          <w:rFonts w:cs="Arial"/>
        </w:rPr>
        <w:t xml:space="preserve">RIY indicator </w:t>
      </w:r>
      <w:r>
        <w:rPr>
          <w:rFonts w:cs="Arial"/>
        </w:rPr>
        <w:t xml:space="preserve">for all the reasons outlined on pages 36 and 37 of the consultation paper. Namely, it is theoretical </w:t>
      </w:r>
      <w:r w:rsidR="00FB33B4">
        <w:rPr>
          <w:rFonts w:cs="Arial"/>
        </w:rPr>
        <w:t>as</w:t>
      </w:r>
      <w:r>
        <w:rPr>
          <w:rFonts w:cs="Arial"/>
        </w:rPr>
        <w:t xml:space="preserve"> it</w:t>
      </w:r>
      <w:r w:rsidR="00C03380" w:rsidRPr="004547D4">
        <w:rPr>
          <w:rFonts w:cs="Arial"/>
        </w:rPr>
        <w:t xml:space="preserve"> </w:t>
      </w:r>
      <w:r w:rsidR="00FB33B4">
        <w:rPr>
          <w:rFonts w:cs="Arial"/>
        </w:rPr>
        <w:t>needs to make an assumption for</w:t>
      </w:r>
      <w:r w:rsidR="00C03380" w:rsidRPr="004547D4">
        <w:rPr>
          <w:rFonts w:cs="Arial"/>
        </w:rPr>
        <w:t xml:space="preserve"> both time horizon and a rate of return</w:t>
      </w:r>
      <w:r>
        <w:rPr>
          <w:rFonts w:cs="Arial"/>
        </w:rPr>
        <w:t>, it</w:t>
      </w:r>
      <w:r w:rsidR="00C03380" w:rsidRPr="004547D4">
        <w:rPr>
          <w:rFonts w:cs="Arial"/>
        </w:rPr>
        <w:t xml:space="preserve"> make</w:t>
      </w:r>
      <w:r>
        <w:rPr>
          <w:rFonts w:cs="Arial"/>
        </w:rPr>
        <w:t xml:space="preserve">s one-off costs look smaller, and ultimately it does not answer </w:t>
      </w:r>
      <w:r w:rsidR="006162C6">
        <w:rPr>
          <w:rFonts w:cs="Arial"/>
        </w:rPr>
        <w:t>“</w:t>
      </w:r>
      <w:r>
        <w:rPr>
          <w:rFonts w:cs="Arial"/>
        </w:rPr>
        <w:t>what are the costs</w:t>
      </w:r>
      <w:r w:rsidR="006162C6">
        <w:rPr>
          <w:rFonts w:cs="Arial"/>
        </w:rPr>
        <w:t>”</w:t>
      </w:r>
      <w:r>
        <w:rPr>
          <w:rFonts w:cs="Arial"/>
        </w:rPr>
        <w:t xml:space="preserve"> but rather that is the theoretical loss in return</w:t>
      </w:r>
      <w:r w:rsidR="00C03380" w:rsidRPr="004547D4">
        <w:rPr>
          <w:rFonts w:cs="Arial"/>
        </w:rPr>
        <w:t>.</w:t>
      </w:r>
    </w:p>
    <w:p w14:paraId="5E0BB51A" w14:textId="77777777" w:rsidR="00C03380" w:rsidRDefault="00C03380" w:rsidP="00C03380">
      <w:pPr>
        <w:rPr>
          <w:rFonts w:cs="Arial"/>
        </w:rPr>
      </w:pPr>
    </w:p>
    <w:p w14:paraId="022F816A" w14:textId="77777777" w:rsidR="00FA509F" w:rsidRDefault="002F4AD9" w:rsidP="00FA509F">
      <w:pPr>
        <w:rPr>
          <w:rFonts w:cs="Arial"/>
        </w:rPr>
      </w:pPr>
      <w:r>
        <w:rPr>
          <w:rFonts w:cs="Arial"/>
        </w:rPr>
        <w:t>An additional element of consistency is between MiFID II/PRIIP disclosures and what can be read in other documentation, such as the (audited) annual long reports for funds where costs are again disclosed as a percentage of NAV.</w:t>
      </w:r>
    </w:p>
    <w:permEnd w:id="1069424509"/>
    <w:p w14:paraId="73846040" w14:textId="77777777" w:rsidR="003E573C" w:rsidRDefault="003E573C" w:rsidP="003E573C">
      <w:pPr>
        <w:rPr>
          <w:rFonts w:cs="Arial"/>
        </w:rPr>
      </w:pPr>
      <w:r>
        <w:rPr>
          <w:rFonts w:cs="Arial"/>
        </w:rPr>
        <w:t>&lt;ESA_QUESTION_PKID_36&gt;</w:t>
      </w:r>
    </w:p>
    <w:p w14:paraId="386D5F8E" w14:textId="77777777" w:rsidR="003E573C" w:rsidRDefault="003E573C" w:rsidP="003E573C">
      <w:pPr>
        <w:rPr>
          <w:rFonts w:cs="Arial"/>
        </w:rPr>
      </w:pPr>
    </w:p>
    <w:p w14:paraId="56F78F25"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723B5FFF" w14:textId="77777777" w:rsidR="003E573C" w:rsidRDefault="003E573C" w:rsidP="003E573C">
      <w:pPr>
        <w:rPr>
          <w:rFonts w:cs="Arial"/>
        </w:rPr>
      </w:pPr>
      <w:r>
        <w:rPr>
          <w:rFonts w:cs="Arial"/>
        </w:rPr>
        <w:t>&lt;ESA_QUESTION_PKID_37&gt;</w:t>
      </w:r>
    </w:p>
    <w:p w14:paraId="6ADEA681" w14:textId="77777777" w:rsidR="004547D4" w:rsidRDefault="002F4AD9" w:rsidP="003E573C">
      <w:pPr>
        <w:rPr>
          <w:rFonts w:cs="Arial"/>
        </w:rPr>
      </w:pPr>
      <w:permStart w:id="2092773305" w:edGrp="everyone"/>
      <w:r w:rsidRPr="002F4AD9">
        <w:rPr>
          <w:rFonts w:cs="Arial"/>
        </w:rPr>
        <w:t>TYPE YOUR TEXT HERE</w:t>
      </w:r>
    </w:p>
    <w:permEnd w:id="2092773305"/>
    <w:p w14:paraId="7AA6A037" w14:textId="77777777" w:rsidR="003E573C" w:rsidRDefault="003E573C" w:rsidP="003E573C">
      <w:pPr>
        <w:rPr>
          <w:rFonts w:cs="Arial"/>
        </w:rPr>
      </w:pPr>
      <w:r>
        <w:rPr>
          <w:rFonts w:cs="Arial"/>
        </w:rPr>
        <w:t>&lt;ESA_QUESTION_PKID_37&gt;</w:t>
      </w:r>
    </w:p>
    <w:p w14:paraId="655D59D6" w14:textId="77777777" w:rsidR="003E573C" w:rsidRDefault="003E573C" w:rsidP="003E573C">
      <w:pPr>
        <w:rPr>
          <w:rFonts w:cs="Arial"/>
        </w:rPr>
      </w:pPr>
    </w:p>
    <w:p w14:paraId="494C4A52"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0ECC14FE" w14:textId="77777777" w:rsidR="003E573C" w:rsidRDefault="003E573C" w:rsidP="003E573C">
      <w:pPr>
        <w:rPr>
          <w:rFonts w:cs="Arial"/>
        </w:rPr>
      </w:pPr>
      <w:r>
        <w:rPr>
          <w:rFonts w:cs="Arial"/>
        </w:rPr>
        <w:t>&lt;ESA_QUESTION_PKID_38&gt;</w:t>
      </w:r>
    </w:p>
    <w:p w14:paraId="464E08A6" w14:textId="77777777" w:rsidR="004547D4" w:rsidRDefault="009B7984" w:rsidP="003E573C">
      <w:pPr>
        <w:rPr>
          <w:rFonts w:cs="Arial"/>
        </w:rPr>
      </w:pPr>
      <w:permStart w:id="2125735254" w:edGrp="everyone"/>
      <w:r>
        <w:rPr>
          <w:rFonts w:cs="Arial"/>
        </w:rPr>
        <w:t>TYPE YOUR TEXT HERE</w:t>
      </w:r>
    </w:p>
    <w:permEnd w:id="2125735254"/>
    <w:p w14:paraId="3AAEA0DF" w14:textId="77777777" w:rsidR="003E573C" w:rsidRDefault="003E573C" w:rsidP="003E573C">
      <w:pPr>
        <w:rPr>
          <w:rFonts w:cs="Arial"/>
        </w:rPr>
      </w:pPr>
      <w:r>
        <w:rPr>
          <w:rFonts w:cs="Arial"/>
        </w:rPr>
        <w:t>&lt;ESA_QUESTION_PKID_38&gt;</w:t>
      </w:r>
    </w:p>
    <w:p w14:paraId="585E5950" w14:textId="77777777" w:rsidR="003E573C" w:rsidRDefault="003E573C" w:rsidP="003E573C">
      <w:pPr>
        <w:rPr>
          <w:rFonts w:cs="Arial"/>
        </w:rPr>
      </w:pPr>
    </w:p>
    <w:p w14:paraId="369524C9"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12B0FAE1" w14:textId="77777777" w:rsidR="003E573C" w:rsidRDefault="003E573C" w:rsidP="003E573C">
      <w:pPr>
        <w:rPr>
          <w:rFonts w:cs="Arial"/>
        </w:rPr>
      </w:pPr>
      <w:r>
        <w:rPr>
          <w:rFonts w:cs="Arial"/>
        </w:rPr>
        <w:t>&lt;ESA_QUESTION_PKID_39&gt;</w:t>
      </w:r>
    </w:p>
    <w:p w14:paraId="2A9544A2" w14:textId="1ED7E7EB" w:rsidR="00D8581B" w:rsidRDefault="00D8581B" w:rsidP="003E573C">
      <w:pPr>
        <w:rPr>
          <w:rFonts w:cs="Arial"/>
        </w:rPr>
      </w:pPr>
      <w:permStart w:id="2049579249" w:edGrp="everyone"/>
      <w:r>
        <w:rPr>
          <w:rFonts w:cs="Arial"/>
        </w:rPr>
        <w:t>Schroders</w:t>
      </w:r>
      <w:r w:rsidR="009B7984" w:rsidRPr="004547D4">
        <w:rPr>
          <w:rFonts w:cs="Arial"/>
        </w:rPr>
        <w:t xml:space="preserve"> agree</w:t>
      </w:r>
      <w:r w:rsidR="00A861A4">
        <w:rPr>
          <w:rFonts w:cs="Arial"/>
        </w:rPr>
        <w:t>s</w:t>
      </w:r>
      <w:r w:rsidR="009B7984" w:rsidRPr="004547D4">
        <w:rPr>
          <w:rFonts w:cs="Arial"/>
        </w:rPr>
        <w:t xml:space="preserve"> that the cost disclosure needs to be revised</w:t>
      </w:r>
      <w:r>
        <w:rPr>
          <w:rFonts w:cs="Arial"/>
        </w:rPr>
        <w:t>, not least in order to achieve consistency with MiFID II figures. Considering the proposals, we welcome that:</w:t>
      </w:r>
    </w:p>
    <w:p w14:paraId="3B76CBDA" w14:textId="24E52746" w:rsidR="00D8581B" w:rsidRDefault="00D8581B" w:rsidP="00D8581B">
      <w:pPr>
        <w:pStyle w:val="BulletedtextRegularB17"/>
        <w:ind w:left="357" w:hanging="357"/>
      </w:pPr>
      <w:r>
        <w:t xml:space="preserve">Ongoing costs are separated from transaction costs in </w:t>
      </w:r>
      <w:r w:rsidR="006F746E">
        <w:t xml:space="preserve">a </w:t>
      </w:r>
      <w:r>
        <w:t>more prominent way</w:t>
      </w:r>
    </w:p>
    <w:p w14:paraId="57772B3B" w14:textId="5B25939F" w:rsidR="00D8581B" w:rsidRDefault="00D8581B" w:rsidP="00D8581B">
      <w:pPr>
        <w:pStyle w:val="BulletedtextRegularB17"/>
        <w:ind w:left="357" w:hanging="357"/>
      </w:pPr>
      <w:r>
        <w:t>There is an effort to move away from the use of the RIY indicator</w:t>
      </w:r>
      <w:r w:rsidR="00A861A4">
        <w:t xml:space="preserve"> be more consistent with MiFID</w:t>
      </w:r>
    </w:p>
    <w:p w14:paraId="11C269C0" w14:textId="77777777" w:rsidR="00D8581B" w:rsidRDefault="00D8581B" w:rsidP="003E573C">
      <w:pPr>
        <w:rPr>
          <w:rFonts w:cs="Arial"/>
        </w:rPr>
      </w:pPr>
    </w:p>
    <w:p w14:paraId="6A5FB321" w14:textId="6E5834C8" w:rsidR="00D8581B" w:rsidRDefault="00EE7E0C" w:rsidP="003E573C">
      <w:pPr>
        <w:rPr>
          <w:rFonts w:cs="Arial"/>
        </w:rPr>
      </w:pPr>
      <w:r>
        <w:rPr>
          <w:rFonts w:cs="Arial"/>
        </w:rPr>
        <w:t>This is a step forward but</w:t>
      </w:r>
      <w:r w:rsidR="00D8581B">
        <w:rPr>
          <w:rFonts w:cs="Arial"/>
        </w:rPr>
        <w:t xml:space="preserve"> we do not view the proposals as a significant improvement. The top half of the tables in pages 82-93 of the consultation paper try to split RIY into steps. By doing so, they present “return per year before costs”, where costs include transaction costs. </w:t>
      </w:r>
      <w:r w:rsidR="00D8581B" w:rsidRPr="00EE7E0C">
        <w:rPr>
          <w:rFonts w:cs="Arial"/>
          <w:b/>
        </w:rPr>
        <w:t>Although returns can be gross of ongoing costs</w:t>
      </w:r>
      <w:r w:rsidR="00A861A4" w:rsidRPr="00EE7E0C">
        <w:rPr>
          <w:rFonts w:cs="Arial"/>
          <w:b/>
        </w:rPr>
        <w:t>, entry and exit fees as well as performance fees</w:t>
      </w:r>
      <w:r w:rsidR="00D8581B" w:rsidRPr="00EE7E0C">
        <w:rPr>
          <w:rFonts w:cs="Arial"/>
          <w:b/>
        </w:rPr>
        <w:t>, they cannot be gross of transaction costs</w:t>
      </w:r>
      <w:r w:rsidR="00D8581B">
        <w:rPr>
          <w:rFonts w:cs="Arial"/>
        </w:rPr>
        <w:t xml:space="preserve">. Gross returns are the outcome of specific transactions for which transaction costs had to be incurred. A different level of transaction costs means that a different set of transactions took place, resulting in a different gross return. Transactions happen before </w:t>
      </w:r>
      <w:r w:rsidR="00A861A4">
        <w:rPr>
          <w:rFonts w:cs="Arial"/>
        </w:rPr>
        <w:t xml:space="preserve">the </w:t>
      </w:r>
      <w:r w:rsidR="00D8581B">
        <w:rPr>
          <w:rFonts w:cs="Arial"/>
        </w:rPr>
        <w:t xml:space="preserve">gross return, not after. That is why there is no such thing as return before costs as presented in the consultation paper. </w:t>
      </w:r>
      <w:r w:rsidR="00F51E97">
        <w:rPr>
          <w:rFonts w:cs="Arial"/>
        </w:rPr>
        <w:t>In this respect, even the RIY</w:t>
      </w:r>
      <w:r w:rsidR="00050BBF">
        <w:rPr>
          <w:rFonts w:cs="Arial"/>
        </w:rPr>
        <w:t xml:space="preserve"> indicator</w:t>
      </w:r>
      <w:r w:rsidR="00F51E97">
        <w:rPr>
          <w:rFonts w:cs="Arial"/>
        </w:rPr>
        <w:t xml:space="preserve"> is less misleading.</w:t>
      </w:r>
    </w:p>
    <w:p w14:paraId="7467E4A8" w14:textId="77777777" w:rsidR="00F51E97" w:rsidRDefault="00F51E97" w:rsidP="003E573C">
      <w:pPr>
        <w:rPr>
          <w:rFonts w:cs="Arial"/>
        </w:rPr>
      </w:pPr>
    </w:p>
    <w:p w14:paraId="50BC01E8" w14:textId="16E9E5FE" w:rsidR="00F51E97" w:rsidRDefault="00F51E97" w:rsidP="003E573C">
      <w:pPr>
        <w:rPr>
          <w:rFonts w:cs="Arial"/>
        </w:rPr>
      </w:pPr>
      <w:r>
        <w:rPr>
          <w:rFonts w:cs="Arial"/>
        </w:rPr>
        <w:t>An additional concern is in regards to the large amount of information that is provided in all proposals. This risks</w:t>
      </w:r>
      <w:r w:rsidR="00050BBF">
        <w:rPr>
          <w:rFonts w:cs="Arial"/>
        </w:rPr>
        <w:t xml:space="preserve"> </w:t>
      </w:r>
      <w:r>
        <w:rPr>
          <w:rFonts w:cs="Arial"/>
        </w:rPr>
        <w:t xml:space="preserve">overload for consumers and, importantly, none of this is part of the consumer testing so there is no way of knowing </w:t>
      </w:r>
      <w:r w:rsidR="00050BBF">
        <w:rPr>
          <w:rFonts w:cs="Arial"/>
        </w:rPr>
        <w:t>what</w:t>
      </w:r>
      <w:r>
        <w:rPr>
          <w:rFonts w:cs="Arial"/>
        </w:rPr>
        <w:t xml:space="preserve"> investors would pay most attention to or how useful they would find this disclosure. </w:t>
      </w:r>
    </w:p>
    <w:p w14:paraId="57A20B4E" w14:textId="77777777" w:rsidR="00F51E97" w:rsidRDefault="00F51E97" w:rsidP="003E573C">
      <w:pPr>
        <w:rPr>
          <w:rFonts w:cs="Arial"/>
        </w:rPr>
      </w:pPr>
    </w:p>
    <w:p w14:paraId="7E9889FF" w14:textId="77777777" w:rsidR="00635CF9" w:rsidRDefault="00F51E97" w:rsidP="003E573C">
      <w:pPr>
        <w:rPr>
          <w:rFonts w:cs="Arial"/>
        </w:rPr>
      </w:pPr>
      <w:r>
        <w:rPr>
          <w:rFonts w:cs="Arial"/>
        </w:rPr>
        <w:t xml:space="preserve">We </w:t>
      </w:r>
      <w:r w:rsidR="00635CF9">
        <w:rPr>
          <w:rFonts w:cs="Arial"/>
        </w:rPr>
        <w:t xml:space="preserve">believe that </w:t>
      </w:r>
      <w:r w:rsidR="000C1669">
        <w:rPr>
          <w:rFonts w:cs="Arial"/>
        </w:rPr>
        <w:t>cost disclosure needs to</w:t>
      </w:r>
      <w:r w:rsidR="00635CF9">
        <w:rPr>
          <w:rFonts w:cs="Arial"/>
        </w:rPr>
        <w:t xml:space="preserve">: </w:t>
      </w:r>
    </w:p>
    <w:p w14:paraId="3CF2F399" w14:textId="77777777" w:rsidR="00635CF9" w:rsidRPr="00635CF9" w:rsidRDefault="00635CF9" w:rsidP="00635CF9">
      <w:pPr>
        <w:pStyle w:val="ListParagraph"/>
        <w:numPr>
          <w:ilvl w:val="0"/>
          <w:numId w:val="46"/>
        </w:numPr>
        <w:ind w:left="357" w:hanging="357"/>
        <w:rPr>
          <w:rFonts w:cs="Arial"/>
        </w:rPr>
      </w:pPr>
      <w:r w:rsidRPr="00635CF9">
        <w:rPr>
          <w:rFonts w:cs="Arial"/>
        </w:rPr>
        <w:t xml:space="preserve">show cost figures as a percentage of NAV to ensure consistency </w:t>
      </w:r>
      <w:r w:rsidR="00F51E97" w:rsidRPr="00635CF9">
        <w:rPr>
          <w:rFonts w:cs="Arial"/>
        </w:rPr>
        <w:t>with MiFID II disclosure</w:t>
      </w:r>
      <w:r w:rsidRPr="00635CF9">
        <w:rPr>
          <w:rFonts w:cs="Arial"/>
        </w:rPr>
        <w:t>s</w:t>
      </w:r>
    </w:p>
    <w:p w14:paraId="4F780714" w14:textId="77777777" w:rsidR="000C1669" w:rsidRDefault="00635CF9" w:rsidP="00635CF9">
      <w:pPr>
        <w:pStyle w:val="ListParagraph"/>
        <w:numPr>
          <w:ilvl w:val="0"/>
          <w:numId w:val="46"/>
        </w:numPr>
        <w:ind w:left="357" w:hanging="357"/>
        <w:rPr>
          <w:rFonts w:cs="Arial"/>
        </w:rPr>
      </w:pPr>
      <w:r>
        <w:rPr>
          <w:rFonts w:cs="Arial"/>
        </w:rPr>
        <w:t>r</w:t>
      </w:r>
      <w:r w:rsidR="00F51E97" w:rsidRPr="00635CF9">
        <w:rPr>
          <w:rFonts w:cs="Arial"/>
        </w:rPr>
        <w:t xml:space="preserve">emove the figures for RHP/2 because this is </w:t>
      </w:r>
      <w:r w:rsidR="000C1669">
        <w:rPr>
          <w:rFonts w:cs="Arial"/>
        </w:rPr>
        <w:t>not adding any value</w:t>
      </w:r>
    </w:p>
    <w:p w14:paraId="4AB46394" w14:textId="345D7138" w:rsidR="000C1669" w:rsidRDefault="000C1669" w:rsidP="00635CF9">
      <w:pPr>
        <w:pStyle w:val="ListParagraph"/>
        <w:numPr>
          <w:ilvl w:val="0"/>
          <w:numId w:val="46"/>
        </w:numPr>
        <w:ind w:left="357" w:hanging="357"/>
        <w:rPr>
          <w:rFonts w:cs="Arial"/>
        </w:rPr>
      </w:pPr>
      <w:r>
        <w:rPr>
          <w:rFonts w:cs="Arial"/>
        </w:rPr>
        <w:t>s</w:t>
      </w:r>
      <w:r w:rsidR="00F51E97" w:rsidRPr="00635CF9">
        <w:rPr>
          <w:rFonts w:cs="Arial"/>
        </w:rPr>
        <w:t xml:space="preserve">how RIY only on a total cost basis next to a total </w:t>
      </w:r>
      <w:r>
        <w:rPr>
          <w:rFonts w:cs="Arial"/>
        </w:rPr>
        <w:t>cost indicator that is</w:t>
      </w:r>
      <w:r w:rsidR="00050BBF">
        <w:rPr>
          <w:rFonts w:cs="Arial"/>
        </w:rPr>
        <w:t xml:space="preserve"> expressed as a percentage </w:t>
      </w:r>
      <w:r>
        <w:rPr>
          <w:rFonts w:cs="Arial"/>
        </w:rPr>
        <w:t>of NAV</w:t>
      </w:r>
      <w:r w:rsidR="00F51E97" w:rsidRPr="00635CF9">
        <w:rPr>
          <w:rFonts w:cs="Arial"/>
        </w:rPr>
        <w:t xml:space="preserve"> </w:t>
      </w:r>
    </w:p>
    <w:p w14:paraId="055D1264" w14:textId="06D788CD" w:rsidR="009B7984" w:rsidRDefault="00F51E97" w:rsidP="000C1669">
      <w:pPr>
        <w:pStyle w:val="ListParagraph"/>
        <w:numPr>
          <w:ilvl w:val="0"/>
          <w:numId w:val="46"/>
        </w:numPr>
        <w:ind w:left="357" w:hanging="357"/>
        <w:rPr>
          <w:rFonts w:cs="Arial"/>
        </w:rPr>
      </w:pPr>
      <w:r w:rsidRPr="00635CF9">
        <w:rPr>
          <w:rFonts w:cs="Arial"/>
        </w:rPr>
        <w:t xml:space="preserve">maintain the breakdown </w:t>
      </w:r>
      <w:r w:rsidR="000C1669">
        <w:rPr>
          <w:rFonts w:cs="Arial"/>
        </w:rPr>
        <w:t xml:space="preserve">of individual cost components. </w:t>
      </w:r>
    </w:p>
    <w:p w14:paraId="15A7D18E" w14:textId="281340A4" w:rsidR="00131A99" w:rsidRDefault="00131A99" w:rsidP="00131A99">
      <w:pPr>
        <w:rPr>
          <w:rFonts w:cs="Arial"/>
        </w:rPr>
      </w:pPr>
    </w:p>
    <w:p w14:paraId="05A38F26" w14:textId="68A216A6" w:rsidR="00131A99" w:rsidRPr="00131A99" w:rsidRDefault="00131A99" w:rsidP="00131A99">
      <w:pPr>
        <w:rPr>
          <w:rFonts w:cs="Arial"/>
        </w:rPr>
      </w:pPr>
      <w:r>
        <w:rPr>
          <w:rFonts w:cs="Arial"/>
        </w:rPr>
        <w:t>Hence, as with some aspects of the proposals on performance disclosure, there are some improvements but the fundamental issue is still not fixed.</w:t>
      </w:r>
    </w:p>
    <w:permEnd w:id="2049579249"/>
    <w:p w14:paraId="5E972FD6" w14:textId="77777777" w:rsidR="003E573C" w:rsidRDefault="003E573C" w:rsidP="003E573C">
      <w:pPr>
        <w:rPr>
          <w:rFonts w:cs="Arial"/>
        </w:rPr>
      </w:pPr>
      <w:r>
        <w:rPr>
          <w:rFonts w:cs="Arial"/>
        </w:rPr>
        <w:t>&lt;ESA_QUESTION_PKID_39&gt;</w:t>
      </w:r>
    </w:p>
    <w:p w14:paraId="691316B5" w14:textId="77777777" w:rsidR="003E573C" w:rsidRDefault="003E573C" w:rsidP="003E573C">
      <w:pPr>
        <w:rPr>
          <w:rFonts w:cs="Arial"/>
        </w:rPr>
      </w:pPr>
    </w:p>
    <w:p w14:paraId="1C5B0229" w14:textId="77777777" w:rsidR="003E573C" w:rsidRDefault="003E573C" w:rsidP="003E573C">
      <w:pPr>
        <w:pStyle w:val="Questionstyle"/>
        <w:numPr>
          <w:ilvl w:val="0"/>
          <w:numId w:val="39"/>
        </w:numPr>
      </w:pPr>
      <w:r>
        <w:t xml:space="preserve">: </w:t>
      </w:r>
      <w:r w:rsidRPr="00763760">
        <w:t>If not, which option do you prefer, and why?</w:t>
      </w:r>
    </w:p>
    <w:p w14:paraId="6A6EA1A7" w14:textId="77777777" w:rsidR="003E573C" w:rsidRDefault="003E573C" w:rsidP="003E573C">
      <w:pPr>
        <w:rPr>
          <w:rFonts w:cs="Arial"/>
        </w:rPr>
      </w:pPr>
      <w:r>
        <w:rPr>
          <w:rFonts w:cs="Arial"/>
        </w:rPr>
        <w:t>&lt;ESA_QUESTION_PKID_40&gt;</w:t>
      </w:r>
    </w:p>
    <w:p w14:paraId="6BC841E0" w14:textId="1F7FEF32" w:rsidR="006902B2" w:rsidRDefault="000C1669" w:rsidP="003E573C">
      <w:pPr>
        <w:rPr>
          <w:rFonts w:cs="Arial"/>
        </w:rPr>
      </w:pPr>
      <w:permStart w:id="594373980" w:edGrp="everyone"/>
      <w:r>
        <w:rPr>
          <w:rFonts w:cs="Arial"/>
        </w:rPr>
        <w:t>A possible</w:t>
      </w:r>
      <w:r w:rsidR="006902B2">
        <w:rPr>
          <w:rFonts w:cs="Arial"/>
        </w:rPr>
        <w:t xml:space="preserve"> and more simplified</w:t>
      </w:r>
      <w:r>
        <w:rPr>
          <w:rFonts w:cs="Arial"/>
        </w:rPr>
        <w:t xml:space="preserve"> way to present cost</w:t>
      </w:r>
      <w:r w:rsidR="006902B2">
        <w:rPr>
          <w:rFonts w:cs="Arial"/>
        </w:rPr>
        <w:t>s in a MiFID II consistent way is proposed in the table below, which</w:t>
      </w:r>
      <w:r w:rsidR="00647246">
        <w:rPr>
          <w:rFonts w:cs="Arial"/>
        </w:rPr>
        <w:t xml:space="preserve"> keeps</w:t>
      </w:r>
      <w:r w:rsidR="006902B2">
        <w:rPr>
          <w:rFonts w:cs="Arial"/>
        </w:rPr>
        <w:t>:</w:t>
      </w:r>
    </w:p>
    <w:p w14:paraId="1855824B" w14:textId="3590610F" w:rsidR="006902B2" w:rsidRDefault="006902B2" w:rsidP="00647246">
      <w:pPr>
        <w:pStyle w:val="BulletedtextRegularB17"/>
        <w:ind w:left="357" w:hanging="357"/>
      </w:pPr>
      <w:r>
        <w:t>the two</w:t>
      </w:r>
      <w:r w:rsidR="00EE7E0C">
        <w:t>-</w:t>
      </w:r>
      <w:r>
        <w:t xml:space="preserve">table format from the Delegated Regulation that clearly </w:t>
      </w:r>
      <w:r w:rsidR="00647246">
        <w:t>states</w:t>
      </w:r>
      <w:r>
        <w:t xml:space="preserve"> total cost</w:t>
      </w:r>
    </w:p>
    <w:p w14:paraId="67A95669" w14:textId="4656D539" w:rsidR="006902B2" w:rsidRDefault="006902B2" w:rsidP="00647246">
      <w:pPr>
        <w:pStyle w:val="BulletedtextRegularB17"/>
        <w:ind w:left="357" w:hanging="357"/>
      </w:pPr>
      <w:r>
        <w:t xml:space="preserve">the RIY presentation of total costs but </w:t>
      </w:r>
      <w:r w:rsidR="00647246">
        <w:t xml:space="preserve">shows it </w:t>
      </w:r>
      <w:r>
        <w:t xml:space="preserve">in a less prominent way </w:t>
      </w:r>
      <w:r w:rsidR="00647246">
        <w:t>that makes an explicit statement on the return assumption</w:t>
      </w:r>
    </w:p>
    <w:p w14:paraId="057CD29F" w14:textId="108387DB" w:rsidR="003B7DEB" w:rsidRPr="00647246" w:rsidRDefault="00647246" w:rsidP="003B7DEB">
      <w:pPr>
        <w:pStyle w:val="BulletedtextRegularB17"/>
        <w:ind w:left="357" w:hanging="357"/>
      </w:pPr>
      <w:r>
        <w:t xml:space="preserve">the clearer distinction between ongoing charges and transaction costs proposed in the consultation paper </w:t>
      </w:r>
    </w:p>
    <w:p w14:paraId="3ED5ADA9" w14:textId="7BD85565" w:rsidR="006902B2" w:rsidRPr="006902B2" w:rsidRDefault="006902B2" w:rsidP="006902B2">
      <w:pPr>
        <w:jc w:val="center"/>
        <w:rPr>
          <w:rFonts w:cs="Arial"/>
          <w:b/>
        </w:rPr>
      </w:pPr>
      <w:r w:rsidRPr="006902B2">
        <w:rPr>
          <w:rFonts w:cs="Arial"/>
          <w:b/>
        </w:rPr>
        <w:t>Costs over time</w:t>
      </w:r>
    </w:p>
    <w:p w14:paraId="3550F31C" w14:textId="77777777" w:rsidR="006902B2" w:rsidRDefault="006902B2" w:rsidP="003E573C">
      <w:pPr>
        <w:rPr>
          <w:rFonts w:cs="Arial"/>
        </w:rPr>
      </w:pPr>
    </w:p>
    <w:p w14:paraId="162E1174" w14:textId="076545D0" w:rsidR="006902B2" w:rsidRDefault="006902B2" w:rsidP="003E573C">
      <w:pPr>
        <w:rPr>
          <w:rFonts w:cs="Arial"/>
        </w:rPr>
      </w:pPr>
      <w:r w:rsidRPr="006902B2">
        <w:rPr>
          <w:rFonts w:cs="Arial"/>
        </w:rPr>
        <w:t>The person selling you or advising you about this product may charge you other costs. If so, this person will provide you with information about these costs, and show you the impact that all costs will have on your investment over time.</w:t>
      </w:r>
    </w:p>
    <w:p w14:paraId="53340218" w14:textId="77777777" w:rsidR="006902B2" w:rsidRDefault="006902B2" w:rsidP="003E573C">
      <w:pPr>
        <w:rPr>
          <w:rFonts w:cs="Arial"/>
        </w:rPr>
      </w:pPr>
    </w:p>
    <w:tbl>
      <w:tblPr>
        <w:tblStyle w:val="TableGrid"/>
        <w:tblW w:w="0" w:type="auto"/>
        <w:tblLook w:val="04A0" w:firstRow="1" w:lastRow="0" w:firstColumn="1" w:lastColumn="0" w:noHBand="0" w:noVBand="1"/>
      </w:tblPr>
      <w:tblGrid>
        <w:gridCol w:w="3964"/>
        <w:gridCol w:w="2410"/>
        <w:gridCol w:w="2966"/>
      </w:tblGrid>
      <w:tr w:rsidR="006902B2" w:rsidRPr="006902B2" w14:paraId="5A9CDC59" w14:textId="77777777" w:rsidTr="003B7DEB">
        <w:trPr>
          <w:trHeight w:val="315"/>
        </w:trPr>
        <w:tc>
          <w:tcPr>
            <w:tcW w:w="3964" w:type="dxa"/>
            <w:noWrap/>
            <w:hideMark/>
          </w:tcPr>
          <w:p w14:paraId="6C553938" w14:textId="77777777" w:rsidR="006902B2" w:rsidRPr="00647246" w:rsidRDefault="006902B2">
            <w:pPr>
              <w:rPr>
                <w:rFonts w:cs="Arial"/>
                <w:b/>
                <w:bCs/>
              </w:rPr>
            </w:pPr>
            <w:r w:rsidRPr="00647246">
              <w:rPr>
                <w:rFonts w:cs="Arial"/>
                <w:b/>
                <w:bCs/>
              </w:rPr>
              <w:t>Total costs if you invest €10,000</w:t>
            </w:r>
          </w:p>
        </w:tc>
        <w:tc>
          <w:tcPr>
            <w:tcW w:w="2410" w:type="dxa"/>
            <w:noWrap/>
            <w:hideMark/>
          </w:tcPr>
          <w:p w14:paraId="1C8110DB" w14:textId="77777777" w:rsidR="006902B2" w:rsidRPr="00647246" w:rsidRDefault="006902B2" w:rsidP="006902B2">
            <w:pPr>
              <w:rPr>
                <w:rFonts w:cs="Arial"/>
                <w:b/>
                <w:bCs/>
              </w:rPr>
            </w:pPr>
            <w:r w:rsidRPr="00647246">
              <w:rPr>
                <w:rFonts w:cs="Arial"/>
                <w:b/>
                <w:bCs/>
              </w:rPr>
              <w:t>If you exit after 1 year</w:t>
            </w:r>
          </w:p>
        </w:tc>
        <w:tc>
          <w:tcPr>
            <w:tcW w:w="2966" w:type="dxa"/>
            <w:noWrap/>
            <w:hideMark/>
          </w:tcPr>
          <w:p w14:paraId="1E70709C" w14:textId="77777777" w:rsidR="006902B2" w:rsidRPr="00647246" w:rsidRDefault="006902B2" w:rsidP="006902B2">
            <w:pPr>
              <w:rPr>
                <w:rFonts w:cs="Arial"/>
                <w:b/>
                <w:bCs/>
              </w:rPr>
            </w:pPr>
            <w:r w:rsidRPr="00647246">
              <w:rPr>
                <w:rFonts w:cs="Arial"/>
                <w:b/>
                <w:bCs/>
              </w:rPr>
              <w:t>If you exit after [RHP] years</w:t>
            </w:r>
          </w:p>
        </w:tc>
      </w:tr>
      <w:tr w:rsidR="006902B2" w:rsidRPr="006902B2" w14:paraId="31EB77FC" w14:textId="77777777" w:rsidTr="003B7DEB">
        <w:trPr>
          <w:trHeight w:val="300"/>
        </w:trPr>
        <w:tc>
          <w:tcPr>
            <w:tcW w:w="3964" w:type="dxa"/>
            <w:noWrap/>
            <w:hideMark/>
          </w:tcPr>
          <w:p w14:paraId="4EBE2DB4" w14:textId="77777777" w:rsidR="006902B2" w:rsidRPr="006902B2" w:rsidRDefault="006902B2" w:rsidP="006902B2">
            <w:pPr>
              <w:rPr>
                <w:rFonts w:cs="Arial"/>
              </w:rPr>
            </w:pPr>
            <w:r w:rsidRPr="006902B2">
              <w:rPr>
                <w:rFonts w:cs="Arial"/>
              </w:rPr>
              <w:t xml:space="preserve">Total costs per year in € </w:t>
            </w:r>
          </w:p>
        </w:tc>
        <w:tc>
          <w:tcPr>
            <w:tcW w:w="2410" w:type="dxa"/>
            <w:noWrap/>
            <w:hideMark/>
          </w:tcPr>
          <w:p w14:paraId="70EC3764" w14:textId="77777777" w:rsidR="006902B2" w:rsidRPr="006902B2" w:rsidRDefault="006902B2" w:rsidP="006902B2">
            <w:pPr>
              <w:rPr>
                <w:rFonts w:cs="Arial"/>
              </w:rPr>
            </w:pPr>
            <w:r w:rsidRPr="006902B2">
              <w:rPr>
                <w:rFonts w:cs="Arial"/>
              </w:rPr>
              <w:t xml:space="preserve"> € </w:t>
            </w:r>
          </w:p>
        </w:tc>
        <w:tc>
          <w:tcPr>
            <w:tcW w:w="2966" w:type="dxa"/>
            <w:noWrap/>
            <w:hideMark/>
          </w:tcPr>
          <w:p w14:paraId="3115F1D6" w14:textId="77777777" w:rsidR="006902B2" w:rsidRPr="006902B2" w:rsidRDefault="006902B2" w:rsidP="006902B2">
            <w:pPr>
              <w:rPr>
                <w:rFonts w:cs="Arial"/>
              </w:rPr>
            </w:pPr>
            <w:r w:rsidRPr="006902B2">
              <w:rPr>
                <w:rFonts w:cs="Arial"/>
              </w:rPr>
              <w:t xml:space="preserve">€ </w:t>
            </w:r>
          </w:p>
        </w:tc>
      </w:tr>
      <w:tr w:rsidR="006902B2" w:rsidRPr="006902B2" w14:paraId="3F2EF864" w14:textId="77777777" w:rsidTr="003B7DEB">
        <w:trPr>
          <w:trHeight w:val="300"/>
        </w:trPr>
        <w:tc>
          <w:tcPr>
            <w:tcW w:w="3964" w:type="dxa"/>
            <w:noWrap/>
            <w:hideMark/>
          </w:tcPr>
          <w:p w14:paraId="3166BED6" w14:textId="0CF01531" w:rsidR="006902B2" w:rsidRPr="006902B2" w:rsidRDefault="006902B2" w:rsidP="006902B2">
            <w:pPr>
              <w:rPr>
                <w:rFonts w:cs="Arial"/>
              </w:rPr>
            </w:pPr>
            <w:r w:rsidRPr="006902B2">
              <w:rPr>
                <w:rFonts w:cs="Arial"/>
              </w:rPr>
              <w:t xml:space="preserve">Total costs per year in % </w:t>
            </w:r>
            <w:r w:rsidR="00647246">
              <w:rPr>
                <w:rFonts w:cs="Arial"/>
              </w:rPr>
              <w:t>of the value of your investment</w:t>
            </w:r>
          </w:p>
        </w:tc>
        <w:tc>
          <w:tcPr>
            <w:tcW w:w="2410" w:type="dxa"/>
            <w:noWrap/>
            <w:hideMark/>
          </w:tcPr>
          <w:p w14:paraId="4DB3EBBC" w14:textId="77777777" w:rsidR="006902B2" w:rsidRPr="006902B2" w:rsidRDefault="006902B2" w:rsidP="006902B2">
            <w:pPr>
              <w:rPr>
                <w:rFonts w:cs="Arial"/>
              </w:rPr>
            </w:pPr>
            <w:r w:rsidRPr="006902B2">
              <w:rPr>
                <w:rFonts w:cs="Arial"/>
              </w:rPr>
              <w:t>%</w:t>
            </w:r>
          </w:p>
        </w:tc>
        <w:tc>
          <w:tcPr>
            <w:tcW w:w="2966" w:type="dxa"/>
            <w:noWrap/>
            <w:hideMark/>
          </w:tcPr>
          <w:p w14:paraId="0A677CE4" w14:textId="77777777" w:rsidR="006902B2" w:rsidRPr="006902B2" w:rsidRDefault="006902B2" w:rsidP="006902B2">
            <w:pPr>
              <w:rPr>
                <w:rFonts w:cs="Arial"/>
              </w:rPr>
            </w:pPr>
            <w:r w:rsidRPr="006902B2">
              <w:rPr>
                <w:rFonts w:cs="Arial"/>
              </w:rPr>
              <w:t>%</w:t>
            </w:r>
          </w:p>
        </w:tc>
      </w:tr>
      <w:tr w:rsidR="006902B2" w:rsidRPr="006902B2" w14:paraId="34C523C0" w14:textId="77777777" w:rsidTr="003B7DEB">
        <w:trPr>
          <w:trHeight w:val="525"/>
        </w:trPr>
        <w:tc>
          <w:tcPr>
            <w:tcW w:w="3964" w:type="dxa"/>
            <w:noWrap/>
            <w:hideMark/>
          </w:tcPr>
          <w:p w14:paraId="6D90AEC3" w14:textId="77777777" w:rsidR="006902B2" w:rsidRDefault="006902B2" w:rsidP="006902B2">
            <w:pPr>
              <w:rPr>
                <w:rFonts w:cs="Arial"/>
              </w:rPr>
            </w:pPr>
            <w:r w:rsidRPr="006902B2">
              <w:rPr>
                <w:rFonts w:cs="Arial"/>
              </w:rPr>
              <w:t xml:space="preserve">Impact of costs on the return each year </w:t>
            </w:r>
          </w:p>
          <w:p w14:paraId="07FBEBB3" w14:textId="76426E5C" w:rsidR="006902B2" w:rsidRPr="006902B2" w:rsidRDefault="006902B2" w:rsidP="006902B2">
            <w:pPr>
              <w:rPr>
                <w:rFonts w:cs="Arial"/>
              </w:rPr>
            </w:pPr>
            <w:r w:rsidRPr="006902B2">
              <w:rPr>
                <w:rFonts w:cs="Arial"/>
              </w:rPr>
              <w:t>(assuming X% return)</w:t>
            </w:r>
          </w:p>
        </w:tc>
        <w:tc>
          <w:tcPr>
            <w:tcW w:w="2410" w:type="dxa"/>
            <w:noWrap/>
            <w:hideMark/>
          </w:tcPr>
          <w:p w14:paraId="668DDD8F" w14:textId="77777777" w:rsidR="006902B2" w:rsidRPr="006902B2" w:rsidRDefault="006902B2" w:rsidP="006902B2">
            <w:pPr>
              <w:rPr>
                <w:rFonts w:cs="Arial"/>
              </w:rPr>
            </w:pPr>
            <w:r w:rsidRPr="006902B2">
              <w:rPr>
                <w:rFonts w:cs="Arial"/>
              </w:rPr>
              <w:t>%</w:t>
            </w:r>
          </w:p>
        </w:tc>
        <w:tc>
          <w:tcPr>
            <w:tcW w:w="2966" w:type="dxa"/>
            <w:noWrap/>
            <w:hideMark/>
          </w:tcPr>
          <w:p w14:paraId="6B79A53E" w14:textId="77777777" w:rsidR="006902B2" w:rsidRPr="006902B2" w:rsidRDefault="006902B2" w:rsidP="006902B2">
            <w:pPr>
              <w:rPr>
                <w:rFonts w:cs="Arial"/>
              </w:rPr>
            </w:pPr>
            <w:r w:rsidRPr="006902B2">
              <w:rPr>
                <w:rFonts w:cs="Arial"/>
              </w:rPr>
              <w:t>%</w:t>
            </w:r>
          </w:p>
        </w:tc>
      </w:tr>
    </w:tbl>
    <w:p w14:paraId="1E1FEF3F" w14:textId="06CF1E0A" w:rsidR="006902B2" w:rsidRDefault="006902B2" w:rsidP="003E573C">
      <w:pPr>
        <w:rPr>
          <w:rFonts w:cs="Arial"/>
        </w:rPr>
      </w:pPr>
    </w:p>
    <w:p w14:paraId="52C02B64" w14:textId="711B89BF" w:rsidR="006902B2" w:rsidRDefault="006902B2" w:rsidP="006902B2">
      <w:pPr>
        <w:jc w:val="center"/>
        <w:rPr>
          <w:rFonts w:cs="Arial"/>
          <w:b/>
        </w:rPr>
      </w:pPr>
      <w:r w:rsidRPr="006902B2">
        <w:rPr>
          <w:rFonts w:cs="Arial"/>
          <w:b/>
        </w:rPr>
        <w:t>Composition of costs</w:t>
      </w:r>
    </w:p>
    <w:p w14:paraId="488050CF" w14:textId="77777777" w:rsidR="00647246" w:rsidRPr="006902B2" w:rsidRDefault="00647246" w:rsidP="006902B2">
      <w:pPr>
        <w:jc w:val="center"/>
        <w:rPr>
          <w:rFonts w:cs="Arial"/>
          <w:b/>
        </w:rPr>
      </w:pPr>
    </w:p>
    <w:tbl>
      <w:tblPr>
        <w:tblStyle w:val="TableGrid"/>
        <w:tblW w:w="0" w:type="auto"/>
        <w:tblLook w:val="04A0" w:firstRow="1" w:lastRow="0" w:firstColumn="1" w:lastColumn="0" w:noHBand="0" w:noVBand="1"/>
      </w:tblPr>
      <w:tblGrid>
        <w:gridCol w:w="1980"/>
        <w:gridCol w:w="7370"/>
      </w:tblGrid>
      <w:tr w:rsidR="006902B2" w:rsidRPr="006902B2" w14:paraId="31732050" w14:textId="77777777" w:rsidTr="006902B2">
        <w:trPr>
          <w:trHeight w:val="300"/>
        </w:trPr>
        <w:tc>
          <w:tcPr>
            <w:tcW w:w="9350" w:type="dxa"/>
            <w:gridSpan w:val="2"/>
            <w:noWrap/>
            <w:hideMark/>
          </w:tcPr>
          <w:p w14:paraId="26CA1422" w14:textId="4877FABD" w:rsidR="006902B2" w:rsidRPr="006902B2" w:rsidRDefault="006902B2">
            <w:pPr>
              <w:rPr>
                <w:rFonts w:cs="Arial"/>
                <w:b/>
                <w:bCs/>
              </w:rPr>
            </w:pPr>
            <w:r w:rsidRPr="006902B2">
              <w:rPr>
                <w:rFonts w:cs="Arial"/>
                <w:b/>
                <w:bCs/>
              </w:rPr>
              <w:t xml:space="preserve">One-off costs </w:t>
            </w:r>
          </w:p>
        </w:tc>
      </w:tr>
      <w:tr w:rsidR="006902B2" w:rsidRPr="006902B2" w14:paraId="22539591" w14:textId="77777777" w:rsidTr="00647246">
        <w:trPr>
          <w:trHeight w:val="386"/>
        </w:trPr>
        <w:tc>
          <w:tcPr>
            <w:tcW w:w="1980" w:type="dxa"/>
            <w:noWrap/>
            <w:hideMark/>
          </w:tcPr>
          <w:p w14:paraId="28AB78BD" w14:textId="77777777" w:rsidR="006902B2" w:rsidRPr="006902B2" w:rsidRDefault="006902B2" w:rsidP="006902B2">
            <w:pPr>
              <w:rPr>
                <w:rFonts w:cs="Arial"/>
              </w:rPr>
            </w:pPr>
            <w:r w:rsidRPr="006902B2">
              <w:rPr>
                <w:rFonts w:cs="Arial"/>
              </w:rPr>
              <w:t>Entry costs</w:t>
            </w:r>
          </w:p>
        </w:tc>
        <w:tc>
          <w:tcPr>
            <w:tcW w:w="7370" w:type="dxa"/>
            <w:noWrap/>
            <w:hideMark/>
          </w:tcPr>
          <w:p w14:paraId="5543BA6C" w14:textId="1B53A3CD" w:rsidR="006902B2" w:rsidRPr="006902B2" w:rsidRDefault="006902B2" w:rsidP="006902B2">
            <w:pPr>
              <w:rPr>
                <w:rFonts w:cs="Arial"/>
              </w:rPr>
            </w:pPr>
            <w:r>
              <w:rPr>
                <w:rFonts w:cs="Arial"/>
              </w:rPr>
              <w:t>X</w:t>
            </w:r>
            <w:r w:rsidRPr="006902B2">
              <w:rPr>
                <w:rFonts w:cs="Arial"/>
              </w:rPr>
              <w:t>% of the amount you pay when entering your investment</w:t>
            </w:r>
          </w:p>
        </w:tc>
      </w:tr>
      <w:tr w:rsidR="006902B2" w:rsidRPr="006902B2" w14:paraId="1E12DF33" w14:textId="77777777" w:rsidTr="00647246">
        <w:trPr>
          <w:trHeight w:val="419"/>
        </w:trPr>
        <w:tc>
          <w:tcPr>
            <w:tcW w:w="1980" w:type="dxa"/>
            <w:noWrap/>
            <w:hideMark/>
          </w:tcPr>
          <w:p w14:paraId="7B9DB30A" w14:textId="77777777" w:rsidR="006902B2" w:rsidRPr="006902B2" w:rsidRDefault="006902B2" w:rsidP="006902B2">
            <w:pPr>
              <w:rPr>
                <w:rFonts w:cs="Arial"/>
              </w:rPr>
            </w:pPr>
            <w:r w:rsidRPr="006902B2">
              <w:rPr>
                <w:rFonts w:cs="Arial"/>
              </w:rPr>
              <w:lastRenderedPageBreak/>
              <w:t>Exit costs</w:t>
            </w:r>
          </w:p>
        </w:tc>
        <w:tc>
          <w:tcPr>
            <w:tcW w:w="7370" w:type="dxa"/>
            <w:noWrap/>
            <w:hideMark/>
          </w:tcPr>
          <w:p w14:paraId="6BEA7EE4" w14:textId="4E8B1B5F" w:rsidR="006902B2" w:rsidRPr="006902B2" w:rsidRDefault="006902B2" w:rsidP="006902B2">
            <w:pPr>
              <w:rPr>
                <w:rFonts w:cs="Arial"/>
              </w:rPr>
            </w:pPr>
            <w:r>
              <w:rPr>
                <w:rFonts w:cs="Arial"/>
              </w:rPr>
              <w:t>X</w:t>
            </w:r>
            <w:r w:rsidRPr="006902B2">
              <w:rPr>
                <w:rFonts w:cs="Arial"/>
              </w:rPr>
              <w:t>% of the amount you pay when you withdraw your investment before it is paid out to you</w:t>
            </w:r>
          </w:p>
        </w:tc>
      </w:tr>
      <w:tr w:rsidR="006902B2" w:rsidRPr="006902B2" w14:paraId="1FC60A64" w14:textId="77777777" w:rsidTr="006902B2">
        <w:trPr>
          <w:trHeight w:val="300"/>
        </w:trPr>
        <w:tc>
          <w:tcPr>
            <w:tcW w:w="9350" w:type="dxa"/>
            <w:gridSpan w:val="2"/>
            <w:noWrap/>
            <w:hideMark/>
          </w:tcPr>
          <w:p w14:paraId="662B220C" w14:textId="3A6A6422" w:rsidR="006902B2" w:rsidRPr="006902B2" w:rsidRDefault="006902B2">
            <w:pPr>
              <w:rPr>
                <w:rFonts w:cs="Arial"/>
                <w:b/>
                <w:bCs/>
              </w:rPr>
            </w:pPr>
            <w:r w:rsidRPr="006902B2">
              <w:rPr>
                <w:rFonts w:cs="Arial"/>
                <w:b/>
                <w:bCs/>
              </w:rPr>
              <w:t xml:space="preserve">Ongoing costs </w:t>
            </w:r>
          </w:p>
        </w:tc>
      </w:tr>
      <w:tr w:rsidR="006902B2" w:rsidRPr="006902B2" w14:paraId="73C6B02B" w14:textId="77777777" w:rsidTr="00647246">
        <w:trPr>
          <w:trHeight w:val="590"/>
        </w:trPr>
        <w:tc>
          <w:tcPr>
            <w:tcW w:w="1980" w:type="dxa"/>
            <w:noWrap/>
            <w:hideMark/>
          </w:tcPr>
          <w:p w14:paraId="0B89649D" w14:textId="77777777" w:rsidR="006902B2" w:rsidRPr="006902B2" w:rsidRDefault="006902B2" w:rsidP="006902B2">
            <w:pPr>
              <w:rPr>
                <w:rFonts w:cs="Arial"/>
              </w:rPr>
            </w:pPr>
            <w:r w:rsidRPr="006902B2">
              <w:rPr>
                <w:rFonts w:cs="Arial"/>
              </w:rPr>
              <w:t>Management fees and other costs</w:t>
            </w:r>
          </w:p>
        </w:tc>
        <w:tc>
          <w:tcPr>
            <w:tcW w:w="7370" w:type="dxa"/>
            <w:noWrap/>
            <w:hideMark/>
          </w:tcPr>
          <w:p w14:paraId="30E59D0C" w14:textId="62D12AF1" w:rsidR="006902B2" w:rsidRPr="006902B2" w:rsidRDefault="006902B2" w:rsidP="006902B2">
            <w:pPr>
              <w:rPr>
                <w:rFonts w:cs="Arial"/>
              </w:rPr>
            </w:pPr>
            <w:r>
              <w:rPr>
                <w:rFonts w:cs="Arial"/>
              </w:rPr>
              <w:t>X</w:t>
            </w:r>
            <w:r w:rsidRPr="006902B2">
              <w:rPr>
                <w:rFonts w:cs="Arial"/>
              </w:rPr>
              <w:t>% of the value of your investment per year based on actual costs over the last year. It covers all costs involved in operating and managing your investment.</w:t>
            </w:r>
          </w:p>
        </w:tc>
      </w:tr>
      <w:tr w:rsidR="006902B2" w:rsidRPr="006902B2" w14:paraId="47DA721A" w14:textId="77777777" w:rsidTr="00647246">
        <w:trPr>
          <w:trHeight w:val="699"/>
        </w:trPr>
        <w:tc>
          <w:tcPr>
            <w:tcW w:w="1980" w:type="dxa"/>
            <w:noWrap/>
            <w:hideMark/>
          </w:tcPr>
          <w:p w14:paraId="28616785" w14:textId="77777777" w:rsidR="006902B2" w:rsidRPr="006902B2" w:rsidRDefault="006902B2" w:rsidP="006902B2">
            <w:pPr>
              <w:rPr>
                <w:rFonts w:cs="Arial"/>
              </w:rPr>
            </w:pPr>
            <w:r w:rsidRPr="006902B2">
              <w:rPr>
                <w:rFonts w:cs="Arial"/>
              </w:rPr>
              <w:t>Transaction costs</w:t>
            </w:r>
          </w:p>
        </w:tc>
        <w:tc>
          <w:tcPr>
            <w:tcW w:w="7370" w:type="dxa"/>
            <w:noWrap/>
            <w:hideMark/>
          </w:tcPr>
          <w:p w14:paraId="3BCD2392" w14:textId="01D7F86D" w:rsidR="006902B2" w:rsidRPr="006902B2" w:rsidRDefault="006902B2" w:rsidP="006902B2">
            <w:pPr>
              <w:rPr>
                <w:rFonts w:cs="Arial"/>
              </w:rPr>
            </w:pPr>
            <w:r>
              <w:rPr>
                <w:rFonts w:cs="Arial"/>
              </w:rPr>
              <w:t>X</w:t>
            </w:r>
            <w:r w:rsidRPr="006902B2">
              <w:rPr>
                <w:rFonts w:cs="Arial"/>
              </w:rPr>
              <w:t>% of the value of your investment per year, based on the average over the last 3 years. This is an estimate of the costs necessarily incurred when we buy and sell the underlying investments for the product.</w:t>
            </w:r>
          </w:p>
        </w:tc>
      </w:tr>
      <w:tr w:rsidR="006902B2" w:rsidRPr="006902B2" w14:paraId="58C12D9A" w14:textId="77777777" w:rsidTr="006902B2">
        <w:trPr>
          <w:trHeight w:val="300"/>
        </w:trPr>
        <w:tc>
          <w:tcPr>
            <w:tcW w:w="9350" w:type="dxa"/>
            <w:gridSpan w:val="2"/>
            <w:noWrap/>
            <w:hideMark/>
          </w:tcPr>
          <w:p w14:paraId="2D1D5135" w14:textId="4057E612" w:rsidR="006902B2" w:rsidRPr="006902B2" w:rsidRDefault="006902B2" w:rsidP="006902B2">
            <w:pPr>
              <w:rPr>
                <w:rFonts w:cs="Arial"/>
                <w:b/>
                <w:bCs/>
              </w:rPr>
            </w:pPr>
            <w:r>
              <w:rPr>
                <w:rFonts w:cs="Arial"/>
                <w:b/>
                <w:bCs/>
              </w:rPr>
              <w:t>Incidental costs</w:t>
            </w:r>
          </w:p>
        </w:tc>
      </w:tr>
      <w:tr w:rsidR="006902B2" w:rsidRPr="006902B2" w14:paraId="13D237AF" w14:textId="77777777" w:rsidTr="00647246">
        <w:trPr>
          <w:trHeight w:val="541"/>
        </w:trPr>
        <w:tc>
          <w:tcPr>
            <w:tcW w:w="1980" w:type="dxa"/>
            <w:noWrap/>
            <w:hideMark/>
          </w:tcPr>
          <w:p w14:paraId="05FF5480" w14:textId="77777777" w:rsidR="006902B2" w:rsidRPr="006902B2" w:rsidRDefault="006902B2" w:rsidP="006902B2">
            <w:pPr>
              <w:rPr>
                <w:rFonts w:cs="Arial"/>
              </w:rPr>
            </w:pPr>
            <w:r w:rsidRPr="006902B2">
              <w:rPr>
                <w:rFonts w:cs="Arial"/>
              </w:rPr>
              <w:t>Performance fees</w:t>
            </w:r>
          </w:p>
        </w:tc>
        <w:tc>
          <w:tcPr>
            <w:tcW w:w="7370" w:type="dxa"/>
            <w:noWrap/>
            <w:hideMark/>
          </w:tcPr>
          <w:p w14:paraId="2F596707" w14:textId="06026009" w:rsidR="006902B2" w:rsidRPr="006902B2" w:rsidRDefault="006902B2" w:rsidP="006902B2">
            <w:pPr>
              <w:rPr>
                <w:rFonts w:cs="Arial"/>
              </w:rPr>
            </w:pPr>
            <w:r>
              <w:rPr>
                <w:rFonts w:cs="Arial"/>
              </w:rPr>
              <w:t>X</w:t>
            </w:r>
            <w:r w:rsidRPr="006902B2">
              <w:rPr>
                <w:rFonts w:cs="Arial"/>
              </w:rPr>
              <w:t>% of any returns achieved above the [benchmark], based on the average over the last 5 years.</w:t>
            </w:r>
          </w:p>
        </w:tc>
      </w:tr>
    </w:tbl>
    <w:p w14:paraId="2551E34E" w14:textId="756881E0" w:rsidR="009B7984" w:rsidRDefault="009B7984" w:rsidP="003E573C">
      <w:pPr>
        <w:rPr>
          <w:rFonts w:cs="Arial"/>
        </w:rPr>
      </w:pPr>
      <w:bookmarkStart w:id="2" w:name="_GoBack"/>
      <w:bookmarkEnd w:id="2"/>
    </w:p>
    <w:permEnd w:id="594373980"/>
    <w:p w14:paraId="5189ED8B" w14:textId="77777777" w:rsidR="003E573C" w:rsidRDefault="003E573C" w:rsidP="003E573C">
      <w:pPr>
        <w:rPr>
          <w:rFonts w:cs="Arial"/>
        </w:rPr>
      </w:pPr>
      <w:r>
        <w:rPr>
          <w:rFonts w:cs="Arial"/>
        </w:rPr>
        <w:t>&lt;ESA_QUESTION_PKID_40&gt;</w:t>
      </w:r>
    </w:p>
    <w:p w14:paraId="336ACEE7" w14:textId="77777777" w:rsidR="003E573C" w:rsidRDefault="003E573C" w:rsidP="003E573C">
      <w:pPr>
        <w:rPr>
          <w:rFonts w:cs="Arial"/>
        </w:rPr>
      </w:pPr>
    </w:p>
    <w:p w14:paraId="239052DB"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72C7545A" w14:textId="77777777" w:rsidR="003E573C" w:rsidRDefault="003E573C" w:rsidP="003E573C">
      <w:pPr>
        <w:rPr>
          <w:rFonts w:cs="Arial"/>
        </w:rPr>
      </w:pPr>
      <w:r>
        <w:rPr>
          <w:rFonts w:cs="Arial"/>
        </w:rPr>
        <w:t>&lt;ESA_QUESTION_PKID_41&gt;</w:t>
      </w:r>
    </w:p>
    <w:p w14:paraId="63FBF4C2" w14:textId="77777777" w:rsidR="009B7984" w:rsidRDefault="00F51E97" w:rsidP="003E573C">
      <w:pPr>
        <w:rPr>
          <w:rFonts w:cs="Arial"/>
        </w:rPr>
      </w:pPr>
      <w:permStart w:id="2089502180" w:edGrp="everyone"/>
      <w:r>
        <w:rPr>
          <w:rFonts w:cs="Arial"/>
        </w:rPr>
        <w:t>No. Please see our response to Question 39.</w:t>
      </w:r>
    </w:p>
    <w:permEnd w:id="2089502180"/>
    <w:p w14:paraId="53E99E40" w14:textId="77777777" w:rsidR="003E573C" w:rsidRDefault="003E573C" w:rsidP="003E573C">
      <w:pPr>
        <w:rPr>
          <w:rFonts w:cs="Arial"/>
        </w:rPr>
      </w:pPr>
      <w:r>
        <w:rPr>
          <w:rFonts w:cs="Arial"/>
        </w:rPr>
        <w:t>&lt;ESA_QUESTION_PKID_41&gt;</w:t>
      </w:r>
    </w:p>
    <w:p w14:paraId="4468ED0B" w14:textId="77777777" w:rsidR="003E573C" w:rsidRDefault="003E573C" w:rsidP="003E573C">
      <w:pPr>
        <w:rPr>
          <w:rFonts w:cs="Arial"/>
        </w:rPr>
      </w:pPr>
    </w:p>
    <w:p w14:paraId="085A9923"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16B19AE6" w14:textId="77777777" w:rsidR="003E573C" w:rsidRDefault="003E573C" w:rsidP="003E573C">
      <w:pPr>
        <w:rPr>
          <w:rFonts w:cs="Arial"/>
        </w:rPr>
      </w:pPr>
      <w:r>
        <w:rPr>
          <w:rFonts w:cs="Arial"/>
        </w:rPr>
        <w:t>&lt;ESA_QUESTION_PKID_42&gt;</w:t>
      </w:r>
    </w:p>
    <w:p w14:paraId="36903276" w14:textId="77777777" w:rsidR="003E573C" w:rsidRDefault="003E573C" w:rsidP="003E573C">
      <w:pPr>
        <w:rPr>
          <w:rFonts w:cs="Arial"/>
        </w:rPr>
      </w:pPr>
      <w:permStart w:id="827730937" w:edGrp="everyone"/>
      <w:r>
        <w:rPr>
          <w:rFonts w:cs="Arial"/>
        </w:rPr>
        <w:t>TYPE YOUR TEXT HERE</w:t>
      </w:r>
    </w:p>
    <w:permEnd w:id="827730937"/>
    <w:p w14:paraId="54ECA897" w14:textId="77777777" w:rsidR="003E573C" w:rsidRDefault="003E573C" w:rsidP="003E573C">
      <w:pPr>
        <w:rPr>
          <w:rFonts w:cs="Arial"/>
        </w:rPr>
      </w:pPr>
      <w:r>
        <w:rPr>
          <w:rFonts w:cs="Arial"/>
        </w:rPr>
        <w:t>&lt;ESA_QUESTION_PKID_42&gt;</w:t>
      </w:r>
    </w:p>
    <w:p w14:paraId="160C8CE3" w14:textId="77777777" w:rsidR="003E573C" w:rsidRDefault="003E573C" w:rsidP="003E573C">
      <w:pPr>
        <w:rPr>
          <w:rFonts w:cs="Arial"/>
        </w:rPr>
      </w:pPr>
    </w:p>
    <w:p w14:paraId="7A85A6B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745AD5C2" w14:textId="77777777" w:rsidR="003E573C" w:rsidRDefault="003E573C" w:rsidP="003E573C">
      <w:pPr>
        <w:rPr>
          <w:rFonts w:cs="Arial"/>
        </w:rPr>
      </w:pPr>
      <w:r>
        <w:rPr>
          <w:rFonts w:cs="Arial"/>
        </w:rPr>
        <w:t>&lt;ESA_QUESTION_PKID_43&gt;</w:t>
      </w:r>
    </w:p>
    <w:p w14:paraId="40FB8D3C" w14:textId="0329B66D" w:rsidR="00050BBF" w:rsidRPr="00B2299C" w:rsidRDefault="00050BBF" w:rsidP="003E573C">
      <w:pPr>
        <w:rPr>
          <w:rFonts w:cs="Arial"/>
        </w:rPr>
      </w:pPr>
      <w:permStart w:id="890068131" w:edGrp="everyone"/>
      <w:r w:rsidRPr="00704C01">
        <w:rPr>
          <w:rFonts w:cs="Arial"/>
        </w:rPr>
        <w:t>We welcome the fact that the ESAs are thinking of proportionality</w:t>
      </w:r>
      <w:r w:rsidR="00EE7E0C">
        <w:rPr>
          <w:rFonts w:cs="Arial"/>
        </w:rPr>
        <w:t xml:space="preserve"> more broadly</w:t>
      </w:r>
      <w:r w:rsidRPr="00704C01">
        <w:rPr>
          <w:rFonts w:cs="Arial"/>
        </w:rPr>
        <w:t xml:space="preserve">. Our concerns with the specific proposal to introduce thresholds </w:t>
      </w:r>
      <w:r w:rsidR="00E221F4">
        <w:rPr>
          <w:rFonts w:cs="Arial"/>
        </w:rPr>
        <w:t>relate to the incentive this creates to trade less in order to be subject to more simplified rules</w:t>
      </w:r>
      <w:r w:rsidRPr="00704C01">
        <w:rPr>
          <w:rFonts w:cs="Arial"/>
        </w:rPr>
        <w:t xml:space="preserve">. A further concern is that a common threshold applying to all types of PRIIPs, would create and uneven playing field between open-ended and closed-ended funds as the former have to </w:t>
      </w:r>
      <w:r w:rsidR="000E6620" w:rsidRPr="00704C01">
        <w:rPr>
          <w:rFonts w:cs="Arial"/>
        </w:rPr>
        <w:t>make transactions</w:t>
      </w:r>
      <w:r w:rsidRPr="00704C01">
        <w:rPr>
          <w:rFonts w:cs="Arial"/>
        </w:rPr>
        <w:t xml:space="preserve"> with every sale/redemption</w:t>
      </w:r>
      <w:r w:rsidR="00A637D2" w:rsidRPr="00704C01">
        <w:rPr>
          <w:rFonts w:cs="Arial"/>
        </w:rPr>
        <w:t xml:space="preserve"> and are likely to have higher portfolio turnover rates</w:t>
      </w:r>
      <w:r w:rsidRPr="00704C01">
        <w:rPr>
          <w:rFonts w:cs="Arial"/>
        </w:rPr>
        <w:t>.</w:t>
      </w:r>
      <w:r w:rsidR="00EE7E0C">
        <w:rPr>
          <w:rFonts w:cs="Arial"/>
        </w:rPr>
        <w:t xml:space="preserve"> This is the case as well between active and passive funds as the former have higher turnover by definition.</w:t>
      </w:r>
    </w:p>
    <w:p w14:paraId="0DF637BF" w14:textId="77777777" w:rsidR="00050BBF" w:rsidRDefault="00050BBF" w:rsidP="003E573C">
      <w:pPr>
        <w:rPr>
          <w:rFonts w:cs="Arial"/>
        </w:rPr>
      </w:pPr>
    </w:p>
    <w:p w14:paraId="12471792" w14:textId="2534D746" w:rsidR="00A637D2" w:rsidRDefault="00A637D2" w:rsidP="003E573C">
      <w:pPr>
        <w:rPr>
          <w:rFonts w:cs="Arial"/>
        </w:rPr>
      </w:pPr>
      <w:r>
        <w:rPr>
          <w:rFonts w:cs="Arial"/>
        </w:rPr>
        <w:t xml:space="preserve">We would like to use this opportunity to also make some comments on the proposed amendments to the estimation of transaction costs </w:t>
      </w:r>
      <w:r w:rsidR="00EE7E0C">
        <w:rPr>
          <w:rFonts w:cs="Arial"/>
        </w:rPr>
        <w:t xml:space="preserve">altogether </w:t>
      </w:r>
      <w:r>
        <w:rPr>
          <w:rFonts w:cs="Arial"/>
        </w:rPr>
        <w:t>as the consultation paper does not offer a separate question dedicated to this</w:t>
      </w:r>
      <w:r w:rsidR="00B2299C">
        <w:rPr>
          <w:rFonts w:cs="Arial"/>
        </w:rPr>
        <w:t>.</w:t>
      </w:r>
      <w:r w:rsidR="009B7984" w:rsidRPr="009B7984">
        <w:rPr>
          <w:rFonts w:cs="Arial"/>
        </w:rPr>
        <w:t xml:space="preserve"> </w:t>
      </w:r>
    </w:p>
    <w:p w14:paraId="59BD5988" w14:textId="77777777" w:rsidR="00A637D2" w:rsidRDefault="00A637D2" w:rsidP="003E573C">
      <w:pPr>
        <w:rPr>
          <w:rFonts w:cs="Arial"/>
        </w:rPr>
      </w:pPr>
    </w:p>
    <w:p w14:paraId="3492E803" w14:textId="50A91060" w:rsidR="00A637D2" w:rsidRDefault="00A637D2" w:rsidP="003E573C">
      <w:pPr>
        <w:rPr>
          <w:rFonts w:cs="Arial"/>
        </w:rPr>
      </w:pPr>
      <w:r>
        <w:rPr>
          <w:rFonts w:cs="Arial"/>
        </w:rPr>
        <w:t>We believe that the proposed distinction between explicit and implicit transaction costs (provided that both are disclosed) is helpful given the different nature of these costs. Explicit transaction costs reflect a payment that has be</w:t>
      </w:r>
      <w:r w:rsidR="0031264C">
        <w:rPr>
          <w:rFonts w:cs="Arial"/>
        </w:rPr>
        <w:t xml:space="preserve">en made directly by the fund to cover broker commission and, where applicable, tax. Implicit transaction costs do not reflect a direct payment but rather value that is lost when making a transaction. Net returns incorporate the impact of </w:t>
      </w:r>
      <w:r w:rsidR="00EE7E0C">
        <w:rPr>
          <w:rFonts w:cs="Arial"/>
        </w:rPr>
        <w:t xml:space="preserve">both </w:t>
      </w:r>
      <w:r w:rsidR="0031264C">
        <w:rPr>
          <w:rFonts w:cs="Arial"/>
        </w:rPr>
        <w:t>explicit and implicit transaction costs (as well as ongoing charges for that matter). Explicit transaction costs are very tangible and can be calculated. Implic</w:t>
      </w:r>
      <w:r w:rsidR="00E221F4">
        <w:rPr>
          <w:rFonts w:cs="Arial"/>
        </w:rPr>
        <w:t xml:space="preserve">it transaction costs reflect value loss but </w:t>
      </w:r>
      <w:r w:rsidR="0031264C">
        <w:rPr>
          <w:rFonts w:cs="Arial"/>
        </w:rPr>
        <w:t xml:space="preserve">can only be estimated. That is why we believe aggregating the two is not </w:t>
      </w:r>
      <w:r w:rsidR="00C41529">
        <w:rPr>
          <w:rFonts w:cs="Arial"/>
        </w:rPr>
        <w:t>as informative as disclosing them separately</w:t>
      </w:r>
      <w:r w:rsidR="0031264C">
        <w:rPr>
          <w:rFonts w:cs="Arial"/>
        </w:rPr>
        <w:t xml:space="preserve">. </w:t>
      </w:r>
    </w:p>
    <w:p w14:paraId="42CAEA99" w14:textId="3CF12ED1" w:rsidR="0031264C" w:rsidRDefault="0031264C" w:rsidP="003E573C">
      <w:pPr>
        <w:rPr>
          <w:rFonts w:cs="Arial"/>
        </w:rPr>
      </w:pPr>
    </w:p>
    <w:p w14:paraId="0B9DC9B7" w14:textId="07D4D9DC" w:rsidR="0031264C" w:rsidRDefault="0031264C" w:rsidP="003E573C">
      <w:pPr>
        <w:rPr>
          <w:rFonts w:cs="Arial"/>
        </w:rPr>
      </w:pPr>
      <w:r>
        <w:rPr>
          <w:rFonts w:cs="Arial"/>
        </w:rPr>
        <w:t>In regards to estimating implicit transaction costs, we welcome that the ESAs are moving from a slippage to a spread-based approac</w:t>
      </w:r>
      <w:r w:rsidR="00E221F4">
        <w:rPr>
          <w:rFonts w:cs="Arial"/>
        </w:rPr>
        <w:t xml:space="preserve">h for </w:t>
      </w:r>
      <w:r w:rsidR="004A1DD5">
        <w:rPr>
          <w:rFonts w:cs="Arial"/>
        </w:rPr>
        <w:t xml:space="preserve">some </w:t>
      </w:r>
      <w:r w:rsidR="00E221F4">
        <w:rPr>
          <w:rFonts w:cs="Arial"/>
        </w:rPr>
        <w:t xml:space="preserve">asset classes </w:t>
      </w:r>
      <w:r>
        <w:rPr>
          <w:rFonts w:cs="Arial"/>
        </w:rPr>
        <w:t xml:space="preserve">but we remain concerned that slippage is kept for </w:t>
      </w:r>
      <w:r w:rsidR="004A1DD5">
        <w:rPr>
          <w:rFonts w:cs="Arial"/>
        </w:rPr>
        <w:t>others</w:t>
      </w:r>
      <w:r>
        <w:rPr>
          <w:rFonts w:cs="Arial"/>
        </w:rPr>
        <w:t xml:space="preserve">. </w:t>
      </w:r>
      <w:r w:rsidR="00704C01">
        <w:rPr>
          <w:rFonts w:cs="Arial"/>
        </w:rPr>
        <w:t>The problem inherent in slippage</w:t>
      </w:r>
      <w:r w:rsidR="00E221F4">
        <w:rPr>
          <w:rFonts w:cs="Arial"/>
        </w:rPr>
        <w:t xml:space="preserve"> based on the arrival price</w:t>
      </w:r>
      <w:r w:rsidR="00704C01">
        <w:rPr>
          <w:rFonts w:cs="Arial"/>
        </w:rPr>
        <w:t xml:space="preserve"> is that it captures not only</w:t>
      </w:r>
      <w:r w:rsidR="00E221F4">
        <w:rPr>
          <w:rFonts w:cs="Arial"/>
        </w:rPr>
        <w:t xml:space="preserve"> the</w:t>
      </w:r>
      <w:r w:rsidR="00704C01">
        <w:rPr>
          <w:rFonts w:cs="Arial"/>
        </w:rPr>
        <w:t xml:space="preserve"> market impact of </w:t>
      </w:r>
      <w:r w:rsidR="00E221F4">
        <w:rPr>
          <w:rFonts w:cs="Arial"/>
        </w:rPr>
        <w:t>a specific</w:t>
      </w:r>
      <w:r w:rsidR="00704C01">
        <w:rPr>
          <w:rFonts w:cs="Arial"/>
        </w:rPr>
        <w:t xml:space="preserve"> transaction but also market movement. This market movement is effectively “noise”</w:t>
      </w:r>
      <w:r w:rsidR="00C41529">
        <w:rPr>
          <w:rFonts w:cs="Arial"/>
        </w:rPr>
        <w:t xml:space="preserve">, which theoretically should net itself out at zero, leaving us with the “real” value of market impact. Practice has shown that this is only theoretical and that this noise </w:t>
      </w:r>
      <w:r w:rsidR="00EE7E0C">
        <w:rPr>
          <w:rFonts w:cs="Arial"/>
        </w:rPr>
        <w:t>does not net itself out, rendering all</w:t>
      </w:r>
      <w:r w:rsidR="00C41529">
        <w:rPr>
          <w:rFonts w:cs="Arial"/>
        </w:rPr>
        <w:t xml:space="preserve"> transaction cost figures inaccurate. Market movement that results in negative transaction costs is the most obvious manifestation of this (and here we have to remind that this is negative total transaction costs, i.e. the implicit part was so negative that it covered the explicit part which is always positive). This doesn’t mean </w:t>
      </w:r>
      <w:r w:rsidR="00594B15">
        <w:rPr>
          <w:rFonts w:cs="Arial"/>
        </w:rPr>
        <w:t xml:space="preserve">that positive implicit transaction cost figures are reliable. The noise that goes into the estimation </w:t>
      </w:r>
      <w:r w:rsidR="00EE7E0C">
        <w:rPr>
          <w:rFonts w:cs="Arial"/>
        </w:rPr>
        <w:t>makes</w:t>
      </w:r>
      <w:r w:rsidR="00594B15">
        <w:rPr>
          <w:rFonts w:cs="Arial"/>
        </w:rPr>
        <w:t xml:space="preserve"> all observations, negative and positive, </w:t>
      </w:r>
      <w:r w:rsidR="00B83303">
        <w:rPr>
          <w:rFonts w:cs="Arial"/>
        </w:rPr>
        <w:t>inaccurate</w:t>
      </w:r>
      <w:r w:rsidR="00594B15">
        <w:rPr>
          <w:rFonts w:cs="Arial"/>
        </w:rPr>
        <w:t xml:space="preserve">. </w:t>
      </w:r>
      <w:r w:rsidR="00B83303">
        <w:rPr>
          <w:rFonts w:cs="Arial"/>
        </w:rPr>
        <w:t>This is why we do not consider it is meaningful to propose to floor transaction costs at the level of the explicit part where implicit is negative. This simply masks the problem instead of offering a concrete solution.</w:t>
      </w:r>
    </w:p>
    <w:p w14:paraId="21706B73" w14:textId="77777777" w:rsidR="00B83303" w:rsidRDefault="00B83303" w:rsidP="003E573C">
      <w:pPr>
        <w:rPr>
          <w:rFonts w:cs="Arial"/>
        </w:rPr>
      </w:pPr>
    </w:p>
    <w:p w14:paraId="4A8CD91F" w14:textId="410963A8" w:rsidR="00021A06" w:rsidRPr="00021A06" w:rsidRDefault="00EE7E0C" w:rsidP="00021A06">
      <w:pPr>
        <w:rPr>
          <w:rFonts w:cs="Arial"/>
        </w:rPr>
      </w:pPr>
      <w:r>
        <w:rPr>
          <w:rFonts w:cs="Arial"/>
        </w:rPr>
        <w:t xml:space="preserve">There is another </w:t>
      </w:r>
      <w:r w:rsidR="00B83303">
        <w:rPr>
          <w:rFonts w:cs="Arial"/>
        </w:rPr>
        <w:t xml:space="preserve">important point regarding the calculation of total transaction costs that includes any anti-dilution offset, </w:t>
      </w:r>
      <w:r w:rsidR="00F458AF">
        <w:rPr>
          <w:rFonts w:cs="Arial"/>
        </w:rPr>
        <w:t>which</w:t>
      </w:r>
      <w:r w:rsidR="00B83303">
        <w:rPr>
          <w:rFonts w:cs="Arial"/>
        </w:rPr>
        <w:t xml:space="preserve"> is </w:t>
      </w:r>
      <w:r w:rsidR="00021A06" w:rsidRPr="00021A06">
        <w:rPr>
          <w:rFonts w:cs="Arial"/>
        </w:rPr>
        <w:t xml:space="preserve">calculated on a different basis to </w:t>
      </w:r>
      <w:r w:rsidR="00F64463">
        <w:rPr>
          <w:rFonts w:cs="Arial"/>
        </w:rPr>
        <w:t>the arrival price methodology</w:t>
      </w:r>
      <w:r w:rsidR="00021A06" w:rsidRPr="00021A06">
        <w:rPr>
          <w:rFonts w:cs="Arial"/>
        </w:rPr>
        <w:t xml:space="preserve">. </w:t>
      </w:r>
      <w:r w:rsidR="004A1DD5">
        <w:rPr>
          <w:rFonts w:cs="Arial"/>
        </w:rPr>
        <w:t>This is a further reason why a</w:t>
      </w:r>
      <w:r w:rsidR="00021A06" w:rsidRPr="00021A06">
        <w:rPr>
          <w:rFonts w:cs="Arial"/>
        </w:rPr>
        <w:t xml:space="preserve"> floor </w:t>
      </w:r>
      <w:r w:rsidR="00F458AF">
        <w:rPr>
          <w:rFonts w:cs="Arial"/>
        </w:rPr>
        <w:t xml:space="preserve">wouldn’t </w:t>
      </w:r>
      <w:r w:rsidR="00021A06" w:rsidRPr="00021A06">
        <w:rPr>
          <w:rFonts w:cs="Arial"/>
        </w:rPr>
        <w:t xml:space="preserve">work </w:t>
      </w:r>
      <w:r w:rsidR="00F458AF">
        <w:rPr>
          <w:rFonts w:cs="Arial"/>
        </w:rPr>
        <w:t>as it would create</w:t>
      </w:r>
      <w:r w:rsidR="00021A06" w:rsidRPr="00021A06">
        <w:rPr>
          <w:rFonts w:cs="Arial"/>
        </w:rPr>
        <w:t xml:space="preserve"> attribution issues.</w:t>
      </w:r>
      <w:r w:rsidR="00F458AF">
        <w:rPr>
          <w:rFonts w:cs="Arial"/>
        </w:rPr>
        <w:t xml:space="preserve"> </w:t>
      </w:r>
      <w:r w:rsidR="007C68A6">
        <w:rPr>
          <w:rFonts w:cs="Arial"/>
        </w:rPr>
        <w:t>We</w:t>
      </w:r>
      <w:r w:rsidR="00F458AF">
        <w:rPr>
          <w:rFonts w:cs="Arial"/>
        </w:rPr>
        <w:t xml:space="preserve"> present </w:t>
      </w:r>
      <w:r>
        <w:rPr>
          <w:rFonts w:cs="Arial"/>
        </w:rPr>
        <w:t xml:space="preserve">below </w:t>
      </w:r>
      <w:r w:rsidR="00F458AF">
        <w:rPr>
          <w:rFonts w:cs="Arial"/>
        </w:rPr>
        <w:t xml:space="preserve">three different </w:t>
      </w:r>
      <w:r w:rsidR="007C68A6">
        <w:rPr>
          <w:rFonts w:cs="Arial"/>
        </w:rPr>
        <w:t>scenarios with the floor to illustrate the</w:t>
      </w:r>
      <w:r w:rsidR="00021A06" w:rsidRPr="00021A06">
        <w:rPr>
          <w:rFonts w:cs="Arial"/>
        </w:rPr>
        <w:t xml:space="preserve"> transparency and comparability issues especially where MiFID</w:t>
      </w:r>
      <w:r w:rsidR="007E53C1">
        <w:rPr>
          <w:rFonts w:cs="Arial"/>
        </w:rPr>
        <w:t xml:space="preserve"> </w:t>
      </w:r>
      <w:r w:rsidR="00021A06" w:rsidRPr="00021A06">
        <w:rPr>
          <w:rFonts w:cs="Arial"/>
        </w:rPr>
        <w:t>II can ask for a breakdown.</w:t>
      </w:r>
      <w:r w:rsidR="00205AE4">
        <w:rPr>
          <w:rFonts w:cs="Arial"/>
        </w:rPr>
        <w:t xml:space="preserve"> </w:t>
      </w:r>
    </w:p>
    <w:p w14:paraId="18725527" w14:textId="77777777" w:rsidR="00021A06" w:rsidRPr="00021A06" w:rsidRDefault="00021A06" w:rsidP="00021A06">
      <w:pPr>
        <w:rPr>
          <w:rFonts w:cs="Arial"/>
        </w:rPr>
      </w:pPr>
    </w:p>
    <w:tbl>
      <w:tblPr>
        <w:tblW w:w="5000" w:type="pct"/>
        <w:tblCellMar>
          <w:left w:w="0" w:type="dxa"/>
          <w:right w:w="0" w:type="dxa"/>
        </w:tblCellMar>
        <w:tblLook w:val="04A0" w:firstRow="1" w:lastRow="0" w:firstColumn="1" w:lastColumn="0" w:noHBand="0" w:noVBand="1"/>
      </w:tblPr>
      <w:tblGrid>
        <w:gridCol w:w="3082"/>
        <w:gridCol w:w="1489"/>
        <w:gridCol w:w="1662"/>
        <w:gridCol w:w="235"/>
        <w:gridCol w:w="2944"/>
      </w:tblGrid>
      <w:tr w:rsidR="00021A06" w:rsidRPr="00021A06" w14:paraId="729014F5" w14:textId="77777777" w:rsidTr="00003094">
        <w:trPr>
          <w:trHeight w:val="290"/>
        </w:trPr>
        <w:tc>
          <w:tcPr>
            <w:tcW w:w="3311" w:type="pct"/>
            <w:gridSpan w:val="3"/>
            <w:noWrap/>
            <w:tcMar>
              <w:top w:w="0" w:type="dxa"/>
              <w:left w:w="108" w:type="dxa"/>
              <w:bottom w:w="0" w:type="dxa"/>
              <w:right w:w="108" w:type="dxa"/>
            </w:tcMar>
            <w:vAlign w:val="bottom"/>
            <w:hideMark/>
          </w:tcPr>
          <w:p w14:paraId="7539794E" w14:textId="5058438D" w:rsidR="00021A06" w:rsidRPr="00021A06" w:rsidRDefault="007C68A6" w:rsidP="00021A06">
            <w:pPr>
              <w:rPr>
                <w:rFonts w:cs="Arial"/>
                <w:b/>
                <w:bCs/>
              </w:rPr>
            </w:pPr>
            <w:r>
              <w:rPr>
                <w:rFonts w:cs="Arial"/>
                <w:b/>
                <w:bCs/>
              </w:rPr>
              <w:t>Scenario 1: Flooring implicit c</w:t>
            </w:r>
            <w:r w:rsidR="00021A06" w:rsidRPr="00021A06">
              <w:rPr>
                <w:rFonts w:cs="Arial"/>
                <w:b/>
                <w:bCs/>
              </w:rPr>
              <w:t>osts</w:t>
            </w:r>
            <w:r w:rsidR="00B83303">
              <w:rPr>
                <w:rFonts w:cs="Arial"/>
                <w:b/>
                <w:bCs/>
              </w:rPr>
              <w:t xml:space="preserve"> </w:t>
            </w:r>
          </w:p>
        </w:tc>
        <w:tc>
          <w:tcPr>
            <w:tcW w:w="125" w:type="pct"/>
            <w:noWrap/>
            <w:tcMar>
              <w:top w:w="0" w:type="dxa"/>
              <w:left w:w="108" w:type="dxa"/>
              <w:bottom w:w="0" w:type="dxa"/>
              <w:right w:w="108" w:type="dxa"/>
            </w:tcMar>
            <w:vAlign w:val="bottom"/>
            <w:hideMark/>
          </w:tcPr>
          <w:p w14:paraId="38EF91C2" w14:textId="77777777" w:rsidR="00021A06" w:rsidRPr="00021A06" w:rsidRDefault="00021A06" w:rsidP="00021A06">
            <w:pPr>
              <w:rPr>
                <w:rFonts w:cs="Arial"/>
                <w:b/>
                <w:bCs/>
              </w:rPr>
            </w:pPr>
          </w:p>
        </w:tc>
        <w:tc>
          <w:tcPr>
            <w:tcW w:w="1564" w:type="pct"/>
            <w:noWrap/>
            <w:tcMar>
              <w:top w:w="0" w:type="dxa"/>
              <w:left w:w="108" w:type="dxa"/>
              <w:bottom w:w="0" w:type="dxa"/>
              <w:right w:w="108" w:type="dxa"/>
            </w:tcMar>
            <w:vAlign w:val="bottom"/>
            <w:hideMark/>
          </w:tcPr>
          <w:p w14:paraId="59B79305" w14:textId="77777777" w:rsidR="00021A06" w:rsidRPr="00021A06" w:rsidRDefault="00021A06" w:rsidP="00021A06">
            <w:pPr>
              <w:rPr>
                <w:rFonts w:cs="Arial"/>
              </w:rPr>
            </w:pPr>
          </w:p>
        </w:tc>
      </w:tr>
      <w:tr w:rsidR="00021A06" w:rsidRPr="00021A06" w14:paraId="654EB9BF" w14:textId="77777777" w:rsidTr="00003094">
        <w:trPr>
          <w:trHeight w:val="290"/>
        </w:trPr>
        <w:tc>
          <w:tcPr>
            <w:tcW w:w="1637" w:type="pct"/>
            <w:noWrap/>
            <w:tcMar>
              <w:top w:w="0" w:type="dxa"/>
              <w:left w:w="108" w:type="dxa"/>
              <w:bottom w:w="0" w:type="dxa"/>
              <w:right w:w="108" w:type="dxa"/>
            </w:tcMar>
            <w:vAlign w:val="bottom"/>
            <w:hideMark/>
          </w:tcPr>
          <w:p w14:paraId="1C80FBA9" w14:textId="77777777" w:rsidR="00021A06" w:rsidRPr="00021A06" w:rsidRDefault="00021A06" w:rsidP="00021A06">
            <w:pPr>
              <w:rPr>
                <w:rFonts w:cs="Arial"/>
              </w:rPr>
            </w:pPr>
          </w:p>
        </w:tc>
        <w:tc>
          <w:tcPr>
            <w:tcW w:w="791" w:type="pct"/>
            <w:noWrap/>
            <w:tcMar>
              <w:top w:w="0" w:type="dxa"/>
              <w:left w:w="108" w:type="dxa"/>
              <w:bottom w:w="0" w:type="dxa"/>
              <w:right w:w="108" w:type="dxa"/>
            </w:tcMar>
            <w:vAlign w:val="bottom"/>
            <w:hideMark/>
          </w:tcPr>
          <w:p w14:paraId="1B43313A" w14:textId="77777777" w:rsidR="00021A06" w:rsidRPr="00021A06" w:rsidRDefault="00021A06" w:rsidP="00021A06">
            <w:pPr>
              <w:rPr>
                <w:rFonts w:cs="Arial"/>
                <w:b/>
                <w:bCs/>
              </w:rPr>
            </w:pPr>
            <w:r w:rsidRPr="00021A06">
              <w:rPr>
                <w:rFonts w:cs="Arial"/>
                <w:b/>
                <w:bCs/>
              </w:rPr>
              <w:t>Actual</w:t>
            </w:r>
          </w:p>
        </w:tc>
        <w:tc>
          <w:tcPr>
            <w:tcW w:w="883" w:type="pct"/>
            <w:noWrap/>
            <w:tcMar>
              <w:top w:w="0" w:type="dxa"/>
              <w:left w:w="108" w:type="dxa"/>
              <w:bottom w:w="0" w:type="dxa"/>
              <w:right w:w="108" w:type="dxa"/>
            </w:tcMar>
            <w:vAlign w:val="bottom"/>
            <w:hideMark/>
          </w:tcPr>
          <w:p w14:paraId="7BC445B3" w14:textId="77777777" w:rsidR="00021A06" w:rsidRPr="00021A06" w:rsidRDefault="00021A06" w:rsidP="00021A06">
            <w:pPr>
              <w:rPr>
                <w:rFonts w:cs="Arial"/>
                <w:b/>
                <w:bCs/>
              </w:rPr>
            </w:pPr>
            <w:r w:rsidRPr="00021A06">
              <w:rPr>
                <w:rFonts w:cs="Arial"/>
                <w:b/>
                <w:bCs/>
              </w:rPr>
              <w:t>Floored</w:t>
            </w:r>
          </w:p>
        </w:tc>
        <w:tc>
          <w:tcPr>
            <w:tcW w:w="125" w:type="pct"/>
            <w:noWrap/>
            <w:tcMar>
              <w:top w:w="0" w:type="dxa"/>
              <w:left w:w="108" w:type="dxa"/>
              <w:bottom w:w="0" w:type="dxa"/>
              <w:right w:w="108" w:type="dxa"/>
            </w:tcMar>
            <w:vAlign w:val="bottom"/>
            <w:hideMark/>
          </w:tcPr>
          <w:p w14:paraId="33B2D6BE" w14:textId="77777777" w:rsidR="00021A06" w:rsidRPr="00021A06" w:rsidRDefault="00021A06" w:rsidP="00021A06">
            <w:pPr>
              <w:rPr>
                <w:rFonts w:cs="Arial"/>
                <w:b/>
                <w:bCs/>
              </w:rPr>
            </w:pPr>
          </w:p>
        </w:tc>
        <w:tc>
          <w:tcPr>
            <w:tcW w:w="1564" w:type="pct"/>
            <w:noWrap/>
            <w:tcMar>
              <w:top w:w="0" w:type="dxa"/>
              <w:left w:w="108" w:type="dxa"/>
              <w:bottom w:w="0" w:type="dxa"/>
              <w:right w:w="108" w:type="dxa"/>
            </w:tcMar>
            <w:vAlign w:val="bottom"/>
            <w:hideMark/>
          </w:tcPr>
          <w:p w14:paraId="6EE51475" w14:textId="77777777" w:rsidR="00021A06" w:rsidRPr="00021A06" w:rsidRDefault="00021A06" w:rsidP="00021A06">
            <w:pPr>
              <w:rPr>
                <w:rFonts w:cs="Arial"/>
                <w:b/>
                <w:bCs/>
              </w:rPr>
            </w:pPr>
            <w:r w:rsidRPr="00021A06">
              <w:rPr>
                <w:rFonts w:cs="Arial"/>
                <w:b/>
                <w:bCs/>
              </w:rPr>
              <w:t>Difference</w:t>
            </w:r>
          </w:p>
        </w:tc>
      </w:tr>
      <w:tr w:rsidR="00021A06" w:rsidRPr="00021A06" w14:paraId="1A2BB4BC" w14:textId="77777777" w:rsidTr="00003094">
        <w:trPr>
          <w:trHeight w:val="290"/>
        </w:trPr>
        <w:tc>
          <w:tcPr>
            <w:tcW w:w="1637" w:type="pct"/>
            <w:noWrap/>
            <w:tcMar>
              <w:top w:w="0" w:type="dxa"/>
              <w:left w:w="108" w:type="dxa"/>
              <w:bottom w:w="0" w:type="dxa"/>
              <w:right w:w="108" w:type="dxa"/>
            </w:tcMar>
            <w:vAlign w:val="bottom"/>
            <w:hideMark/>
          </w:tcPr>
          <w:p w14:paraId="1838CE4C" w14:textId="77777777" w:rsidR="00021A06" w:rsidRPr="00021A06" w:rsidRDefault="00021A06" w:rsidP="00021A06">
            <w:pPr>
              <w:rPr>
                <w:rFonts w:cs="Arial"/>
              </w:rPr>
            </w:pPr>
            <w:r w:rsidRPr="00021A06">
              <w:rPr>
                <w:rFonts w:cs="Arial"/>
              </w:rPr>
              <w:t>Implicit</w:t>
            </w:r>
          </w:p>
        </w:tc>
        <w:tc>
          <w:tcPr>
            <w:tcW w:w="791" w:type="pct"/>
            <w:noWrap/>
            <w:tcMar>
              <w:top w:w="0" w:type="dxa"/>
              <w:left w:w="108" w:type="dxa"/>
              <w:bottom w:w="0" w:type="dxa"/>
              <w:right w:w="108" w:type="dxa"/>
            </w:tcMar>
            <w:vAlign w:val="bottom"/>
            <w:hideMark/>
          </w:tcPr>
          <w:p w14:paraId="564F0164" w14:textId="77777777" w:rsidR="00021A06" w:rsidRPr="00021A06" w:rsidRDefault="00021A06" w:rsidP="00021A06">
            <w:pPr>
              <w:rPr>
                <w:rFonts w:cs="Arial"/>
              </w:rPr>
            </w:pPr>
            <w:r w:rsidRPr="00021A06">
              <w:rPr>
                <w:rFonts w:cs="Arial"/>
              </w:rPr>
              <w:t>-0.10%</w:t>
            </w:r>
          </w:p>
        </w:tc>
        <w:tc>
          <w:tcPr>
            <w:tcW w:w="883" w:type="pct"/>
            <w:noWrap/>
            <w:tcMar>
              <w:top w:w="0" w:type="dxa"/>
              <w:left w:w="108" w:type="dxa"/>
              <w:bottom w:w="0" w:type="dxa"/>
              <w:right w:w="108" w:type="dxa"/>
            </w:tcMar>
            <w:vAlign w:val="bottom"/>
            <w:hideMark/>
          </w:tcPr>
          <w:p w14:paraId="2FF5339E" w14:textId="77777777" w:rsidR="00021A06" w:rsidRPr="00021A06" w:rsidRDefault="00021A06" w:rsidP="00021A06">
            <w:pPr>
              <w:rPr>
                <w:rFonts w:cs="Arial"/>
              </w:rPr>
            </w:pPr>
            <w:r w:rsidRPr="00021A06">
              <w:rPr>
                <w:rFonts w:cs="Arial"/>
              </w:rPr>
              <w:t>0.00%</w:t>
            </w:r>
          </w:p>
        </w:tc>
        <w:tc>
          <w:tcPr>
            <w:tcW w:w="125" w:type="pct"/>
            <w:noWrap/>
            <w:tcMar>
              <w:top w:w="0" w:type="dxa"/>
              <w:left w:w="108" w:type="dxa"/>
              <w:bottom w:w="0" w:type="dxa"/>
              <w:right w:w="108" w:type="dxa"/>
            </w:tcMar>
            <w:vAlign w:val="bottom"/>
            <w:hideMark/>
          </w:tcPr>
          <w:p w14:paraId="6CCA0984"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1DDBF3FB" w14:textId="77777777" w:rsidR="00021A06" w:rsidRPr="00021A06" w:rsidRDefault="00021A06" w:rsidP="00021A06">
            <w:pPr>
              <w:rPr>
                <w:rFonts w:cs="Arial"/>
              </w:rPr>
            </w:pPr>
          </w:p>
        </w:tc>
      </w:tr>
      <w:tr w:rsidR="00021A06" w:rsidRPr="00021A06" w14:paraId="278E63AE" w14:textId="77777777" w:rsidTr="00003094">
        <w:trPr>
          <w:trHeight w:val="290"/>
        </w:trPr>
        <w:tc>
          <w:tcPr>
            <w:tcW w:w="1637" w:type="pct"/>
            <w:noWrap/>
            <w:tcMar>
              <w:top w:w="0" w:type="dxa"/>
              <w:left w:w="108" w:type="dxa"/>
              <w:bottom w:w="0" w:type="dxa"/>
              <w:right w:w="108" w:type="dxa"/>
            </w:tcMar>
            <w:vAlign w:val="bottom"/>
            <w:hideMark/>
          </w:tcPr>
          <w:p w14:paraId="19C14DE4" w14:textId="794FFE75" w:rsidR="00021A06" w:rsidRPr="00021A06" w:rsidRDefault="00F458AF" w:rsidP="00B83303">
            <w:pPr>
              <w:rPr>
                <w:rFonts w:cs="Arial"/>
              </w:rPr>
            </w:pPr>
            <w:r>
              <w:rPr>
                <w:rFonts w:cs="Arial"/>
              </w:rPr>
              <w:t>Broker c</w:t>
            </w:r>
            <w:r w:rsidR="00021A06" w:rsidRPr="00021A06">
              <w:rPr>
                <w:rFonts w:cs="Arial"/>
              </w:rPr>
              <w:t>omm</w:t>
            </w:r>
            <w:r w:rsidR="00B83303">
              <w:rPr>
                <w:rFonts w:cs="Arial"/>
              </w:rPr>
              <w:t>ission</w:t>
            </w:r>
          </w:p>
        </w:tc>
        <w:tc>
          <w:tcPr>
            <w:tcW w:w="791" w:type="pct"/>
            <w:noWrap/>
            <w:tcMar>
              <w:top w:w="0" w:type="dxa"/>
              <w:left w:w="108" w:type="dxa"/>
              <w:bottom w:w="0" w:type="dxa"/>
              <w:right w:w="108" w:type="dxa"/>
            </w:tcMar>
            <w:vAlign w:val="bottom"/>
            <w:hideMark/>
          </w:tcPr>
          <w:p w14:paraId="27D5E325" w14:textId="77777777" w:rsidR="00021A06" w:rsidRPr="00021A06" w:rsidRDefault="00021A06" w:rsidP="00021A06">
            <w:pPr>
              <w:rPr>
                <w:rFonts w:cs="Arial"/>
              </w:rPr>
            </w:pPr>
            <w:r w:rsidRPr="00021A06">
              <w:rPr>
                <w:rFonts w:cs="Arial"/>
              </w:rPr>
              <w:t>0.03%</w:t>
            </w:r>
          </w:p>
        </w:tc>
        <w:tc>
          <w:tcPr>
            <w:tcW w:w="883" w:type="pct"/>
            <w:noWrap/>
            <w:tcMar>
              <w:top w:w="0" w:type="dxa"/>
              <w:left w:w="108" w:type="dxa"/>
              <w:bottom w:w="0" w:type="dxa"/>
              <w:right w:w="108" w:type="dxa"/>
            </w:tcMar>
            <w:vAlign w:val="bottom"/>
            <w:hideMark/>
          </w:tcPr>
          <w:p w14:paraId="5377C893" w14:textId="77777777" w:rsidR="00021A06" w:rsidRPr="00021A06" w:rsidRDefault="00021A06" w:rsidP="00021A06">
            <w:pPr>
              <w:rPr>
                <w:rFonts w:cs="Arial"/>
              </w:rPr>
            </w:pPr>
            <w:r w:rsidRPr="00021A06">
              <w:rPr>
                <w:rFonts w:cs="Arial"/>
              </w:rPr>
              <w:t>0.03%</w:t>
            </w:r>
          </w:p>
        </w:tc>
        <w:tc>
          <w:tcPr>
            <w:tcW w:w="125" w:type="pct"/>
            <w:noWrap/>
            <w:tcMar>
              <w:top w:w="0" w:type="dxa"/>
              <w:left w:w="108" w:type="dxa"/>
              <w:bottom w:w="0" w:type="dxa"/>
              <w:right w:w="108" w:type="dxa"/>
            </w:tcMar>
            <w:vAlign w:val="bottom"/>
            <w:hideMark/>
          </w:tcPr>
          <w:p w14:paraId="355689D7"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53F2E029" w14:textId="77777777" w:rsidR="00021A06" w:rsidRPr="00021A06" w:rsidRDefault="00021A06" w:rsidP="00021A06">
            <w:pPr>
              <w:rPr>
                <w:rFonts w:cs="Arial"/>
              </w:rPr>
            </w:pPr>
          </w:p>
        </w:tc>
      </w:tr>
      <w:tr w:rsidR="00021A06" w:rsidRPr="00021A06" w14:paraId="78B892CC" w14:textId="77777777" w:rsidTr="00003094">
        <w:trPr>
          <w:trHeight w:val="290"/>
        </w:trPr>
        <w:tc>
          <w:tcPr>
            <w:tcW w:w="1637" w:type="pct"/>
            <w:noWrap/>
            <w:tcMar>
              <w:top w:w="0" w:type="dxa"/>
              <w:left w:w="108" w:type="dxa"/>
              <w:bottom w:w="0" w:type="dxa"/>
              <w:right w:w="108" w:type="dxa"/>
            </w:tcMar>
            <w:vAlign w:val="bottom"/>
            <w:hideMark/>
          </w:tcPr>
          <w:p w14:paraId="1C92DB70" w14:textId="77777777" w:rsidR="00021A06" w:rsidRPr="00021A06" w:rsidRDefault="00021A06" w:rsidP="00021A06">
            <w:pPr>
              <w:rPr>
                <w:rFonts w:cs="Arial"/>
              </w:rPr>
            </w:pPr>
            <w:r w:rsidRPr="00021A06">
              <w:rPr>
                <w:rFonts w:cs="Arial"/>
              </w:rPr>
              <w:t>Taxes</w:t>
            </w:r>
          </w:p>
        </w:tc>
        <w:tc>
          <w:tcPr>
            <w:tcW w:w="791" w:type="pct"/>
            <w:noWrap/>
            <w:tcMar>
              <w:top w:w="0" w:type="dxa"/>
              <w:left w:w="108" w:type="dxa"/>
              <w:bottom w:w="0" w:type="dxa"/>
              <w:right w:w="108" w:type="dxa"/>
            </w:tcMar>
            <w:vAlign w:val="bottom"/>
            <w:hideMark/>
          </w:tcPr>
          <w:p w14:paraId="48F90744" w14:textId="77777777" w:rsidR="00021A06" w:rsidRPr="00021A06" w:rsidRDefault="00021A06" w:rsidP="00021A06">
            <w:pPr>
              <w:rPr>
                <w:rFonts w:cs="Arial"/>
              </w:rPr>
            </w:pPr>
            <w:r w:rsidRPr="00021A06">
              <w:rPr>
                <w:rFonts w:cs="Arial"/>
              </w:rPr>
              <w:t>0.05%</w:t>
            </w:r>
          </w:p>
        </w:tc>
        <w:tc>
          <w:tcPr>
            <w:tcW w:w="883" w:type="pct"/>
            <w:noWrap/>
            <w:tcMar>
              <w:top w:w="0" w:type="dxa"/>
              <w:left w:w="108" w:type="dxa"/>
              <w:bottom w:w="0" w:type="dxa"/>
              <w:right w:w="108" w:type="dxa"/>
            </w:tcMar>
            <w:vAlign w:val="bottom"/>
            <w:hideMark/>
          </w:tcPr>
          <w:p w14:paraId="1498A2A8" w14:textId="77777777" w:rsidR="00021A06" w:rsidRPr="00021A06" w:rsidRDefault="00021A06" w:rsidP="00021A06">
            <w:pPr>
              <w:rPr>
                <w:rFonts w:cs="Arial"/>
              </w:rPr>
            </w:pPr>
            <w:r w:rsidRPr="00021A06">
              <w:rPr>
                <w:rFonts w:cs="Arial"/>
              </w:rPr>
              <w:t>0.05%</w:t>
            </w:r>
          </w:p>
        </w:tc>
        <w:tc>
          <w:tcPr>
            <w:tcW w:w="125" w:type="pct"/>
            <w:noWrap/>
            <w:tcMar>
              <w:top w:w="0" w:type="dxa"/>
              <w:left w:w="108" w:type="dxa"/>
              <w:bottom w:w="0" w:type="dxa"/>
              <w:right w:w="108" w:type="dxa"/>
            </w:tcMar>
            <w:vAlign w:val="bottom"/>
            <w:hideMark/>
          </w:tcPr>
          <w:p w14:paraId="3EA4D089"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53E0F8E0" w14:textId="77777777" w:rsidR="00021A06" w:rsidRPr="00021A06" w:rsidRDefault="00021A06" w:rsidP="00021A06">
            <w:pPr>
              <w:rPr>
                <w:rFonts w:cs="Arial"/>
              </w:rPr>
            </w:pPr>
          </w:p>
        </w:tc>
      </w:tr>
      <w:tr w:rsidR="00021A06" w:rsidRPr="00021A06" w14:paraId="6E25577B" w14:textId="77777777" w:rsidTr="00003094">
        <w:trPr>
          <w:trHeight w:val="290"/>
        </w:trPr>
        <w:tc>
          <w:tcPr>
            <w:tcW w:w="1637" w:type="pct"/>
            <w:noWrap/>
            <w:tcMar>
              <w:top w:w="0" w:type="dxa"/>
              <w:left w:w="108" w:type="dxa"/>
              <w:bottom w:w="0" w:type="dxa"/>
              <w:right w:w="108" w:type="dxa"/>
            </w:tcMar>
            <w:vAlign w:val="bottom"/>
            <w:hideMark/>
          </w:tcPr>
          <w:p w14:paraId="5BE48BC0" w14:textId="0AC5F402" w:rsidR="00021A06" w:rsidRPr="00021A06" w:rsidRDefault="00B83303" w:rsidP="00021A06">
            <w:pPr>
              <w:rPr>
                <w:rFonts w:cs="Arial"/>
              </w:rPr>
            </w:pPr>
            <w:r>
              <w:rPr>
                <w:rFonts w:cs="Arial"/>
              </w:rPr>
              <w:t>Anti-dilution</w:t>
            </w:r>
            <w:r w:rsidR="00F458AF">
              <w:rPr>
                <w:rFonts w:cs="Arial"/>
              </w:rPr>
              <w:t xml:space="preserve"> o</w:t>
            </w:r>
            <w:r w:rsidR="00021A06" w:rsidRPr="00021A06">
              <w:rPr>
                <w:rFonts w:cs="Arial"/>
              </w:rPr>
              <w:t>ffset</w:t>
            </w:r>
          </w:p>
        </w:tc>
        <w:tc>
          <w:tcPr>
            <w:tcW w:w="791" w:type="pct"/>
            <w:noWrap/>
            <w:tcMar>
              <w:top w:w="0" w:type="dxa"/>
              <w:left w:w="108" w:type="dxa"/>
              <w:bottom w:w="0" w:type="dxa"/>
              <w:right w:w="108" w:type="dxa"/>
            </w:tcMar>
            <w:vAlign w:val="bottom"/>
            <w:hideMark/>
          </w:tcPr>
          <w:p w14:paraId="69D23777" w14:textId="77777777" w:rsidR="00021A06" w:rsidRPr="00021A06" w:rsidRDefault="00021A06" w:rsidP="00021A06">
            <w:pPr>
              <w:rPr>
                <w:rFonts w:cs="Arial"/>
              </w:rPr>
            </w:pPr>
            <w:r w:rsidRPr="00021A06">
              <w:rPr>
                <w:rFonts w:cs="Arial"/>
              </w:rPr>
              <w:t>-0.05%</w:t>
            </w:r>
          </w:p>
        </w:tc>
        <w:tc>
          <w:tcPr>
            <w:tcW w:w="883" w:type="pct"/>
            <w:noWrap/>
            <w:tcMar>
              <w:top w:w="0" w:type="dxa"/>
              <w:left w:w="108" w:type="dxa"/>
              <w:bottom w:w="0" w:type="dxa"/>
              <w:right w:w="108" w:type="dxa"/>
            </w:tcMar>
            <w:vAlign w:val="bottom"/>
            <w:hideMark/>
          </w:tcPr>
          <w:p w14:paraId="40A6AD97" w14:textId="77777777" w:rsidR="00021A06" w:rsidRPr="00021A06" w:rsidRDefault="00021A06" w:rsidP="00021A06">
            <w:pPr>
              <w:rPr>
                <w:rFonts w:cs="Arial"/>
              </w:rPr>
            </w:pPr>
            <w:r w:rsidRPr="00021A06">
              <w:rPr>
                <w:rFonts w:cs="Arial"/>
              </w:rPr>
              <w:t>-0.05%</w:t>
            </w:r>
          </w:p>
        </w:tc>
        <w:tc>
          <w:tcPr>
            <w:tcW w:w="125" w:type="pct"/>
            <w:noWrap/>
            <w:tcMar>
              <w:top w:w="0" w:type="dxa"/>
              <w:left w:w="108" w:type="dxa"/>
              <w:bottom w:w="0" w:type="dxa"/>
              <w:right w:w="108" w:type="dxa"/>
            </w:tcMar>
            <w:vAlign w:val="bottom"/>
            <w:hideMark/>
          </w:tcPr>
          <w:p w14:paraId="555E6022"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209ACFDF" w14:textId="77777777" w:rsidR="00021A06" w:rsidRPr="00021A06" w:rsidRDefault="00021A06" w:rsidP="00021A06">
            <w:pPr>
              <w:rPr>
                <w:rFonts w:cs="Arial"/>
              </w:rPr>
            </w:pPr>
          </w:p>
        </w:tc>
      </w:tr>
      <w:tr w:rsidR="00021A06" w:rsidRPr="00021A06" w14:paraId="355C488C" w14:textId="77777777" w:rsidTr="00003094">
        <w:trPr>
          <w:trHeight w:val="300"/>
        </w:trPr>
        <w:tc>
          <w:tcPr>
            <w:tcW w:w="1637"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2999EFBD" w14:textId="77777777" w:rsidR="00021A06" w:rsidRPr="00021A06" w:rsidRDefault="00021A06" w:rsidP="00021A06">
            <w:pPr>
              <w:rPr>
                <w:rFonts w:cs="Arial"/>
                <w:b/>
                <w:bCs/>
              </w:rPr>
            </w:pPr>
            <w:r w:rsidRPr="00021A06">
              <w:rPr>
                <w:rFonts w:cs="Arial"/>
                <w:b/>
                <w:bCs/>
              </w:rPr>
              <w:t>Total</w:t>
            </w:r>
          </w:p>
        </w:tc>
        <w:tc>
          <w:tcPr>
            <w:tcW w:w="791"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118EE86D" w14:textId="77777777" w:rsidR="00021A06" w:rsidRPr="00021A06" w:rsidRDefault="00021A06" w:rsidP="00021A06">
            <w:pPr>
              <w:rPr>
                <w:rFonts w:cs="Arial"/>
                <w:b/>
                <w:bCs/>
              </w:rPr>
            </w:pPr>
            <w:r w:rsidRPr="00021A06">
              <w:rPr>
                <w:rFonts w:cs="Arial"/>
                <w:b/>
                <w:bCs/>
              </w:rPr>
              <w:t>-0.07%</w:t>
            </w:r>
          </w:p>
        </w:tc>
        <w:tc>
          <w:tcPr>
            <w:tcW w:w="883"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32774B01" w14:textId="77777777" w:rsidR="00021A06" w:rsidRPr="00021A06" w:rsidRDefault="00021A06" w:rsidP="00021A06">
            <w:pPr>
              <w:rPr>
                <w:rFonts w:cs="Arial"/>
                <w:b/>
                <w:bCs/>
              </w:rPr>
            </w:pPr>
            <w:r w:rsidRPr="00021A06">
              <w:rPr>
                <w:rFonts w:cs="Arial"/>
                <w:b/>
                <w:bCs/>
              </w:rPr>
              <w:t>0.03%</w:t>
            </w:r>
          </w:p>
        </w:tc>
        <w:tc>
          <w:tcPr>
            <w:tcW w:w="125" w:type="pct"/>
            <w:noWrap/>
            <w:tcMar>
              <w:top w:w="0" w:type="dxa"/>
              <w:left w:w="108" w:type="dxa"/>
              <w:bottom w:w="0" w:type="dxa"/>
              <w:right w:w="108" w:type="dxa"/>
            </w:tcMar>
            <w:vAlign w:val="bottom"/>
            <w:hideMark/>
          </w:tcPr>
          <w:p w14:paraId="2585420D" w14:textId="77777777" w:rsidR="00021A06" w:rsidRPr="00021A06" w:rsidRDefault="00021A06" w:rsidP="00021A06">
            <w:pPr>
              <w:rPr>
                <w:rFonts w:cs="Arial"/>
                <w:b/>
                <w:bCs/>
              </w:rPr>
            </w:pPr>
          </w:p>
        </w:tc>
        <w:tc>
          <w:tcPr>
            <w:tcW w:w="1564"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0443BAA7" w14:textId="77777777" w:rsidR="00021A06" w:rsidRPr="00021A06" w:rsidRDefault="00021A06" w:rsidP="00021A06">
            <w:pPr>
              <w:rPr>
                <w:rFonts w:cs="Arial"/>
                <w:b/>
                <w:bCs/>
              </w:rPr>
            </w:pPr>
            <w:r w:rsidRPr="00021A06">
              <w:rPr>
                <w:rFonts w:cs="Arial"/>
                <w:b/>
                <w:bCs/>
              </w:rPr>
              <w:t>0.10%</w:t>
            </w:r>
          </w:p>
        </w:tc>
      </w:tr>
      <w:tr w:rsidR="00021A06" w:rsidRPr="00021A06" w14:paraId="57098072" w14:textId="77777777" w:rsidTr="00003094">
        <w:trPr>
          <w:trHeight w:val="300"/>
        </w:trPr>
        <w:tc>
          <w:tcPr>
            <w:tcW w:w="1637" w:type="pct"/>
            <w:noWrap/>
            <w:tcMar>
              <w:top w:w="0" w:type="dxa"/>
              <w:left w:w="108" w:type="dxa"/>
              <w:bottom w:w="0" w:type="dxa"/>
              <w:right w:w="108" w:type="dxa"/>
            </w:tcMar>
            <w:vAlign w:val="bottom"/>
            <w:hideMark/>
          </w:tcPr>
          <w:p w14:paraId="3057FF52" w14:textId="77777777" w:rsidR="00021A06" w:rsidRPr="00021A06" w:rsidRDefault="00021A06" w:rsidP="00021A06">
            <w:pPr>
              <w:rPr>
                <w:rFonts w:cs="Arial"/>
                <w:b/>
                <w:bCs/>
              </w:rPr>
            </w:pPr>
          </w:p>
        </w:tc>
        <w:tc>
          <w:tcPr>
            <w:tcW w:w="791" w:type="pct"/>
            <w:noWrap/>
            <w:tcMar>
              <w:top w:w="0" w:type="dxa"/>
              <w:left w:w="108" w:type="dxa"/>
              <w:bottom w:w="0" w:type="dxa"/>
              <w:right w:w="108" w:type="dxa"/>
            </w:tcMar>
            <w:vAlign w:val="bottom"/>
            <w:hideMark/>
          </w:tcPr>
          <w:p w14:paraId="3AEACC2C" w14:textId="77777777" w:rsidR="00021A06" w:rsidRPr="00021A06" w:rsidRDefault="00021A06" w:rsidP="00021A06">
            <w:pPr>
              <w:rPr>
                <w:rFonts w:cs="Arial"/>
              </w:rPr>
            </w:pPr>
          </w:p>
        </w:tc>
        <w:tc>
          <w:tcPr>
            <w:tcW w:w="883" w:type="pct"/>
            <w:noWrap/>
            <w:tcMar>
              <w:top w:w="0" w:type="dxa"/>
              <w:left w:w="108" w:type="dxa"/>
              <w:bottom w:w="0" w:type="dxa"/>
              <w:right w:w="108" w:type="dxa"/>
            </w:tcMar>
            <w:vAlign w:val="bottom"/>
            <w:hideMark/>
          </w:tcPr>
          <w:p w14:paraId="5CA79697" w14:textId="77777777" w:rsidR="00021A06" w:rsidRPr="00021A06" w:rsidRDefault="00021A06" w:rsidP="00021A06">
            <w:pPr>
              <w:rPr>
                <w:rFonts w:cs="Arial"/>
              </w:rPr>
            </w:pPr>
          </w:p>
        </w:tc>
        <w:tc>
          <w:tcPr>
            <w:tcW w:w="125" w:type="pct"/>
            <w:noWrap/>
            <w:tcMar>
              <w:top w:w="0" w:type="dxa"/>
              <w:left w:w="108" w:type="dxa"/>
              <w:bottom w:w="0" w:type="dxa"/>
              <w:right w:w="108" w:type="dxa"/>
            </w:tcMar>
            <w:vAlign w:val="bottom"/>
            <w:hideMark/>
          </w:tcPr>
          <w:p w14:paraId="2448FA32"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1EB313C0" w14:textId="77777777" w:rsidR="00021A06" w:rsidRPr="00021A06" w:rsidRDefault="00021A06" w:rsidP="00021A06">
            <w:pPr>
              <w:rPr>
                <w:rFonts w:cs="Arial"/>
              </w:rPr>
            </w:pPr>
          </w:p>
        </w:tc>
      </w:tr>
      <w:tr w:rsidR="00021A06" w:rsidRPr="00021A06" w14:paraId="343D2F87" w14:textId="77777777" w:rsidTr="00003094">
        <w:trPr>
          <w:trHeight w:val="290"/>
        </w:trPr>
        <w:tc>
          <w:tcPr>
            <w:tcW w:w="3311" w:type="pct"/>
            <w:gridSpan w:val="3"/>
            <w:noWrap/>
            <w:tcMar>
              <w:top w:w="0" w:type="dxa"/>
              <w:left w:w="108" w:type="dxa"/>
              <w:bottom w:w="0" w:type="dxa"/>
              <w:right w:w="108" w:type="dxa"/>
            </w:tcMar>
            <w:vAlign w:val="bottom"/>
            <w:hideMark/>
          </w:tcPr>
          <w:p w14:paraId="6A87CF6F" w14:textId="3EDD1AA2" w:rsidR="00021A06" w:rsidRPr="00021A06" w:rsidRDefault="00F458AF" w:rsidP="00F458AF">
            <w:pPr>
              <w:rPr>
                <w:rFonts w:cs="Arial"/>
                <w:b/>
                <w:bCs/>
              </w:rPr>
            </w:pPr>
            <w:r>
              <w:rPr>
                <w:rFonts w:cs="Arial"/>
                <w:b/>
                <w:bCs/>
              </w:rPr>
              <w:t>Scenario 2: Flooring i</w:t>
            </w:r>
            <w:r w:rsidR="00021A06" w:rsidRPr="00021A06">
              <w:rPr>
                <w:rFonts w:cs="Arial"/>
                <w:b/>
                <w:bCs/>
              </w:rPr>
              <w:t xml:space="preserve">mplicit </w:t>
            </w:r>
            <w:r>
              <w:rPr>
                <w:rFonts w:cs="Arial"/>
                <w:b/>
                <w:bCs/>
              </w:rPr>
              <w:t>c</w:t>
            </w:r>
            <w:r w:rsidR="00021A06" w:rsidRPr="00021A06">
              <w:rPr>
                <w:rFonts w:cs="Arial"/>
                <w:b/>
                <w:bCs/>
              </w:rPr>
              <w:t xml:space="preserve">osts &amp; </w:t>
            </w:r>
            <w:r>
              <w:rPr>
                <w:rFonts w:cs="Arial"/>
                <w:b/>
                <w:bCs/>
              </w:rPr>
              <w:t>and anti-dilution of</w:t>
            </w:r>
            <w:r w:rsidR="00021A06" w:rsidRPr="00021A06">
              <w:rPr>
                <w:rFonts w:cs="Arial"/>
                <w:b/>
                <w:bCs/>
              </w:rPr>
              <w:t>fset</w:t>
            </w:r>
          </w:p>
        </w:tc>
        <w:tc>
          <w:tcPr>
            <w:tcW w:w="1689" w:type="pct"/>
            <w:gridSpan w:val="2"/>
            <w:noWrap/>
            <w:tcMar>
              <w:top w:w="0" w:type="dxa"/>
              <w:left w:w="108" w:type="dxa"/>
              <w:bottom w:w="0" w:type="dxa"/>
              <w:right w:w="108" w:type="dxa"/>
            </w:tcMar>
            <w:vAlign w:val="bottom"/>
            <w:hideMark/>
          </w:tcPr>
          <w:p w14:paraId="772DD479" w14:textId="77777777" w:rsidR="00021A06" w:rsidRPr="00021A06" w:rsidRDefault="00021A06" w:rsidP="00021A06">
            <w:pPr>
              <w:rPr>
                <w:rFonts w:cs="Arial"/>
                <w:b/>
                <w:bCs/>
              </w:rPr>
            </w:pPr>
            <w:r w:rsidRPr="00021A06">
              <w:rPr>
                <w:rFonts w:cs="Arial"/>
                <w:b/>
                <w:bCs/>
              </w:rPr>
              <w:t>Difference</w:t>
            </w:r>
          </w:p>
        </w:tc>
      </w:tr>
      <w:tr w:rsidR="00021A06" w:rsidRPr="00021A06" w14:paraId="0D3BE58F" w14:textId="77777777" w:rsidTr="00003094">
        <w:trPr>
          <w:trHeight w:val="290"/>
        </w:trPr>
        <w:tc>
          <w:tcPr>
            <w:tcW w:w="1637" w:type="pct"/>
            <w:noWrap/>
            <w:tcMar>
              <w:top w:w="0" w:type="dxa"/>
              <w:left w:w="108" w:type="dxa"/>
              <w:bottom w:w="0" w:type="dxa"/>
              <w:right w:w="108" w:type="dxa"/>
            </w:tcMar>
            <w:vAlign w:val="bottom"/>
            <w:hideMark/>
          </w:tcPr>
          <w:p w14:paraId="2A551467" w14:textId="77777777" w:rsidR="00021A06" w:rsidRPr="00021A06" w:rsidRDefault="00021A06" w:rsidP="00021A06">
            <w:pPr>
              <w:rPr>
                <w:rFonts w:cs="Arial"/>
                <w:b/>
                <w:bCs/>
              </w:rPr>
            </w:pPr>
          </w:p>
        </w:tc>
        <w:tc>
          <w:tcPr>
            <w:tcW w:w="791" w:type="pct"/>
            <w:noWrap/>
            <w:tcMar>
              <w:top w:w="0" w:type="dxa"/>
              <w:left w:w="108" w:type="dxa"/>
              <w:bottom w:w="0" w:type="dxa"/>
              <w:right w:w="108" w:type="dxa"/>
            </w:tcMar>
            <w:vAlign w:val="bottom"/>
            <w:hideMark/>
          </w:tcPr>
          <w:p w14:paraId="1CFC7C67" w14:textId="77777777" w:rsidR="00021A06" w:rsidRPr="00021A06" w:rsidRDefault="00021A06" w:rsidP="00021A06">
            <w:pPr>
              <w:rPr>
                <w:rFonts w:cs="Arial"/>
                <w:b/>
                <w:bCs/>
              </w:rPr>
            </w:pPr>
            <w:r w:rsidRPr="00021A06">
              <w:rPr>
                <w:rFonts w:cs="Arial"/>
                <w:b/>
                <w:bCs/>
              </w:rPr>
              <w:t>Actual</w:t>
            </w:r>
          </w:p>
        </w:tc>
        <w:tc>
          <w:tcPr>
            <w:tcW w:w="883" w:type="pct"/>
            <w:noWrap/>
            <w:tcMar>
              <w:top w:w="0" w:type="dxa"/>
              <w:left w:w="108" w:type="dxa"/>
              <w:bottom w:w="0" w:type="dxa"/>
              <w:right w:w="108" w:type="dxa"/>
            </w:tcMar>
            <w:vAlign w:val="bottom"/>
            <w:hideMark/>
          </w:tcPr>
          <w:p w14:paraId="1D3D2BC0" w14:textId="77777777" w:rsidR="00021A06" w:rsidRPr="00021A06" w:rsidRDefault="00021A06" w:rsidP="00021A06">
            <w:pPr>
              <w:rPr>
                <w:rFonts w:cs="Arial"/>
                <w:b/>
                <w:bCs/>
              </w:rPr>
            </w:pPr>
            <w:r w:rsidRPr="00021A06">
              <w:rPr>
                <w:rFonts w:cs="Arial"/>
                <w:b/>
                <w:bCs/>
              </w:rPr>
              <w:t>Floored</w:t>
            </w:r>
          </w:p>
        </w:tc>
        <w:tc>
          <w:tcPr>
            <w:tcW w:w="125" w:type="pct"/>
            <w:noWrap/>
            <w:tcMar>
              <w:top w:w="0" w:type="dxa"/>
              <w:left w:w="108" w:type="dxa"/>
              <w:bottom w:w="0" w:type="dxa"/>
              <w:right w:w="108" w:type="dxa"/>
            </w:tcMar>
            <w:vAlign w:val="bottom"/>
            <w:hideMark/>
          </w:tcPr>
          <w:p w14:paraId="4EC41E4B" w14:textId="77777777" w:rsidR="00021A06" w:rsidRPr="00021A06" w:rsidRDefault="00021A06" w:rsidP="00021A06">
            <w:pPr>
              <w:rPr>
                <w:rFonts w:cs="Arial"/>
                <w:b/>
                <w:bCs/>
              </w:rPr>
            </w:pPr>
          </w:p>
        </w:tc>
        <w:tc>
          <w:tcPr>
            <w:tcW w:w="1564" w:type="pct"/>
            <w:noWrap/>
            <w:tcMar>
              <w:top w:w="0" w:type="dxa"/>
              <w:left w:w="108" w:type="dxa"/>
              <w:bottom w:w="0" w:type="dxa"/>
              <w:right w:w="108" w:type="dxa"/>
            </w:tcMar>
            <w:vAlign w:val="bottom"/>
            <w:hideMark/>
          </w:tcPr>
          <w:p w14:paraId="54CB1044" w14:textId="77777777" w:rsidR="00021A06" w:rsidRPr="00021A06" w:rsidRDefault="00021A06" w:rsidP="00021A06">
            <w:pPr>
              <w:rPr>
                <w:rFonts w:cs="Arial"/>
              </w:rPr>
            </w:pPr>
          </w:p>
        </w:tc>
      </w:tr>
      <w:tr w:rsidR="00021A06" w:rsidRPr="00021A06" w14:paraId="151572E4" w14:textId="77777777" w:rsidTr="00003094">
        <w:trPr>
          <w:trHeight w:val="290"/>
        </w:trPr>
        <w:tc>
          <w:tcPr>
            <w:tcW w:w="1637" w:type="pct"/>
            <w:noWrap/>
            <w:tcMar>
              <w:top w:w="0" w:type="dxa"/>
              <w:left w:w="108" w:type="dxa"/>
              <w:bottom w:w="0" w:type="dxa"/>
              <w:right w:w="108" w:type="dxa"/>
            </w:tcMar>
            <w:vAlign w:val="bottom"/>
            <w:hideMark/>
          </w:tcPr>
          <w:p w14:paraId="4DE26528" w14:textId="77777777" w:rsidR="00021A06" w:rsidRPr="00021A06" w:rsidRDefault="00021A06" w:rsidP="00021A06">
            <w:pPr>
              <w:rPr>
                <w:rFonts w:cs="Arial"/>
              </w:rPr>
            </w:pPr>
            <w:r w:rsidRPr="00021A06">
              <w:rPr>
                <w:rFonts w:cs="Arial"/>
              </w:rPr>
              <w:t>Implicit</w:t>
            </w:r>
          </w:p>
        </w:tc>
        <w:tc>
          <w:tcPr>
            <w:tcW w:w="791" w:type="pct"/>
            <w:noWrap/>
            <w:tcMar>
              <w:top w:w="0" w:type="dxa"/>
              <w:left w:w="108" w:type="dxa"/>
              <w:bottom w:w="0" w:type="dxa"/>
              <w:right w:w="108" w:type="dxa"/>
            </w:tcMar>
            <w:vAlign w:val="bottom"/>
            <w:hideMark/>
          </w:tcPr>
          <w:p w14:paraId="014F90F1" w14:textId="77777777" w:rsidR="00021A06" w:rsidRPr="00021A06" w:rsidRDefault="00021A06" w:rsidP="00021A06">
            <w:pPr>
              <w:rPr>
                <w:rFonts w:cs="Arial"/>
              </w:rPr>
            </w:pPr>
            <w:r w:rsidRPr="00021A06">
              <w:rPr>
                <w:rFonts w:cs="Arial"/>
              </w:rPr>
              <w:t>-0.10%</w:t>
            </w:r>
          </w:p>
        </w:tc>
        <w:tc>
          <w:tcPr>
            <w:tcW w:w="883" w:type="pct"/>
            <w:noWrap/>
            <w:tcMar>
              <w:top w:w="0" w:type="dxa"/>
              <w:left w:w="108" w:type="dxa"/>
              <w:bottom w:w="0" w:type="dxa"/>
              <w:right w:w="108" w:type="dxa"/>
            </w:tcMar>
            <w:vAlign w:val="bottom"/>
            <w:hideMark/>
          </w:tcPr>
          <w:p w14:paraId="6478261F" w14:textId="77777777" w:rsidR="00021A06" w:rsidRPr="00021A06" w:rsidRDefault="00021A06" w:rsidP="00021A06">
            <w:pPr>
              <w:rPr>
                <w:rFonts w:cs="Arial"/>
              </w:rPr>
            </w:pPr>
            <w:r w:rsidRPr="00021A06">
              <w:rPr>
                <w:rFonts w:cs="Arial"/>
              </w:rPr>
              <w:t>0.00%</w:t>
            </w:r>
          </w:p>
        </w:tc>
        <w:tc>
          <w:tcPr>
            <w:tcW w:w="125" w:type="pct"/>
            <w:noWrap/>
            <w:tcMar>
              <w:top w:w="0" w:type="dxa"/>
              <w:left w:w="108" w:type="dxa"/>
              <w:bottom w:w="0" w:type="dxa"/>
              <w:right w:w="108" w:type="dxa"/>
            </w:tcMar>
            <w:vAlign w:val="bottom"/>
            <w:hideMark/>
          </w:tcPr>
          <w:p w14:paraId="705B526B"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7A75D265" w14:textId="77777777" w:rsidR="00021A06" w:rsidRPr="00021A06" w:rsidRDefault="00021A06" w:rsidP="00021A06">
            <w:pPr>
              <w:rPr>
                <w:rFonts w:cs="Arial"/>
              </w:rPr>
            </w:pPr>
          </w:p>
        </w:tc>
      </w:tr>
      <w:tr w:rsidR="00021A06" w:rsidRPr="00021A06" w14:paraId="77DE6A04" w14:textId="77777777" w:rsidTr="00003094">
        <w:trPr>
          <w:trHeight w:val="290"/>
        </w:trPr>
        <w:tc>
          <w:tcPr>
            <w:tcW w:w="1637" w:type="pct"/>
            <w:noWrap/>
            <w:tcMar>
              <w:top w:w="0" w:type="dxa"/>
              <w:left w:w="108" w:type="dxa"/>
              <w:bottom w:w="0" w:type="dxa"/>
              <w:right w:w="108" w:type="dxa"/>
            </w:tcMar>
            <w:vAlign w:val="bottom"/>
            <w:hideMark/>
          </w:tcPr>
          <w:p w14:paraId="72E55497" w14:textId="41E7A4D2" w:rsidR="00021A06" w:rsidRPr="00021A06" w:rsidRDefault="00F458AF" w:rsidP="00021A06">
            <w:pPr>
              <w:rPr>
                <w:rFonts w:cs="Arial"/>
              </w:rPr>
            </w:pPr>
            <w:r>
              <w:rPr>
                <w:rFonts w:cs="Arial"/>
              </w:rPr>
              <w:t>Broker c</w:t>
            </w:r>
            <w:r w:rsidR="00B83303">
              <w:rPr>
                <w:rFonts w:cs="Arial"/>
              </w:rPr>
              <w:t>ommission</w:t>
            </w:r>
          </w:p>
        </w:tc>
        <w:tc>
          <w:tcPr>
            <w:tcW w:w="791" w:type="pct"/>
            <w:noWrap/>
            <w:tcMar>
              <w:top w:w="0" w:type="dxa"/>
              <w:left w:w="108" w:type="dxa"/>
              <w:bottom w:w="0" w:type="dxa"/>
              <w:right w:w="108" w:type="dxa"/>
            </w:tcMar>
            <w:vAlign w:val="bottom"/>
            <w:hideMark/>
          </w:tcPr>
          <w:p w14:paraId="62EB14CC" w14:textId="77777777" w:rsidR="00021A06" w:rsidRPr="00021A06" w:rsidRDefault="00021A06" w:rsidP="00021A06">
            <w:pPr>
              <w:rPr>
                <w:rFonts w:cs="Arial"/>
              </w:rPr>
            </w:pPr>
            <w:r w:rsidRPr="00021A06">
              <w:rPr>
                <w:rFonts w:cs="Arial"/>
              </w:rPr>
              <w:t>0.03%</w:t>
            </w:r>
          </w:p>
        </w:tc>
        <w:tc>
          <w:tcPr>
            <w:tcW w:w="883" w:type="pct"/>
            <w:noWrap/>
            <w:tcMar>
              <w:top w:w="0" w:type="dxa"/>
              <w:left w:w="108" w:type="dxa"/>
              <w:bottom w:w="0" w:type="dxa"/>
              <w:right w:w="108" w:type="dxa"/>
            </w:tcMar>
            <w:vAlign w:val="bottom"/>
            <w:hideMark/>
          </w:tcPr>
          <w:p w14:paraId="6F89BE55" w14:textId="77777777" w:rsidR="00021A06" w:rsidRPr="00021A06" w:rsidRDefault="00021A06" w:rsidP="00021A06">
            <w:pPr>
              <w:rPr>
                <w:rFonts w:cs="Arial"/>
              </w:rPr>
            </w:pPr>
            <w:r w:rsidRPr="00021A06">
              <w:rPr>
                <w:rFonts w:cs="Arial"/>
              </w:rPr>
              <w:t>0.03%</w:t>
            </w:r>
          </w:p>
        </w:tc>
        <w:tc>
          <w:tcPr>
            <w:tcW w:w="125" w:type="pct"/>
            <w:noWrap/>
            <w:tcMar>
              <w:top w:w="0" w:type="dxa"/>
              <w:left w:w="108" w:type="dxa"/>
              <w:bottom w:w="0" w:type="dxa"/>
              <w:right w:w="108" w:type="dxa"/>
            </w:tcMar>
            <w:vAlign w:val="bottom"/>
            <w:hideMark/>
          </w:tcPr>
          <w:p w14:paraId="1257B61F"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49F284D3" w14:textId="77777777" w:rsidR="00021A06" w:rsidRPr="00021A06" w:rsidRDefault="00021A06" w:rsidP="00021A06">
            <w:pPr>
              <w:rPr>
                <w:rFonts w:cs="Arial"/>
              </w:rPr>
            </w:pPr>
          </w:p>
        </w:tc>
      </w:tr>
      <w:tr w:rsidR="00021A06" w:rsidRPr="00021A06" w14:paraId="071C12D3" w14:textId="77777777" w:rsidTr="00003094">
        <w:trPr>
          <w:trHeight w:val="290"/>
        </w:trPr>
        <w:tc>
          <w:tcPr>
            <w:tcW w:w="1637" w:type="pct"/>
            <w:noWrap/>
            <w:tcMar>
              <w:top w:w="0" w:type="dxa"/>
              <w:left w:w="108" w:type="dxa"/>
              <w:bottom w:w="0" w:type="dxa"/>
              <w:right w:w="108" w:type="dxa"/>
            </w:tcMar>
            <w:vAlign w:val="bottom"/>
            <w:hideMark/>
          </w:tcPr>
          <w:p w14:paraId="2A9613B7" w14:textId="77777777" w:rsidR="00021A06" w:rsidRPr="00021A06" w:rsidRDefault="00021A06" w:rsidP="00021A06">
            <w:pPr>
              <w:rPr>
                <w:rFonts w:cs="Arial"/>
              </w:rPr>
            </w:pPr>
            <w:r w:rsidRPr="00021A06">
              <w:rPr>
                <w:rFonts w:cs="Arial"/>
              </w:rPr>
              <w:t>Taxes</w:t>
            </w:r>
          </w:p>
        </w:tc>
        <w:tc>
          <w:tcPr>
            <w:tcW w:w="791" w:type="pct"/>
            <w:noWrap/>
            <w:tcMar>
              <w:top w:w="0" w:type="dxa"/>
              <w:left w:w="108" w:type="dxa"/>
              <w:bottom w:w="0" w:type="dxa"/>
              <w:right w:w="108" w:type="dxa"/>
            </w:tcMar>
            <w:vAlign w:val="bottom"/>
            <w:hideMark/>
          </w:tcPr>
          <w:p w14:paraId="5A7F1B7C" w14:textId="77777777" w:rsidR="00021A06" w:rsidRPr="00021A06" w:rsidRDefault="00021A06" w:rsidP="00021A06">
            <w:pPr>
              <w:rPr>
                <w:rFonts w:cs="Arial"/>
              </w:rPr>
            </w:pPr>
            <w:r w:rsidRPr="00021A06">
              <w:rPr>
                <w:rFonts w:cs="Arial"/>
              </w:rPr>
              <w:t>0.05%</w:t>
            </w:r>
          </w:p>
        </w:tc>
        <w:tc>
          <w:tcPr>
            <w:tcW w:w="883" w:type="pct"/>
            <w:noWrap/>
            <w:tcMar>
              <w:top w:w="0" w:type="dxa"/>
              <w:left w:w="108" w:type="dxa"/>
              <w:bottom w:w="0" w:type="dxa"/>
              <w:right w:w="108" w:type="dxa"/>
            </w:tcMar>
            <w:vAlign w:val="bottom"/>
            <w:hideMark/>
          </w:tcPr>
          <w:p w14:paraId="594E533D" w14:textId="77777777" w:rsidR="00021A06" w:rsidRPr="00021A06" w:rsidRDefault="00021A06" w:rsidP="00021A06">
            <w:pPr>
              <w:rPr>
                <w:rFonts w:cs="Arial"/>
              </w:rPr>
            </w:pPr>
            <w:r w:rsidRPr="00021A06">
              <w:rPr>
                <w:rFonts w:cs="Arial"/>
              </w:rPr>
              <w:t>0.05%</w:t>
            </w:r>
          </w:p>
        </w:tc>
        <w:tc>
          <w:tcPr>
            <w:tcW w:w="125" w:type="pct"/>
            <w:noWrap/>
            <w:tcMar>
              <w:top w:w="0" w:type="dxa"/>
              <w:left w:w="108" w:type="dxa"/>
              <w:bottom w:w="0" w:type="dxa"/>
              <w:right w:w="108" w:type="dxa"/>
            </w:tcMar>
            <w:vAlign w:val="bottom"/>
            <w:hideMark/>
          </w:tcPr>
          <w:p w14:paraId="2CDC3A48"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17B49DF2" w14:textId="77777777" w:rsidR="00021A06" w:rsidRPr="00021A06" w:rsidRDefault="00021A06" w:rsidP="00021A06">
            <w:pPr>
              <w:rPr>
                <w:rFonts w:cs="Arial"/>
              </w:rPr>
            </w:pPr>
          </w:p>
        </w:tc>
      </w:tr>
      <w:tr w:rsidR="00021A06" w:rsidRPr="00021A06" w14:paraId="47C4F802" w14:textId="77777777" w:rsidTr="00003094">
        <w:trPr>
          <w:trHeight w:val="290"/>
        </w:trPr>
        <w:tc>
          <w:tcPr>
            <w:tcW w:w="1637" w:type="pct"/>
            <w:noWrap/>
            <w:tcMar>
              <w:top w:w="0" w:type="dxa"/>
              <w:left w:w="108" w:type="dxa"/>
              <w:bottom w:w="0" w:type="dxa"/>
              <w:right w:w="108" w:type="dxa"/>
            </w:tcMar>
            <w:vAlign w:val="bottom"/>
            <w:hideMark/>
          </w:tcPr>
          <w:p w14:paraId="5B0AEE2F" w14:textId="28C1F48C" w:rsidR="00021A06" w:rsidRPr="00021A06" w:rsidRDefault="00B83303" w:rsidP="00021A06">
            <w:pPr>
              <w:rPr>
                <w:rFonts w:cs="Arial"/>
              </w:rPr>
            </w:pPr>
            <w:r>
              <w:rPr>
                <w:rFonts w:cs="Arial"/>
              </w:rPr>
              <w:t>Anti-dilution</w:t>
            </w:r>
            <w:r w:rsidR="00F458AF">
              <w:rPr>
                <w:rFonts w:cs="Arial"/>
              </w:rPr>
              <w:t xml:space="preserve"> o</w:t>
            </w:r>
            <w:r w:rsidR="00021A06" w:rsidRPr="00021A06">
              <w:rPr>
                <w:rFonts w:cs="Arial"/>
              </w:rPr>
              <w:t>ffset</w:t>
            </w:r>
          </w:p>
        </w:tc>
        <w:tc>
          <w:tcPr>
            <w:tcW w:w="791" w:type="pct"/>
            <w:noWrap/>
            <w:tcMar>
              <w:top w:w="0" w:type="dxa"/>
              <w:left w:w="108" w:type="dxa"/>
              <w:bottom w:w="0" w:type="dxa"/>
              <w:right w:w="108" w:type="dxa"/>
            </w:tcMar>
            <w:vAlign w:val="bottom"/>
            <w:hideMark/>
          </w:tcPr>
          <w:p w14:paraId="4D60707E" w14:textId="77777777" w:rsidR="00021A06" w:rsidRPr="00021A06" w:rsidRDefault="00021A06" w:rsidP="00021A06">
            <w:pPr>
              <w:rPr>
                <w:rFonts w:cs="Arial"/>
              </w:rPr>
            </w:pPr>
            <w:r w:rsidRPr="00021A06">
              <w:rPr>
                <w:rFonts w:cs="Arial"/>
              </w:rPr>
              <w:t>-0.05%</w:t>
            </w:r>
          </w:p>
        </w:tc>
        <w:tc>
          <w:tcPr>
            <w:tcW w:w="883" w:type="pct"/>
            <w:noWrap/>
            <w:tcMar>
              <w:top w:w="0" w:type="dxa"/>
              <w:left w:w="108" w:type="dxa"/>
              <w:bottom w:w="0" w:type="dxa"/>
              <w:right w:w="108" w:type="dxa"/>
            </w:tcMar>
            <w:vAlign w:val="bottom"/>
            <w:hideMark/>
          </w:tcPr>
          <w:p w14:paraId="07C86F70" w14:textId="77777777" w:rsidR="00021A06" w:rsidRPr="00021A06" w:rsidRDefault="00021A06" w:rsidP="00021A06">
            <w:pPr>
              <w:rPr>
                <w:rFonts w:cs="Arial"/>
              </w:rPr>
            </w:pPr>
            <w:r w:rsidRPr="00021A06">
              <w:rPr>
                <w:rFonts w:cs="Arial"/>
              </w:rPr>
              <w:t>0.00%</w:t>
            </w:r>
          </w:p>
        </w:tc>
        <w:tc>
          <w:tcPr>
            <w:tcW w:w="125" w:type="pct"/>
            <w:noWrap/>
            <w:tcMar>
              <w:top w:w="0" w:type="dxa"/>
              <w:left w:w="108" w:type="dxa"/>
              <w:bottom w:w="0" w:type="dxa"/>
              <w:right w:w="108" w:type="dxa"/>
            </w:tcMar>
            <w:vAlign w:val="bottom"/>
            <w:hideMark/>
          </w:tcPr>
          <w:p w14:paraId="2F67D11D"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3CCE0C91" w14:textId="77777777" w:rsidR="00021A06" w:rsidRPr="00021A06" w:rsidRDefault="00021A06" w:rsidP="00021A06">
            <w:pPr>
              <w:rPr>
                <w:rFonts w:cs="Arial"/>
              </w:rPr>
            </w:pPr>
          </w:p>
        </w:tc>
      </w:tr>
      <w:tr w:rsidR="00021A06" w:rsidRPr="00021A06" w14:paraId="6A28D494" w14:textId="77777777" w:rsidTr="00003094">
        <w:trPr>
          <w:trHeight w:val="300"/>
        </w:trPr>
        <w:tc>
          <w:tcPr>
            <w:tcW w:w="1637"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6A6B3CB1" w14:textId="77777777" w:rsidR="00021A06" w:rsidRPr="00021A06" w:rsidRDefault="00021A06" w:rsidP="00021A06">
            <w:pPr>
              <w:rPr>
                <w:rFonts w:cs="Arial"/>
                <w:b/>
                <w:bCs/>
              </w:rPr>
            </w:pPr>
            <w:r w:rsidRPr="00021A06">
              <w:rPr>
                <w:rFonts w:cs="Arial"/>
                <w:b/>
                <w:bCs/>
              </w:rPr>
              <w:t>Total</w:t>
            </w:r>
          </w:p>
        </w:tc>
        <w:tc>
          <w:tcPr>
            <w:tcW w:w="791"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2F043595" w14:textId="77777777" w:rsidR="00021A06" w:rsidRPr="00021A06" w:rsidRDefault="00021A06" w:rsidP="00021A06">
            <w:pPr>
              <w:rPr>
                <w:rFonts w:cs="Arial"/>
                <w:b/>
                <w:bCs/>
              </w:rPr>
            </w:pPr>
            <w:r w:rsidRPr="00021A06">
              <w:rPr>
                <w:rFonts w:cs="Arial"/>
                <w:b/>
                <w:bCs/>
              </w:rPr>
              <w:t>-0.07%</w:t>
            </w:r>
          </w:p>
        </w:tc>
        <w:tc>
          <w:tcPr>
            <w:tcW w:w="883"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4F886274" w14:textId="77777777" w:rsidR="00021A06" w:rsidRPr="00021A06" w:rsidRDefault="00021A06" w:rsidP="00021A06">
            <w:pPr>
              <w:rPr>
                <w:rFonts w:cs="Arial"/>
                <w:b/>
                <w:bCs/>
              </w:rPr>
            </w:pPr>
            <w:r w:rsidRPr="00021A06">
              <w:rPr>
                <w:rFonts w:cs="Arial"/>
                <w:b/>
                <w:bCs/>
              </w:rPr>
              <w:t>0.08%</w:t>
            </w:r>
          </w:p>
        </w:tc>
        <w:tc>
          <w:tcPr>
            <w:tcW w:w="125" w:type="pct"/>
            <w:noWrap/>
            <w:tcMar>
              <w:top w:w="0" w:type="dxa"/>
              <w:left w:w="108" w:type="dxa"/>
              <w:bottom w:w="0" w:type="dxa"/>
              <w:right w:w="108" w:type="dxa"/>
            </w:tcMar>
            <w:vAlign w:val="bottom"/>
            <w:hideMark/>
          </w:tcPr>
          <w:p w14:paraId="3E35E75D" w14:textId="77777777" w:rsidR="00021A06" w:rsidRPr="00021A06" w:rsidRDefault="00021A06" w:rsidP="00021A06">
            <w:pPr>
              <w:rPr>
                <w:rFonts w:cs="Arial"/>
                <w:b/>
                <w:bCs/>
              </w:rPr>
            </w:pPr>
          </w:p>
        </w:tc>
        <w:tc>
          <w:tcPr>
            <w:tcW w:w="1564"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34F9B1DA" w14:textId="77777777" w:rsidR="00021A06" w:rsidRPr="00021A06" w:rsidRDefault="00021A06" w:rsidP="00021A06">
            <w:pPr>
              <w:rPr>
                <w:rFonts w:cs="Arial"/>
                <w:b/>
                <w:bCs/>
              </w:rPr>
            </w:pPr>
            <w:r w:rsidRPr="00021A06">
              <w:rPr>
                <w:rFonts w:cs="Arial"/>
                <w:b/>
                <w:bCs/>
              </w:rPr>
              <w:t>0.15%</w:t>
            </w:r>
          </w:p>
        </w:tc>
      </w:tr>
      <w:tr w:rsidR="00021A06" w:rsidRPr="00021A06" w14:paraId="57E56060" w14:textId="77777777" w:rsidTr="00003094">
        <w:trPr>
          <w:trHeight w:val="300"/>
        </w:trPr>
        <w:tc>
          <w:tcPr>
            <w:tcW w:w="1637" w:type="pct"/>
            <w:noWrap/>
            <w:tcMar>
              <w:top w:w="0" w:type="dxa"/>
              <w:left w:w="108" w:type="dxa"/>
              <w:bottom w:w="0" w:type="dxa"/>
              <w:right w:w="108" w:type="dxa"/>
            </w:tcMar>
            <w:vAlign w:val="bottom"/>
            <w:hideMark/>
          </w:tcPr>
          <w:p w14:paraId="3B70308B" w14:textId="77777777" w:rsidR="00021A06" w:rsidRPr="00021A06" w:rsidRDefault="00021A06" w:rsidP="00021A06">
            <w:pPr>
              <w:rPr>
                <w:rFonts w:cs="Arial"/>
                <w:b/>
                <w:bCs/>
              </w:rPr>
            </w:pPr>
          </w:p>
        </w:tc>
        <w:tc>
          <w:tcPr>
            <w:tcW w:w="791" w:type="pct"/>
            <w:noWrap/>
            <w:tcMar>
              <w:top w:w="0" w:type="dxa"/>
              <w:left w:w="108" w:type="dxa"/>
              <w:bottom w:w="0" w:type="dxa"/>
              <w:right w:w="108" w:type="dxa"/>
            </w:tcMar>
            <w:vAlign w:val="bottom"/>
            <w:hideMark/>
          </w:tcPr>
          <w:p w14:paraId="5A032B39" w14:textId="77777777" w:rsidR="00021A06" w:rsidRPr="00021A06" w:rsidRDefault="00021A06" w:rsidP="00021A06">
            <w:pPr>
              <w:rPr>
                <w:rFonts w:cs="Arial"/>
              </w:rPr>
            </w:pPr>
          </w:p>
        </w:tc>
        <w:tc>
          <w:tcPr>
            <w:tcW w:w="883" w:type="pct"/>
            <w:noWrap/>
            <w:tcMar>
              <w:top w:w="0" w:type="dxa"/>
              <w:left w:w="108" w:type="dxa"/>
              <w:bottom w:w="0" w:type="dxa"/>
              <w:right w:w="108" w:type="dxa"/>
            </w:tcMar>
            <w:vAlign w:val="bottom"/>
            <w:hideMark/>
          </w:tcPr>
          <w:p w14:paraId="469E04AB" w14:textId="77777777" w:rsidR="00021A06" w:rsidRPr="00021A06" w:rsidRDefault="00021A06" w:rsidP="00021A06">
            <w:pPr>
              <w:rPr>
                <w:rFonts w:cs="Arial"/>
              </w:rPr>
            </w:pPr>
          </w:p>
        </w:tc>
        <w:tc>
          <w:tcPr>
            <w:tcW w:w="125" w:type="pct"/>
            <w:noWrap/>
            <w:tcMar>
              <w:top w:w="0" w:type="dxa"/>
              <w:left w:w="108" w:type="dxa"/>
              <w:bottom w:w="0" w:type="dxa"/>
              <w:right w:w="108" w:type="dxa"/>
            </w:tcMar>
            <w:vAlign w:val="bottom"/>
            <w:hideMark/>
          </w:tcPr>
          <w:p w14:paraId="37260198"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4817E628" w14:textId="77777777" w:rsidR="00021A06" w:rsidRPr="00021A06" w:rsidRDefault="00021A06" w:rsidP="00021A06">
            <w:pPr>
              <w:rPr>
                <w:rFonts w:cs="Arial"/>
              </w:rPr>
            </w:pPr>
          </w:p>
        </w:tc>
      </w:tr>
      <w:tr w:rsidR="00021A06" w:rsidRPr="00021A06" w14:paraId="5A621C39" w14:textId="77777777" w:rsidTr="00003094">
        <w:trPr>
          <w:trHeight w:val="290"/>
        </w:trPr>
        <w:tc>
          <w:tcPr>
            <w:tcW w:w="2428" w:type="pct"/>
            <w:gridSpan w:val="2"/>
            <w:noWrap/>
            <w:tcMar>
              <w:top w:w="0" w:type="dxa"/>
              <w:left w:w="108" w:type="dxa"/>
              <w:bottom w:w="0" w:type="dxa"/>
              <w:right w:w="108" w:type="dxa"/>
            </w:tcMar>
            <w:vAlign w:val="bottom"/>
            <w:hideMark/>
          </w:tcPr>
          <w:p w14:paraId="72523072" w14:textId="7F594D51" w:rsidR="00021A06" w:rsidRPr="00021A06" w:rsidRDefault="00F458AF" w:rsidP="00021A06">
            <w:pPr>
              <w:rPr>
                <w:rFonts w:cs="Arial"/>
                <w:b/>
                <w:bCs/>
              </w:rPr>
            </w:pPr>
            <w:r>
              <w:rPr>
                <w:rFonts w:cs="Arial"/>
                <w:b/>
                <w:bCs/>
              </w:rPr>
              <w:t>Scenario 3: Flooring total c</w:t>
            </w:r>
            <w:r w:rsidR="00021A06" w:rsidRPr="00021A06">
              <w:rPr>
                <w:rFonts w:cs="Arial"/>
                <w:b/>
                <w:bCs/>
              </w:rPr>
              <w:t>ost</w:t>
            </w:r>
          </w:p>
        </w:tc>
        <w:tc>
          <w:tcPr>
            <w:tcW w:w="883" w:type="pct"/>
            <w:noWrap/>
            <w:tcMar>
              <w:top w:w="0" w:type="dxa"/>
              <w:left w:w="108" w:type="dxa"/>
              <w:bottom w:w="0" w:type="dxa"/>
              <w:right w:w="108" w:type="dxa"/>
            </w:tcMar>
            <w:vAlign w:val="bottom"/>
            <w:hideMark/>
          </w:tcPr>
          <w:p w14:paraId="56197428" w14:textId="77777777" w:rsidR="00021A06" w:rsidRPr="00021A06" w:rsidRDefault="00021A06" w:rsidP="00021A06">
            <w:pPr>
              <w:rPr>
                <w:rFonts w:cs="Arial"/>
                <w:b/>
                <w:bCs/>
              </w:rPr>
            </w:pPr>
          </w:p>
        </w:tc>
        <w:tc>
          <w:tcPr>
            <w:tcW w:w="125" w:type="pct"/>
            <w:noWrap/>
            <w:tcMar>
              <w:top w:w="0" w:type="dxa"/>
              <w:left w:w="108" w:type="dxa"/>
              <w:bottom w:w="0" w:type="dxa"/>
              <w:right w:w="108" w:type="dxa"/>
            </w:tcMar>
            <w:vAlign w:val="bottom"/>
            <w:hideMark/>
          </w:tcPr>
          <w:p w14:paraId="298A0E5B"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30557B26" w14:textId="77777777" w:rsidR="00021A06" w:rsidRPr="00021A06" w:rsidRDefault="00021A06" w:rsidP="00021A06">
            <w:pPr>
              <w:rPr>
                <w:rFonts w:cs="Arial"/>
                <w:b/>
                <w:bCs/>
              </w:rPr>
            </w:pPr>
            <w:r w:rsidRPr="00021A06">
              <w:rPr>
                <w:rFonts w:cs="Arial"/>
                <w:b/>
                <w:bCs/>
              </w:rPr>
              <w:t>Difference</w:t>
            </w:r>
          </w:p>
        </w:tc>
      </w:tr>
      <w:tr w:rsidR="00021A06" w:rsidRPr="00021A06" w14:paraId="77F65CEB" w14:textId="77777777" w:rsidTr="00003094">
        <w:trPr>
          <w:trHeight w:val="290"/>
        </w:trPr>
        <w:tc>
          <w:tcPr>
            <w:tcW w:w="1637" w:type="pct"/>
            <w:noWrap/>
            <w:tcMar>
              <w:top w:w="0" w:type="dxa"/>
              <w:left w:w="108" w:type="dxa"/>
              <w:bottom w:w="0" w:type="dxa"/>
              <w:right w:w="108" w:type="dxa"/>
            </w:tcMar>
            <w:vAlign w:val="bottom"/>
            <w:hideMark/>
          </w:tcPr>
          <w:p w14:paraId="00E19220" w14:textId="77777777" w:rsidR="00021A06" w:rsidRPr="00021A06" w:rsidRDefault="00021A06" w:rsidP="00021A06">
            <w:pPr>
              <w:rPr>
                <w:rFonts w:cs="Arial"/>
                <w:b/>
                <w:bCs/>
              </w:rPr>
            </w:pPr>
          </w:p>
        </w:tc>
        <w:tc>
          <w:tcPr>
            <w:tcW w:w="791" w:type="pct"/>
            <w:noWrap/>
            <w:tcMar>
              <w:top w:w="0" w:type="dxa"/>
              <w:left w:w="108" w:type="dxa"/>
              <w:bottom w:w="0" w:type="dxa"/>
              <w:right w:w="108" w:type="dxa"/>
            </w:tcMar>
            <w:vAlign w:val="bottom"/>
            <w:hideMark/>
          </w:tcPr>
          <w:p w14:paraId="68AF79D0" w14:textId="77777777" w:rsidR="00021A06" w:rsidRPr="00021A06" w:rsidRDefault="00021A06" w:rsidP="00021A06">
            <w:pPr>
              <w:rPr>
                <w:rFonts w:cs="Arial"/>
                <w:b/>
                <w:bCs/>
              </w:rPr>
            </w:pPr>
            <w:r w:rsidRPr="00021A06">
              <w:rPr>
                <w:rFonts w:cs="Arial"/>
                <w:b/>
                <w:bCs/>
              </w:rPr>
              <w:t>Actual</w:t>
            </w:r>
          </w:p>
        </w:tc>
        <w:tc>
          <w:tcPr>
            <w:tcW w:w="883" w:type="pct"/>
            <w:noWrap/>
            <w:tcMar>
              <w:top w:w="0" w:type="dxa"/>
              <w:left w:w="108" w:type="dxa"/>
              <w:bottom w:w="0" w:type="dxa"/>
              <w:right w:w="108" w:type="dxa"/>
            </w:tcMar>
            <w:vAlign w:val="bottom"/>
            <w:hideMark/>
          </w:tcPr>
          <w:p w14:paraId="2EE11681" w14:textId="77777777" w:rsidR="00021A06" w:rsidRPr="00021A06" w:rsidRDefault="00021A06" w:rsidP="00021A06">
            <w:pPr>
              <w:rPr>
                <w:rFonts w:cs="Arial"/>
                <w:b/>
                <w:bCs/>
              </w:rPr>
            </w:pPr>
            <w:r w:rsidRPr="00021A06">
              <w:rPr>
                <w:rFonts w:cs="Arial"/>
                <w:b/>
                <w:bCs/>
              </w:rPr>
              <w:t>Floored</w:t>
            </w:r>
          </w:p>
        </w:tc>
        <w:tc>
          <w:tcPr>
            <w:tcW w:w="125" w:type="pct"/>
            <w:noWrap/>
            <w:tcMar>
              <w:top w:w="0" w:type="dxa"/>
              <w:left w:w="108" w:type="dxa"/>
              <w:bottom w:w="0" w:type="dxa"/>
              <w:right w:w="108" w:type="dxa"/>
            </w:tcMar>
            <w:vAlign w:val="bottom"/>
            <w:hideMark/>
          </w:tcPr>
          <w:p w14:paraId="0C290E0F" w14:textId="77777777" w:rsidR="00021A06" w:rsidRPr="00021A06" w:rsidRDefault="00021A06" w:rsidP="00021A06">
            <w:pPr>
              <w:rPr>
                <w:rFonts w:cs="Arial"/>
                <w:b/>
                <w:bCs/>
              </w:rPr>
            </w:pPr>
          </w:p>
        </w:tc>
        <w:tc>
          <w:tcPr>
            <w:tcW w:w="1564" w:type="pct"/>
            <w:noWrap/>
            <w:tcMar>
              <w:top w:w="0" w:type="dxa"/>
              <w:left w:w="108" w:type="dxa"/>
              <w:bottom w:w="0" w:type="dxa"/>
              <w:right w:w="108" w:type="dxa"/>
            </w:tcMar>
            <w:vAlign w:val="bottom"/>
            <w:hideMark/>
          </w:tcPr>
          <w:p w14:paraId="1E0D1BF6" w14:textId="77777777" w:rsidR="00021A06" w:rsidRPr="00021A06" w:rsidRDefault="00021A06" w:rsidP="00021A06">
            <w:pPr>
              <w:rPr>
                <w:rFonts w:cs="Arial"/>
              </w:rPr>
            </w:pPr>
          </w:p>
        </w:tc>
      </w:tr>
      <w:tr w:rsidR="00021A06" w:rsidRPr="00021A06" w14:paraId="427175AF" w14:textId="77777777" w:rsidTr="00003094">
        <w:trPr>
          <w:trHeight w:val="290"/>
        </w:trPr>
        <w:tc>
          <w:tcPr>
            <w:tcW w:w="1637" w:type="pct"/>
            <w:noWrap/>
            <w:tcMar>
              <w:top w:w="0" w:type="dxa"/>
              <w:left w:w="108" w:type="dxa"/>
              <w:bottom w:w="0" w:type="dxa"/>
              <w:right w:w="108" w:type="dxa"/>
            </w:tcMar>
            <w:vAlign w:val="bottom"/>
            <w:hideMark/>
          </w:tcPr>
          <w:p w14:paraId="4157982F" w14:textId="77777777" w:rsidR="00021A06" w:rsidRPr="00021A06" w:rsidRDefault="00021A06" w:rsidP="00021A06">
            <w:pPr>
              <w:rPr>
                <w:rFonts w:cs="Arial"/>
              </w:rPr>
            </w:pPr>
            <w:r w:rsidRPr="00021A06">
              <w:rPr>
                <w:rFonts w:cs="Arial"/>
              </w:rPr>
              <w:t>Implicit</w:t>
            </w:r>
          </w:p>
        </w:tc>
        <w:tc>
          <w:tcPr>
            <w:tcW w:w="791" w:type="pct"/>
            <w:noWrap/>
            <w:tcMar>
              <w:top w:w="0" w:type="dxa"/>
              <w:left w:w="108" w:type="dxa"/>
              <w:bottom w:w="0" w:type="dxa"/>
              <w:right w:w="108" w:type="dxa"/>
            </w:tcMar>
            <w:vAlign w:val="bottom"/>
            <w:hideMark/>
          </w:tcPr>
          <w:p w14:paraId="587623CE" w14:textId="77777777" w:rsidR="00021A06" w:rsidRPr="00021A06" w:rsidRDefault="00021A06" w:rsidP="00021A06">
            <w:pPr>
              <w:rPr>
                <w:rFonts w:cs="Arial"/>
              </w:rPr>
            </w:pPr>
            <w:r w:rsidRPr="00021A06">
              <w:rPr>
                <w:rFonts w:cs="Arial"/>
              </w:rPr>
              <w:t>-0.10%</w:t>
            </w:r>
          </w:p>
        </w:tc>
        <w:tc>
          <w:tcPr>
            <w:tcW w:w="883" w:type="pct"/>
            <w:noWrap/>
            <w:tcMar>
              <w:top w:w="0" w:type="dxa"/>
              <w:left w:w="108" w:type="dxa"/>
              <w:bottom w:w="0" w:type="dxa"/>
              <w:right w:w="108" w:type="dxa"/>
            </w:tcMar>
            <w:vAlign w:val="bottom"/>
            <w:hideMark/>
          </w:tcPr>
          <w:p w14:paraId="474882C8" w14:textId="77777777" w:rsidR="00021A06" w:rsidRPr="00021A06" w:rsidRDefault="00021A06" w:rsidP="00021A06">
            <w:pPr>
              <w:rPr>
                <w:rFonts w:cs="Arial"/>
              </w:rPr>
            </w:pPr>
            <w:r w:rsidRPr="00021A06">
              <w:rPr>
                <w:rFonts w:cs="Arial"/>
              </w:rPr>
              <w:t>0.00%</w:t>
            </w:r>
          </w:p>
        </w:tc>
        <w:tc>
          <w:tcPr>
            <w:tcW w:w="125" w:type="pct"/>
            <w:noWrap/>
            <w:tcMar>
              <w:top w:w="0" w:type="dxa"/>
              <w:left w:w="108" w:type="dxa"/>
              <w:bottom w:w="0" w:type="dxa"/>
              <w:right w:w="108" w:type="dxa"/>
            </w:tcMar>
            <w:vAlign w:val="bottom"/>
            <w:hideMark/>
          </w:tcPr>
          <w:p w14:paraId="43CE108B"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535D6ED3" w14:textId="77777777" w:rsidR="00021A06" w:rsidRPr="00021A06" w:rsidRDefault="00021A06" w:rsidP="00021A06">
            <w:pPr>
              <w:rPr>
                <w:rFonts w:cs="Arial"/>
              </w:rPr>
            </w:pPr>
          </w:p>
        </w:tc>
      </w:tr>
      <w:tr w:rsidR="00021A06" w:rsidRPr="00021A06" w14:paraId="49EE2140" w14:textId="77777777" w:rsidTr="00003094">
        <w:trPr>
          <w:trHeight w:val="290"/>
        </w:trPr>
        <w:tc>
          <w:tcPr>
            <w:tcW w:w="1637" w:type="pct"/>
            <w:noWrap/>
            <w:tcMar>
              <w:top w:w="0" w:type="dxa"/>
              <w:left w:w="108" w:type="dxa"/>
              <w:bottom w:w="0" w:type="dxa"/>
              <w:right w:w="108" w:type="dxa"/>
            </w:tcMar>
            <w:vAlign w:val="bottom"/>
            <w:hideMark/>
          </w:tcPr>
          <w:p w14:paraId="15BC9D08" w14:textId="28DFC334" w:rsidR="00021A06" w:rsidRPr="00021A06" w:rsidRDefault="00F458AF" w:rsidP="00B83303">
            <w:pPr>
              <w:rPr>
                <w:rFonts w:cs="Arial"/>
              </w:rPr>
            </w:pPr>
            <w:r>
              <w:rPr>
                <w:rFonts w:cs="Arial"/>
              </w:rPr>
              <w:t>Broker c</w:t>
            </w:r>
            <w:r w:rsidR="00021A06" w:rsidRPr="00021A06">
              <w:rPr>
                <w:rFonts w:cs="Arial"/>
              </w:rPr>
              <w:t>omm</w:t>
            </w:r>
            <w:r w:rsidR="00B83303">
              <w:rPr>
                <w:rFonts w:cs="Arial"/>
              </w:rPr>
              <w:t>ission</w:t>
            </w:r>
          </w:p>
        </w:tc>
        <w:tc>
          <w:tcPr>
            <w:tcW w:w="791" w:type="pct"/>
            <w:noWrap/>
            <w:tcMar>
              <w:top w:w="0" w:type="dxa"/>
              <w:left w:w="108" w:type="dxa"/>
              <w:bottom w:w="0" w:type="dxa"/>
              <w:right w:w="108" w:type="dxa"/>
            </w:tcMar>
            <w:vAlign w:val="bottom"/>
            <w:hideMark/>
          </w:tcPr>
          <w:p w14:paraId="7FE1094E" w14:textId="77777777" w:rsidR="00021A06" w:rsidRPr="00021A06" w:rsidRDefault="00021A06" w:rsidP="00021A06">
            <w:pPr>
              <w:rPr>
                <w:rFonts w:cs="Arial"/>
              </w:rPr>
            </w:pPr>
            <w:r w:rsidRPr="00021A06">
              <w:rPr>
                <w:rFonts w:cs="Arial"/>
              </w:rPr>
              <w:t>0.03%</w:t>
            </w:r>
          </w:p>
        </w:tc>
        <w:tc>
          <w:tcPr>
            <w:tcW w:w="883" w:type="pct"/>
            <w:noWrap/>
            <w:tcMar>
              <w:top w:w="0" w:type="dxa"/>
              <w:left w:w="108" w:type="dxa"/>
              <w:bottom w:w="0" w:type="dxa"/>
              <w:right w:w="108" w:type="dxa"/>
            </w:tcMar>
            <w:vAlign w:val="bottom"/>
            <w:hideMark/>
          </w:tcPr>
          <w:p w14:paraId="772EE786" w14:textId="77777777" w:rsidR="00021A06" w:rsidRPr="00021A06" w:rsidRDefault="00021A06" w:rsidP="00021A06">
            <w:pPr>
              <w:rPr>
                <w:rFonts w:cs="Arial"/>
              </w:rPr>
            </w:pPr>
            <w:r w:rsidRPr="00021A06">
              <w:rPr>
                <w:rFonts w:cs="Arial"/>
              </w:rPr>
              <w:t>0.00%</w:t>
            </w:r>
          </w:p>
        </w:tc>
        <w:tc>
          <w:tcPr>
            <w:tcW w:w="125" w:type="pct"/>
            <w:noWrap/>
            <w:tcMar>
              <w:top w:w="0" w:type="dxa"/>
              <w:left w:w="108" w:type="dxa"/>
              <w:bottom w:w="0" w:type="dxa"/>
              <w:right w:w="108" w:type="dxa"/>
            </w:tcMar>
            <w:vAlign w:val="bottom"/>
            <w:hideMark/>
          </w:tcPr>
          <w:p w14:paraId="5D74F8FD"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6B80DEBE" w14:textId="77777777" w:rsidR="00021A06" w:rsidRPr="00021A06" w:rsidRDefault="00021A06" w:rsidP="00021A06">
            <w:pPr>
              <w:rPr>
                <w:rFonts w:cs="Arial"/>
              </w:rPr>
            </w:pPr>
          </w:p>
        </w:tc>
      </w:tr>
      <w:tr w:rsidR="00021A06" w:rsidRPr="00021A06" w14:paraId="5A91FEF7" w14:textId="77777777" w:rsidTr="00003094">
        <w:trPr>
          <w:trHeight w:val="290"/>
        </w:trPr>
        <w:tc>
          <w:tcPr>
            <w:tcW w:w="1637" w:type="pct"/>
            <w:noWrap/>
            <w:tcMar>
              <w:top w:w="0" w:type="dxa"/>
              <w:left w:w="108" w:type="dxa"/>
              <w:bottom w:w="0" w:type="dxa"/>
              <w:right w:w="108" w:type="dxa"/>
            </w:tcMar>
            <w:vAlign w:val="bottom"/>
            <w:hideMark/>
          </w:tcPr>
          <w:p w14:paraId="4F7E6266" w14:textId="77777777" w:rsidR="00021A06" w:rsidRPr="00021A06" w:rsidRDefault="00021A06" w:rsidP="00021A06">
            <w:pPr>
              <w:rPr>
                <w:rFonts w:cs="Arial"/>
              </w:rPr>
            </w:pPr>
            <w:r w:rsidRPr="00021A06">
              <w:rPr>
                <w:rFonts w:cs="Arial"/>
              </w:rPr>
              <w:t>Taxes</w:t>
            </w:r>
          </w:p>
        </w:tc>
        <w:tc>
          <w:tcPr>
            <w:tcW w:w="791" w:type="pct"/>
            <w:noWrap/>
            <w:tcMar>
              <w:top w:w="0" w:type="dxa"/>
              <w:left w:w="108" w:type="dxa"/>
              <w:bottom w:w="0" w:type="dxa"/>
              <w:right w:w="108" w:type="dxa"/>
            </w:tcMar>
            <w:vAlign w:val="bottom"/>
            <w:hideMark/>
          </w:tcPr>
          <w:p w14:paraId="3E91CE34" w14:textId="77777777" w:rsidR="00021A06" w:rsidRPr="00021A06" w:rsidRDefault="00021A06" w:rsidP="00021A06">
            <w:pPr>
              <w:rPr>
                <w:rFonts w:cs="Arial"/>
              </w:rPr>
            </w:pPr>
            <w:r w:rsidRPr="00021A06">
              <w:rPr>
                <w:rFonts w:cs="Arial"/>
              </w:rPr>
              <w:t>0.05%</w:t>
            </w:r>
          </w:p>
        </w:tc>
        <w:tc>
          <w:tcPr>
            <w:tcW w:w="883" w:type="pct"/>
            <w:noWrap/>
            <w:tcMar>
              <w:top w:w="0" w:type="dxa"/>
              <w:left w:w="108" w:type="dxa"/>
              <w:bottom w:w="0" w:type="dxa"/>
              <w:right w:w="108" w:type="dxa"/>
            </w:tcMar>
            <w:vAlign w:val="bottom"/>
            <w:hideMark/>
          </w:tcPr>
          <w:p w14:paraId="7AA070FC" w14:textId="77777777" w:rsidR="00021A06" w:rsidRPr="00021A06" w:rsidRDefault="00021A06" w:rsidP="00021A06">
            <w:pPr>
              <w:rPr>
                <w:rFonts w:cs="Arial"/>
              </w:rPr>
            </w:pPr>
            <w:r w:rsidRPr="00021A06">
              <w:rPr>
                <w:rFonts w:cs="Arial"/>
              </w:rPr>
              <w:t>0.00%</w:t>
            </w:r>
          </w:p>
        </w:tc>
        <w:tc>
          <w:tcPr>
            <w:tcW w:w="125" w:type="pct"/>
            <w:noWrap/>
            <w:tcMar>
              <w:top w:w="0" w:type="dxa"/>
              <w:left w:w="108" w:type="dxa"/>
              <w:bottom w:w="0" w:type="dxa"/>
              <w:right w:w="108" w:type="dxa"/>
            </w:tcMar>
            <w:vAlign w:val="bottom"/>
            <w:hideMark/>
          </w:tcPr>
          <w:p w14:paraId="781B7A6A"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513432E9" w14:textId="77777777" w:rsidR="00021A06" w:rsidRPr="00021A06" w:rsidRDefault="00021A06" w:rsidP="00021A06">
            <w:pPr>
              <w:rPr>
                <w:rFonts w:cs="Arial"/>
              </w:rPr>
            </w:pPr>
          </w:p>
        </w:tc>
      </w:tr>
      <w:tr w:rsidR="00021A06" w:rsidRPr="00021A06" w14:paraId="12193457" w14:textId="77777777" w:rsidTr="00003094">
        <w:trPr>
          <w:trHeight w:val="290"/>
        </w:trPr>
        <w:tc>
          <w:tcPr>
            <w:tcW w:w="1637" w:type="pct"/>
            <w:noWrap/>
            <w:tcMar>
              <w:top w:w="0" w:type="dxa"/>
              <w:left w:w="108" w:type="dxa"/>
              <w:bottom w:w="0" w:type="dxa"/>
              <w:right w:w="108" w:type="dxa"/>
            </w:tcMar>
            <w:vAlign w:val="bottom"/>
            <w:hideMark/>
          </w:tcPr>
          <w:p w14:paraId="2DEF4045" w14:textId="44DB57F0" w:rsidR="00021A06" w:rsidRPr="00021A06" w:rsidRDefault="00B83303" w:rsidP="00021A06">
            <w:pPr>
              <w:rPr>
                <w:rFonts w:cs="Arial"/>
              </w:rPr>
            </w:pPr>
            <w:r>
              <w:rPr>
                <w:rFonts w:cs="Arial"/>
              </w:rPr>
              <w:t>Anti-dilution</w:t>
            </w:r>
            <w:r w:rsidR="00F458AF">
              <w:rPr>
                <w:rFonts w:cs="Arial"/>
              </w:rPr>
              <w:t xml:space="preserve"> o</w:t>
            </w:r>
            <w:r w:rsidR="00021A06" w:rsidRPr="00021A06">
              <w:rPr>
                <w:rFonts w:cs="Arial"/>
              </w:rPr>
              <w:t>ffset</w:t>
            </w:r>
          </w:p>
        </w:tc>
        <w:tc>
          <w:tcPr>
            <w:tcW w:w="791" w:type="pct"/>
            <w:noWrap/>
            <w:tcMar>
              <w:top w:w="0" w:type="dxa"/>
              <w:left w:w="108" w:type="dxa"/>
              <w:bottom w:w="0" w:type="dxa"/>
              <w:right w:w="108" w:type="dxa"/>
            </w:tcMar>
            <w:vAlign w:val="bottom"/>
            <w:hideMark/>
          </w:tcPr>
          <w:p w14:paraId="4E81582E" w14:textId="77777777" w:rsidR="00021A06" w:rsidRPr="00021A06" w:rsidRDefault="00021A06" w:rsidP="00021A06">
            <w:pPr>
              <w:rPr>
                <w:rFonts w:cs="Arial"/>
              </w:rPr>
            </w:pPr>
            <w:r w:rsidRPr="00021A06">
              <w:rPr>
                <w:rFonts w:cs="Arial"/>
              </w:rPr>
              <w:t>-0.05%</w:t>
            </w:r>
          </w:p>
        </w:tc>
        <w:tc>
          <w:tcPr>
            <w:tcW w:w="883" w:type="pct"/>
            <w:noWrap/>
            <w:tcMar>
              <w:top w:w="0" w:type="dxa"/>
              <w:left w:w="108" w:type="dxa"/>
              <w:bottom w:w="0" w:type="dxa"/>
              <w:right w:w="108" w:type="dxa"/>
            </w:tcMar>
            <w:vAlign w:val="bottom"/>
            <w:hideMark/>
          </w:tcPr>
          <w:p w14:paraId="5320B0A1" w14:textId="77777777" w:rsidR="00021A06" w:rsidRPr="00021A06" w:rsidRDefault="00021A06" w:rsidP="00021A06">
            <w:pPr>
              <w:rPr>
                <w:rFonts w:cs="Arial"/>
              </w:rPr>
            </w:pPr>
            <w:r w:rsidRPr="00021A06">
              <w:rPr>
                <w:rFonts w:cs="Arial"/>
              </w:rPr>
              <w:t>0.00%</w:t>
            </w:r>
          </w:p>
        </w:tc>
        <w:tc>
          <w:tcPr>
            <w:tcW w:w="125" w:type="pct"/>
            <w:noWrap/>
            <w:tcMar>
              <w:top w:w="0" w:type="dxa"/>
              <w:left w:w="108" w:type="dxa"/>
              <w:bottom w:w="0" w:type="dxa"/>
              <w:right w:w="108" w:type="dxa"/>
            </w:tcMar>
            <w:vAlign w:val="bottom"/>
            <w:hideMark/>
          </w:tcPr>
          <w:p w14:paraId="2824FB1D" w14:textId="77777777" w:rsidR="00021A06" w:rsidRPr="00021A06" w:rsidRDefault="00021A06" w:rsidP="00021A06">
            <w:pPr>
              <w:rPr>
                <w:rFonts w:cs="Arial"/>
              </w:rPr>
            </w:pPr>
          </w:p>
        </w:tc>
        <w:tc>
          <w:tcPr>
            <w:tcW w:w="1564" w:type="pct"/>
            <w:noWrap/>
            <w:tcMar>
              <w:top w:w="0" w:type="dxa"/>
              <w:left w:w="108" w:type="dxa"/>
              <w:bottom w:w="0" w:type="dxa"/>
              <w:right w:w="108" w:type="dxa"/>
            </w:tcMar>
            <w:vAlign w:val="bottom"/>
            <w:hideMark/>
          </w:tcPr>
          <w:p w14:paraId="2DC24D38" w14:textId="77777777" w:rsidR="00021A06" w:rsidRPr="00021A06" w:rsidRDefault="00021A06" w:rsidP="00021A06">
            <w:pPr>
              <w:rPr>
                <w:rFonts w:cs="Arial"/>
              </w:rPr>
            </w:pPr>
          </w:p>
        </w:tc>
      </w:tr>
      <w:tr w:rsidR="00021A06" w:rsidRPr="00021A06" w14:paraId="4AC2663E" w14:textId="77777777" w:rsidTr="00003094">
        <w:trPr>
          <w:trHeight w:val="300"/>
        </w:trPr>
        <w:tc>
          <w:tcPr>
            <w:tcW w:w="1637"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6BF99CA8" w14:textId="77777777" w:rsidR="00021A06" w:rsidRPr="00021A06" w:rsidRDefault="00021A06" w:rsidP="00021A06">
            <w:pPr>
              <w:rPr>
                <w:rFonts w:cs="Arial"/>
                <w:b/>
                <w:bCs/>
              </w:rPr>
            </w:pPr>
            <w:r w:rsidRPr="00021A06">
              <w:rPr>
                <w:rFonts w:cs="Arial"/>
                <w:b/>
                <w:bCs/>
              </w:rPr>
              <w:t>Total</w:t>
            </w:r>
          </w:p>
        </w:tc>
        <w:tc>
          <w:tcPr>
            <w:tcW w:w="791"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61FBDBEE" w14:textId="77777777" w:rsidR="00021A06" w:rsidRPr="00021A06" w:rsidRDefault="00021A06" w:rsidP="00021A06">
            <w:pPr>
              <w:rPr>
                <w:rFonts w:cs="Arial"/>
                <w:b/>
                <w:bCs/>
              </w:rPr>
            </w:pPr>
            <w:r w:rsidRPr="00021A06">
              <w:rPr>
                <w:rFonts w:cs="Arial"/>
                <w:b/>
                <w:bCs/>
              </w:rPr>
              <w:t>-0.07%</w:t>
            </w:r>
          </w:p>
        </w:tc>
        <w:tc>
          <w:tcPr>
            <w:tcW w:w="883"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16311FE4" w14:textId="77777777" w:rsidR="00021A06" w:rsidRPr="00021A06" w:rsidRDefault="00021A06" w:rsidP="00021A06">
            <w:pPr>
              <w:rPr>
                <w:rFonts w:cs="Arial"/>
                <w:b/>
                <w:bCs/>
              </w:rPr>
            </w:pPr>
            <w:r w:rsidRPr="00021A06">
              <w:rPr>
                <w:rFonts w:cs="Arial"/>
                <w:b/>
                <w:bCs/>
              </w:rPr>
              <w:t>0.00%</w:t>
            </w:r>
          </w:p>
        </w:tc>
        <w:tc>
          <w:tcPr>
            <w:tcW w:w="125" w:type="pct"/>
            <w:noWrap/>
            <w:tcMar>
              <w:top w:w="0" w:type="dxa"/>
              <w:left w:w="108" w:type="dxa"/>
              <w:bottom w:w="0" w:type="dxa"/>
              <w:right w:w="108" w:type="dxa"/>
            </w:tcMar>
            <w:vAlign w:val="bottom"/>
            <w:hideMark/>
          </w:tcPr>
          <w:p w14:paraId="75A12CEA" w14:textId="77777777" w:rsidR="00021A06" w:rsidRPr="00021A06" w:rsidRDefault="00021A06" w:rsidP="00021A06">
            <w:pPr>
              <w:rPr>
                <w:rFonts w:cs="Arial"/>
                <w:b/>
                <w:bCs/>
              </w:rPr>
            </w:pPr>
          </w:p>
        </w:tc>
        <w:tc>
          <w:tcPr>
            <w:tcW w:w="1564" w:type="pct"/>
            <w:tcBorders>
              <w:top w:val="single" w:sz="8" w:space="0" w:color="auto"/>
              <w:left w:val="nil"/>
              <w:bottom w:val="double" w:sz="6" w:space="0" w:color="auto"/>
              <w:right w:val="nil"/>
            </w:tcBorders>
            <w:noWrap/>
            <w:tcMar>
              <w:top w:w="0" w:type="dxa"/>
              <w:left w:w="108" w:type="dxa"/>
              <w:bottom w:w="0" w:type="dxa"/>
              <w:right w:w="108" w:type="dxa"/>
            </w:tcMar>
            <w:vAlign w:val="bottom"/>
            <w:hideMark/>
          </w:tcPr>
          <w:p w14:paraId="43450AF6" w14:textId="77777777" w:rsidR="00021A06" w:rsidRPr="00021A06" w:rsidRDefault="00021A06" w:rsidP="00021A06">
            <w:pPr>
              <w:rPr>
                <w:rFonts w:cs="Arial"/>
                <w:b/>
                <w:bCs/>
              </w:rPr>
            </w:pPr>
            <w:r w:rsidRPr="00021A06">
              <w:rPr>
                <w:rFonts w:cs="Arial"/>
                <w:b/>
                <w:bCs/>
              </w:rPr>
              <w:t>0.07%</w:t>
            </w:r>
          </w:p>
        </w:tc>
      </w:tr>
    </w:tbl>
    <w:p w14:paraId="1ED9416D" w14:textId="77777777" w:rsidR="00021A06" w:rsidRPr="00021A06" w:rsidRDefault="00021A06" w:rsidP="00021A06">
      <w:pPr>
        <w:rPr>
          <w:rFonts w:cs="Arial"/>
        </w:rPr>
      </w:pPr>
    </w:p>
    <w:p w14:paraId="1952F0CB" w14:textId="2378486B" w:rsidR="009B7984" w:rsidRDefault="00B83303" w:rsidP="003E573C">
      <w:pPr>
        <w:rPr>
          <w:rFonts w:cs="Arial"/>
        </w:rPr>
      </w:pPr>
      <w:r>
        <w:rPr>
          <w:rFonts w:cs="Arial"/>
        </w:rPr>
        <w:t xml:space="preserve">Although there is no one correct way to estimate implicit transaction costs, we believe that extending the spread-based approach (that is currently proposed only for </w:t>
      </w:r>
      <w:r w:rsidR="003E0A5A">
        <w:rPr>
          <w:rFonts w:cs="Arial"/>
        </w:rPr>
        <w:t>some asset classes</w:t>
      </w:r>
      <w:r>
        <w:rPr>
          <w:rFonts w:cs="Arial"/>
        </w:rPr>
        <w:t>) to all asset classes would provide for more meaningful transaction cost figures that are clear of market noise.</w:t>
      </w:r>
    </w:p>
    <w:permEnd w:id="890068131"/>
    <w:p w14:paraId="1DEC694D" w14:textId="77777777" w:rsidR="003E573C" w:rsidRDefault="003E573C" w:rsidP="003E573C">
      <w:pPr>
        <w:rPr>
          <w:rFonts w:cs="Arial"/>
        </w:rPr>
      </w:pPr>
      <w:r>
        <w:rPr>
          <w:rFonts w:cs="Arial"/>
        </w:rPr>
        <w:t>&lt;ESA_QUESTION_PKID_43&gt;</w:t>
      </w:r>
    </w:p>
    <w:p w14:paraId="11906260" w14:textId="77777777" w:rsidR="003E573C" w:rsidRDefault="003E573C" w:rsidP="003E573C">
      <w:pPr>
        <w:rPr>
          <w:rFonts w:cs="Arial"/>
        </w:rPr>
      </w:pPr>
    </w:p>
    <w:p w14:paraId="6B1AC794"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D675646" w14:textId="77777777" w:rsidR="003E573C" w:rsidRDefault="003E573C" w:rsidP="003E573C">
      <w:pPr>
        <w:rPr>
          <w:rFonts w:cs="Arial"/>
        </w:rPr>
      </w:pPr>
      <w:r>
        <w:rPr>
          <w:rFonts w:cs="Arial"/>
        </w:rPr>
        <w:t>&lt;ESA_QUESTION_PKID_44&gt;</w:t>
      </w:r>
    </w:p>
    <w:p w14:paraId="58101C4A" w14:textId="71DD3609" w:rsidR="009B7984" w:rsidRDefault="009B7984" w:rsidP="003E573C">
      <w:pPr>
        <w:rPr>
          <w:rFonts w:cs="Arial"/>
        </w:rPr>
      </w:pPr>
      <w:permStart w:id="585595656" w:edGrp="everyone"/>
      <w:r w:rsidRPr="009B7984">
        <w:rPr>
          <w:rFonts w:cs="Arial"/>
        </w:rPr>
        <w:t>Yes</w:t>
      </w:r>
      <w:r w:rsidR="00F64463">
        <w:rPr>
          <w:rFonts w:cs="Arial"/>
        </w:rPr>
        <w:t>,</w:t>
      </w:r>
      <w:r w:rsidRPr="009B7984">
        <w:rPr>
          <w:rFonts w:cs="Arial"/>
        </w:rPr>
        <w:t xml:space="preserve"> we </w:t>
      </w:r>
      <w:r w:rsidRPr="00B2299C">
        <w:rPr>
          <w:rFonts w:cs="Arial"/>
        </w:rPr>
        <w:t>agree</w:t>
      </w:r>
      <w:r w:rsidR="00680274" w:rsidRPr="00B2299C">
        <w:rPr>
          <w:rFonts w:cs="Arial"/>
        </w:rPr>
        <w:t xml:space="preserve"> to the need to reconsider the need for professional investors to receive a UCITS KIID.  </w:t>
      </w:r>
      <w:r w:rsidR="00F64463" w:rsidRPr="00B2299C">
        <w:rPr>
          <w:rFonts w:cs="Arial"/>
        </w:rPr>
        <w:t>Professional investors can (and do) require tailored disclosures that are more detailed and sophisticated than what is in the UCITS KIID</w:t>
      </w:r>
      <w:r w:rsidR="0059306C" w:rsidRPr="00B2299C">
        <w:rPr>
          <w:rFonts w:cs="Arial"/>
        </w:rPr>
        <w:t xml:space="preserve"> – and the PRIIP KID for that matter</w:t>
      </w:r>
      <w:r w:rsidR="00F64463" w:rsidRPr="00B2299C">
        <w:rPr>
          <w:rFonts w:cs="Arial"/>
        </w:rPr>
        <w:t xml:space="preserve">. </w:t>
      </w:r>
    </w:p>
    <w:permEnd w:id="585595656"/>
    <w:p w14:paraId="7D1A2A6F" w14:textId="77777777" w:rsidR="003E573C" w:rsidRDefault="003E573C" w:rsidP="003E573C">
      <w:pPr>
        <w:rPr>
          <w:rFonts w:cs="Arial"/>
        </w:rPr>
      </w:pPr>
      <w:r>
        <w:rPr>
          <w:rFonts w:cs="Arial"/>
        </w:rPr>
        <w:t>&lt;ESA_QUESTION_PKID_44&gt;</w:t>
      </w:r>
    </w:p>
    <w:p w14:paraId="6FDACD99" w14:textId="77777777" w:rsidR="003E573C" w:rsidRDefault="003E573C" w:rsidP="003E573C">
      <w:pPr>
        <w:rPr>
          <w:rFonts w:cs="Arial"/>
        </w:rPr>
      </w:pPr>
    </w:p>
    <w:p w14:paraId="380E485D"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16FAF347" w14:textId="77777777" w:rsidR="003E573C" w:rsidRDefault="003E573C" w:rsidP="003E573C">
      <w:pPr>
        <w:rPr>
          <w:rFonts w:cs="Arial"/>
        </w:rPr>
      </w:pPr>
      <w:r>
        <w:rPr>
          <w:rFonts w:cs="Arial"/>
        </w:rPr>
        <w:t>&lt;ESA_QUESTION_PKID_45&gt;</w:t>
      </w:r>
    </w:p>
    <w:p w14:paraId="05AC7D19" w14:textId="54BF823E" w:rsidR="009B7984" w:rsidRDefault="009B7984" w:rsidP="003E573C">
      <w:pPr>
        <w:rPr>
          <w:rFonts w:cs="Arial"/>
        </w:rPr>
      </w:pPr>
      <w:permStart w:id="1470183799" w:edGrp="everyone"/>
      <w:r w:rsidRPr="009B7984">
        <w:rPr>
          <w:rFonts w:cs="Arial"/>
        </w:rPr>
        <w:t>It would make sense to provide a KID when one starts a savings plan and when there are changes to this pla</w:t>
      </w:r>
      <w:r>
        <w:rPr>
          <w:rFonts w:cs="Arial"/>
        </w:rPr>
        <w:t>n</w:t>
      </w:r>
      <w:r w:rsidR="00F64463">
        <w:rPr>
          <w:rFonts w:cs="Arial"/>
        </w:rPr>
        <w:t>.</w:t>
      </w:r>
    </w:p>
    <w:permEnd w:id="1470183799"/>
    <w:p w14:paraId="4547D830" w14:textId="77777777" w:rsidR="003E573C" w:rsidRDefault="003E573C" w:rsidP="003E573C">
      <w:pPr>
        <w:rPr>
          <w:rFonts w:cs="Arial"/>
        </w:rPr>
      </w:pPr>
      <w:r>
        <w:rPr>
          <w:rFonts w:cs="Arial"/>
        </w:rPr>
        <w:t>&lt;ESA_QUESTION_PKID_45&gt;</w:t>
      </w:r>
    </w:p>
    <w:p w14:paraId="703D7470" w14:textId="77777777" w:rsidR="003E573C" w:rsidRDefault="003E573C" w:rsidP="003E573C">
      <w:pPr>
        <w:rPr>
          <w:rFonts w:cs="Arial"/>
        </w:rPr>
      </w:pPr>
    </w:p>
    <w:p w14:paraId="00A8E613"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6A8F2444" w14:textId="77777777" w:rsidR="003E573C" w:rsidRDefault="003E573C" w:rsidP="003E573C">
      <w:pPr>
        <w:rPr>
          <w:rFonts w:cs="Arial"/>
        </w:rPr>
      </w:pPr>
      <w:r>
        <w:rPr>
          <w:rFonts w:cs="Arial"/>
        </w:rPr>
        <w:t>&lt;ESA_QUESTION_PKID_46&gt;</w:t>
      </w:r>
    </w:p>
    <w:p w14:paraId="16578512" w14:textId="51170674" w:rsidR="009B7984" w:rsidRDefault="009B7984" w:rsidP="003E573C">
      <w:pPr>
        <w:rPr>
          <w:rFonts w:cs="Arial"/>
        </w:rPr>
      </w:pPr>
      <w:permStart w:id="1179089302" w:edGrp="everyone"/>
      <w:r w:rsidRPr="009B7984">
        <w:rPr>
          <w:rFonts w:cs="Arial"/>
        </w:rPr>
        <w:t>These requirements should be extended to all types of PRIIPs</w:t>
      </w:r>
      <w:r w:rsidR="00F64463">
        <w:rPr>
          <w:rFonts w:cs="Arial"/>
        </w:rPr>
        <w:t>.</w:t>
      </w:r>
    </w:p>
    <w:permEnd w:id="1179089302"/>
    <w:p w14:paraId="3698AE79" w14:textId="77777777" w:rsidR="003E573C" w:rsidRDefault="003E573C" w:rsidP="003E573C">
      <w:pPr>
        <w:rPr>
          <w:rFonts w:cs="Arial"/>
        </w:rPr>
      </w:pPr>
      <w:r>
        <w:rPr>
          <w:rFonts w:cs="Arial"/>
        </w:rPr>
        <w:t>&lt;ESA_QUESTION_PKID_46&gt;</w:t>
      </w:r>
    </w:p>
    <w:p w14:paraId="1A6A34DF" w14:textId="77777777" w:rsidR="003E573C" w:rsidRDefault="003E573C" w:rsidP="003E573C">
      <w:pPr>
        <w:rPr>
          <w:rFonts w:cs="Arial"/>
        </w:rPr>
      </w:pPr>
    </w:p>
    <w:p w14:paraId="777B0B7A"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46743790" w14:textId="77777777" w:rsidR="003E573C" w:rsidRDefault="003E573C" w:rsidP="003E573C">
      <w:pPr>
        <w:rPr>
          <w:rFonts w:cs="Arial"/>
        </w:rPr>
      </w:pPr>
      <w:r>
        <w:rPr>
          <w:rFonts w:cs="Arial"/>
        </w:rPr>
        <w:t>&lt;ESA_QUESTION_PKID_47&gt;</w:t>
      </w:r>
    </w:p>
    <w:p w14:paraId="73846D0C" w14:textId="77777777" w:rsidR="003E573C" w:rsidRDefault="003E573C" w:rsidP="003E573C">
      <w:pPr>
        <w:rPr>
          <w:rFonts w:cs="Arial"/>
        </w:rPr>
      </w:pPr>
      <w:permStart w:id="631266951" w:edGrp="everyone"/>
      <w:r>
        <w:rPr>
          <w:rFonts w:cs="Arial"/>
        </w:rPr>
        <w:t>TYPE YOUR TEXT HERE</w:t>
      </w:r>
    </w:p>
    <w:permEnd w:id="631266951"/>
    <w:p w14:paraId="3A58481E" w14:textId="77777777" w:rsidR="003E573C" w:rsidRDefault="003E573C" w:rsidP="003E573C">
      <w:pPr>
        <w:rPr>
          <w:rFonts w:cs="Arial"/>
        </w:rPr>
      </w:pPr>
      <w:r>
        <w:rPr>
          <w:rFonts w:cs="Arial"/>
        </w:rPr>
        <w:t>&lt;ESA_QUESTION_PKID_47&gt;</w:t>
      </w:r>
    </w:p>
    <w:p w14:paraId="67D369F5" w14:textId="77777777" w:rsidR="003E573C" w:rsidRDefault="003E573C" w:rsidP="003E573C">
      <w:pPr>
        <w:rPr>
          <w:rFonts w:cs="Arial"/>
        </w:rPr>
      </w:pPr>
    </w:p>
    <w:p w14:paraId="3494CBA6"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4B556B82" w14:textId="77777777" w:rsidR="003E573C" w:rsidRDefault="003E573C" w:rsidP="003E573C">
      <w:pPr>
        <w:rPr>
          <w:rFonts w:cs="Arial"/>
        </w:rPr>
      </w:pPr>
      <w:r>
        <w:rPr>
          <w:rFonts w:cs="Arial"/>
        </w:rPr>
        <w:t>&lt;ESA_QUESTION_PKID_48&gt;</w:t>
      </w:r>
    </w:p>
    <w:p w14:paraId="270A29A7" w14:textId="77777777" w:rsidR="003E573C" w:rsidRDefault="003E573C" w:rsidP="003E573C">
      <w:pPr>
        <w:rPr>
          <w:rFonts w:cs="Arial"/>
        </w:rPr>
      </w:pPr>
      <w:permStart w:id="453054992" w:edGrp="everyone"/>
      <w:r>
        <w:rPr>
          <w:rFonts w:cs="Arial"/>
        </w:rPr>
        <w:t>TYPE YOUR TEXT HERE</w:t>
      </w:r>
    </w:p>
    <w:permEnd w:id="453054992"/>
    <w:p w14:paraId="4BECB3D3" w14:textId="77777777" w:rsidR="003E573C" w:rsidRDefault="003E573C" w:rsidP="003E573C">
      <w:pPr>
        <w:rPr>
          <w:rFonts w:cs="Arial"/>
        </w:rPr>
      </w:pPr>
      <w:r>
        <w:rPr>
          <w:rFonts w:cs="Arial"/>
        </w:rPr>
        <w:t>&lt;ESA_QUESTION_PKID_48&gt;</w:t>
      </w:r>
    </w:p>
    <w:p w14:paraId="52BB7C6B" w14:textId="77777777" w:rsidR="003E573C" w:rsidRDefault="003E573C" w:rsidP="003E573C">
      <w:pPr>
        <w:rPr>
          <w:rFonts w:cs="Arial"/>
        </w:rPr>
      </w:pPr>
    </w:p>
    <w:p w14:paraId="7DA0FBBF" w14:textId="77777777" w:rsidR="003E573C" w:rsidRDefault="003E573C" w:rsidP="003E573C">
      <w:pPr>
        <w:pStyle w:val="Questionstyle"/>
        <w:numPr>
          <w:ilvl w:val="0"/>
          <w:numId w:val="39"/>
        </w:numPr>
      </w:pPr>
      <w:r>
        <w:lastRenderedPageBreak/>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23E6B74A" w14:textId="77777777" w:rsidR="003E573C" w:rsidRDefault="003E573C" w:rsidP="003E573C">
      <w:pPr>
        <w:rPr>
          <w:rFonts w:cs="Arial"/>
        </w:rPr>
      </w:pPr>
      <w:r>
        <w:rPr>
          <w:rFonts w:cs="Arial"/>
        </w:rPr>
        <w:t>&lt;ESA_QUESTION_PKID_49&gt;</w:t>
      </w:r>
    </w:p>
    <w:p w14:paraId="651250BF" w14:textId="77777777" w:rsidR="003E573C" w:rsidRDefault="003E573C" w:rsidP="003E573C">
      <w:pPr>
        <w:rPr>
          <w:rFonts w:cs="Arial"/>
        </w:rPr>
      </w:pPr>
      <w:permStart w:id="638858290" w:edGrp="everyone"/>
      <w:r>
        <w:rPr>
          <w:rFonts w:cs="Arial"/>
        </w:rPr>
        <w:t>TYPE YOUR TEXT HERE</w:t>
      </w:r>
    </w:p>
    <w:permEnd w:id="638858290"/>
    <w:p w14:paraId="0AB09871" w14:textId="77777777" w:rsidR="003E573C" w:rsidRDefault="003E573C" w:rsidP="003E573C">
      <w:pPr>
        <w:rPr>
          <w:rFonts w:cs="Arial"/>
        </w:rPr>
      </w:pPr>
      <w:r>
        <w:rPr>
          <w:rFonts w:cs="Arial"/>
        </w:rPr>
        <w:t>&lt;ESA_QUESTION_PKID_49&gt;</w:t>
      </w:r>
    </w:p>
    <w:p w14:paraId="33D4CD7D" w14:textId="77777777" w:rsidR="003E573C" w:rsidRDefault="003E573C" w:rsidP="003E573C">
      <w:pPr>
        <w:rPr>
          <w:rFonts w:cs="Arial"/>
        </w:rPr>
      </w:pPr>
    </w:p>
    <w:p w14:paraId="05DC1539"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6726D2E4" w14:textId="77777777" w:rsidR="003E573C" w:rsidRDefault="003E573C" w:rsidP="003E573C">
      <w:pPr>
        <w:rPr>
          <w:rFonts w:cs="Arial"/>
        </w:rPr>
      </w:pPr>
      <w:r>
        <w:rPr>
          <w:rFonts w:cs="Arial"/>
        </w:rPr>
        <w:t>&lt;ESA_QUESTION_PKID_50&gt;</w:t>
      </w:r>
    </w:p>
    <w:p w14:paraId="577574F4" w14:textId="77777777" w:rsidR="003E573C" w:rsidRDefault="003E573C" w:rsidP="003E573C">
      <w:pPr>
        <w:rPr>
          <w:rFonts w:cs="Arial"/>
        </w:rPr>
      </w:pPr>
      <w:permStart w:id="1157431687" w:edGrp="everyone"/>
      <w:r>
        <w:rPr>
          <w:rFonts w:cs="Arial"/>
        </w:rPr>
        <w:t>TYPE YOUR TEXT HERE</w:t>
      </w:r>
    </w:p>
    <w:permEnd w:id="1157431687"/>
    <w:p w14:paraId="5014A5B5" w14:textId="77777777" w:rsidR="003E573C" w:rsidRDefault="003E573C" w:rsidP="003E573C">
      <w:pPr>
        <w:rPr>
          <w:rFonts w:cs="Arial"/>
        </w:rPr>
      </w:pPr>
      <w:r>
        <w:rPr>
          <w:rFonts w:cs="Arial"/>
        </w:rPr>
        <w:t>&lt;ESA_QUESTION_PKID_50&gt;</w:t>
      </w:r>
    </w:p>
    <w:p w14:paraId="4325EE44" w14:textId="77777777" w:rsidR="003E573C" w:rsidRDefault="003E573C" w:rsidP="003E573C">
      <w:pPr>
        <w:rPr>
          <w:rFonts w:cs="Arial"/>
        </w:rPr>
      </w:pPr>
    </w:p>
    <w:p w14:paraId="2132748E"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27AE3ADD" w14:textId="77777777" w:rsidR="003E573C" w:rsidRDefault="003E573C" w:rsidP="003E573C">
      <w:pPr>
        <w:rPr>
          <w:rFonts w:cs="Arial"/>
        </w:rPr>
      </w:pPr>
      <w:r>
        <w:rPr>
          <w:rFonts w:cs="Arial"/>
        </w:rPr>
        <w:t>&lt;ESA_QUESTION_PKID_51&gt;</w:t>
      </w:r>
    </w:p>
    <w:p w14:paraId="6214EA81" w14:textId="77777777" w:rsidR="003E573C" w:rsidRDefault="003E573C" w:rsidP="003E573C">
      <w:pPr>
        <w:rPr>
          <w:rFonts w:cs="Arial"/>
        </w:rPr>
      </w:pPr>
      <w:permStart w:id="1305632435" w:edGrp="everyone"/>
      <w:r>
        <w:rPr>
          <w:rFonts w:cs="Arial"/>
        </w:rPr>
        <w:t>TYPE YOUR TEXT HERE</w:t>
      </w:r>
    </w:p>
    <w:permEnd w:id="1305632435"/>
    <w:p w14:paraId="577535DF" w14:textId="77777777" w:rsidR="003E573C" w:rsidRDefault="003E573C" w:rsidP="003E573C">
      <w:pPr>
        <w:rPr>
          <w:rFonts w:cs="Arial"/>
        </w:rPr>
      </w:pPr>
      <w:r>
        <w:rPr>
          <w:rFonts w:cs="Arial"/>
        </w:rPr>
        <w:t>&lt;ESA_QUESTION_PKID_51&gt;</w:t>
      </w:r>
    </w:p>
    <w:p w14:paraId="46A09224" w14:textId="77777777" w:rsidR="003E573C" w:rsidRDefault="003E573C" w:rsidP="003E573C">
      <w:pPr>
        <w:rPr>
          <w:rFonts w:cs="Arial"/>
        </w:rPr>
      </w:pPr>
    </w:p>
    <w:p w14:paraId="191338A9"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11716D1C" w14:textId="77777777" w:rsidR="003E573C" w:rsidRDefault="003E573C" w:rsidP="003E573C">
      <w:pPr>
        <w:rPr>
          <w:rFonts w:cs="Arial"/>
        </w:rPr>
      </w:pPr>
      <w:r>
        <w:rPr>
          <w:rFonts w:cs="Arial"/>
        </w:rPr>
        <w:t>&lt;ESA_QUESTION_PKID_52&gt;</w:t>
      </w:r>
    </w:p>
    <w:p w14:paraId="47738A1D" w14:textId="77777777" w:rsidR="003E573C" w:rsidRDefault="003E573C" w:rsidP="003E573C">
      <w:pPr>
        <w:rPr>
          <w:rFonts w:cs="Arial"/>
        </w:rPr>
      </w:pPr>
      <w:permStart w:id="413214699" w:edGrp="everyone"/>
      <w:r>
        <w:rPr>
          <w:rFonts w:cs="Arial"/>
        </w:rPr>
        <w:t>TYPE YOUR TEXT HERE</w:t>
      </w:r>
    </w:p>
    <w:permEnd w:id="413214699"/>
    <w:p w14:paraId="36864431" w14:textId="77777777" w:rsidR="003E573C" w:rsidRDefault="003E573C" w:rsidP="003E573C">
      <w:pPr>
        <w:rPr>
          <w:rFonts w:cs="Arial"/>
        </w:rPr>
      </w:pPr>
      <w:r>
        <w:rPr>
          <w:rFonts w:cs="Arial"/>
        </w:rPr>
        <w:t>&lt;ESA_QUESTION_PKID_52&gt;</w:t>
      </w:r>
    </w:p>
    <w:p w14:paraId="57F2D47B" w14:textId="77777777" w:rsidR="003E573C" w:rsidRDefault="003E573C" w:rsidP="003E573C">
      <w:pPr>
        <w:rPr>
          <w:rFonts w:cs="Arial"/>
        </w:rPr>
      </w:pPr>
    </w:p>
    <w:p w14:paraId="19CE53DE"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1B7435AE" w14:textId="77777777" w:rsidR="003E573C" w:rsidRDefault="003E573C" w:rsidP="003E573C">
      <w:pPr>
        <w:rPr>
          <w:rFonts w:cs="Arial"/>
        </w:rPr>
      </w:pPr>
      <w:r>
        <w:rPr>
          <w:rFonts w:cs="Arial"/>
        </w:rPr>
        <w:t>&lt;ESA_QUESTION_PKID_53&gt;</w:t>
      </w:r>
    </w:p>
    <w:p w14:paraId="543C195E" w14:textId="77777777" w:rsidR="003E573C" w:rsidRDefault="003E573C" w:rsidP="003E573C">
      <w:pPr>
        <w:rPr>
          <w:rFonts w:cs="Arial"/>
        </w:rPr>
      </w:pPr>
      <w:permStart w:id="95618614" w:edGrp="everyone"/>
      <w:r>
        <w:rPr>
          <w:rFonts w:cs="Arial"/>
        </w:rPr>
        <w:t>TYPE YOUR TEXT HERE</w:t>
      </w:r>
    </w:p>
    <w:permEnd w:id="95618614"/>
    <w:p w14:paraId="20A61E17" w14:textId="77777777" w:rsidR="003E573C" w:rsidRDefault="003E573C" w:rsidP="003E573C">
      <w:pPr>
        <w:rPr>
          <w:rFonts w:cs="Arial"/>
        </w:rPr>
      </w:pPr>
      <w:r>
        <w:rPr>
          <w:rFonts w:cs="Arial"/>
        </w:rPr>
        <w:t>&lt;ESA_QUESTION_PKID_53&gt;</w:t>
      </w:r>
    </w:p>
    <w:p w14:paraId="1FDD2443" w14:textId="77777777" w:rsidR="003E573C" w:rsidRDefault="003E573C" w:rsidP="003E573C">
      <w:pPr>
        <w:rPr>
          <w:rFonts w:cs="Arial"/>
        </w:rPr>
      </w:pPr>
    </w:p>
    <w:p w14:paraId="01C4D1E5" w14:textId="77777777" w:rsidR="003E573C" w:rsidRDefault="003E573C" w:rsidP="003E573C">
      <w:pPr>
        <w:pStyle w:val="Questionstyle"/>
        <w:numPr>
          <w:ilvl w:val="0"/>
          <w:numId w:val="39"/>
        </w:numPr>
      </w:pPr>
      <w:r>
        <w:t>: Are there other approaches or revisions to the requirements for MOPs that should be considered?</w:t>
      </w:r>
    </w:p>
    <w:p w14:paraId="76B4F077" w14:textId="77777777" w:rsidR="003E573C" w:rsidRDefault="003E573C" w:rsidP="003E573C">
      <w:pPr>
        <w:rPr>
          <w:rFonts w:cs="Arial"/>
        </w:rPr>
      </w:pPr>
      <w:r>
        <w:rPr>
          <w:rFonts w:cs="Arial"/>
        </w:rPr>
        <w:t>&lt;ESA_QUESTION_PKID_54&gt;</w:t>
      </w:r>
    </w:p>
    <w:p w14:paraId="167A00DE" w14:textId="77777777" w:rsidR="003E573C" w:rsidRDefault="003E573C" w:rsidP="003E573C">
      <w:pPr>
        <w:rPr>
          <w:rFonts w:cs="Arial"/>
        </w:rPr>
      </w:pPr>
      <w:permStart w:id="2078884234" w:edGrp="everyone"/>
      <w:r>
        <w:rPr>
          <w:rFonts w:cs="Arial"/>
        </w:rPr>
        <w:t>TYPE YOUR TEXT HERE</w:t>
      </w:r>
    </w:p>
    <w:permEnd w:id="2078884234"/>
    <w:p w14:paraId="618003F6" w14:textId="77777777" w:rsidR="003E573C" w:rsidRDefault="003E573C" w:rsidP="003E573C">
      <w:pPr>
        <w:rPr>
          <w:rFonts w:cs="Arial"/>
        </w:rPr>
      </w:pPr>
      <w:r>
        <w:rPr>
          <w:rFonts w:cs="Arial"/>
        </w:rPr>
        <w:t>&lt;ESA_QUESTION_PKID_54&gt;</w:t>
      </w:r>
    </w:p>
    <w:p w14:paraId="0724E0DE" w14:textId="77777777" w:rsidR="003E573C" w:rsidRDefault="003E573C" w:rsidP="003E573C">
      <w:pPr>
        <w:rPr>
          <w:rFonts w:cs="Arial"/>
        </w:rPr>
      </w:pPr>
    </w:p>
    <w:p w14:paraId="2CD358BA"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FF9443" w14:textId="77777777" w:rsidR="003E573C" w:rsidRDefault="003E573C" w:rsidP="003E573C">
      <w:pPr>
        <w:rPr>
          <w:rFonts w:cs="Arial"/>
        </w:rPr>
      </w:pPr>
      <w:r>
        <w:rPr>
          <w:rFonts w:cs="Arial"/>
        </w:rPr>
        <w:t>&lt;ESA_QUESTION_PKID_55&gt;</w:t>
      </w:r>
    </w:p>
    <w:p w14:paraId="3E4AAD3C" w14:textId="77777777" w:rsidR="00F64463" w:rsidRDefault="00F64463" w:rsidP="003E573C">
      <w:pPr>
        <w:rPr>
          <w:rFonts w:cs="Arial"/>
        </w:rPr>
      </w:pPr>
      <w:permStart w:id="1056074176" w:edGrp="everyone"/>
      <w:r>
        <w:rPr>
          <w:rFonts w:cs="Arial"/>
        </w:rPr>
        <w:t xml:space="preserve">Assessing implementation costs is not straightforward at this point, not least because it remains unlikely that the known issues with the PRIIP KID are going to be resolved with what is proposed in this consultation paper. Hence, sooner or later, further changes are very likely to be required resulting in additional implementation costs. </w:t>
      </w:r>
    </w:p>
    <w:p w14:paraId="660AA1C6" w14:textId="77777777" w:rsidR="00F64463" w:rsidRDefault="00F64463" w:rsidP="003E573C">
      <w:pPr>
        <w:rPr>
          <w:rFonts w:cs="Arial"/>
        </w:rPr>
      </w:pPr>
    </w:p>
    <w:p w14:paraId="0FE975DA" w14:textId="175857CF" w:rsidR="009B7984" w:rsidRDefault="00FC5419" w:rsidP="003E573C">
      <w:pPr>
        <w:rPr>
          <w:rFonts w:cs="Arial"/>
        </w:rPr>
      </w:pPr>
      <w:r>
        <w:rPr>
          <w:rFonts w:cs="Arial"/>
        </w:rPr>
        <w:t>Nevertheless</w:t>
      </w:r>
      <w:r w:rsidR="00F64463">
        <w:rPr>
          <w:rFonts w:cs="Arial"/>
        </w:rPr>
        <w:t xml:space="preserve">, the biggest concern </w:t>
      </w:r>
      <w:r>
        <w:rPr>
          <w:rFonts w:cs="Arial"/>
        </w:rPr>
        <w:t>remains</w:t>
      </w:r>
      <w:r w:rsidR="00F64463">
        <w:rPr>
          <w:rFonts w:cs="Arial"/>
        </w:rPr>
        <w:t xml:space="preserve"> whether investors will really benefit from ever changing versions of the same document, particularly if the design of these versions keeps prioritising comparability over meaningfulness of information.</w:t>
      </w:r>
    </w:p>
    <w:permEnd w:id="1056074176"/>
    <w:p w14:paraId="0A5ADBC7" w14:textId="77777777" w:rsidR="003E573C" w:rsidRDefault="003E573C" w:rsidP="003E573C">
      <w:pPr>
        <w:rPr>
          <w:rFonts w:cs="Arial"/>
        </w:rPr>
      </w:pPr>
      <w:r>
        <w:rPr>
          <w:rFonts w:cs="Arial"/>
        </w:rPr>
        <w:lastRenderedPageBreak/>
        <w:t>&lt;ESA_QUESTION_PKID_55&gt;</w:t>
      </w:r>
    </w:p>
    <w:p w14:paraId="5AAE21E1" w14:textId="77777777" w:rsidR="003E573C" w:rsidRDefault="003E573C" w:rsidP="003E573C">
      <w:pPr>
        <w:rPr>
          <w:rFonts w:cs="Arial"/>
        </w:rPr>
      </w:pPr>
    </w:p>
    <w:p w14:paraId="6556A49B"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47F5AF6A" w14:textId="77777777" w:rsidR="003E573C" w:rsidRDefault="003E573C" w:rsidP="003E573C">
      <w:pPr>
        <w:rPr>
          <w:rFonts w:cs="Arial"/>
        </w:rPr>
      </w:pPr>
      <w:r>
        <w:rPr>
          <w:rFonts w:cs="Arial"/>
        </w:rPr>
        <w:t>&lt;ESA_QUESTION_PKID_56&gt;</w:t>
      </w:r>
    </w:p>
    <w:p w14:paraId="37575EEF" w14:textId="77777777" w:rsidR="003E573C" w:rsidRDefault="003E573C" w:rsidP="003E573C">
      <w:pPr>
        <w:rPr>
          <w:rFonts w:cs="Arial"/>
        </w:rPr>
      </w:pPr>
      <w:permStart w:id="1878531206" w:edGrp="everyone"/>
      <w:r>
        <w:rPr>
          <w:rFonts w:cs="Arial"/>
        </w:rPr>
        <w:t>TYPE YOUR TEXT HERE</w:t>
      </w:r>
    </w:p>
    <w:permEnd w:id="1878531206"/>
    <w:p w14:paraId="2DE1C01B" w14:textId="77777777" w:rsidR="003E573C" w:rsidRDefault="003E573C" w:rsidP="003E573C">
      <w:pPr>
        <w:rPr>
          <w:rFonts w:cs="Arial"/>
        </w:rPr>
      </w:pPr>
      <w:r>
        <w:rPr>
          <w:rFonts w:cs="Arial"/>
        </w:rPr>
        <w:t>&lt;ESA_QUESTION_PKID_56&gt;</w:t>
      </w:r>
    </w:p>
    <w:p w14:paraId="48939803" w14:textId="77777777" w:rsidR="003E573C" w:rsidRDefault="003E573C" w:rsidP="003E573C">
      <w:pPr>
        <w:rPr>
          <w:rFonts w:cs="Arial"/>
        </w:rPr>
      </w:pPr>
    </w:p>
    <w:p w14:paraId="613B7A83"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41D7E21C" w14:textId="77777777" w:rsidR="003E573C" w:rsidRDefault="003E573C" w:rsidP="003E573C">
      <w:pPr>
        <w:rPr>
          <w:rFonts w:cs="Arial"/>
        </w:rPr>
      </w:pPr>
      <w:r>
        <w:rPr>
          <w:rFonts w:cs="Arial"/>
        </w:rPr>
        <w:t>&lt;ESA_QUESTION_PKID_57&gt;</w:t>
      </w:r>
    </w:p>
    <w:p w14:paraId="120A22F1" w14:textId="77777777" w:rsidR="003E573C" w:rsidRDefault="003E573C" w:rsidP="003E573C">
      <w:pPr>
        <w:rPr>
          <w:rFonts w:cs="Arial"/>
        </w:rPr>
      </w:pPr>
      <w:permStart w:id="739135877" w:edGrp="everyone"/>
      <w:r>
        <w:rPr>
          <w:rFonts w:cs="Arial"/>
        </w:rPr>
        <w:t>TYPE YOUR TEXT HERE</w:t>
      </w:r>
    </w:p>
    <w:permEnd w:id="739135877"/>
    <w:p w14:paraId="29EB3811" w14:textId="77777777" w:rsidR="003E573C" w:rsidRDefault="003E573C" w:rsidP="003E573C">
      <w:pPr>
        <w:rPr>
          <w:rFonts w:cs="Arial"/>
        </w:rPr>
      </w:pPr>
      <w:r>
        <w:rPr>
          <w:rFonts w:cs="Arial"/>
        </w:rPr>
        <w:t>&lt;ESA_QUESTION_PKID_57&gt;</w:t>
      </w:r>
    </w:p>
    <w:p w14:paraId="3FD2A6B6" w14:textId="77777777" w:rsidR="003E573C" w:rsidRDefault="003E573C" w:rsidP="003E573C">
      <w:pPr>
        <w:rPr>
          <w:rFonts w:cs="Arial"/>
        </w:rPr>
      </w:pPr>
    </w:p>
    <w:p w14:paraId="0F527959" w14:textId="77777777" w:rsidR="003E573C" w:rsidRDefault="003E573C" w:rsidP="003E573C">
      <w:pPr>
        <w:rPr>
          <w:rFonts w:cs="Arial"/>
        </w:rPr>
      </w:pPr>
    </w:p>
    <w:p w14:paraId="6A060E04" w14:textId="77777777" w:rsidR="003E573C" w:rsidRPr="007B52B2" w:rsidRDefault="003E573C" w:rsidP="003E573C">
      <w:pPr>
        <w:rPr>
          <w:rFonts w:cs="Arial"/>
        </w:rPr>
      </w:pPr>
    </w:p>
    <w:p w14:paraId="0554A29F" w14:textId="77777777" w:rsidR="00820CBA" w:rsidRPr="00820CBA" w:rsidRDefault="00820CBA" w:rsidP="003E573C">
      <w:pPr>
        <w:pStyle w:val="Questionstyle"/>
        <w:ind w:left="720"/>
      </w:pPr>
    </w:p>
    <w:sectPr w:rsidR="00820CBA" w:rsidRPr="00820CBA" w:rsidSect="00A8728B">
      <w:headerReference w:type="even" r:id="rId35"/>
      <w:headerReference w:type="first" r:id="rId36"/>
      <w:footerReference w:type="first" r:id="rId3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121C5" w14:textId="77777777" w:rsidR="004D7C5E" w:rsidRDefault="004D7C5E">
      <w:r>
        <w:separator/>
      </w:r>
    </w:p>
    <w:p w14:paraId="2D89738F" w14:textId="77777777" w:rsidR="004D7C5E" w:rsidRDefault="004D7C5E"/>
  </w:endnote>
  <w:endnote w:type="continuationSeparator" w:id="0">
    <w:p w14:paraId="147CB2BF" w14:textId="77777777" w:rsidR="004D7C5E" w:rsidRDefault="004D7C5E">
      <w:r>
        <w:continuationSeparator/>
      </w:r>
    </w:p>
    <w:p w14:paraId="0EE2184A" w14:textId="77777777" w:rsidR="004D7C5E" w:rsidRDefault="004D7C5E"/>
  </w:endnote>
  <w:endnote w:type="continuationNotice" w:id="1">
    <w:p w14:paraId="7F81A35F" w14:textId="77777777" w:rsidR="004D7C5E" w:rsidRDefault="004D7C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oto Sans">
    <w:panose1 w:val="020B0502040504020204"/>
    <w:charset w:val="00"/>
    <w:family w:val="swiss"/>
    <w:pitch w:val="variable"/>
    <w:sig w:usb0="E00002F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D7C5E" w:rsidRPr="00616B9B" w14:paraId="61F94FEF" w14:textId="77777777" w:rsidTr="00315E96">
      <w:trPr>
        <w:trHeight w:val="284"/>
      </w:trPr>
      <w:tc>
        <w:tcPr>
          <w:tcW w:w="8460" w:type="dxa"/>
        </w:tcPr>
        <w:p w14:paraId="0C60D64B" w14:textId="77777777" w:rsidR="004D7C5E" w:rsidRPr="00315E96" w:rsidRDefault="004D7C5E" w:rsidP="00315E96">
          <w:pPr>
            <w:pStyle w:val="00Footer"/>
            <w:rPr>
              <w:lang w:val="fr-FR"/>
            </w:rPr>
          </w:pPr>
        </w:p>
      </w:tc>
      <w:tc>
        <w:tcPr>
          <w:tcW w:w="952" w:type="dxa"/>
        </w:tcPr>
        <w:p w14:paraId="7A09B889" w14:textId="3751CE74" w:rsidR="004D7C5E" w:rsidRPr="00616B9B" w:rsidRDefault="004D7C5E"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B7DEB">
            <w:rPr>
              <w:rFonts w:cs="Arial"/>
              <w:noProof/>
              <w:sz w:val="22"/>
              <w:szCs w:val="22"/>
            </w:rPr>
            <w:t>24</w:t>
          </w:r>
          <w:r w:rsidRPr="00616B9B">
            <w:rPr>
              <w:rFonts w:cs="Arial"/>
              <w:noProof/>
              <w:sz w:val="22"/>
              <w:szCs w:val="22"/>
            </w:rPr>
            <w:fldChar w:fldCharType="end"/>
          </w:r>
        </w:p>
      </w:tc>
    </w:tr>
  </w:tbl>
  <w:p w14:paraId="347C80E1" w14:textId="77777777" w:rsidR="004D7C5E" w:rsidRDefault="004D7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0D94" w14:textId="77777777" w:rsidR="004D7C5E" w:rsidRDefault="004D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BC7A0" w14:textId="77777777" w:rsidR="004D7C5E" w:rsidRDefault="004D7C5E">
      <w:r>
        <w:separator/>
      </w:r>
    </w:p>
    <w:p w14:paraId="7E761DB0" w14:textId="77777777" w:rsidR="004D7C5E" w:rsidRDefault="004D7C5E"/>
  </w:footnote>
  <w:footnote w:type="continuationSeparator" w:id="0">
    <w:p w14:paraId="700B2FBD" w14:textId="77777777" w:rsidR="004D7C5E" w:rsidRDefault="004D7C5E">
      <w:r>
        <w:continuationSeparator/>
      </w:r>
    </w:p>
    <w:p w14:paraId="78335AD8" w14:textId="77777777" w:rsidR="004D7C5E" w:rsidRDefault="004D7C5E"/>
  </w:footnote>
  <w:footnote w:type="continuationNotice" w:id="1">
    <w:p w14:paraId="26D7E28B" w14:textId="77777777" w:rsidR="004D7C5E" w:rsidRDefault="004D7C5E"/>
  </w:footnote>
  <w:footnote w:id="2">
    <w:p w14:paraId="4165C27C" w14:textId="77777777" w:rsidR="004D7C5E" w:rsidRPr="009E1A8D" w:rsidRDefault="004D7C5E" w:rsidP="00197794">
      <w:pPr>
        <w:pStyle w:val="FootnoteText"/>
      </w:pPr>
      <w:r>
        <w:rPr>
          <w:rStyle w:val="FootnoteReference"/>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77E2E416" w14:textId="77777777" w:rsidR="004D7C5E" w:rsidRDefault="004D7C5E" w:rsidP="00197794">
      <w:pPr>
        <w:pStyle w:val="FootnoteText"/>
      </w:pPr>
      <w:r>
        <w:rPr>
          <w:rStyle w:val="FootnoteReference"/>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655266A" w14:textId="77777777" w:rsidR="004D7C5E" w:rsidRDefault="004D7C5E" w:rsidP="00197794">
      <w:pPr>
        <w:pStyle w:val="FootnoteText"/>
      </w:pPr>
      <w:r>
        <w:rPr>
          <w:rStyle w:val="FootnoteReference"/>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1BAF8541" w14:textId="77777777" w:rsidR="004D7C5E" w:rsidRPr="00653F3B" w:rsidRDefault="004D7C5E" w:rsidP="003E573C">
      <w:pPr>
        <w:pStyle w:val="FootnoteText"/>
      </w:pPr>
      <w:r>
        <w:rPr>
          <w:rStyle w:val="FootnoteReference"/>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49353" w14:textId="77777777" w:rsidR="004D7C5E" w:rsidRDefault="004D7C5E">
    <w:pPr>
      <w:pStyle w:val="Header"/>
    </w:pPr>
    <w:r>
      <w:rPr>
        <w:noProof/>
        <w:lang w:eastAsia="en-GB"/>
      </w:rPr>
      <w:drawing>
        <wp:inline distT="0" distB="0" distL="0" distR="0" wp14:anchorId="78783F36" wp14:editId="381DE53E">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DF04147" wp14:editId="3505451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662C319"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D01F7" w14:textId="77777777" w:rsidR="004D7C5E" w:rsidRDefault="004D7C5E" w:rsidP="00013CCE">
    <w:pPr>
      <w:pStyle w:val="Header"/>
      <w:jc w:val="right"/>
    </w:pPr>
    <w:r>
      <w:rPr>
        <w:noProof/>
        <w:lang w:eastAsia="en-GB"/>
      </w:rPr>
      <w:drawing>
        <wp:inline distT="0" distB="0" distL="0" distR="0" wp14:anchorId="26396159" wp14:editId="025857D2">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w:drawing>
        <wp:anchor distT="0" distB="0" distL="114300" distR="114300" simplePos="0" relativeHeight="251655168" behindDoc="1" locked="0" layoutInCell="1" allowOverlap="1" wp14:anchorId="122DC784" wp14:editId="014BDD97">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793EB" w14:textId="77777777" w:rsidR="004D7C5E" w:rsidRDefault="004D7C5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D7C5E" w:rsidRPr="002F4496" w14:paraId="3FF10178" w14:textId="77777777" w:rsidTr="000C06C9">
      <w:trPr>
        <w:trHeight w:val="284"/>
      </w:trPr>
      <w:tc>
        <w:tcPr>
          <w:tcW w:w="8460" w:type="dxa"/>
        </w:tcPr>
        <w:p w14:paraId="717D1670" w14:textId="77777777" w:rsidR="004D7C5E" w:rsidRPr="000C3B6D" w:rsidRDefault="004D7C5E" w:rsidP="000C06C9">
          <w:pPr>
            <w:pStyle w:val="00Footer"/>
            <w:rPr>
              <w:lang w:val="fr-FR"/>
            </w:rPr>
          </w:pPr>
        </w:p>
      </w:tc>
      <w:tc>
        <w:tcPr>
          <w:tcW w:w="952" w:type="dxa"/>
        </w:tcPr>
        <w:p w14:paraId="66D2CC35" w14:textId="77777777" w:rsidR="004D7C5E" w:rsidRPr="00146B34" w:rsidRDefault="004D7C5E" w:rsidP="000C06C9">
          <w:pPr>
            <w:pStyle w:val="00aPagenumber"/>
            <w:rPr>
              <w:lang w:val="fr-FR"/>
            </w:rPr>
          </w:pPr>
        </w:p>
      </w:tc>
    </w:tr>
  </w:tbl>
  <w:p w14:paraId="1BD227DF" w14:textId="77777777" w:rsidR="004D7C5E" w:rsidRPr="00DB46C3" w:rsidRDefault="004D7C5E">
    <w:pPr>
      <w:rPr>
        <w:lang w:val="fr-FR"/>
      </w:rPr>
    </w:pPr>
  </w:p>
  <w:p w14:paraId="6850503B" w14:textId="77777777" w:rsidR="004D7C5E" w:rsidRPr="002F4496" w:rsidRDefault="004D7C5E">
    <w:pPr>
      <w:pStyle w:val="Header"/>
      <w:rPr>
        <w:lang w:val="fr-FR"/>
      </w:rPr>
    </w:pPr>
  </w:p>
  <w:p w14:paraId="6C22C671" w14:textId="77777777" w:rsidR="004D7C5E" w:rsidRPr="002F4496" w:rsidRDefault="004D7C5E" w:rsidP="000C06C9">
    <w:pPr>
      <w:pStyle w:val="Header"/>
      <w:tabs>
        <w:tab w:val="clear" w:pos="4536"/>
        <w:tab w:val="clear" w:pos="9072"/>
        <w:tab w:val="left" w:pos="8227"/>
      </w:tabs>
      <w:rPr>
        <w:lang w:val="fr-FR"/>
      </w:rPr>
    </w:pPr>
  </w:p>
  <w:p w14:paraId="0D23C32E" w14:textId="77777777" w:rsidR="004D7C5E" w:rsidRPr="002F4496" w:rsidRDefault="004D7C5E" w:rsidP="000C06C9">
    <w:pPr>
      <w:pStyle w:val="Header"/>
      <w:tabs>
        <w:tab w:val="clear" w:pos="4536"/>
        <w:tab w:val="clear" w:pos="9072"/>
        <w:tab w:val="left" w:pos="8227"/>
      </w:tabs>
      <w:rPr>
        <w:lang w:val="fr-FR"/>
      </w:rPr>
    </w:pPr>
  </w:p>
  <w:p w14:paraId="3003855E" w14:textId="77777777" w:rsidR="004D7C5E" w:rsidRPr="002F4496" w:rsidRDefault="004D7C5E">
    <w:pPr>
      <w:pStyle w:val="Header"/>
      <w:rPr>
        <w:lang w:val="fr-FR"/>
      </w:rPr>
    </w:pPr>
  </w:p>
  <w:p w14:paraId="12202FD5" w14:textId="77777777" w:rsidR="004D7C5E" w:rsidRPr="002F4496" w:rsidRDefault="004D7C5E">
    <w:pPr>
      <w:pStyle w:val="Header"/>
      <w:rPr>
        <w:lang w:val="fr-FR"/>
      </w:rPr>
    </w:pPr>
  </w:p>
  <w:p w14:paraId="77D7B932" w14:textId="77777777" w:rsidR="004D7C5E" w:rsidRPr="002F4496" w:rsidRDefault="004D7C5E">
    <w:pPr>
      <w:pStyle w:val="Header"/>
      <w:rPr>
        <w:lang w:val="fr-FR"/>
      </w:rPr>
    </w:pPr>
  </w:p>
  <w:p w14:paraId="29E8A38F" w14:textId="77777777" w:rsidR="004D7C5E" w:rsidRPr="002F4496" w:rsidRDefault="004D7C5E">
    <w:pPr>
      <w:pStyle w:val="Header"/>
      <w:rPr>
        <w:lang w:val="fr-FR"/>
      </w:rPr>
    </w:pPr>
  </w:p>
  <w:p w14:paraId="5CD76A1B" w14:textId="77777777" w:rsidR="004D7C5E" w:rsidRPr="002F4496" w:rsidRDefault="004D7C5E">
    <w:pPr>
      <w:pStyle w:val="Header"/>
      <w:rPr>
        <w:highlight w:val="yellow"/>
        <w:lang w:val="fr-FR"/>
      </w:rPr>
    </w:pPr>
  </w:p>
  <w:p w14:paraId="4F0E80BF" w14:textId="77777777" w:rsidR="004D7C5E" w:rsidRDefault="004D7C5E">
    <w:pPr>
      <w:pStyle w:val="Header"/>
    </w:pPr>
    <w:r>
      <w:rPr>
        <w:noProof/>
        <w:lang w:eastAsia="en-GB"/>
      </w:rPr>
      <mc:AlternateContent>
        <mc:Choice Requires="wps">
          <w:drawing>
            <wp:anchor distT="0" distB="0" distL="114299" distR="114299" simplePos="0" relativeHeight="251660288" behindDoc="0" locked="0" layoutInCell="1" allowOverlap="1" wp14:anchorId="56808AAC" wp14:editId="1C54D7C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D038EF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E5E24C" wp14:editId="77277FFB">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2E789C"/>
    <w:multiLevelType w:val="hybridMultilevel"/>
    <w:tmpl w:val="04E07B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C327D"/>
    <w:multiLevelType w:val="hybridMultilevel"/>
    <w:tmpl w:val="EBF24EF4"/>
    <w:lvl w:ilvl="0" w:tplc="654A1CC6">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CD72584"/>
    <w:multiLevelType w:val="hybridMultilevel"/>
    <w:tmpl w:val="F318605A"/>
    <w:lvl w:ilvl="0" w:tplc="3670B14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C8C29CA"/>
    <w:multiLevelType w:val="hybridMultilevel"/>
    <w:tmpl w:val="ECF660FA"/>
    <w:lvl w:ilvl="0" w:tplc="B1D6E3A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46465CE"/>
    <w:multiLevelType w:val="hybridMultilevel"/>
    <w:tmpl w:val="CA98AC26"/>
    <w:lvl w:ilvl="0" w:tplc="B1D6E3A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7D216C"/>
    <w:multiLevelType w:val="hybridMultilevel"/>
    <w:tmpl w:val="CB1680A0"/>
    <w:lvl w:ilvl="0" w:tplc="FE209FB0">
      <w:start w:val="1"/>
      <w:numFmt w:val="bullet"/>
      <w:pStyle w:val="BulletedtextRegularB17"/>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5FF639BA"/>
    <w:multiLevelType w:val="hybridMultilevel"/>
    <w:tmpl w:val="CC24F4EA"/>
    <w:lvl w:ilvl="0" w:tplc="FE209FB0">
      <w:start w:val="1"/>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9" w15:restartNumberingAfterBreak="0">
    <w:nsid w:val="631D1013"/>
    <w:multiLevelType w:val="hybridMultilevel"/>
    <w:tmpl w:val="F3B8908E"/>
    <w:lvl w:ilvl="0" w:tplc="1408E2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4A441BF"/>
    <w:multiLevelType w:val="hybridMultilevel"/>
    <w:tmpl w:val="FACC056E"/>
    <w:lvl w:ilvl="0" w:tplc="B1D6E3AE">
      <w:start w:val="1"/>
      <w:numFmt w:val="bullet"/>
      <w:lvlText w:val="–"/>
      <w:lvlJc w:val="left"/>
      <w:pPr>
        <w:ind w:left="360" w:hanging="360"/>
      </w:pPr>
      <w:rPr>
        <w:rFonts w:ascii="Arial" w:hAnsi="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D1216D0"/>
    <w:multiLevelType w:val="hybridMultilevel"/>
    <w:tmpl w:val="FCDAE7AA"/>
    <w:lvl w:ilvl="0" w:tplc="FE209FB0">
      <w:start w:val="1"/>
      <w:numFmt w:val="bullet"/>
      <w:lvlText w:val="–"/>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4D5AE2"/>
    <w:multiLevelType w:val="hybridMultilevel"/>
    <w:tmpl w:val="CB2AACBE"/>
    <w:lvl w:ilvl="0" w:tplc="B1D6E3AE">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3730D2"/>
    <w:multiLevelType w:val="hybridMultilevel"/>
    <w:tmpl w:val="94B44860"/>
    <w:lvl w:ilvl="0" w:tplc="FE209FB0">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8"/>
  </w:num>
  <w:num w:numId="5">
    <w:abstractNumId w:val="31"/>
  </w:num>
  <w:num w:numId="6">
    <w:abstractNumId w:val="0"/>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37"/>
  </w:num>
  <w:num w:numId="14">
    <w:abstractNumId w:val="26"/>
  </w:num>
  <w:num w:numId="15">
    <w:abstractNumId w:val="11"/>
  </w:num>
  <w:num w:numId="16">
    <w:abstractNumId w:val="1"/>
  </w:num>
  <w:num w:numId="17">
    <w:abstractNumId w:val="17"/>
  </w:num>
  <w:num w:numId="18">
    <w:abstractNumId w:val="18"/>
  </w:num>
  <w:num w:numId="19">
    <w:abstractNumId w:val="20"/>
  </w:num>
  <w:num w:numId="20">
    <w:abstractNumId w:val="32"/>
  </w:num>
  <w:num w:numId="21">
    <w:abstractNumId w:val="46"/>
  </w:num>
  <w:num w:numId="22">
    <w:abstractNumId w:val="30"/>
  </w:num>
  <w:num w:numId="23">
    <w:abstractNumId w:val="10"/>
  </w:num>
  <w:num w:numId="24">
    <w:abstractNumId w:val="35"/>
  </w:num>
  <w:num w:numId="25">
    <w:abstractNumId w:val="34"/>
  </w:num>
  <w:num w:numId="26">
    <w:abstractNumId w:val="23"/>
  </w:num>
  <w:num w:numId="27">
    <w:abstractNumId w:val="41"/>
  </w:num>
  <w:num w:numId="28">
    <w:abstractNumId w:val="49"/>
  </w:num>
  <w:num w:numId="29">
    <w:abstractNumId w:val="8"/>
  </w:num>
  <w:num w:numId="30">
    <w:abstractNumId w:val="3"/>
  </w:num>
  <w:num w:numId="31">
    <w:abstractNumId w:val="25"/>
  </w:num>
  <w:num w:numId="32">
    <w:abstractNumId w:val="24"/>
  </w:num>
  <w:num w:numId="33">
    <w:abstractNumId w:val="44"/>
  </w:num>
  <w:num w:numId="34">
    <w:abstractNumId w:val="43"/>
  </w:num>
  <w:num w:numId="35">
    <w:abstractNumId w:val="13"/>
  </w:num>
  <w:num w:numId="36">
    <w:abstractNumId w:val="15"/>
  </w:num>
  <w:num w:numId="37">
    <w:abstractNumId w:val="29"/>
  </w:num>
  <w:num w:numId="38">
    <w:abstractNumId w:val="6"/>
  </w:num>
  <w:num w:numId="39">
    <w:abstractNumId w:val="2"/>
  </w:num>
  <w:num w:numId="40">
    <w:abstractNumId w:val="4"/>
  </w:num>
  <w:num w:numId="41">
    <w:abstractNumId w:val="45"/>
  </w:num>
  <w:num w:numId="42">
    <w:abstractNumId w:val="22"/>
  </w:num>
  <w:num w:numId="43">
    <w:abstractNumId w:val="12"/>
  </w:num>
  <w:num w:numId="44">
    <w:abstractNumId w:val="45"/>
    <w:lvlOverride w:ilvl="0">
      <w:startOverride w:val="1"/>
    </w:lvlOverride>
  </w:num>
  <w:num w:numId="45">
    <w:abstractNumId w:val="48"/>
  </w:num>
  <w:num w:numId="46">
    <w:abstractNumId w:val="39"/>
  </w:num>
  <w:num w:numId="47">
    <w:abstractNumId w:val="40"/>
  </w:num>
  <w:num w:numId="48">
    <w:abstractNumId w:val="36"/>
  </w:num>
  <w:num w:numId="49">
    <w:abstractNumId w:val="42"/>
  </w:num>
  <w:num w:numId="50">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094"/>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A06"/>
    <w:rsid w:val="00021E83"/>
    <w:rsid w:val="00023713"/>
    <w:rsid w:val="00023C4D"/>
    <w:rsid w:val="00024161"/>
    <w:rsid w:val="00025E71"/>
    <w:rsid w:val="00026035"/>
    <w:rsid w:val="00026269"/>
    <w:rsid w:val="00027154"/>
    <w:rsid w:val="000274D7"/>
    <w:rsid w:val="00027ECF"/>
    <w:rsid w:val="000303BE"/>
    <w:rsid w:val="000321C9"/>
    <w:rsid w:val="0003230C"/>
    <w:rsid w:val="000344D6"/>
    <w:rsid w:val="000347A5"/>
    <w:rsid w:val="00034960"/>
    <w:rsid w:val="00036FAE"/>
    <w:rsid w:val="00041858"/>
    <w:rsid w:val="000425C4"/>
    <w:rsid w:val="0004389E"/>
    <w:rsid w:val="000439D8"/>
    <w:rsid w:val="000463A6"/>
    <w:rsid w:val="00046CC9"/>
    <w:rsid w:val="00046E91"/>
    <w:rsid w:val="000502FE"/>
    <w:rsid w:val="00050BBF"/>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112"/>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11CC"/>
    <w:rsid w:val="00091F36"/>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227"/>
    <w:rsid w:val="000A358F"/>
    <w:rsid w:val="000A43CC"/>
    <w:rsid w:val="000A58BE"/>
    <w:rsid w:val="000A687A"/>
    <w:rsid w:val="000A7314"/>
    <w:rsid w:val="000A7B53"/>
    <w:rsid w:val="000A7B64"/>
    <w:rsid w:val="000A7D5F"/>
    <w:rsid w:val="000B145F"/>
    <w:rsid w:val="000B275C"/>
    <w:rsid w:val="000B2C3D"/>
    <w:rsid w:val="000B55C0"/>
    <w:rsid w:val="000B5DF2"/>
    <w:rsid w:val="000C06C9"/>
    <w:rsid w:val="000C166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20"/>
    <w:rsid w:val="000E667A"/>
    <w:rsid w:val="000E7086"/>
    <w:rsid w:val="000E7C65"/>
    <w:rsid w:val="000E7CE4"/>
    <w:rsid w:val="000F04D2"/>
    <w:rsid w:val="000F3A53"/>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27E27"/>
    <w:rsid w:val="00130F41"/>
    <w:rsid w:val="00130FAF"/>
    <w:rsid w:val="00131A99"/>
    <w:rsid w:val="0013408C"/>
    <w:rsid w:val="00134D1B"/>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2DA9"/>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4E8"/>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3F45"/>
    <w:rsid w:val="001B4E4B"/>
    <w:rsid w:val="001B50AC"/>
    <w:rsid w:val="001B55FB"/>
    <w:rsid w:val="001B5E05"/>
    <w:rsid w:val="001B6D68"/>
    <w:rsid w:val="001B6F2E"/>
    <w:rsid w:val="001C0344"/>
    <w:rsid w:val="001C0A55"/>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3B9"/>
    <w:rsid w:val="001D5498"/>
    <w:rsid w:val="001D5BAF"/>
    <w:rsid w:val="001D6401"/>
    <w:rsid w:val="001D66C9"/>
    <w:rsid w:val="001D722A"/>
    <w:rsid w:val="001E04FC"/>
    <w:rsid w:val="001E407D"/>
    <w:rsid w:val="001E40FB"/>
    <w:rsid w:val="001E66EC"/>
    <w:rsid w:val="001E68C5"/>
    <w:rsid w:val="001F0F63"/>
    <w:rsid w:val="001F2940"/>
    <w:rsid w:val="001F3996"/>
    <w:rsid w:val="001F44A4"/>
    <w:rsid w:val="001F45DC"/>
    <w:rsid w:val="001F579D"/>
    <w:rsid w:val="001F65EF"/>
    <w:rsid w:val="001F697B"/>
    <w:rsid w:val="002005A6"/>
    <w:rsid w:val="00204CBC"/>
    <w:rsid w:val="002051F1"/>
    <w:rsid w:val="00205AE4"/>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9D1"/>
    <w:rsid w:val="00233B08"/>
    <w:rsid w:val="00233C3B"/>
    <w:rsid w:val="0023499C"/>
    <w:rsid w:val="00235CE3"/>
    <w:rsid w:val="0023636A"/>
    <w:rsid w:val="00236F34"/>
    <w:rsid w:val="002372F7"/>
    <w:rsid w:val="00240651"/>
    <w:rsid w:val="00240803"/>
    <w:rsid w:val="002437CE"/>
    <w:rsid w:val="0024426D"/>
    <w:rsid w:val="00244F1D"/>
    <w:rsid w:val="00245004"/>
    <w:rsid w:val="00245FB4"/>
    <w:rsid w:val="00250898"/>
    <w:rsid w:val="00251EA9"/>
    <w:rsid w:val="00252843"/>
    <w:rsid w:val="002543F8"/>
    <w:rsid w:val="002551A4"/>
    <w:rsid w:val="002559F3"/>
    <w:rsid w:val="00256DFE"/>
    <w:rsid w:val="00260089"/>
    <w:rsid w:val="00261D56"/>
    <w:rsid w:val="00261FD3"/>
    <w:rsid w:val="00264077"/>
    <w:rsid w:val="00266B9A"/>
    <w:rsid w:val="00270DF2"/>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1A4B"/>
    <w:rsid w:val="002A35EF"/>
    <w:rsid w:val="002A3DE0"/>
    <w:rsid w:val="002A40EA"/>
    <w:rsid w:val="002A46E8"/>
    <w:rsid w:val="002A491C"/>
    <w:rsid w:val="002B1FEF"/>
    <w:rsid w:val="002B2DF8"/>
    <w:rsid w:val="002B354F"/>
    <w:rsid w:val="002B3614"/>
    <w:rsid w:val="002B3EAC"/>
    <w:rsid w:val="002B45D1"/>
    <w:rsid w:val="002B4ED8"/>
    <w:rsid w:val="002B4FAA"/>
    <w:rsid w:val="002B52C2"/>
    <w:rsid w:val="002B7656"/>
    <w:rsid w:val="002C1492"/>
    <w:rsid w:val="002C1E8B"/>
    <w:rsid w:val="002C2EFE"/>
    <w:rsid w:val="002C53AA"/>
    <w:rsid w:val="002C5B2D"/>
    <w:rsid w:val="002C6AF9"/>
    <w:rsid w:val="002C7DFC"/>
    <w:rsid w:val="002D1356"/>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5150"/>
    <w:rsid w:val="002E6E5E"/>
    <w:rsid w:val="002E7113"/>
    <w:rsid w:val="002E7F4B"/>
    <w:rsid w:val="002E7FB3"/>
    <w:rsid w:val="002F0C91"/>
    <w:rsid w:val="002F0E3E"/>
    <w:rsid w:val="002F1B19"/>
    <w:rsid w:val="002F1FBF"/>
    <w:rsid w:val="002F4139"/>
    <w:rsid w:val="002F4AD9"/>
    <w:rsid w:val="00300624"/>
    <w:rsid w:val="00300F56"/>
    <w:rsid w:val="00301006"/>
    <w:rsid w:val="00303565"/>
    <w:rsid w:val="00304A71"/>
    <w:rsid w:val="003066C8"/>
    <w:rsid w:val="0030739D"/>
    <w:rsid w:val="00307AFB"/>
    <w:rsid w:val="00311184"/>
    <w:rsid w:val="0031264C"/>
    <w:rsid w:val="00312675"/>
    <w:rsid w:val="00314013"/>
    <w:rsid w:val="00314945"/>
    <w:rsid w:val="00315389"/>
    <w:rsid w:val="00315746"/>
    <w:rsid w:val="00315895"/>
    <w:rsid w:val="00315E96"/>
    <w:rsid w:val="00317FC8"/>
    <w:rsid w:val="0032064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0E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4756"/>
    <w:rsid w:val="0036538D"/>
    <w:rsid w:val="00365D12"/>
    <w:rsid w:val="0037018D"/>
    <w:rsid w:val="00372299"/>
    <w:rsid w:val="00372DAB"/>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69B"/>
    <w:rsid w:val="003B381A"/>
    <w:rsid w:val="003B4976"/>
    <w:rsid w:val="003B4B3F"/>
    <w:rsid w:val="003B6258"/>
    <w:rsid w:val="003B7A99"/>
    <w:rsid w:val="003B7DEB"/>
    <w:rsid w:val="003C0343"/>
    <w:rsid w:val="003C0E87"/>
    <w:rsid w:val="003C1C32"/>
    <w:rsid w:val="003C40DA"/>
    <w:rsid w:val="003C42BA"/>
    <w:rsid w:val="003C462F"/>
    <w:rsid w:val="003C4A02"/>
    <w:rsid w:val="003C4F05"/>
    <w:rsid w:val="003C6191"/>
    <w:rsid w:val="003C6E49"/>
    <w:rsid w:val="003C74B0"/>
    <w:rsid w:val="003C79A9"/>
    <w:rsid w:val="003D0CBF"/>
    <w:rsid w:val="003D0DD6"/>
    <w:rsid w:val="003D4B73"/>
    <w:rsid w:val="003D503B"/>
    <w:rsid w:val="003D605E"/>
    <w:rsid w:val="003D61D1"/>
    <w:rsid w:val="003D6780"/>
    <w:rsid w:val="003D6FCB"/>
    <w:rsid w:val="003E0A5A"/>
    <w:rsid w:val="003E0F84"/>
    <w:rsid w:val="003E1FF3"/>
    <w:rsid w:val="003E2CE4"/>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D76"/>
    <w:rsid w:val="00406E90"/>
    <w:rsid w:val="00407232"/>
    <w:rsid w:val="004101B5"/>
    <w:rsid w:val="00410240"/>
    <w:rsid w:val="00412253"/>
    <w:rsid w:val="004142ED"/>
    <w:rsid w:val="0041634D"/>
    <w:rsid w:val="00417EF7"/>
    <w:rsid w:val="00422A7D"/>
    <w:rsid w:val="00422BFC"/>
    <w:rsid w:val="00424642"/>
    <w:rsid w:val="004247EF"/>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47D4"/>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1DD5"/>
    <w:rsid w:val="004A357F"/>
    <w:rsid w:val="004A3DAD"/>
    <w:rsid w:val="004A4AC0"/>
    <w:rsid w:val="004A5BC4"/>
    <w:rsid w:val="004A6415"/>
    <w:rsid w:val="004B0335"/>
    <w:rsid w:val="004B0F1C"/>
    <w:rsid w:val="004B16AC"/>
    <w:rsid w:val="004B1D0D"/>
    <w:rsid w:val="004B1E61"/>
    <w:rsid w:val="004B21AB"/>
    <w:rsid w:val="004B3C92"/>
    <w:rsid w:val="004B59E0"/>
    <w:rsid w:val="004B6258"/>
    <w:rsid w:val="004B667B"/>
    <w:rsid w:val="004B71C7"/>
    <w:rsid w:val="004C03AA"/>
    <w:rsid w:val="004C0B9A"/>
    <w:rsid w:val="004C0D38"/>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3D6"/>
    <w:rsid w:val="004D2D3A"/>
    <w:rsid w:val="004D374D"/>
    <w:rsid w:val="004D3C42"/>
    <w:rsid w:val="004D3DEC"/>
    <w:rsid w:val="004D42C8"/>
    <w:rsid w:val="004D4F57"/>
    <w:rsid w:val="004D50F6"/>
    <w:rsid w:val="004D5A0D"/>
    <w:rsid w:val="004D7910"/>
    <w:rsid w:val="004D7C5E"/>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52F3"/>
    <w:rsid w:val="00516783"/>
    <w:rsid w:val="00517EF8"/>
    <w:rsid w:val="00520083"/>
    <w:rsid w:val="0052029E"/>
    <w:rsid w:val="0052076A"/>
    <w:rsid w:val="00520A2C"/>
    <w:rsid w:val="00520E25"/>
    <w:rsid w:val="0052183D"/>
    <w:rsid w:val="00522F44"/>
    <w:rsid w:val="0052360A"/>
    <w:rsid w:val="00524168"/>
    <w:rsid w:val="005242BA"/>
    <w:rsid w:val="005243B8"/>
    <w:rsid w:val="00524B1F"/>
    <w:rsid w:val="005252DD"/>
    <w:rsid w:val="00530A8D"/>
    <w:rsid w:val="0053138E"/>
    <w:rsid w:val="00531C6D"/>
    <w:rsid w:val="00532EF4"/>
    <w:rsid w:val="005347CE"/>
    <w:rsid w:val="00535477"/>
    <w:rsid w:val="00535DEA"/>
    <w:rsid w:val="0053668A"/>
    <w:rsid w:val="0053723A"/>
    <w:rsid w:val="00537636"/>
    <w:rsid w:val="00537B1D"/>
    <w:rsid w:val="00540191"/>
    <w:rsid w:val="00540A2A"/>
    <w:rsid w:val="00541F27"/>
    <w:rsid w:val="00542297"/>
    <w:rsid w:val="005424BC"/>
    <w:rsid w:val="00542A28"/>
    <w:rsid w:val="0054371C"/>
    <w:rsid w:val="00543B30"/>
    <w:rsid w:val="005441D4"/>
    <w:rsid w:val="005450C3"/>
    <w:rsid w:val="0054672D"/>
    <w:rsid w:val="00550878"/>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553D"/>
    <w:rsid w:val="005762EC"/>
    <w:rsid w:val="005765C0"/>
    <w:rsid w:val="005778DE"/>
    <w:rsid w:val="00580B3F"/>
    <w:rsid w:val="005825F2"/>
    <w:rsid w:val="00582AAD"/>
    <w:rsid w:val="00582DB6"/>
    <w:rsid w:val="005860AF"/>
    <w:rsid w:val="00587F1D"/>
    <w:rsid w:val="00590348"/>
    <w:rsid w:val="00591161"/>
    <w:rsid w:val="00592318"/>
    <w:rsid w:val="0059306C"/>
    <w:rsid w:val="00593133"/>
    <w:rsid w:val="00594B15"/>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352"/>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22BB"/>
    <w:rsid w:val="005E3B00"/>
    <w:rsid w:val="005E49E5"/>
    <w:rsid w:val="005E5481"/>
    <w:rsid w:val="005E55E4"/>
    <w:rsid w:val="005E6C5F"/>
    <w:rsid w:val="005E7636"/>
    <w:rsid w:val="005F028E"/>
    <w:rsid w:val="005F04B4"/>
    <w:rsid w:val="005F11A4"/>
    <w:rsid w:val="005F11CD"/>
    <w:rsid w:val="005F19F8"/>
    <w:rsid w:val="005F3A40"/>
    <w:rsid w:val="005F3FB1"/>
    <w:rsid w:val="005F5846"/>
    <w:rsid w:val="005F5ACF"/>
    <w:rsid w:val="005F60DC"/>
    <w:rsid w:val="006000DD"/>
    <w:rsid w:val="00600F63"/>
    <w:rsid w:val="006012E1"/>
    <w:rsid w:val="00602253"/>
    <w:rsid w:val="006023E1"/>
    <w:rsid w:val="006034DC"/>
    <w:rsid w:val="006036BB"/>
    <w:rsid w:val="00605531"/>
    <w:rsid w:val="00606240"/>
    <w:rsid w:val="0060674A"/>
    <w:rsid w:val="00607832"/>
    <w:rsid w:val="0060784B"/>
    <w:rsid w:val="00610254"/>
    <w:rsid w:val="006105FB"/>
    <w:rsid w:val="00610F94"/>
    <w:rsid w:val="00611293"/>
    <w:rsid w:val="0061135E"/>
    <w:rsid w:val="0061263A"/>
    <w:rsid w:val="00612C41"/>
    <w:rsid w:val="00612F89"/>
    <w:rsid w:val="00613A20"/>
    <w:rsid w:val="006145DE"/>
    <w:rsid w:val="0061478E"/>
    <w:rsid w:val="00614F25"/>
    <w:rsid w:val="006162C6"/>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5CF9"/>
    <w:rsid w:val="00636069"/>
    <w:rsid w:val="006361F4"/>
    <w:rsid w:val="006362FA"/>
    <w:rsid w:val="0063642C"/>
    <w:rsid w:val="0063681E"/>
    <w:rsid w:val="00636FF9"/>
    <w:rsid w:val="00640DCD"/>
    <w:rsid w:val="00641DC3"/>
    <w:rsid w:val="0064208D"/>
    <w:rsid w:val="00642972"/>
    <w:rsid w:val="00644F4D"/>
    <w:rsid w:val="006469B1"/>
    <w:rsid w:val="00646C0D"/>
    <w:rsid w:val="00647246"/>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A90"/>
    <w:rsid w:val="00667FEA"/>
    <w:rsid w:val="006710D2"/>
    <w:rsid w:val="00671A8B"/>
    <w:rsid w:val="00671F53"/>
    <w:rsid w:val="006725A0"/>
    <w:rsid w:val="00673839"/>
    <w:rsid w:val="0067555E"/>
    <w:rsid w:val="00677FAD"/>
    <w:rsid w:val="00680274"/>
    <w:rsid w:val="006802DE"/>
    <w:rsid w:val="0068032D"/>
    <w:rsid w:val="0068068C"/>
    <w:rsid w:val="00681115"/>
    <w:rsid w:val="00682640"/>
    <w:rsid w:val="00683920"/>
    <w:rsid w:val="00685147"/>
    <w:rsid w:val="00685653"/>
    <w:rsid w:val="0068590D"/>
    <w:rsid w:val="00685A89"/>
    <w:rsid w:val="006861B3"/>
    <w:rsid w:val="00686FA2"/>
    <w:rsid w:val="006870C5"/>
    <w:rsid w:val="006902B2"/>
    <w:rsid w:val="00690C59"/>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0F7D"/>
    <w:rsid w:val="006C2253"/>
    <w:rsid w:val="006C2CCB"/>
    <w:rsid w:val="006C4334"/>
    <w:rsid w:val="006C4B0F"/>
    <w:rsid w:val="006C5CE6"/>
    <w:rsid w:val="006C5E96"/>
    <w:rsid w:val="006C71B1"/>
    <w:rsid w:val="006D399F"/>
    <w:rsid w:val="006D4F0C"/>
    <w:rsid w:val="006D5645"/>
    <w:rsid w:val="006D79C9"/>
    <w:rsid w:val="006E0A4F"/>
    <w:rsid w:val="006E0C8A"/>
    <w:rsid w:val="006E2A23"/>
    <w:rsid w:val="006E35E5"/>
    <w:rsid w:val="006E3C72"/>
    <w:rsid w:val="006E4F20"/>
    <w:rsid w:val="006E649A"/>
    <w:rsid w:val="006F08DC"/>
    <w:rsid w:val="006F1D42"/>
    <w:rsid w:val="006F365A"/>
    <w:rsid w:val="006F3948"/>
    <w:rsid w:val="006F4403"/>
    <w:rsid w:val="006F4535"/>
    <w:rsid w:val="006F45EC"/>
    <w:rsid w:val="006F47B8"/>
    <w:rsid w:val="006F47D2"/>
    <w:rsid w:val="006F4B04"/>
    <w:rsid w:val="006F4FA8"/>
    <w:rsid w:val="006F5456"/>
    <w:rsid w:val="006F57F2"/>
    <w:rsid w:val="006F6468"/>
    <w:rsid w:val="006F7369"/>
    <w:rsid w:val="006F746E"/>
    <w:rsid w:val="00700247"/>
    <w:rsid w:val="00701051"/>
    <w:rsid w:val="007021C2"/>
    <w:rsid w:val="00702502"/>
    <w:rsid w:val="007033A8"/>
    <w:rsid w:val="0070421B"/>
    <w:rsid w:val="007043F0"/>
    <w:rsid w:val="0070482E"/>
    <w:rsid w:val="00704C01"/>
    <w:rsid w:val="00704D25"/>
    <w:rsid w:val="00704EED"/>
    <w:rsid w:val="00710519"/>
    <w:rsid w:val="00710F6E"/>
    <w:rsid w:val="00711663"/>
    <w:rsid w:val="007116B4"/>
    <w:rsid w:val="00712580"/>
    <w:rsid w:val="007133E4"/>
    <w:rsid w:val="00713788"/>
    <w:rsid w:val="00713940"/>
    <w:rsid w:val="007151A2"/>
    <w:rsid w:val="00716774"/>
    <w:rsid w:val="007209DD"/>
    <w:rsid w:val="00722503"/>
    <w:rsid w:val="00722E49"/>
    <w:rsid w:val="00723A08"/>
    <w:rsid w:val="00723B5C"/>
    <w:rsid w:val="00724391"/>
    <w:rsid w:val="00724C18"/>
    <w:rsid w:val="00726630"/>
    <w:rsid w:val="00727F73"/>
    <w:rsid w:val="00730705"/>
    <w:rsid w:val="00730944"/>
    <w:rsid w:val="0073248E"/>
    <w:rsid w:val="00733EE9"/>
    <w:rsid w:val="00733F22"/>
    <w:rsid w:val="00735B8E"/>
    <w:rsid w:val="00735E82"/>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037"/>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1479"/>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2541"/>
    <w:rsid w:val="007C49C0"/>
    <w:rsid w:val="007C55C1"/>
    <w:rsid w:val="007C5738"/>
    <w:rsid w:val="007C5772"/>
    <w:rsid w:val="007C5AC3"/>
    <w:rsid w:val="007C68A6"/>
    <w:rsid w:val="007C7233"/>
    <w:rsid w:val="007D10EE"/>
    <w:rsid w:val="007D1193"/>
    <w:rsid w:val="007D21D5"/>
    <w:rsid w:val="007D293D"/>
    <w:rsid w:val="007D3E8D"/>
    <w:rsid w:val="007D5519"/>
    <w:rsid w:val="007D5915"/>
    <w:rsid w:val="007D5B4F"/>
    <w:rsid w:val="007D5C30"/>
    <w:rsid w:val="007E0660"/>
    <w:rsid w:val="007E1411"/>
    <w:rsid w:val="007E1882"/>
    <w:rsid w:val="007E1BB4"/>
    <w:rsid w:val="007E3514"/>
    <w:rsid w:val="007E4AAA"/>
    <w:rsid w:val="007E4BD2"/>
    <w:rsid w:val="007E4C29"/>
    <w:rsid w:val="007E53C1"/>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7A5F"/>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312"/>
    <w:rsid w:val="00840477"/>
    <w:rsid w:val="0084121D"/>
    <w:rsid w:val="008419C1"/>
    <w:rsid w:val="00844515"/>
    <w:rsid w:val="0084465A"/>
    <w:rsid w:val="00844DFF"/>
    <w:rsid w:val="00845AAE"/>
    <w:rsid w:val="00845D87"/>
    <w:rsid w:val="00846C3A"/>
    <w:rsid w:val="008477BF"/>
    <w:rsid w:val="008503DA"/>
    <w:rsid w:val="00850B68"/>
    <w:rsid w:val="00850E82"/>
    <w:rsid w:val="0085122D"/>
    <w:rsid w:val="008519E8"/>
    <w:rsid w:val="008525FF"/>
    <w:rsid w:val="00852C03"/>
    <w:rsid w:val="00853A70"/>
    <w:rsid w:val="0085590C"/>
    <w:rsid w:val="008575EB"/>
    <w:rsid w:val="00862DDD"/>
    <w:rsid w:val="0086326D"/>
    <w:rsid w:val="00863CC1"/>
    <w:rsid w:val="008649D2"/>
    <w:rsid w:val="00865B01"/>
    <w:rsid w:val="00866D7A"/>
    <w:rsid w:val="00866EE3"/>
    <w:rsid w:val="0086775F"/>
    <w:rsid w:val="00867ACB"/>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5C8"/>
    <w:rsid w:val="00895818"/>
    <w:rsid w:val="008A2585"/>
    <w:rsid w:val="008A2718"/>
    <w:rsid w:val="008A4CF6"/>
    <w:rsid w:val="008A4E42"/>
    <w:rsid w:val="008A51AA"/>
    <w:rsid w:val="008A6A12"/>
    <w:rsid w:val="008B0994"/>
    <w:rsid w:val="008B0B4E"/>
    <w:rsid w:val="008B0DC6"/>
    <w:rsid w:val="008B2B9E"/>
    <w:rsid w:val="008B31F5"/>
    <w:rsid w:val="008B34B2"/>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3BC4"/>
    <w:rsid w:val="008F4B2C"/>
    <w:rsid w:val="008F4C08"/>
    <w:rsid w:val="008F4F78"/>
    <w:rsid w:val="008F65D5"/>
    <w:rsid w:val="008F6851"/>
    <w:rsid w:val="008F7BC4"/>
    <w:rsid w:val="00900E7A"/>
    <w:rsid w:val="00901B31"/>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0C6"/>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96B67"/>
    <w:rsid w:val="009A053D"/>
    <w:rsid w:val="009A07A6"/>
    <w:rsid w:val="009A0D56"/>
    <w:rsid w:val="009A156B"/>
    <w:rsid w:val="009A3017"/>
    <w:rsid w:val="009A31B9"/>
    <w:rsid w:val="009A4D4F"/>
    <w:rsid w:val="009A53D8"/>
    <w:rsid w:val="009A597F"/>
    <w:rsid w:val="009A7B72"/>
    <w:rsid w:val="009A7F49"/>
    <w:rsid w:val="009B03C4"/>
    <w:rsid w:val="009B0AA2"/>
    <w:rsid w:val="009B1D02"/>
    <w:rsid w:val="009B6A5A"/>
    <w:rsid w:val="009B7133"/>
    <w:rsid w:val="009B7658"/>
    <w:rsid w:val="009B7984"/>
    <w:rsid w:val="009B7CD1"/>
    <w:rsid w:val="009B7E22"/>
    <w:rsid w:val="009B7E78"/>
    <w:rsid w:val="009C10FE"/>
    <w:rsid w:val="009C13BC"/>
    <w:rsid w:val="009C1CA4"/>
    <w:rsid w:val="009C2532"/>
    <w:rsid w:val="009C2A81"/>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2BF"/>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0F3B"/>
    <w:rsid w:val="00A01A90"/>
    <w:rsid w:val="00A02370"/>
    <w:rsid w:val="00A04685"/>
    <w:rsid w:val="00A04C57"/>
    <w:rsid w:val="00A06340"/>
    <w:rsid w:val="00A0684F"/>
    <w:rsid w:val="00A06867"/>
    <w:rsid w:val="00A10148"/>
    <w:rsid w:val="00A104FE"/>
    <w:rsid w:val="00A10776"/>
    <w:rsid w:val="00A113FD"/>
    <w:rsid w:val="00A114A7"/>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296"/>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7D2"/>
    <w:rsid w:val="00A63C96"/>
    <w:rsid w:val="00A65805"/>
    <w:rsid w:val="00A66BEE"/>
    <w:rsid w:val="00A671C9"/>
    <w:rsid w:val="00A67DFD"/>
    <w:rsid w:val="00A74F9F"/>
    <w:rsid w:val="00A750B3"/>
    <w:rsid w:val="00A75559"/>
    <w:rsid w:val="00A7623D"/>
    <w:rsid w:val="00A77595"/>
    <w:rsid w:val="00A824A7"/>
    <w:rsid w:val="00A83644"/>
    <w:rsid w:val="00A83C07"/>
    <w:rsid w:val="00A83F40"/>
    <w:rsid w:val="00A84945"/>
    <w:rsid w:val="00A85226"/>
    <w:rsid w:val="00A85543"/>
    <w:rsid w:val="00A861A4"/>
    <w:rsid w:val="00A869A8"/>
    <w:rsid w:val="00A8728B"/>
    <w:rsid w:val="00A903D3"/>
    <w:rsid w:val="00A91682"/>
    <w:rsid w:val="00A91E16"/>
    <w:rsid w:val="00A92E4A"/>
    <w:rsid w:val="00A93ABB"/>
    <w:rsid w:val="00A958CA"/>
    <w:rsid w:val="00A966B6"/>
    <w:rsid w:val="00A96B46"/>
    <w:rsid w:val="00A96C55"/>
    <w:rsid w:val="00AA003B"/>
    <w:rsid w:val="00AA016B"/>
    <w:rsid w:val="00AA15DD"/>
    <w:rsid w:val="00AA1C09"/>
    <w:rsid w:val="00AA2F67"/>
    <w:rsid w:val="00AA3569"/>
    <w:rsid w:val="00AA3A20"/>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6A8"/>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AF66E9"/>
    <w:rsid w:val="00B03CE2"/>
    <w:rsid w:val="00B059A9"/>
    <w:rsid w:val="00B063CF"/>
    <w:rsid w:val="00B06544"/>
    <w:rsid w:val="00B105F2"/>
    <w:rsid w:val="00B10991"/>
    <w:rsid w:val="00B12128"/>
    <w:rsid w:val="00B12945"/>
    <w:rsid w:val="00B12C14"/>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299C"/>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01D"/>
    <w:rsid w:val="00B73492"/>
    <w:rsid w:val="00B7512A"/>
    <w:rsid w:val="00B76548"/>
    <w:rsid w:val="00B76BED"/>
    <w:rsid w:val="00B806E6"/>
    <w:rsid w:val="00B82DC1"/>
    <w:rsid w:val="00B83303"/>
    <w:rsid w:val="00B835D5"/>
    <w:rsid w:val="00B84028"/>
    <w:rsid w:val="00B84307"/>
    <w:rsid w:val="00B8430D"/>
    <w:rsid w:val="00B85661"/>
    <w:rsid w:val="00B85C8A"/>
    <w:rsid w:val="00B86FBD"/>
    <w:rsid w:val="00B90EEC"/>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DE6"/>
    <w:rsid w:val="00BA45D8"/>
    <w:rsid w:val="00BA5828"/>
    <w:rsid w:val="00BA647A"/>
    <w:rsid w:val="00BA64B3"/>
    <w:rsid w:val="00BA754A"/>
    <w:rsid w:val="00BA7820"/>
    <w:rsid w:val="00BA794C"/>
    <w:rsid w:val="00BB09FB"/>
    <w:rsid w:val="00BB10D3"/>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559"/>
    <w:rsid w:val="00BF6D9E"/>
    <w:rsid w:val="00BF6E3E"/>
    <w:rsid w:val="00BF71BB"/>
    <w:rsid w:val="00BF76F7"/>
    <w:rsid w:val="00BF7C9F"/>
    <w:rsid w:val="00C00012"/>
    <w:rsid w:val="00C000A5"/>
    <w:rsid w:val="00C006B4"/>
    <w:rsid w:val="00C00938"/>
    <w:rsid w:val="00C00E2A"/>
    <w:rsid w:val="00C025B9"/>
    <w:rsid w:val="00C03380"/>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6B7"/>
    <w:rsid w:val="00C14F48"/>
    <w:rsid w:val="00C15296"/>
    <w:rsid w:val="00C17750"/>
    <w:rsid w:val="00C201BF"/>
    <w:rsid w:val="00C2094B"/>
    <w:rsid w:val="00C20DC5"/>
    <w:rsid w:val="00C2294E"/>
    <w:rsid w:val="00C22A5B"/>
    <w:rsid w:val="00C23412"/>
    <w:rsid w:val="00C264C7"/>
    <w:rsid w:val="00C271C4"/>
    <w:rsid w:val="00C274F3"/>
    <w:rsid w:val="00C307C7"/>
    <w:rsid w:val="00C30A54"/>
    <w:rsid w:val="00C316F7"/>
    <w:rsid w:val="00C31DF0"/>
    <w:rsid w:val="00C32578"/>
    <w:rsid w:val="00C33916"/>
    <w:rsid w:val="00C33BCF"/>
    <w:rsid w:val="00C34D1D"/>
    <w:rsid w:val="00C353A0"/>
    <w:rsid w:val="00C3583B"/>
    <w:rsid w:val="00C368D7"/>
    <w:rsid w:val="00C36FD1"/>
    <w:rsid w:val="00C371A5"/>
    <w:rsid w:val="00C400B0"/>
    <w:rsid w:val="00C40986"/>
    <w:rsid w:val="00C40F4E"/>
    <w:rsid w:val="00C413FC"/>
    <w:rsid w:val="00C41529"/>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24C8"/>
    <w:rsid w:val="00C638C2"/>
    <w:rsid w:val="00C651D4"/>
    <w:rsid w:val="00C6669E"/>
    <w:rsid w:val="00C672B0"/>
    <w:rsid w:val="00C729C7"/>
    <w:rsid w:val="00C761FA"/>
    <w:rsid w:val="00C777AD"/>
    <w:rsid w:val="00C807C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BE1"/>
    <w:rsid w:val="00CD1FAE"/>
    <w:rsid w:val="00CD204E"/>
    <w:rsid w:val="00CD232F"/>
    <w:rsid w:val="00CD279E"/>
    <w:rsid w:val="00CD2F92"/>
    <w:rsid w:val="00CD46E9"/>
    <w:rsid w:val="00CD4EB0"/>
    <w:rsid w:val="00CD512D"/>
    <w:rsid w:val="00CD5831"/>
    <w:rsid w:val="00CD6F6E"/>
    <w:rsid w:val="00CE08D1"/>
    <w:rsid w:val="00CE157F"/>
    <w:rsid w:val="00CE1966"/>
    <w:rsid w:val="00CE1ED4"/>
    <w:rsid w:val="00CE2216"/>
    <w:rsid w:val="00CE2F1F"/>
    <w:rsid w:val="00CE3014"/>
    <w:rsid w:val="00CE30E5"/>
    <w:rsid w:val="00CE322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4536"/>
    <w:rsid w:val="00D1519E"/>
    <w:rsid w:val="00D152B7"/>
    <w:rsid w:val="00D16EDC"/>
    <w:rsid w:val="00D17FDE"/>
    <w:rsid w:val="00D201CB"/>
    <w:rsid w:val="00D20C10"/>
    <w:rsid w:val="00D22786"/>
    <w:rsid w:val="00D228B4"/>
    <w:rsid w:val="00D25AC4"/>
    <w:rsid w:val="00D305F6"/>
    <w:rsid w:val="00D30B25"/>
    <w:rsid w:val="00D3175A"/>
    <w:rsid w:val="00D31A00"/>
    <w:rsid w:val="00D323E4"/>
    <w:rsid w:val="00D32871"/>
    <w:rsid w:val="00D3360E"/>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1BFE"/>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3071"/>
    <w:rsid w:val="00D74F0D"/>
    <w:rsid w:val="00D75603"/>
    <w:rsid w:val="00D75FEE"/>
    <w:rsid w:val="00D76933"/>
    <w:rsid w:val="00D76D88"/>
    <w:rsid w:val="00D77CC9"/>
    <w:rsid w:val="00D83D4B"/>
    <w:rsid w:val="00D8581B"/>
    <w:rsid w:val="00D871C6"/>
    <w:rsid w:val="00D91010"/>
    <w:rsid w:val="00D9120E"/>
    <w:rsid w:val="00D91422"/>
    <w:rsid w:val="00DA0FA7"/>
    <w:rsid w:val="00DA12B0"/>
    <w:rsid w:val="00DA2BA0"/>
    <w:rsid w:val="00DA39AD"/>
    <w:rsid w:val="00DA5B13"/>
    <w:rsid w:val="00DA6917"/>
    <w:rsid w:val="00DA6926"/>
    <w:rsid w:val="00DB0965"/>
    <w:rsid w:val="00DB0E47"/>
    <w:rsid w:val="00DB1EC1"/>
    <w:rsid w:val="00DB2BDD"/>
    <w:rsid w:val="00DB4121"/>
    <w:rsid w:val="00DB46C3"/>
    <w:rsid w:val="00DB5742"/>
    <w:rsid w:val="00DB5EDF"/>
    <w:rsid w:val="00DB6C46"/>
    <w:rsid w:val="00DB72B8"/>
    <w:rsid w:val="00DC16AF"/>
    <w:rsid w:val="00DC2A9A"/>
    <w:rsid w:val="00DC2E2E"/>
    <w:rsid w:val="00DC4D68"/>
    <w:rsid w:val="00DC6463"/>
    <w:rsid w:val="00DC7509"/>
    <w:rsid w:val="00DC7822"/>
    <w:rsid w:val="00DC7AF1"/>
    <w:rsid w:val="00DD2D92"/>
    <w:rsid w:val="00DD3026"/>
    <w:rsid w:val="00DD33DC"/>
    <w:rsid w:val="00DD3BB0"/>
    <w:rsid w:val="00DD61F5"/>
    <w:rsid w:val="00DE2681"/>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CDF"/>
    <w:rsid w:val="00E16FB5"/>
    <w:rsid w:val="00E179D6"/>
    <w:rsid w:val="00E21407"/>
    <w:rsid w:val="00E221F4"/>
    <w:rsid w:val="00E22668"/>
    <w:rsid w:val="00E227D3"/>
    <w:rsid w:val="00E22BFF"/>
    <w:rsid w:val="00E22CB0"/>
    <w:rsid w:val="00E23798"/>
    <w:rsid w:val="00E2585D"/>
    <w:rsid w:val="00E25DBD"/>
    <w:rsid w:val="00E25FA2"/>
    <w:rsid w:val="00E26ADC"/>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7D3"/>
    <w:rsid w:val="00E54EE6"/>
    <w:rsid w:val="00E56715"/>
    <w:rsid w:val="00E56C2C"/>
    <w:rsid w:val="00E57F8E"/>
    <w:rsid w:val="00E60776"/>
    <w:rsid w:val="00E611C8"/>
    <w:rsid w:val="00E613EB"/>
    <w:rsid w:val="00E61D87"/>
    <w:rsid w:val="00E63256"/>
    <w:rsid w:val="00E6344A"/>
    <w:rsid w:val="00E64E69"/>
    <w:rsid w:val="00E64FB7"/>
    <w:rsid w:val="00E669A1"/>
    <w:rsid w:val="00E679BA"/>
    <w:rsid w:val="00E70243"/>
    <w:rsid w:val="00E72CC6"/>
    <w:rsid w:val="00E72E68"/>
    <w:rsid w:val="00E73D44"/>
    <w:rsid w:val="00E7494A"/>
    <w:rsid w:val="00E74BE2"/>
    <w:rsid w:val="00E74C66"/>
    <w:rsid w:val="00E74FA2"/>
    <w:rsid w:val="00E757E3"/>
    <w:rsid w:val="00E75933"/>
    <w:rsid w:val="00E77A1B"/>
    <w:rsid w:val="00E808BE"/>
    <w:rsid w:val="00E81E36"/>
    <w:rsid w:val="00E81E40"/>
    <w:rsid w:val="00E8240E"/>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C7E0B"/>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E7E0C"/>
    <w:rsid w:val="00EF0769"/>
    <w:rsid w:val="00EF0D7C"/>
    <w:rsid w:val="00EF1CBA"/>
    <w:rsid w:val="00EF40E2"/>
    <w:rsid w:val="00EF56D0"/>
    <w:rsid w:val="00EF5789"/>
    <w:rsid w:val="00EF5FB9"/>
    <w:rsid w:val="00EF61C1"/>
    <w:rsid w:val="00EF6C8D"/>
    <w:rsid w:val="00EF6E68"/>
    <w:rsid w:val="00EF76DB"/>
    <w:rsid w:val="00F005FD"/>
    <w:rsid w:val="00F024E2"/>
    <w:rsid w:val="00F02C04"/>
    <w:rsid w:val="00F03AF1"/>
    <w:rsid w:val="00F042F9"/>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3AB"/>
    <w:rsid w:val="00F3568B"/>
    <w:rsid w:val="00F377CD"/>
    <w:rsid w:val="00F40C3B"/>
    <w:rsid w:val="00F40CE0"/>
    <w:rsid w:val="00F41BDD"/>
    <w:rsid w:val="00F42DBC"/>
    <w:rsid w:val="00F4308D"/>
    <w:rsid w:val="00F44012"/>
    <w:rsid w:val="00F44947"/>
    <w:rsid w:val="00F458AF"/>
    <w:rsid w:val="00F458EF"/>
    <w:rsid w:val="00F47121"/>
    <w:rsid w:val="00F47507"/>
    <w:rsid w:val="00F4775D"/>
    <w:rsid w:val="00F504DD"/>
    <w:rsid w:val="00F50874"/>
    <w:rsid w:val="00F516C6"/>
    <w:rsid w:val="00F51E97"/>
    <w:rsid w:val="00F52221"/>
    <w:rsid w:val="00F52B28"/>
    <w:rsid w:val="00F536BB"/>
    <w:rsid w:val="00F53755"/>
    <w:rsid w:val="00F53E59"/>
    <w:rsid w:val="00F5475B"/>
    <w:rsid w:val="00F551CC"/>
    <w:rsid w:val="00F574D0"/>
    <w:rsid w:val="00F6031F"/>
    <w:rsid w:val="00F61664"/>
    <w:rsid w:val="00F61B99"/>
    <w:rsid w:val="00F61BA8"/>
    <w:rsid w:val="00F64463"/>
    <w:rsid w:val="00F64C45"/>
    <w:rsid w:val="00F6502B"/>
    <w:rsid w:val="00F65811"/>
    <w:rsid w:val="00F6612A"/>
    <w:rsid w:val="00F66724"/>
    <w:rsid w:val="00F67F04"/>
    <w:rsid w:val="00F70207"/>
    <w:rsid w:val="00F702CB"/>
    <w:rsid w:val="00F70F4A"/>
    <w:rsid w:val="00F71AC2"/>
    <w:rsid w:val="00F735C2"/>
    <w:rsid w:val="00F739D4"/>
    <w:rsid w:val="00F77D43"/>
    <w:rsid w:val="00F80953"/>
    <w:rsid w:val="00F80E7F"/>
    <w:rsid w:val="00F81312"/>
    <w:rsid w:val="00F81B90"/>
    <w:rsid w:val="00F81E6F"/>
    <w:rsid w:val="00F82FF3"/>
    <w:rsid w:val="00F83200"/>
    <w:rsid w:val="00F8453C"/>
    <w:rsid w:val="00F84D4C"/>
    <w:rsid w:val="00F8657D"/>
    <w:rsid w:val="00F8730F"/>
    <w:rsid w:val="00F87DA3"/>
    <w:rsid w:val="00F90004"/>
    <w:rsid w:val="00F90361"/>
    <w:rsid w:val="00F90EF4"/>
    <w:rsid w:val="00F917BF"/>
    <w:rsid w:val="00F920B4"/>
    <w:rsid w:val="00F9260D"/>
    <w:rsid w:val="00F92727"/>
    <w:rsid w:val="00F93CCF"/>
    <w:rsid w:val="00F94307"/>
    <w:rsid w:val="00F9580B"/>
    <w:rsid w:val="00F95F15"/>
    <w:rsid w:val="00F975CA"/>
    <w:rsid w:val="00FA0B60"/>
    <w:rsid w:val="00FA2528"/>
    <w:rsid w:val="00FA509F"/>
    <w:rsid w:val="00FA5535"/>
    <w:rsid w:val="00FA625B"/>
    <w:rsid w:val="00FA7206"/>
    <w:rsid w:val="00FA7EFB"/>
    <w:rsid w:val="00FB0816"/>
    <w:rsid w:val="00FB08C2"/>
    <w:rsid w:val="00FB33B4"/>
    <w:rsid w:val="00FB3DD1"/>
    <w:rsid w:val="00FB51FD"/>
    <w:rsid w:val="00FB5667"/>
    <w:rsid w:val="00FB7A97"/>
    <w:rsid w:val="00FC1B9B"/>
    <w:rsid w:val="00FC318D"/>
    <w:rsid w:val="00FC3508"/>
    <w:rsid w:val="00FC36CF"/>
    <w:rsid w:val="00FC40BC"/>
    <w:rsid w:val="00FC41FC"/>
    <w:rsid w:val="00FC4F6E"/>
    <w:rsid w:val="00FC506C"/>
    <w:rsid w:val="00FC5419"/>
    <w:rsid w:val="00FC578C"/>
    <w:rsid w:val="00FC5A37"/>
    <w:rsid w:val="00FC7223"/>
    <w:rsid w:val="00FD01F4"/>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281BE8B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uiPriority w:val="99"/>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Paragraph"/>
    <w:qFormat/>
    <w:rsid w:val="00407232"/>
    <w:pPr>
      <w:numPr>
        <w:numId w:val="37"/>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otnoteReference"/>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BulletedtextRegularB17">
    <w:name w:val="Bulleted text (Regular)_B17"/>
    <w:basedOn w:val="Normal"/>
    <w:rsid w:val="002339D1"/>
    <w:pPr>
      <w:numPr>
        <w:numId w:val="50"/>
      </w:numPr>
    </w:pPr>
  </w:style>
  <w:style w:type="table" w:customStyle="1" w:styleId="GridTable2-Accent31">
    <w:name w:val="Grid Table 2 - Accent 31"/>
    <w:basedOn w:val="TableNormal"/>
    <w:next w:val="GridTable2-Accent3"/>
    <w:uiPriority w:val="47"/>
    <w:rsid w:val="00A93ABB"/>
    <w:rPr>
      <w:rFonts w:ascii="Noto Sans" w:eastAsia="Noto Sans" w:hAnsi="Noto Sans"/>
      <w:sz w:val="22"/>
      <w:szCs w:val="22"/>
      <w:lang w:eastAsia="en-US"/>
    </w:rPr>
    <w:tblPr>
      <w:tblStyleRowBandSize w:val="1"/>
      <w:tblStyleColBandSize w:val="1"/>
      <w:tblBorders>
        <w:top w:val="single" w:sz="2" w:space="0" w:color="3AB6FF"/>
        <w:bottom w:val="single" w:sz="2" w:space="0" w:color="3AB6FF"/>
        <w:insideH w:val="single" w:sz="2" w:space="0" w:color="3AB6FF"/>
        <w:insideV w:val="single" w:sz="2" w:space="0" w:color="3AB6FF"/>
      </w:tblBorders>
    </w:tblPr>
    <w:tblStylePr w:type="firstRow">
      <w:rPr>
        <w:b/>
        <w:bCs/>
      </w:rPr>
      <w:tblPr/>
      <w:tcPr>
        <w:tcBorders>
          <w:top w:val="nil"/>
          <w:bottom w:val="single" w:sz="12" w:space="0" w:color="3AB6FF"/>
          <w:insideH w:val="nil"/>
          <w:insideV w:val="nil"/>
        </w:tcBorders>
        <w:shd w:val="clear" w:color="auto" w:fill="FFFFFF"/>
      </w:tcPr>
    </w:tblStylePr>
    <w:tblStylePr w:type="lastRow">
      <w:rPr>
        <w:b/>
        <w:bCs/>
      </w:rPr>
      <w:tblPr/>
      <w:tcPr>
        <w:tcBorders>
          <w:top w:val="double" w:sz="2" w:space="0" w:color="3AB6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DE6FF"/>
      </w:tcPr>
    </w:tblStylePr>
    <w:tblStylePr w:type="band1Horz">
      <w:tblPr/>
      <w:tcPr>
        <w:shd w:val="clear" w:color="auto" w:fill="BDE6FF"/>
      </w:tcPr>
    </w:tblStylePr>
  </w:style>
  <w:style w:type="table" w:styleId="GridTable2-Accent3">
    <w:name w:val="Grid Table 2 Accent 3"/>
    <w:basedOn w:val="TableNormal"/>
    <w:uiPriority w:val="47"/>
    <w:rsid w:val="00A93AB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39478662">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43566768">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40245363">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85600829">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3120036">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eiopa.europa.eu/Pages/Links/Legal-notice.aspx" TargetMode="External"/><Relationship Id="rId26" Type="http://schemas.openxmlformats.org/officeDocument/2006/relationships/hyperlink" Target="https://www.schroders.com/en/sysglobalassets/digital/insights/pdfs/thought-leadership/the_future_of_client_communication.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iopa.europa.eu/Publications/Reports/Costs%20and%20past%20performance_2018.pdf" TargetMode="External"/><Relationship Id="rId34" Type="http://schemas.openxmlformats.org/officeDocument/2006/relationships/hyperlink" Target="https://www.schroders.com/en/sysglobalassets/digital/insights/pdfs/thought-leadership/2019_september_fixing_the_priip_key_information_document.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ba.europa.eu/legal-notice" TargetMode="External"/><Relationship Id="rId25" Type="http://schemas.openxmlformats.org/officeDocument/2006/relationships/hyperlink" Target="https://etendering.ted.europa.eu/cft/cft-documents.html?cftId=3823" TargetMode="External"/><Relationship Id="rId33" Type="http://schemas.openxmlformats.org/officeDocument/2006/relationships/hyperlink" Target="https://www.schroders.com/en/sysglobalassets/digital/insights/pdfs/thought-leadership/2019_september_fixing_the_priip_key_information_document.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sma.europa.eu/press-news/consultations" TargetMode="External"/><Relationship Id="rId20" Type="http://schemas.openxmlformats.org/officeDocument/2006/relationships/hyperlink" Target="https://www.esma.europa.eu/sites/default/files/library/esma50-165-731-asr-performance_and_costs_of_retail_investments_products_in_the_eu.pdf" TargetMode="External"/><Relationship Id="rId29" Type="http://schemas.openxmlformats.org/officeDocument/2006/relationships/hyperlink" Target="https://www.iosco.org/library/pubdocs/pdf/IOSCOPD626.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iopa.europa.eu/Publications/Reports/2019-02-08%20Final_Report_PRIIPs_KID_targeted_amendments%20%28JC%202019%206.2%29.pdf" TargetMode="External"/><Relationship Id="rId32" Type="http://schemas.openxmlformats.org/officeDocument/2006/relationships/hyperlink" Target="https://ec.europa.eu/info/sites/info/files/consumer-testing-study-2015_en.pdf"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sma.europa.eu/sites/default/files/library/ares20175008790_request_to_esas_to_issue_recurrent_reports_-_cmu_action.pdf" TargetMode="External"/><Relationship Id="rId28" Type="http://schemas.openxmlformats.org/officeDocument/2006/relationships/hyperlink" Target="https://eba.europa.eu/eba-publishes-opinion-disclosure-consumers-buying-financial-services-through-digital-channels" TargetMode="External"/><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s://www.esma.europa.eu/legal-notice" TargetMode="External"/><Relationship Id="rId31" Type="http://schemas.openxmlformats.org/officeDocument/2006/relationships/hyperlink" Target="https://eiopa.europa.eu/Publications/JC-19-55%20PRIIPs_response_ESAs_COM_consumer_testing.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eba.europa.eu/documents/10180/2551996/EBA+Report+on+structured+deposits.pdf" TargetMode="External"/><Relationship Id="rId27" Type="http://schemas.openxmlformats.org/officeDocument/2006/relationships/hyperlink" Target="https://www.schroders.com/en/sysglobalassets/digital/insights/2017/pdf/global-investor-study-2017/theme2/schroders_report-2__eng_master.pdf" TargetMode="External"/><Relationship Id="rId30" Type="http://schemas.openxmlformats.org/officeDocument/2006/relationships/hyperlink" Target="https://eiopa.europa.eu/Publications/Standards/JC%202019%20046_PRIIPs_Letter%20on%20consumer%20testing_COM.pdf"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e038d8b-eef4-4a8e-96f8-403daa5a894a"/>
    <ds:schemaRef ds:uri="http://www.w3.org/XML/1998/namespace"/>
    <ds:schemaRef ds:uri="http://purl.org/dc/dcmitype/"/>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FB6E46DA-6079-4DB7-B903-97115F4BE172}">
  <ds:schemaRefs>
    <ds:schemaRef ds:uri="http://schemas.openxmlformats.org/officeDocument/2006/bibliography"/>
  </ds:schemaRefs>
</ds:datastoreItem>
</file>

<file path=customXml/itemProps6.xml><?xml version="1.0" encoding="utf-8"?>
<ds:datastoreItem xmlns:ds="http://schemas.openxmlformats.org/officeDocument/2006/customXml" ds:itemID="{F1409193-39AA-41E4-AB3D-5C7536D9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25</Pages>
  <Words>11261</Words>
  <Characters>61626</Characters>
  <Application>Microsoft Office Word</Application>
  <DocSecurity>8</DocSecurity>
  <Lines>513</Lines>
  <Paragraphs>145</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72742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Petraki, Anastasia</cp:lastModifiedBy>
  <cp:revision>26</cp:revision>
  <cp:lastPrinted>2015-02-18T11:01:00Z</cp:lastPrinted>
  <dcterms:created xsi:type="dcterms:W3CDTF">2020-01-08T18:26:00Z</dcterms:created>
  <dcterms:modified xsi:type="dcterms:W3CDTF">2020-01-13T11:35:00Z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