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rsidTr="00210E59">
        <w:trPr>
          <w:trHeight w:hRule="exact" w:val="1620"/>
        </w:trPr>
        <w:tc>
          <w:tcPr>
            <w:tcW w:w="10051" w:type="dxa"/>
            <w:vAlign w:val="bottom"/>
          </w:tcPr>
          <w:p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rsidR="006F4535" w:rsidRPr="009A053D" w:rsidRDefault="006F4535" w:rsidP="00210E59">
            <w:pPr>
              <w:pStyle w:val="01aDBTitle"/>
              <w:jc w:val="left"/>
              <w:rPr>
                <w:rFonts w:cs="Arial"/>
                <w:sz w:val="32"/>
              </w:rPr>
            </w:pPr>
          </w:p>
        </w:tc>
      </w:tr>
      <w:tr w:rsidR="006F4535" w:rsidRPr="00616B9B" w:rsidTr="00210E59">
        <w:trPr>
          <w:trHeight w:hRule="exact" w:val="809"/>
        </w:trPr>
        <w:tc>
          <w:tcPr>
            <w:tcW w:w="10051"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rsidR="00704EED" w:rsidRPr="004E49B0" w:rsidRDefault="00704EED" w:rsidP="00337A3F">
            <w:pPr>
              <w:pStyle w:val="02Date"/>
              <w:rPr>
                <w:rFonts w:cs="Arial"/>
              </w:rPr>
            </w:pPr>
            <w:r>
              <w:rPr>
                <w:rFonts w:cs="Arial"/>
                <w:shd w:val="clear" w:color="auto" w:fill="FFFFFF" w:themeFill="background1"/>
              </w:rPr>
              <w:t>ESMA 30-201-535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rsidR="00197794" w:rsidRPr="00197794" w:rsidRDefault="00197794" w:rsidP="00197794">
      <w:pPr>
        <w:jc w:val="both"/>
        <w:rPr>
          <w:rStyle w:val="SubtleEmphasis"/>
          <w:b w:val="0"/>
          <w:sz w:val="22"/>
        </w:rPr>
      </w:pPr>
    </w:p>
    <w:p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rsidR="00197794" w:rsidRDefault="00197794" w:rsidP="00197794">
      <w:pPr>
        <w:jc w:val="both"/>
        <w:rPr>
          <w:rStyle w:val="SubtleEmphasis"/>
          <w:b w:val="0"/>
          <w:sz w:val="22"/>
        </w:rPr>
      </w:pPr>
    </w:p>
    <w:p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rsidR="00197794" w:rsidRDefault="00197794" w:rsidP="00197794">
      <w:pPr>
        <w:jc w:val="both"/>
        <w:rPr>
          <w:rStyle w:val="SubtleEmphasis"/>
          <w:b w:val="0"/>
          <w:sz w:val="22"/>
        </w:rPr>
      </w:pPr>
    </w:p>
    <w:p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rsidR="00EC1154" w:rsidRDefault="00EC1154" w:rsidP="00AF38AF">
      <w:pPr>
        <w:rPr>
          <w:rStyle w:val="SubtleEmphasis"/>
          <w:b w:val="0"/>
          <w:sz w:val="22"/>
        </w:rPr>
      </w:pPr>
    </w:p>
    <w:p w:rsidR="009A3017" w:rsidRPr="00E40A5C" w:rsidRDefault="009A3017" w:rsidP="009A3017">
      <w:pPr>
        <w:spacing w:after="120"/>
        <w:jc w:val="both"/>
        <w:rPr>
          <w:rStyle w:val="SubtleEmphasis"/>
          <w:sz w:val="22"/>
        </w:rPr>
      </w:pPr>
      <w:r w:rsidRPr="00E40A5C">
        <w:rPr>
          <w:rStyle w:val="SubtleEmphasis"/>
          <w:sz w:val="22"/>
        </w:rPr>
        <w:t>Instructions</w:t>
      </w:r>
    </w:p>
    <w:p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6"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rsidR="00197794" w:rsidRPr="00197794" w:rsidRDefault="00197794" w:rsidP="00197794">
      <w:pPr>
        <w:spacing w:after="240" w:line="276" w:lineRule="auto"/>
        <w:jc w:val="both"/>
        <w:rPr>
          <w:rStyle w:val="SubtleEmphasis"/>
          <w:b w:val="0"/>
          <w:sz w:val="22"/>
        </w:rPr>
      </w:pPr>
    </w:p>
    <w:p w:rsidR="00210E59" w:rsidRPr="00210E59" w:rsidRDefault="00210E59" w:rsidP="00210E59">
      <w:pPr>
        <w:spacing w:after="120"/>
        <w:jc w:val="both"/>
        <w:rPr>
          <w:rStyle w:val="SubtleEmphasis"/>
          <w:sz w:val="22"/>
        </w:rPr>
      </w:pPr>
      <w:r w:rsidRPr="00210E59">
        <w:rPr>
          <w:rStyle w:val="SubtleEmphasis"/>
          <w:sz w:val="22"/>
        </w:rPr>
        <w:t>Publication of responses</w:t>
      </w:r>
    </w:p>
    <w:p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rsidR="00197794" w:rsidRDefault="00197794" w:rsidP="004E6AE4">
      <w:pPr>
        <w:rPr>
          <w:rStyle w:val="SubtleEmphasis"/>
          <w:sz w:val="22"/>
          <w:lang w:eastAsia="en-GB"/>
        </w:rPr>
      </w:pPr>
    </w:p>
    <w:p w:rsidR="00197794" w:rsidRDefault="00197794" w:rsidP="004E6AE4">
      <w:pPr>
        <w:rPr>
          <w:rStyle w:val="SubtleEmphasis"/>
          <w:sz w:val="22"/>
          <w:lang w:eastAsia="en-GB"/>
        </w:rPr>
      </w:pPr>
    </w:p>
    <w:p w:rsidR="009A3017" w:rsidRPr="00E40A5C" w:rsidRDefault="009A3017" w:rsidP="004E6AE4">
      <w:pPr>
        <w:rPr>
          <w:rStyle w:val="SubtleEmphasis"/>
          <w:sz w:val="22"/>
          <w:lang w:eastAsia="en-GB"/>
        </w:rPr>
      </w:pPr>
      <w:r w:rsidRPr="00E40A5C">
        <w:rPr>
          <w:rStyle w:val="SubtleEmphasis"/>
          <w:sz w:val="22"/>
          <w:lang w:eastAsia="en-GB"/>
        </w:rPr>
        <w:t>Data protection</w:t>
      </w:r>
    </w:p>
    <w:p w:rsidR="00197794" w:rsidRDefault="00197794" w:rsidP="00210E59">
      <w:pPr>
        <w:rPr>
          <w:sz w:val="22"/>
        </w:rPr>
      </w:pPr>
    </w:p>
    <w:p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7" w:history="1">
        <w:r w:rsidRPr="00197794">
          <w:rPr>
            <w:rStyle w:val="Hyperlink"/>
            <w:rFonts w:cs="Arial"/>
            <w:sz w:val="22"/>
          </w:rPr>
          <w:t>Legal notice</w:t>
        </w:r>
      </w:hyperlink>
      <w:r w:rsidRPr="00197794">
        <w:rPr>
          <w:rFonts w:cs="Arial"/>
          <w:sz w:val="22"/>
        </w:rPr>
        <w:t xml:space="preserve"> section of the EBA website and under the </w:t>
      </w:r>
      <w:hyperlink r:id="rId18" w:history="1">
        <w:r w:rsidRPr="00197794">
          <w:rPr>
            <w:rStyle w:val="Hyperlink"/>
            <w:rFonts w:cs="Arial"/>
            <w:sz w:val="22"/>
          </w:rPr>
          <w:t>Legal notice</w:t>
        </w:r>
      </w:hyperlink>
      <w:r w:rsidRPr="00197794">
        <w:rPr>
          <w:rFonts w:cs="Arial"/>
          <w:sz w:val="22"/>
        </w:rPr>
        <w:t xml:space="preserve"> section of the EIOPA website and under the </w:t>
      </w:r>
      <w:hyperlink r:id="rId19" w:history="1">
        <w:r w:rsidRPr="00197794">
          <w:rPr>
            <w:rStyle w:val="Hyperlink"/>
            <w:rFonts w:cs="Arial"/>
            <w:sz w:val="22"/>
          </w:rPr>
          <w:t>Legal notice</w:t>
        </w:r>
      </w:hyperlink>
      <w:r w:rsidRPr="00197794">
        <w:rPr>
          <w:rFonts w:cs="Arial"/>
          <w:sz w:val="22"/>
        </w:rPr>
        <w:t xml:space="preserve"> section of the ESMA website.</w:t>
      </w:r>
    </w:p>
    <w:p w:rsidR="00210E59" w:rsidRDefault="00210E59" w:rsidP="009A3017">
      <w:pPr>
        <w:spacing w:after="120"/>
        <w:jc w:val="both"/>
        <w:rPr>
          <w:rStyle w:val="SubtleEmphasis"/>
          <w:sz w:val="22"/>
          <w:lang w:eastAsia="en-GB"/>
        </w:rPr>
      </w:pPr>
    </w:p>
    <w:bookmarkEnd w:id="0"/>
    <w:p w:rsidR="002E4F86" w:rsidRPr="00EC1154" w:rsidRDefault="002E4F86" w:rsidP="00EC1154">
      <w:pPr>
        <w:rPr>
          <w:sz w:val="22"/>
        </w:rPr>
      </w:pPr>
    </w:p>
    <w:p w:rsidR="00332304" w:rsidRDefault="00332304" w:rsidP="004E6AE4">
      <w:pPr>
        <w:rPr>
          <w:rFonts w:cs="Arial"/>
          <w:b/>
          <w:bCs/>
          <w:kern w:val="32"/>
          <w:sz w:val="24"/>
          <w:szCs w:val="32"/>
        </w:rPr>
      </w:pPr>
      <w:r>
        <w:br w:type="page"/>
      </w:r>
    </w:p>
    <w:p w:rsidR="00B327E9" w:rsidRPr="00AB6D88" w:rsidRDefault="00B327E9" w:rsidP="00B327E9">
      <w:pPr>
        <w:pStyle w:val="Heading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366591">
        <w:tc>
          <w:tcPr>
            <w:tcW w:w="3929" w:type="dxa"/>
            <w:shd w:val="clear" w:color="auto" w:fill="auto"/>
          </w:tcPr>
          <w:p w:rsidR="00B327E9" w:rsidRPr="00E40A5C" w:rsidRDefault="00B327E9" w:rsidP="00366591">
            <w:pPr>
              <w:rPr>
                <w:rFonts w:cs="Arial"/>
                <w:sz w:val="22"/>
              </w:rPr>
            </w:pPr>
            <w:permStart w:id="1024287278"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B327E9" w:rsidRPr="00AB6D88" w:rsidRDefault="00D57A8B" w:rsidP="00D57A8B">
                <w:pPr>
                  <w:rPr>
                    <w:rStyle w:val="PlaceholderText"/>
                    <w:rFonts w:cs="Arial"/>
                  </w:rPr>
                </w:pPr>
                <w:r>
                  <w:rPr>
                    <w:rStyle w:val="PlaceholderText"/>
                    <w:rFonts w:cs="Arial"/>
                  </w:rPr>
                  <w:t>Amundi</w:t>
                </w:r>
              </w:p>
            </w:tc>
          </w:sdtContent>
        </w:sdt>
      </w:tr>
      <w:tr w:rsidR="00B327E9" w:rsidRPr="00AB6D88" w:rsidTr="00366591">
        <w:tc>
          <w:tcPr>
            <w:tcW w:w="3929" w:type="dxa"/>
            <w:shd w:val="clear" w:color="auto" w:fill="auto"/>
          </w:tcPr>
          <w:p w:rsidR="00B327E9" w:rsidRPr="00E40A5C" w:rsidRDefault="00B327E9" w:rsidP="00366591">
            <w:pPr>
              <w:rPr>
                <w:rFonts w:cs="Arial"/>
                <w:sz w:val="22"/>
              </w:rPr>
            </w:pPr>
            <w:permStart w:id="2032164936" w:edGrp="everyone" w:colFirst="1" w:colLast="1"/>
            <w:permEnd w:id="1024287278"/>
            <w:r w:rsidRPr="00E40A5C">
              <w:rPr>
                <w:rFonts w:cs="Arial"/>
                <w:sz w:val="22"/>
              </w:rPr>
              <w:t>Activity</w:t>
            </w:r>
          </w:p>
        </w:tc>
        <w:tc>
          <w:tcPr>
            <w:tcW w:w="5595" w:type="dxa"/>
            <w:shd w:val="clear" w:color="auto" w:fill="auto"/>
          </w:tcPr>
          <w:p w:rsidR="00B327E9" w:rsidRPr="00AB6D88" w:rsidRDefault="00024246" w:rsidP="00D57A8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57A8B">
                  <w:rPr>
                    <w:rFonts w:cs="Arial"/>
                  </w:rPr>
                  <w:t>Investment Services</w:t>
                </w:r>
              </w:sdtContent>
            </w:sdt>
          </w:p>
        </w:tc>
      </w:tr>
      <w:tr w:rsidR="00B327E9" w:rsidRPr="00AB6D88" w:rsidTr="00366591">
        <w:tc>
          <w:tcPr>
            <w:tcW w:w="3929" w:type="dxa"/>
            <w:shd w:val="clear" w:color="auto" w:fill="auto"/>
          </w:tcPr>
          <w:p w:rsidR="00B327E9" w:rsidRPr="00E40A5C" w:rsidRDefault="00B327E9" w:rsidP="00366591">
            <w:pPr>
              <w:rPr>
                <w:rFonts w:cs="Arial"/>
                <w:sz w:val="22"/>
              </w:rPr>
            </w:pPr>
            <w:permStart w:id="529997279" w:edGrp="everyone" w:colFirst="1" w:colLast="1"/>
            <w:permEnd w:id="2032164936"/>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B327E9" w:rsidRPr="00AB6D88" w:rsidRDefault="00D57A8B" w:rsidP="00366591">
                <w:pPr>
                  <w:rPr>
                    <w:rFonts w:cs="Arial"/>
                  </w:rPr>
                </w:pPr>
                <w:r>
                  <w:rPr>
                    <w:rFonts w:ascii="MS Gothic" w:eastAsia="MS Gothic" w:hAnsi="MS Gothic" w:cs="Arial" w:hint="eastAsia"/>
                  </w:rPr>
                  <w:t>☒</w:t>
                </w:r>
              </w:p>
            </w:tc>
          </w:sdtContent>
        </w:sdt>
      </w:tr>
      <w:tr w:rsidR="00B327E9" w:rsidRPr="00AB6D88" w:rsidTr="00366591">
        <w:tc>
          <w:tcPr>
            <w:tcW w:w="3929" w:type="dxa"/>
            <w:shd w:val="clear" w:color="auto" w:fill="auto"/>
          </w:tcPr>
          <w:p w:rsidR="00B327E9" w:rsidRPr="00E40A5C" w:rsidRDefault="00B327E9" w:rsidP="00366591">
            <w:pPr>
              <w:rPr>
                <w:rFonts w:cs="Arial"/>
                <w:sz w:val="22"/>
              </w:rPr>
            </w:pPr>
            <w:permStart w:id="1555766465" w:edGrp="everyone" w:colFirst="1" w:colLast="1"/>
            <w:permEnd w:id="52999727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D57A8B" w:rsidP="00366591">
                <w:pPr>
                  <w:rPr>
                    <w:rFonts w:cs="Arial"/>
                  </w:rPr>
                </w:pPr>
                <w:r>
                  <w:rPr>
                    <w:rFonts w:cs="Arial"/>
                  </w:rPr>
                  <w:t>France</w:t>
                </w:r>
              </w:p>
            </w:tc>
          </w:sdtContent>
        </w:sdt>
      </w:tr>
      <w:permEnd w:id="1555766465"/>
    </w:tbl>
    <w:p w:rsidR="00B327E9" w:rsidRDefault="00B327E9" w:rsidP="00B327E9">
      <w:pPr>
        <w:spacing w:after="120" w:line="264" w:lineRule="auto"/>
      </w:pPr>
    </w:p>
    <w:p w:rsidR="00B327E9" w:rsidRDefault="00B327E9" w:rsidP="00B327E9">
      <w:pPr>
        <w:pStyle w:val="Heading1"/>
        <w:numPr>
          <w:ilvl w:val="0"/>
          <w:numId w:val="0"/>
        </w:numPr>
        <w:ind w:left="431" w:hanging="431"/>
      </w:pPr>
      <w:r>
        <w:t>Introduction</w:t>
      </w:r>
    </w:p>
    <w:p w:rsidR="00B327E9" w:rsidRPr="00E40A5C" w:rsidRDefault="00B327E9" w:rsidP="00B327E9">
      <w:pPr>
        <w:rPr>
          <w:rStyle w:val="IntenseEmphasis"/>
          <w:sz w:val="22"/>
        </w:rPr>
      </w:pPr>
      <w:r w:rsidRPr="00E40A5C">
        <w:rPr>
          <w:rStyle w:val="IntenseEmphasis"/>
          <w:sz w:val="22"/>
        </w:rPr>
        <w:t>Please make your introductory comments below, if any:</w:t>
      </w:r>
    </w:p>
    <w:p w:rsidR="00B327E9" w:rsidRPr="00BF28DA" w:rsidRDefault="00B327E9" w:rsidP="00B327E9"/>
    <w:p w:rsidR="00B327E9" w:rsidRPr="006F4535" w:rsidRDefault="00B327E9" w:rsidP="00B327E9">
      <w:r w:rsidRPr="006F4535">
        <w:t>&lt;ESA_COMMENT_</w:t>
      </w:r>
      <w:r w:rsidR="00197794">
        <w:rPr>
          <w:rStyle w:val="SubtleEmphasis"/>
          <w:b w:val="0"/>
          <w:sz w:val="22"/>
        </w:rPr>
        <w:t>PKID</w:t>
      </w:r>
      <w:r w:rsidRPr="006F4535">
        <w:t>_1&gt;</w:t>
      </w:r>
    </w:p>
    <w:p w:rsidR="00FA5320" w:rsidRPr="00FA5320" w:rsidRDefault="00FA5320" w:rsidP="007F3BE2">
      <w:pPr>
        <w:jc w:val="both"/>
        <w:rPr>
          <w:lang w:val="en-US"/>
        </w:rPr>
      </w:pPr>
      <w:permStart w:id="1062422517" w:edGrp="everyone"/>
      <w:r w:rsidRPr="00FA5320">
        <w:rPr>
          <w:lang w:val="en-US"/>
        </w:rPr>
        <w:t xml:space="preserve">Amundi is Europe’s largest asset manager by assets under management and ranks in the top 10 globally. It manages </w:t>
      </w:r>
      <w:r>
        <w:rPr>
          <w:lang w:val="en-US"/>
        </w:rPr>
        <w:t>more than 1,500</w:t>
      </w:r>
      <w:r w:rsidRPr="00FA5320">
        <w:rPr>
          <w:lang w:val="en-US"/>
        </w:rPr>
        <w:t xml:space="preserve"> billion euros of assets across six main investment hubs in Boston, Dublin, London, Milan, Pa</w:t>
      </w:r>
      <w:r>
        <w:rPr>
          <w:lang w:val="en-US"/>
        </w:rPr>
        <w:t>ris and Tokyo. Amundi offers to a wide range of</w:t>
      </w:r>
      <w:r w:rsidRPr="00FA5320">
        <w:rPr>
          <w:lang w:val="en-US"/>
        </w:rPr>
        <w:t xml:space="preserve"> clients in Europe, Asia-Pacific, the Middle East and the Americas a wealth of market expertise and a full </w:t>
      </w:r>
      <w:r>
        <w:rPr>
          <w:lang w:val="en-US"/>
        </w:rPr>
        <w:t>set</w:t>
      </w:r>
      <w:r w:rsidRPr="00FA5320">
        <w:rPr>
          <w:lang w:val="en-US"/>
        </w:rPr>
        <w:t xml:space="preserve"> of capabilities across the active, passive and re</w:t>
      </w:r>
      <w:r>
        <w:rPr>
          <w:lang w:val="en-US"/>
        </w:rPr>
        <w:t>al assets investment universes</w:t>
      </w:r>
      <w:r w:rsidRPr="00FA5320">
        <w:rPr>
          <w:lang w:val="en-US"/>
        </w:rPr>
        <w:t xml:space="preserve">. Headquartered in Paris, Amundi </w:t>
      </w:r>
      <w:proofErr w:type="gramStart"/>
      <w:r w:rsidRPr="00FA5320">
        <w:rPr>
          <w:lang w:val="en-US"/>
        </w:rPr>
        <w:t>was listed</w:t>
      </w:r>
      <w:proofErr w:type="gramEnd"/>
      <w:r w:rsidRPr="00FA5320">
        <w:rPr>
          <w:lang w:val="en-US"/>
        </w:rPr>
        <w:t xml:space="preserve"> in November 2015. </w:t>
      </w:r>
    </w:p>
    <w:p w:rsidR="00FA5320" w:rsidRDefault="00FA5320" w:rsidP="007F3BE2">
      <w:pPr>
        <w:jc w:val="both"/>
        <w:rPr>
          <w:lang w:val="en-US"/>
        </w:rPr>
      </w:pPr>
    </w:p>
    <w:p w:rsidR="00FA5320" w:rsidRDefault="00FA5320" w:rsidP="007F3BE2">
      <w:pPr>
        <w:jc w:val="both"/>
      </w:pPr>
      <w:r>
        <w:rPr>
          <w:lang w:val="en-US"/>
        </w:rPr>
        <w:t>Amundi welcomes ES</w:t>
      </w:r>
      <w:r w:rsidRPr="00FA5320">
        <w:rPr>
          <w:lang w:val="en-US"/>
        </w:rPr>
        <w:t>A</w:t>
      </w:r>
      <w:r>
        <w:rPr>
          <w:lang w:val="en-US"/>
        </w:rPr>
        <w:t>s’</w:t>
      </w:r>
      <w:r w:rsidRPr="00FA5320">
        <w:rPr>
          <w:lang w:val="en-US"/>
        </w:rPr>
        <w:t xml:space="preserve"> </w:t>
      </w:r>
      <w:r>
        <w:rPr>
          <w:lang w:val="en-US"/>
        </w:rPr>
        <w:t>new c</w:t>
      </w:r>
      <w:r w:rsidRPr="00FA5320">
        <w:rPr>
          <w:lang w:val="en-US"/>
        </w:rPr>
        <w:t>onsultation</w:t>
      </w:r>
      <w:r>
        <w:rPr>
          <w:lang w:val="en-US"/>
        </w:rPr>
        <w:t xml:space="preserve"> on level 2 measures for PRIIPs Regulation</w:t>
      </w:r>
      <w:r w:rsidR="00E1715A">
        <w:rPr>
          <w:lang w:val="en-US"/>
        </w:rPr>
        <w:t xml:space="preserve"> and the possibility to propos</w:t>
      </w:r>
      <w:r>
        <w:rPr>
          <w:lang w:val="en-US"/>
        </w:rPr>
        <w:t xml:space="preserve">e </w:t>
      </w:r>
      <w:r w:rsidR="00E1715A">
        <w:rPr>
          <w:lang w:val="en-US"/>
        </w:rPr>
        <w:t xml:space="preserve">workable </w:t>
      </w:r>
      <w:r>
        <w:rPr>
          <w:lang w:val="en-US"/>
        </w:rPr>
        <w:t xml:space="preserve">solutions to various </w:t>
      </w:r>
      <w:r w:rsidR="00E1715A">
        <w:rPr>
          <w:lang w:val="en-US"/>
        </w:rPr>
        <w:t>problems identified with the current state of this legislation.</w:t>
      </w:r>
    </w:p>
    <w:p w:rsidR="00FA5320" w:rsidRDefault="00FA5320" w:rsidP="007F3BE2">
      <w:pPr>
        <w:jc w:val="both"/>
      </w:pPr>
    </w:p>
    <w:p w:rsidR="00A64126" w:rsidRDefault="00A64126" w:rsidP="007F3BE2">
      <w:pPr>
        <w:jc w:val="both"/>
      </w:pPr>
      <w:r>
        <w:t>Since</w:t>
      </w:r>
      <w:r w:rsidR="00BD4B1A">
        <w:t xml:space="preserve"> the PRIIPs KID will replace the UCITS KIID in early 2022, it is of utmost importance that the information</w:t>
      </w:r>
      <w:r w:rsidR="00E1715A">
        <w:t xml:space="preserve"> provided could be </w:t>
      </w:r>
      <w:r w:rsidR="00BD4B1A">
        <w:t>un</w:t>
      </w:r>
      <w:r w:rsidR="00E1715A">
        <w:t>derstandable by retail clients and valuable</w:t>
      </w:r>
      <w:r w:rsidRPr="009045C1">
        <w:t xml:space="preserve"> to </w:t>
      </w:r>
      <w:proofErr w:type="gramStart"/>
      <w:r w:rsidRPr="009045C1">
        <w:t>professionals</w:t>
      </w:r>
      <w:proofErr w:type="gramEnd"/>
      <w:r w:rsidR="00F35874">
        <w:t xml:space="preserve"> </w:t>
      </w:r>
      <w:r>
        <w:t xml:space="preserve">clients </w:t>
      </w:r>
      <w:r w:rsidR="00E1715A">
        <w:t>since the KID would have to be also provided to these clients. W</w:t>
      </w:r>
      <w:r>
        <w:t xml:space="preserve">e </w:t>
      </w:r>
      <w:r w:rsidR="00E1715A">
        <w:t xml:space="preserve">stress on the fact that showing </w:t>
      </w:r>
      <w:proofErr w:type="gramStart"/>
      <w:r w:rsidR="00E1715A">
        <w:t>data</w:t>
      </w:r>
      <w:r>
        <w:t xml:space="preserve"> </w:t>
      </w:r>
      <w:r w:rsidR="00E1715A">
        <w:t>which</w:t>
      </w:r>
      <w:r w:rsidRPr="009045C1">
        <w:t xml:space="preserve"> could lead to discussions and dissents with</w:t>
      </w:r>
      <w:r w:rsidR="007F3BE2">
        <w:t xml:space="preserve"> these</w:t>
      </w:r>
      <w:r w:rsidRPr="009045C1">
        <w:t xml:space="preserve"> clients</w:t>
      </w:r>
      <w:proofErr w:type="gramEnd"/>
      <w:r w:rsidR="00E1715A">
        <w:t xml:space="preserve"> should be clearly avoided</w:t>
      </w:r>
      <w:r w:rsidRPr="009045C1">
        <w:t>.</w:t>
      </w:r>
    </w:p>
    <w:p w:rsidR="00A64126" w:rsidRDefault="00A64126" w:rsidP="007F3BE2">
      <w:pPr>
        <w:jc w:val="both"/>
      </w:pPr>
    </w:p>
    <w:p w:rsidR="00B327E9" w:rsidRPr="00A64126" w:rsidRDefault="003D21EF" w:rsidP="007F3BE2">
      <w:pPr>
        <w:jc w:val="both"/>
        <w:rPr>
          <w:b/>
        </w:rPr>
      </w:pPr>
      <w:r w:rsidRPr="00A64126">
        <w:rPr>
          <w:b/>
        </w:rPr>
        <w:t xml:space="preserve">UCITS brand </w:t>
      </w:r>
      <w:proofErr w:type="gramStart"/>
      <w:r w:rsidRPr="00A64126">
        <w:rPr>
          <w:b/>
        </w:rPr>
        <w:t>is recognised</w:t>
      </w:r>
      <w:proofErr w:type="gramEnd"/>
      <w:r w:rsidRPr="00A64126">
        <w:rPr>
          <w:b/>
        </w:rPr>
        <w:t xml:space="preserve"> as one of the best success of EU regul</w:t>
      </w:r>
      <w:r w:rsidR="00704066">
        <w:rPr>
          <w:b/>
        </w:rPr>
        <w:t>ation and it would be a real drawdown</w:t>
      </w:r>
      <w:r w:rsidRPr="00A64126">
        <w:rPr>
          <w:b/>
        </w:rPr>
        <w:t xml:space="preserve"> to damage it due to inadequate provisions </w:t>
      </w:r>
      <w:r w:rsidR="00A64126">
        <w:rPr>
          <w:b/>
        </w:rPr>
        <w:t xml:space="preserve">in PRIIPs regulation </w:t>
      </w:r>
      <w:r w:rsidRPr="00A64126">
        <w:rPr>
          <w:b/>
        </w:rPr>
        <w:t xml:space="preserve">that </w:t>
      </w:r>
      <w:r w:rsidR="00A64126">
        <w:rPr>
          <w:b/>
        </w:rPr>
        <w:t xml:space="preserve">actors of industry </w:t>
      </w:r>
      <w:r w:rsidRPr="00A64126">
        <w:rPr>
          <w:b/>
        </w:rPr>
        <w:t>have repeatedly den</w:t>
      </w:r>
      <w:r w:rsidR="00E1715A">
        <w:rPr>
          <w:b/>
        </w:rPr>
        <w:t>ounced</w:t>
      </w:r>
      <w:r w:rsidRPr="00A64126">
        <w:rPr>
          <w:b/>
        </w:rPr>
        <w:t>.</w:t>
      </w:r>
    </w:p>
    <w:p w:rsidR="003D21EF" w:rsidRDefault="003D21EF" w:rsidP="007F3BE2">
      <w:pPr>
        <w:jc w:val="both"/>
      </w:pPr>
    </w:p>
    <w:p w:rsidR="00E75E35" w:rsidRDefault="00A968CE" w:rsidP="007F3BE2">
      <w:pPr>
        <w:jc w:val="both"/>
      </w:pPr>
      <w:r>
        <w:t>While s</w:t>
      </w:r>
      <w:r w:rsidR="003D21EF">
        <w:t>ome improvement are introduced in the C</w:t>
      </w:r>
      <w:r>
        <w:t xml:space="preserve">onsultation </w:t>
      </w:r>
      <w:r w:rsidR="003D21EF">
        <w:t>P</w:t>
      </w:r>
      <w:r>
        <w:t>aper (CP) such as opening the door to digital KIDs or providing somewhat better op</w:t>
      </w:r>
      <w:r w:rsidR="00E1715A">
        <w:t xml:space="preserve">tions to costs disclosures, </w:t>
      </w:r>
      <w:r>
        <w:t>nevertheless</w:t>
      </w:r>
      <w:r w:rsidR="00970AA2">
        <w:t xml:space="preserve"> </w:t>
      </w:r>
      <w:r w:rsidR="00E1715A" w:rsidRPr="007F3BE2">
        <w:rPr>
          <w:b/>
        </w:rPr>
        <w:t xml:space="preserve">the CP is </w:t>
      </w:r>
      <w:r w:rsidR="00970AA2" w:rsidRPr="007F3BE2">
        <w:rPr>
          <w:b/>
        </w:rPr>
        <w:t>not address</w:t>
      </w:r>
      <w:r w:rsidRPr="007F3BE2">
        <w:rPr>
          <w:b/>
        </w:rPr>
        <w:t>ing</w:t>
      </w:r>
      <w:r w:rsidR="00970AA2" w:rsidRPr="007F3BE2">
        <w:rPr>
          <w:b/>
        </w:rPr>
        <w:t xml:space="preserve"> the </w:t>
      </w:r>
      <w:r w:rsidR="00E75E35" w:rsidRPr="007F3BE2">
        <w:rPr>
          <w:b/>
          <w:u w:val="single"/>
        </w:rPr>
        <w:t>key issue</w:t>
      </w:r>
      <w:r w:rsidR="00525C1A" w:rsidRPr="007F3BE2">
        <w:rPr>
          <w:b/>
          <w:u w:val="single"/>
        </w:rPr>
        <w:t>s</w:t>
      </w:r>
      <w:r>
        <w:t>:</w:t>
      </w:r>
    </w:p>
    <w:p w:rsidR="007F3BE2" w:rsidRDefault="007F3BE2" w:rsidP="007F3BE2">
      <w:pPr>
        <w:jc w:val="both"/>
      </w:pPr>
    </w:p>
    <w:p w:rsidR="007F3BE2" w:rsidRDefault="007F3BE2" w:rsidP="00E87088">
      <w:pPr>
        <w:pStyle w:val="ListParagraph"/>
        <w:numPr>
          <w:ilvl w:val="0"/>
          <w:numId w:val="42"/>
        </w:numPr>
        <w:jc w:val="both"/>
      </w:pPr>
      <w:r w:rsidRPr="00A934B1">
        <w:rPr>
          <w:b/>
        </w:rPr>
        <w:t>P</w:t>
      </w:r>
      <w:r w:rsidR="00E75E35" w:rsidRPr="00A934B1">
        <w:rPr>
          <w:b/>
        </w:rPr>
        <w:t>erformance scenario</w:t>
      </w:r>
      <w:r w:rsidRPr="00A934B1">
        <w:rPr>
          <w:b/>
        </w:rPr>
        <w:t>s</w:t>
      </w:r>
      <w:r w:rsidR="00E75E35">
        <w:t xml:space="preserve">: </w:t>
      </w:r>
      <w:r w:rsidR="00A934B1">
        <w:t xml:space="preserve">This topic </w:t>
      </w:r>
      <w:proofErr w:type="gramStart"/>
      <w:r w:rsidR="00A934B1">
        <w:t>has been addressed</w:t>
      </w:r>
      <w:proofErr w:type="gramEnd"/>
      <w:r w:rsidR="00A934B1">
        <w:t xml:space="preserve"> for long by the industry and whatever the approaches tested during the last four years, the various methods for future probabilistic scenarios always involved a specific issue without providing valuable information. Conversely, it can rather be a source of misunderstanding or of conflict, </w:t>
      </w:r>
      <w:proofErr w:type="gramStart"/>
      <w:r w:rsidR="00A934B1">
        <w:t>all the more</w:t>
      </w:r>
      <w:proofErr w:type="gramEnd"/>
      <w:r w:rsidR="00A934B1">
        <w:t xml:space="preserve"> with professional clients. </w:t>
      </w:r>
      <w:proofErr w:type="gramStart"/>
      <w:r w:rsidR="00A934B1">
        <w:t>Therefore</w:t>
      </w:r>
      <w:proofErr w:type="gramEnd"/>
      <w:r w:rsidR="00A934B1">
        <w:t xml:space="preserve"> </w:t>
      </w:r>
      <w:r w:rsidR="00A934B1" w:rsidRPr="00EC75CC">
        <w:rPr>
          <w:b/>
        </w:rPr>
        <w:t>we would like ESAs and Commission to admit that “appropriate performance scenarios” – and not future scenarios – required in the level one text may take the form of an illustration without any assumption about the future.</w:t>
      </w:r>
    </w:p>
    <w:p w:rsidR="00A934B1" w:rsidRDefault="00A934B1" w:rsidP="00A934B1">
      <w:pPr>
        <w:pStyle w:val="ListParagraph"/>
        <w:jc w:val="both"/>
      </w:pPr>
    </w:p>
    <w:p w:rsidR="007F3BE2" w:rsidRPr="007F3BE2" w:rsidRDefault="007F3BE2" w:rsidP="007F3BE2">
      <w:pPr>
        <w:pStyle w:val="ListParagraph"/>
        <w:numPr>
          <w:ilvl w:val="0"/>
          <w:numId w:val="42"/>
        </w:numPr>
        <w:jc w:val="both"/>
      </w:pPr>
      <w:r w:rsidRPr="007F3BE2">
        <w:rPr>
          <w:b/>
        </w:rPr>
        <w:t>I</w:t>
      </w:r>
      <w:r w:rsidR="00E1715A" w:rsidRPr="007F3BE2">
        <w:rPr>
          <w:b/>
        </w:rPr>
        <w:t>nclusion of the so-</w:t>
      </w:r>
      <w:r w:rsidR="008B7C62" w:rsidRPr="007F3BE2">
        <w:rPr>
          <w:b/>
        </w:rPr>
        <w:t xml:space="preserve">called </w:t>
      </w:r>
      <w:r w:rsidR="00A968CE" w:rsidRPr="007F3BE2">
        <w:rPr>
          <w:b/>
        </w:rPr>
        <w:t>“</w:t>
      </w:r>
      <w:r w:rsidR="008B7C62" w:rsidRPr="007F3BE2">
        <w:rPr>
          <w:b/>
        </w:rPr>
        <w:t>impact of orders</w:t>
      </w:r>
      <w:r w:rsidR="00A968CE" w:rsidRPr="007F3BE2">
        <w:rPr>
          <w:b/>
        </w:rPr>
        <w:t>”</w:t>
      </w:r>
      <w:r w:rsidR="00E1715A" w:rsidRPr="007F3BE2">
        <w:rPr>
          <w:b/>
        </w:rPr>
        <w:t xml:space="preserve"> on market values</w:t>
      </w:r>
      <w:r w:rsidR="008B7C62" w:rsidRPr="007F3BE2">
        <w:rPr>
          <w:b/>
        </w:rPr>
        <w:t>,</w:t>
      </w:r>
      <w:r w:rsidR="00A968CE" w:rsidRPr="007F3BE2">
        <w:rPr>
          <w:b/>
        </w:rPr>
        <w:t xml:space="preserve"> in transaction costs</w:t>
      </w:r>
      <w:r w:rsidR="00A968CE">
        <w:t xml:space="preserve">. </w:t>
      </w:r>
      <w:proofErr w:type="gramStart"/>
      <w:r w:rsidR="00A968CE">
        <w:t>In so</w:t>
      </w:r>
      <w:proofErr w:type="gramEnd"/>
      <w:r w:rsidR="00A968CE">
        <w:t xml:space="preserve"> far</w:t>
      </w:r>
      <w:r w:rsidR="008B7C62">
        <w:t xml:space="preserve"> </w:t>
      </w:r>
      <w:r>
        <w:t xml:space="preserve">as </w:t>
      </w:r>
      <w:r w:rsidR="008B7C62">
        <w:t xml:space="preserve">it is impossible to identify and to measure the real impact of </w:t>
      </w:r>
      <w:r w:rsidR="00A64126">
        <w:t>most</w:t>
      </w:r>
      <w:r w:rsidR="008B7C62">
        <w:t xml:space="preserve"> order</w:t>
      </w:r>
      <w:r w:rsidR="00A64126">
        <w:t>s, the</w:t>
      </w:r>
      <w:r w:rsidR="008B7C62">
        <w:t xml:space="preserve"> inclusion of such dubious data – which is not, as such, a cost</w:t>
      </w:r>
      <w:r w:rsidR="003D21EF">
        <w:t xml:space="preserve"> </w:t>
      </w:r>
      <w:r w:rsidR="008B7C62">
        <w:t>– will create confusion</w:t>
      </w:r>
      <w:r w:rsidR="00704066" w:rsidRPr="007F3BE2">
        <w:rPr>
          <w:lang w:val="en-US"/>
        </w:rPr>
        <w:t xml:space="preserve">. Transactions, when engaged, </w:t>
      </w:r>
      <w:proofErr w:type="gramStart"/>
      <w:r w:rsidR="00704066" w:rsidRPr="007F3BE2">
        <w:rPr>
          <w:lang w:val="en-US"/>
        </w:rPr>
        <w:t>are meant</w:t>
      </w:r>
      <w:proofErr w:type="gramEnd"/>
      <w:r w:rsidR="00704066" w:rsidRPr="007F3BE2">
        <w:rPr>
          <w:lang w:val="en-US"/>
        </w:rPr>
        <w:t xml:space="preserve"> to provide value to investors; therefore isolating these implicit costs without any reference to the benefit incurred is irrelevant. In fact, interests of the end investors and the PRIIP manufacturer </w:t>
      </w:r>
      <w:proofErr w:type="gramStart"/>
      <w:r w:rsidR="00704066" w:rsidRPr="007F3BE2">
        <w:rPr>
          <w:lang w:val="en-US"/>
        </w:rPr>
        <w:t xml:space="preserve">are </w:t>
      </w:r>
      <w:r w:rsidR="00704066" w:rsidRPr="007F3BE2">
        <w:rPr>
          <w:i/>
          <w:lang w:val="en-US"/>
        </w:rPr>
        <w:t>de facto</w:t>
      </w:r>
      <w:r w:rsidR="00704066" w:rsidRPr="007F3BE2">
        <w:rPr>
          <w:lang w:val="en-US"/>
        </w:rPr>
        <w:t xml:space="preserve"> align</w:t>
      </w:r>
      <w:r w:rsidR="00442FAC" w:rsidRPr="007F3BE2">
        <w:rPr>
          <w:lang w:val="en-US"/>
        </w:rPr>
        <w:t>ed</w:t>
      </w:r>
      <w:proofErr w:type="gramEnd"/>
      <w:r w:rsidR="00442FAC" w:rsidRPr="007F3BE2">
        <w:rPr>
          <w:lang w:val="en-US"/>
        </w:rPr>
        <w:t xml:space="preserve"> since</w:t>
      </w:r>
      <w:r w:rsidR="00704066" w:rsidRPr="007F3BE2">
        <w:rPr>
          <w:lang w:val="en-US"/>
        </w:rPr>
        <w:t xml:space="preserve"> they are both seeking positive performance, best execution and minimized cost in order to enhance returns. </w:t>
      </w:r>
    </w:p>
    <w:p w:rsidR="007F3BE2" w:rsidRPr="007F3BE2" w:rsidRDefault="007F3BE2" w:rsidP="007F3BE2">
      <w:pPr>
        <w:pStyle w:val="ListParagraph"/>
        <w:jc w:val="both"/>
        <w:rPr>
          <w:b/>
          <w:lang w:val="en-US"/>
        </w:rPr>
      </w:pPr>
    </w:p>
    <w:p w:rsidR="007F3BE2" w:rsidRDefault="00704066" w:rsidP="007F3BE2">
      <w:pPr>
        <w:pStyle w:val="ListParagraph"/>
        <w:jc w:val="both"/>
        <w:rPr>
          <w:lang w:val="en-US"/>
        </w:rPr>
      </w:pPr>
      <w:r w:rsidRPr="007F3BE2">
        <w:rPr>
          <w:b/>
          <w:lang w:val="en-US"/>
        </w:rPr>
        <w:t>We therefore disagre</w:t>
      </w:r>
      <w:r w:rsidR="00F828C7" w:rsidRPr="007F3BE2">
        <w:rPr>
          <w:b/>
          <w:lang w:val="en-US"/>
        </w:rPr>
        <w:t>e that PRIIPS should be used to</w:t>
      </w:r>
      <w:r w:rsidRPr="007F3BE2">
        <w:rPr>
          <w:b/>
          <w:lang w:val="en-US"/>
        </w:rPr>
        <w:t xml:space="preserve"> </w:t>
      </w:r>
      <w:r w:rsidR="00F828C7" w:rsidRPr="007F3BE2">
        <w:rPr>
          <w:b/>
          <w:lang w:val="en-US"/>
        </w:rPr>
        <w:t>“</w:t>
      </w:r>
      <w:r w:rsidRPr="007F3BE2">
        <w:rPr>
          <w:b/>
          <w:lang w:val="en-US"/>
        </w:rPr>
        <w:t>promote effective competition” and “minimize costs” as suggested by the ESAs</w:t>
      </w:r>
      <w:r w:rsidR="00F35874">
        <w:rPr>
          <w:lang w:val="en-US"/>
        </w:rPr>
        <w:t>.</w:t>
      </w:r>
      <w:r w:rsidR="00442FAC" w:rsidRPr="007F3BE2">
        <w:rPr>
          <w:lang w:val="en-US"/>
        </w:rPr>
        <w:t xml:space="preserve"> </w:t>
      </w:r>
      <w:proofErr w:type="gramStart"/>
      <w:r w:rsidR="00376888">
        <w:rPr>
          <w:lang w:val="en-US"/>
        </w:rPr>
        <w:t>First of all</w:t>
      </w:r>
      <w:proofErr w:type="gramEnd"/>
      <w:r w:rsidR="00376888">
        <w:rPr>
          <w:lang w:val="en-US"/>
        </w:rPr>
        <w:t>, t</w:t>
      </w:r>
      <w:r w:rsidR="007F3BE2">
        <w:rPr>
          <w:lang w:val="en-US"/>
        </w:rPr>
        <w:t>here is no mention at all of such an objective in</w:t>
      </w:r>
      <w:r w:rsidR="00442FAC" w:rsidRPr="007F3BE2">
        <w:rPr>
          <w:lang w:val="en-US"/>
        </w:rPr>
        <w:t xml:space="preserve"> the level 1 text</w:t>
      </w:r>
      <w:r w:rsidRPr="007F3BE2">
        <w:rPr>
          <w:lang w:val="en-US"/>
        </w:rPr>
        <w:t xml:space="preserve">. </w:t>
      </w:r>
      <w:r w:rsidRPr="007F3BE2">
        <w:rPr>
          <w:strike/>
          <w:lang w:val="en-US"/>
        </w:rPr>
        <w:t>A</w:t>
      </w:r>
      <w:r w:rsidRPr="007F3BE2">
        <w:rPr>
          <w:lang w:val="en-US"/>
        </w:rPr>
        <w:t xml:space="preserve"> </w:t>
      </w:r>
      <w:r w:rsidR="00376888">
        <w:rPr>
          <w:lang w:val="en-US"/>
        </w:rPr>
        <w:t>Secondly</w:t>
      </w:r>
      <w:r w:rsidR="007F3BE2">
        <w:rPr>
          <w:lang w:val="en-US"/>
        </w:rPr>
        <w:t xml:space="preserve">, a </w:t>
      </w:r>
      <w:r w:rsidRPr="007F3BE2">
        <w:rPr>
          <w:lang w:val="en-US"/>
        </w:rPr>
        <w:t xml:space="preserve">fund with lower transaction costs will not necessarily </w:t>
      </w:r>
      <w:r w:rsidRPr="007F3BE2">
        <w:rPr>
          <w:lang w:val="en-US"/>
        </w:rPr>
        <w:lastRenderedPageBreak/>
        <w:t xml:space="preserve">generate better performances, which is </w:t>
      </w:r>
      <w:r w:rsidR="00442FAC" w:rsidRPr="007F3BE2">
        <w:rPr>
          <w:lang w:val="en-US"/>
        </w:rPr>
        <w:t>what matters in the end for investors</w:t>
      </w:r>
      <w:r w:rsidR="00376888">
        <w:rPr>
          <w:lang w:val="en-US"/>
        </w:rPr>
        <w:t>. Thirdly, b</w:t>
      </w:r>
      <w:r w:rsidR="00F35874">
        <w:rPr>
          <w:lang w:val="en-US"/>
        </w:rPr>
        <w:t xml:space="preserve">est execution </w:t>
      </w:r>
      <w:proofErr w:type="gramStart"/>
      <w:r w:rsidR="00F35874">
        <w:rPr>
          <w:lang w:val="en-US"/>
        </w:rPr>
        <w:t>is already</w:t>
      </w:r>
      <w:r w:rsidR="00376888">
        <w:rPr>
          <w:lang w:val="en-US"/>
        </w:rPr>
        <w:t xml:space="preserve"> addressed</w:t>
      </w:r>
      <w:proofErr w:type="gramEnd"/>
      <w:r w:rsidR="00376888">
        <w:rPr>
          <w:lang w:val="en-US"/>
        </w:rPr>
        <w:t xml:space="preserve"> under </w:t>
      </w:r>
      <w:r w:rsidRPr="007F3BE2">
        <w:rPr>
          <w:lang w:val="en-US"/>
        </w:rPr>
        <w:t xml:space="preserve">MiFID and </w:t>
      </w:r>
      <w:r w:rsidR="00376888">
        <w:rPr>
          <w:lang w:val="en-US"/>
        </w:rPr>
        <w:t>has nothing to do with</w:t>
      </w:r>
      <w:r w:rsidRPr="007F3BE2">
        <w:rPr>
          <w:lang w:val="en-US"/>
        </w:rPr>
        <w:t xml:space="preserve"> PRIIPs.</w:t>
      </w:r>
    </w:p>
    <w:p w:rsidR="007F3BE2" w:rsidRDefault="007F3BE2" w:rsidP="007F3BE2">
      <w:pPr>
        <w:pStyle w:val="ListParagraph"/>
        <w:jc w:val="both"/>
        <w:rPr>
          <w:lang w:val="en-US"/>
        </w:rPr>
      </w:pPr>
    </w:p>
    <w:p w:rsidR="007F3BE2" w:rsidRDefault="00376888" w:rsidP="007F3BE2">
      <w:pPr>
        <w:pStyle w:val="ListParagraph"/>
        <w:jc w:val="both"/>
        <w:rPr>
          <w:lang w:val="en-US"/>
        </w:rPr>
      </w:pPr>
      <w:r>
        <w:rPr>
          <w:lang w:val="en-US"/>
        </w:rPr>
        <w:t>Fourthly</w:t>
      </w:r>
      <w:r w:rsidR="00442FAC">
        <w:rPr>
          <w:lang w:val="en-US"/>
        </w:rPr>
        <w:t>, m</w:t>
      </w:r>
      <w:r w:rsidR="00704066" w:rsidRPr="007A1EDB">
        <w:rPr>
          <w:lang w:val="en-US"/>
        </w:rPr>
        <w:t>easuring and interpreting implicit transaction costs</w:t>
      </w:r>
      <w:r w:rsidR="00C434DD">
        <w:rPr>
          <w:lang w:val="en-US"/>
        </w:rPr>
        <w:t xml:space="preserve"> remain questionable: all methodologies</w:t>
      </w:r>
      <w:r w:rsidR="00704066" w:rsidRPr="007A1EDB">
        <w:rPr>
          <w:lang w:val="en-US"/>
        </w:rPr>
        <w:t xml:space="preserve"> are prone to technical bias. </w:t>
      </w:r>
      <w:r>
        <w:rPr>
          <w:lang w:val="en-US"/>
        </w:rPr>
        <w:t>While there seems to be some consensus around</w:t>
      </w:r>
      <w:r w:rsidR="00704066" w:rsidRPr="007A1EDB">
        <w:rPr>
          <w:lang w:val="en-US"/>
        </w:rPr>
        <w:t xml:space="preserve"> what constitutes</w:t>
      </w:r>
      <w:r w:rsidR="00704066">
        <w:rPr>
          <w:lang w:val="en-US"/>
        </w:rPr>
        <w:t xml:space="preserve"> explicit transaction costs, it i</w:t>
      </w:r>
      <w:r w:rsidR="00704066" w:rsidRPr="007A1EDB">
        <w:rPr>
          <w:lang w:val="en-US"/>
        </w:rPr>
        <w:t xml:space="preserve">s still impossible to assert that a single methodology </w:t>
      </w:r>
      <w:proofErr w:type="gramStart"/>
      <w:r w:rsidR="00704066" w:rsidRPr="007A1EDB">
        <w:rPr>
          <w:lang w:val="en-US"/>
        </w:rPr>
        <w:t>can be used</w:t>
      </w:r>
      <w:proofErr w:type="gramEnd"/>
      <w:r w:rsidR="00704066" w:rsidRPr="007A1EDB">
        <w:rPr>
          <w:lang w:val="en-US"/>
        </w:rPr>
        <w:t xml:space="preserve"> to capture precisely implicit transaction costs across all asset classes.</w:t>
      </w:r>
      <w:r w:rsidR="00704066">
        <w:rPr>
          <w:lang w:val="en-US"/>
        </w:rPr>
        <w:t xml:space="preserve"> In addition, a</w:t>
      </w:r>
      <w:r w:rsidR="00704066" w:rsidRPr="00267532">
        <w:rPr>
          <w:lang w:val="en-US"/>
        </w:rPr>
        <w:t xml:space="preserve">ttributing precise reason to the change in price between the order and the execution is simply not feasible </w:t>
      </w:r>
      <w:r w:rsidR="00704066">
        <w:rPr>
          <w:lang w:val="en-US"/>
        </w:rPr>
        <w:t>(i.e. it i</w:t>
      </w:r>
      <w:r w:rsidR="00704066" w:rsidRPr="00267532">
        <w:rPr>
          <w:lang w:val="en-US"/>
        </w:rPr>
        <w:t>s impossible to be sure that the price movement is due to the execution of a specific order, so called “mar</w:t>
      </w:r>
      <w:r w:rsidR="00704066">
        <w:rPr>
          <w:lang w:val="en-US"/>
        </w:rPr>
        <w:t>ket impact”).</w:t>
      </w:r>
    </w:p>
    <w:p w:rsidR="007F3BE2" w:rsidRDefault="007F3BE2" w:rsidP="007F3BE2">
      <w:pPr>
        <w:pStyle w:val="ListParagraph"/>
        <w:jc w:val="both"/>
        <w:rPr>
          <w:lang w:val="en-US"/>
        </w:rPr>
      </w:pPr>
    </w:p>
    <w:p w:rsidR="008B7C62" w:rsidRDefault="00704066" w:rsidP="007F3BE2">
      <w:pPr>
        <w:pStyle w:val="ListParagraph"/>
        <w:jc w:val="both"/>
      </w:pPr>
      <w:r>
        <w:t>The introduction of these ‘implicit costs’ will also drive to a problem of coherency with costs figures that will be disclosed in the KID. In fact, the new proposal for costs is to show returns of the product before and after costs. Due to the inclusion of these implicit transaction costs, it will be impossible to recoup the gross return when adding costs to return net of costs.</w:t>
      </w:r>
      <w:r w:rsidR="003C5D11">
        <w:t xml:space="preserve"> This point could generate commercial issues, especially with professional investors.</w:t>
      </w:r>
    </w:p>
    <w:p w:rsidR="008B7C62" w:rsidRDefault="008B7C62" w:rsidP="007F3BE2">
      <w:pPr>
        <w:jc w:val="both"/>
      </w:pPr>
    </w:p>
    <w:p w:rsidR="007F3BE2" w:rsidRDefault="007F3BE2" w:rsidP="007F3BE2">
      <w:pPr>
        <w:pStyle w:val="ListParagraph"/>
        <w:numPr>
          <w:ilvl w:val="0"/>
          <w:numId w:val="42"/>
        </w:numPr>
        <w:jc w:val="both"/>
      </w:pPr>
      <w:r w:rsidRPr="007F3BE2">
        <w:rPr>
          <w:b/>
        </w:rPr>
        <w:t>R</w:t>
      </w:r>
      <w:r w:rsidR="008B7C62" w:rsidRPr="007F3BE2">
        <w:rPr>
          <w:b/>
        </w:rPr>
        <w:t xml:space="preserve">eduction in yield </w:t>
      </w:r>
      <w:r w:rsidR="002546CB" w:rsidRPr="007F3BE2">
        <w:rPr>
          <w:b/>
        </w:rPr>
        <w:t>method</w:t>
      </w:r>
      <w:r w:rsidR="008B7C62" w:rsidRPr="007F3BE2">
        <w:rPr>
          <w:b/>
        </w:rPr>
        <w:t xml:space="preserve"> for </w:t>
      </w:r>
      <w:r w:rsidR="002546CB" w:rsidRPr="007F3BE2">
        <w:rPr>
          <w:b/>
        </w:rPr>
        <w:t>cost disclosure</w:t>
      </w:r>
      <w:r w:rsidR="00437BF1" w:rsidRPr="007F3BE2">
        <w:rPr>
          <w:b/>
        </w:rPr>
        <w:t>s</w:t>
      </w:r>
      <w:r w:rsidR="00437BF1">
        <w:t>.</w:t>
      </w:r>
      <w:r w:rsidR="00376888">
        <w:t xml:space="preserve"> </w:t>
      </w:r>
      <w:r w:rsidR="002546CB">
        <w:t>This approach</w:t>
      </w:r>
      <w:r w:rsidR="008B7C62" w:rsidRPr="006A0803">
        <w:t xml:space="preserve"> </w:t>
      </w:r>
      <w:r w:rsidR="008C4F0D" w:rsidRPr="006A0803">
        <w:t xml:space="preserve">- </w:t>
      </w:r>
      <w:r w:rsidR="002546CB">
        <w:t>combined with the inclusion of implicit transaction costs</w:t>
      </w:r>
      <w:r w:rsidR="008C4F0D" w:rsidRPr="007F3BE2">
        <w:rPr>
          <w:color w:val="FF0000"/>
        </w:rPr>
        <w:t xml:space="preserve"> </w:t>
      </w:r>
      <w:r w:rsidR="008C4F0D" w:rsidRPr="006A0803">
        <w:t>-</w:t>
      </w:r>
      <w:r w:rsidR="002546CB" w:rsidRPr="007F3BE2">
        <w:rPr>
          <w:color w:val="FF0000"/>
        </w:rPr>
        <w:t xml:space="preserve"> </w:t>
      </w:r>
      <w:r w:rsidR="002546CB">
        <w:t xml:space="preserve">will have the consequence that it will be impossible for any accountant of a professional client to recoup the real level of annual costs calculated </w:t>
      </w:r>
      <w:proofErr w:type="gramStart"/>
      <w:r w:rsidR="002546CB">
        <w:t>on the basis of</w:t>
      </w:r>
      <w:proofErr w:type="gramEnd"/>
      <w:r w:rsidR="002546CB">
        <w:t xml:space="preserve"> disclosed percentages</w:t>
      </w:r>
      <w:r w:rsidR="00704066">
        <w:t>,</w:t>
      </w:r>
      <w:r w:rsidR="002546CB">
        <w:t xml:space="preserve"> with figures deriving from </w:t>
      </w:r>
      <w:proofErr w:type="spellStart"/>
      <w:r w:rsidR="002546CB">
        <w:t>RiY</w:t>
      </w:r>
      <w:proofErr w:type="spellEnd"/>
      <w:r w:rsidR="002546CB">
        <w:t xml:space="preserve"> </w:t>
      </w:r>
      <w:r w:rsidR="00A64126">
        <w:t xml:space="preserve">and implicit transaction costs </w:t>
      </w:r>
      <w:r w:rsidR="002546CB">
        <w:t>in the KID.</w:t>
      </w:r>
    </w:p>
    <w:p w:rsidR="007F3BE2" w:rsidRDefault="007F3BE2" w:rsidP="007F3BE2">
      <w:pPr>
        <w:pStyle w:val="ListParagraph"/>
        <w:jc w:val="both"/>
      </w:pPr>
    </w:p>
    <w:p w:rsidR="007F3BE2" w:rsidRDefault="00437BF1" w:rsidP="007F3BE2">
      <w:pPr>
        <w:pStyle w:val="ListParagraph"/>
        <w:numPr>
          <w:ilvl w:val="0"/>
          <w:numId w:val="42"/>
        </w:numPr>
        <w:jc w:val="both"/>
      </w:pPr>
      <w:proofErr w:type="gramStart"/>
      <w:r w:rsidRPr="007F3BE2">
        <w:rPr>
          <w:b/>
        </w:rPr>
        <w:t>Last but not least</w:t>
      </w:r>
      <w:proofErr w:type="gramEnd"/>
      <w:r w:rsidRPr="007F3BE2">
        <w:rPr>
          <w:b/>
        </w:rPr>
        <w:t>, it is essential that the KID remains simple and short enough.</w:t>
      </w:r>
      <w:r>
        <w:t xml:space="preserve"> </w:t>
      </w:r>
      <w:r w:rsidR="002546CB">
        <w:t>One of the achievement of UCITS IV was the definition of key information that could fit within two pages</w:t>
      </w:r>
      <w:r w:rsidR="00F828C7">
        <w:t>.</w:t>
      </w:r>
    </w:p>
    <w:p w:rsidR="007F3BE2" w:rsidRDefault="007F3BE2" w:rsidP="007F3BE2">
      <w:pPr>
        <w:pStyle w:val="ListParagraph"/>
        <w:jc w:val="both"/>
      </w:pPr>
    </w:p>
    <w:p w:rsidR="007F3BE2" w:rsidRDefault="00F828C7" w:rsidP="007F3BE2">
      <w:pPr>
        <w:pStyle w:val="ListParagraph"/>
        <w:jc w:val="both"/>
      </w:pPr>
      <w:r>
        <w:t xml:space="preserve">Additional information will have to be included in the KID with reference to new EU requirements on sustainable finance. At this stage, nothing </w:t>
      </w:r>
      <w:proofErr w:type="gramStart"/>
      <w:r>
        <w:t>has been defined</w:t>
      </w:r>
      <w:proofErr w:type="gramEnd"/>
      <w:r>
        <w:t xml:space="preserve"> in relation to this and we hope that policy makers will opt for </w:t>
      </w:r>
      <w:r w:rsidR="0006401E">
        <w:t xml:space="preserve">the </w:t>
      </w:r>
      <w:r>
        <w:t>most concise information as possible.</w:t>
      </w:r>
    </w:p>
    <w:p w:rsidR="007F3BE2" w:rsidRDefault="007F3BE2" w:rsidP="007F3BE2">
      <w:pPr>
        <w:pStyle w:val="ListParagraph"/>
        <w:jc w:val="both"/>
      </w:pPr>
    </w:p>
    <w:p w:rsidR="002546CB" w:rsidRPr="007F3BE2" w:rsidRDefault="0006401E" w:rsidP="007F3BE2">
      <w:pPr>
        <w:pStyle w:val="ListParagraph"/>
        <w:jc w:val="both"/>
      </w:pPr>
      <w:r w:rsidRPr="0006401E">
        <w:rPr>
          <w:b/>
        </w:rPr>
        <w:t xml:space="preserve">The three pages limit in the level </w:t>
      </w:r>
      <w:proofErr w:type="gramStart"/>
      <w:r w:rsidRPr="0006401E">
        <w:rPr>
          <w:b/>
        </w:rPr>
        <w:t>1</w:t>
      </w:r>
      <w:proofErr w:type="gramEnd"/>
      <w:r w:rsidRPr="0006401E">
        <w:rPr>
          <w:b/>
        </w:rPr>
        <w:t xml:space="preserve"> text must remain a key objective of PRIIPs because the main </w:t>
      </w:r>
      <w:r>
        <w:rPr>
          <w:b/>
        </w:rPr>
        <w:t xml:space="preserve">initial </w:t>
      </w:r>
      <w:r w:rsidRPr="0006401E">
        <w:rPr>
          <w:b/>
        </w:rPr>
        <w:t xml:space="preserve">objective </w:t>
      </w:r>
      <w:r>
        <w:rPr>
          <w:b/>
        </w:rPr>
        <w:t>of this regulation was that clients would read the document</w:t>
      </w:r>
      <w:r w:rsidR="00D57A8B" w:rsidRPr="0006401E">
        <w:rPr>
          <w:b/>
        </w:rPr>
        <w:t xml:space="preserve">. </w:t>
      </w:r>
    </w:p>
    <w:permEnd w:id="1062422517"/>
    <w:p w:rsidR="00B327E9" w:rsidRPr="00BF28DA" w:rsidRDefault="00B327E9" w:rsidP="00B327E9">
      <w:r w:rsidRPr="00BF28DA">
        <w:t>&lt;ESA_COMMENT_</w:t>
      </w:r>
      <w:r w:rsidR="00197794">
        <w:rPr>
          <w:rStyle w:val="SubtleEmphasis"/>
          <w:b w:val="0"/>
          <w:sz w:val="22"/>
        </w:rPr>
        <w:t>PKID</w:t>
      </w:r>
      <w:r w:rsidR="000A58BE">
        <w:t>_</w:t>
      </w:r>
      <w:r w:rsidRPr="00BF28DA">
        <w:t>1&gt;</w:t>
      </w:r>
    </w:p>
    <w:p w:rsidR="00F31E57" w:rsidRPr="00BF28DA" w:rsidRDefault="00F31E57" w:rsidP="00D34282"/>
    <w:p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rsidR="003E573C" w:rsidRDefault="003E573C" w:rsidP="003E573C">
      <w:pPr>
        <w:rPr>
          <w:rFonts w:cs="Arial"/>
        </w:rPr>
      </w:pPr>
      <w:r>
        <w:rPr>
          <w:rFonts w:cs="Arial"/>
        </w:rPr>
        <w:t>&lt;ESA_QUESTION_PKID_1&gt;</w:t>
      </w:r>
    </w:p>
    <w:p w:rsidR="003E573C" w:rsidRPr="00D57A8B" w:rsidRDefault="00D57A8B" w:rsidP="00121461">
      <w:pPr>
        <w:jc w:val="both"/>
        <w:rPr>
          <w:rFonts w:cs="Arial"/>
          <w:lang w:val="en-US"/>
        </w:rPr>
      </w:pPr>
      <w:permStart w:id="368772356" w:edGrp="everyone"/>
      <w:r w:rsidRPr="00D57A8B">
        <w:rPr>
          <w:rFonts w:cs="Arial"/>
          <w:lang w:val="en-US"/>
        </w:rPr>
        <w:t xml:space="preserve">As such, the fact that a printed KID has to be provided is not an obstacle to providing on line KIDs </w:t>
      </w:r>
      <w:proofErr w:type="gramStart"/>
      <w:r w:rsidRPr="00D57A8B">
        <w:rPr>
          <w:rFonts w:cs="Arial"/>
          <w:lang w:val="en-US"/>
        </w:rPr>
        <w:t>which</w:t>
      </w:r>
      <w:proofErr w:type="gramEnd"/>
      <w:r w:rsidRPr="00D57A8B">
        <w:rPr>
          <w:rFonts w:cs="Arial"/>
          <w:lang w:val="en-US"/>
        </w:rPr>
        <w:t xml:space="preserve"> could allow for simulations and inter-active relationship.</w:t>
      </w:r>
    </w:p>
    <w:permEnd w:id="368772356"/>
    <w:p w:rsidR="003E573C" w:rsidRDefault="003E573C" w:rsidP="003E573C">
      <w:pPr>
        <w:rPr>
          <w:rFonts w:cs="Arial"/>
        </w:rPr>
      </w:pPr>
      <w:r>
        <w:rPr>
          <w:rFonts w:cs="Arial"/>
        </w:rPr>
        <w:t>&lt;ESA_QUESTION_PKID_1&gt;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rsidR="003E573C" w:rsidRDefault="003E573C" w:rsidP="003E573C">
      <w:pPr>
        <w:rPr>
          <w:rFonts w:cs="Arial"/>
        </w:rPr>
      </w:pPr>
      <w:r>
        <w:rPr>
          <w:rFonts w:cs="Arial"/>
        </w:rPr>
        <w:t>&lt;ESA_QUESTION_PKID_2&gt;</w:t>
      </w:r>
    </w:p>
    <w:p w:rsidR="003E573C" w:rsidRDefault="00DB7B3B" w:rsidP="00121461">
      <w:pPr>
        <w:jc w:val="both"/>
        <w:rPr>
          <w:rFonts w:cs="Arial"/>
        </w:rPr>
      </w:pPr>
      <w:permStart w:id="1528787831" w:edGrp="everyone"/>
      <w:proofErr w:type="gramStart"/>
      <w:r>
        <w:rPr>
          <w:rFonts w:cs="Arial"/>
        </w:rPr>
        <w:t>Yes</w:t>
      </w:r>
      <w:proofErr w:type="gramEnd"/>
      <w:r>
        <w:rPr>
          <w:rFonts w:cs="Arial"/>
        </w:rPr>
        <w:t xml:space="preserve"> we agree. In various </w:t>
      </w:r>
      <w:proofErr w:type="gramStart"/>
      <w:r>
        <w:rPr>
          <w:rFonts w:cs="Arial"/>
        </w:rPr>
        <w:t>cases</w:t>
      </w:r>
      <w:proofErr w:type="gramEnd"/>
      <w:r>
        <w:rPr>
          <w:rFonts w:cs="Arial"/>
        </w:rPr>
        <w:t xml:space="preserve"> it could be helpful for distribution of products.</w:t>
      </w:r>
    </w:p>
    <w:permEnd w:id="1528787831"/>
    <w:p w:rsidR="003E573C" w:rsidRDefault="003E573C" w:rsidP="003E573C">
      <w:pPr>
        <w:rPr>
          <w:rFonts w:cs="Arial"/>
        </w:rPr>
      </w:pPr>
      <w:r>
        <w:rPr>
          <w:rFonts w:cs="Arial"/>
        </w:rPr>
        <w:t>&lt;ESA_QUESTION_PKID_2&gt;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rsidR="003E573C" w:rsidRDefault="003E573C" w:rsidP="003E573C">
      <w:pPr>
        <w:rPr>
          <w:rFonts w:cs="Arial"/>
        </w:rPr>
      </w:pPr>
      <w:r>
        <w:rPr>
          <w:rFonts w:cs="Arial"/>
        </w:rPr>
        <w:t>&lt;ESA_QUESTION_PKID_3&gt;</w:t>
      </w:r>
    </w:p>
    <w:p w:rsidR="003E573C" w:rsidRDefault="00DB7B3B" w:rsidP="00121461">
      <w:pPr>
        <w:jc w:val="both"/>
        <w:rPr>
          <w:rFonts w:cs="Arial"/>
        </w:rPr>
      </w:pPr>
      <w:permStart w:id="273744338" w:edGrp="everyone"/>
      <w:r>
        <w:rPr>
          <w:rFonts w:cs="Arial"/>
        </w:rPr>
        <w:t>In order to provide sufficient time for impleme</w:t>
      </w:r>
      <w:r w:rsidR="00D57A8B">
        <w:rPr>
          <w:rFonts w:cs="Arial"/>
        </w:rPr>
        <w:t>ntation, beginning of 2022 will be much</w:t>
      </w:r>
      <w:r>
        <w:rPr>
          <w:rFonts w:cs="Arial"/>
        </w:rPr>
        <w:t xml:space="preserve"> better, </w:t>
      </w:r>
      <w:proofErr w:type="gramStart"/>
      <w:r>
        <w:rPr>
          <w:rFonts w:cs="Arial"/>
        </w:rPr>
        <w:t>all the more</w:t>
      </w:r>
      <w:proofErr w:type="gramEnd"/>
      <w:r>
        <w:rPr>
          <w:rFonts w:cs="Arial"/>
        </w:rPr>
        <w:t xml:space="preserve"> as it will match with the end of the UCITS KIID exemption.</w:t>
      </w:r>
    </w:p>
    <w:permEnd w:id="273744338"/>
    <w:p w:rsidR="003E573C" w:rsidRDefault="003E573C" w:rsidP="003E573C">
      <w:pPr>
        <w:rPr>
          <w:rFonts w:cs="Arial"/>
        </w:rPr>
      </w:pPr>
      <w:r>
        <w:rPr>
          <w:rFonts w:cs="Arial"/>
        </w:rPr>
        <w:t>&lt;ESA_QUESTION_PKID_3&gt;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rsidR="003E573C" w:rsidRDefault="003E573C" w:rsidP="003E573C">
      <w:pPr>
        <w:rPr>
          <w:rFonts w:cs="Arial"/>
        </w:rPr>
      </w:pPr>
      <w:r>
        <w:rPr>
          <w:rFonts w:cs="Arial"/>
        </w:rPr>
        <w:t>&lt;ESA_QUESTION_PKID_4&gt;</w:t>
      </w:r>
    </w:p>
    <w:p w:rsidR="003E573C" w:rsidRDefault="00DB7B3B" w:rsidP="003E573C">
      <w:pPr>
        <w:rPr>
          <w:rFonts w:cs="Arial"/>
        </w:rPr>
      </w:pPr>
      <w:permStart w:id="435959534" w:edGrp="everyone"/>
      <w:r>
        <w:rPr>
          <w:rFonts w:cs="Arial"/>
        </w:rPr>
        <w:t>No, we consider that a single step would be more appropriate.</w:t>
      </w:r>
    </w:p>
    <w:permEnd w:id="435959534"/>
    <w:p w:rsidR="003E573C" w:rsidRDefault="003E573C" w:rsidP="003E573C">
      <w:pPr>
        <w:rPr>
          <w:rFonts w:cs="Arial"/>
        </w:rPr>
      </w:pPr>
      <w:r>
        <w:rPr>
          <w:rFonts w:cs="Arial"/>
        </w:rPr>
        <w:t>&lt;ESA_QUESTION_PKID_4&gt;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rsidR="003E573C" w:rsidRDefault="003E573C" w:rsidP="003E573C">
      <w:pPr>
        <w:rPr>
          <w:rFonts w:cs="Arial"/>
        </w:rPr>
      </w:pPr>
      <w:r>
        <w:rPr>
          <w:rFonts w:cs="Arial"/>
        </w:rPr>
        <w:t>&lt;ESA_QUESTION_PKID_5&gt;</w:t>
      </w:r>
    </w:p>
    <w:p w:rsidR="003E573C" w:rsidRPr="00C07AE6" w:rsidRDefault="00F35874" w:rsidP="003E573C">
      <w:pPr>
        <w:rPr>
          <w:rFonts w:cs="Arial"/>
        </w:rPr>
      </w:pPr>
      <w:permStart w:id="477170278" w:edGrp="everyone"/>
      <w:r>
        <w:rPr>
          <w:rFonts w:cs="Arial"/>
        </w:rPr>
        <w:t>Given the</w:t>
      </w:r>
      <w:r w:rsidR="00121461">
        <w:rPr>
          <w:rFonts w:cs="Arial"/>
          <w:color w:val="FF0000"/>
        </w:rPr>
        <w:t xml:space="preserve"> </w:t>
      </w:r>
      <w:r w:rsidR="00121461" w:rsidRPr="00F35874">
        <w:rPr>
          <w:rFonts w:cs="Arial"/>
        </w:rPr>
        <w:t xml:space="preserve">required </w:t>
      </w:r>
      <w:proofErr w:type="gramStart"/>
      <w:r w:rsidR="00121461" w:rsidRPr="00F35874">
        <w:rPr>
          <w:rFonts w:cs="Arial"/>
        </w:rPr>
        <w:t>timeframe</w:t>
      </w:r>
      <w:r>
        <w:rPr>
          <w:rFonts w:cs="Arial"/>
        </w:rPr>
        <w:t xml:space="preserve"> </w:t>
      </w:r>
      <w:r w:rsidR="00D57A8B" w:rsidRPr="00F35874">
        <w:rPr>
          <w:rFonts w:cs="Arial"/>
        </w:rPr>
        <w:t>which</w:t>
      </w:r>
      <w:proofErr w:type="gramEnd"/>
      <w:r w:rsidR="00D57A8B" w:rsidRPr="00F35874">
        <w:rPr>
          <w:rFonts w:cs="Arial"/>
        </w:rPr>
        <w:t xml:space="preserve"> </w:t>
      </w:r>
      <w:r w:rsidR="00D57A8B" w:rsidRPr="00C07AE6">
        <w:rPr>
          <w:rFonts w:cs="Arial"/>
        </w:rPr>
        <w:t xml:space="preserve">is needed for implementation, it is important not to postpone </w:t>
      </w:r>
      <w:r w:rsidR="00C07AE6" w:rsidRPr="00C07AE6">
        <w:rPr>
          <w:rFonts w:cs="Arial"/>
        </w:rPr>
        <w:t>final changes in level 2 by adding further issues.</w:t>
      </w:r>
    </w:p>
    <w:permEnd w:id="477170278"/>
    <w:p w:rsidR="003E573C" w:rsidRDefault="003E573C" w:rsidP="003E573C">
      <w:pPr>
        <w:rPr>
          <w:rFonts w:cs="Arial"/>
        </w:rPr>
      </w:pPr>
      <w:r>
        <w:rPr>
          <w:rFonts w:cs="Arial"/>
        </w:rPr>
        <w:t>&lt;ESA_QUESTION_PKID_5&gt;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rsidR="003E573C" w:rsidRDefault="003E573C" w:rsidP="003E573C">
      <w:pPr>
        <w:rPr>
          <w:rFonts w:cs="Arial"/>
        </w:rPr>
      </w:pPr>
      <w:r>
        <w:rPr>
          <w:rFonts w:cs="Arial"/>
        </w:rPr>
        <w:t>&lt;ESA_QUESTION_PKID_6&gt;</w:t>
      </w:r>
    </w:p>
    <w:p w:rsidR="003E573C" w:rsidRDefault="00CF4CD0" w:rsidP="00121461">
      <w:pPr>
        <w:jc w:val="both"/>
        <w:rPr>
          <w:rFonts w:cs="Arial"/>
        </w:rPr>
      </w:pPr>
      <w:permStart w:id="171003148" w:edGrp="everyone"/>
      <w:r>
        <w:rPr>
          <w:rFonts w:cs="Arial"/>
        </w:rPr>
        <w:t>The proposed presentation and calculation of future performance scenarios is not satisfactory. For linear</w:t>
      </w:r>
      <w:r w:rsidR="00437BF1">
        <w:rPr>
          <w:rFonts w:cs="Arial"/>
        </w:rPr>
        <w:t xml:space="preserve"> funds, in particular,</w:t>
      </w:r>
      <w:r>
        <w:rPr>
          <w:rFonts w:cs="Arial"/>
        </w:rPr>
        <w:t xml:space="preserve"> such scenarios are not appropriate and should not be required in line with article 8 (3), d, iii </w:t>
      </w:r>
      <w:r w:rsidR="00437BF1">
        <w:rPr>
          <w:rFonts w:cs="Arial"/>
        </w:rPr>
        <w:t>of Level 1 Regulation</w:t>
      </w:r>
      <w:r w:rsidR="00437BF1">
        <w:rPr>
          <w:rStyle w:val="FootnoteReference"/>
          <w:rFonts w:cs="Arial"/>
        </w:rPr>
        <w:footnoteReference w:id="5"/>
      </w:r>
      <w:r w:rsidR="00437BF1">
        <w:rPr>
          <w:rFonts w:cs="Arial"/>
        </w:rPr>
        <w:t xml:space="preserve"> </w:t>
      </w:r>
      <w:r>
        <w:rPr>
          <w:rFonts w:cs="Arial"/>
        </w:rPr>
        <w:t xml:space="preserve">which state that manufacturers must provide </w:t>
      </w:r>
      <w:r w:rsidRPr="00C07AE6">
        <w:rPr>
          <w:rFonts w:cs="Arial"/>
          <w:u w:val="single"/>
        </w:rPr>
        <w:t>appropriate</w:t>
      </w:r>
      <w:r>
        <w:rPr>
          <w:rFonts w:cs="Arial"/>
        </w:rPr>
        <w:t xml:space="preserve"> performance scenarios, without specifying “future”. The </w:t>
      </w:r>
      <w:r w:rsidR="00C127B4">
        <w:rPr>
          <w:rFonts w:cs="Arial"/>
        </w:rPr>
        <w:t xml:space="preserve">illustrative </w:t>
      </w:r>
      <w:r w:rsidR="003E643E">
        <w:rPr>
          <w:rFonts w:cs="Arial"/>
        </w:rPr>
        <w:t xml:space="preserve">scenarios of the </w:t>
      </w:r>
      <w:r>
        <w:rPr>
          <w:rFonts w:cs="Arial"/>
        </w:rPr>
        <w:t xml:space="preserve">third page of the UCITS KIID for structured products </w:t>
      </w:r>
      <w:r w:rsidR="003E643E" w:rsidRPr="00C127B4">
        <w:rPr>
          <w:rFonts w:cs="Arial"/>
          <w:u w:val="single"/>
        </w:rPr>
        <w:t xml:space="preserve">are not </w:t>
      </w:r>
      <w:r w:rsidR="003E643E" w:rsidRPr="003E643E">
        <w:rPr>
          <w:rFonts w:cs="Arial"/>
          <w:u w:val="single"/>
        </w:rPr>
        <w:t>future</w:t>
      </w:r>
      <w:r w:rsidR="003E643E" w:rsidRPr="00C127B4">
        <w:rPr>
          <w:rFonts w:cs="Arial"/>
          <w:u w:val="single"/>
        </w:rPr>
        <w:t xml:space="preserve"> scenarios</w:t>
      </w:r>
      <w:r w:rsidR="003E643E" w:rsidRPr="003E643E">
        <w:rPr>
          <w:rFonts w:cs="Arial"/>
        </w:rPr>
        <w:t xml:space="preserve"> but they are</w:t>
      </w:r>
      <w:r w:rsidR="003E643E">
        <w:rPr>
          <w:rFonts w:cs="Arial"/>
          <w:u w:val="single"/>
        </w:rPr>
        <w:t xml:space="preserve"> </w:t>
      </w:r>
      <w:r w:rsidR="003E643E" w:rsidRPr="003E643E">
        <w:rPr>
          <w:rFonts w:cs="Arial"/>
        </w:rPr>
        <w:t>a</w:t>
      </w:r>
      <w:r w:rsidR="003E643E">
        <w:rPr>
          <w:rFonts w:cs="Arial"/>
        </w:rPr>
        <w:t>ppropriate since they provide a</w:t>
      </w:r>
      <w:r w:rsidR="003E643E" w:rsidRPr="003E643E">
        <w:rPr>
          <w:rFonts w:cs="Arial"/>
        </w:rPr>
        <w:t xml:space="preserve"> </w:t>
      </w:r>
      <w:r w:rsidR="003E643E">
        <w:rPr>
          <w:rFonts w:cs="Arial"/>
        </w:rPr>
        <w:t>useful illustration of the formula’s</w:t>
      </w:r>
      <w:r w:rsidR="00437BF1">
        <w:rPr>
          <w:rFonts w:cs="Arial"/>
        </w:rPr>
        <w:t xml:space="preserve"> mechanism. In this respect, p</w:t>
      </w:r>
      <w:r w:rsidR="003E643E">
        <w:rPr>
          <w:rFonts w:cs="Arial"/>
        </w:rPr>
        <w:t xml:space="preserve">robabilistic scenarios do not provide </w:t>
      </w:r>
      <w:r w:rsidR="00C07AE6">
        <w:rPr>
          <w:rFonts w:cs="Arial"/>
        </w:rPr>
        <w:t xml:space="preserve">a </w:t>
      </w:r>
      <w:r w:rsidR="003E643E">
        <w:rPr>
          <w:rFonts w:cs="Arial"/>
        </w:rPr>
        <w:t xml:space="preserve">meaningful </w:t>
      </w:r>
      <w:r w:rsidR="00C07AE6">
        <w:rPr>
          <w:rFonts w:cs="Arial"/>
        </w:rPr>
        <w:t xml:space="preserve">nor reliable </w:t>
      </w:r>
      <w:r w:rsidR="003E643E">
        <w:rPr>
          <w:rFonts w:cs="Arial"/>
        </w:rPr>
        <w:t>information and the cost of their calculation as asked by ESAs would be totally disp</w:t>
      </w:r>
      <w:r w:rsidR="00C07AE6">
        <w:rPr>
          <w:rFonts w:cs="Arial"/>
        </w:rPr>
        <w:t xml:space="preserve">roportionate, </w:t>
      </w:r>
      <w:proofErr w:type="gramStart"/>
      <w:r w:rsidR="00C07AE6">
        <w:rPr>
          <w:rFonts w:cs="Arial"/>
        </w:rPr>
        <w:t>all the more</w:t>
      </w:r>
      <w:proofErr w:type="gramEnd"/>
      <w:r w:rsidR="00C07AE6">
        <w:rPr>
          <w:rFonts w:cs="Arial"/>
        </w:rPr>
        <w:t xml:space="preserve"> for providing an</w:t>
      </w:r>
      <w:r w:rsidR="003E643E">
        <w:rPr>
          <w:rFonts w:cs="Arial"/>
        </w:rPr>
        <w:t xml:space="preserve"> information</w:t>
      </w:r>
      <w:r w:rsidR="00C07AE6">
        <w:rPr>
          <w:rFonts w:cs="Arial"/>
        </w:rPr>
        <w:t xml:space="preserve"> that can be detrimental</w:t>
      </w:r>
      <w:r w:rsidR="003E643E">
        <w:rPr>
          <w:rFonts w:cs="Arial"/>
        </w:rPr>
        <w:t>.</w:t>
      </w:r>
    </w:p>
    <w:p w:rsidR="00121461" w:rsidRDefault="00121461" w:rsidP="00121461">
      <w:pPr>
        <w:jc w:val="both"/>
        <w:rPr>
          <w:rFonts w:cs="Arial"/>
        </w:rPr>
      </w:pPr>
    </w:p>
    <w:p w:rsidR="00E709B4" w:rsidRDefault="00437BF1" w:rsidP="00121461">
      <w:pPr>
        <w:jc w:val="both"/>
        <w:rPr>
          <w:rFonts w:cs="Arial"/>
        </w:rPr>
      </w:pPr>
      <w:r>
        <w:rPr>
          <w:rFonts w:cs="Arial"/>
        </w:rPr>
        <w:t>Should</w:t>
      </w:r>
      <w:r w:rsidR="003E643E">
        <w:rPr>
          <w:rFonts w:cs="Arial"/>
        </w:rPr>
        <w:t xml:space="preserve"> ESAs insist for providing scenarios for linear funds, we </w:t>
      </w:r>
      <w:r>
        <w:rPr>
          <w:rFonts w:cs="Arial"/>
        </w:rPr>
        <w:t xml:space="preserve">would </w:t>
      </w:r>
      <w:r w:rsidR="003E643E">
        <w:rPr>
          <w:rFonts w:cs="Arial"/>
        </w:rPr>
        <w:t xml:space="preserve">strongly recommend </w:t>
      </w:r>
      <w:proofErr w:type="gramStart"/>
      <w:r w:rsidR="003E643E">
        <w:rPr>
          <w:rFonts w:cs="Arial"/>
        </w:rPr>
        <w:t>to adopt</w:t>
      </w:r>
      <w:proofErr w:type="gramEnd"/>
      <w:r w:rsidR="003E643E">
        <w:rPr>
          <w:rFonts w:cs="Arial"/>
        </w:rPr>
        <w:t xml:space="preserve"> </w:t>
      </w:r>
      <w:r w:rsidR="001F5835">
        <w:rPr>
          <w:rFonts w:cs="Arial"/>
        </w:rPr>
        <w:t>a sim</w:t>
      </w:r>
      <w:r>
        <w:rPr>
          <w:rFonts w:cs="Arial"/>
        </w:rPr>
        <w:t>pler solution as considered in Section</w:t>
      </w:r>
      <w:r w:rsidR="001F5835">
        <w:rPr>
          <w:rFonts w:cs="Arial"/>
        </w:rPr>
        <w:t xml:space="preserve"> 5.7 of the consultation. This</w:t>
      </w:r>
      <w:r w:rsidR="003E643E">
        <w:rPr>
          <w:rFonts w:cs="Arial"/>
        </w:rPr>
        <w:t xml:space="preserve"> soluti</w:t>
      </w:r>
      <w:r w:rsidR="001F5835">
        <w:rPr>
          <w:rFonts w:cs="Arial"/>
        </w:rPr>
        <w:t>on would consist in</w:t>
      </w:r>
      <w:r w:rsidR="003E643E">
        <w:rPr>
          <w:rFonts w:cs="Arial"/>
        </w:rPr>
        <w:t xml:space="preserve"> showing the highest return observed during the last 10 years </w:t>
      </w:r>
      <w:r w:rsidR="008B701E">
        <w:rPr>
          <w:rFonts w:cs="Arial"/>
        </w:rPr>
        <w:t>(or twice the RHP</w:t>
      </w:r>
      <w:r w:rsidR="00BA7F6A">
        <w:rPr>
          <w:rFonts w:cs="Arial"/>
        </w:rPr>
        <w:t xml:space="preserve">) </w:t>
      </w:r>
      <w:r w:rsidR="003E643E">
        <w:rPr>
          <w:rFonts w:cs="Arial"/>
        </w:rPr>
        <w:t xml:space="preserve">for the recommended holding period </w:t>
      </w:r>
      <w:r>
        <w:rPr>
          <w:rFonts w:cs="Arial"/>
        </w:rPr>
        <w:t xml:space="preserve">(RHP) </w:t>
      </w:r>
      <w:r w:rsidR="003E643E">
        <w:rPr>
          <w:rFonts w:cs="Arial"/>
        </w:rPr>
        <w:t>as the favourable scenario, and the worst return observed similarly during the RHP as the unfavourable scenario. The medium scenario would be the average return on the RHP. ESAs would have to determine the frequency of observation: either quarterly or monthly. This solut</w:t>
      </w:r>
      <w:r w:rsidR="00C759BA">
        <w:rPr>
          <w:rFonts w:cs="Arial"/>
        </w:rPr>
        <w:t>ion is the so-called “compensatory mechanism”</w:t>
      </w:r>
      <w:r w:rsidR="003E643E">
        <w:rPr>
          <w:rFonts w:cs="Arial"/>
        </w:rPr>
        <w:t xml:space="preserve"> proposed by ESAs in </w:t>
      </w:r>
      <w:r>
        <w:rPr>
          <w:rFonts w:cs="Arial"/>
        </w:rPr>
        <w:t>Section</w:t>
      </w:r>
      <w:r w:rsidR="00C759BA">
        <w:rPr>
          <w:rFonts w:cs="Arial"/>
        </w:rPr>
        <w:t xml:space="preserve"> 5.6 as the </w:t>
      </w:r>
      <w:proofErr w:type="gramStart"/>
      <w:r w:rsidR="00C759BA">
        <w:rPr>
          <w:rFonts w:cs="Arial"/>
        </w:rPr>
        <w:t>fall-back</w:t>
      </w:r>
      <w:proofErr w:type="gramEnd"/>
      <w:r w:rsidR="00C759BA">
        <w:rPr>
          <w:rFonts w:cs="Arial"/>
        </w:rPr>
        <w:t xml:space="preserve"> in case probabilistic scenarios would not provide satisfactory results. </w:t>
      </w:r>
    </w:p>
    <w:p w:rsidR="00E709B4" w:rsidRDefault="00E709B4" w:rsidP="00121461">
      <w:pPr>
        <w:jc w:val="both"/>
        <w:rPr>
          <w:rFonts w:cs="Arial"/>
          <w:color w:val="FF0000"/>
        </w:rPr>
      </w:pPr>
    </w:p>
    <w:p w:rsidR="00E709B4" w:rsidRPr="00E709B4" w:rsidRDefault="00E709B4" w:rsidP="00121461">
      <w:pPr>
        <w:jc w:val="both"/>
        <w:rPr>
          <w:rFonts w:cs="Arial"/>
        </w:rPr>
      </w:pPr>
      <w:r w:rsidRPr="008B701E">
        <w:rPr>
          <w:rFonts w:cs="Arial"/>
          <w:b/>
        </w:rPr>
        <w:t xml:space="preserve">Against this background, we strongly recommend the adoption </w:t>
      </w:r>
      <w:r w:rsidR="008B701E" w:rsidRPr="008B701E">
        <w:rPr>
          <w:rFonts w:cs="Arial"/>
          <w:b/>
        </w:rPr>
        <w:t>of this methodology as the main one</w:t>
      </w:r>
      <w:r w:rsidRPr="00E709B4">
        <w:rPr>
          <w:rFonts w:cs="Arial"/>
        </w:rPr>
        <w:t>, since it is a clear and pragmatic solution rather than obliging to a costly, burdensome and doubtful exercise.</w:t>
      </w:r>
    </w:p>
    <w:p w:rsidR="00E709B4" w:rsidRDefault="00E709B4" w:rsidP="00121461">
      <w:pPr>
        <w:jc w:val="both"/>
        <w:rPr>
          <w:rFonts w:cs="Arial"/>
        </w:rPr>
      </w:pPr>
    </w:p>
    <w:p w:rsidR="00DF0705" w:rsidRDefault="00DF0705" w:rsidP="00121461">
      <w:pPr>
        <w:jc w:val="both"/>
        <w:rPr>
          <w:rFonts w:cs="Arial"/>
        </w:rPr>
      </w:pPr>
      <w:r>
        <w:rPr>
          <w:rFonts w:cs="Arial"/>
        </w:rPr>
        <w:t>Of course</w:t>
      </w:r>
      <w:r w:rsidR="00E709B4">
        <w:rPr>
          <w:rFonts w:cs="Arial"/>
        </w:rPr>
        <w:t>,</w:t>
      </w:r>
      <w:r>
        <w:rPr>
          <w:rFonts w:cs="Arial"/>
        </w:rPr>
        <w:t xml:space="preserve"> a warning should be added reminding that past performances do not prejudge future performances</w:t>
      </w:r>
      <w:r w:rsidR="00C07AE6">
        <w:rPr>
          <w:rFonts w:cs="Arial"/>
        </w:rPr>
        <w:t>,</w:t>
      </w:r>
      <w:r>
        <w:rPr>
          <w:rFonts w:cs="Arial"/>
        </w:rPr>
        <w:t xml:space="preserve"> as well as a short explanation of the functioning of each market (equity, bonds and monetary).</w:t>
      </w:r>
    </w:p>
    <w:p w:rsidR="00C07AE6" w:rsidRDefault="00C07AE6" w:rsidP="00121461">
      <w:pPr>
        <w:jc w:val="both"/>
        <w:rPr>
          <w:rFonts w:cs="Arial"/>
        </w:rPr>
      </w:pPr>
      <w:r>
        <w:rPr>
          <w:rFonts w:cs="Arial"/>
        </w:rPr>
        <w:t>Showing min</w:t>
      </w:r>
      <w:r w:rsidR="00E709B4">
        <w:rPr>
          <w:rFonts w:cs="Arial"/>
        </w:rPr>
        <w:t>imum</w:t>
      </w:r>
      <w:r>
        <w:rPr>
          <w:rFonts w:cs="Arial"/>
        </w:rPr>
        <w:t>, max</w:t>
      </w:r>
      <w:r w:rsidR="00E709B4">
        <w:rPr>
          <w:rFonts w:cs="Arial"/>
        </w:rPr>
        <w:t>imum</w:t>
      </w:r>
      <w:r>
        <w:rPr>
          <w:rFonts w:cs="Arial"/>
        </w:rPr>
        <w:t xml:space="preserve"> and average performance on RHP observed in the past (usually ten years) would provide a good illustration of what can happen and it would be very helpful to compare funds of the same category showing at first glance figures easy to read. Past performances as showed in the UCITS KIID are useful, in particular </w:t>
      </w:r>
      <w:r w:rsidR="002B7623">
        <w:rPr>
          <w:rFonts w:cs="Arial"/>
        </w:rPr>
        <w:t>for the comparison with a benchmark when appropriate, but they do not allow for an easy comparison of performance between funds.</w:t>
      </w:r>
    </w:p>
    <w:p w:rsidR="008B701E" w:rsidRDefault="008B701E" w:rsidP="00121461">
      <w:pPr>
        <w:jc w:val="both"/>
        <w:rPr>
          <w:rFonts w:cs="Arial"/>
        </w:rPr>
      </w:pPr>
    </w:p>
    <w:p w:rsidR="008B701E" w:rsidRDefault="008B701E" w:rsidP="003E573C">
      <w:pPr>
        <w:rPr>
          <w:rFonts w:cs="Arial"/>
        </w:rPr>
      </w:pPr>
    </w:p>
    <w:p w:rsidR="008B701E" w:rsidRDefault="008B701E" w:rsidP="008B701E">
      <w:pPr>
        <w:rPr>
          <w:rFonts w:cs="Arial"/>
        </w:rPr>
      </w:pPr>
      <w:r w:rsidRPr="008B701E">
        <w:rPr>
          <w:rFonts w:cs="Arial"/>
          <w:u w:val="single"/>
        </w:rPr>
        <w:t xml:space="preserve">Example of how the scenarios </w:t>
      </w:r>
      <w:proofErr w:type="gramStart"/>
      <w:r w:rsidRPr="008B701E">
        <w:rPr>
          <w:rFonts w:cs="Arial"/>
          <w:u w:val="single"/>
        </w:rPr>
        <w:t>could be shown</w:t>
      </w:r>
      <w:proofErr w:type="gramEnd"/>
      <w:r w:rsidRPr="008B701E">
        <w:rPr>
          <w:rFonts w:cs="Arial"/>
        </w:rPr>
        <w:t>:</w:t>
      </w:r>
    </w:p>
    <w:p w:rsidR="008B701E" w:rsidRPr="008B701E" w:rsidRDefault="008B701E" w:rsidP="008B701E">
      <w:pPr>
        <w:rPr>
          <w:rFonts w:cs="Arial"/>
        </w:rPr>
      </w:pPr>
    </w:p>
    <w:p w:rsidR="008B701E" w:rsidRPr="008B701E" w:rsidRDefault="008B701E" w:rsidP="008B701E">
      <w:pPr>
        <w:rPr>
          <w:rFonts w:cs="Arial"/>
        </w:rPr>
      </w:pPr>
    </w:p>
    <w:tbl>
      <w:tblPr>
        <w:tblStyle w:val="TableGrid"/>
        <w:tblW w:w="0" w:type="auto"/>
        <w:tblCellMar>
          <w:left w:w="85" w:type="dxa"/>
          <w:right w:w="85" w:type="dxa"/>
        </w:tblCellMar>
        <w:tblLook w:val="04A0" w:firstRow="1" w:lastRow="0" w:firstColumn="1" w:lastColumn="0" w:noHBand="0" w:noVBand="1"/>
      </w:tblPr>
      <w:tblGrid>
        <w:gridCol w:w="1316"/>
        <w:gridCol w:w="2790"/>
        <w:gridCol w:w="1843"/>
        <w:gridCol w:w="3067"/>
      </w:tblGrid>
      <w:tr w:rsidR="008B701E" w:rsidRPr="008B701E" w:rsidTr="00E1715A">
        <w:trPr>
          <w:trHeight w:val="687"/>
        </w:trPr>
        <w:tc>
          <w:tcPr>
            <w:tcW w:w="1316" w:type="dxa"/>
          </w:tcPr>
          <w:p w:rsidR="008B701E" w:rsidRPr="008B701E" w:rsidRDefault="008B701E" w:rsidP="008B701E">
            <w:pPr>
              <w:rPr>
                <w:rFonts w:cs="Arial"/>
                <w:b/>
              </w:rPr>
            </w:pPr>
            <w:r w:rsidRPr="008B701E">
              <w:rPr>
                <w:rFonts w:cs="Arial"/>
                <w:b/>
              </w:rPr>
              <w:t>Scenarios based on historical observations</w:t>
            </w:r>
          </w:p>
        </w:tc>
        <w:tc>
          <w:tcPr>
            <w:tcW w:w="2790" w:type="dxa"/>
          </w:tcPr>
          <w:p w:rsidR="008B701E" w:rsidRPr="008B701E" w:rsidRDefault="008B701E" w:rsidP="008B701E">
            <w:pPr>
              <w:rPr>
                <w:rFonts w:cs="Arial"/>
              </w:rPr>
            </w:pPr>
            <w:r w:rsidRPr="008B701E">
              <w:rPr>
                <w:rFonts w:cs="Arial"/>
              </w:rPr>
              <w:t>If you invest € 10 000</w:t>
            </w:r>
          </w:p>
        </w:tc>
        <w:tc>
          <w:tcPr>
            <w:tcW w:w="1843" w:type="dxa"/>
          </w:tcPr>
          <w:p w:rsidR="008B701E" w:rsidRPr="008B701E" w:rsidRDefault="008B701E" w:rsidP="008B701E">
            <w:pPr>
              <w:rPr>
                <w:rFonts w:cs="Arial"/>
              </w:rPr>
            </w:pPr>
            <w:r w:rsidRPr="008B701E">
              <w:rPr>
                <w:rFonts w:cs="Arial"/>
              </w:rPr>
              <w:t>Observed results</w:t>
            </w:r>
          </w:p>
        </w:tc>
        <w:tc>
          <w:tcPr>
            <w:tcW w:w="3067" w:type="dxa"/>
          </w:tcPr>
          <w:p w:rsidR="008B701E" w:rsidRPr="008B701E" w:rsidRDefault="008B701E" w:rsidP="008B701E">
            <w:pPr>
              <w:rPr>
                <w:rFonts w:cs="Arial"/>
              </w:rPr>
            </w:pPr>
            <w:r w:rsidRPr="008B701E">
              <w:rPr>
                <w:rFonts w:cs="Arial"/>
              </w:rPr>
              <w:t>Results observed ov</w:t>
            </w:r>
            <w:r>
              <w:rPr>
                <w:rFonts w:cs="Arial"/>
              </w:rPr>
              <w:t>er a 5 years investment horizon</w:t>
            </w:r>
            <w:r w:rsidRPr="008B701E">
              <w:rPr>
                <w:rFonts w:cs="Arial"/>
              </w:rPr>
              <w:t xml:space="preserve">, for the last 10 years  </w:t>
            </w:r>
          </w:p>
        </w:tc>
      </w:tr>
      <w:tr w:rsidR="008B701E" w:rsidRPr="008B701E" w:rsidTr="00E1715A">
        <w:tc>
          <w:tcPr>
            <w:tcW w:w="1316" w:type="dxa"/>
            <w:vMerge w:val="restart"/>
          </w:tcPr>
          <w:p w:rsidR="008B701E" w:rsidRPr="008B701E" w:rsidRDefault="008B701E" w:rsidP="008B701E">
            <w:pPr>
              <w:rPr>
                <w:rFonts w:cs="Arial"/>
              </w:rPr>
            </w:pPr>
            <w:r w:rsidRPr="008B701E">
              <w:rPr>
                <w:rFonts w:cs="Arial"/>
              </w:rPr>
              <w:t>Favourable</w:t>
            </w:r>
          </w:p>
        </w:tc>
        <w:tc>
          <w:tcPr>
            <w:tcW w:w="2790" w:type="dxa"/>
          </w:tcPr>
          <w:p w:rsidR="008B701E" w:rsidRPr="008B701E" w:rsidRDefault="008B701E" w:rsidP="008B701E">
            <w:pPr>
              <w:rPr>
                <w:rFonts w:cs="Arial"/>
              </w:rPr>
            </w:pPr>
            <w:r w:rsidRPr="008B701E">
              <w:rPr>
                <w:rFonts w:cs="Arial"/>
              </w:rPr>
              <w:t>What you might get back after costs at the end of [RHP] years</w:t>
            </w:r>
          </w:p>
        </w:tc>
        <w:tc>
          <w:tcPr>
            <w:tcW w:w="1843" w:type="dxa"/>
            <w:vAlign w:val="center"/>
          </w:tcPr>
          <w:p w:rsidR="008B701E" w:rsidRPr="008B701E" w:rsidRDefault="008B701E" w:rsidP="008B701E">
            <w:pPr>
              <w:rPr>
                <w:rFonts w:cs="Arial"/>
              </w:rPr>
            </w:pPr>
            <w:r w:rsidRPr="008B701E">
              <w:rPr>
                <w:rFonts w:cs="Arial"/>
              </w:rPr>
              <w:t>XX XXX.XX EUR</w:t>
            </w:r>
          </w:p>
        </w:tc>
        <w:tc>
          <w:tcPr>
            <w:tcW w:w="3067" w:type="dxa"/>
            <w:vMerge w:val="restart"/>
          </w:tcPr>
          <w:p w:rsidR="008B701E" w:rsidRPr="008B701E" w:rsidRDefault="008B701E" w:rsidP="008B701E">
            <w:pPr>
              <w:rPr>
                <w:rFonts w:cs="Arial"/>
              </w:rPr>
            </w:pPr>
            <w:r>
              <w:rPr>
                <w:rFonts w:cs="Arial"/>
              </w:rPr>
              <w:t>B</w:t>
            </w:r>
            <w:r w:rsidRPr="008B701E">
              <w:rPr>
                <w:rFonts w:cs="Arial"/>
              </w:rPr>
              <w:t xml:space="preserve">est performance observed over 5 years  </w:t>
            </w:r>
          </w:p>
        </w:tc>
      </w:tr>
      <w:tr w:rsidR="008B701E" w:rsidRPr="008B701E" w:rsidTr="00E1715A">
        <w:tc>
          <w:tcPr>
            <w:tcW w:w="1316" w:type="dxa"/>
            <w:vMerge/>
          </w:tcPr>
          <w:p w:rsidR="008B701E" w:rsidRPr="008B701E" w:rsidRDefault="008B701E" w:rsidP="008B701E">
            <w:pPr>
              <w:rPr>
                <w:rFonts w:cs="Arial"/>
              </w:rPr>
            </w:pPr>
          </w:p>
        </w:tc>
        <w:tc>
          <w:tcPr>
            <w:tcW w:w="2790" w:type="dxa"/>
          </w:tcPr>
          <w:p w:rsidR="008B701E" w:rsidRPr="008B701E" w:rsidRDefault="008B701E" w:rsidP="008B701E">
            <w:pPr>
              <w:rPr>
                <w:rFonts w:cs="Arial"/>
              </w:rPr>
            </w:pPr>
            <w:r w:rsidRPr="008B701E">
              <w:rPr>
                <w:rFonts w:cs="Arial"/>
              </w:rPr>
              <w:t>Average yearly return</w:t>
            </w:r>
          </w:p>
        </w:tc>
        <w:tc>
          <w:tcPr>
            <w:tcW w:w="1843" w:type="dxa"/>
          </w:tcPr>
          <w:p w:rsidR="008B701E" w:rsidRPr="008B701E" w:rsidRDefault="008B701E" w:rsidP="008B701E">
            <w:pPr>
              <w:rPr>
                <w:rFonts w:cs="Arial"/>
              </w:rPr>
            </w:pPr>
            <w:r w:rsidRPr="008B701E">
              <w:rPr>
                <w:rFonts w:cs="Arial"/>
              </w:rPr>
              <w:t>XX.XX%</w:t>
            </w:r>
          </w:p>
        </w:tc>
        <w:tc>
          <w:tcPr>
            <w:tcW w:w="3067" w:type="dxa"/>
            <w:vMerge/>
          </w:tcPr>
          <w:p w:rsidR="008B701E" w:rsidRPr="008B701E" w:rsidRDefault="008B701E" w:rsidP="008B701E">
            <w:pPr>
              <w:rPr>
                <w:rFonts w:cs="Arial"/>
              </w:rPr>
            </w:pPr>
          </w:p>
        </w:tc>
      </w:tr>
      <w:tr w:rsidR="008B701E" w:rsidRPr="008B701E" w:rsidTr="00E1715A">
        <w:tc>
          <w:tcPr>
            <w:tcW w:w="1316" w:type="dxa"/>
            <w:vMerge w:val="restart"/>
          </w:tcPr>
          <w:p w:rsidR="008B701E" w:rsidRPr="008B701E" w:rsidRDefault="008B701E" w:rsidP="008B701E">
            <w:pPr>
              <w:rPr>
                <w:rFonts w:cs="Arial"/>
              </w:rPr>
            </w:pPr>
            <w:r w:rsidRPr="008B701E">
              <w:rPr>
                <w:rFonts w:cs="Arial"/>
              </w:rPr>
              <w:t>Average</w:t>
            </w:r>
          </w:p>
        </w:tc>
        <w:tc>
          <w:tcPr>
            <w:tcW w:w="2790" w:type="dxa"/>
          </w:tcPr>
          <w:p w:rsidR="008B701E" w:rsidRPr="008B701E" w:rsidRDefault="008B701E" w:rsidP="008B701E">
            <w:pPr>
              <w:rPr>
                <w:rFonts w:cs="Arial"/>
              </w:rPr>
            </w:pPr>
            <w:r w:rsidRPr="008B701E">
              <w:rPr>
                <w:rFonts w:cs="Arial"/>
              </w:rPr>
              <w:t>What you might get back after costs at the end of [RHP] years</w:t>
            </w:r>
          </w:p>
        </w:tc>
        <w:tc>
          <w:tcPr>
            <w:tcW w:w="1843" w:type="dxa"/>
            <w:vAlign w:val="center"/>
          </w:tcPr>
          <w:p w:rsidR="008B701E" w:rsidRPr="008B701E" w:rsidRDefault="008B701E" w:rsidP="008B701E">
            <w:pPr>
              <w:rPr>
                <w:rFonts w:cs="Arial"/>
              </w:rPr>
            </w:pPr>
            <w:r w:rsidRPr="008B701E">
              <w:rPr>
                <w:rFonts w:cs="Arial"/>
              </w:rPr>
              <w:t>XX XXX.XX EUR</w:t>
            </w:r>
          </w:p>
        </w:tc>
        <w:tc>
          <w:tcPr>
            <w:tcW w:w="3067" w:type="dxa"/>
            <w:vMerge w:val="restart"/>
          </w:tcPr>
          <w:p w:rsidR="008B701E" w:rsidRPr="008B701E" w:rsidRDefault="008B701E" w:rsidP="008B701E">
            <w:pPr>
              <w:rPr>
                <w:rFonts w:cs="Arial"/>
              </w:rPr>
            </w:pPr>
            <w:r w:rsidRPr="008B701E">
              <w:rPr>
                <w:rFonts w:cs="Arial"/>
              </w:rPr>
              <w:t>Average  performance over 5years</w:t>
            </w:r>
          </w:p>
        </w:tc>
      </w:tr>
      <w:tr w:rsidR="008B701E" w:rsidRPr="008B701E" w:rsidTr="00E1715A">
        <w:tc>
          <w:tcPr>
            <w:tcW w:w="1316" w:type="dxa"/>
            <w:vMerge/>
          </w:tcPr>
          <w:p w:rsidR="008B701E" w:rsidRPr="008B701E" w:rsidRDefault="008B701E" w:rsidP="008B701E">
            <w:pPr>
              <w:rPr>
                <w:rFonts w:cs="Arial"/>
              </w:rPr>
            </w:pPr>
          </w:p>
        </w:tc>
        <w:tc>
          <w:tcPr>
            <w:tcW w:w="2790" w:type="dxa"/>
          </w:tcPr>
          <w:p w:rsidR="008B701E" w:rsidRPr="008B701E" w:rsidRDefault="008B701E" w:rsidP="008B701E">
            <w:pPr>
              <w:rPr>
                <w:rFonts w:cs="Arial"/>
              </w:rPr>
            </w:pPr>
            <w:r w:rsidRPr="008B701E">
              <w:rPr>
                <w:rFonts w:cs="Arial"/>
              </w:rPr>
              <w:t>Average yearly return</w:t>
            </w:r>
          </w:p>
        </w:tc>
        <w:tc>
          <w:tcPr>
            <w:tcW w:w="1843" w:type="dxa"/>
          </w:tcPr>
          <w:p w:rsidR="008B701E" w:rsidRPr="008B701E" w:rsidRDefault="008B701E" w:rsidP="008B701E">
            <w:pPr>
              <w:rPr>
                <w:rFonts w:cs="Arial"/>
              </w:rPr>
            </w:pPr>
            <w:r w:rsidRPr="008B701E">
              <w:rPr>
                <w:rFonts w:cs="Arial"/>
              </w:rPr>
              <w:t>XX.XX%</w:t>
            </w:r>
          </w:p>
        </w:tc>
        <w:tc>
          <w:tcPr>
            <w:tcW w:w="3067" w:type="dxa"/>
            <w:vMerge/>
          </w:tcPr>
          <w:p w:rsidR="008B701E" w:rsidRPr="008B701E" w:rsidRDefault="008B701E" w:rsidP="008B701E">
            <w:pPr>
              <w:rPr>
                <w:rFonts w:cs="Arial"/>
              </w:rPr>
            </w:pPr>
          </w:p>
        </w:tc>
      </w:tr>
      <w:tr w:rsidR="008B701E" w:rsidRPr="008B701E" w:rsidTr="00E1715A">
        <w:tc>
          <w:tcPr>
            <w:tcW w:w="1316" w:type="dxa"/>
            <w:vMerge w:val="restart"/>
          </w:tcPr>
          <w:p w:rsidR="008B701E" w:rsidRPr="008B701E" w:rsidRDefault="008B701E" w:rsidP="008B701E">
            <w:pPr>
              <w:rPr>
                <w:rFonts w:cs="Arial"/>
              </w:rPr>
            </w:pPr>
            <w:r w:rsidRPr="008B701E">
              <w:rPr>
                <w:rFonts w:cs="Arial"/>
              </w:rPr>
              <w:t>Unfavourable</w:t>
            </w:r>
          </w:p>
        </w:tc>
        <w:tc>
          <w:tcPr>
            <w:tcW w:w="2790" w:type="dxa"/>
          </w:tcPr>
          <w:p w:rsidR="008B701E" w:rsidRPr="008B701E" w:rsidRDefault="008B701E" w:rsidP="008B701E">
            <w:pPr>
              <w:rPr>
                <w:rFonts w:cs="Arial"/>
              </w:rPr>
            </w:pPr>
            <w:r w:rsidRPr="008B701E">
              <w:rPr>
                <w:rFonts w:cs="Arial"/>
              </w:rPr>
              <w:t>What you might get back after costs at the end of [RHP] years</w:t>
            </w:r>
          </w:p>
        </w:tc>
        <w:tc>
          <w:tcPr>
            <w:tcW w:w="1843" w:type="dxa"/>
            <w:vAlign w:val="center"/>
          </w:tcPr>
          <w:p w:rsidR="008B701E" w:rsidRPr="008B701E" w:rsidRDefault="008B701E" w:rsidP="008B701E">
            <w:pPr>
              <w:rPr>
                <w:rFonts w:cs="Arial"/>
              </w:rPr>
            </w:pPr>
            <w:r w:rsidRPr="008B701E">
              <w:rPr>
                <w:rFonts w:cs="Arial"/>
              </w:rPr>
              <w:t>XX XXX.XX EUR</w:t>
            </w:r>
          </w:p>
        </w:tc>
        <w:tc>
          <w:tcPr>
            <w:tcW w:w="3067" w:type="dxa"/>
            <w:vMerge w:val="restart"/>
          </w:tcPr>
          <w:p w:rsidR="008B701E" w:rsidRPr="008B701E" w:rsidRDefault="008B701E" w:rsidP="008B701E">
            <w:pPr>
              <w:rPr>
                <w:rFonts w:cs="Arial"/>
              </w:rPr>
            </w:pPr>
            <w:r w:rsidRPr="008B701E">
              <w:rPr>
                <w:rFonts w:cs="Arial"/>
              </w:rPr>
              <w:t>Worst performance observed over 5 years</w:t>
            </w:r>
          </w:p>
        </w:tc>
      </w:tr>
      <w:tr w:rsidR="008B701E" w:rsidRPr="008B701E" w:rsidTr="00E1715A">
        <w:tc>
          <w:tcPr>
            <w:tcW w:w="1316" w:type="dxa"/>
            <w:vMerge/>
          </w:tcPr>
          <w:p w:rsidR="008B701E" w:rsidRPr="008B701E" w:rsidRDefault="008B701E" w:rsidP="008B701E">
            <w:pPr>
              <w:rPr>
                <w:rFonts w:cs="Arial"/>
              </w:rPr>
            </w:pPr>
          </w:p>
        </w:tc>
        <w:tc>
          <w:tcPr>
            <w:tcW w:w="2790" w:type="dxa"/>
          </w:tcPr>
          <w:p w:rsidR="008B701E" w:rsidRPr="008B701E" w:rsidRDefault="008B701E" w:rsidP="008B701E">
            <w:pPr>
              <w:rPr>
                <w:rFonts w:cs="Arial"/>
              </w:rPr>
            </w:pPr>
            <w:r w:rsidRPr="008B701E">
              <w:rPr>
                <w:rFonts w:cs="Arial"/>
              </w:rPr>
              <w:t>Average yearly return</w:t>
            </w:r>
          </w:p>
        </w:tc>
        <w:tc>
          <w:tcPr>
            <w:tcW w:w="1843" w:type="dxa"/>
          </w:tcPr>
          <w:p w:rsidR="008B701E" w:rsidRPr="008B701E" w:rsidRDefault="008B701E" w:rsidP="008B701E">
            <w:pPr>
              <w:rPr>
                <w:rFonts w:cs="Arial"/>
              </w:rPr>
            </w:pPr>
            <w:r w:rsidRPr="008B701E">
              <w:rPr>
                <w:rFonts w:cs="Arial"/>
              </w:rPr>
              <w:t>XX.XX%</w:t>
            </w:r>
          </w:p>
        </w:tc>
        <w:tc>
          <w:tcPr>
            <w:tcW w:w="3067" w:type="dxa"/>
            <w:vMerge/>
          </w:tcPr>
          <w:p w:rsidR="008B701E" w:rsidRPr="008B701E" w:rsidRDefault="008B701E" w:rsidP="008B701E">
            <w:pPr>
              <w:rPr>
                <w:rFonts w:cs="Arial"/>
              </w:rPr>
            </w:pPr>
          </w:p>
        </w:tc>
      </w:tr>
    </w:tbl>
    <w:p w:rsidR="008B701E" w:rsidRPr="008B701E" w:rsidRDefault="008B701E" w:rsidP="008B701E">
      <w:pPr>
        <w:rPr>
          <w:rFonts w:cs="Arial"/>
        </w:rPr>
      </w:pPr>
    </w:p>
    <w:p w:rsidR="008B701E" w:rsidRDefault="008B701E" w:rsidP="003E573C">
      <w:pPr>
        <w:rPr>
          <w:rFonts w:cs="Arial"/>
        </w:rPr>
      </w:pPr>
    </w:p>
    <w:permEnd w:id="171003148"/>
    <w:p w:rsidR="003E573C" w:rsidRDefault="003E573C" w:rsidP="003E573C">
      <w:pPr>
        <w:rPr>
          <w:rFonts w:cs="Arial"/>
        </w:rPr>
      </w:pPr>
      <w:r>
        <w:rPr>
          <w:rFonts w:cs="Arial"/>
        </w:rPr>
        <w:t>&lt;ESA_QUESTION_PKID_6&gt;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rsidR="003E573C" w:rsidRDefault="003E573C" w:rsidP="003E573C">
      <w:pPr>
        <w:rPr>
          <w:rFonts w:cs="Arial"/>
        </w:rPr>
      </w:pPr>
      <w:r>
        <w:rPr>
          <w:rFonts w:cs="Arial"/>
        </w:rPr>
        <w:t>&lt;ESA_QUESTION_PKID_7&gt;</w:t>
      </w:r>
    </w:p>
    <w:p w:rsidR="003E573C" w:rsidRPr="002B7623" w:rsidRDefault="006F17BE" w:rsidP="003E573C">
      <w:pPr>
        <w:rPr>
          <w:rFonts w:cs="Arial"/>
          <w:lang w:val="en-US"/>
        </w:rPr>
      </w:pPr>
      <w:permStart w:id="216083535" w:edGrp="everyone"/>
      <w:r>
        <w:rPr>
          <w:rFonts w:cs="Arial"/>
          <w:lang w:val="en-US"/>
        </w:rPr>
        <w:t>I</w:t>
      </w:r>
      <w:r w:rsidR="002B7623" w:rsidRPr="002B7623">
        <w:rPr>
          <w:rFonts w:cs="Arial"/>
          <w:lang w:val="en-US"/>
        </w:rPr>
        <w:t>ntermediate scenario</w:t>
      </w:r>
      <w:r>
        <w:rPr>
          <w:rFonts w:cs="Arial"/>
          <w:lang w:val="en-US"/>
        </w:rPr>
        <w:t>s s</w:t>
      </w:r>
      <w:r w:rsidR="00232E8D">
        <w:rPr>
          <w:rFonts w:cs="Arial"/>
          <w:lang w:val="en-US"/>
        </w:rPr>
        <w:t>hould not be included</w:t>
      </w:r>
      <w:r>
        <w:rPr>
          <w:rFonts w:cs="Arial"/>
          <w:lang w:val="en-US"/>
        </w:rPr>
        <w:t xml:space="preserve"> in or</w:t>
      </w:r>
      <w:r w:rsidR="00F35874">
        <w:rPr>
          <w:rFonts w:cs="Arial"/>
          <w:lang w:val="en-US"/>
        </w:rPr>
        <w:t>der not to</w:t>
      </w:r>
      <w:r w:rsidR="00121461" w:rsidRPr="00121461">
        <w:rPr>
          <w:rFonts w:cs="Arial"/>
          <w:color w:val="FF0000"/>
          <w:lang w:val="en-US"/>
        </w:rPr>
        <w:t xml:space="preserve"> </w:t>
      </w:r>
      <w:r w:rsidR="00121461" w:rsidRPr="00F35874">
        <w:rPr>
          <w:rFonts w:cs="Arial"/>
          <w:lang w:val="en-US"/>
        </w:rPr>
        <w:t xml:space="preserve">overburden </w:t>
      </w:r>
      <w:r w:rsidR="00232E8D">
        <w:rPr>
          <w:rFonts w:cs="Arial"/>
          <w:lang w:val="en-US"/>
        </w:rPr>
        <w:t>the KID with overflowing information</w:t>
      </w:r>
      <w:r w:rsidR="002B7623">
        <w:rPr>
          <w:rFonts w:cs="Arial"/>
          <w:lang w:val="en-US"/>
        </w:rPr>
        <w:t>.</w:t>
      </w:r>
    </w:p>
    <w:permEnd w:id="216083535"/>
    <w:p w:rsidR="003E573C" w:rsidRDefault="003E573C" w:rsidP="003E573C">
      <w:pPr>
        <w:rPr>
          <w:rFonts w:cs="Arial"/>
        </w:rPr>
      </w:pPr>
      <w:r>
        <w:rPr>
          <w:rFonts w:cs="Arial"/>
        </w:rPr>
        <w:t>&lt;ESA_QUESTION_PKID_7&gt;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rsidR="003E573C" w:rsidRDefault="003E573C" w:rsidP="003E573C">
      <w:pPr>
        <w:rPr>
          <w:rFonts w:cs="Arial"/>
        </w:rPr>
      </w:pPr>
      <w:r>
        <w:rPr>
          <w:rFonts w:cs="Arial"/>
        </w:rPr>
        <w:t>&lt;ESA_QUESTION_PKID_8&gt;</w:t>
      </w:r>
    </w:p>
    <w:p w:rsidR="003E573C" w:rsidRDefault="00121461" w:rsidP="003E573C">
      <w:pPr>
        <w:rPr>
          <w:rFonts w:cs="Arial"/>
        </w:rPr>
      </w:pPr>
      <w:permStart w:id="1598900991" w:edGrp="everyone"/>
      <w:r w:rsidRPr="00F35874">
        <w:rPr>
          <w:rFonts w:cs="Arial"/>
        </w:rPr>
        <w:t>A</w:t>
      </w:r>
      <w:r w:rsidR="00C759BA">
        <w:rPr>
          <w:rFonts w:cs="Arial"/>
        </w:rPr>
        <w:t xml:space="preserve"> stres</w:t>
      </w:r>
      <w:r w:rsidR="00F35874">
        <w:rPr>
          <w:rFonts w:cs="Arial"/>
        </w:rPr>
        <w:t>s scenario is not relevant</w:t>
      </w:r>
      <w:r w:rsidR="00C759BA">
        <w:rPr>
          <w:rFonts w:cs="Arial"/>
        </w:rPr>
        <w:t xml:space="preserve"> </w:t>
      </w:r>
      <w:r w:rsidRPr="00F35874">
        <w:rPr>
          <w:rFonts w:cs="Arial"/>
        </w:rPr>
        <w:t xml:space="preserve">as </w:t>
      </w:r>
      <w:r w:rsidR="00C759BA">
        <w:rPr>
          <w:rFonts w:cs="Arial"/>
        </w:rPr>
        <w:t>it would exacerbated the risk aversion of retail clients which is a major obstacle to European</w:t>
      </w:r>
      <w:r w:rsidR="00F35874">
        <w:rPr>
          <w:rFonts w:cs="Arial"/>
        </w:rPr>
        <w:t xml:space="preserve"> Financial markets’ development</w:t>
      </w:r>
      <w:r w:rsidR="00E709B4" w:rsidRPr="00E709B4">
        <w:rPr>
          <w:rFonts w:cs="Arial"/>
        </w:rPr>
        <w:t xml:space="preserve"> </w:t>
      </w:r>
      <w:r w:rsidRPr="00F35874">
        <w:rPr>
          <w:rFonts w:cs="Arial"/>
        </w:rPr>
        <w:t xml:space="preserve">and </w:t>
      </w:r>
      <w:r w:rsidR="00E709B4" w:rsidRPr="00E709B4">
        <w:rPr>
          <w:rFonts w:cs="Arial"/>
        </w:rPr>
        <w:t xml:space="preserve">at odds with the overall objective of an increase engagement of retail investors in capital markets. In addition, unfavourable, moderate and favourable scenarios are sufficient, and adding a stress </w:t>
      </w:r>
      <w:proofErr w:type="gramStart"/>
      <w:r w:rsidR="00E709B4" w:rsidRPr="00E709B4">
        <w:rPr>
          <w:rFonts w:cs="Arial"/>
        </w:rPr>
        <w:t>scenario  would</w:t>
      </w:r>
      <w:proofErr w:type="gramEnd"/>
      <w:r w:rsidR="00E709B4" w:rsidRPr="00E709B4">
        <w:rPr>
          <w:rFonts w:cs="Arial"/>
        </w:rPr>
        <w:t xml:space="preserve"> only add confusion.</w:t>
      </w:r>
    </w:p>
    <w:permEnd w:id="1598900991"/>
    <w:p w:rsidR="003E573C" w:rsidRDefault="003E573C" w:rsidP="003E573C">
      <w:pPr>
        <w:rPr>
          <w:rFonts w:cs="Arial"/>
        </w:rPr>
      </w:pPr>
      <w:r>
        <w:rPr>
          <w:rFonts w:cs="Arial"/>
        </w:rPr>
        <w:t>&lt;ESA_QUESTION_PKID_8&gt;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rsidR="003E573C" w:rsidRDefault="003E573C" w:rsidP="003E573C">
      <w:pPr>
        <w:rPr>
          <w:rFonts w:cs="Arial"/>
        </w:rPr>
      </w:pPr>
      <w:r>
        <w:rPr>
          <w:rFonts w:cs="Arial"/>
        </w:rPr>
        <w:t>&lt;ESA_QUESTION_PKID_9&gt;</w:t>
      </w:r>
    </w:p>
    <w:p w:rsidR="003E573C" w:rsidRPr="00EC75CC" w:rsidRDefault="00121461" w:rsidP="003E573C">
      <w:pPr>
        <w:rPr>
          <w:rFonts w:cs="Arial"/>
          <w:lang w:val="es-ES"/>
        </w:rPr>
      </w:pPr>
      <w:permStart w:id="261182139" w:edGrp="everyone"/>
      <w:r w:rsidRPr="00EC75CC">
        <w:rPr>
          <w:rFonts w:cs="Arial"/>
          <w:lang w:val="es-ES"/>
        </w:rPr>
        <w:t>N/A.</w:t>
      </w:r>
    </w:p>
    <w:permEnd w:id="261182139"/>
    <w:p w:rsidR="003E573C" w:rsidRDefault="003E573C" w:rsidP="003E573C">
      <w:pPr>
        <w:rPr>
          <w:rFonts w:cs="Arial"/>
        </w:rPr>
      </w:pPr>
      <w:r>
        <w:rPr>
          <w:rFonts w:cs="Arial"/>
        </w:rPr>
        <w:t>&lt;ESA_QUESTION_PKID_9&gt;</w:t>
      </w:r>
    </w:p>
    <w:p w:rsidR="003E573C" w:rsidRDefault="003E573C" w:rsidP="003E573C">
      <w:pPr>
        <w:rPr>
          <w:rFonts w:cs="Arial"/>
        </w:rPr>
      </w:pPr>
    </w:p>
    <w:p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rsidR="003E573C" w:rsidRDefault="003E573C" w:rsidP="003E573C">
      <w:pPr>
        <w:rPr>
          <w:rFonts w:cs="Arial"/>
        </w:rPr>
      </w:pPr>
      <w:r>
        <w:rPr>
          <w:rFonts w:cs="Arial"/>
        </w:rPr>
        <w:t>&lt;ESA_QUESTION_PKID_10&gt;</w:t>
      </w:r>
    </w:p>
    <w:p w:rsidR="00232E8D" w:rsidRPr="00232E8D" w:rsidRDefault="00232E8D" w:rsidP="00232E8D">
      <w:pPr>
        <w:rPr>
          <w:rFonts w:cs="Arial"/>
        </w:rPr>
      </w:pPr>
      <w:permStart w:id="1598378922" w:edGrp="everyone"/>
      <w:r w:rsidRPr="00232E8D">
        <w:rPr>
          <w:rFonts w:cs="Arial"/>
        </w:rPr>
        <w:t>We do not agree with this approach for the following reasons:</w:t>
      </w:r>
    </w:p>
    <w:p w:rsidR="00232E8D" w:rsidRPr="00232E8D" w:rsidRDefault="00232E8D" w:rsidP="00232E8D">
      <w:pPr>
        <w:numPr>
          <w:ilvl w:val="0"/>
          <w:numId w:val="41"/>
        </w:numPr>
        <w:rPr>
          <w:rFonts w:cs="Arial"/>
        </w:rPr>
      </w:pPr>
      <w:r w:rsidRPr="00232E8D">
        <w:rPr>
          <w:rFonts w:cs="Arial"/>
        </w:rPr>
        <w:t>This approach is complex and challenging in terms of implementation by the industry and explanation to the consumers (as recognized in Section 5.7 of the consultation)</w:t>
      </w:r>
      <w:r>
        <w:rPr>
          <w:rFonts w:cs="Arial"/>
        </w:rPr>
        <w:t>.</w:t>
      </w:r>
    </w:p>
    <w:p w:rsidR="00232E8D" w:rsidRPr="00232E8D" w:rsidRDefault="00232E8D" w:rsidP="00232E8D">
      <w:pPr>
        <w:numPr>
          <w:ilvl w:val="0"/>
          <w:numId w:val="41"/>
        </w:numPr>
        <w:rPr>
          <w:rFonts w:cs="Arial"/>
        </w:rPr>
      </w:pPr>
      <w:r w:rsidRPr="00232E8D">
        <w:rPr>
          <w:rFonts w:cs="Arial"/>
        </w:rPr>
        <w:t>It needs a look-through analysis of the portfolios, which is overly burdensome in ter</w:t>
      </w:r>
      <w:r>
        <w:rPr>
          <w:rFonts w:cs="Arial"/>
        </w:rPr>
        <w:t>ms of IT tools and cost of data</w:t>
      </w:r>
      <w:r w:rsidRPr="00232E8D">
        <w:rPr>
          <w:rFonts w:cs="Arial"/>
        </w:rPr>
        <w:t>. Ultimately, this cost will be borne by the investors.</w:t>
      </w:r>
    </w:p>
    <w:p w:rsidR="00232E8D" w:rsidRPr="00232E8D" w:rsidRDefault="00232E8D" w:rsidP="00232E8D">
      <w:pPr>
        <w:numPr>
          <w:ilvl w:val="0"/>
          <w:numId w:val="41"/>
        </w:numPr>
        <w:rPr>
          <w:rFonts w:cs="Arial"/>
        </w:rPr>
      </w:pPr>
      <w:r w:rsidRPr="00232E8D">
        <w:rPr>
          <w:rFonts w:cs="Arial"/>
        </w:rPr>
        <w:t>It is based on a snapshot of the positions</w:t>
      </w:r>
      <w:r>
        <w:rPr>
          <w:rFonts w:cs="Arial"/>
        </w:rPr>
        <w:t xml:space="preserve"> (investments in underlying assets)</w:t>
      </w:r>
      <w:r w:rsidRPr="00232E8D">
        <w:rPr>
          <w:rFonts w:cs="Arial"/>
        </w:rPr>
        <w:t>, which is not at all relevant, as the fund’s allocation can vary dramatically.</w:t>
      </w:r>
    </w:p>
    <w:p w:rsidR="00232E8D" w:rsidRPr="00232E8D" w:rsidRDefault="00232E8D" w:rsidP="00232E8D">
      <w:pPr>
        <w:numPr>
          <w:ilvl w:val="0"/>
          <w:numId w:val="41"/>
        </w:numPr>
        <w:rPr>
          <w:rFonts w:cs="Arial"/>
        </w:rPr>
      </w:pPr>
      <w:r w:rsidRPr="00232E8D">
        <w:rPr>
          <w:rFonts w:cs="Arial"/>
        </w:rPr>
        <w:t xml:space="preserve">It is not applicable to funds investing in other funds, as the composition of the latter </w:t>
      </w:r>
      <w:proofErr w:type="gramStart"/>
      <w:r w:rsidRPr="00232E8D">
        <w:rPr>
          <w:rFonts w:cs="Arial"/>
        </w:rPr>
        <w:t>is not necessarily known</w:t>
      </w:r>
      <w:proofErr w:type="gramEnd"/>
      <w:r>
        <w:rPr>
          <w:rFonts w:cs="Arial"/>
        </w:rPr>
        <w:t>.</w:t>
      </w:r>
    </w:p>
    <w:p w:rsidR="00232E8D" w:rsidRPr="00232E8D" w:rsidRDefault="00232E8D" w:rsidP="00232E8D">
      <w:pPr>
        <w:numPr>
          <w:ilvl w:val="0"/>
          <w:numId w:val="41"/>
        </w:numPr>
        <w:rPr>
          <w:rFonts w:cs="Arial"/>
        </w:rPr>
      </w:pPr>
      <w:r w:rsidRPr="00232E8D">
        <w:rPr>
          <w:rFonts w:cs="Arial"/>
        </w:rPr>
        <w:t>It is not applicable to positions the currency of which is dif</w:t>
      </w:r>
      <w:r>
        <w:rPr>
          <w:rFonts w:cs="Arial"/>
        </w:rPr>
        <w:t>ferent from the fund’s currency.</w:t>
      </w:r>
    </w:p>
    <w:p w:rsidR="00232E8D" w:rsidRPr="00232E8D" w:rsidRDefault="00232E8D" w:rsidP="00232E8D">
      <w:pPr>
        <w:numPr>
          <w:ilvl w:val="0"/>
          <w:numId w:val="41"/>
        </w:numPr>
        <w:rPr>
          <w:rFonts w:cs="Arial"/>
        </w:rPr>
      </w:pPr>
      <w:r w:rsidRPr="00232E8D">
        <w:rPr>
          <w:rFonts w:cs="Arial"/>
        </w:rPr>
        <w:t>We do not know how to apply the methodolog</w:t>
      </w:r>
      <w:r>
        <w:rPr>
          <w:rFonts w:cs="Arial"/>
        </w:rPr>
        <w:t xml:space="preserve">y to funds using </w:t>
      </w:r>
      <w:proofErr w:type="gramStart"/>
      <w:r>
        <w:rPr>
          <w:rFonts w:cs="Arial"/>
        </w:rPr>
        <w:t>leverage</w:t>
      </w:r>
      <w:proofErr w:type="gramEnd"/>
      <w:r>
        <w:rPr>
          <w:rFonts w:cs="Arial"/>
        </w:rPr>
        <w:t xml:space="preserve"> or to </w:t>
      </w:r>
      <w:r w:rsidRPr="00232E8D">
        <w:rPr>
          <w:rFonts w:cs="Arial"/>
        </w:rPr>
        <w:t>derivatives</w:t>
      </w:r>
      <w:r>
        <w:rPr>
          <w:rFonts w:cs="Arial"/>
        </w:rPr>
        <w:t>.</w:t>
      </w:r>
      <w:r w:rsidRPr="00232E8D">
        <w:rPr>
          <w:rFonts w:cs="Arial"/>
        </w:rPr>
        <w:t xml:space="preserve"> </w:t>
      </w:r>
    </w:p>
    <w:permEnd w:id="1598378922"/>
    <w:p w:rsidR="003E573C" w:rsidRDefault="003E573C" w:rsidP="003E573C">
      <w:pPr>
        <w:rPr>
          <w:rFonts w:cs="Arial"/>
        </w:rPr>
      </w:pPr>
      <w:r>
        <w:rPr>
          <w:rFonts w:cs="Arial"/>
        </w:rPr>
        <w:t>&lt;ESA_QUESTION_PKID_10&gt;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rsidR="003E573C" w:rsidRDefault="003E573C" w:rsidP="003E573C">
      <w:pPr>
        <w:rPr>
          <w:rFonts w:cs="Arial"/>
        </w:rPr>
      </w:pPr>
      <w:r>
        <w:rPr>
          <w:rFonts w:cs="Arial"/>
        </w:rPr>
        <w:t>&lt;ESA_QUESTION_PKID_11&gt;</w:t>
      </w:r>
    </w:p>
    <w:p w:rsidR="003E573C" w:rsidRDefault="00530185" w:rsidP="003E573C">
      <w:pPr>
        <w:rPr>
          <w:rFonts w:cs="Arial"/>
        </w:rPr>
      </w:pPr>
      <w:permStart w:id="890909363" w:edGrp="everyone"/>
      <w:r>
        <w:rPr>
          <w:rFonts w:cs="Arial"/>
        </w:rPr>
        <w:t>Cf. Q 10</w:t>
      </w:r>
    </w:p>
    <w:permEnd w:id="890909363"/>
    <w:p w:rsidR="003E573C" w:rsidRDefault="003E573C" w:rsidP="003E573C">
      <w:pPr>
        <w:rPr>
          <w:rFonts w:cs="Arial"/>
        </w:rPr>
      </w:pPr>
      <w:r>
        <w:rPr>
          <w:rFonts w:cs="Arial"/>
        </w:rPr>
        <w:t>&lt;ESA_QUESTION_PKID_11&gt;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How should share buyback rates be estimated?</w:t>
      </w:r>
    </w:p>
    <w:p w:rsidR="003E573C" w:rsidRDefault="003E573C" w:rsidP="003E573C">
      <w:pPr>
        <w:rPr>
          <w:rFonts w:cs="Arial"/>
        </w:rPr>
      </w:pPr>
      <w:r>
        <w:rPr>
          <w:rFonts w:cs="Arial"/>
        </w:rPr>
        <w:t>&lt;ESA_QUESTION_PKID_12&gt;</w:t>
      </w:r>
    </w:p>
    <w:p w:rsidR="003E573C" w:rsidRPr="00A61BEB" w:rsidRDefault="00530185" w:rsidP="003E573C">
      <w:pPr>
        <w:rPr>
          <w:rFonts w:cs="Arial"/>
          <w:lang w:val="es-ES"/>
        </w:rPr>
      </w:pPr>
      <w:permStart w:id="1493789771" w:edGrp="everyone"/>
      <w:r w:rsidRPr="00A61BEB">
        <w:rPr>
          <w:rFonts w:cs="Arial"/>
          <w:lang w:val="es-ES"/>
        </w:rPr>
        <w:t>Cf. Q 10</w:t>
      </w:r>
    </w:p>
    <w:permEnd w:id="1493789771"/>
    <w:p w:rsidR="003E573C" w:rsidRDefault="003E573C" w:rsidP="003E573C">
      <w:pPr>
        <w:rPr>
          <w:rFonts w:cs="Arial"/>
        </w:rPr>
      </w:pPr>
      <w:r>
        <w:rPr>
          <w:rFonts w:cs="Arial"/>
        </w:rPr>
        <w:t>&lt;ESA_QUESTION_PKID_12&gt;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rsidR="003E573C" w:rsidRDefault="003E573C" w:rsidP="003E573C">
      <w:pPr>
        <w:rPr>
          <w:rFonts w:cs="Arial"/>
        </w:rPr>
      </w:pPr>
      <w:r>
        <w:rPr>
          <w:rFonts w:cs="Arial"/>
        </w:rPr>
        <w:t>&lt;ESA_QUESTION_PKID_13&gt;</w:t>
      </w:r>
    </w:p>
    <w:p w:rsidR="003E573C" w:rsidRPr="00121461" w:rsidRDefault="00121461" w:rsidP="003E573C">
      <w:pPr>
        <w:rPr>
          <w:rFonts w:cs="Arial"/>
          <w:color w:val="FF0000"/>
        </w:rPr>
      </w:pPr>
      <w:permStart w:id="798654119" w:edGrp="everyone"/>
      <w:r w:rsidRPr="00F35874">
        <w:rPr>
          <w:rFonts w:cs="Arial"/>
        </w:rPr>
        <w:t>We disagree with this approach, and not only for MMFs, as a</w:t>
      </w:r>
      <w:r w:rsidR="00974151" w:rsidRPr="00F35874">
        <w:rPr>
          <w:rFonts w:cs="Arial"/>
        </w:rPr>
        <w:t xml:space="preserve">ll the scientific </w:t>
      </w:r>
      <w:r w:rsidR="001F5835" w:rsidRPr="00F35874">
        <w:rPr>
          <w:rFonts w:cs="Arial"/>
        </w:rPr>
        <w:t>development</w:t>
      </w:r>
      <w:r w:rsidR="00974151" w:rsidRPr="00F35874">
        <w:rPr>
          <w:rFonts w:cs="Arial"/>
        </w:rPr>
        <w:t xml:space="preserve"> in § 5.2 to 5.5 is quite incomprehensible.</w:t>
      </w:r>
    </w:p>
    <w:permEnd w:id="798654119"/>
    <w:p w:rsidR="003E573C" w:rsidRDefault="003E573C" w:rsidP="003E573C">
      <w:pPr>
        <w:rPr>
          <w:rFonts w:cs="Arial"/>
        </w:rPr>
      </w:pPr>
      <w:r>
        <w:rPr>
          <w:rFonts w:cs="Arial"/>
        </w:rPr>
        <w:t>&lt;ESA_QUESTION_PKID_13&gt;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rsidR="003E573C" w:rsidRDefault="003E573C" w:rsidP="003E573C">
      <w:pPr>
        <w:rPr>
          <w:rFonts w:cs="Arial"/>
        </w:rPr>
      </w:pPr>
      <w:r>
        <w:rPr>
          <w:rFonts w:cs="Arial"/>
        </w:rPr>
        <w:t>&lt;ESA_QUESTION_PKID_14&gt;</w:t>
      </w:r>
    </w:p>
    <w:p w:rsidR="003E573C" w:rsidRPr="00A61BEB" w:rsidRDefault="001F5835" w:rsidP="003E573C">
      <w:pPr>
        <w:rPr>
          <w:rFonts w:cs="Arial"/>
          <w:lang w:val="es-ES"/>
        </w:rPr>
      </w:pPr>
      <w:permStart w:id="1874551593" w:edGrp="everyone"/>
      <w:r w:rsidRPr="00A61BEB">
        <w:rPr>
          <w:rFonts w:cs="Arial"/>
          <w:lang w:val="es-ES"/>
        </w:rPr>
        <w:t>Cf. Q 10</w:t>
      </w:r>
    </w:p>
    <w:permEnd w:id="1874551593"/>
    <w:p w:rsidR="003E573C" w:rsidRDefault="003E573C" w:rsidP="003E573C">
      <w:pPr>
        <w:rPr>
          <w:rFonts w:cs="Arial"/>
        </w:rPr>
      </w:pPr>
      <w:r>
        <w:rPr>
          <w:rFonts w:cs="Arial"/>
        </w:rPr>
        <w:t>&lt;ESA_QUESTION_PKID_14&gt;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rsidR="003E573C" w:rsidRDefault="003E573C" w:rsidP="003E573C">
      <w:pPr>
        <w:rPr>
          <w:rFonts w:cs="Arial"/>
        </w:rPr>
      </w:pPr>
      <w:r>
        <w:rPr>
          <w:rFonts w:cs="Arial"/>
        </w:rPr>
        <w:t>&lt;ESA_QUESTION_PKID_15&gt;</w:t>
      </w:r>
    </w:p>
    <w:p w:rsidR="003E573C" w:rsidRDefault="001F5835" w:rsidP="003E573C">
      <w:pPr>
        <w:rPr>
          <w:rFonts w:cs="Arial"/>
        </w:rPr>
      </w:pPr>
      <w:permStart w:id="857155600" w:edGrp="everyone"/>
      <w:r>
        <w:rPr>
          <w:rFonts w:cs="Arial"/>
        </w:rPr>
        <w:t>Cf. Q 10</w:t>
      </w:r>
    </w:p>
    <w:permEnd w:id="857155600"/>
    <w:p w:rsidR="003E573C" w:rsidRDefault="003E573C" w:rsidP="003E573C">
      <w:pPr>
        <w:rPr>
          <w:rFonts w:cs="Arial"/>
        </w:rPr>
      </w:pPr>
      <w:r>
        <w:rPr>
          <w:rFonts w:cs="Arial"/>
        </w:rPr>
        <w:t>&lt;ESA_QUESTION_PKID_15&gt;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rsidR="003E573C" w:rsidRDefault="003E573C" w:rsidP="003E573C">
      <w:pPr>
        <w:rPr>
          <w:rFonts w:cs="Arial"/>
        </w:rPr>
      </w:pPr>
      <w:r>
        <w:rPr>
          <w:rFonts w:cs="Arial"/>
        </w:rPr>
        <w:t>&lt;ESA_QUESTION_PKID_16&gt;</w:t>
      </w:r>
    </w:p>
    <w:p w:rsidR="003E573C" w:rsidRDefault="001F5835" w:rsidP="003E573C">
      <w:pPr>
        <w:rPr>
          <w:rFonts w:cs="Arial"/>
        </w:rPr>
      </w:pPr>
      <w:permStart w:id="476981080" w:edGrp="everyone"/>
      <w:r>
        <w:rPr>
          <w:rFonts w:cs="Arial"/>
        </w:rPr>
        <w:t xml:space="preserve">When considering the question of performance scenarios, comparability is not </w:t>
      </w:r>
      <w:r w:rsidR="007C6ABF">
        <w:rPr>
          <w:rFonts w:cs="Arial"/>
        </w:rPr>
        <w:t xml:space="preserve">a relevant </w:t>
      </w:r>
      <w:r>
        <w:rPr>
          <w:rFonts w:cs="Arial"/>
        </w:rPr>
        <w:t>objective since it is impossible to have a same appropriate methodology for products as different as linear funds, structured products or IBIPs.</w:t>
      </w:r>
    </w:p>
    <w:permEnd w:id="476981080"/>
    <w:p w:rsidR="003E573C" w:rsidRDefault="003E573C" w:rsidP="003E573C">
      <w:pPr>
        <w:rPr>
          <w:rFonts w:cs="Arial"/>
        </w:rPr>
      </w:pPr>
      <w:r>
        <w:rPr>
          <w:rFonts w:cs="Arial"/>
        </w:rPr>
        <w:t>&lt;ESA_QUESTION_PKID_16&gt;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rsidR="003E573C" w:rsidRDefault="003E573C" w:rsidP="003E573C">
      <w:pPr>
        <w:rPr>
          <w:rFonts w:cs="Arial"/>
        </w:rPr>
      </w:pPr>
      <w:r>
        <w:rPr>
          <w:rFonts w:cs="Arial"/>
        </w:rPr>
        <w:t>&lt;ESA_QUESTION_PKID_17&gt;</w:t>
      </w:r>
    </w:p>
    <w:p w:rsidR="003E573C" w:rsidRDefault="007C6ABF" w:rsidP="003E573C">
      <w:pPr>
        <w:rPr>
          <w:rFonts w:cs="Arial"/>
        </w:rPr>
      </w:pPr>
      <w:permStart w:id="1240034950" w:edGrp="everyone"/>
      <w:r w:rsidRPr="007C6ABF">
        <w:rPr>
          <w:rFonts w:cs="Arial"/>
        </w:rPr>
        <w:t xml:space="preserve">No additional compensatory mechanism </w:t>
      </w:r>
      <w:proofErr w:type="gramStart"/>
      <w:r w:rsidRPr="007C6ABF">
        <w:rPr>
          <w:rFonts w:cs="Arial"/>
        </w:rPr>
        <w:t>should be considered</w:t>
      </w:r>
      <w:proofErr w:type="gramEnd"/>
      <w:r w:rsidRPr="00394E7A">
        <w:rPr>
          <w:rFonts w:cs="Arial"/>
          <w:color w:val="FF0000"/>
        </w:rPr>
        <w:t xml:space="preserve">. </w:t>
      </w:r>
      <w:permEnd w:id="1240034950"/>
      <w:r w:rsidR="003E573C">
        <w:rPr>
          <w:rFonts w:cs="Arial"/>
        </w:rPr>
        <w:t>&lt;ESA_QUESTION_PKID_17&gt;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rsidR="003E573C" w:rsidRDefault="003E573C" w:rsidP="003E573C">
      <w:pPr>
        <w:rPr>
          <w:rFonts w:cs="Arial"/>
        </w:rPr>
      </w:pPr>
      <w:r>
        <w:rPr>
          <w:rFonts w:cs="Arial"/>
        </w:rPr>
        <w:t>&lt;ESA_QUESTION_PKID_18&gt;</w:t>
      </w:r>
    </w:p>
    <w:p w:rsidR="003E573C" w:rsidRDefault="001E4B0C" w:rsidP="000A2BC9">
      <w:pPr>
        <w:jc w:val="both"/>
        <w:rPr>
          <w:rFonts w:cs="Arial"/>
        </w:rPr>
      </w:pPr>
      <w:permStart w:id="191113061" w:edGrp="everyone"/>
      <w:proofErr w:type="gramStart"/>
      <w:r>
        <w:rPr>
          <w:rFonts w:cs="Arial"/>
        </w:rPr>
        <w:t>The s</w:t>
      </w:r>
      <w:r w:rsidR="007C6ABF">
        <w:rPr>
          <w:rFonts w:cs="Arial"/>
        </w:rPr>
        <w:t>implified approach proposed in Section</w:t>
      </w:r>
      <w:r>
        <w:rPr>
          <w:rFonts w:cs="Arial"/>
        </w:rPr>
        <w:t xml:space="preserve"> 5.7 embeds three major disadvantages which are </w:t>
      </w:r>
      <w:proofErr w:type="spellStart"/>
      <w:r>
        <w:rPr>
          <w:rFonts w:cs="Arial"/>
        </w:rPr>
        <w:t>i</w:t>
      </w:r>
      <w:proofErr w:type="spellEnd"/>
      <w:r>
        <w:rPr>
          <w:rFonts w:cs="Arial"/>
        </w:rPr>
        <w:t>) the fact that growth rates could be considered as arbitrary</w:t>
      </w:r>
      <w:r w:rsidR="007C6ABF">
        <w:rPr>
          <w:rFonts w:cs="Arial"/>
        </w:rPr>
        <w:t>,</w:t>
      </w:r>
      <w:r>
        <w:rPr>
          <w:rFonts w:cs="Arial"/>
        </w:rPr>
        <w:t xml:space="preserve"> ii) it is unclear how favourable, unfavourable and median scenarios will be calculated, </w:t>
      </w:r>
      <w:r w:rsidR="007C6ABF">
        <w:rPr>
          <w:rFonts w:cs="Arial"/>
        </w:rPr>
        <w:t xml:space="preserve">and </w:t>
      </w:r>
      <w:r>
        <w:rPr>
          <w:rFonts w:cs="Arial"/>
        </w:rPr>
        <w:t>iii) unlike</w:t>
      </w:r>
      <w:r w:rsidR="00DF0705">
        <w:rPr>
          <w:rFonts w:cs="Arial"/>
        </w:rPr>
        <w:t xml:space="preserve"> the method we propose in Q 6</w:t>
      </w:r>
      <w:r>
        <w:rPr>
          <w:rFonts w:cs="Arial"/>
        </w:rPr>
        <w:t xml:space="preserve"> it does n</w:t>
      </w:r>
      <w:r w:rsidR="002A6756">
        <w:rPr>
          <w:rFonts w:cs="Arial"/>
        </w:rPr>
        <w:t>ot allow for</w:t>
      </w:r>
      <w:r>
        <w:rPr>
          <w:rFonts w:cs="Arial"/>
        </w:rPr>
        <w:t xml:space="preserve"> reflect</w:t>
      </w:r>
      <w:r w:rsidR="002A6756">
        <w:rPr>
          <w:rFonts w:cs="Arial"/>
        </w:rPr>
        <w:t>ing</w:t>
      </w:r>
      <w:r>
        <w:rPr>
          <w:rFonts w:cs="Arial"/>
        </w:rPr>
        <w:t xml:space="preserve"> the individual </w:t>
      </w:r>
      <w:r w:rsidR="002A6756">
        <w:rPr>
          <w:rFonts w:cs="Arial"/>
        </w:rPr>
        <w:t>skill and capability of providing return of one fund compared to another of the same asset class (when considering linear funds).</w:t>
      </w:r>
      <w:proofErr w:type="gramEnd"/>
    </w:p>
    <w:permEnd w:id="191113061"/>
    <w:p w:rsidR="003E573C" w:rsidRDefault="003E573C" w:rsidP="003E573C">
      <w:pPr>
        <w:rPr>
          <w:rFonts w:cs="Arial"/>
        </w:rPr>
      </w:pPr>
      <w:r>
        <w:rPr>
          <w:rFonts w:cs="Arial"/>
        </w:rPr>
        <w:t>&lt;ESA_QUESTION_PKID_18&gt;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rsidR="003E573C" w:rsidRDefault="003E573C" w:rsidP="003E573C">
      <w:pPr>
        <w:rPr>
          <w:rFonts w:cs="Arial"/>
        </w:rPr>
      </w:pPr>
      <w:r>
        <w:rPr>
          <w:rFonts w:cs="Arial"/>
        </w:rPr>
        <w:t>&lt;ESA_QUESTION_PKID_19&gt;</w:t>
      </w:r>
    </w:p>
    <w:p w:rsidR="003E573C" w:rsidRDefault="00EE3848" w:rsidP="003E573C">
      <w:pPr>
        <w:rPr>
          <w:rFonts w:cs="Arial"/>
        </w:rPr>
      </w:pPr>
      <w:permStart w:id="1829709401" w:edGrp="everyone"/>
      <w:r>
        <w:rPr>
          <w:rFonts w:cs="Arial"/>
        </w:rPr>
        <w:t>Cf. Q 18</w:t>
      </w:r>
    </w:p>
    <w:permEnd w:id="1829709401"/>
    <w:p w:rsidR="003E573C" w:rsidRDefault="003E573C" w:rsidP="003E573C">
      <w:pPr>
        <w:rPr>
          <w:rFonts w:cs="Arial"/>
        </w:rPr>
      </w:pPr>
      <w:r>
        <w:rPr>
          <w:rFonts w:cs="Arial"/>
        </w:rPr>
        <w:t>&lt;ESA_QUESTION_PKID_19&gt;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rsidR="003E573C" w:rsidRDefault="003E573C" w:rsidP="003E573C">
      <w:pPr>
        <w:rPr>
          <w:rFonts w:cs="Arial"/>
        </w:rPr>
      </w:pPr>
      <w:r>
        <w:rPr>
          <w:rFonts w:cs="Arial"/>
        </w:rPr>
        <w:t>&lt;ESA_QUESTION_PKID_20&gt;</w:t>
      </w:r>
    </w:p>
    <w:p w:rsidR="003E573C" w:rsidRDefault="00E07032" w:rsidP="000A2BC9">
      <w:pPr>
        <w:jc w:val="both"/>
        <w:rPr>
          <w:rFonts w:cs="Arial"/>
        </w:rPr>
      </w:pPr>
      <w:permStart w:id="2039034952" w:edGrp="everyone"/>
      <w:r>
        <w:rPr>
          <w:rFonts w:cs="Arial"/>
        </w:rPr>
        <w:t>A</w:t>
      </w:r>
      <w:r w:rsidR="00EE3848">
        <w:rPr>
          <w:rFonts w:cs="Arial"/>
        </w:rPr>
        <w:t>s explained earlier</w:t>
      </w:r>
      <w:r>
        <w:rPr>
          <w:rFonts w:cs="Arial"/>
        </w:rPr>
        <w:t xml:space="preserve"> (reply to Q6)</w:t>
      </w:r>
      <w:r w:rsidR="00E45FD6">
        <w:rPr>
          <w:rFonts w:cs="Arial"/>
        </w:rPr>
        <w:t>,</w:t>
      </w:r>
      <w:r w:rsidR="00EE3848">
        <w:rPr>
          <w:rFonts w:cs="Arial"/>
        </w:rPr>
        <w:t xml:space="preserve"> we consider that </w:t>
      </w:r>
      <w:r w:rsidR="00E45FD6">
        <w:rPr>
          <w:rFonts w:cs="Arial"/>
        </w:rPr>
        <w:t xml:space="preserve">in most cases </w:t>
      </w:r>
      <w:r w:rsidR="00E45FD6" w:rsidRPr="000A2BC9">
        <w:rPr>
          <w:rFonts w:cs="Arial"/>
        </w:rPr>
        <w:t xml:space="preserve">probabilistic methods are not relevant and that </w:t>
      </w:r>
      <w:r w:rsidR="00EE3848" w:rsidRPr="000A2BC9">
        <w:rPr>
          <w:rFonts w:cs="Arial"/>
        </w:rPr>
        <w:t>various methods have to apply to v</w:t>
      </w:r>
      <w:r w:rsidR="00E45FD6" w:rsidRPr="000A2BC9">
        <w:rPr>
          <w:rFonts w:cs="Arial"/>
        </w:rPr>
        <w:t>a</w:t>
      </w:r>
      <w:r w:rsidR="00EE3848" w:rsidRPr="000A2BC9">
        <w:rPr>
          <w:rFonts w:cs="Arial"/>
        </w:rPr>
        <w:t xml:space="preserve">rious types of products. </w:t>
      </w:r>
      <w:r w:rsidR="00E45FD6" w:rsidRPr="000A2BC9">
        <w:rPr>
          <w:rFonts w:cs="Arial"/>
        </w:rPr>
        <w:t>T</w:t>
      </w:r>
      <w:r w:rsidR="00C127B4" w:rsidRPr="000A2BC9">
        <w:rPr>
          <w:rFonts w:cs="Arial"/>
        </w:rPr>
        <w:t>he illustrative</w:t>
      </w:r>
      <w:r w:rsidR="00EE3848" w:rsidRPr="000A2BC9">
        <w:rPr>
          <w:rFonts w:cs="Arial"/>
        </w:rPr>
        <w:t xml:space="preserve"> approach for structured </w:t>
      </w:r>
      <w:r w:rsidR="00C127B4" w:rsidRPr="000A2BC9">
        <w:rPr>
          <w:rFonts w:cs="Arial"/>
        </w:rPr>
        <w:t>UCITS</w:t>
      </w:r>
      <w:r w:rsidR="00EE3848" w:rsidRPr="000A2BC9">
        <w:rPr>
          <w:rFonts w:cs="Arial"/>
        </w:rPr>
        <w:t xml:space="preserve"> is</w:t>
      </w:r>
      <w:r w:rsidR="000A2BC9" w:rsidRPr="000A2BC9">
        <w:rPr>
          <w:rFonts w:cs="Arial"/>
        </w:rPr>
        <w:t xml:space="preserve"> </w:t>
      </w:r>
      <w:r w:rsidR="000A2BC9" w:rsidRPr="00F35874">
        <w:rPr>
          <w:rFonts w:cs="Arial"/>
        </w:rPr>
        <w:t>rather more</w:t>
      </w:r>
      <w:r w:rsidR="00EE3848" w:rsidRPr="00F35874">
        <w:rPr>
          <w:rFonts w:cs="Arial"/>
        </w:rPr>
        <w:t xml:space="preserve"> </w:t>
      </w:r>
      <w:r w:rsidR="00EE3848" w:rsidRPr="000A2BC9">
        <w:rPr>
          <w:rFonts w:cs="Arial"/>
        </w:rPr>
        <w:t>relevant</w:t>
      </w:r>
      <w:r>
        <w:rPr>
          <w:rFonts w:cs="Arial"/>
        </w:rPr>
        <w:t xml:space="preserve"> (</w:t>
      </w:r>
      <w:r w:rsidR="000A2BC9" w:rsidRPr="00F35874">
        <w:rPr>
          <w:rFonts w:cs="Arial"/>
        </w:rPr>
        <w:t>see</w:t>
      </w:r>
      <w:r>
        <w:rPr>
          <w:rFonts w:cs="Arial"/>
        </w:rPr>
        <w:t xml:space="preserve"> our replies below). P</w:t>
      </w:r>
      <w:r w:rsidR="00EE3848">
        <w:rPr>
          <w:rFonts w:cs="Arial"/>
        </w:rPr>
        <w:t xml:space="preserve">robabilistic methods do not fit well for linear products </w:t>
      </w:r>
      <w:r>
        <w:rPr>
          <w:rFonts w:cs="Arial"/>
        </w:rPr>
        <w:t xml:space="preserve">because they can only rely on global statistics by asset </w:t>
      </w:r>
      <w:proofErr w:type="gramStart"/>
      <w:r>
        <w:rPr>
          <w:rFonts w:cs="Arial"/>
        </w:rPr>
        <w:t>classes which</w:t>
      </w:r>
      <w:proofErr w:type="gramEnd"/>
      <w:r>
        <w:rPr>
          <w:rFonts w:cs="Arial"/>
        </w:rPr>
        <w:t xml:space="preserve"> do not provide valuable information for a specific investment strategy. In addition, long statistics series may result </w:t>
      </w:r>
      <w:proofErr w:type="gramStart"/>
      <w:r>
        <w:rPr>
          <w:rFonts w:cs="Arial"/>
        </w:rPr>
        <w:t>misleading</w:t>
      </w:r>
      <w:proofErr w:type="gramEnd"/>
      <w:r>
        <w:rPr>
          <w:rFonts w:cs="Arial"/>
        </w:rPr>
        <w:t xml:space="preserve"> as it would be the case for fixed income on a period of 30 or 40 years. </w:t>
      </w:r>
      <w:proofErr w:type="gramStart"/>
      <w:r>
        <w:rPr>
          <w:rFonts w:cs="Arial"/>
        </w:rPr>
        <w:t>Therefore</w:t>
      </w:r>
      <w:proofErr w:type="gramEnd"/>
      <w:r w:rsidR="00EE3848">
        <w:rPr>
          <w:rFonts w:cs="Arial"/>
        </w:rPr>
        <w:t xml:space="preserve"> we conside</w:t>
      </w:r>
      <w:r w:rsidR="00E45FD6">
        <w:rPr>
          <w:rFonts w:cs="Arial"/>
        </w:rPr>
        <w:t>r that the historical approach</w:t>
      </w:r>
      <w:r w:rsidR="00DF0705">
        <w:rPr>
          <w:rFonts w:cs="Arial"/>
        </w:rPr>
        <w:t xml:space="preserve"> exposed in Q 6</w:t>
      </w:r>
      <w:r w:rsidR="00EE3848">
        <w:rPr>
          <w:rFonts w:cs="Arial"/>
        </w:rPr>
        <w:t xml:space="preserve"> wou</w:t>
      </w:r>
      <w:r w:rsidR="00E45FD6">
        <w:rPr>
          <w:rFonts w:cs="Arial"/>
        </w:rPr>
        <w:t>ld fit much better for these. Different</w:t>
      </w:r>
      <w:r w:rsidR="00EE3848">
        <w:rPr>
          <w:rFonts w:cs="Arial"/>
        </w:rPr>
        <w:t xml:space="preserve"> method</w:t>
      </w:r>
      <w:r w:rsidR="00E45FD6">
        <w:rPr>
          <w:rFonts w:cs="Arial"/>
        </w:rPr>
        <w:t xml:space="preserve">s </w:t>
      </w:r>
      <w:proofErr w:type="gramStart"/>
      <w:r w:rsidR="00E45FD6">
        <w:rPr>
          <w:rFonts w:cs="Arial"/>
        </w:rPr>
        <w:t>sh</w:t>
      </w:r>
      <w:r w:rsidR="00EE3848">
        <w:rPr>
          <w:rFonts w:cs="Arial"/>
        </w:rPr>
        <w:t xml:space="preserve">ould </w:t>
      </w:r>
      <w:r w:rsidR="00E45FD6">
        <w:rPr>
          <w:rFonts w:cs="Arial"/>
        </w:rPr>
        <w:t>be considered</w:t>
      </w:r>
      <w:proofErr w:type="gramEnd"/>
      <w:r w:rsidR="00E45FD6">
        <w:rPr>
          <w:rFonts w:cs="Arial"/>
        </w:rPr>
        <w:t xml:space="preserve"> for IBIPs as well as for category 1 and category 4 p</w:t>
      </w:r>
      <w:r>
        <w:rPr>
          <w:rFonts w:cs="Arial"/>
        </w:rPr>
        <w:t>roducts. Conversely to category 2 products, t</w:t>
      </w:r>
      <w:r w:rsidR="00E45FD6">
        <w:rPr>
          <w:rFonts w:cs="Arial"/>
        </w:rPr>
        <w:t>he statistic level of return for assets of category 4 (real estates, infrastructures, private equity) or the ex</w:t>
      </w:r>
      <w:r w:rsidR="00F0479C">
        <w:rPr>
          <w:rFonts w:cs="Arial"/>
        </w:rPr>
        <w:t>pected return when it is known c</w:t>
      </w:r>
      <w:r w:rsidR="00E45FD6">
        <w:rPr>
          <w:rFonts w:cs="Arial"/>
        </w:rPr>
        <w:t>ould be appropriate.</w:t>
      </w:r>
    </w:p>
    <w:permEnd w:id="2039034952"/>
    <w:p w:rsidR="003E573C" w:rsidRDefault="003E573C" w:rsidP="003E573C">
      <w:pPr>
        <w:rPr>
          <w:rFonts w:cs="Arial"/>
        </w:rPr>
      </w:pPr>
      <w:r>
        <w:rPr>
          <w:rFonts w:cs="Arial"/>
        </w:rPr>
        <w:t>&lt;ESA_QUESTION_PKID_20&gt;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rsidR="003E573C" w:rsidRDefault="003E573C" w:rsidP="003E573C">
      <w:pPr>
        <w:rPr>
          <w:rFonts w:cs="Arial"/>
        </w:rPr>
      </w:pPr>
      <w:r>
        <w:rPr>
          <w:rFonts w:cs="Arial"/>
        </w:rPr>
        <w:t>&lt;ESA_QUESTION_PKID_21&gt;</w:t>
      </w:r>
    </w:p>
    <w:p w:rsidR="003E573C" w:rsidRDefault="00E658FF" w:rsidP="003E573C">
      <w:pPr>
        <w:rPr>
          <w:rFonts w:cs="Arial"/>
        </w:rPr>
      </w:pPr>
      <w:permStart w:id="730155267" w:edGrp="everyone"/>
      <w:r>
        <w:rPr>
          <w:rFonts w:cs="Arial"/>
        </w:rPr>
        <w:t>For years, t</w:t>
      </w:r>
      <w:r w:rsidR="00C317FC">
        <w:rPr>
          <w:rFonts w:cs="Arial"/>
        </w:rPr>
        <w:t>he UCITS’ approa</w:t>
      </w:r>
      <w:r>
        <w:rPr>
          <w:rFonts w:cs="Arial"/>
        </w:rPr>
        <w:t>ch for structured products has proven to be very satisfactory</w:t>
      </w:r>
      <w:r w:rsidR="000A2BC9">
        <w:rPr>
          <w:rFonts w:cs="Arial"/>
        </w:rPr>
        <w:t xml:space="preserve">. </w:t>
      </w:r>
      <w:r w:rsidR="000A2BC9" w:rsidRPr="00F35874">
        <w:rPr>
          <w:rFonts w:cs="Arial"/>
        </w:rPr>
        <w:t>With respect to linear products, our</w:t>
      </w:r>
      <w:r w:rsidR="00C317FC">
        <w:rPr>
          <w:rFonts w:cs="Arial"/>
        </w:rPr>
        <w:t xml:space="preserve"> </w:t>
      </w:r>
      <w:r>
        <w:rPr>
          <w:rFonts w:cs="Arial"/>
        </w:rPr>
        <w:t xml:space="preserve">proposed </w:t>
      </w:r>
      <w:r w:rsidR="00C317FC">
        <w:rPr>
          <w:rFonts w:cs="Arial"/>
        </w:rPr>
        <w:t xml:space="preserve">historical approach </w:t>
      </w:r>
      <w:r>
        <w:rPr>
          <w:rFonts w:cs="Arial"/>
        </w:rPr>
        <w:t xml:space="preserve">(cf. Q 6) </w:t>
      </w:r>
      <w:proofErr w:type="gramStart"/>
      <w:r w:rsidR="00C317FC">
        <w:rPr>
          <w:rFonts w:cs="Arial"/>
        </w:rPr>
        <w:t>is based</w:t>
      </w:r>
      <w:proofErr w:type="gramEnd"/>
      <w:r w:rsidR="00C317FC">
        <w:rPr>
          <w:rFonts w:cs="Arial"/>
        </w:rPr>
        <w:t xml:space="preserve"> on real data and allows for </w:t>
      </w:r>
      <w:r>
        <w:rPr>
          <w:rFonts w:cs="Arial"/>
        </w:rPr>
        <w:t xml:space="preserve">true </w:t>
      </w:r>
      <w:r w:rsidR="00C317FC">
        <w:rPr>
          <w:rFonts w:cs="Arial"/>
        </w:rPr>
        <w:t>comparisons between similar funds managed by different producers</w:t>
      </w:r>
      <w:r w:rsidR="004B1490">
        <w:rPr>
          <w:rFonts w:cs="Arial"/>
        </w:rPr>
        <w:t>. For category 4 products,</w:t>
      </w:r>
      <w:r w:rsidR="00C317FC">
        <w:rPr>
          <w:rFonts w:cs="Arial"/>
        </w:rPr>
        <w:t xml:space="preserve"> </w:t>
      </w:r>
      <w:r>
        <w:rPr>
          <w:rFonts w:cs="Arial"/>
        </w:rPr>
        <w:t xml:space="preserve">there is </w:t>
      </w:r>
      <w:r w:rsidR="004B1490">
        <w:rPr>
          <w:rFonts w:cs="Arial"/>
        </w:rPr>
        <w:t xml:space="preserve">some </w:t>
      </w:r>
      <w:r>
        <w:rPr>
          <w:rFonts w:cs="Arial"/>
        </w:rPr>
        <w:t>evidence that methodologies</w:t>
      </w:r>
      <w:r w:rsidR="00C317FC">
        <w:rPr>
          <w:rFonts w:cs="Arial"/>
        </w:rPr>
        <w:t xml:space="preserve"> based on annual return for </w:t>
      </w:r>
      <w:proofErr w:type="gramStart"/>
      <w:r w:rsidR="00C317FC">
        <w:rPr>
          <w:rFonts w:cs="Arial"/>
        </w:rPr>
        <w:t xml:space="preserve">assets which are not </w:t>
      </w:r>
      <w:r>
        <w:rPr>
          <w:rFonts w:cs="Arial"/>
        </w:rPr>
        <w:t>exposed</w:t>
      </w:r>
      <w:proofErr w:type="gramEnd"/>
      <w:r>
        <w:rPr>
          <w:rFonts w:cs="Arial"/>
        </w:rPr>
        <w:t xml:space="preserve"> to f</w:t>
      </w:r>
      <w:r w:rsidR="009E3698">
        <w:rPr>
          <w:rFonts w:cs="Arial"/>
        </w:rPr>
        <w:t>inancial markets’ fluctuations c</w:t>
      </w:r>
      <w:r>
        <w:rPr>
          <w:rFonts w:cs="Arial"/>
        </w:rPr>
        <w:t>ould be relevant.</w:t>
      </w:r>
    </w:p>
    <w:permEnd w:id="730155267"/>
    <w:p w:rsidR="003E573C" w:rsidRDefault="003E573C" w:rsidP="003E573C">
      <w:pPr>
        <w:rPr>
          <w:rFonts w:cs="Arial"/>
        </w:rPr>
      </w:pPr>
      <w:r>
        <w:rPr>
          <w:rFonts w:cs="Arial"/>
        </w:rPr>
        <w:t>&lt;ESA_QUESTION_PKID_21&gt;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rsidR="003E573C" w:rsidRDefault="003E573C" w:rsidP="003E573C">
      <w:pPr>
        <w:rPr>
          <w:rFonts w:cs="Arial"/>
        </w:rPr>
      </w:pPr>
      <w:r>
        <w:rPr>
          <w:rFonts w:cs="Arial"/>
        </w:rPr>
        <w:t>&lt;ESA_QUESTION_PKID_22&gt;</w:t>
      </w:r>
    </w:p>
    <w:p w:rsidR="003E573C" w:rsidRPr="00A61BEB" w:rsidRDefault="00E658FF" w:rsidP="003E573C">
      <w:pPr>
        <w:rPr>
          <w:rFonts w:cs="Arial"/>
          <w:lang w:val="es-ES"/>
        </w:rPr>
      </w:pPr>
      <w:permStart w:id="948653085" w:edGrp="everyone"/>
      <w:r w:rsidRPr="00A61BEB">
        <w:rPr>
          <w:rFonts w:cs="Arial"/>
          <w:lang w:val="es-ES"/>
        </w:rPr>
        <w:t>Cf. Q 21</w:t>
      </w:r>
    </w:p>
    <w:permEnd w:id="948653085"/>
    <w:p w:rsidR="003E573C" w:rsidRDefault="003E573C" w:rsidP="003E573C">
      <w:pPr>
        <w:rPr>
          <w:rFonts w:cs="Arial"/>
        </w:rPr>
      </w:pPr>
      <w:r>
        <w:rPr>
          <w:rFonts w:cs="Arial"/>
        </w:rPr>
        <w:t>&lt;ESA_QUESTION_PKID_22&gt;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rsidR="003E573C" w:rsidRDefault="003E573C" w:rsidP="003E573C">
      <w:pPr>
        <w:rPr>
          <w:rFonts w:cs="Arial"/>
        </w:rPr>
      </w:pPr>
      <w:r>
        <w:rPr>
          <w:rFonts w:cs="Arial"/>
        </w:rPr>
        <w:t>&lt;ESA_QUESTION_PKID_23&gt;</w:t>
      </w:r>
    </w:p>
    <w:p w:rsidR="003E573C" w:rsidRPr="002A3061" w:rsidRDefault="004B1490" w:rsidP="003E573C">
      <w:pPr>
        <w:rPr>
          <w:rFonts w:cs="Arial"/>
        </w:rPr>
      </w:pPr>
      <w:permStart w:id="1374054065" w:edGrp="everyone"/>
      <w:r>
        <w:rPr>
          <w:rFonts w:cs="Arial"/>
        </w:rPr>
        <w:t>I</w:t>
      </w:r>
      <w:r w:rsidR="003D38D8">
        <w:rPr>
          <w:rFonts w:cs="Arial"/>
        </w:rPr>
        <w:t xml:space="preserve">llustrative scenarios </w:t>
      </w:r>
      <w:r>
        <w:rPr>
          <w:rFonts w:cs="Arial"/>
        </w:rPr>
        <w:t>provided in the third page of the UCITS KIID for these funds</w:t>
      </w:r>
      <w:r w:rsidR="003D38D8">
        <w:rPr>
          <w:rFonts w:cs="Arial"/>
        </w:rPr>
        <w:t xml:space="preserve"> have proven to be adequate for years </w:t>
      </w:r>
      <w:r w:rsidR="005F7C09">
        <w:rPr>
          <w:rFonts w:cs="Arial"/>
        </w:rPr>
        <w:t>and we do not see</w:t>
      </w:r>
      <w:r w:rsidR="005F7C09" w:rsidRPr="000A2BC9">
        <w:rPr>
          <w:rFonts w:cs="Arial"/>
          <w:color w:val="FF0000"/>
        </w:rPr>
        <w:t xml:space="preserve"> </w:t>
      </w:r>
      <w:r w:rsidR="000A2BC9" w:rsidRPr="00F35874">
        <w:rPr>
          <w:rFonts w:cs="Arial"/>
        </w:rPr>
        <w:t xml:space="preserve">any </w:t>
      </w:r>
      <w:r w:rsidR="005F7C09">
        <w:rPr>
          <w:rFonts w:cs="Arial"/>
        </w:rPr>
        <w:t>benefit in introducing probabilistic scenarios</w:t>
      </w:r>
      <w:r w:rsidR="00E658FF">
        <w:rPr>
          <w:rFonts w:cs="Arial"/>
        </w:rPr>
        <w:t>.</w:t>
      </w:r>
      <w:r w:rsidR="003D38D8">
        <w:rPr>
          <w:rFonts w:cs="Arial"/>
        </w:rPr>
        <w:t xml:space="preserve"> </w:t>
      </w:r>
      <w:r w:rsidR="002A3061" w:rsidRPr="002A3061">
        <w:rPr>
          <w:rFonts w:cs="Arial"/>
        </w:rPr>
        <w:t xml:space="preserve">Arguments against illustrative </w:t>
      </w:r>
      <w:r w:rsidR="005F7C09">
        <w:rPr>
          <w:rFonts w:cs="Arial"/>
        </w:rPr>
        <w:t>scenarios, pointing out notably</w:t>
      </w:r>
      <w:r w:rsidR="002A3061" w:rsidRPr="002A3061">
        <w:rPr>
          <w:rFonts w:cs="Arial"/>
        </w:rPr>
        <w:t xml:space="preserve"> the discretion of the manufacturer, ignore the fac</w:t>
      </w:r>
      <w:r w:rsidR="005F7C09">
        <w:rPr>
          <w:rFonts w:cs="Arial"/>
        </w:rPr>
        <w:t xml:space="preserve">t that these scenarios </w:t>
      </w:r>
      <w:proofErr w:type="gramStart"/>
      <w:r w:rsidR="005F7C09">
        <w:rPr>
          <w:rFonts w:cs="Arial"/>
        </w:rPr>
        <w:t>are submitted</w:t>
      </w:r>
      <w:proofErr w:type="gramEnd"/>
      <w:r w:rsidR="005F7C09">
        <w:rPr>
          <w:rFonts w:cs="Arial"/>
        </w:rPr>
        <w:t xml:space="preserve"> to the agreement of</w:t>
      </w:r>
      <w:r w:rsidR="002A3061" w:rsidRPr="002A3061">
        <w:rPr>
          <w:rFonts w:cs="Arial"/>
        </w:rPr>
        <w:t xml:space="preserve"> </w:t>
      </w:r>
      <w:r w:rsidR="005F7C09">
        <w:rPr>
          <w:rFonts w:cs="Arial"/>
        </w:rPr>
        <w:t>NCAs as part of the documentation of the structured UCITS before its launch</w:t>
      </w:r>
      <w:r w:rsidR="002A3061" w:rsidRPr="002A3061">
        <w:rPr>
          <w:rFonts w:cs="Arial"/>
        </w:rPr>
        <w:t>.</w:t>
      </w:r>
    </w:p>
    <w:permEnd w:id="1374054065"/>
    <w:p w:rsidR="003E573C" w:rsidRDefault="003E573C" w:rsidP="003E573C">
      <w:pPr>
        <w:rPr>
          <w:rFonts w:cs="Arial"/>
        </w:rPr>
      </w:pPr>
      <w:r>
        <w:rPr>
          <w:rFonts w:cs="Arial"/>
        </w:rPr>
        <w:t>&lt;ESA_QUESTION_PKID_23&gt;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rsidR="003E573C" w:rsidRDefault="003E573C" w:rsidP="003E573C">
      <w:pPr>
        <w:rPr>
          <w:rFonts w:cs="Arial"/>
        </w:rPr>
      </w:pPr>
      <w:r>
        <w:rPr>
          <w:rFonts w:cs="Arial"/>
        </w:rPr>
        <w:t>&lt;ESA_QUESTION_PKID_24&gt;</w:t>
      </w:r>
    </w:p>
    <w:p w:rsidR="008C4F0D" w:rsidRDefault="008C4F0D" w:rsidP="008C4F0D">
      <w:pPr>
        <w:rPr>
          <w:rFonts w:cs="Arial"/>
        </w:rPr>
      </w:pPr>
      <w:permStart w:id="1257580738" w:edGrp="everyone"/>
      <w:r>
        <w:rPr>
          <w:rFonts w:cs="Arial"/>
        </w:rPr>
        <w:t xml:space="preserve">Illustrative scenarios </w:t>
      </w:r>
      <w:proofErr w:type="gramStart"/>
      <w:r w:rsidRPr="00654B62">
        <w:rPr>
          <w:rFonts w:cs="Arial"/>
        </w:rPr>
        <w:t xml:space="preserve">should </w:t>
      </w:r>
      <w:r>
        <w:rPr>
          <w:rFonts w:cs="Arial"/>
        </w:rPr>
        <w:t>be kept</w:t>
      </w:r>
      <w:proofErr w:type="gramEnd"/>
      <w:r>
        <w:rPr>
          <w:rFonts w:cs="Arial"/>
        </w:rPr>
        <w:t xml:space="preserve"> for structured products since they have proven to be perfectly relevant, useful for clients and easy to control by regulators. </w:t>
      </w:r>
      <w:r w:rsidRPr="00654B62">
        <w:rPr>
          <w:rFonts w:cs="Arial"/>
        </w:rPr>
        <w:t xml:space="preserve">Therefore, a </w:t>
      </w:r>
      <w:r>
        <w:rPr>
          <w:rFonts w:cs="Arial"/>
        </w:rPr>
        <w:t>mix</w:t>
      </w:r>
      <w:r w:rsidR="00654B62">
        <w:rPr>
          <w:rFonts w:cs="Arial"/>
        </w:rPr>
        <w:t xml:space="preserve"> </w:t>
      </w:r>
      <w:r>
        <w:rPr>
          <w:rFonts w:cs="Arial"/>
        </w:rPr>
        <w:t>of probabilistic an</w:t>
      </w:r>
      <w:r w:rsidR="00371DD0">
        <w:rPr>
          <w:rFonts w:cs="Arial"/>
        </w:rPr>
        <w:t xml:space="preserve">d illustrative scenario would not, in our view, provide any </w:t>
      </w:r>
      <w:proofErr w:type="gramStart"/>
      <w:r w:rsidR="00371DD0">
        <w:rPr>
          <w:rFonts w:cs="Arial"/>
        </w:rPr>
        <w:t>added value</w:t>
      </w:r>
      <w:proofErr w:type="gramEnd"/>
      <w:r w:rsidR="00371DD0">
        <w:rPr>
          <w:rFonts w:cs="Arial"/>
        </w:rPr>
        <w:t xml:space="preserve"> but could rather mislead clients</w:t>
      </w:r>
      <w:r>
        <w:rPr>
          <w:rFonts w:cs="Arial"/>
        </w:rPr>
        <w:t>.</w:t>
      </w:r>
    </w:p>
    <w:p w:rsidR="008C4F0D" w:rsidRDefault="008C4F0D" w:rsidP="008C4F0D">
      <w:pPr>
        <w:rPr>
          <w:rFonts w:cs="Arial"/>
        </w:rPr>
      </w:pPr>
    </w:p>
    <w:p w:rsidR="003E573C" w:rsidRDefault="008C4F0D" w:rsidP="003E573C">
      <w:pPr>
        <w:rPr>
          <w:rFonts w:cs="Arial"/>
        </w:rPr>
      </w:pPr>
      <w:r>
        <w:rPr>
          <w:rFonts w:cs="Arial"/>
        </w:rPr>
        <w:t xml:space="preserve">In addition, </w:t>
      </w:r>
      <w:r w:rsidRPr="00654B62">
        <w:rPr>
          <w:rFonts w:cs="Arial"/>
        </w:rPr>
        <w:t>we would like to take the opportunity of these two</w:t>
      </w:r>
      <w:r>
        <w:rPr>
          <w:rFonts w:cs="Arial"/>
        </w:rPr>
        <w:t xml:space="preserve"> questions to state that the introduction of future performance scenarios in PRIIPs is the result of a misunderstanding by policy makers of the real purpose of the third page of the UCITS KIID, i.e. the provision of illustrative scenarios to showcase formula’s mechanism of structured funds</w:t>
      </w:r>
      <w:r w:rsidR="00367F8B">
        <w:rPr>
          <w:rFonts w:cs="Arial"/>
        </w:rPr>
        <w:t>.</w:t>
      </w:r>
    </w:p>
    <w:permEnd w:id="1257580738"/>
    <w:p w:rsidR="003E573C" w:rsidRDefault="003E573C" w:rsidP="003E573C">
      <w:pPr>
        <w:rPr>
          <w:rFonts w:cs="Arial"/>
        </w:rPr>
      </w:pPr>
      <w:r>
        <w:rPr>
          <w:rFonts w:cs="Arial"/>
        </w:rPr>
        <w:t>&lt;ESA_QUESTION_PKID_24&gt;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rsidR="003E573C" w:rsidRDefault="003E573C" w:rsidP="003E573C">
      <w:pPr>
        <w:rPr>
          <w:rFonts w:cs="Arial"/>
        </w:rPr>
      </w:pPr>
      <w:r>
        <w:rPr>
          <w:rFonts w:cs="Arial"/>
        </w:rPr>
        <w:t>&lt;ESA_QUESTION_PKID_25&gt;</w:t>
      </w:r>
    </w:p>
    <w:p w:rsidR="003E573C" w:rsidRDefault="00EF3519" w:rsidP="003E573C">
      <w:pPr>
        <w:rPr>
          <w:rFonts w:cs="Arial"/>
        </w:rPr>
      </w:pPr>
      <w:permStart w:id="1916234304" w:edGrp="everyone"/>
      <w:proofErr w:type="gramStart"/>
      <w:r>
        <w:rPr>
          <w:rFonts w:cs="Arial"/>
        </w:rPr>
        <w:t>Yes</w:t>
      </w:r>
      <w:proofErr w:type="gramEnd"/>
      <w:r>
        <w:rPr>
          <w:rFonts w:cs="Arial"/>
        </w:rPr>
        <w:t xml:space="preserve"> we do as mentioned above.</w:t>
      </w:r>
    </w:p>
    <w:permEnd w:id="1916234304"/>
    <w:p w:rsidR="003E573C" w:rsidRDefault="003E573C" w:rsidP="003E573C">
      <w:pPr>
        <w:rPr>
          <w:rFonts w:cs="Arial"/>
        </w:rPr>
      </w:pPr>
      <w:r>
        <w:rPr>
          <w:rFonts w:cs="Arial"/>
        </w:rPr>
        <w:t>&lt;ESA_QUESTION_PKID_25&gt;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Would you be in favour of including information on past performance in the KID?</w:t>
      </w:r>
    </w:p>
    <w:p w:rsidR="003E573C" w:rsidRDefault="003E573C" w:rsidP="003E573C">
      <w:pPr>
        <w:rPr>
          <w:rFonts w:cs="Arial"/>
        </w:rPr>
      </w:pPr>
      <w:r>
        <w:rPr>
          <w:rFonts w:cs="Arial"/>
        </w:rPr>
        <w:t>&lt;ESA_QUESTION_PKID_26&gt;</w:t>
      </w:r>
    </w:p>
    <w:p w:rsidR="003E573C" w:rsidRDefault="00366591" w:rsidP="003E573C">
      <w:pPr>
        <w:rPr>
          <w:rFonts w:cs="Arial"/>
        </w:rPr>
      </w:pPr>
      <w:permStart w:id="685077175" w:edGrp="everyone"/>
      <w:r>
        <w:rPr>
          <w:rFonts w:cs="Arial"/>
        </w:rPr>
        <w:t>Yes of course, for linear products of category 2 and for open-ended funds of category 4.</w:t>
      </w:r>
    </w:p>
    <w:permEnd w:id="685077175"/>
    <w:p w:rsidR="003E573C" w:rsidRDefault="003E573C" w:rsidP="003E573C">
      <w:pPr>
        <w:rPr>
          <w:rFonts w:cs="Arial"/>
        </w:rPr>
      </w:pPr>
      <w:r>
        <w:rPr>
          <w:rFonts w:cs="Arial"/>
        </w:rPr>
        <w:t>&lt;ESA_QUESTION_PKID_26&gt;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rsidR="003E573C" w:rsidRDefault="003E573C" w:rsidP="003E573C">
      <w:pPr>
        <w:rPr>
          <w:rFonts w:cs="Arial"/>
        </w:rPr>
      </w:pPr>
      <w:r>
        <w:rPr>
          <w:rFonts w:cs="Arial"/>
        </w:rPr>
        <w:t>&lt;ESA_QUESTION_PKID_27&gt;</w:t>
      </w:r>
    </w:p>
    <w:p w:rsidR="003E573C" w:rsidRDefault="00366591" w:rsidP="003E573C">
      <w:pPr>
        <w:rPr>
          <w:rFonts w:cs="Arial"/>
        </w:rPr>
      </w:pPr>
      <w:permStart w:id="554377879" w:edGrp="everyone"/>
      <w:r w:rsidRPr="00371DD0">
        <w:rPr>
          <w:rFonts w:cs="Arial"/>
          <w:b/>
        </w:rPr>
        <w:t xml:space="preserve">We consider of utmost importance to keep a maximum of </w:t>
      </w:r>
      <w:proofErr w:type="gramStart"/>
      <w:r w:rsidRPr="00371DD0">
        <w:rPr>
          <w:rFonts w:cs="Arial"/>
          <w:b/>
        </w:rPr>
        <w:t>3</w:t>
      </w:r>
      <w:proofErr w:type="gramEnd"/>
      <w:r w:rsidRPr="00371DD0">
        <w:rPr>
          <w:rFonts w:cs="Arial"/>
          <w:b/>
        </w:rPr>
        <w:t xml:space="preserve"> readable pages for the KID.</w:t>
      </w:r>
      <w:r>
        <w:rPr>
          <w:rFonts w:cs="Arial"/>
        </w:rPr>
        <w:t xml:space="preserve"> It is one of the major value of this document to present characteristics of a product in a concise and as simple as possible way to retail investors.</w:t>
      </w:r>
    </w:p>
    <w:permEnd w:id="554377879"/>
    <w:p w:rsidR="003E573C" w:rsidRDefault="003E573C" w:rsidP="003E573C">
      <w:pPr>
        <w:rPr>
          <w:rFonts w:cs="Arial"/>
        </w:rPr>
      </w:pPr>
      <w:r>
        <w:rPr>
          <w:rFonts w:cs="Arial"/>
        </w:rPr>
        <w:t>&lt;ESA_QUESTION_PKID_27&gt;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rsidR="003E573C" w:rsidRDefault="003E573C" w:rsidP="003E573C">
      <w:pPr>
        <w:rPr>
          <w:rFonts w:cs="Arial"/>
        </w:rPr>
      </w:pPr>
      <w:r>
        <w:rPr>
          <w:rFonts w:cs="Arial"/>
        </w:rPr>
        <w:t>&lt;ESA_QUESTION_PKID_28&gt;</w:t>
      </w:r>
    </w:p>
    <w:p w:rsidR="00371DD0" w:rsidRPr="00371DD0" w:rsidRDefault="00371DD0" w:rsidP="003E573C">
      <w:pPr>
        <w:rPr>
          <w:rFonts w:cs="Arial"/>
          <w:lang w:val="en-US"/>
        </w:rPr>
      </w:pPr>
      <w:permStart w:id="1318809085" w:edGrp="everyone"/>
      <w:r w:rsidRPr="00371DD0">
        <w:rPr>
          <w:rFonts w:cs="Arial"/>
          <w:lang w:val="en-US"/>
        </w:rPr>
        <w:t>This approach could make sense for some type</w:t>
      </w:r>
      <w:r>
        <w:rPr>
          <w:rFonts w:cs="Arial"/>
          <w:lang w:val="en-US"/>
        </w:rPr>
        <w:t>s of life-insurance products;</w:t>
      </w:r>
      <w:r w:rsidRPr="00371DD0">
        <w:rPr>
          <w:rFonts w:cs="Arial"/>
          <w:lang w:val="en-US"/>
        </w:rPr>
        <w:t xml:space="preserve"> it is up to insurers to answer more precisely.</w:t>
      </w:r>
    </w:p>
    <w:permEnd w:id="1318809085"/>
    <w:p w:rsidR="003E573C" w:rsidRDefault="003E573C" w:rsidP="003E573C">
      <w:pPr>
        <w:rPr>
          <w:rFonts w:cs="Arial"/>
        </w:rPr>
      </w:pPr>
      <w:r>
        <w:rPr>
          <w:rFonts w:cs="Arial"/>
        </w:rPr>
        <w:t>&lt;ESA_QUESTION_PKID_28&gt;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rsidR="003E573C" w:rsidRDefault="003E573C" w:rsidP="003E573C">
      <w:pPr>
        <w:rPr>
          <w:rFonts w:cs="Arial"/>
        </w:rPr>
      </w:pPr>
      <w:r>
        <w:rPr>
          <w:rFonts w:cs="Arial"/>
        </w:rPr>
        <w:t>&lt;ESA_QUESTION_PKID_29&gt;</w:t>
      </w:r>
    </w:p>
    <w:p w:rsidR="003E573C" w:rsidRDefault="00654B62" w:rsidP="003E573C">
      <w:pPr>
        <w:rPr>
          <w:rFonts w:cs="Arial"/>
        </w:rPr>
      </w:pPr>
      <w:permStart w:id="1138774786" w:edGrp="everyone"/>
      <w:r>
        <w:rPr>
          <w:rFonts w:cs="Arial"/>
        </w:rPr>
        <w:t>We have no specific comment on that statement.</w:t>
      </w:r>
    </w:p>
    <w:permEnd w:id="1138774786"/>
    <w:p w:rsidR="003E573C" w:rsidRDefault="003E573C" w:rsidP="003E573C">
      <w:pPr>
        <w:rPr>
          <w:rFonts w:cs="Arial"/>
        </w:rPr>
      </w:pPr>
      <w:r>
        <w:rPr>
          <w:rFonts w:cs="Arial"/>
        </w:rPr>
        <w:t>&lt;ESA_QUESTION_PKID_29&gt;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rsidR="003E573C" w:rsidRDefault="003E573C" w:rsidP="003E573C">
      <w:pPr>
        <w:rPr>
          <w:rFonts w:cs="Arial"/>
        </w:rPr>
      </w:pPr>
      <w:r>
        <w:rPr>
          <w:rFonts w:cs="Arial"/>
        </w:rPr>
        <w:t>&lt;ESA_QUESTION_PKID_30&gt;</w:t>
      </w:r>
    </w:p>
    <w:p w:rsidR="003E573C" w:rsidRDefault="00777A7B" w:rsidP="003E573C">
      <w:pPr>
        <w:rPr>
          <w:rFonts w:cs="Arial"/>
        </w:rPr>
      </w:pPr>
      <w:permStart w:id="2015765722" w:edGrp="everyone"/>
      <w:r>
        <w:rPr>
          <w:rFonts w:cs="Arial"/>
        </w:rPr>
        <w:t xml:space="preserve">It would be necessary to explain how performance scenarios </w:t>
      </w:r>
      <w:proofErr w:type="gramStart"/>
      <w:r>
        <w:rPr>
          <w:rFonts w:cs="Arial"/>
        </w:rPr>
        <w:t>are calculated</w:t>
      </w:r>
      <w:proofErr w:type="gramEnd"/>
      <w:r>
        <w:rPr>
          <w:rFonts w:cs="Arial"/>
        </w:rPr>
        <w:t xml:space="preserve"> when based on the method developed in Q 6.</w:t>
      </w:r>
    </w:p>
    <w:permEnd w:id="2015765722"/>
    <w:p w:rsidR="003E573C" w:rsidRDefault="003E573C" w:rsidP="003E573C">
      <w:pPr>
        <w:rPr>
          <w:rFonts w:cs="Arial"/>
        </w:rPr>
      </w:pPr>
      <w:r>
        <w:rPr>
          <w:rFonts w:cs="Arial"/>
        </w:rPr>
        <w:t>&lt;ESA_QUESTION_PKID_30&gt;</w:t>
      </w:r>
    </w:p>
    <w:p w:rsidR="003E573C" w:rsidRDefault="003E573C" w:rsidP="003E573C">
      <w:pPr>
        <w:rPr>
          <w:rFonts w:cs="Arial"/>
        </w:rPr>
      </w:pPr>
    </w:p>
    <w:p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6"/>
      </w:r>
      <w:r w:rsidRPr="00424904">
        <w:rPr>
          <w:rFonts w:cstheme="minorHAnsi"/>
          <w:iCs/>
          <w:color w:val="000000"/>
        </w:rPr>
        <w:t>?</w:t>
      </w:r>
    </w:p>
    <w:p w:rsidR="003E573C" w:rsidRDefault="003E573C" w:rsidP="003E573C">
      <w:pPr>
        <w:rPr>
          <w:rFonts w:cs="Arial"/>
        </w:rPr>
      </w:pPr>
      <w:r>
        <w:rPr>
          <w:rFonts w:cs="Arial"/>
        </w:rPr>
        <w:t>&lt;ESA_QUESTION_PKID_31&gt;</w:t>
      </w:r>
    </w:p>
    <w:p w:rsidR="003E573C" w:rsidRDefault="00BA0B51" w:rsidP="000A2BC9">
      <w:pPr>
        <w:jc w:val="both"/>
        <w:rPr>
          <w:rFonts w:cs="Arial"/>
        </w:rPr>
      </w:pPr>
      <w:permStart w:id="821760498" w:edGrp="everyone"/>
      <w:r>
        <w:rPr>
          <w:rFonts w:cs="Arial"/>
        </w:rPr>
        <w:t xml:space="preserve">The description of the investment strategy </w:t>
      </w:r>
      <w:proofErr w:type="gramStart"/>
      <w:r>
        <w:rPr>
          <w:rFonts w:cs="Arial"/>
        </w:rPr>
        <w:t>is meant</w:t>
      </w:r>
      <w:proofErr w:type="gramEnd"/>
      <w:r>
        <w:rPr>
          <w:rFonts w:cs="Arial"/>
        </w:rPr>
        <w:t xml:space="preserve"> to provide this information</w:t>
      </w:r>
      <w:r w:rsidR="000A2BC9">
        <w:rPr>
          <w:rFonts w:cs="Arial"/>
        </w:rPr>
        <w:t>,</w:t>
      </w:r>
      <w:r>
        <w:rPr>
          <w:rFonts w:cs="Arial"/>
        </w:rPr>
        <w:t xml:space="preserve"> wh</w:t>
      </w:r>
      <w:r w:rsidR="000A2BC9" w:rsidRPr="00F35874">
        <w:rPr>
          <w:rFonts w:cs="Arial"/>
        </w:rPr>
        <w:t>ere</w:t>
      </w:r>
      <w:r>
        <w:rPr>
          <w:rFonts w:cs="Arial"/>
        </w:rPr>
        <w:t xml:space="preserve"> relevant.</w:t>
      </w:r>
    </w:p>
    <w:p w:rsidR="000A2BC9" w:rsidRDefault="000A2BC9" w:rsidP="000A2BC9">
      <w:pPr>
        <w:jc w:val="both"/>
        <w:rPr>
          <w:rFonts w:cs="Arial"/>
        </w:rPr>
      </w:pPr>
    </w:p>
    <w:p w:rsidR="00E31C3F" w:rsidRDefault="00E31C3F" w:rsidP="000A2BC9">
      <w:pPr>
        <w:jc w:val="both"/>
      </w:pPr>
      <w:r>
        <w:t xml:space="preserve">We had already discussions with ESMA </w:t>
      </w:r>
      <w:r w:rsidR="000A2BC9" w:rsidRPr="00F35874">
        <w:rPr>
          <w:highlight w:val="red"/>
        </w:rPr>
        <w:t>with respect to its UCITS</w:t>
      </w:r>
      <w:r w:rsidRPr="00F35874">
        <w:rPr>
          <w:highlight w:val="red"/>
        </w:rPr>
        <w:t xml:space="preserve"> Q&amp;A’s update of March 2019.</w:t>
      </w:r>
      <w:r w:rsidR="000A2BC9" w:rsidRPr="00F35874">
        <w:rPr>
          <w:highlight w:val="red"/>
        </w:rPr>
        <w:t xml:space="preserve"> In this regard</w:t>
      </w:r>
      <w:r w:rsidRPr="00F35874">
        <w:rPr>
          <w:highlight w:val="red"/>
        </w:rPr>
        <w:t xml:space="preserve">, </w:t>
      </w:r>
      <w:r w:rsidR="000A2BC9" w:rsidRPr="00F35874">
        <w:rPr>
          <w:highlight w:val="red"/>
        </w:rPr>
        <w:t xml:space="preserve">we would like to reaffirm our strong disagreement with ESMA’s interpretation of article 7(1) (d) of the UCITS Regulation </w:t>
      </w:r>
      <w:r w:rsidRPr="000A2BC9">
        <w:rPr>
          <w:highlight w:val="red"/>
        </w:rPr>
        <w:t>on</w:t>
      </w:r>
      <w:r>
        <w:t xml:space="preserve"> whether a given investment approach “includes or implies a reference to a benchmark”. According to the answer, it is sufficient for a benchmark index “to play a role in the management of the UCITS” for the management company to have to disclose it in the KIID, especially in past performances. </w:t>
      </w:r>
    </w:p>
    <w:p w:rsidR="00E31C3F" w:rsidRDefault="00E31C3F" w:rsidP="000A2BC9">
      <w:pPr>
        <w:jc w:val="both"/>
      </w:pPr>
    </w:p>
    <w:p w:rsidR="00E31C3F" w:rsidRDefault="00E31C3F" w:rsidP="000A2BC9">
      <w:pPr>
        <w:jc w:val="both"/>
      </w:pPr>
      <w:r>
        <w:t xml:space="preserve">In the answer provided by ESMA, uses of benchmarks for portfolio construction, for the calculation of performance fees, </w:t>
      </w:r>
      <w:r w:rsidR="00371DD0">
        <w:t xml:space="preserve">or </w:t>
      </w:r>
      <w:r>
        <w:t xml:space="preserve">for setting internal risk limits, </w:t>
      </w:r>
      <w:r w:rsidR="00371DD0">
        <w:t xml:space="preserve">or else </w:t>
      </w:r>
      <w:r>
        <w:t xml:space="preserve">for remuneration of individual staff or for contracts with third parties are placed on the same level which is quite </w:t>
      </w:r>
      <w:r w:rsidR="00371DD0">
        <w:t>irrelevant</w:t>
      </w:r>
      <w:r>
        <w:t>.</w:t>
      </w:r>
    </w:p>
    <w:p w:rsidR="00E31C3F" w:rsidRDefault="00E31C3F" w:rsidP="000A2BC9">
      <w:pPr>
        <w:jc w:val="both"/>
        <w:rPr>
          <w:rFonts w:asciiTheme="minorHAnsi" w:hAnsiTheme="minorHAnsi"/>
          <w:szCs w:val="22"/>
          <w:lang w:eastAsia="en-US"/>
        </w:rPr>
      </w:pPr>
    </w:p>
    <w:p w:rsidR="00E31C3F" w:rsidRDefault="00E31C3F" w:rsidP="000A2BC9">
      <w:pPr>
        <w:jc w:val="both"/>
      </w:pPr>
      <w:r>
        <w:t>Clearly, the fact that an index is “playing some role” in the management of a UCITS is not sufficient to categorise the management of the fund</w:t>
      </w:r>
      <w:r w:rsidR="003F3295">
        <w:t xml:space="preserve"> as benchmark dependent; a well described investment strategy is deemed to provide sufficient elements for defining the status of the fund in relation to any benchmark.</w:t>
      </w:r>
    </w:p>
    <w:p w:rsidR="00E31C3F" w:rsidRDefault="00E31C3F" w:rsidP="000A2BC9">
      <w:pPr>
        <w:jc w:val="both"/>
      </w:pPr>
    </w:p>
    <w:p w:rsidR="00E31C3F" w:rsidRDefault="003F3295" w:rsidP="000A2BC9">
      <w:pPr>
        <w:jc w:val="both"/>
      </w:pPr>
      <w:r>
        <w:t>A</w:t>
      </w:r>
      <w:r w:rsidR="00E31C3F">
        <w:t xml:space="preserve"> strict interpretation of the answer to Question </w:t>
      </w:r>
      <w:r>
        <w:t xml:space="preserve">8b in the current UCITS Q&amp;As would lead to present multiple indices in the past performances </w:t>
      </w:r>
      <w:r w:rsidR="00E31C3F">
        <w:t>bar chart</w:t>
      </w:r>
      <w:r>
        <w:t xml:space="preserve"> of the</w:t>
      </w:r>
      <w:r w:rsidR="00E31C3F">
        <w:t xml:space="preserve"> PRIIPs </w:t>
      </w:r>
      <w:r>
        <w:t>KID</w:t>
      </w:r>
      <w:r w:rsidR="003D4C9D">
        <w:t>,</w:t>
      </w:r>
      <w:r>
        <w:t xml:space="preserve"> </w:t>
      </w:r>
      <w:r w:rsidR="003D4C9D">
        <w:t>making it</w:t>
      </w:r>
      <w:r>
        <w:t xml:space="preserve"> </w:t>
      </w:r>
      <w:r w:rsidR="003D4C9D">
        <w:t>incompre</w:t>
      </w:r>
      <w:r w:rsidR="003D4C9D" w:rsidRPr="003D4C9D">
        <w:t>hensible</w:t>
      </w:r>
      <w:r w:rsidR="00E31C3F">
        <w:t xml:space="preserve">. </w:t>
      </w:r>
      <w:r w:rsidR="00371DD0">
        <w:t xml:space="preserve">It would also lead </w:t>
      </w:r>
      <w:r w:rsidR="00223139">
        <w:t xml:space="preserve">us </w:t>
      </w:r>
      <w:r w:rsidR="00371DD0">
        <w:t xml:space="preserve">to </w:t>
      </w:r>
      <w:r w:rsidR="00223139">
        <w:t>waste money,</w:t>
      </w:r>
      <w:r w:rsidR="00371DD0">
        <w:t xml:space="preserve"> buying costly data </w:t>
      </w:r>
      <w:r w:rsidR="00223139">
        <w:t>to</w:t>
      </w:r>
      <w:r w:rsidR="00371DD0">
        <w:t xml:space="preserve"> benchmark providers</w:t>
      </w:r>
      <w:r w:rsidR="00223139">
        <w:t xml:space="preserve"> for irrelevant purposes.</w:t>
      </w:r>
    </w:p>
    <w:p w:rsidR="00E31C3F" w:rsidRDefault="00E31C3F" w:rsidP="00E31C3F"/>
    <w:p w:rsidR="00E31C3F" w:rsidRPr="00E31C3F" w:rsidRDefault="003D4C9D" w:rsidP="00E31C3F">
      <w:pPr>
        <w:rPr>
          <w:rFonts w:cs="Arial"/>
          <w:color w:val="FF0000"/>
          <w:lang w:val="en-US"/>
        </w:rPr>
      </w:pPr>
      <w:r>
        <w:t>Amundi</w:t>
      </w:r>
      <w:r w:rsidR="00E31C3F">
        <w:t xml:space="preserve">, therefore, believes that the transition from </w:t>
      </w:r>
      <w:r>
        <w:t>a UCITS KIID to a PRIIP KID would</w:t>
      </w:r>
      <w:r w:rsidR="00E31C3F">
        <w:t xml:space="preserve"> be </w:t>
      </w:r>
      <w:r>
        <w:t>the</w:t>
      </w:r>
      <w:r w:rsidR="00E31C3F">
        <w:t xml:space="preserve"> opportunity for ESMA to review its current interpretation of Article </w:t>
      </w:r>
      <w:r>
        <w:t>7(1) (d)</w:t>
      </w:r>
      <w:r w:rsidR="00F34981">
        <w:t xml:space="preserve"> of UCITS Regulation</w:t>
      </w:r>
      <w:r>
        <w:t>.</w:t>
      </w:r>
    </w:p>
    <w:permEnd w:id="821760498"/>
    <w:p w:rsidR="003E573C" w:rsidRDefault="003E573C" w:rsidP="003E573C">
      <w:pPr>
        <w:rPr>
          <w:rFonts w:cs="Arial"/>
        </w:rPr>
      </w:pPr>
      <w:r>
        <w:rPr>
          <w:rFonts w:cs="Arial"/>
        </w:rPr>
        <w:t>&lt;ESA_QUESTION_PKID_31&gt;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rsidR="003E573C" w:rsidRDefault="003E573C" w:rsidP="003E573C">
      <w:pPr>
        <w:rPr>
          <w:rFonts w:cs="Arial"/>
        </w:rPr>
      </w:pPr>
      <w:r>
        <w:rPr>
          <w:rFonts w:cs="Arial"/>
        </w:rPr>
        <w:t>&lt;ESA_QUESTION_PKID_32&gt;</w:t>
      </w:r>
    </w:p>
    <w:p w:rsidR="003E573C" w:rsidRPr="00696386" w:rsidRDefault="00696386" w:rsidP="003E573C">
      <w:pPr>
        <w:rPr>
          <w:rFonts w:cs="Arial"/>
        </w:rPr>
      </w:pPr>
      <w:permStart w:id="466241100" w:edGrp="everyone"/>
      <w:proofErr w:type="gramStart"/>
      <w:r>
        <w:rPr>
          <w:rFonts w:cs="Arial"/>
        </w:rPr>
        <w:t>No</w:t>
      </w:r>
      <w:proofErr w:type="gramEnd"/>
      <w:r>
        <w:rPr>
          <w:rFonts w:cs="Arial"/>
        </w:rPr>
        <w:t xml:space="preserve"> we do not.</w:t>
      </w:r>
    </w:p>
    <w:permEnd w:id="466241100"/>
    <w:p w:rsidR="003E573C" w:rsidRDefault="003E573C" w:rsidP="003E573C">
      <w:pPr>
        <w:rPr>
          <w:rFonts w:cs="Arial"/>
        </w:rPr>
      </w:pPr>
      <w:r>
        <w:rPr>
          <w:rFonts w:cs="Arial"/>
        </w:rPr>
        <w:t>&lt;ESA_QUESTION_PKID_32&gt;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rsidR="003E573C" w:rsidRDefault="003E573C" w:rsidP="003E573C">
      <w:pPr>
        <w:rPr>
          <w:rFonts w:cs="Arial"/>
        </w:rPr>
      </w:pPr>
      <w:r>
        <w:rPr>
          <w:rFonts w:cs="Arial"/>
        </w:rPr>
        <w:t>&lt;ESA_QUESTION_PKID_33&gt;</w:t>
      </w:r>
    </w:p>
    <w:p w:rsidR="003E573C" w:rsidRDefault="00BA0B51" w:rsidP="00291E87">
      <w:pPr>
        <w:jc w:val="both"/>
        <w:rPr>
          <w:rFonts w:cs="Arial"/>
        </w:rPr>
      </w:pPr>
      <w:permStart w:id="2049522981" w:edGrp="everyone"/>
      <w:r>
        <w:rPr>
          <w:rFonts w:cs="Arial"/>
        </w:rPr>
        <w:t>Yes, the proposed intermediate time of 5 years for funds with a RHP superior to 8 years seems appropriate.</w:t>
      </w:r>
      <w:r w:rsidR="009208CA">
        <w:rPr>
          <w:rFonts w:cs="Arial"/>
        </w:rPr>
        <w:t xml:space="preserve"> Nevertheless, we are not in favour of keeping an intermediary </w:t>
      </w:r>
      <w:proofErr w:type="gramStart"/>
      <w:r w:rsidR="009208CA">
        <w:rPr>
          <w:rFonts w:cs="Arial"/>
        </w:rPr>
        <w:t>time period</w:t>
      </w:r>
      <w:proofErr w:type="gramEnd"/>
      <w:r w:rsidR="009208CA">
        <w:rPr>
          <w:rFonts w:cs="Arial"/>
        </w:rPr>
        <w:t xml:space="preserve"> since this information does not provide real value and the KID has to be kept as short as possible.</w:t>
      </w:r>
    </w:p>
    <w:permEnd w:id="2049522981"/>
    <w:p w:rsidR="003E573C" w:rsidRDefault="003E573C" w:rsidP="003E573C">
      <w:pPr>
        <w:rPr>
          <w:rFonts w:cs="Arial"/>
        </w:rPr>
      </w:pPr>
      <w:r>
        <w:rPr>
          <w:rFonts w:cs="Arial"/>
        </w:rPr>
        <w:t>&lt;ESA_QUESTION_PKID_33&gt;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rsidR="003E573C" w:rsidRDefault="003E573C" w:rsidP="003E573C">
      <w:pPr>
        <w:rPr>
          <w:rFonts w:cs="Arial"/>
        </w:rPr>
      </w:pPr>
      <w:r>
        <w:rPr>
          <w:rFonts w:cs="Arial"/>
        </w:rPr>
        <w:t>&lt;ESA_QUESTION_PKID_34&gt;</w:t>
      </w:r>
    </w:p>
    <w:p w:rsidR="009208CA" w:rsidRDefault="009208CA" w:rsidP="009208CA">
      <w:pPr>
        <w:rPr>
          <w:rFonts w:cs="Arial"/>
        </w:rPr>
      </w:pPr>
      <w:permStart w:id="1172849856" w:edGrp="everyone"/>
      <w:r>
        <w:rPr>
          <w:rFonts w:cs="Arial"/>
        </w:rPr>
        <w:t xml:space="preserve">We are in favour of a fixed </w:t>
      </w:r>
      <w:proofErr w:type="gramStart"/>
      <w:r>
        <w:rPr>
          <w:rFonts w:cs="Arial"/>
        </w:rPr>
        <w:t>time period</w:t>
      </w:r>
      <w:proofErr w:type="gramEnd"/>
      <w:r>
        <w:rPr>
          <w:rFonts w:cs="Arial"/>
        </w:rPr>
        <w:t xml:space="preserve"> defined according to the RHP. More precisely and according to the proposal, we would recommend </w:t>
      </w:r>
      <w:proofErr w:type="gramStart"/>
      <w:r>
        <w:rPr>
          <w:rFonts w:cs="Arial"/>
        </w:rPr>
        <w:t>to adopt</w:t>
      </w:r>
      <w:proofErr w:type="gramEnd"/>
      <w:r>
        <w:rPr>
          <w:rFonts w:cs="Arial"/>
        </w:rPr>
        <w:t xml:space="preserve"> a fixed time period of:</w:t>
      </w:r>
    </w:p>
    <w:p w:rsidR="009208CA" w:rsidRDefault="009208CA" w:rsidP="00232E8D">
      <w:pPr>
        <w:pStyle w:val="ListParagraph"/>
        <w:numPr>
          <w:ilvl w:val="0"/>
          <w:numId w:val="39"/>
        </w:numPr>
        <w:rPr>
          <w:rFonts w:cs="Arial"/>
        </w:rPr>
      </w:pPr>
      <w:r>
        <w:rPr>
          <w:rFonts w:cs="Arial"/>
        </w:rPr>
        <w:t>For RHP up to 5Y: 3Y</w:t>
      </w:r>
    </w:p>
    <w:p w:rsidR="009208CA" w:rsidRDefault="009208CA" w:rsidP="00232E8D">
      <w:pPr>
        <w:pStyle w:val="ListParagraph"/>
        <w:numPr>
          <w:ilvl w:val="0"/>
          <w:numId w:val="39"/>
        </w:numPr>
        <w:rPr>
          <w:rFonts w:cs="Arial"/>
        </w:rPr>
      </w:pPr>
      <w:r>
        <w:rPr>
          <w:rFonts w:cs="Arial"/>
        </w:rPr>
        <w:t>For RHP above 5Y and up to 10Y: 5Y</w:t>
      </w:r>
    </w:p>
    <w:p w:rsidR="009208CA" w:rsidRDefault="009208CA" w:rsidP="00232E8D">
      <w:pPr>
        <w:pStyle w:val="ListParagraph"/>
        <w:numPr>
          <w:ilvl w:val="0"/>
          <w:numId w:val="39"/>
        </w:numPr>
        <w:rPr>
          <w:rFonts w:cs="Arial"/>
        </w:rPr>
      </w:pPr>
      <w:r>
        <w:rPr>
          <w:rFonts w:cs="Arial"/>
        </w:rPr>
        <w:t>For RHP above 10Y: 10Y</w:t>
      </w:r>
    </w:p>
    <w:p w:rsidR="009208CA" w:rsidRPr="009208CA" w:rsidRDefault="009208CA" w:rsidP="009208CA">
      <w:pPr>
        <w:rPr>
          <w:rFonts w:cs="Arial"/>
        </w:rPr>
      </w:pPr>
      <w:r w:rsidRPr="009208CA">
        <w:rPr>
          <w:rFonts w:cs="Arial"/>
        </w:rPr>
        <w:t xml:space="preserve">NB: In the specific case of Maturity funds, the </w:t>
      </w:r>
      <w:proofErr w:type="gramStart"/>
      <w:r w:rsidRPr="009208CA">
        <w:rPr>
          <w:rFonts w:cs="Arial"/>
        </w:rPr>
        <w:t>time period</w:t>
      </w:r>
      <w:proofErr w:type="gramEnd"/>
      <w:r w:rsidRPr="009208CA">
        <w:rPr>
          <w:rFonts w:cs="Arial"/>
        </w:rPr>
        <w:t xml:space="preserve"> should be the maturity</w:t>
      </w:r>
    </w:p>
    <w:permEnd w:id="1172849856"/>
    <w:p w:rsidR="003E573C" w:rsidRDefault="003E573C" w:rsidP="003E573C">
      <w:pPr>
        <w:rPr>
          <w:rFonts w:cs="Arial"/>
        </w:rPr>
      </w:pPr>
      <w:r>
        <w:rPr>
          <w:rFonts w:cs="Arial"/>
        </w:rPr>
        <w:t>&lt;ESA_QUESTION_PKID_34&gt;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rsidR="003E573C" w:rsidRDefault="003E573C" w:rsidP="003E573C">
      <w:pPr>
        <w:rPr>
          <w:rFonts w:cs="Arial"/>
        </w:rPr>
      </w:pPr>
      <w:r>
        <w:rPr>
          <w:rFonts w:cs="Arial"/>
        </w:rPr>
        <w:t>&lt;ESA_QUESTION_PKID_35&gt;</w:t>
      </w:r>
    </w:p>
    <w:p w:rsidR="003E573C" w:rsidRPr="009208CA" w:rsidRDefault="009208CA" w:rsidP="003E573C">
      <w:pPr>
        <w:rPr>
          <w:rFonts w:cs="Arial"/>
        </w:rPr>
      </w:pPr>
      <w:permStart w:id="1077546109" w:edGrp="everyone"/>
      <w:r>
        <w:rPr>
          <w:rFonts w:cs="Arial"/>
        </w:rPr>
        <w:t>We are in favour of the first option since it is more in line with the usual information provided to investors.</w:t>
      </w:r>
    </w:p>
    <w:permEnd w:id="1077546109"/>
    <w:p w:rsidR="003E573C" w:rsidRDefault="003E573C" w:rsidP="003E573C">
      <w:pPr>
        <w:rPr>
          <w:rFonts w:cs="Arial"/>
        </w:rPr>
      </w:pPr>
      <w:r>
        <w:rPr>
          <w:rFonts w:cs="Arial"/>
        </w:rPr>
        <w:t>&lt;ESA_QUESTION_PKID_35&gt;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rsidR="003E573C" w:rsidRDefault="003E573C" w:rsidP="003E573C">
      <w:pPr>
        <w:rPr>
          <w:rFonts w:cs="Arial"/>
        </w:rPr>
      </w:pPr>
      <w:r>
        <w:rPr>
          <w:rFonts w:cs="Arial"/>
        </w:rPr>
        <w:t>&lt;ESA_QUESTION_PKID_36&gt;</w:t>
      </w:r>
    </w:p>
    <w:p w:rsidR="00E968CB" w:rsidRPr="00E968CB" w:rsidRDefault="00E968CB" w:rsidP="00E968CB">
      <w:pPr>
        <w:rPr>
          <w:rFonts w:cs="Arial"/>
          <w:lang w:val="en-US"/>
        </w:rPr>
      </w:pPr>
      <w:permStart w:id="2022914051" w:edGrp="everyone"/>
      <w:r w:rsidRPr="00E968CB">
        <w:rPr>
          <w:rFonts w:cs="Arial"/>
          <w:lang w:val="en-US"/>
        </w:rPr>
        <w:t>No, if tab</w:t>
      </w:r>
      <w:r>
        <w:rPr>
          <w:rFonts w:cs="Arial"/>
          <w:lang w:val="en-US"/>
        </w:rPr>
        <w:t>le 1 shows costs</w:t>
      </w:r>
      <w:r w:rsidRPr="00E968CB">
        <w:rPr>
          <w:rFonts w:cs="Arial"/>
          <w:lang w:val="en-US"/>
        </w:rPr>
        <w:t xml:space="preserve"> for an investment of 10,000€</w:t>
      </w:r>
      <w:r>
        <w:rPr>
          <w:rFonts w:cs="Arial"/>
          <w:lang w:val="en-US"/>
        </w:rPr>
        <w:t>,</w:t>
      </w:r>
      <w:r w:rsidRPr="00E968CB">
        <w:rPr>
          <w:rFonts w:cs="Arial"/>
          <w:lang w:val="en-US"/>
        </w:rPr>
        <w:t xml:space="preserve"> then the total cost should be in the same format for the sake of clarity and simplicity for the retail investor.</w:t>
      </w:r>
      <w:r>
        <w:rPr>
          <w:rFonts w:cs="Arial"/>
          <w:lang w:val="en-US"/>
        </w:rPr>
        <w:t xml:space="preserve"> Providing too much figures may be overwhelming for investors.</w:t>
      </w:r>
    </w:p>
    <w:permEnd w:id="2022914051"/>
    <w:p w:rsidR="003E573C" w:rsidRDefault="003E573C" w:rsidP="003E573C">
      <w:pPr>
        <w:rPr>
          <w:rFonts w:cs="Arial"/>
        </w:rPr>
      </w:pPr>
      <w:r>
        <w:rPr>
          <w:rFonts w:cs="Arial"/>
        </w:rPr>
        <w:t>&lt;ESA_QUESTION_PKID_36&gt;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rsidR="003E573C" w:rsidRDefault="003E573C" w:rsidP="003E573C">
      <w:pPr>
        <w:rPr>
          <w:rFonts w:cs="Arial"/>
        </w:rPr>
      </w:pPr>
      <w:r>
        <w:rPr>
          <w:rFonts w:cs="Arial"/>
        </w:rPr>
        <w:t>&lt;ESA_QUESTION_PKID_37&gt;</w:t>
      </w:r>
    </w:p>
    <w:p w:rsidR="00F0454E" w:rsidRPr="00F0454E" w:rsidRDefault="00F0454E" w:rsidP="00F0454E">
      <w:pPr>
        <w:rPr>
          <w:rFonts w:cs="Arial"/>
        </w:rPr>
      </w:pPr>
      <w:permStart w:id="484077362" w:edGrp="everyone"/>
      <w:proofErr w:type="gramStart"/>
      <w:r w:rsidRPr="00F0454E">
        <w:rPr>
          <w:rFonts w:cs="Arial"/>
        </w:rPr>
        <w:t>No</w:t>
      </w:r>
      <w:proofErr w:type="gramEnd"/>
      <w:r w:rsidRPr="00F0454E">
        <w:rPr>
          <w:rFonts w:cs="Arial"/>
        </w:rPr>
        <w:t xml:space="preserve"> we are not aware of fund PRIIPs applying both performance fees and carried interests.</w:t>
      </w:r>
    </w:p>
    <w:permEnd w:id="484077362"/>
    <w:p w:rsidR="003E573C" w:rsidRDefault="003E573C" w:rsidP="003E573C">
      <w:pPr>
        <w:rPr>
          <w:rFonts w:cs="Arial"/>
        </w:rPr>
      </w:pPr>
      <w:r>
        <w:rPr>
          <w:rFonts w:cs="Arial"/>
        </w:rPr>
        <w:t>&lt;ESA_QUESTION_PKID_37&gt;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rsidR="003E573C" w:rsidRDefault="003E573C" w:rsidP="003E573C">
      <w:pPr>
        <w:rPr>
          <w:rFonts w:cs="Arial"/>
        </w:rPr>
      </w:pPr>
      <w:r>
        <w:rPr>
          <w:rFonts w:cs="Arial"/>
        </w:rPr>
        <w:t>&lt;ESA_QUESTION_PKID_38&gt;</w:t>
      </w:r>
    </w:p>
    <w:p w:rsidR="003E573C" w:rsidRDefault="00BA0B51" w:rsidP="00291E87">
      <w:pPr>
        <w:jc w:val="both"/>
        <w:rPr>
          <w:rFonts w:cs="Arial"/>
        </w:rPr>
      </w:pPr>
      <w:permStart w:id="1587350430" w:edGrp="everyone"/>
      <w:proofErr w:type="gramStart"/>
      <w:r>
        <w:rPr>
          <w:rFonts w:cs="Arial"/>
        </w:rPr>
        <w:t>No</w:t>
      </w:r>
      <w:proofErr w:type="gramEnd"/>
      <w:r>
        <w:rPr>
          <w:rFonts w:cs="Arial"/>
        </w:rPr>
        <w:t xml:space="preserve"> we do not agree at all. Such an inclusion of real estate management costs would be quite as irrelevant as including wages of people employed in firms invested in by P</w:t>
      </w:r>
      <w:r w:rsidR="00F0454E">
        <w:rPr>
          <w:rFonts w:cs="Arial"/>
        </w:rPr>
        <w:t xml:space="preserve">rivate </w:t>
      </w:r>
      <w:r>
        <w:rPr>
          <w:rFonts w:cs="Arial"/>
        </w:rPr>
        <w:t>E</w:t>
      </w:r>
      <w:r w:rsidR="00F0454E">
        <w:rPr>
          <w:rFonts w:cs="Arial"/>
        </w:rPr>
        <w:t>quity</w:t>
      </w:r>
      <w:r>
        <w:rPr>
          <w:rFonts w:cs="Arial"/>
        </w:rPr>
        <w:t xml:space="preserve"> funds.</w:t>
      </w:r>
      <w:r w:rsidR="00767980">
        <w:rPr>
          <w:rFonts w:cs="Arial"/>
        </w:rPr>
        <w:t xml:space="preserve"> For real estate funds, the only </w:t>
      </w:r>
      <w:proofErr w:type="gramStart"/>
      <w:r w:rsidR="00767980">
        <w:rPr>
          <w:rFonts w:cs="Arial"/>
        </w:rPr>
        <w:t>costs which have to be added to usual fund’s costs</w:t>
      </w:r>
      <w:proofErr w:type="gramEnd"/>
      <w:r w:rsidR="00767980">
        <w:rPr>
          <w:rFonts w:cs="Arial"/>
        </w:rPr>
        <w:t xml:space="preserve"> are those related to the relation with tenants renting those estates</w:t>
      </w:r>
      <w:r w:rsidR="005A27CE">
        <w:rPr>
          <w:rFonts w:cs="Arial"/>
        </w:rPr>
        <w:t xml:space="preserve"> and to fees paid in case of delegation of operations that are in the manager’s scope of activities</w:t>
      </w:r>
      <w:r w:rsidR="00767980">
        <w:rPr>
          <w:rFonts w:cs="Arial"/>
        </w:rPr>
        <w:t>. Other costs related to real estate</w:t>
      </w:r>
      <w:r w:rsidR="005A27CE">
        <w:rPr>
          <w:rFonts w:cs="Arial"/>
        </w:rPr>
        <w:t>s</w:t>
      </w:r>
      <w:r w:rsidR="00767980">
        <w:rPr>
          <w:rFonts w:cs="Arial"/>
        </w:rPr>
        <w:t xml:space="preserve"> </w:t>
      </w:r>
      <w:proofErr w:type="gramStart"/>
      <w:r w:rsidR="005A27CE">
        <w:rPr>
          <w:rFonts w:cs="Arial"/>
        </w:rPr>
        <w:t>must be excluded</w:t>
      </w:r>
      <w:proofErr w:type="gramEnd"/>
      <w:r w:rsidR="005A27CE">
        <w:rPr>
          <w:rFonts w:cs="Arial"/>
        </w:rPr>
        <w:t xml:space="preserve"> since they </w:t>
      </w:r>
      <w:r w:rsidR="00767980">
        <w:rPr>
          <w:rFonts w:cs="Arial"/>
        </w:rPr>
        <w:t xml:space="preserve">are necessary to keep </w:t>
      </w:r>
      <w:r w:rsidR="005A27CE">
        <w:rPr>
          <w:rFonts w:cs="Arial"/>
        </w:rPr>
        <w:t>them</w:t>
      </w:r>
      <w:r w:rsidR="00767980">
        <w:rPr>
          <w:rFonts w:cs="Arial"/>
        </w:rPr>
        <w:t xml:space="preserve"> in good condition and, quite often, </w:t>
      </w:r>
      <w:r w:rsidR="005A27CE">
        <w:rPr>
          <w:rFonts w:cs="Arial"/>
        </w:rPr>
        <w:t xml:space="preserve">since </w:t>
      </w:r>
      <w:r w:rsidR="00767980">
        <w:rPr>
          <w:rFonts w:cs="Arial"/>
        </w:rPr>
        <w:t>they contribute to their valuation.</w:t>
      </w:r>
    </w:p>
    <w:permEnd w:id="1587350430"/>
    <w:p w:rsidR="003E573C" w:rsidRDefault="003E573C" w:rsidP="003E573C">
      <w:pPr>
        <w:rPr>
          <w:rFonts w:cs="Arial"/>
        </w:rPr>
      </w:pPr>
      <w:r>
        <w:rPr>
          <w:rFonts w:cs="Arial"/>
        </w:rPr>
        <w:t>&lt;ESA_QUESTION_PKID_38&gt;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ESAs’ preferred option 3 to revise the cost tables?</w:t>
      </w:r>
    </w:p>
    <w:p w:rsidR="003E573C" w:rsidRDefault="003E573C" w:rsidP="003E573C">
      <w:pPr>
        <w:rPr>
          <w:rFonts w:cs="Arial"/>
        </w:rPr>
      </w:pPr>
      <w:r>
        <w:rPr>
          <w:rFonts w:cs="Arial"/>
        </w:rPr>
        <w:t>&lt;ESA_QUESTION_PKID_39&gt;</w:t>
      </w:r>
    </w:p>
    <w:p w:rsidR="00BA0B51" w:rsidRDefault="0003119A" w:rsidP="00291E87">
      <w:pPr>
        <w:jc w:val="both"/>
        <w:rPr>
          <w:rFonts w:cs="Arial"/>
          <w:lang w:val="en-US"/>
        </w:rPr>
      </w:pPr>
      <w:permStart w:id="725710670" w:edGrp="everyone"/>
      <w:proofErr w:type="gramStart"/>
      <w:r w:rsidRPr="0003119A">
        <w:rPr>
          <w:rFonts w:cs="Arial"/>
          <w:lang w:val="en-US"/>
        </w:rPr>
        <w:t xml:space="preserve">We </w:t>
      </w:r>
      <w:r w:rsidR="00785D75">
        <w:rPr>
          <w:rFonts w:cs="Arial"/>
          <w:lang w:val="en-US"/>
        </w:rPr>
        <w:t xml:space="preserve">clearly </w:t>
      </w:r>
      <w:r w:rsidRPr="0003119A">
        <w:rPr>
          <w:rFonts w:cs="Arial"/>
          <w:lang w:val="en-US"/>
        </w:rPr>
        <w:t xml:space="preserve">do not agree with option 3 for two main reasons : </w:t>
      </w:r>
      <w:proofErr w:type="spellStart"/>
      <w:r>
        <w:rPr>
          <w:rFonts w:cs="Arial"/>
          <w:lang w:val="en-US"/>
        </w:rPr>
        <w:t>i</w:t>
      </w:r>
      <w:proofErr w:type="spellEnd"/>
      <w:r>
        <w:rPr>
          <w:rFonts w:cs="Arial"/>
          <w:lang w:val="en-US"/>
        </w:rPr>
        <w:t>) disclosing a level of return for the product in the cost table leads to mixing a real data (the costs) with an assumption (the return) which would be confusing and could</w:t>
      </w:r>
      <w:r w:rsidR="00785D75">
        <w:rPr>
          <w:rFonts w:cs="Arial"/>
          <w:lang w:val="en-US"/>
        </w:rPr>
        <w:t xml:space="preserve"> end up with claims from clients, unless providing extensive explanation which would make the KID even longer, ii) only providing </w:t>
      </w:r>
      <w:r w:rsidR="00F9110E">
        <w:rPr>
          <w:rFonts w:cs="Arial"/>
          <w:lang w:val="en-US"/>
        </w:rPr>
        <w:t xml:space="preserve">monetary </w:t>
      </w:r>
      <w:r w:rsidR="00785D75">
        <w:rPr>
          <w:rFonts w:cs="Arial"/>
          <w:lang w:val="en-US"/>
        </w:rPr>
        <w:t>amounts in table 2 instead of percentages for the various types of costs is in complete contradiction with usual way of disclosing funds’ costs i</w:t>
      </w:r>
      <w:r w:rsidR="00AC5B34">
        <w:rPr>
          <w:rFonts w:cs="Arial"/>
          <w:lang w:val="en-US"/>
        </w:rPr>
        <w:t>n the KIID and in prospectuses.</w:t>
      </w:r>
      <w:proofErr w:type="gramEnd"/>
    </w:p>
    <w:p w:rsidR="00AC5B34" w:rsidRPr="0003119A" w:rsidRDefault="00AC5B34" w:rsidP="00291E87">
      <w:pPr>
        <w:jc w:val="both"/>
        <w:rPr>
          <w:rFonts w:cs="Arial"/>
          <w:lang w:val="en-US"/>
        </w:rPr>
      </w:pPr>
      <w:r>
        <w:rPr>
          <w:rFonts w:cs="Arial"/>
          <w:lang w:val="en-US"/>
        </w:rPr>
        <w:t xml:space="preserve">In addition, let us recall here the comment in our introduction on </w:t>
      </w:r>
      <w:r w:rsidRPr="00C7150B">
        <w:rPr>
          <w:rFonts w:cs="Arial"/>
          <w:b/>
          <w:lang w:val="en-US"/>
        </w:rPr>
        <w:t xml:space="preserve">the reduction in yield </w:t>
      </w:r>
      <w:proofErr w:type="gramStart"/>
      <w:r w:rsidRPr="00C7150B">
        <w:rPr>
          <w:rFonts w:cs="Arial"/>
          <w:b/>
          <w:lang w:val="en-US"/>
        </w:rPr>
        <w:t>approach which</w:t>
      </w:r>
      <w:proofErr w:type="gramEnd"/>
      <w:r w:rsidRPr="00C7150B">
        <w:rPr>
          <w:rFonts w:cs="Arial"/>
          <w:b/>
          <w:lang w:val="en-US"/>
        </w:rPr>
        <w:t xml:space="preserve"> introduces complexity</w:t>
      </w:r>
      <w:r>
        <w:rPr>
          <w:rFonts w:cs="Arial"/>
          <w:lang w:val="en-US"/>
        </w:rPr>
        <w:t xml:space="preserve"> when taking into account the </w:t>
      </w:r>
      <w:r w:rsidR="00C7150B">
        <w:rPr>
          <w:rFonts w:cs="Arial"/>
          <w:lang w:val="en-US"/>
        </w:rPr>
        <w:t>impact of</w:t>
      </w:r>
      <w:r>
        <w:rPr>
          <w:rFonts w:cs="Arial"/>
          <w:lang w:val="en-US"/>
        </w:rPr>
        <w:t xml:space="preserve"> costs </w:t>
      </w:r>
      <w:r w:rsidR="00C7150B">
        <w:rPr>
          <w:rFonts w:cs="Arial"/>
          <w:lang w:val="en-US"/>
        </w:rPr>
        <w:t>withdrawn from the fund on its return. We consider that the precision added does not compensate the complexity introduced, especially when professional will try to recoup information provided on costs in table 2.</w:t>
      </w:r>
    </w:p>
    <w:permEnd w:id="725710670"/>
    <w:p w:rsidR="003E573C" w:rsidRDefault="003E573C" w:rsidP="003E573C">
      <w:pPr>
        <w:rPr>
          <w:rFonts w:cs="Arial"/>
        </w:rPr>
      </w:pPr>
      <w:r>
        <w:rPr>
          <w:rFonts w:cs="Arial"/>
        </w:rPr>
        <w:t>&lt;ESA_QUESTION_PKID_39&gt;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not, which option do you prefer, and why?</w:t>
      </w:r>
    </w:p>
    <w:p w:rsidR="003E573C" w:rsidRDefault="003E573C" w:rsidP="003E573C">
      <w:pPr>
        <w:rPr>
          <w:rFonts w:cs="Arial"/>
        </w:rPr>
      </w:pPr>
      <w:r>
        <w:rPr>
          <w:rFonts w:cs="Arial"/>
        </w:rPr>
        <w:t>&lt;ESA_QUESTION_PKID_40&gt;</w:t>
      </w:r>
    </w:p>
    <w:p w:rsidR="00785D75" w:rsidRPr="00785D75" w:rsidRDefault="00785D75" w:rsidP="00291E87">
      <w:pPr>
        <w:jc w:val="both"/>
        <w:rPr>
          <w:rFonts w:cs="Arial"/>
          <w:lang w:val="en-US"/>
        </w:rPr>
      </w:pPr>
      <w:permStart w:id="700651812" w:edGrp="everyone"/>
      <w:r w:rsidRPr="00785D75">
        <w:rPr>
          <w:rFonts w:cs="Arial"/>
          <w:lang w:val="en-US"/>
        </w:rPr>
        <w:t>None of th</w:t>
      </w:r>
      <w:r>
        <w:rPr>
          <w:rFonts w:cs="Arial"/>
          <w:lang w:val="en-US"/>
        </w:rPr>
        <w:t xml:space="preserve">e options proposed seems clear and simple enough for </w:t>
      </w:r>
      <w:r w:rsidRPr="00785D75">
        <w:rPr>
          <w:rFonts w:cs="Arial"/>
          <w:lang w:val="en-US"/>
        </w:rPr>
        <w:t>retail investors.</w:t>
      </w:r>
    </w:p>
    <w:p w:rsidR="00785D75" w:rsidRPr="00785D75" w:rsidRDefault="00C7150B" w:rsidP="00291E87">
      <w:pPr>
        <w:jc w:val="both"/>
        <w:rPr>
          <w:rFonts w:cs="Arial"/>
          <w:lang w:val="en-US"/>
        </w:rPr>
      </w:pPr>
      <w:r>
        <w:rPr>
          <w:rFonts w:cs="Arial"/>
          <w:lang w:val="en-US"/>
        </w:rPr>
        <w:t xml:space="preserve">If ESAs want to maintain the </w:t>
      </w:r>
      <w:proofErr w:type="spellStart"/>
      <w:r>
        <w:rPr>
          <w:rFonts w:cs="Arial"/>
          <w:lang w:val="en-US"/>
        </w:rPr>
        <w:t>RiY</w:t>
      </w:r>
      <w:proofErr w:type="spellEnd"/>
      <w:r>
        <w:rPr>
          <w:rFonts w:cs="Arial"/>
          <w:lang w:val="en-US"/>
        </w:rPr>
        <w:t xml:space="preserve"> approach despit</w:t>
      </w:r>
      <w:r w:rsidR="00785D75" w:rsidRPr="00785D75">
        <w:rPr>
          <w:rFonts w:cs="Arial"/>
          <w:lang w:val="en-US"/>
        </w:rPr>
        <w:t xml:space="preserve">e </w:t>
      </w:r>
      <w:r>
        <w:rPr>
          <w:rFonts w:cs="Arial"/>
          <w:lang w:val="en-US"/>
        </w:rPr>
        <w:t xml:space="preserve">its detrimental effect explained in Q39, we </w:t>
      </w:r>
      <w:r w:rsidR="00785D75">
        <w:rPr>
          <w:rFonts w:cs="Arial"/>
          <w:lang w:val="en-US"/>
        </w:rPr>
        <w:t xml:space="preserve">would rather </w:t>
      </w:r>
      <w:r w:rsidR="00785D75" w:rsidRPr="00785D75">
        <w:rPr>
          <w:rFonts w:cs="Arial"/>
          <w:lang w:val="en-US"/>
        </w:rPr>
        <w:t>propose to keep the Tab</w:t>
      </w:r>
      <w:r w:rsidR="00785D75">
        <w:rPr>
          <w:rFonts w:cs="Arial"/>
          <w:lang w:val="en-US"/>
        </w:rPr>
        <w:t xml:space="preserve">le </w:t>
      </w:r>
      <w:r w:rsidR="00785D75" w:rsidRPr="00785D75">
        <w:rPr>
          <w:rFonts w:cs="Arial"/>
          <w:lang w:val="en-US"/>
        </w:rPr>
        <w:t>1 as describe</w:t>
      </w:r>
      <w:r w:rsidR="00785D75">
        <w:rPr>
          <w:rFonts w:cs="Arial"/>
          <w:lang w:val="en-US"/>
        </w:rPr>
        <w:t>d</w:t>
      </w:r>
      <w:r w:rsidR="00785D75" w:rsidRPr="00785D75">
        <w:rPr>
          <w:rFonts w:cs="Arial"/>
          <w:lang w:val="en-US"/>
        </w:rPr>
        <w:t xml:space="preserve"> in the RTS</w:t>
      </w:r>
      <w:r w:rsidR="00785D75">
        <w:rPr>
          <w:rFonts w:cs="Arial"/>
          <w:lang w:val="en-US"/>
        </w:rPr>
        <w:t>,</w:t>
      </w:r>
      <w:r w:rsidR="00785D75" w:rsidRPr="00785D75">
        <w:rPr>
          <w:rFonts w:cs="Arial"/>
          <w:lang w:val="en-US"/>
        </w:rPr>
        <w:t xml:space="preserve"> but disclosing the Total costs &amp; RIY in monetary </w:t>
      </w:r>
      <w:r w:rsidR="00785D75">
        <w:rPr>
          <w:rFonts w:cs="Arial"/>
          <w:lang w:val="en-US"/>
        </w:rPr>
        <w:t xml:space="preserve">terms </w:t>
      </w:r>
      <w:r w:rsidR="00785D75" w:rsidRPr="00785D75">
        <w:rPr>
          <w:rFonts w:cs="Arial"/>
          <w:lang w:val="en-US"/>
        </w:rPr>
        <w:t>instead of percentage</w:t>
      </w:r>
      <w:r w:rsidR="00F9110E">
        <w:rPr>
          <w:rFonts w:cs="Arial"/>
          <w:lang w:val="en-US"/>
        </w:rPr>
        <w:t>s</w:t>
      </w:r>
      <w:r w:rsidR="00785D75" w:rsidRPr="00785D75">
        <w:rPr>
          <w:rFonts w:cs="Arial"/>
          <w:lang w:val="en-US"/>
        </w:rPr>
        <w:t>. We</w:t>
      </w:r>
      <w:r w:rsidR="00696386">
        <w:rPr>
          <w:rFonts w:cs="Arial"/>
          <w:lang w:val="en-US"/>
        </w:rPr>
        <w:t xml:space="preserve"> think that it is much better</w:t>
      </w:r>
      <w:r w:rsidR="00785D75" w:rsidRPr="00785D75">
        <w:rPr>
          <w:rFonts w:cs="Arial"/>
          <w:lang w:val="en-US"/>
        </w:rPr>
        <w:t xml:space="preserve"> to keep the spirit of displaying in € the performance, the total costs and the RIY for an investment of 10,000</w:t>
      </w:r>
      <w:proofErr w:type="gramStart"/>
      <w:r w:rsidR="00785D75" w:rsidRPr="00785D75">
        <w:rPr>
          <w:rFonts w:cs="Arial"/>
          <w:lang w:val="en-US"/>
        </w:rPr>
        <w:t>€ .</w:t>
      </w:r>
      <w:proofErr w:type="gramEnd"/>
      <w:r w:rsidR="00785D75" w:rsidRPr="00785D75">
        <w:rPr>
          <w:rFonts w:cs="Arial"/>
          <w:lang w:val="en-US"/>
        </w:rPr>
        <w:t xml:space="preserve"> Thus, we stick to the objective to display real numbers without the need for the reader to make any calculation.</w:t>
      </w:r>
    </w:p>
    <w:p w:rsidR="00785D75" w:rsidRDefault="00785D75" w:rsidP="00785D75">
      <w:pPr>
        <w:rPr>
          <w:rFonts w:cs="Arial"/>
          <w:i/>
          <w:color w:val="FF0000"/>
          <w:lang w:val="en-US"/>
        </w:rPr>
      </w:pPr>
    </w:p>
    <w:tbl>
      <w:tblPr>
        <w:tblW w:w="9072" w:type="dxa"/>
        <w:tblInd w:w="-10" w:type="dxa"/>
        <w:tblCellMar>
          <w:left w:w="70" w:type="dxa"/>
          <w:right w:w="70" w:type="dxa"/>
        </w:tblCellMar>
        <w:tblLook w:val="04A0" w:firstRow="1" w:lastRow="0" w:firstColumn="1" w:lastColumn="0" w:noHBand="0" w:noVBand="1"/>
      </w:tblPr>
      <w:tblGrid>
        <w:gridCol w:w="4111"/>
        <w:gridCol w:w="2126"/>
        <w:gridCol w:w="2835"/>
      </w:tblGrid>
      <w:tr w:rsidR="00785D75" w:rsidRPr="00D924F6" w:rsidTr="00E1715A">
        <w:trPr>
          <w:trHeight w:val="315"/>
        </w:trPr>
        <w:tc>
          <w:tcPr>
            <w:tcW w:w="4111" w:type="dxa"/>
            <w:tcBorders>
              <w:top w:val="single" w:sz="8" w:space="0" w:color="auto"/>
              <w:left w:val="single" w:sz="8" w:space="0" w:color="auto"/>
              <w:bottom w:val="single" w:sz="8" w:space="0" w:color="auto"/>
              <w:right w:val="nil"/>
            </w:tcBorders>
            <w:shd w:val="clear" w:color="000000" w:fill="F2F2F2"/>
            <w:noWrap/>
            <w:vAlign w:val="center"/>
            <w:hideMark/>
          </w:tcPr>
          <w:p w:rsidR="00785D75" w:rsidRPr="00D924F6" w:rsidRDefault="00785D75" w:rsidP="00E1715A">
            <w:pPr>
              <w:rPr>
                <w:rFonts w:ascii="Calibri" w:hAnsi="Calibri" w:cs="Calibri"/>
                <w:b/>
                <w:bCs/>
                <w:color w:val="000000"/>
                <w:szCs w:val="20"/>
                <w:lang w:eastAsia="fr-FR"/>
              </w:rPr>
            </w:pPr>
            <w:r w:rsidRPr="00D924F6">
              <w:rPr>
                <w:rFonts w:ascii="Calibri" w:hAnsi="Calibri" w:cs="Calibri"/>
                <w:b/>
                <w:bCs/>
                <w:color w:val="000000"/>
                <w:szCs w:val="20"/>
                <w:lang w:eastAsia="fr-FR"/>
              </w:rPr>
              <w:t>If you invest € 10 000</w:t>
            </w:r>
          </w:p>
        </w:tc>
        <w:tc>
          <w:tcPr>
            <w:tcW w:w="2126" w:type="dxa"/>
            <w:tcBorders>
              <w:top w:val="single" w:sz="8" w:space="0" w:color="auto"/>
              <w:left w:val="nil"/>
              <w:bottom w:val="single" w:sz="8" w:space="0" w:color="auto"/>
              <w:right w:val="nil"/>
            </w:tcBorders>
            <w:shd w:val="clear" w:color="000000" w:fill="F2F2F2"/>
            <w:noWrap/>
            <w:vAlign w:val="center"/>
            <w:hideMark/>
          </w:tcPr>
          <w:p w:rsidR="00785D75" w:rsidRPr="00D924F6" w:rsidRDefault="00785D75" w:rsidP="00E1715A">
            <w:pPr>
              <w:jc w:val="center"/>
              <w:rPr>
                <w:rFonts w:ascii="Calibri" w:hAnsi="Calibri" w:cs="Calibri"/>
                <w:b/>
                <w:bCs/>
                <w:color w:val="000000"/>
                <w:szCs w:val="20"/>
                <w:lang w:eastAsia="fr-FR"/>
              </w:rPr>
            </w:pPr>
            <w:r>
              <w:rPr>
                <w:rFonts w:ascii="Calibri" w:hAnsi="Calibri" w:cs="Calibri"/>
                <w:b/>
                <w:bCs/>
                <w:color w:val="000000"/>
                <w:szCs w:val="20"/>
                <w:lang w:eastAsia="fr-FR"/>
              </w:rPr>
              <w:t>Costs incurred during the</w:t>
            </w:r>
            <w:r w:rsidRPr="00D924F6">
              <w:rPr>
                <w:rFonts w:ascii="Calibri" w:hAnsi="Calibri" w:cs="Calibri"/>
                <w:b/>
                <w:bCs/>
                <w:color w:val="000000"/>
                <w:szCs w:val="20"/>
                <w:lang w:eastAsia="fr-FR"/>
              </w:rPr>
              <w:t xml:space="preserve"> 1 Year </w:t>
            </w:r>
          </w:p>
        </w:tc>
        <w:tc>
          <w:tcPr>
            <w:tcW w:w="2835" w:type="dxa"/>
            <w:tcBorders>
              <w:top w:val="single" w:sz="8" w:space="0" w:color="auto"/>
              <w:left w:val="nil"/>
              <w:bottom w:val="single" w:sz="8" w:space="0" w:color="auto"/>
              <w:right w:val="single" w:sz="8" w:space="0" w:color="auto"/>
            </w:tcBorders>
            <w:shd w:val="clear" w:color="000000" w:fill="F2F2F2"/>
            <w:noWrap/>
            <w:vAlign w:val="center"/>
            <w:hideMark/>
          </w:tcPr>
          <w:p w:rsidR="00785D75" w:rsidRPr="00D924F6" w:rsidRDefault="00785D75" w:rsidP="00E1715A">
            <w:pPr>
              <w:jc w:val="center"/>
              <w:rPr>
                <w:rFonts w:ascii="Calibri" w:hAnsi="Calibri" w:cs="Calibri"/>
                <w:b/>
                <w:bCs/>
                <w:color w:val="000000"/>
                <w:szCs w:val="20"/>
                <w:lang w:eastAsia="fr-FR"/>
              </w:rPr>
            </w:pPr>
            <w:r>
              <w:rPr>
                <w:rFonts w:ascii="Calibri" w:hAnsi="Calibri" w:cs="Calibri"/>
                <w:b/>
                <w:bCs/>
                <w:color w:val="000000"/>
                <w:szCs w:val="20"/>
                <w:lang w:eastAsia="fr-FR"/>
              </w:rPr>
              <w:t>Costs if you exit at the end of the</w:t>
            </w:r>
            <w:r w:rsidRPr="00D924F6">
              <w:rPr>
                <w:rFonts w:ascii="Calibri" w:hAnsi="Calibri" w:cs="Calibri"/>
                <w:b/>
                <w:bCs/>
                <w:color w:val="000000"/>
                <w:szCs w:val="20"/>
                <w:lang w:eastAsia="fr-FR"/>
              </w:rPr>
              <w:t xml:space="preserve"> RHP</w:t>
            </w:r>
          </w:p>
        </w:tc>
      </w:tr>
      <w:tr w:rsidR="00785D75" w:rsidRPr="00D924F6" w:rsidTr="00E1715A">
        <w:trPr>
          <w:trHeight w:val="300"/>
        </w:trPr>
        <w:tc>
          <w:tcPr>
            <w:tcW w:w="4111" w:type="dxa"/>
            <w:tcBorders>
              <w:top w:val="single" w:sz="8" w:space="0" w:color="auto"/>
              <w:left w:val="single" w:sz="8" w:space="0" w:color="auto"/>
              <w:bottom w:val="nil"/>
              <w:right w:val="nil"/>
            </w:tcBorders>
            <w:shd w:val="clear" w:color="auto" w:fill="auto"/>
            <w:noWrap/>
            <w:vAlign w:val="center"/>
            <w:hideMark/>
          </w:tcPr>
          <w:p w:rsidR="00785D75" w:rsidRPr="003F54E7" w:rsidRDefault="00785D75" w:rsidP="00E1715A">
            <w:pPr>
              <w:rPr>
                <w:rFonts w:ascii="Calibri" w:hAnsi="Calibri" w:cs="Calibri"/>
                <w:bCs/>
                <w:color w:val="FF0000"/>
                <w:szCs w:val="20"/>
                <w:lang w:val="en-US" w:eastAsia="fr-FR"/>
              </w:rPr>
            </w:pPr>
            <w:r w:rsidRPr="003F54E7">
              <w:rPr>
                <w:rFonts w:ascii="Calibri" w:hAnsi="Calibri" w:cs="Calibri"/>
                <w:bCs/>
                <w:color w:val="000000"/>
                <w:szCs w:val="20"/>
                <w:lang w:val="en-US" w:eastAsia="fr-FR"/>
              </w:rPr>
              <w:t xml:space="preserve">Total costs over time per year </w:t>
            </w:r>
            <w:r>
              <w:rPr>
                <w:rFonts w:ascii="Calibri" w:hAnsi="Calibri" w:cs="Calibri"/>
                <w:bCs/>
                <w:color w:val="000000"/>
                <w:szCs w:val="20"/>
                <w:lang w:val="en-US" w:eastAsia="fr-FR"/>
              </w:rPr>
              <w:t xml:space="preserve">in </w:t>
            </w:r>
            <w:r w:rsidRPr="003F54E7">
              <w:rPr>
                <w:rFonts w:ascii="Calibri" w:hAnsi="Calibri" w:cs="Calibri"/>
                <w:bCs/>
                <w:color w:val="000000"/>
                <w:szCs w:val="20"/>
                <w:lang w:val="en-US" w:eastAsia="fr-FR"/>
              </w:rPr>
              <w:t>€</w:t>
            </w:r>
            <w:r>
              <w:rPr>
                <w:rFonts w:ascii="Calibri" w:hAnsi="Calibri" w:cs="Calibri"/>
                <w:bCs/>
                <w:color w:val="000000"/>
                <w:szCs w:val="20"/>
                <w:lang w:val="en-US" w:eastAsia="fr-FR"/>
              </w:rPr>
              <w:t xml:space="preserve"> </w:t>
            </w:r>
          </w:p>
        </w:tc>
        <w:tc>
          <w:tcPr>
            <w:tcW w:w="2126" w:type="dxa"/>
            <w:tcBorders>
              <w:top w:val="nil"/>
              <w:left w:val="nil"/>
              <w:bottom w:val="nil"/>
              <w:right w:val="nil"/>
            </w:tcBorders>
            <w:shd w:val="clear" w:color="auto" w:fill="auto"/>
            <w:noWrap/>
            <w:vAlign w:val="center"/>
            <w:hideMark/>
          </w:tcPr>
          <w:p w:rsidR="00785D75" w:rsidRPr="00D924F6" w:rsidRDefault="00785D75" w:rsidP="00E1715A">
            <w:pPr>
              <w:jc w:val="center"/>
              <w:rPr>
                <w:rFonts w:ascii="Calibri" w:hAnsi="Calibri" w:cs="Calibri"/>
                <w:color w:val="000000"/>
                <w:szCs w:val="20"/>
                <w:lang w:eastAsia="fr-FR"/>
              </w:rPr>
            </w:pPr>
            <w:r w:rsidRPr="00D924F6">
              <w:rPr>
                <w:rFonts w:ascii="Calibri" w:hAnsi="Calibri" w:cs="Calibri"/>
                <w:color w:val="000000"/>
                <w:szCs w:val="20"/>
                <w:lang w:eastAsia="fr-FR"/>
              </w:rPr>
              <w:t xml:space="preserve"> € </w:t>
            </w:r>
          </w:p>
        </w:tc>
        <w:tc>
          <w:tcPr>
            <w:tcW w:w="2835" w:type="dxa"/>
            <w:tcBorders>
              <w:top w:val="nil"/>
              <w:left w:val="nil"/>
              <w:bottom w:val="nil"/>
              <w:right w:val="single" w:sz="8" w:space="0" w:color="auto"/>
            </w:tcBorders>
            <w:shd w:val="clear" w:color="auto" w:fill="auto"/>
            <w:noWrap/>
            <w:vAlign w:val="center"/>
            <w:hideMark/>
          </w:tcPr>
          <w:p w:rsidR="00785D75" w:rsidRPr="00D924F6" w:rsidRDefault="00785D75" w:rsidP="00E1715A">
            <w:pPr>
              <w:jc w:val="center"/>
              <w:rPr>
                <w:rFonts w:ascii="Calibri" w:hAnsi="Calibri" w:cs="Calibri"/>
                <w:color w:val="000000"/>
                <w:lang w:eastAsia="fr-FR"/>
              </w:rPr>
            </w:pPr>
            <w:r>
              <w:rPr>
                <w:rFonts w:ascii="Calibri" w:hAnsi="Calibri" w:cs="Calibri"/>
                <w:color w:val="000000"/>
                <w:lang w:eastAsia="fr-FR"/>
              </w:rPr>
              <w:t xml:space="preserve">€ </w:t>
            </w:r>
          </w:p>
        </w:tc>
      </w:tr>
      <w:tr w:rsidR="00785D75" w:rsidRPr="00D924F6" w:rsidTr="00E1715A">
        <w:trPr>
          <w:trHeight w:val="300"/>
        </w:trPr>
        <w:tc>
          <w:tcPr>
            <w:tcW w:w="4111" w:type="dxa"/>
            <w:tcBorders>
              <w:top w:val="nil"/>
              <w:left w:val="single" w:sz="8" w:space="0" w:color="auto"/>
              <w:bottom w:val="single" w:sz="4" w:space="0" w:color="auto"/>
              <w:right w:val="nil"/>
            </w:tcBorders>
            <w:shd w:val="clear" w:color="auto" w:fill="auto"/>
            <w:noWrap/>
            <w:vAlign w:val="center"/>
            <w:hideMark/>
          </w:tcPr>
          <w:p w:rsidR="00785D75" w:rsidRPr="003F54E7" w:rsidRDefault="00785D75" w:rsidP="00E1715A">
            <w:pPr>
              <w:rPr>
                <w:rFonts w:ascii="Calibri" w:hAnsi="Calibri" w:cs="Calibri"/>
                <w:bCs/>
                <w:color w:val="000000"/>
                <w:szCs w:val="20"/>
                <w:lang w:val="en-US" w:eastAsia="fr-FR"/>
              </w:rPr>
            </w:pPr>
            <w:r w:rsidRPr="003F54E7">
              <w:rPr>
                <w:rFonts w:ascii="Calibri" w:hAnsi="Calibri" w:cs="Calibri"/>
                <w:bCs/>
                <w:color w:val="000000"/>
                <w:szCs w:val="20"/>
                <w:lang w:val="en-US" w:eastAsia="fr-FR"/>
              </w:rPr>
              <w:t>Reduction in return each year due to costs</w:t>
            </w:r>
            <w:r>
              <w:rPr>
                <w:rFonts w:ascii="Calibri" w:hAnsi="Calibri" w:cs="Calibri"/>
                <w:bCs/>
                <w:color w:val="000000"/>
                <w:szCs w:val="20"/>
                <w:lang w:val="en-US" w:eastAsia="fr-FR"/>
              </w:rPr>
              <w:t xml:space="preserve"> in </w:t>
            </w:r>
            <w:r w:rsidRPr="00D924F6">
              <w:rPr>
                <w:rFonts w:ascii="Calibri" w:hAnsi="Calibri" w:cs="Calibri"/>
                <w:color w:val="000000"/>
                <w:szCs w:val="20"/>
                <w:lang w:eastAsia="fr-FR"/>
              </w:rPr>
              <w:t>€</w:t>
            </w:r>
          </w:p>
        </w:tc>
        <w:tc>
          <w:tcPr>
            <w:tcW w:w="2126" w:type="dxa"/>
            <w:tcBorders>
              <w:top w:val="nil"/>
              <w:left w:val="nil"/>
              <w:bottom w:val="single" w:sz="4" w:space="0" w:color="auto"/>
              <w:right w:val="nil"/>
            </w:tcBorders>
            <w:shd w:val="clear" w:color="auto" w:fill="auto"/>
            <w:noWrap/>
            <w:vAlign w:val="center"/>
            <w:hideMark/>
          </w:tcPr>
          <w:p w:rsidR="00785D75" w:rsidRPr="00D924F6" w:rsidRDefault="00785D75" w:rsidP="00E1715A">
            <w:pPr>
              <w:jc w:val="center"/>
              <w:rPr>
                <w:rFonts w:ascii="Calibri" w:hAnsi="Calibri" w:cs="Calibri"/>
                <w:color w:val="000000"/>
                <w:szCs w:val="20"/>
                <w:lang w:eastAsia="fr-FR"/>
              </w:rPr>
            </w:pPr>
            <w:r w:rsidRPr="00D924F6">
              <w:rPr>
                <w:rFonts w:ascii="Calibri" w:hAnsi="Calibri" w:cs="Calibri"/>
                <w:color w:val="000000"/>
                <w:szCs w:val="20"/>
                <w:lang w:eastAsia="fr-FR"/>
              </w:rPr>
              <w:t>€</w:t>
            </w:r>
          </w:p>
        </w:tc>
        <w:tc>
          <w:tcPr>
            <w:tcW w:w="2835" w:type="dxa"/>
            <w:tcBorders>
              <w:top w:val="nil"/>
              <w:left w:val="nil"/>
              <w:bottom w:val="single" w:sz="4" w:space="0" w:color="auto"/>
              <w:right w:val="single" w:sz="8" w:space="0" w:color="auto"/>
            </w:tcBorders>
            <w:shd w:val="clear" w:color="auto" w:fill="auto"/>
            <w:noWrap/>
            <w:vAlign w:val="center"/>
            <w:hideMark/>
          </w:tcPr>
          <w:p w:rsidR="00785D75" w:rsidRPr="00D924F6" w:rsidRDefault="00785D75" w:rsidP="00E1715A">
            <w:pPr>
              <w:jc w:val="center"/>
              <w:rPr>
                <w:rFonts w:ascii="Calibri" w:hAnsi="Calibri" w:cs="Calibri"/>
                <w:color w:val="000000"/>
                <w:szCs w:val="20"/>
                <w:lang w:eastAsia="fr-FR"/>
              </w:rPr>
            </w:pPr>
            <w:r w:rsidRPr="00D924F6">
              <w:rPr>
                <w:rFonts w:ascii="Calibri" w:hAnsi="Calibri" w:cs="Calibri"/>
                <w:color w:val="000000"/>
                <w:szCs w:val="20"/>
                <w:lang w:eastAsia="fr-FR"/>
              </w:rPr>
              <w:t>€</w:t>
            </w:r>
          </w:p>
        </w:tc>
      </w:tr>
    </w:tbl>
    <w:p w:rsidR="00785D75" w:rsidRDefault="00785D75" w:rsidP="00785D75">
      <w:pPr>
        <w:rPr>
          <w:rFonts w:cs="Arial"/>
          <w:i/>
          <w:color w:val="FF0000"/>
          <w:lang w:val="en-US"/>
        </w:rPr>
      </w:pPr>
    </w:p>
    <w:p w:rsidR="00785D75" w:rsidRDefault="00785D75" w:rsidP="00785D75">
      <w:pPr>
        <w:rPr>
          <w:rFonts w:cs="Arial"/>
          <w:i/>
          <w:color w:val="FF0000"/>
          <w:lang w:val="en-US"/>
        </w:rPr>
      </w:pPr>
      <w:r>
        <w:rPr>
          <w:rFonts w:cs="Arial"/>
          <w:i/>
          <w:color w:val="FF0000"/>
          <w:lang w:val="en-US"/>
        </w:rPr>
        <w:t xml:space="preserve"> </w:t>
      </w:r>
    </w:p>
    <w:p w:rsidR="00785D75" w:rsidRPr="00F9110E" w:rsidRDefault="00785D75" w:rsidP="00785D75">
      <w:pPr>
        <w:rPr>
          <w:rFonts w:cs="Arial"/>
          <w:lang w:val="en-US"/>
        </w:rPr>
      </w:pPr>
      <w:r w:rsidRPr="00F9110E">
        <w:rPr>
          <w:rFonts w:cs="Arial"/>
          <w:lang w:val="en-US"/>
        </w:rPr>
        <w:t>As for Tab</w:t>
      </w:r>
      <w:r w:rsidR="00F9110E">
        <w:rPr>
          <w:rFonts w:cs="Arial"/>
          <w:lang w:val="en-US"/>
        </w:rPr>
        <w:t xml:space="preserve">le </w:t>
      </w:r>
      <w:r w:rsidRPr="00F9110E">
        <w:rPr>
          <w:rFonts w:cs="Arial"/>
          <w:lang w:val="en-US"/>
        </w:rPr>
        <w:t xml:space="preserve">2, the objective is slightly different, i.e. to disclose precisely the breakdown of the ex-ante costs for the fund. In this </w:t>
      </w:r>
      <w:proofErr w:type="gramStart"/>
      <w:r w:rsidRPr="00F9110E">
        <w:rPr>
          <w:rFonts w:cs="Arial"/>
          <w:lang w:val="en-US"/>
        </w:rPr>
        <w:t>case</w:t>
      </w:r>
      <w:proofErr w:type="gramEnd"/>
      <w:r w:rsidRPr="00F9110E">
        <w:rPr>
          <w:rFonts w:cs="Arial"/>
          <w:lang w:val="en-US"/>
        </w:rPr>
        <w:t xml:space="preserve"> the current market practice is to display these information in percentage</w:t>
      </w:r>
      <w:r w:rsidR="00F9110E">
        <w:rPr>
          <w:rFonts w:cs="Arial"/>
          <w:lang w:val="en-US"/>
        </w:rPr>
        <w:t>s</w:t>
      </w:r>
      <w:r w:rsidRPr="00F9110E">
        <w:rPr>
          <w:rFonts w:cs="Arial"/>
          <w:lang w:val="en-US"/>
        </w:rPr>
        <w:t>.</w:t>
      </w:r>
    </w:p>
    <w:p w:rsidR="00785D75" w:rsidRDefault="00785D75" w:rsidP="00785D75">
      <w:pPr>
        <w:rPr>
          <w:rFonts w:cs="Arial"/>
          <w:i/>
          <w:color w:val="FF0000"/>
          <w:lang w:val="en-US"/>
        </w:rPr>
      </w:pPr>
    </w:p>
    <w:p w:rsidR="00785D75" w:rsidRDefault="00785D75" w:rsidP="00785D75">
      <w:pPr>
        <w:rPr>
          <w:rFonts w:cs="Arial"/>
          <w:i/>
          <w:color w:val="FF0000"/>
          <w:lang w:val="en-US"/>
        </w:rPr>
      </w:pPr>
    </w:p>
    <w:tbl>
      <w:tblPr>
        <w:tblW w:w="8505" w:type="dxa"/>
        <w:tblInd w:w="-5" w:type="dxa"/>
        <w:tblCellMar>
          <w:left w:w="70" w:type="dxa"/>
          <w:right w:w="70" w:type="dxa"/>
        </w:tblCellMar>
        <w:tblLook w:val="04A0" w:firstRow="1" w:lastRow="0" w:firstColumn="1" w:lastColumn="0" w:noHBand="0" w:noVBand="1"/>
      </w:tblPr>
      <w:tblGrid>
        <w:gridCol w:w="1593"/>
        <w:gridCol w:w="1951"/>
        <w:gridCol w:w="4961"/>
      </w:tblGrid>
      <w:tr w:rsidR="00785D75" w:rsidRPr="00D924F6" w:rsidTr="00E1715A">
        <w:trPr>
          <w:trHeight w:val="242"/>
        </w:trPr>
        <w:tc>
          <w:tcPr>
            <w:tcW w:w="850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85D75" w:rsidRPr="00B206AF" w:rsidRDefault="00785D75" w:rsidP="00E1715A">
            <w:pPr>
              <w:rPr>
                <w:rFonts w:ascii="Calibri" w:hAnsi="Calibri" w:cs="Calibri"/>
                <w:b/>
                <w:bCs/>
                <w:color w:val="000000"/>
                <w:lang w:eastAsia="fr-FR"/>
              </w:rPr>
            </w:pPr>
            <w:r w:rsidRPr="00B206AF">
              <w:rPr>
                <w:rFonts w:ascii="Calibri" w:hAnsi="Calibri" w:cs="Calibri"/>
                <w:b/>
                <w:bCs/>
                <w:color w:val="000000"/>
                <w:lang w:eastAsia="fr-FR"/>
              </w:rPr>
              <w:t>Type of costs</w:t>
            </w:r>
          </w:p>
        </w:tc>
      </w:tr>
      <w:tr w:rsidR="00785D75" w:rsidRPr="00D924F6" w:rsidTr="00E1715A">
        <w:trPr>
          <w:trHeight w:val="242"/>
        </w:trPr>
        <w:tc>
          <w:tcPr>
            <w:tcW w:w="1593" w:type="dxa"/>
            <w:vMerge w:val="restart"/>
            <w:tcBorders>
              <w:top w:val="nil"/>
              <w:left w:val="single" w:sz="4" w:space="0" w:color="auto"/>
              <w:bottom w:val="single" w:sz="4" w:space="0" w:color="000000"/>
              <w:right w:val="nil"/>
            </w:tcBorders>
            <w:shd w:val="clear" w:color="auto" w:fill="auto"/>
            <w:noWrap/>
            <w:vAlign w:val="center"/>
            <w:hideMark/>
          </w:tcPr>
          <w:p w:rsidR="00785D75" w:rsidRPr="00B206AF" w:rsidRDefault="00785D75" w:rsidP="00E1715A">
            <w:pPr>
              <w:jc w:val="center"/>
              <w:rPr>
                <w:rFonts w:ascii="Calibri" w:hAnsi="Calibri" w:cs="Calibri"/>
                <w:b/>
                <w:bCs/>
                <w:color w:val="000000"/>
                <w:lang w:eastAsia="fr-FR"/>
              </w:rPr>
            </w:pPr>
            <w:r w:rsidRPr="00B206AF">
              <w:rPr>
                <w:rFonts w:ascii="Calibri" w:hAnsi="Calibri" w:cs="Calibri"/>
                <w:b/>
                <w:bCs/>
                <w:color w:val="000000"/>
                <w:lang w:eastAsia="fr-FR"/>
              </w:rPr>
              <w:t>One-off costs</w:t>
            </w:r>
          </w:p>
        </w:tc>
        <w:tc>
          <w:tcPr>
            <w:tcW w:w="1951" w:type="dxa"/>
            <w:tcBorders>
              <w:top w:val="nil"/>
              <w:left w:val="nil"/>
              <w:bottom w:val="nil"/>
              <w:right w:val="nil"/>
            </w:tcBorders>
            <w:shd w:val="clear" w:color="auto" w:fill="auto"/>
            <w:noWrap/>
            <w:vAlign w:val="bottom"/>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Entry costs</w:t>
            </w:r>
          </w:p>
        </w:tc>
        <w:tc>
          <w:tcPr>
            <w:tcW w:w="4961" w:type="dxa"/>
            <w:tcBorders>
              <w:top w:val="single" w:sz="4" w:space="0" w:color="auto"/>
              <w:left w:val="nil"/>
              <w:bottom w:val="nil"/>
              <w:right w:val="single" w:sz="4" w:space="0" w:color="000000"/>
            </w:tcBorders>
            <w:shd w:val="clear" w:color="auto" w:fill="auto"/>
            <w:noWrap/>
            <w:vAlign w:val="center"/>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x% of the amount invested acquired to the fund</w:t>
            </w:r>
          </w:p>
          <w:p w:rsidR="00785D75" w:rsidRPr="00B206AF" w:rsidRDefault="00024246" w:rsidP="00E1715A">
            <w:pPr>
              <w:rPr>
                <w:rFonts w:ascii="Calibri" w:hAnsi="Calibri" w:cs="Calibri"/>
                <w:color w:val="000000"/>
                <w:lang w:eastAsia="fr-FR"/>
              </w:rPr>
            </w:pPr>
            <w:r>
              <w:rPr>
                <w:rFonts w:ascii="Calibri" w:hAnsi="Calibri" w:cs="Calibri"/>
                <w:color w:val="000000"/>
                <w:lang w:eastAsia="fr-FR"/>
              </w:rPr>
              <w:t xml:space="preserve">An additional entry fees </w:t>
            </w:r>
            <w:bookmarkStart w:id="2" w:name="_GoBack"/>
            <w:bookmarkEnd w:id="2"/>
            <w:r w:rsidR="00785D75" w:rsidRPr="00B206AF">
              <w:rPr>
                <w:rFonts w:ascii="Calibri" w:hAnsi="Calibri" w:cs="Calibri"/>
                <w:color w:val="000000"/>
                <w:lang w:eastAsia="fr-FR"/>
              </w:rPr>
              <w:t>can be charged by the person selling/advising you the fund</w:t>
            </w:r>
          </w:p>
        </w:tc>
      </w:tr>
      <w:tr w:rsidR="00785D75" w:rsidRPr="00D924F6" w:rsidTr="00E1715A">
        <w:trPr>
          <w:trHeight w:val="436"/>
        </w:trPr>
        <w:tc>
          <w:tcPr>
            <w:tcW w:w="1593" w:type="dxa"/>
            <w:vMerge/>
            <w:tcBorders>
              <w:top w:val="nil"/>
              <w:left w:val="single" w:sz="4" w:space="0" w:color="auto"/>
              <w:bottom w:val="single" w:sz="4" w:space="0" w:color="000000"/>
              <w:right w:val="nil"/>
            </w:tcBorders>
            <w:vAlign w:val="center"/>
            <w:hideMark/>
          </w:tcPr>
          <w:p w:rsidR="00785D75" w:rsidRPr="00B206AF" w:rsidRDefault="00785D75" w:rsidP="00E1715A">
            <w:pPr>
              <w:rPr>
                <w:rFonts w:ascii="Calibri" w:hAnsi="Calibri" w:cs="Calibri"/>
                <w:b/>
                <w:bCs/>
                <w:color w:val="000000"/>
                <w:lang w:eastAsia="fr-FR"/>
              </w:rPr>
            </w:pPr>
          </w:p>
        </w:tc>
        <w:tc>
          <w:tcPr>
            <w:tcW w:w="1951" w:type="dxa"/>
            <w:tcBorders>
              <w:top w:val="nil"/>
              <w:left w:val="nil"/>
              <w:bottom w:val="single" w:sz="4" w:space="0" w:color="auto"/>
              <w:right w:val="nil"/>
            </w:tcBorders>
            <w:shd w:val="clear" w:color="auto" w:fill="auto"/>
            <w:noWrap/>
            <w:vAlign w:val="bottom"/>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Exit costs</w:t>
            </w:r>
          </w:p>
        </w:tc>
        <w:tc>
          <w:tcPr>
            <w:tcW w:w="4961" w:type="dxa"/>
            <w:tcBorders>
              <w:top w:val="nil"/>
              <w:left w:val="nil"/>
              <w:bottom w:val="single" w:sz="4" w:space="0" w:color="auto"/>
              <w:right w:val="single" w:sz="4" w:space="0" w:color="000000"/>
            </w:tcBorders>
            <w:shd w:val="clear" w:color="auto" w:fill="auto"/>
            <w:noWrap/>
            <w:vAlign w:val="center"/>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x% of the amount invested acquired to the fund if you exit the fund before maturity</w:t>
            </w:r>
          </w:p>
          <w:p w:rsidR="00785D75" w:rsidRPr="00B206AF" w:rsidRDefault="00785D75" w:rsidP="00E1715A">
            <w:pPr>
              <w:rPr>
                <w:rFonts w:ascii="Calibri" w:hAnsi="Calibri" w:cs="Calibri"/>
                <w:color w:val="000000"/>
                <w:lang w:eastAsia="fr-FR"/>
              </w:rPr>
            </w:pPr>
          </w:p>
        </w:tc>
      </w:tr>
      <w:tr w:rsidR="00785D75" w:rsidRPr="00266A27" w:rsidTr="00E1715A">
        <w:trPr>
          <w:trHeight w:val="472"/>
        </w:trPr>
        <w:tc>
          <w:tcPr>
            <w:tcW w:w="1593" w:type="dxa"/>
            <w:tcBorders>
              <w:top w:val="nil"/>
              <w:left w:val="single" w:sz="4" w:space="0" w:color="auto"/>
              <w:bottom w:val="single" w:sz="4" w:space="0" w:color="auto"/>
              <w:right w:val="nil"/>
            </w:tcBorders>
            <w:shd w:val="clear" w:color="auto" w:fill="auto"/>
            <w:noWrap/>
            <w:vAlign w:val="center"/>
            <w:hideMark/>
          </w:tcPr>
          <w:p w:rsidR="00785D75" w:rsidRPr="00B206AF" w:rsidRDefault="00785D75" w:rsidP="00E1715A">
            <w:pPr>
              <w:jc w:val="center"/>
              <w:rPr>
                <w:rFonts w:ascii="Calibri" w:hAnsi="Calibri" w:cs="Calibri"/>
                <w:b/>
                <w:bCs/>
                <w:color w:val="000000"/>
                <w:lang w:eastAsia="fr-FR"/>
              </w:rPr>
            </w:pPr>
            <w:r w:rsidRPr="00B206AF">
              <w:rPr>
                <w:rFonts w:ascii="Calibri" w:hAnsi="Calibri" w:cs="Calibri"/>
                <w:b/>
                <w:bCs/>
                <w:color w:val="000000"/>
                <w:lang w:eastAsia="fr-FR"/>
              </w:rPr>
              <w:t>Ongoing costs</w:t>
            </w:r>
          </w:p>
        </w:tc>
        <w:tc>
          <w:tcPr>
            <w:tcW w:w="1951" w:type="dxa"/>
            <w:tcBorders>
              <w:top w:val="nil"/>
              <w:left w:val="nil"/>
              <w:bottom w:val="single" w:sz="4" w:space="0" w:color="auto"/>
              <w:right w:val="nil"/>
            </w:tcBorders>
            <w:shd w:val="clear" w:color="auto" w:fill="auto"/>
            <w:noWrap/>
            <w:vAlign w:val="bottom"/>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 </w:t>
            </w:r>
          </w:p>
        </w:tc>
        <w:tc>
          <w:tcPr>
            <w:tcW w:w="4961" w:type="dxa"/>
            <w:tcBorders>
              <w:top w:val="nil"/>
              <w:left w:val="nil"/>
              <w:bottom w:val="single" w:sz="4" w:space="0" w:color="auto"/>
              <w:right w:val="single" w:sz="4" w:space="0" w:color="000000"/>
            </w:tcBorders>
            <w:shd w:val="clear" w:color="auto" w:fill="auto"/>
            <w:noWrap/>
            <w:vAlign w:val="center"/>
            <w:hideMark/>
          </w:tcPr>
          <w:p w:rsidR="00785D75" w:rsidRPr="00B206AF" w:rsidRDefault="00785D75" w:rsidP="00E1715A">
            <w:pPr>
              <w:rPr>
                <w:rFonts w:ascii="Calibri" w:hAnsi="Calibri" w:cs="Calibri"/>
                <w:color w:val="000000"/>
                <w:lang w:val="en-US" w:eastAsia="fr-FR"/>
              </w:rPr>
            </w:pPr>
            <w:r w:rsidRPr="00B206AF">
              <w:rPr>
                <w:rFonts w:ascii="Calibri" w:hAnsi="Calibri" w:cs="Calibri"/>
                <w:b/>
                <w:bCs/>
                <w:color w:val="000000"/>
                <w:lang w:val="en-US" w:eastAsia="fr-FR"/>
              </w:rPr>
              <w:t xml:space="preserve"> </w:t>
            </w:r>
            <w:r w:rsidRPr="00C45EE6">
              <w:rPr>
                <w:rFonts w:ascii="Calibri" w:hAnsi="Calibri" w:cs="Calibri"/>
                <w:bCs/>
                <w:color w:val="000000"/>
                <w:lang w:val="en-US" w:eastAsia="fr-FR"/>
              </w:rPr>
              <w:t>x</w:t>
            </w:r>
            <w:r w:rsidRPr="00B206AF">
              <w:rPr>
                <w:rFonts w:ascii="Calibri" w:hAnsi="Calibri" w:cs="Calibri"/>
                <w:color w:val="000000"/>
                <w:lang w:val="en-US" w:eastAsia="fr-FR"/>
              </w:rPr>
              <w:t xml:space="preserve">% of the value of your investment per year  </w:t>
            </w:r>
            <w:r>
              <w:rPr>
                <w:rFonts w:ascii="Calibri" w:hAnsi="Calibri" w:cs="Calibri"/>
                <w:color w:val="000000"/>
                <w:lang w:val="en-US" w:eastAsia="fr-FR"/>
              </w:rPr>
              <w:t xml:space="preserve"> </w:t>
            </w:r>
          </w:p>
        </w:tc>
      </w:tr>
      <w:tr w:rsidR="00785D75" w:rsidRPr="00266A27" w:rsidTr="00E1715A">
        <w:trPr>
          <w:trHeight w:val="678"/>
        </w:trPr>
        <w:tc>
          <w:tcPr>
            <w:tcW w:w="1593" w:type="dxa"/>
            <w:tcBorders>
              <w:top w:val="nil"/>
              <w:left w:val="single" w:sz="4" w:space="0" w:color="auto"/>
              <w:bottom w:val="single" w:sz="4" w:space="0" w:color="auto"/>
              <w:right w:val="nil"/>
            </w:tcBorders>
            <w:shd w:val="clear" w:color="auto" w:fill="auto"/>
            <w:noWrap/>
            <w:vAlign w:val="center"/>
            <w:hideMark/>
          </w:tcPr>
          <w:p w:rsidR="00785D75" w:rsidRPr="00B206AF" w:rsidRDefault="00785D75" w:rsidP="00E1715A">
            <w:pPr>
              <w:jc w:val="center"/>
              <w:rPr>
                <w:rFonts w:ascii="Calibri" w:hAnsi="Calibri" w:cs="Calibri"/>
                <w:b/>
                <w:bCs/>
                <w:color w:val="000000"/>
                <w:lang w:eastAsia="fr-FR"/>
              </w:rPr>
            </w:pPr>
            <w:r w:rsidRPr="00B206AF">
              <w:rPr>
                <w:rFonts w:ascii="Calibri" w:hAnsi="Calibri" w:cs="Calibri"/>
                <w:b/>
                <w:bCs/>
                <w:color w:val="000000"/>
                <w:lang w:eastAsia="fr-FR"/>
              </w:rPr>
              <w:t>Transactions costs</w:t>
            </w:r>
          </w:p>
        </w:tc>
        <w:tc>
          <w:tcPr>
            <w:tcW w:w="1951" w:type="dxa"/>
            <w:tcBorders>
              <w:top w:val="nil"/>
              <w:left w:val="nil"/>
              <w:bottom w:val="single" w:sz="4" w:space="0" w:color="auto"/>
              <w:right w:val="nil"/>
            </w:tcBorders>
            <w:shd w:val="clear" w:color="auto" w:fill="auto"/>
            <w:noWrap/>
            <w:vAlign w:val="bottom"/>
            <w:hideMark/>
          </w:tcPr>
          <w:p w:rsidR="00785D75" w:rsidRPr="00B206AF" w:rsidRDefault="00785D75" w:rsidP="00E1715A">
            <w:pPr>
              <w:rPr>
                <w:rFonts w:ascii="Calibri" w:hAnsi="Calibri" w:cs="Calibri"/>
                <w:color w:val="000000"/>
                <w:lang w:eastAsia="fr-FR"/>
              </w:rPr>
            </w:pPr>
            <w:r w:rsidRPr="00B206AF">
              <w:rPr>
                <w:rFonts w:ascii="Calibri" w:hAnsi="Calibri" w:cs="Calibri"/>
                <w:color w:val="000000"/>
                <w:lang w:eastAsia="fr-FR"/>
              </w:rPr>
              <w:t> </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785D75" w:rsidRPr="00B206AF" w:rsidRDefault="00785D75" w:rsidP="00E1715A">
            <w:pPr>
              <w:rPr>
                <w:rFonts w:ascii="Calibri" w:hAnsi="Calibri" w:cs="Calibri"/>
                <w:color w:val="000000"/>
                <w:lang w:val="en-US" w:eastAsia="fr-FR"/>
              </w:rPr>
            </w:pPr>
            <w:r w:rsidRPr="00B206AF">
              <w:rPr>
                <w:rFonts w:ascii="Calibri" w:hAnsi="Calibri" w:cs="Calibri"/>
                <w:color w:val="000000"/>
                <w:lang w:val="en-US" w:eastAsia="fr-FR"/>
              </w:rPr>
              <w:t xml:space="preserve"> x% </w:t>
            </w:r>
            <w:r>
              <w:rPr>
                <w:rFonts w:ascii="Calibri" w:hAnsi="Calibri" w:cs="Calibri"/>
                <w:color w:val="000000"/>
                <w:lang w:val="en-US" w:eastAsia="fr-FR"/>
              </w:rPr>
              <w:t xml:space="preserve">  </w:t>
            </w:r>
            <w:r w:rsidRPr="00B206AF">
              <w:rPr>
                <w:rFonts w:ascii="Calibri" w:hAnsi="Calibri" w:cs="Calibri"/>
                <w:color w:val="000000"/>
                <w:lang w:val="en-US" w:eastAsia="fr-FR"/>
              </w:rPr>
              <w:t xml:space="preserve">of the value of your investment per year (estimate of the costs of us buying and selling underlying investments for the product) </w:t>
            </w:r>
          </w:p>
        </w:tc>
      </w:tr>
      <w:tr w:rsidR="00785D75" w:rsidRPr="00D924F6" w:rsidTr="00E1715A">
        <w:trPr>
          <w:trHeight w:val="399"/>
        </w:trPr>
        <w:tc>
          <w:tcPr>
            <w:tcW w:w="1593" w:type="dxa"/>
            <w:tcBorders>
              <w:top w:val="nil"/>
              <w:left w:val="single" w:sz="4" w:space="0" w:color="auto"/>
              <w:bottom w:val="single" w:sz="4" w:space="0" w:color="auto"/>
              <w:right w:val="nil"/>
            </w:tcBorders>
            <w:shd w:val="clear" w:color="auto" w:fill="auto"/>
            <w:noWrap/>
            <w:vAlign w:val="center"/>
            <w:hideMark/>
          </w:tcPr>
          <w:p w:rsidR="00785D75" w:rsidRPr="00B206AF" w:rsidRDefault="00785D75" w:rsidP="00E1715A">
            <w:pPr>
              <w:jc w:val="center"/>
              <w:rPr>
                <w:rFonts w:ascii="Calibri" w:hAnsi="Calibri" w:cs="Calibri"/>
                <w:b/>
                <w:bCs/>
                <w:color w:val="000000"/>
                <w:lang w:eastAsia="fr-FR"/>
              </w:rPr>
            </w:pPr>
            <w:r w:rsidRPr="00B206AF">
              <w:rPr>
                <w:rFonts w:ascii="Calibri" w:hAnsi="Calibri" w:cs="Calibri"/>
                <w:b/>
                <w:bCs/>
                <w:color w:val="000000"/>
                <w:lang w:eastAsia="fr-FR"/>
              </w:rPr>
              <w:t>incidental costs</w:t>
            </w:r>
          </w:p>
        </w:tc>
        <w:tc>
          <w:tcPr>
            <w:tcW w:w="1951" w:type="dxa"/>
            <w:tcBorders>
              <w:top w:val="nil"/>
              <w:left w:val="nil"/>
              <w:bottom w:val="single" w:sz="4" w:space="0" w:color="auto"/>
              <w:right w:val="nil"/>
            </w:tcBorders>
            <w:shd w:val="clear" w:color="auto" w:fill="auto"/>
            <w:vAlign w:val="bottom"/>
            <w:hideMark/>
          </w:tcPr>
          <w:p w:rsidR="00785D75" w:rsidRPr="00B206AF" w:rsidRDefault="00785D75" w:rsidP="00E1715A">
            <w:pPr>
              <w:rPr>
                <w:rFonts w:ascii="Calibri" w:hAnsi="Calibri" w:cs="Calibri"/>
                <w:color w:val="000000"/>
                <w:lang w:val="en-US" w:eastAsia="fr-FR"/>
              </w:rPr>
            </w:pPr>
            <w:r w:rsidRPr="00B206AF">
              <w:rPr>
                <w:rFonts w:ascii="Calibri" w:hAnsi="Calibri" w:cs="Calibri"/>
                <w:color w:val="000000"/>
                <w:lang w:val="en-US" w:eastAsia="fr-FR"/>
              </w:rPr>
              <w:t>Perf</w:t>
            </w:r>
            <w:r>
              <w:rPr>
                <w:rFonts w:ascii="Calibri" w:hAnsi="Calibri" w:cs="Calibri"/>
                <w:color w:val="000000"/>
                <w:lang w:val="en-US" w:eastAsia="fr-FR"/>
              </w:rPr>
              <w:t>ormance</w:t>
            </w:r>
            <w:r w:rsidRPr="00B206AF">
              <w:rPr>
                <w:rFonts w:ascii="Calibri" w:hAnsi="Calibri" w:cs="Calibri"/>
                <w:color w:val="000000"/>
                <w:lang w:val="en-US" w:eastAsia="fr-FR"/>
              </w:rPr>
              <w:t xml:space="preserve"> </w:t>
            </w:r>
            <w:proofErr w:type="gramStart"/>
            <w:r w:rsidRPr="00B206AF">
              <w:rPr>
                <w:rFonts w:ascii="Calibri" w:hAnsi="Calibri" w:cs="Calibri"/>
                <w:color w:val="000000"/>
                <w:lang w:val="en-US" w:eastAsia="fr-FR"/>
              </w:rPr>
              <w:t xml:space="preserve">Fees  </w:t>
            </w:r>
            <w:proofErr w:type="gramEnd"/>
            <w:r w:rsidRPr="00B206AF">
              <w:rPr>
                <w:rFonts w:ascii="Calibri" w:hAnsi="Calibri" w:cs="Calibri"/>
                <w:color w:val="000000"/>
                <w:lang w:val="en-US" w:eastAsia="fr-FR"/>
              </w:rPr>
              <w:br/>
              <w:t>(or carried int.)</w:t>
            </w:r>
          </w:p>
        </w:tc>
        <w:tc>
          <w:tcPr>
            <w:tcW w:w="4961" w:type="dxa"/>
            <w:tcBorders>
              <w:top w:val="nil"/>
              <w:left w:val="nil"/>
              <w:bottom w:val="single" w:sz="4" w:space="0" w:color="auto"/>
              <w:right w:val="single" w:sz="4" w:space="0" w:color="000000"/>
            </w:tcBorders>
            <w:shd w:val="clear" w:color="auto" w:fill="auto"/>
            <w:noWrap/>
            <w:vAlign w:val="center"/>
            <w:hideMark/>
          </w:tcPr>
          <w:p w:rsidR="00785D75" w:rsidRPr="00B206AF" w:rsidRDefault="00785D75" w:rsidP="00E1715A">
            <w:pPr>
              <w:rPr>
                <w:rFonts w:ascii="Calibri" w:hAnsi="Calibri" w:cs="Calibri"/>
                <w:color w:val="000000"/>
                <w:lang w:eastAsia="fr-FR"/>
              </w:rPr>
            </w:pPr>
            <w:r>
              <w:rPr>
                <w:rFonts w:ascii="Calibri" w:hAnsi="Calibri" w:cs="Calibri"/>
                <w:color w:val="000000"/>
                <w:lang w:eastAsia="fr-FR"/>
              </w:rPr>
              <w:t xml:space="preserve">x%  plus </w:t>
            </w:r>
            <w:r w:rsidRPr="00B206AF">
              <w:rPr>
                <w:rFonts w:ascii="Calibri" w:hAnsi="Calibri" w:cs="Calibri"/>
                <w:color w:val="000000"/>
                <w:lang w:eastAsia="fr-FR"/>
              </w:rPr>
              <w:t>Description of the formula</w:t>
            </w:r>
            <w:r>
              <w:rPr>
                <w:rFonts w:ascii="Calibri" w:hAnsi="Calibri" w:cs="Calibri"/>
                <w:color w:val="000000"/>
                <w:lang w:eastAsia="fr-FR"/>
              </w:rPr>
              <w:t xml:space="preserve"> </w:t>
            </w:r>
          </w:p>
        </w:tc>
      </w:tr>
    </w:tbl>
    <w:p w:rsidR="00785D75" w:rsidRPr="008A5CB6" w:rsidRDefault="00785D75" w:rsidP="00785D75">
      <w:pPr>
        <w:rPr>
          <w:rFonts w:cs="Arial"/>
          <w:i/>
          <w:color w:val="FF0000"/>
          <w:lang w:val="en-US"/>
        </w:rPr>
      </w:pPr>
    </w:p>
    <w:p w:rsidR="00785D75" w:rsidRDefault="00785D75" w:rsidP="00785D75">
      <w:pPr>
        <w:rPr>
          <w:rFonts w:cs="Arial"/>
          <w:i/>
          <w:color w:val="FF0000"/>
          <w:lang w:val="en-US"/>
        </w:rPr>
      </w:pPr>
    </w:p>
    <w:p w:rsidR="00785D75" w:rsidRDefault="00785D75" w:rsidP="00785D75">
      <w:pPr>
        <w:rPr>
          <w:rFonts w:cs="Arial"/>
          <w:i/>
          <w:color w:val="FF0000"/>
          <w:lang w:val="en-US"/>
        </w:rPr>
      </w:pPr>
    </w:p>
    <w:p w:rsidR="0031139F" w:rsidRPr="00785D75" w:rsidRDefault="0031139F" w:rsidP="0031139F">
      <w:pPr>
        <w:rPr>
          <w:rFonts w:cs="Arial"/>
          <w:color w:val="FF0000"/>
          <w:lang w:val="en-US"/>
        </w:rPr>
      </w:pPr>
    </w:p>
    <w:permEnd w:id="700651812"/>
    <w:p w:rsidR="003E573C" w:rsidRDefault="003E573C" w:rsidP="003E573C">
      <w:pPr>
        <w:rPr>
          <w:rFonts w:cs="Arial"/>
        </w:rPr>
      </w:pPr>
      <w:r>
        <w:rPr>
          <w:rFonts w:cs="Arial"/>
        </w:rPr>
        <w:t>&lt;ESA_QUESTION_PKID_40&gt;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rsidR="003E573C" w:rsidRDefault="003E573C" w:rsidP="003E573C">
      <w:pPr>
        <w:rPr>
          <w:rFonts w:cs="Arial"/>
        </w:rPr>
      </w:pPr>
      <w:r>
        <w:rPr>
          <w:rFonts w:cs="Arial"/>
        </w:rPr>
        <w:t>&lt;ESA_QUESTION_PKID_41&gt;</w:t>
      </w:r>
    </w:p>
    <w:p w:rsidR="00F9110E" w:rsidRPr="00F9110E" w:rsidRDefault="00696386" w:rsidP="00F9110E">
      <w:pPr>
        <w:rPr>
          <w:rFonts w:cs="Arial"/>
          <w:lang w:val="en-US"/>
        </w:rPr>
      </w:pPr>
      <w:permStart w:id="843860073" w:edGrp="everyone"/>
      <w:r>
        <w:rPr>
          <w:rFonts w:cs="Arial"/>
          <w:lang w:val="en-US"/>
        </w:rPr>
        <w:t>No, we do no</w:t>
      </w:r>
      <w:r w:rsidR="00F9110E" w:rsidRPr="00F9110E">
        <w:rPr>
          <w:rFonts w:cs="Arial"/>
          <w:lang w:val="en-US"/>
        </w:rPr>
        <w:t>t think that adding the R</w:t>
      </w:r>
      <w:r w:rsidR="00F9110E">
        <w:rPr>
          <w:rFonts w:cs="Arial"/>
          <w:lang w:val="en-US"/>
        </w:rPr>
        <w:t>eturns (before &amp; after costs) would</w:t>
      </w:r>
      <w:r w:rsidR="00F9110E" w:rsidRPr="00F9110E">
        <w:rPr>
          <w:rFonts w:cs="Arial"/>
          <w:lang w:val="en-US"/>
        </w:rPr>
        <w:t xml:space="preserve"> </w:t>
      </w:r>
      <w:r>
        <w:rPr>
          <w:rFonts w:cs="Arial"/>
          <w:lang w:val="en-US"/>
        </w:rPr>
        <w:t xml:space="preserve">be </w:t>
      </w:r>
      <w:r w:rsidR="00F9110E" w:rsidRPr="00F9110E">
        <w:rPr>
          <w:rFonts w:cs="Arial"/>
          <w:lang w:val="en-US"/>
        </w:rPr>
        <w:t xml:space="preserve">an improvement </w:t>
      </w:r>
      <w:r w:rsidR="00F9110E">
        <w:rPr>
          <w:rFonts w:cs="Arial"/>
          <w:lang w:val="en-US"/>
        </w:rPr>
        <w:t>for reasons explained in Q39. In addition to these reasons, let us mention that</w:t>
      </w:r>
      <w:r w:rsidR="00F9110E" w:rsidRPr="00F9110E">
        <w:rPr>
          <w:rFonts w:cs="Arial"/>
          <w:lang w:val="en-US"/>
        </w:rPr>
        <w:t xml:space="preserve"> gross performance would be difficult to obtain and would not necessarily </w:t>
      </w:r>
      <w:r w:rsidR="00F9110E">
        <w:rPr>
          <w:rFonts w:cs="Arial"/>
          <w:lang w:val="en-US"/>
        </w:rPr>
        <w:t xml:space="preserve">be </w:t>
      </w:r>
      <w:r w:rsidR="00F9110E" w:rsidRPr="00F9110E">
        <w:rPr>
          <w:rFonts w:cs="Arial"/>
          <w:lang w:val="en-US"/>
        </w:rPr>
        <w:t>equal to [net performance + RIY]</w:t>
      </w:r>
      <w:r w:rsidR="00F9110E">
        <w:rPr>
          <w:rFonts w:cs="Arial"/>
          <w:lang w:val="en-US"/>
        </w:rPr>
        <w:t>.</w:t>
      </w:r>
    </w:p>
    <w:p w:rsidR="0031139F" w:rsidRPr="00F9110E" w:rsidRDefault="0031139F" w:rsidP="0031139F">
      <w:pPr>
        <w:rPr>
          <w:rFonts w:cs="Arial"/>
          <w:i/>
          <w:color w:val="FF0000"/>
          <w:lang w:val="en-US"/>
        </w:rPr>
      </w:pPr>
    </w:p>
    <w:permEnd w:id="843860073"/>
    <w:p w:rsidR="003E573C" w:rsidRDefault="003E573C" w:rsidP="003E573C">
      <w:pPr>
        <w:rPr>
          <w:rFonts w:cs="Arial"/>
        </w:rPr>
      </w:pPr>
      <w:r>
        <w:rPr>
          <w:rFonts w:cs="Arial"/>
        </w:rPr>
        <w:t>&lt;ESA_QUESTION_PKID_41&gt;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other comments on the proposed changes to the cost tables?</w:t>
      </w:r>
    </w:p>
    <w:p w:rsidR="003E573C" w:rsidRDefault="003E573C" w:rsidP="003E573C">
      <w:pPr>
        <w:rPr>
          <w:rFonts w:cs="Arial"/>
        </w:rPr>
      </w:pPr>
      <w:r>
        <w:rPr>
          <w:rFonts w:cs="Arial"/>
        </w:rPr>
        <w:t>&lt;ESA_QUESTION_PKID_42&gt;</w:t>
      </w:r>
    </w:p>
    <w:p w:rsidR="00244EFF" w:rsidRPr="00244EFF" w:rsidRDefault="00244EFF" w:rsidP="00244EFF">
      <w:pPr>
        <w:rPr>
          <w:rFonts w:cs="Arial"/>
          <w:lang w:val="en-US"/>
        </w:rPr>
      </w:pPr>
      <w:permStart w:id="1247827478" w:edGrp="everyone"/>
      <w:r w:rsidRPr="00244EFF">
        <w:rPr>
          <w:rFonts w:cs="Arial"/>
          <w:lang w:val="en-US"/>
        </w:rPr>
        <w:t xml:space="preserve">Yes, </w:t>
      </w:r>
      <w:r>
        <w:rPr>
          <w:rFonts w:cs="Arial"/>
          <w:lang w:val="en-US"/>
        </w:rPr>
        <w:t>we would stress on the fact that</w:t>
      </w:r>
      <w:r w:rsidRPr="00244EFF">
        <w:rPr>
          <w:rFonts w:cs="Arial"/>
          <w:lang w:val="en-US"/>
        </w:rPr>
        <w:t xml:space="preserve"> the total costs disclosed in table 1 should only be the costs attached to the </w:t>
      </w:r>
      <w:r>
        <w:rPr>
          <w:rFonts w:cs="Arial"/>
          <w:lang w:val="en-US"/>
        </w:rPr>
        <w:t xml:space="preserve">management of the </w:t>
      </w:r>
      <w:r w:rsidRPr="00244EFF">
        <w:rPr>
          <w:rFonts w:cs="Arial"/>
          <w:lang w:val="en-US"/>
        </w:rPr>
        <w:t>product</w:t>
      </w:r>
      <w:proofErr w:type="gramStart"/>
      <w:r w:rsidRPr="00244EFF">
        <w:rPr>
          <w:rFonts w:cs="Arial"/>
          <w:lang w:val="en-US"/>
        </w:rPr>
        <w:t>;</w:t>
      </w:r>
      <w:proofErr w:type="gramEnd"/>
    </w:p>
    <w:p w:rsidR="00244EFF" w:rsidRDefault="00244EFF" w:rsidP="00232E8D">
      <w:pPr>
        <w:pStyle w:val="ListParagraph"/>
        <w:numPr>
          <w:ilvl w:val="0"/>
          <w:numId w:val="40"/>
        </w:numPr>
        <w:rPr>
          <w:rFonts w:cs="Arial"/>
          <w:lang w:val="en-US"/>
        </w:rPr>
      </w:pPr>
      <w:r w:rsidRPr="00244EFF">
        <w:rPr>
          <w:rFonts w:cs="Arial"/>
          <w:lang w:val="en-US"/>
        </w:rPr>
        <w:t xml:space="preserve">Any other additional fees such as </w:t>
      </w:r>
      <w:r w:rsidRPr="00244EFF">
        <w:rPr>
          <w:rFonts w:cs="Arial"/>
          <w:b/>
          <w:lang w:val="en-US"/>
        </w:rPr>
        <w:t>entry fees charged by the distributor</w:t>
      </w:r>
      <w:r w:rsidRPr="00244EFF">
        <w:rPr>
          <w:rFonts w:cs="Arial"/>
          <w:lang w:val="en-US"/>
        </w:rPr>
        <w:t xml:space="preserve"> / advisor should not be includ</w:t>
      </w:r>
      <w:r>
        <w:rPr>
          <w:rFonts w:cs="Arial"/>
          <w:lang w:val="en-US"/>
        </w:rPr>
        <w:t xml:space="preserve">ed in table 1. </w:t>
      </w:r>
      <w:proofErr w:type="gramStart"/>
      <w:r>
        <w:rPr>
          <w:rFonts w:cs="Arial"/>
          <w:lang w:val="en-US"/>
        </w:rPr>
        <w:t>Nonetheless</w:t>
      </w:r>
      <w:proofErr w:type="gramEnd"/>
      <w:r>
        <w:rPr>
          <w:rFonts w:cs="Arial"/>
          <w:lang w:val="en-US"/>
        </w:rPr>
        <w:t xml:space="preserve"> they sh</w:t>
      </w:r>
      <w:r w:rsidRPr="00244EFF">
        <w:rPr>
          <w:rFonts w:cs="Arial"/>
          <w:lang w:val="en-US"/>
        </w:rPr>
        <w:t>ould still be described in tab</w:t>
      </w:r>
      <w:r>
        <w:rPr>
          <w:rFonts w:cs="Arial"/>
          <w:lang w:val="en-US"/>
        </w:rPr>
        <w:t xml:space="preserve">le </w:t>
      </w:r>
      <w:r w:rsidRPr="00244EFF">
        <w:rPr>
          <w:rFonts w:cs="Arial"/>
          <w:lang w:val="en-US"/>
        </w:rPr>
        <w:t xml:space="preserve">2 </w:t>
      </w:r>
      <w:r>
        <w:rPr>
          <w:rFonts w:cs="Arial"/>
          <w:lang w:val="en-US"/>
        </w:rPr>
        <w:t>as an indicative data</w:t>
      </w:r>
      <w:r w:rsidR="00696386">
        <w:rPr>
          <w:rFonts w:cs="Arial"/>
          <w:lang w:val="en-US"/>
        </w:rPr>
        <w:t xml:space="preserve"> both for clients and for distributors</w:t>
      </w:r>
      <w:r>
        <w:rPr>
          <w:rFonts w:cs="Arial"/>
          <w:lang w:val="en-US"/>
        </w:rPr>
        <w:t>, the exact amount being</w:t>
      </w:r>
      <w:r w:rsidRPr="00244EFF">
        <w:rPr>
          <w:rFonts w:cs="Arial"/>
          <w:lang w:val="en-US"/>
        </w:rPr>
        <w:t xml:space="preserve"> provided directly by the distributor/Advisor</w:t>
      </w:r>
      <w:r>
        <w:rPr>
          <w:rFonts w:cs="Arial"/>
          <w:lang w:val="en-US"/>
        </w:rPr>
        <w:t>.</w:t>
      </w:r>
    </w:p>
    <w:p w:rsidR="00244EFF" w:rsidRPr="00244EFF" w:rsidRDefault="00244EFF" w:rsidP="00232E8D">
      <w:pPr>
        <w:pStyle w:val="ListParagraph"/>
        <w:numPr>
          <w:ilvl w:val="0"/>
          <w:numId w:val="40"/>
        </w:numPr>
        <w:rPr>
          <w:rFonts w:cs="Arial"/>
          <w:lang w:val="en-US"/>
        </w:rPr>
      </w:pPr>
      <w:r w:rsidRPr="00244EFF">
        <w:rPr>
          <w:rFonts w:cs="Arial"/>
          <w:lang w:val="en-US"/>
        </w:rPr>
        <w:t xml:space="preserve">For </w:t>
      </w:r>
      <w:r w:rsidRPr="00244EFF">
        <w:rPr>
          <w:rFonts w:cs="Arial"/>
          <w:b/>
          <w:lang w:val="en-US"/>
        </w:rPr>
        <w:t>Products with target maturity</w:t>
      </w:r>
      <w:r w:rsidRPr="00244EFF">
        <w:rPr>
          <w:rFonts w:cs="Arial"/>
          <w:lang w:val="en-US"/>
        </w:rPr>
        <w:t xml:space="preserve"> (Structured funds, Buy</w:t>
      </w:r>
      <w:r w:rsidR="00F35874">
        <w:rPr>
          <w:rFonts w:cs="Arial"/>
          <w:lang w:val="en-US"/>
        </w:rPr>
        <w:t xml:space="preserve"> </w:t>
      </w:r>
      <w:r w:rsidRPr="00244EFF">
        <w:rPr>
          <w:rFonts w:cs="Arial"/>
          <w:lang w:val="en-US"/>
        </w:rPr>
        <w:t>&amp;</w:t>
      </w:r>
      <w:r w:rsidR="00F35874">
        <w:rPr>
          <w:rFonts w:cs="Arial"/>
          <w:lang w:val="en-US"/>
        </w:rPr>
        <w:t xml:space="preserve"> </w:t>
      </w:r>
      <w:r w:rsidRPr="00244EFF">
        <w:rPr>
          <w:rFonts w:cs="Arial"/>
          <w:lang w:val="en-US"/>
        </w:rPr>
        <w:t xml:space="preserve">Hold, Private Equity), we recommend to disclose the cost over time only at the RHP. </w:t>
      </w:r>
    </w:p>
    <w:permEnd w:id="1247827478"/>
    <w:p w:rsidR="003E573C" w:rsidRDefault="003E573C" w:rsidP="003E573C">
      <w:pPr>
        <w:rPr>
          <w:rFonts w:cs="Arial"/>
        </w:rPr>
      </w:pPr>
      <w:r>
        <w:rPr>
          <w:rFonts w:cs="Arial"/>
        </w:rPr>
        <w:t>&lt;ESA_QUESTION_PKID_42&gt;</w:t>
      </w:r>
    </w:p>
    <w:p w:rsidR="003E573C" w:rsidRDefault="003E573C" w:rsidP="003E573C">
      <w:pPr>
        <w:rPr>
          <w:rFonts w:cs="Arial"/>
        </w:rPr>
      </w:pPr>
    </w:p>
    <w:p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rsidR="003E573C" w:rsidRDefault="003E573C" w:rsidP="003E573C">
      <w:pPr>
        <w:rPr>
          <w:rFonts w:cs="Arial"/>
        </w:rPr>
      </w:pPr>
      <w:r>
        <w:rPr>
          <w:rFonts w:cs="Arial"/>
        </w:rPr>
        <w:t>&lt;ESA_QUESTION_PKID_43&gt;</w:t>
      </w:r>
    </w:p>
    <w:p w:rsidR="00654B62" w:rsidRPr="00654B62" w:rsidRDefault="00291E87" w:rsidP="00291E87">
      <w:pPr>
        <w:jc w:val="both"/>
        <w:rPr>
          <w:rFonts w:ascii="Calibri" w:hAnsi="Calibri"/>
          <w:iCs/>
          <w:color w:val="1F497D"/>
          <w:szCs w:val="22"/>
          <w:lang w:eastAsia="zh-CN"/>
        </w:rPr>
      </w:pPr>
      <w:permStart w:id="1051202325" w:edGrp="everyone"/>
      <w:r w:rsidRPr="00F35874">
        <w:rPr>
          <w:iCs/>
        </w:rPr>
        <w:t>The</w:t>
      </w:r>
      <w:r w:rsidR="00654B62" w:rsidRPr="00F35874">
        <w:rPr>
          <w:iCs/>
        </w:rPr>
        <w:t xml:space="preserve"> </w:t>
      </w:r>
      <w:r w:rsidR="00654B62" w:rsidRPr="00654B62">
        <w:rPr>
          <w:iCs/>
        </w:rPr>
        <w:t xml:space="preserve">way this question </w:t>
      </w:r>
      <w:proofErr w:type="gramStart"/>
      <w:r w:rsidR="00654B62" w:rsidRPr="00654B62">
        <w:rPr>
          <w:iCs/>
        </w:rPr>
        <w:t>is raised</w:t>
      </w:r>
      <w:proofErr w:type="gramEnd"/>
      <w:r w:rsidR="00654B62" w:rsidRPr="00654B62">
        <w:rPr>
          <w:iCs/>
        </w:rPr>
        <w:t xml:space="preserve"> is quite surprising. As</w:t>
      </w:r>
      <w:r>
        <w:rPr>
          <w:iCs/>
        </w:rPr>
        <w:t xml:space="preserve"> </w:t>
      </w:r>
      <w:r w:rsidR="00654B62" w:rsidRPr="00654B62">
        <w:rPr>
          <w:iCs/>
        </w:rPr>
        <w:t>mentioned in our reply</w:t>
      </w:r>
      <w:r>
        <w:rPr>
          <w:iCs/>
        </w:rPr>
        <w:t>’s introduction</w:t>
      </w:r>
      <w:r w:rsidR="00F35874">
        <w:rPr>
          <w:iCs/>
        </w:rPr>
        <w:t xml:space="preserve"> to this consultation, </w:t>
      </w:r>
      <w:r w:rsidR="00654B62" w:rsidRPr="00654B62">
        <w:rPr>
          <w:iCs/>
        </w:rPr>
        <w:t xml:space="preserve">the inclusion of implicit transaction costs is a nonsense for all reasons </w:t>
      </w:r>
      <w:r w:rsidRPr="00F35874">
        <w:rPr>
          <w:iCs/>
        </w:rPr>
        <w:t>we already mentioned</w:t>
      </w:r>
      <w:r>
        <w:rPr>
          <w:iCs/>
        </w:rPr>
        <w:t>.</w:t>
      </w:r>
      <w:r w:rsidR="00654B62" w:rsidRPr="00654B62">
        <w:rPr>
          <w:iCs/>
        </w:rPr>
        <w:t xml:space="preserve"> This </w:t>
      </w:r>
      <w:proofErr w:type="gramStart"/>
      <w:r w:rsidR="00654B62" w:rsidRPr="00654B62">
        <w:rPr>
          <w:iCs/>
        </w:rPr>
        <w:t>being said</w:t>
      </w:r>
      <w:proofErr w:type="gramEnd"/>
      <w:r w:rsidR="00654B62" w:rsidRPr="00654B62">
        <w:rPr>
          <w:iCs/>
        </w:rPr>
        <w:t>, in case regulators would maintain the inclusion of implicit costs</w:t>
      </w:r>
      <w:r w:rsidR="00435519">
        <w:rPr>
          <w:iCs/>
        </w:rPr>
        <w:t>,</w:t>
      </w:r>
      <w:r w:rsidR="00654B62" w:rsidRPr="00654B62">
        <w:rPr>
          <w:iCs/>
        </w:rPr>
        <w:t xml:space="preserve"> then the option 2 would be less detrimental than option 1. Option 1 would be very problematic for several </w:t>
      </w:r>
      <w:proofErr w:type="gramStart"/>
      <w:r w:rsidR="00654B62" w:rsidRPr="00654B62">
        <w:rPr>
          <w:iCs/>
        </w:rPr>
        <w:t>reasons :</w:t>
      </w:r>
      <w:proofErr w:type="gramEnd"/>
      <w:r w:rsidR="00654B62" w:rsidRPr="00654B62">
        <w:rPr>
          <w:iCs/>
        </w:rPr>
        <w:t xml:space="preserve"> the deletion of negative slippages when calculating the average would aggravate the disclosure, and the cost of data for arrival prices would be completely disproportionate as well as absurd when considering the dubious information provided. In case option 1 would be selected</w:t>
      </w:r>
      <w:r w:rsidR="00435519">
        <w:rPr>
          <w:iCs/>
        </w:rPr>
        <w:t>,</w:t>
      </w:r>
      <w:r w:rsidR="00654B62" w:rsidRPr="00654B62">
        <w:rPr>
          <w:iCs/>
        </w:rPr>
        <w:t xml:space="preserve"> then it is </w:t>
      </w:r>
      <w:proofErr w:type="gramStart"/>
      <w:r w:rsidR="00654B62" w:rsidRPr="00654B62">
        <w:rPr>
          <w:iCs/>
        </w:rPr>
        <w:t>absolutely necessary</w:t>
      </w:r>
      <w:proofErr w:type="gramEnd"/>
      <w:r w:rsidR="00654B62" w:rsidRPr="00654B62">
        <w:rPr>
          <w:iCs/>
        </w:rPr>
        <w:t xml:space="preserve"> to withdraw any inclusion of implicit costs for trades placed at the market closing price (for equities mainly)</w:t>
      </w:r>
      <w:r w:rsidR="00435519">
        <w:rPr>
          <w:iCs/>
        </w:rPr>
        <w:t xml:space="preserve"> since auctions </w:t>
      </w:r>
      <w:r w:rsidR="00AE48CE">
        <w:rPr>
          <w:iCs/>
        </w:rPr>
        <w:t xml:space="preserve">do </w:t>
      </w:r>
      <w:r w:rsidR="00435519">
        <w:rPr>
          <w:iCs/>
        </w:rPr>
        <w:t>no</w:t>
      </w:r>
      <w:r w:rsidR="00AE48CE">
        <w:rPr>
          <w:iCs/>
        </w:rPr>
        <w:t>t include any</w:t>
      </w:r>
      <w:r w:rsidR="00435519">
        <w:rPr>
          <w:iCs/>
        </w:rPr>
        <w:t xml:space="preserve"> bid-ask spread</w:t>
      </w:r>
      <w:r w:rsidR="00654B62" w:rsidRPr="00654B62">
        <w:rPr>
          <w:iCs/>
        </w:rPr>
        <w:t>.</w:t>
      </w:r>
    </w:p>
    <w:p w:rsidR="00020FE7" w:rsidRPr="00654B62" w:rsidRDefault="00654B62" w:rsidP="00291E87">
      <w:pPr>
        <w:ind w:firstLine="12"/>
        <w:jc w:val="both"/>
        <w:rPr>
          <w:iCs/>
        </w:rPr>
      </w:pPr>
      <w:r w:rsidRPr="00654B62">
        <w:rPr>
          <w:iCs/>
        </w:rPr>
        <w:t>As of thresholds, they are very low and would be useless and inefficient. In any case, the impact of subscriptions and redemptions have to be withdrawn from the turnover since the mana</w:t>
      </w:r>
      <w:r>
        <w:rPr>
          <w:iCs/>
        </w:rPr>
        <w:t>ger has no levy to reduce them.</w:t>
      </w:r>
    </w:p>
    <w:permEnd w:id="1051202325"/>
    <w:p w:rsidR="003E573C" w:rsidRDefault="003E573C" w:rsidP="003E573C">
      <w:pPr>
        <w:rPr>
          <w:rFonts w:cs="Arial"/>
        </w:rPr>
      </w:pPr>
      <w:r>
        <w:rPr>
          <w:rFonts w:cs="Arial"/>
        </w:rPr>
        <w:t>&lt;ESA_QUESTION_PKID_43&gt;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rsidR="003E573C" w:rsidRDefault="003E573C" w:rsidP="003E573C">
      <w:pPr>
        <w:rPr>
          <w:rFonts w:cs="Arial"/>
        </w:rPr>
      </w:pPr>
      <w:r>
        <w:rPr>
          <w:rFonts w:cs="Arial"/>
        </w:rPr>
        <w:t>&lt;ESA_QUESTION_PKID_44&gt;</w:t>
      </w:r>
    </w:p>
    <w:p w:rsidR="003E573C" w:rsidRDefault="00A61BEB" w:rsidP="003E573C">
      <w:pPr>
        <w:rPr>
          <w:rFonts w:cs="Arial"/>
        </w:rPr>
      </w:pPr>
      <w:permStart w:id="142567607" w:edGrp="everyone"/>
      <w:r>
        <w:rPr>
          <w:rFonts w:cs="Arial"/>
        </w:rPr>
        <w:t>The solution of having a single document i.e. a PRIIPs KID would be preferable but an adaptation would be necessary for MMFs</w:t>
      </w:r>
      <w:r w:rsidR="00F0454E">
        <w:rPr>
          <w:rFonts w:cs="Arial"/>
        </w:rPr>
        <w:t xml:space="preserve">, in particular </w:t>
      </w:r>
      <w:proofErr w:type="gramStart"/>
      <w:r w:rsidR="00F0454E">
        <w:rPr>
          <w:rFonts w:cs="Arial"/>
        </w:rPr>
        <w:t>with regards to</w:t>
      </w:r>
      <w:proofErr w:type="gramEnd"/>
      <w:r w:rsidR="00F0454E">
        <w:rPr>
          <w:rFonts w:cs="Arial"/>
        </w:rPr>
        <w:t xml:space="preserve"> performance scenarios which would not be relevant at all for these funds</w:t>
      </w:r>
      <w:r>
        <w:rPr>
          <w:rFonts w:cs="Arial"/>
        </w:rPr>
        <w:t>.</w:t>
      </w:r>
    </w:p>
    <w:permEnd w:id="142567607"/>
    <w:p w:rsidR="003E573C" w:rsidRDefault="003E573C" w:rsidP="003E573C">
      <w:pPr>
        <w:rPr>
          <w:rFonts w:cs="Arial"/>
        </w:rPr>
      </w:pPr>
      <w:r>
        <w:rPr>
          <w:rFonts w:cs="Arial"/>
        </w:rPr>
        <w:t>&lt;ESA_QUESTION_PKID_44&gt;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rsidR="003E573C" w:rsidRDefault="003E573C" w:rsidP="003E573C">
      <w:pPr>
        <w:rPr>
          <w:rFonts w:cs="Arial"/>
        </w:rPr>
      </w:pPr>
      <w:r>
        <w:rPr>
          <w:rFonts w:cs="Arial"/>
        </w:rPr>
        <w:t>&lt;ESA_QUESTION_PKID_45&gt;</w:t>
      </w:r>
    </w:p>
    <w:p w:rsidR="003E573C" w:rsidRPr="00AE48CE" w:rsidRDefault="00AE48CE" w:rsidP="003E573C">
      <w:pPr>
        <w:rPr>
          <w:rFonts w:cs="Arial"/>
          <w:lang w:val="en-US"/>
        </w:rPr>
      </w:pPr>
      <w:permStart w:id="1446454930" w:edGrp="everyone"/>
      <w:r w:rsidRPr="00AE48CE">
        <w:rPr>
          <w:rFonts w:cs="Arial"/>
          <w:lang w:val="en-US"/>
        </w:rPr>
        <w:t xml:space="preserve">There are specific changes in funds that oblige </w:t>
      </w:r>
      <w:r>
        <w:rPr>
          <w:rFonts w:cs="Arial"/>
          <w:lang w:val="en-US"/>
        </w:rPr>
        <w:t>Management C</w:t>
      </w:r>
      <w:r w:rsidRPr="00AE48CE">
        <w:rPr>
          <w:rFonts w:cs="Arial"/>
          <w:lang w:val="en-US"/>
        </w:rPr>
        <w:t xml:space="preserve">ompanies or distributors to sell a letter to </w:t>
      </w:r>
      <w:proofErr w:type="gramStart"/>
      <w:r w:rsidRPr="00AE48CE">
        <w:rPr>
          <w:rFonts w:cs="Arial"/>
          <w:lang w:val="en-US"/>
        </w:rPr>
        <w:t>units</w:t>
      </w:r>
      <w:proofErr w:type="gramEnd"/>
      <w:r w:rsidRPr="00AE48CE">
        <w:rPr>
          <w:rFonts w:cs="Arial"/>
          <w:lang w:val="en-US"/>
        </w:rPr>
        <w:t xml:space="preserve"> holders. This should also prevail in the case of regular savings plan.</w:t>
      </w:r>
    </w:p>
    <w:permEnd w:id="1446454930"/>
    <w:p w:rsidR="003E573C" w:rsidRDefault="003E573C" w:rsidP="003E573C">
      <w:pPr>
        <w:rPr>
          <w:rFonts w:cs="Arial"/>
        </w:rPr>
      </w:pPr>
      <w:r>
        <w:rPr>
          <w:rFonts w:cs="Arial"/>
        </w:rPr>
        <w:t>&lt;ESA_QUESTION_PKID_45&gt;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rsidR="003E573C" w:rsidRDefault="003E573C" w:rsidP="003E573C">
      <w:pPr>
        <w:rPr>
          <w:rFonts w:cs="Arial"/>
        </w:rPr>
      </w:pPr>
      <w:r>
        <w:rPr>
          <w:rFonts w:cs="Arial"/>
        </w:rPr>
        <w:t>&lt;ESA_QUESTION_PKID_46&gt;</w:t>
      </w:r>
    </w:p>
    <w:p w:rsidR="003E573C" w:rsidRPr="00AE48CE" w:rsidRDefault="00AE48CE" w:rsidP="003E573C">
      <w:pPr>
        <w:rPr>
          <w:rFonts w:cs="Arial"/>
          <w:lang w:val="en-US"/>
        </w:rPr>
      </w:pPr>
      <w:permStart w:id="1683898584" w:edGrp="everyone"/>
      <w:r w:rsidRPr="00AE48CE">
        <w:rPr>
          <w:rFonts w:cs="Arial"/>
          <w:lang w:val="en-US"/>
        </w:rPr>
        <w:t xml:space="preserve">It seems that this </w:t>
      </w:r>
      <w:proofErr w:type="gramStart"/>
      <w:r w:rsidRPr="00AE48CE">
        <w:rPr>
          <w:rFonts w:cs="Arial"/>
          <w:lang w:val="en-US"/>
        </w:rPr>
        <w:t xml:space="preserve">article </w:t>
      </w:r>
      <w:r>
        <w:rPr>
          <w:rFonts w:cs="Arial"/>
          <w:lang w:val="en-US"/>
        </w:rPr>
        <w:t>which</w:t>
      </w:r>
      <w:r w:rsidRPr="00AE48CE">
        <w:rPr>
          <w:rFonts w:cs="Arial"/>
          <w:lang w:val="en-US"/>
        </w:rPr>
        <w:t xml:space="preserve"> refers</w:t>
      </w:r>
      <w:r>
        <w:rPr>
          <w:rFonts w:cs="Arial"/>
          <w:lang w:val="en-US"/>
        </w:rPr>
        <w:t xml:space="preserve"> to share classes</w:t>
      </w:r>
      <w:proofErr w:type="gramEnd"/>
      <w:r>
        <w:rPr>
          <w:rFonts w:cs="Arial"/>
          <w:lang w:val="en-US"/>
        </w:rPr>
        <w:t xml:space="preserve"> only applies to UCITS and AIFs.</w:t>
      </w:r>
    </w:p>
    <w:permEnd w:id="1683898584"/>
    <w:p w:rsidR="003E573C" w:rsidRDefault="003E573C" w:rsidP="003E573C">
      <w:pPr>
        <w:rPr>
          <w:rFonts w:cs="Arial"/>
        </w:rPr>
      </w:pPr>
      <w:r>
        <w:rPr>
          <w:rFonts w:cs="Arial"/>
        </w:rPr>
        <w:t>&lt;ESA_QUESTION_PKID_46&gt;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rsidR="003E573C" w:rsidRDefault="003E573C" w:rsidP="003E573C">
      <w:pPr>
        <w:rPr>
          <w:rFonts w:cs="Arial"/>
        </w:rPr>
      </w:pPr>
      <w:r>
        <w:rPr>
          <w:rFonts w:cs="Arial"/>
        </w:rPr>
        <w:t>&lt;ESA_QUESTION_PKID_47&gt;</w:t>
      </w:r>
    </w:p>
    <w:p w:rsidR="003E573C" w:rsidRDefault="003A1732" w:rsidP="00623D5A">
      <w:pPr>
        <w:jc w:val="both"/>
        <w:rPr>
          <w:rFonts w:cs="Arial"/>
        </w:rPr>
      </w:pPr>
      <w:permStart w:id="1994015684" w:edGrp="everyone"/>
      <w:r>
        <w:rPr>
          <w:rFonts w:cs="Arial"/>
        </w:rPr>
        <w:t xml:space="preserve">The provision of ESMA’s Q&amp;A 5 </w:t>
      </w:r>
      <w:r w:rsidR="00FD36C2">
        <w:rPr>
          <w:rFonts w:cs="Arial"/>
        </w:rPr>
        <w:t xml:space="preserve">referring to clear language </w:t>
      </w:r>
      <w:r>
        <w:rPr>
          <w:rFonts w:cs="Arial"/>
        </w:rPr>
        <w:t>could be extended</w:t>
      </w:r>
      <w:r w:rsidR="00FD36C2">
        <w:rPr>
          <w:rFonts w:cs="Arial"/>
        </w:rPr>
        <w:t xml:space="preserve">, </w:t>
      </w:r>
      <w:proofErr w:type="gramStart"/>
      <w:r w:rsidR="00FD36C2">
        <w:rPr>
          <w:rFonts w:cs="Arial"/>
        </w:rPr>
        <w:t>all the more</w:t>
      </w:r>
      <w:proofErr w:type="gramEnd"/>
      <w:r w:rsidR="00FD36C2">
        <w:rPr>
          <w:rFonts w:cs="Arial"/>
        </w:rPr>
        <w:t xml:space="preserve"> for what can make the KID shorter</w:t>
      </w:r>
      <w:r>
        <w:rPr>
          <w:rFonts w:cs="Arial"/>
        </w:rPr>
        <w:t>. Conversely, the requirement in Q&amp;A 7 is a consequence of provisions in UCITS V regulation</w:t>
      </w:r>
      <w:r w:rsidR="00FD36C2">
        <w:rPr>
          <w:rFonts w:cs="Arial"/>
        </w:rPr>
        <w:t xml:space="preserve"> that address staff remuneration policy</w:t>
      </w:r>
      <w:r>
        <w:rPr>
          <w:rFonts w:cs="Arial"/>
        </w:rPr>
        <w:t xml:space="preserve">. It could be complex to extend such requirement to other types of </w:t>
      </w:r>
      <w:proofErr w:type="gramStart"/>
      <w:r>
        <w:rPr>
          <w:rFonts w:cs="Arial"/>
        </w:rPr>
        <w:t>products which are not submitted</w:t>
      </w:r>
      <w:proofErr w:type="gramEnd"/>
      <w:r>
        <w:rPr>
          <w:rFonts w:cs="Arial"/>
        </w:rPr>
        <w:t xml:space="preserve"> to similar provisions, with the risk of delaying the PRIIPs’ review.</w:t>
      </w:r>
      <w:r w:rsidR="00FE7383">
        <w:rPr>
          <w:rFonts w:cs="Arial"/>
        </w:rPr>
        <w:t xml:space="preserve"> </w:t>
      </w:r>
      <w:r w:rsidR="00FD36C2">
        <w:rPr>
          <w:rFonts w:cs="Arial"/>
        </w:rPr>
        <w:t xml:space="preserve">Restricting this requirement to UCITS and AIF Management Companies would introduce unlevelled playing field. We are of the opinion that this information is </w:t>
      </w:r>
      <w:r w:rsidR="00FC4F6A">
        <w:rPr>
          <w:rFonts w:cs="Arial"/>
        </w:rPr>
        <w:t xml:space="preserve">unnecessary and that space </w:t>
      </w:r>
      <w:proofErr w:type="gramStart"/>
      <w:r w:rsidR="00FC4F6A">
        <w:rPr>
          <w:rFonts w:cs="Arial"/>
        </w:rPr>
        <w:t>should not be wasted</w:t>
      </w:r>
      <w:proofErr w:type="gramEnd"/>
      <w:r w:rsidR="00FC4F6A">
        <w:rPr>
          <w:rFonts w:cs="Arial"/>
        </w:rPr>
        <w:t xml:space="preserve"> in the KID for it.</w:t>
      </w:r>
    </w:p>
    <w:permEnd w:id="1994015684"/>
    <w:p w:rsidR="003E573C" w:rsidRDefault="003E573C" w:rsidP="003E573C">
      <w:pPr>
        <w:rPr>
          <w:rFonts w:cs="Arial"/>
        </w:rPr>
      </w:pPr>
      <w:r>
        <w:rPr>
          <w:rFonts w:cs="Arial"/>
        </w:rPr>
        <w:t>&lt;ESA_QUESTION_PKID_47&gt;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rsidR="003E573C" w:rsidRDefault="003E573C" w:rsidP="003E573C">
      <w:pPr>
        <w:rPr>
          <w:rFonts w:cs="Arial"/>
        </w:rPr>
      </w:pPr>
      <w:r>
        <w:rPr>
          <w:rFonts w:cs="Arial"/>
        </w:rPr>
        <w:t>&lt;ESA_QUESTION_PKID_48&gt;</w:t>
      </w:r>
    </w:p>
    <w:p w:rsidR="00FC4F6A" w:rsidRPr="00FC4F6A" w:rsidRDefault="00FC4F6A" w:rsidP="00FC4F6A">
      <w:pPr>
        <w:rPr>
          <w:rFonts w:cs="Arial"/>
        </w:rPr>
      </w:pPr>
      <w:permStart w:id="540105244" w:edGrp="everyone"/>
      <w:r w:rsidRPr="00FC4F6A">
        <w:rPr>
          <w:rFonts w:cs="Arial"/>
        </w:rPr>
        <w:t>These requirements could be extended to other types of PRIIPs, only where relevant and not systematically.</w:t>
      </w:r>
    </w:p>
    <w:permEnd w:id="540105244"/>
    <w:p w:rsidR="003E573C" w:rsidRDefault="003E573C" w:rsidP="003E573C">
      <w:pPr>
        <w:rPr>
          <w:rFonts w:cs="Arial"/>
        </w:rPr>
      </w:pPr>
      <w:r>
        <w:rPr>
          <w:rFonts w:cs="Arial"/>
        </w:rPr>
        <w:t>&lt;ESA_QUESTION_PKID_48&gt;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rsidR="003E573C" w:rsidRDefault="003E573C" w:rsidP="003E573C">
      <w:pPr>
        <w:rPr>
          <w:rFonts w:cs="Arial"/>
        </w:rPr>
      </w:pPr>
      <w:r>
        <w:rPr>
          <w:rFonts w:cs="Arial"/>
        </w:rPr>
        <w:t>&lt;ESA_QUESTION_PKID_49&gt;</w:t>
      </w:r>
    </w:p>
    <w:p w:rsidR="003E573C" w:rsidRDefault="001768C4" w:rsidP="003E573C">
      <w:pPr>
        <w:rPr>
          <w:rFonts w:cs="Arial"/>
        </w:rPr>
      </w:pPr>
      <w:permStart w:id="1835283615" w:edGrp="everyone"/>
      <w:r>
        <w:rPr>
          <w:rFonts w:cs="Arial"/>
        </w:rPr>
        <w:t xml:space="preserve">It is important to keep the KID as short as possible. When considering UCITS requirements, ESAs should only import in PRIIPs </w:t>
      </w:r>
      <w:proofErr w:type="gramStart"/>
      <w:r>
        <w:rPr>
          <w:rFonts w:cs="Arial"/>
        </w:rPr>
        <w:t>those which</w:t>
      </w:r>
      <w:proofErr w:type="gramEnd"/>
      <w:r>
        <w:rPr>
          <w:rFonts w:cs="Arial"/>
        </w:rPr>
        <w:t xml:space="preserve"> are clearly complementary.  </w:t>
      </w:r>
    </w:p>
    <w:permEnd w:id="1835283615"/>
    <w:p w:rsidR="003E573C" w:rsidRDefault="003E573C" w:rsidP="003E573C">
      <w:pPr>
        <w:rPr>
          <w:rFonts w:cs="Arial"/>
        </w:rPr>
      </w:pPr>
      <w:r>
        <w:rPr>
          <w:rFonts w:cs="Arial"/>
        </w:rPr>
        <w:t>&lt;ESA_QUESTION_PKID_49&gt;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&lt;ESA_QUESTION_PKID_50&gt;</w:t>
      </w:r>
    </w:p>
    <w:p w:rsidR="003E573C" w:rsidRDefault="00623D5A" w:rsidP="003E573C">
      <w:pPr>
        <w:rPr>
          <w:rFonts w:cs="Arial"/>
        </w:rPr>
      </w:pPr>
      <w:permStart w:id="1334736358" w:edGrp="everyone"/>
      <w:r w:rsidRPr="00623D5A">
        <w:rPr>
          <w:rFonts w:cs="Arial"/>
          <w:lang w:val="es-ES"/>
        </w:rPr>
        <w:t>N/A.</w:t>
      </w:r>
      <w:permEnd w:id="1334736358"/>
      <w:r w:rsidR="003E573C">
        <w:rPr>
          <w:rFonts w:cs="Arial"/>
        </w:rPr>
        <w:t>&lt;ESA_QUESTION_PKID_50&gt;</w:t>
      </w:r>
    </w:p>
    <w:p w:rsidR="003E573C" w:rsidRDefault="003E573C" w:rsidP="003E573C">
      <w:pPr>
        <w:rPr>
          <w:rFonts w:cs="Arial"/>
        </w:rPr>
      </w:pPr>
    </w:p>
    <w:p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rsidR="003E573C" w:rsidRDefault="003E573C" w:rsidP="003E573C">
      <w:pPr>
        <w:rPr>
          <w:rFonts w:cs="Arial"/>
        </w:rPr>
      </w:pPr>
      <w:r>
        <w:rPr>
          <w:rFonts w:cs="Arial"/>
        </w:rPr>
        <w:t>&lt;ESA_QUESTION_PKID_51&gt;</w:t>
      </w:r>
    </w:p>
    <w:p w:rsidR="003E573C" w:rsidRPr="00EC75CC" w:rsidRDefault="00623D5A" w:rsidP="003E573C">
      <w:pPr>
        <w:rPr>
          <w:rFonts w:cs="Arial"/>
          <w:lang w:val="es-ES"/>
        </w:rPr>
      </w:pPr>
      <w:permStart w:id="1489121915" w:edGrp="everyone"/>
      <w:r w:rsidRPr="00EC75CC">
        <w:rPr>
          <w:rFonts w:cs="Arial"/>
          <w:lang w:val="es-ES"/>
        </w:rPr>
        <w:t>N/A</w:t>
      </w:r>
    </w:p>
    <w:permEnd w:id="1489121915"/>
    <w:p w:rsidR="003E573C" w:rsidRDefault="003E573C" w:rsidP="003E573C">
      <w:pPr>
        <w:rPr>
          <w:rFonts w:cs="Arial"/>
        </w:rPr>
      </w:pPr>
      <w:r>
        <w:rPr>
          <w:rFonts w:cs="Arial"/>
        </w:rPr>
        <w:t>&lt;ESA_QUESTION_PKID_51&gt;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rsidR="003E573C" w:rsidRDefault="003E573C" w:rsidP="003E573C">
      <w:pPr>
        <w:rPr>
          <w:rFonts w:cs="Arial"/>
        </w:rPr>
      </w:pPr>
      <w:r>
        <w:rPr>
          <w:rFonts w:cs="Arial"/>
        </w:rPr>
        <w:t>&lt;ESA_QUESTION_PKID_52&gt;</w:t>
      </w:r>
    </w:p>
    <w:p w:rsidR="009A1108" w:rsidRPr="00EC75CC" w:rsidRDefault="00623D5A" w:rsidP="009A1108">
      <w:pPr>
        <w:rPr>
          <w:rFonts w:cs="Arial"/>
          <w:lang w:val="es-ES"/>
        </w:rPr>
      </w:pPr>
      <w:permStart w:id="1154765687" w:edGrp="everyone"/>
      <w:r w:rsidRPr="00EC75CC">
        <w:rPr>
          <w:rFonts w:cs="Arial"/>
          <w:lang w:val="es-ES"/>
        </w:rPr>
        <w:t>N/A</w:t>
      </w:r>
    </w:p>
    <w:permEnd w:id="1154765687"/>
    <w:p w:rsidR="003E573C" w:rsidRDefault="003E573C" w:rsidP="003E573C">
      <w:pPr>
        <w:rPr>
          <w:rFonts w:cs="Arial"/>
        </w:rPr>
      </w:pPr>
      <w:r>
        <w:rPr>
          <w:rFonts w:cs="Arial"/>
        </w:rPr>
        <w:t>&lt;ESA_QUESTION_PKID_52&gt;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&lt;ESA_QUESTION_PKID_53&gt;</w:t>
      </w:r>
    </w:p>
    <w:p w:rsidR="003E573C" w:rsidRPr="00EC75CC" w:rsidRDefault="00623D5A" w:rsidP="003E573C">
      <w:pPr>
        <w:rPr>
          <w:rFonts w:cs="Arial"/>
          <w:lang w:val="es-ES"/>
        </w:rPr>
      </w:pPr>
      <w:permStart w:id="1014508394" w:edGrp="everyone"/>
      <w:r w:rsidRPr="00EC75CC">
        <w:rPr>
          <w:rFonts w:cs="Arial"/>
          <w:lang w:val="es-ES"/>
        </w:rPr>
        <w:t>N/A</w:t>
      </w:r>
    </w:p>
    <w:permEnd w:id="1014508394"/>
    <w:p w:rsidR="003E573C" w:rsidRDefault="003E573C" w:rsidP="003E573C">
      <w:pPr>
        <w:rPr>
          <w:rFonts w:cs="Arial"/>
        </w:rPr>
      </w:pPr>
      <w:r>
        <w:rPr>
          <w:rFonts w:cs="Arial"/>
        </w:rPr>
        <w:t>&lt;ESA_QUESTION_PKID_53&gt;</w:t>
      </w:r>
    </w:p>
    <w:p w:rsidR="003E573C" w:rsidRDefault="003E573C" w:rsidP="003E573C">
      <w:pPr>
        <w:rPr>
          <w:rFonts w:cs="Arial"/>
        </w:rPr>
      </w:pPr>
    </w:p>
    <w:p w:rsidR="003E573C" w:rsidRDefault="003E573C" w:rsidP="003E573C">
      <w:pPr>
        <w:pStyle w:val="Questionstyle"/>
        <w:numPr>
          <w:ilvl w:val="0"/>
          <w:numId w:val="39"/>
        </w:numPr>
      </w:pPr>
      <w:r>
        <w:t>: Are there other approaches or revisions to the requirements for MOPs that should be considered?</w:t>
      </w:r>
    </w:p>
    <w:p w:rsidR="003E573C" w:rsidRDefault="003E573C" w:rsidP="003E573C">
      <w:pPr>
        <w:rPr>
          <w:rFonts w:cs="Arial"/>
        </w:rPr>
      </w:pPr>
      <w:r>
        <w:rPr>
          <w:rFonts w:cs="Arial"/>
        </w:rPr>
        <w:t>&lt;ESA_QUESTION_PKID_54&gt;</w:t>
      </w:r>
    </w:p>
    <w:p w:rsidR="003E573C" w:rsidRPr="00623D5A" w:rsidRDefault="009325E9" w:rsidP="003E573C">
      <w:pPr>
        <w:rPr>
          <w:rFonts w:cs="Arial"/>
          <w:strike/>
          <w:lang w:val="en-US"/>
        </w:rPr>
      </w:pPr>
      <w:permStart w:id="1100945527" w:edGrp="everyone"/>
      <w:r w:rsidRPr="009325E9">
        <w:rPr>
          <w:rFonts w:cs="Arial"/>
          <w:lang w:val="en-US"/>
        </w:rPr>
        <w:t>It would probably be more efficient to disclose the cost</w:t>
      </w:r>
      <w:r>
        <w:rPr>
          <w:rFonts w:cs="Arial"/>
          <w:lang w:val="en-US"/>
        </w:rPr>
        <w:t>s</w:t>
      </w:r>
      <w:r w:rsidRPr="009325E9">
        <w:rPr>
          <w:rFonts w:cs="Arial"/>
          <w:lang w:val="en-US"/>
        </w:rPr>
        <w:t xml:space="preserve"> of the con</w:t>
      </w:r>
      <w:r>
        <w:rPr>
          <w:rFonts w:cs="Arial"/>
          <w:lang w:val="en-US"/>
        </w:rPr>
        <w:t xml:space="preserve">tract in the generic KID and to refer, in this generic KID, to funds’ KID where information on their own costs </w:t>
      </w:r>
      <w:proofErr w:type="gramStart"/>
      <w:r>
        <w:rPr>
          <w:rFonts w:cs="Arial"/>
          <w:lang w:val="en-US"/>
        </w:rPr>
        <w:t>is provided</w:t>
      </w:r>
      <w:proofErr w:type="gramEnd"/>
      <w:r w:rsidR="00F35874">
        <w:rPr>
          <w:rFonts w:cs="Arial"/>
          <w:lang w:val="en-US"/>
        </w:rPr>
        <w:t xml:space="preserve"> so that investors may add these costs to those of the contract.</w:t>
      </w:r>
    </w:p>
    <w:permEnd w:id="1100945527"/>
    <w:p w:rsidR="003E573C" w:rsidRDefault="003E573C" w:rsidP="003E573C">
      <w:pPr>
        <w:rPr>
          <w:rFonts w:cs="Arial"/>
        </w:rPr>
      </w:pPr>
      <w:r>
        <w:rPr>
          <w:rFonts w:cs="Arial"/>
        </w:rPr>
        <w:t>&lt;ESA_QUESTION_PKID_54&gt;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rsidR="003E573C" w:rsidRDefault="003E573C" w:rsidP="003E573C">
      <w:pPr>
        <w:rPr>
          <w:rFonts w:cs="Arial"/>
        </w:rPr>
      </w:pPr>
      <w:r>
        <w:rPr>
          <w:rFonts w:cs="Arial"/>
        </w:rPr>
        <w:t>&lt;ESA_QUESTION_PKID_55&gt;</w:t>
      </w:r>
    </w:p>
    <w:p w:rsidR="003E573C" w:rsidRPr="00F35874" w:rsidRDefault="00623D5A" w:rsidP="003E573C">
      <w:pPr>
        <w:rPr>
          <w:rFonts w:cs="Arial"/>
          <w:lang w:val="es-ES"/>
        </w:rPr>
      </w:pPr>
      <w:permStart w:id="2000760987" w:edGrp="everyone"/>
      <w:r w:rsidRPr="00F35874">
        <w:rPr>
          <w:rFonts w:cs="Arial"/>
          <w:lang w:val="es-ES"/>
        </w:rPr>
        <w:t>N/A</w:t>
      </w:r>
    </w:p>
    <w:permEnd w:id="2000760987"/>
    <w:p w:rsidR="003E573C" w:rsidRDefault="003E573C" w:rsidP="003E573C">
      <w:pPr>
        <w:rPr>
          <w:rFonts w:cs="Arial"/>
        </w:rPr>
      </w:pPr>
      <w:r>
        <w:rPr>
          <w:rFonts w:cs="Arial"/>
        </w:rPr>
        <w:t>&lt;ESA_QUESTION_PKID_55&gt;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rsidR="003E573C" w:rsidRDefault="003E573C" w:rsidP="003E573C">
      <w:pPr>
        <w:rPr>
          <w:rFonts w:cs="Arial"/>
        </w:rPr>
      </w:pPr>
      <w:r>
        <w:rPr>
          <w:rFonts w:cs="Arial"/>
        </w:rPr>
        <w:t>&lt;ESA_QUESTION_PKID_56&gt;</w:t>
      </w:r>
    </w:p>
    <w:p w:rsidR="003E573C" w:rsidRPr="00F35874" w:rsidRDefault="00623D5A" w:rsidP="003E573C">
      <w:pPr>
        <w:rPr>
          <w:rFonts w:cs="Arial"/>
          <w:lang w:val="es-ES"/>
        </w:rPr>
      </w:pPr>
      <w:permStart w:id="289882723" w:edGrp="everyone"/>
      <w:r w:rsidRPr="00F35874">
        <w:rPr>
          <w:rFonts w:cs="Arial"/>
          <w:lang w:val="es-ES"/>
        </w:rPr>
        <w:t>N/A</w:t>
      </w:r>
    </w:p>
    <w:permEnd w:id="289882723"/>
    <w:p w:rsidR="003E573C" w:rsidRDefault="003E573C" w:rsidP="003E573C">
      <w:pPr>
        <w:rPr>
          <w:rFonts w:cs="Arial"/>
        </w:rPr>
      </w:pPr>
      <w:r>
        <w:rPr>
          <w:rFonts w:cs="Arial"/>
        </w:rPr>
        <w:t>&lt;ESA_QUESTION_PKID_56&gt;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rsidR="003E573C" w:rsidRDefault="003E573C" w:rsidP="003E573C">
      <w:pPr>
        <w:rPr>
          <w:rFonts w:cs="Arial"/>
        </w:rPr>
      </w:pPr>
      <w:r>
        <w:rPr>
          <w:rFonts w:cs="Arial"/>
        </w:rPr>
        <w:t>&lt;ESA_QUESTION_PKID_57&gt;</w:t>
      </w:r>
    </w:p>
    <w:p w:rsidR="003E573C" w:rsidRPr="00F35874" w:rsidRDefault="00623D5A" w:rsidP="003E573C">
      <w:pPr>
        <w:rPr>
          <w:rFonts w:cs="Arial"/>
          <w:lang w:val="es-ES"/>
        </w:rPr>
      </w:pPr>
      <w:permStart w:id="728765094" w:edGrp="everyone"/>
      <w:r w:rsidRPr="00F35874">
        <w:rPr>
          <w:rFonts w:cs="Arial"/>
          <w:lang w:val="es-ES"/>
        </w:rPr>
        <w:t>N/A</w:t>
      </w:r>
    </w:p>
    <w:permEnd w:id="728765094"/>
    <w:p w:rsidR="003E573C" w:rsidRDefault="003E573C" w:rsidP="003E573C">
      <w:pPr>
        <w:rPr>
          <w:rFonts w:cs="Arial"/>
        </w:rPr>
      </w:pPr>
      <w:r>
        <w:rPr>
          <w:rFonts w:cs="Arial"/>
        </w:rPr>
        <w:t>&lt;ESA_QUESTION_PKID_57&gt;</w:t>
      </w:r>
    </w:p>
    <w:p w:rsidR="003E573C" w:rsidRDefault="003E573C" w:rsidP="003E573C">
      <w:pPr>
        <w:rPr>
          <w:rFonts w:cs="Arial"/>
        </w:rPr>
      </w:pPr>
    </w:p>
    <w:p w:rsidR="003E573C" w:rsidRDefault="003E573C" w:rsidP="003E573C">
      <w:pPr>
        <w:rPr>
          <w:rFonts w:cs="Arial"/>
        </w:rPr>
      </w:pPr>
    </w:p>
    <w:p w:rsidR="003E573C" w:rsidRPr="007B52B2" w:rsidRDefault="003E573C" w:rsidP="003E573C">
      <w:pPr>
        <w:rPr>
          <w:rFonts w:cs="Arial"/>
        </w:rPr>
      </w:pPr>
    </w:p>
    <w:p w:rsidR="00820CBA" w:rsidRPr="00820CBA" w:rsidRDefault="00820CBA" w:rsidP="003E573C">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AF" w:rsidRDefault="00E31CAF">
      <w:r>
        <w:separator/>
      </w:r>
    </w:p>
    <w:p w:rsidR="00E31CAF" w:rsidRDefault="00E31CAF"/>
  </w:endnote>
  <w:endnote w:type="continuationSeparator" w:id="0">
    <w:p w:rsidR="00E31CAF" w:rsidRDefault="00E31CAF">
      <w:r>
        <w:continuationSeparator/>
      </w:r>
    </w:p>
    <w:p w:rsidR="00E31CAF" w:rsidRDefault="00E31CAF"/>
  </w:endnote>
  <w:endnote w:type="continuationNotice" w:id="1">
    <w:p w:rsidR="00E31CAF" w:rsidRDefault="00E3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35874" w:rsidRPr="00616B9B" w:rsidTr="00315E96">
      <w:trPr>
        <w:trHeight w:val="284"/>
      </w:trPr>
      <w:tc>
        <w:tcPr>
          <w:tcW w:w="8460" w:type="dxa"/>
        </w:tcPr>
        <w:p w:rsidR="00F35874" w:rsidRPr="00315E96" w:rsidRDefault="00F35874" w:rsidP="00315E96">
          <w:pPr>
            <w:pStyle w:val="00Footer"/>
            <w:rPr>
              <w:lang w:val="fr-FR"/>
            </w:rPr>
          </w:pPr>
        </w:p>
      </w:tc>
      <w:tc>
        <w:tcPr>
          <w:tcW w:w="952" w:type="dxa"/>
        </w:tcPr>
        <w:p w:rsidR="00F35874" w:rsidRPr="00616B9B" w:rsidRDefault="00F3587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24246">
            <w:rPr>
              <w:rFonts w:cs="Arial"/>
              <w:noProof/>
              <w:sz w:val="22"/>
              <w:szCs w:val="22"/>
            </w:rPr>
            <w:t>16</w:t>
          </w:r>
          <w:r w:rsidRPr="00616B9B">
            <w:rPr>
              <w:rFonts w:cs="Arial"/>
              <w:noProof/>
              <w:sz w:val="22"/>
              <w:szCs w:val="22"/>
            </w:rPr>
            <w:fldChar w:fldCharType="end"/>
          </w:r>
        </w:p>
      </w:tc>
    </w:tr>
  </w:tbl>
  <w:p w:rsidR="00F35874" w:rsidRDefault="00F3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874" w:rsidRDefault="00F3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AF" w:rsidRDefault="00E31CAF">
      <w:r>
        <w:separator/>
      </w:r>
    </w:p>
    <w:p w:rsidR="00E31CAF" w:rsidRDefault="00E31CAF"/>
  </w:footnote>
  <w:footnote w:type="continuationSeparator" w:id="0">
    <w:p w:rsidR="00E31CAF" w:rsidRDefault="00E31CAF">
      <w:r>
        <w:continuationSeparator/>
      </w:r>
    </w:p>
    <w:p w:rsidR="00E31CAF" w:rsidRDefault="00E31CAF"/>
  </w:footnote>
  <w:footnote w:type="continuationNotice" w:id="1">
    <w:p w:rsidR="00E31CAF" w:rsidRDefault="00E31CAF"/>
  </w:footnote>
  <w:footnote w:id="2">
    <w:p w:rsidR="00F35874" w:rsidRPr="009E1A8D" w:rsidRDefault="00F3587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rsidR="00F35874" w:rsidRDefault="00F3587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rsidR="00F35874" w:rsidRDefault="00F3587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rsidR="00F35874" w:rsidRPr="00437BF1" w:rsidRDefault="00F35874">
      <w:pPr>
        <w:pStyle w:val="FootnoteText"/>
      </w:pPr>
      <w:r w:rsidRPr="008C4F0D">
        <w:rPr>
          <w:rStyle w:val="FootnoteReference"/>
        </w:rPr>
        <w:footnoteRef/>
      </w:r>
      <w:r w:rsidRPr="008C4F0D">
        <w:t xml:space="preserve"> Regulation N° 1286/2014 of the European Parliament and of the Council of 26 November 2014 on key information documents for packaged retail and insurance-based investment products (PRIIPs)</w:t>
      </w:r>
    </w:p>
  </w:footnote>
  <w:footnote w:id="6">
    <w:p w:rsidR="00F35874" w:rsidRPr="00653F3B" w:rsidRDefault="00F35874"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874" w:rsidRDefault="00F35874">
    <w:pPr>
      <w:pStyle w:val="Header"/>
    </w:pPr>
    <w:r>
      <w:rPr>
        <w:noProof/>
        <w:lang w:val="en-US" w:eastAsia="zh-CN"/>
      </w:rPr>
      <w:drawing>
        <wp:inline distT="0" distB="0" distL="0" distR="0" wp14:anchorId="7A489E16" wp14:editId="4EE59EC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en-US" w:eastAsia="zh-CN"/>
      </w:rPr>
      <mc:AlternateContent>
        <mc:Choice Requires="wps">
          <w:drawing>
            <wp:anchor distT="0" distB="0" distL="114295" distR="114295" simplePos="0" relativeHeight="251656192" behindDoc="0" locked="0" layoutInCell="1" allowOverlap="1" wp14:anchorId="5A097B54" wp14:editId="38CD3E73">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181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874" w:rsidRDefault="00F35874" w:rsidP="00013CCE">
    <w:pPr>
      <w:pStyle w:val="Header"/>
      <w:jc w:val="right"/>
    </w:pPr>
    <w:r>
      <w:rPr>
        <w:noProof/>
        <w:lang w:val="en-US" w:eastAsia="zh-CN"/>
      </w:rPr>
      <w:drawing>
        <wp:inline distT="0" distB="0" distL="0" distR="0" wp14:anchorId="34E1A210" wp14:editId="4F1302F3">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en-US" w:eastAsia="zh-CN"/>
      </w:rPr>
      <w:drawing>
        <wp:anchor distT="0" distB="0" distL="114300" distR="114300" simplePos="0" relativeHeight="251655168" behindDoc="1" locked="0" layoutInCell="1" allowOverlap="1" wp14:anchorId="2764F487" wp14:editId="6705A71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874" w:rsidRDefault="00F3587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35874" w:rsidRPr="002F4496" w:rsidTr="000C06C9">
      <w:trPr>
        <w:trHeight w:val="284"/>
      </w:trPr>
      <w:tc>
        <w:tcPr>
          <w:tcW w:w="8460" w:type="dxa"/>
        </w:tcPr>
        <w:p w:rsidR="00F35874" w:rsidRPr="000C3B6D" w:rsidRDefault="00F35874" w:rsidP="000C06C9">
          <w:pPr>
            <w:pStyle w:val="00Footer"/>
            <w:rPr>
              <w:lang w:val="fr-FR"/>
            </w:rPr>
          </w:pPr>
        </w:p>
      </w:tc>
      <w:tc>
        <w:tcPr>
          <w:tcW w:w="952" w:type="dxa"/>
        </w:tcPr>
        <w:p w:rsidR="00F35874" w:rsidRPr="00146B34" w:rsidRDefault="00F35874" w:rsidP="000C06C9">
          <w:pPr>
            <w:pStyle w:val="00aPagenumber"/>
            <w:rPr>
              <w:lang w:val="fr-FR"/>
            </w:rPr>
          </w:pPr>
        </w:p>
      </w:tc>
    </w:tr>
  </w:tbl>
  <w:p w:rsidR="00F35874" w:rsidRPr="00DB46C3" w:rsidRDefault="00F35874">
    <w:pPr>
      <w:rPr>
        <w:lang w:val="fr-FR"/>
      </w:rPr>
    </w:pPr>
  </w:p>
  <w:p w:rsidR="00F35874" w:rsidRPr="002F4496" w:rsidRDefault="00F35874">
    <w:pPr>
      <w:pStyle w:val="Header"/>
      <w:rPr>
        <w:lang w:val="fr-FR"/>
      </w:rPr>
    </w:pPr>
  </w:p>
  <w:p w:rsidR="00F35874" w:rsidRPr="002F4496" w:rsidRDefault="00F35874" w:rsidP="000C06C9">
    <w:pPr>
      <w:pStyle w:val="Header"/>
      <w:tabs>
        <w:tab w:val="clear" w:pos="4536"/>
        <w:tab w:val="clear" w:pos="9072"/>
        <w:tab w:val="left" w:pos="8227"/>
      </w:tabs>
      <w:rPr>
        <w:lang w:val="fr-FR"/>
      </w:rPr>
    </w:pPr>
  </w:p>
  <w:p w:rsidR="00F35874" w:rsidRPr="002F4496" w:rsidRDefault="00F35874" w:rsidP="000C06C9">
    <w:pPr>
      <w:pStyle w:val="Header"/>
      <w:tabs>
        <w:tab w:val="clear" w:pos="4536"/>
        <w:tab w:val="clear" w:pos="9072"/>
        <w:tab w:val="left" w:pos="8227"/>
      </w:tabs>
      <w:rPr>
        <w:lang w:val="fr-FR"/>
      </w:rPr>
    </w:pPr>
  </w:p>
  <w:p w:rsidR="00F35874" w:rsidRPr="002F4496" w:rsidRDefault="00F35874">
    <w:pPr>
      <w:pStyle w:val="Header"/>
      <w:rPr>
        <w:lang w:val="fr-FR"/>
      </w:rPr>
    </w:pPr>
  </w:p>
  <w:p w:rsidR="00F35874" w:rsidRPr="002F4496" w:rsidRDefault="00F35874">
    <w:pPr>
      <w:pStyle w:val="Header"/>
      <w:rPr>
        <w:lang w:val="fr-FR"/>
      </w:rPr>
    </w:pPr>
  </w:p>
  <w:p w:rsidR="00F35874" w:rsidRPr="002F4496" w:rsidRDefault="00F35874">
    <w:pPr>
      <w:pStyle w:val="Header"/>
      <w:rPr>
        <w:lang w:val="fr-FR"/>
      </w:rPr>
    </w:pPr>
  </w:p>
  <w:p w:rsidR="00F35874" w:rsidRPr="002F4496" w:rsidRDefault="00F35874">
    <w:pPr>
      <w:pStyle w:val="Header"/>
      <w:rPr>
        <w:lang w:val="fr-FR"/>
      </w:rPr>
    </w:pPr>
  </w:p>
  <w:p w:rsidR="00F35874" w:rsidRPr="002F4496" w:rsidRDefault="00F35874">
    <w:pPr>
      <w:pStyle w:val="Header"/>
      <w:rPr>
        <w:highlight w:val="yellow"/>
        <w:lang w:val="fr-FR"/>
      </w:rPr>
    </w:pPr>
  </w:p>
  <w:p w:rsidR="00F35874" w:rsidRDefault="00F35874">
    <w:pPr>
      <w:pStyle w:val="Header"/>
    </w:pPr>
    <w:r>
      <w:rPr>
        <w:noProof/>
        <w:lang w:val="en-US" w:eastAsia="zh-CN"/>
      </w:rPr>
      <mc:AlternateContent>
        <mc:Choice Requires="wps">
          <w:drawing>
            <wp:anchor distT="0" distB="0" distL="114299" distR="114299" simplePos="0" relativeHeight="251660288" behindDoc="0" locked="0" layoutInCell="1" allowOverlap="1" wp14:anchorId="5EE9466C" wp14:editId="363F883C">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D55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CN"/>
      </w:rPr>
      <w:drawing>
        <wp:inline distT="0" distB="0" distL="0" distR="0" wp14:anchorId="3E5A27F6" wp14:editId="23BBCAC1">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460AB"/>
    <w:multiLevelType w:val="hybridMultilevel"/>
    <w:tmpl w:val="7206BA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1B32643"/>
    <w:multiLevelType w:val="hybridMultilevel"/>
    <w:tmpl w:val="5ACCC6AC"/>
    <w:lvl w:ilvl="0" w:tplc="5AFA7D32">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163732"/>
    <w:multiLevelType w:val="hybridMultilevel"/>
    <w:tmpl w:val="EC1C8B0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62192B"/>
    <w:multiLevelType w:val="hybridMultilevel"/>
    <w:tmpl w:val="C4DE34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9"/>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9"/>
  </w:num>
  <w:num w:numId="16">
    <w:abstractNumId w:val="1"/>
  </w:num>
  <w:num w:numId="17">
    <w:abstractNumId w:val="15"/>
  </w:num>
  <w:num w:numId="18">
    <w:abstractNumId w:val="16"/>
  </w:num>
  <w:num w:numId="19">
    <w:abstractNumId w:val="18"/>
  </w:num>
  <w:num w:numId="20">
    <w:abstractNumId w:val="30"/>
  </w:num>
  <w:num w:numId="21">
    <w:abstractNumId w:val="39"/>
  </w:num>
  <w:num w:numId="22">
    <w:abstractNumId w:val="28"/>
  </w:num>
  <w:num w:numId="23">
    <w:abstractNumId w:val="8"/>
  </w:num>
  <w:num w:numId="24">
    <w:abstractNumId w:val="33"/>
  </w:num>
  <w:num w:numId="25">
    <w:abstractNumId w:val="32"/>
  </w:num>
  <w:num w:numId="26">
    <w:abstractNumId w:val="22"/>
  </w:num>
  <w:num w:numId="27">
    <w:abstractNumId w:val="36"/>
  </w:num>
  <w:num w:numId="28">
    <w:abstractNumId w:val="42"/>
  </w:num>
  <w:num w:numId="29">
    <w:abstractNumId w:val="6"/>
  </w:num>
  <w:num w:numId="30">
    <w:abstractNumId w:val="3"/>
  </w:num>
  <w:num w:numId="31">
    <w:abstractNumId w:val="24"/>
  </w:num>
  <w:num w:numId="32">
    <w:abstractNumId w:val="23"/>
  </w:num>
  <w:num w:numId="33">
    <w:abstractNumId w:val="38"/>
  </w:num>
  <w:num w:numId="34">
    <w:abstractNumId w:val="37"/>
  </w:num>
  <w:num w:numId="35">
    <w:abstractNumId w:val="10"/>
  </w:num>
  <w:num w:numId="36">
    <w:abstractNumId w:val="11"/>
  </w:num>
  <w:num w:numId="37">
    <w:abstractNumId w:val="13"/>
  </w:num>
  <w:num w:numId="38">
    <w:abstractNumId w:val="27"/>
  </w:num>
  <w:num w:numId="39">
    <w:abstractNumId w:val="19"/>
  </w:num>
  <w:num w:numId="40">
    <w:abstractNumId w:val="2"/>
  </w:num>
  <w:num w:numId="41">
    <w:abstractNumId w:val="21"/>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0FE7"/>
    <w:rsid w:val="000215EB"/>
    <w:rsid w:val="00021E83"/>
    <w:rsid w:val="00023713"/>
    <w:rsid w:val="00023C4D"/>
    <w:rsid w:val="00024246"/>
    <w:rsid w:val="00025E71"/>
    <w:rsid w:val="00026035"/>
    <w:rsid w:val="00026269"/>
    <w:rsid w:val="00027154"/>
    <w:rsid w:val="00027ECF"/>
    <w:rsid w:val="000303BE"/>
    <w:rsid w:val="0003119A"/>
    <w:rsid w:val="000321C9"/>
    <w:rsid w:val="000344D6"/>
    <w:rsid w:val="00034960"/>
    <w:rsid w:val="00036FAE"/>
    <w:rsid w:val="00041858"/>
    <w:rsid w:val="000427F9"/>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01E"/>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BC9"/>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2FD3"/>
    <w:rsid w:val="000E3338"/>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461"/>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8C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65A"/>
    <w:rsid w:val="001D3A1F"/>
    <w:rsid w:val="001D3FB6"/>
    <w:rsid w:val="001D4550"/>
    <w:rsid w:val="001D5360"/>
    <w:rsid w:val="001D5498"/>
    <w:rsid w:val="001D5BAF"/>
    <w:rsid w:val="001D6401"/>
    <w:rsid w:val="001D66C9"/>
    <w:rsid w:val="001D722A"/>
    <w:rsid w:val="001E04FC"/>
    <w:rsid w:val="001E407D"/>
    <w:rsid w:val="001E40FB"/>
    <w:rsid w:val="001E4B0C"/>
    <w:rsid w:val="001E66EC"/>
    <w:rsid w:val="001E68C5"/>
    <w:rsid w:val="001F0F63"/>
    <w:rsid w:val="001F3996"/>
    <w:rsid w:val="001F44A4"/>
    <w:rsid w:val="001F579D"/>
    <w:rsid w:val="001F5835"/>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139"/>
    <w:rsid w:val="00223788"/>
    <w:rsid w:val="00223D11"/>
    <w:rsid w:val="002242D3"/>
    <w:rsid w:val="002301E6"/>
    <w:rsid w:val="00232E8D"/>
    <w:rsid w:val="00232F90"/>
    <w:rsid w:val="00233B08"/>
    <w:rsid w:val="00233C3B"/>
    <w:rsid w:val="0023499C"/>
    <w:rsid w:val="00235CE3"/>
    <w:rsid w:val="0023636A"/>
    <w:rsid w:val="00236F34"/>
    <w:rsid w:val="002372F7"/>
    <w:rsid w:val="00240651"/>
    <w:rsid w:val="00240803"/>
    <w:rsid w:val="0024426D"/>
    <w:rsid w:val="00244EFF"/>
    <w:rsid w:val="00244F1D"/>
    <w:rsid w:val="00245004"/>
    <w:rsid w:val="00245FB4"/>
    <w:rsid w:val="00250898"/>
    <w:rsid w:val="00251EA9"/>
    <w:rsid w:val="00252843"/>
    <w:rsid w:val="002543F8"/>
    <w:rsid w:val="002546CB"/>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1E87"/>
    <w:rsid w:val="00293156"/>
    <w:rsid w:val="00293BE7"/>
    <w:rsid w:val="002946DC"/>
    <w:rsid w:val="00296005"/>
    <w:rsid w:val="002A0C82"/>
    <w:rsid w:val="002A0CD8"/>
    <w:rsid w:val="002A13EB"/>
    <w:rsid w:val="002A3061"/>
    <w:rsid w:val="002A35EF"/>
    <w:rsid w:val="002A3DE0"/>
    <w:rsid w:val="002A40EA"/>
    <w:rsid w:val="002A46E8"/>
    <w:rsid w:val="002A491C"/>
    <w:rsid w:val="002A6756"/>
    <w:rsid w:val="002B1FEF"/>
    <w:rsid w:val="002B2DF8"/>
    <w:rsid w:val="002B354F"/>
    <w:rsid w:val="002B3614"/>
    <w:rsid w:val="002B45D1"/>
    <w:rsid w:val="002B4ED8"/>
    <w:rsid w:val="002B4FAA"/>
    <w:rsid w:val="002B52C2"/>
    <w:rsid w:val="002B7623"/>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559"/>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39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132"/>
    <w:rsid w:val="0035455E"/>
    <w:rsid w:val="00354A6F"/>
    <w:rsid w:val="00354B48"/>
    <w:rsid w:val="00355789"/>
    <w:rsid w:val="003557F4"/>
    <w:rsid w:val="00357C60"/>
    <w:rsid w:val="003609B6"/>
    <w:rsid w:val="00361119"/>
    <w:rsid w:val="0036538D"/>
    <w:rsid w:val="00365D12"/>
    <w:rsid w:val="00366591"/>
    <w:rsid w:val="00367F8B"/>
    <w:rsid w:val="0037018D"/>
    <w:rsid w:val="00371DD0"/>
    <w:rsid w:val="00372299"/>
    <w:rsid w:val="00372F02"/>
    <w:rsid w:val="00373729"/>
    <w:rsid w:val="00373C91"/>
    <w:rsid w:val="003748F0"/>
    <w:rsid w:val="003755C6"/>
    <w:rsid w:val="00375AEF"/>
    <w:rsid w:val="00376367"/>
    <w:rsid w:val="00376888"/>
    <w:rsid w:val="00376B02"/>
    <w:rsid w:val="0037733A"/>
    <w:rsid w:val="003776DC"/>
    <w:rsid w:val="003779C1"/>
    <w:rsid w:val="00377CEF"/>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1732"/>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5D11"/>
    <w:rsid w:val="003C6191"/>
    <w:rsid w:val="003C6E49"/>
    <w:rsid w:val="003C74B0"/>
    <w:rsid w:val="003D0CBF"/>
    <w:rsid w:val="003D0DD6"/>
    <w:rsid w:val="003D21EF"/>
    <w:rsid w:val="003D38D8"/>
    <w:rsid w:val="003D4B73"/>
    <w:rsid w:val="003D4C9D"/>
    <w:rsid w:val="003D503B"/>
    <w:rsid w:val="003D605E"/>
    <w:rsid w:val="003D61D1"/>
    <w:rsid w:val="003D6780"/>
    <w:rsid w:val="003D6FCB"/>
    <w:rsid w:val="003E0F84"/>
    <w:rsid w:val="003E1FF3"/>
    <w:rsid w:val="003E3ACA"/>
    <w:rsid w:val="003E50EA"/>
    <w:rsid w:val="003E573C"/>
    <w:rsid w:val="003E643E"/>
    <w:rsid w:val="003E68C7"/>
    <w:rsid w:val="003E79B0"/>
    <w:rsid w:val="003F0403"/>
    <w:rsid w:val="003F1094"/>
    <w:rsid w:val="003F29B4"/>
    <w:rsid w:val="003F2E45"/>
    <w:rsid w:val="003F329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5519"/>
    <w:rsid w:val="00436A79"/>
    <w:rsid w:val="00437929"/>
    <w:rsid w:val="00437A4A"/>
    <w:rsid w:val="00437BF1"/>
    <w:rsid w:val="00440541"/>
    <w:rsid w:val="0044162D"/>
    <w:rsid w:val="0044277A"/>
    <w:rsid w:val="00442FAC"/>
    <w:rsid w:val="004456DC"/>
    <w:rsid w:val="00447FBE"/>
    <w:rsid w:val="0045035E"/>
    <w:rsid w:val="0045175A"/>
    <w:rsid w:val="00451ED9"/>
    <w:rsid w:val="00452180"/>
    <w:rsid w:val="00453072"/>
    <w:rsid w:val="004539F8"/>
    <w:rsid w:val="00453F26"/>
    <w:rsid w:val="0045503F"/>
    <w:rsid w:val="00455273"/>
    <w:rsid w:val="0046069B"/>
    <w:rsid w:val="00460905"/>
    <w:rsid w:val="00461E35"/>
    <w:rsid w:val="004621DB"/>
    <w:rsid w:val="0046247E"/>
    <w:rsid w:val="004634A7"/>
    <w:rsid w:val="00463787"/>
    <w:rsid w:val="00464538"/>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490"/>
    <w:rsid w:val="004B1D0D"/>
    <w:rsid w:val="004B1E61"/>
    <w:rsid w:val="004B21AB"/>
    <w:rsid w:val="004B59E0"/>
    <w:rsid w:val="004B667B"/>
    <w:rsid w:val="004B71C7"/>
    <w:rsid w:val="004B7466"/>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0E0F"/>
    <w:rsid w:val="005012C3"/>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5C1A"/>
    <w:rsid w:val="00530185"/>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77BB5"/>
    <w:rsid w:val="00580B3F"/>
    <w:rsid w:val="005825F2"/>
    <w:rsid w:val="00582AAD"/>
    <w:rsid w:val="005860AF"/>
    <w:rsid w:val="00587F1D"/>
    <w:rsid w:val="00590348"/>
    <w:rsid w:val="00591161"/>
    <w:rsid w:val="005918A2"/>
    <w:rsid w:val="00592318"/>
    <w:rsid w:val="00593133"/>
    <w:rsid w:val="0059575D"/>
    <w:rsid w:val="00596825"/>
    <w:rsid w:val="005A150A"/>
    <w:rsid w:val="005A27CE"/>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87F"/>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676"/>
    <w:rsid w:val="005F7C09"/>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3D5A"/>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4B62"/>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386"/>
    <w:rsid w:val="006966CD"/>
    <w:rsid w:val="00696735"/>
    <w:rsid w:val="006975D4"/>
    <w:rsid w:val="0069780E"/>
    <w:rsid w:val="00697D13"/>
    <w:rsid w:val="006A080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7BE"/>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066"/>
    <w:rsid w:val="0070421B"/>
    <w:rsid w:val="007043F0"/>
    <w:rsid w:val="0070482E"/>
    <w:rsid w:val="00704D25"/>
    <w:rsid w:val="00704EED"/>
    <w:rsid w:val="00705862"/>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67980"/>
    <w:rsid w:val="00770268"/>
    <w:rsid w:val="007706B9"/>
    <w:rsid w:val="007707ED"/>
    <w:rsid w:val="00771C3B"/>
    <w:rsid w:val="007726F9"/>
    <w:rsid w:val="00773B94"/>
    <w:rsid w:val="00773C65"/>
    <w:rsid w:val="00775937"/>
    <w:rsid w:val="00777046"/>
    <w:rsid w:val="007770DA"/>
    <w:rsid w:val="00777A7B"/>
    <w:rsid w:val="007805B9"/>
    <w:rsid w:val="00780C3A"/>
    <w:rsid w:val="007834A1"/>
    <w:rsid w:val="00785D75"/>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2CA"/>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6ABF"/>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3BE2"/>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01E"/>
    <w:rsid w:val="008B7C62"/>
    <w:rsid w:val="008C0320"/>
    <w:rsid w:val="008C14F8"/>
    <w:rsid w:val="008C2A81"/>
    <w:rsid w:val="008C3863"/>
    <w:rsid w:val="008C4BDC"/>
    <w:rsid w:val="008C4F0D"/>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08CA"/>
    <w:rsid w:val="009217B1"/>
    <w:rsid w:val="00921A42"/>
    <w:rsid w:val="009223BB"/>
    <w:rsid w:val="00922491"/>
    <w:rsid w:val="00923BCF"/>
    <w:rsid w:val="009252EC"/>
    <w:rsid w:val="00925AEC"/>
    <w:rsid w:val="0092751A"/>
    <w:rsid w:val="009305C4"/>
    <w:rsid w:val="00931FAF"/>
    <w:rsid w:val="009325E9"/>
    <w:rsid w:val="009360F6"/>
    <w:rsid w:val="009371DC"/>
    <w:rsid w:val="0093759D"/>
    <w:rsid w:val="00940239"/>
    <w:rsid w:val="00942BD6"/>
    <w:rsid w:val="00942DED"/>
    <w:rsid w:val="00944404"/>
    <w:rsid w:val="009452D7"/>
    <w:rsid w:val="0094587F"/>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0AA2"/>
    <w:rsid w:val="00971DA3"/>
    <w:rsid w:val="00972161"/>
    <w:rsid w:val="0097261B"/>
    <w:rsid w:val="00974151"/>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1108"/>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3698"/>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0742B"/>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BEB"/>
    <w:rsid w:val="00A61CFD"/>
    <w:rsid w:val="00A62B86"/>
    <w:rsid w:val="00A63C96"/>
    <w:rsid w:val="00A6412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34B1"/>
    <w:rsid w:val="00A958CA"/>
    <w:rsid w:val="00A966B6"/>
    <w:rsid w:val="00A968CE"/>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5B34"/>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8CE"/>
    <w:rsid w:val="00AE4D4F"/>
    <w:rsid w:val="00AE627C"/>
    <w:rsid w:val="00AE62B0"/>
    <w:rsid w:val="00AE68A2"/>
    <w:rsid w:val="00AF0029"/>
    <w:rsid w:val="00AF0354"/>
    <w:rsid w:val="00AF1236"/>
    <w:rsid w:val="00AF1F6E"/>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B51"/>
    <w:rsid w:val="00BA1354"/>
    <w:rsid w:val="00BA24F8"/>
    <w:rsid w:val="00BA31AA"/>
    <w:rsid w:val="00BA45D8"/>
    <w:rsid w:val="00BA5828"/>
    <w:rsid w:val="00BA647A"/>
    <w:rsid w:val="00BA64B3"/>
    <w:rsid w:val="00BA754A"/>
    <w:rsid w:val="00BA7820"/>
    <w:rsid w:val="00BA794C"/>
    <w:rsid w:val="00BA7F6A"/>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4B1A"/>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07AE6"/>
    <w:rsid w:val="00C10B11"/>
    <w:rsid w:val="00C10BE6"/>
    <w:rsid w:val="00C11296"/>
    <w:rsid w:val="00C11905"/>
    <w:rsid w:val="00C1234A"/>
    <w:rsid w:val="00C12661"/>
    <w:rsid w:val="00C126E3"/>
    <w:rsid w:val="00C127B4"/>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7FC"/>
    <w:rsid w:val="00C31DF0"/>
    <w:rsid w:val="00C32578"/>
    <w:rsid w:val="00C33916"/>
    <w:rsid w:val="00C33BCF"/>
    <w:rsid w:val="00C34D1D"/>
    <w:rsid w:val="00C353A0"/>
    <w:rsid w:val="00C368D7"/>
    <w:rsid w:val="00C36FD1"/>
    <w:rsid w:val="00C371A5"/>
    <w:rsid w:val="00C400B0"/>
    <w:rsid w:val="00C40F4E"/>
    <w:rsid w:val="00C413FC"/>
    <w:rsid w:val="00C422C5"/>
    <w:rsid w:val="00C434DD"/>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150B"/>
    <w:rsid w:val="00C729C7"/>
    <w:rsid w:val="00C759BA"/>
    <w:rsid w:val="00C761FA"/>
    <w:rsid w:val="00C777AD"/>
    <w:rsid w:val="00C80C53"/>
    <w:rsid w:val="00C81195"/>
    <w:rsid w:val="00C84DCE"/>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4CD0"/>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C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57A8B"/>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B7B3B"/>
    <w:rsid w:val="00DC16AF"/>
    <w:rsid w:val="00DC2A9A"/>
    <w:rsid w:val="00DC2E2E"/>
    <w:rsid w:val="00DC4D68"/>
    <w:rsid w:val="00DC6463"/>
    <w:rsid w:val="00DC68CA"/>
    <w:rsid w:val="00DC7822"/>
    <w:rsid w:val="00DC7AF1"/>
    <w:rsid w:val="00DD2D92"/>
    <w:rsid w:val="00DD3026"/>
    <w:rsid w:val="00DD33DC"/>
    <w:rsid w:val="00DD3BB0"/>
    <w:rsid w:val="00DD61F5"/>
    <w:rsid w:val="00DD755D"/>
    <w:rsid w:val="00DE3223"/>
    <w:rsid w:val="00DE64A6"/>
    <w:rsid w:val="00DE66EB"/>
    <w:rsid w:val="00DE7035"/>
    <w:rsid w:val="00DF0705"/>
    <w:rsid w:val="00DF12E3"/>
    <w:rsid w:val="00DF3F1D"/>
    <w:rsid w:val="00DF595C"/>
    <w:rsid w:val="00DF7EA7"/>
    <w:rsid w:val="00E04548"/>
    <w:rsid w:val="00E0484E"/>
    <w:rsid w:val="00E05BA1"/>
    <w:rsid w:val="00E063F8"/>
    <w:rsid w:val="00E07032"/>
    <w:rsid w:val="00E079AF"/>
    <w:rsid w:val="00E114D6"/>
    <w:rsid w:val="00E1166E"/>
    <w:rsid w:val="00E11DBD"/>
    <w:rsid w:val="00E13211"/>
    <w:rsid w:val="00E16FB5"/>
    <w:rsid w:val="00E1715A"/>
    <w:rsid w:val="00E179D6"/>
    <w:rsid w:val="00E21407"/>
    <w:rsid w:val="00E225C9"/>
    <w:rsid w:val="00E22668"/>
    <w:rsid w:val="00E227D3"/>
    <w:rsid w:val="00E22BFF"/>
    <w:rsid w:val="00E22CB0"/>
    <w:rsid w:val="00E23798"/>
    <w:rsid w:val="00E2585D"/>
    <w:rsid w:val="00E25DBD"/>
    <w:rsid w:val="00E25FA2"/>
    <w:rsid w:val="00E2723D"/>
    <w:rsid w:val="00E27C77"/>
    <w:rsid w:val="00E3179E"/>
    <w:rsid w:val="00E31C3F"/>
    <w:rsid w:val="00E31CAF"/>
    <w:rsid w:val="00E32AC9"/>
    <w:rsid w:val="00E354DA"/>
    <w:rsid w:val="00E354F5"/>
    <w:rsid w:val="00E3687E"/>
    <w:rsid w:val="00E372DD"/>
    <w:rsid w:val="00E378AD"/>
    <w:rsid w:val="00E40974"/>
    <w:rsid w:val="00E40A5C"/>
    <w:rsid w:val="00E40AAB"/>
    <w:rsid w:val="00E41205"/>
    <w:rsid w:val="00E41F32"/>
    <w:rsid w:val="00E42608"/>
    <w:rsid w:val="00E43536"/>
    <w:rsid w:val="00E43DA3"/>
    <w:rsid w:val="00E44B80"/>
    <w:rsid w:val="00E45FD6"/>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58FF"/>
    <w:rsid w:val="00E669A1"/>
    <w:rsid w:val="00E679BA"/>
    <w:rsid w:val="00E70243"/>
    <w:rsid w:val="00E709B4"/>
    <w:rsid w:val="00E72CC6"/>
    <w:rsid w:val="00E73D44"/>
    <w:rsid w:val="00E7494A"/>
    <w:rsid w:val="00E74BE2"/>
    <w:rsid w:val="00E74C66"/>
    <w:rsid w:val="00E74FA2"/>
    <w:rsid w:val="00E75933"/>
    <w:rsid w:val="00E75E35"/>
    <w:rsid w:val="00E77A1B"/>
    <w:rsid w:val="00E808BE"/>
    <w:rsid w:val="00E81E36"/>
    <w:rsid w:val="00E81E40"/>
    <w:rsid w:val="00E82ECE"/>
    <w:rsid w:val="00E8713B"/>
    <w:rsid w:val="00E90C61"/>
    <w:rsid w:val="00E92A82"/>
    <w:rsid w:val="00E92AA8"/>
    <w:rsid w:val="00E9344E"/>
    <w:rsid w:val="00E93E39"/>
    <w:rsid w:val="00E94391"/>
    <w:rsid w:val="00E95079"/>
    <w:rsid w:val="00E968CB"/>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5CC"/>
    <w:rsid w:val="00EC7B97"/>
    <w:rsid w:val="00ED049C"/>
    <w:rsid w:val="00ED07B7"/>
    <w:rsid w:val="00ED19D7"/>
    <w:rsid w:val="00ED2167"/>
    <w:rsid w:val="00ED351E"/>
    <w:rsid w:val="00ED4063"/>
    <w:rsid w:val="00ED4B27"/>
    <w:rsid w:val="00ED543C"/>
    <w:rsid w:val="00ED6BA4"/>
    <w:rsid w:val="00ED7DA7"/>
    <w:rsid w:val="00EE0598"/>
    <w:rsid w:val="00EE311C"/>
    <w:rsid w:val="00EE3848"/>
    <w:rsid w:val="00EE56FF"/>
    <w:rsid w:val="00EE5886"/>
    <w:rsid w:val="00EE5FBF"/>
    <w:rsid w:val="00EE6014"/>
    <w:rsid w:val="00EE6472"/>
    <w:rsid w:val="00EE76F2"/>
    <w:rsid w:val="00EF0769"/>
    <w:rsid w:val="00EF0D7C"/>
    <w:rsid w:val="00EF3519"/>
    <w:rsid w:val="00EF40E2"/>
    <w:rsid w:val="00EF5FB9"/>
    <w:rsid w:val="00EF61C1"/>
    <w:rsid w:val="00EF6E68"/>
    <w:rsid w:val="00EF76DB"/>
    <w:rsid w:val="00F005FD"/>
    <w:rsid w:val="00F024E2"/>
    <w:rsid w:val="00F02C04"/>
    <w:rsid w:val="00F03AF1"/>
    <w:rsid w:val="00F0454E"/>
    <w:rsid w:val="00F0479C"/>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4981"/>
    <w:rsid w:val="00F3568B"/>
    <w:rsid w:val="00F35874"/>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8C7"/>
    <w:rsid w:val="00F82FF3"/>
    <w:rsid w:val="00F8453C"/>
    <w:rsid w:val="00F84D4C"/>
    <w:rsid w:val="00F8657D"/>
    <w:rsid w:val="00F8730F"/>
    <w:rsid w:val="00F87DA3"/>
    <w:rsid w:val="00F90004"/>
    <w:rsid w:val="00F90EF4"/>
    <w:rsid w:val="00F9110E"/>
    <w:rsid w:val="00F917BF"/>
    <w:rsid w:val="00F920B4"/>
    <w:rsid w:val="00F9260D"/>
    <w:rsid w:val="00F92727"/>
    <w:rsid w:val="00F93CCF"/>
    <w:rsid w:val="00F94307"/>
    <w:rsid w:val="00F9580B"/>
    <w:rsid w:val="00F95F15"/>
    <w:rsid w:val="00F975CA"/>
    <w:rsid w:val="00FA0B60"/>
    <w:rsid w:val="00FA2528"/>
    <w:rsid w:val="00FA5320"/>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A"/>
    <w:rsid w:val="00FC4F6E"/>
    <w:rsid w:val="00FC506C"/>
    <w:rsid w:val="00FC578C"/>
    <w:rsid w:val="00FC5A37"/>
    <w:rsid w:val="00FC7223"/>
    <w:rsid w:val="00FD0F60"/>
    <w:rsid w:val="00FD13EA"/>
    <w:rsid w:val="00FD232F"/>
    <w:rsid w:val="00FD36C2"/>
    <w:rsid w:val="00FD5EC4"/>
    <w:rsid w:val="00FD7858"/>
    <w:rsid w:val="00FD7A8D"/>
    <w:rsid w:val="00FE1330"/>
    <w:rsid w:val="00FE1CE5"/>
    <w:rsid w:val="00FE2832"/>
    <w:rsid w:val="00FE2D38"/>
    <w:rsid w:val="00FE3929"/>
    <w:rsid w:val="00FE7383"/>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7EA41E3F"/>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30882041">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A93F85EA-DF0A-48AA-AE00-032E640D2EC2}">
  <ds:schemaRefs>
    <ds:schemaRef ds:uri="http://schemas.openxmlformats.org/officeDocument/2006/bibliography"/>
  </ds:schemaRefs>
</ds:datastoreItem>
</file>

<file path=customXml/itemProps6.xml><?xml version="1.0" encoding="utf-8"?>
<ds:datastoreItem xmlns:ds="http://schemas.openxmlformats.org/officeDocument/2006/customXml" ds:itemID="{F0092FA1-9302-4E05-BB4B-085BF87F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6110</Words>
  <Characters>34831</Characters>
  <Application>Microsoft Office Word</Application>
  <DocSecurity>8</DocSecurity>
  <Lines>290</Lines>
  <Paragraphs>81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40860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Agulhon Bernard (AMUNDI)</cp:lastModifiedBy>
  <cp:revision>3</cp:revision>
  <cp:lastPrinted>2015-02-18T11:01:00Z</cp:lastPrinted>
  <dcterms:created xsi:type="dcterms:W3CDTF">2019-12-20T14:38:00Z</dcterms:created>
  <dcterms:modified xsi:type="dcterms:W3CDTF">2019-12-20T16:20:00Z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y fmtid="{D5CDD505-2E9C-101B-9397-08002B2CF9AE}" pid="18" name="_AdHocReviewCycleID">
    <vt:i4>-819514728</vt:i4>
  </property>
  <property fmtid="{D5CDD505-2E9C-101B-9397-08002B2CF9AE}" pid="19" name="_NewReviewCycle">
    <vt:lpwstr/>
  </property>
  <property fmtid="{D5CDD505-2E9C-101B-9397-08002B2CF9AE}" pid="20" name="_EmailSubject">
    <vt:lpwstr>PRIIPs consultation - Final version</vt:lpwstr>
  </property>
  <property fmtid="{D5CDD505-2E9C-101B-9397-08002B2CF9AE}" pid="21" name="_AuthorEmail">
    <vt:lpwstr>bernard.agulhon@amundi.com</vt:lpwstr>
  </property>
  <property fmtid="{D5CDD505-2E9C-101B-9397-08002B2CF9AE}" pid="22" name="_AuthorEmailDisplayName">
    <vt:lpwstr>Agulhon Bernard (AMUNDI)</vt:lpwstr>
  </property>
  <property fmtid="{D5CDD505-2E9C-101B-9397-08002B2CF9AE}" pid="23" name="_PreviousAdHocReviewCycleID">
    <vt:i4>-550098584</vt:i4>
  </property>
  <property fmtid="{D5CDD505-2E9C-101B-9397-08002B2CF9AE}" pid="24" name="_ReviewingToolsShownOnce">
    <vt:lpwstr/>
  </property>
</Properties>
</file>