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8"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19" w:history="1">
        <w:r w:rsidRPr="00197794">
          <w:rPr>
            <w:rStyle w:val="Hyperlink"/>
            <w:rFonts w:cs="Arial"/>
            <w:sz w:val="22"/>
          </w:rPr>
          <w:t>Legal notice</w:t>
        </w:r>
      </w:hyperlink>
      <w:r w:rsidRPr="00197794">
        <w:rPr>
          <w:rFonts w:cs="Arial"/>
          <w:sz w:val="22"/>
        </w:rPr>
        <w:t xml:space="preserve"> section of the EBA website and under the </w:t>
      </w:r>
      <w:hyperlink r:id="rId20" w:history="1">
        <w:r w:rsidRPr="00197794">
          <w:rPr>
            <w:rStyle w:val="Hyperlink"/>
            <w:rFonts w:cs="Arial"/>
            <w:sz w:val="22"/>
          </w:rPr>
          <w:t>Legal notice</w:t>
        </w:r>
      </w:hyperlink>
      <w:r w:rsidRPr="00197794">
        <w:rPr>
          <w:rFonts w:cs="Arial"/>
          <w:sz w:val="22"/>
        </w:rPr>
        <w:t xml:space="preserve"> section of the EIOPA website and under the </w:t>
      </w:r>
      <w:hyperlink r:id="rId21"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45131807" w:rsidR="00B327E9" w:rsidRPr="00AB6D88" w:rsidRDefault="00DB5F58" w:rsidP="00F136AD">
                <w:pPr>
                  <w:rPr>
                    <w:rStyle w:val="PlaceholderText"/>
                    <w:rFonts w:cs="Arial"/>
                  </w:rPr>
                </w:pPr>
                <w:r>
                  <w:rPr>
                    <w:rStyle w:val="PlaceholderText"/>
                    <w:rFonts w:cs="Arial"/>
                  </w:rPr>
                  <w:t>BETTER FINANCE – The European Federation of Investors and Financial Services Users</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454F16AC" w:rsidR="00B327E9" w:rsidRPr="00AB6D88" w:rsidRDefault="00070C0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B4FFE">
                  <w:rPr>
                    <w:rFonts w:cs="Arial"/>
                  </w:rPr>
                  <w:t>Non-financial counterparty</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5186824E" w:rsidR="00B327E9" w:rsidRPr="00AB6D88" w:rsidRDefault="00DB5F58"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4C3095A9" w:rsidR="00B327E9" w:rsidRPr="00AB6D88" w:rsidRDefault="00DB5F58"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37555F1B" w14:textId="20B844B8" w:rsidR="00455230" w:rsidRDefault="00455230" w:rsidP="00455230">
      <w:pPr>
        <w:spacing w:after="120"/>
        <w:jc w:val="both"/>
        <w:rPr>
          <w:rFonts w:ascii="Cambria" w:hAnsi="Cambria"/>
          <w:color w:val="000000" w:themeColor="text1"/>
        </w:rPr>
      </w:pPr>
      <w:permStart w:id="411981036" w:edGrp="everyone"/>
      <w:r>
        <w:rPr>
          <w:rFonts w:ascii="Cambria" w:hAnsi="Cambria"/>
          <w:color w:val="000000" w:themeColor="text1"/>
        </w:rPr>
        <w:t xml:space="preserve">The Council of the EU, during the tenure of the Finnish Presidency, mentioned two significant objectives (and measures to be taken) in the </w:t>
      </w:r>
      <w:r>
        <w:rPr>
          <w:rFonts w:ascii="Cambria" w:hAnsi="Cambria"/>
          <w:i/>
          <w:iCs/>
          <w:color w:val="000000" w:themeColor="text1"/>
        </w:rPr>
        <w:t>Conclusions for Deepening the Capital Markets Union</w:t>
      </w:r>
      <w:r>
        <w:rPr>
          <w:rStyle w:val="FootnoteReference"/>
          <w:rFonts w:ascii="Cambria" w:hAnsi="Cambria"/>
          <w:i/>
          <w:iCs/>
          <w:color w:val="000000" w:themeColor="text1"/>
        </w:rPr>
        <w:footnoteReference w:id="5"/>
      </w:r>
      <w:r>
        <w:rPr>
          <w:rFonts w:ascii="Cambria" w:hAnsi="Cambria"/>
          <w:color w:val="000000" w:themeColor="text1"/>
        </w:rPr>
        <w:t xml:space="preserve"> concerning c</w:t>
      </w:r>
      <w:r w:rsidRPr="00E30B96">
        <w:rPr>
          <w:rFonts w:ascii="Cambria" w:hAnsi="Cambria"/>
          <w:color w:val="000000" w:themeColor="text1"/>
        </w:rPr>
        <w:t>onsumers’ need for transparency and disclosure</w:t>
      </w:r>
      <w:r>
        <w:rPr>
          <w:rFonts w:ascii="Cambria" w:hAnsi="Cambria"/>
          <w:color w:val="000000" w:themeColor="text1"/>
        </w:rPr>
        <w:t>:</w:t>
      </w:r>
    </w:p>
    <w:p w14:paraId="612E6DF7" w14:textId="77777777" w:rsidR="00455230" w:rsidRPr="00E30B96" w:rsidRDefault="00455230" w:rsidP="00E565B9">
      <w:pPr>
        <w:pStyle w:val="ListParagraph"/>
        <w:numPr>
          <w:ilvl w:val="0"/>
          <w:numId w:val="48"/>
        </w:numPr>
        <w:spacing w:line="259" w:lineRule="auto"/>
        <w:jc w:val="both"/>
        <w:rPr>
          <w:rFonts w:ascii="Cambria" w:hAnsi="Cambria"/>
          <w:color w:val="000000" w:themeColor="text1"/>
        </w:rPr>
      </w:pPr>
      <w:r>
        <w:rPr>
          <w:rFonts w:ascii="Cambria" w:hAnsi="Cambria"/>
          <w:color w:val="000000" w:themeColor="text1"/>
        </w:rPr>
        <w:t>an assessment of the “</w:t>
      </w:r>
      <w:r w:rsidRPr="00B063B8">
        <w:rPr>
          <w:rFonts w:asciiTheme="majorHAnsi" w:hAnsiTheme="majorHAnsi" w:cstheme="majorHAnsi"/>
          <w:i/>
          <w:iCs/>
          <w:color w:val="000000" w:themeColor="text1"/>
        </w:rPr>
        <w:t>current disclosure rules with a view to eliminating incoherent or incomprehensible information</w:t>
      </w:r>
      <w:r>
        <w:rPr>
          <w:rFonts w:ascii="Cambria" w:hAnsi="Cambria"/>
          <w:color w:val="000000" w:themeColor="text1"/>
        </w:rPr>
        <w:t>”; and</w:t>
      </w:r>
    </w:p>
    <w:p w14:paraId="4D3D90CB" w14:textId="77777777" w:rsidR="00455230" w:rsidRDefault="00455230" w:rsidP="00E565B9">
      <w:pPr>
        <w:pStyle w:val="ListParagraph"/>
        <w:numPr>
          <w:ilvl w:val="0"/>
          <w:numId w:val="48"/>
        </w:numPr>
        <w:spacing w:line="259" w:lineRule="auto"/>
        <w:jc w:val="both"/>
        <w:rPr>
          <w:rFonts w:ascii="Cambria" w:hAnsi="Cambria"/>
          <w:color w:val="000000" w:themeColor="text1"/>
        </w:rPr>
      </w:pPr>
      <w:r>
        <w:rPr>
          <w:rFonts w:ascii="Cambria" w:hAnsi="Cambria"/>
          <w:color w:val="000000" w:themeColor="text1"/>
        </w:rPr>
        <w:t>the need to</w:t>
      </w:r>
      <w:r w:rsidRPr="00E30B96">
        <w:rPr>
          <w:rFonts w:ascii="Cambria" w:hAnsi="Cambria"/>
          <w:color w:val="000000" w:themeColor="text1"/>
        </w:rPr>
        <w:t xml:space="preserve"> </w:t>
      </w:r>
      <w:r>
        <w:rPr>
          <w:rFonts w:ascii="Cambria" w:hAnsi="Cambria"/>
          <w:color w:val="000000" w:themeColor="text1"/>
        </w:rPr>
        <w:t>“</w:t>
      </w:r>
      <w:r w:rsidRPr="00B063B8">
        <w:rPr>
          <w:rFonts w:asciiTheme="majorHAnsi" w:hAnsiTheme="majorHAnsi" w:cstheme="majorHAnsi"/>
          <w:i/>
          <w:iCs/>
          <w:color w:val="000000" w:themeColor="text1"/>
        </w:rPr>
        <w:t xml:space="preserve">ensure that information is clear, concise, understandable, proportionate and not </w:t>
      </w:r>
      <w:r>
        <w:rPr>
          <w:rFonts w:asciiTheme="majorHAnsi" w:hAnsiTheme="majorHAnsi" w:cstheme="majorHAnsi"/>
          <w:i/>
          <w:iCs/>
          <w:color w:val="000000" w:themeColor="text1"/>
        </w:rPr>
        <w:t>-</w:t>
      </w:r>
      <w:r w:rsidRPr="00B063B8">
        <w:rPr>
          <w:rFonts w:asciiTheme="majorHAnsi" w:hAnsiTheme="majorHAnsi" w:cstheme="majorHAnsi"/>
          <w:i/>
          <w:iCs/>
          <w:color w:val="000000" w:themeColor="text1"/>
        </w:rPr>
        <w:t>excessive or overlapping in quantity or content</w:t>
      </w:r>
      <w:r>
        <w:rPr>
          <w:rFonts w:ascii="Cambria" w:hAnsi="Cambria"/>
          <w:color w:val="000000" w:themeColor="text1"/>
        </w:rPr>
        <w:t>”.</w:t>
      </w:r>
    </w:p>
    <w:p w14:paraId="4DE8A372" w14:textId="77777777" w:rsidR="00455230" w:rsidRPr="00D6701C" w:rsidRDefault="00455230" w:rsidP="00455230">
      <w:pPr>
        <w:pBdr>
          <w:top w:val="single" w:sz="4" w:space="1" w:color="auto"/>
          <w:left w:val="single" w:sz="4" w:space="4" w:color="auto"/>
          <w:bottom w:val="single" w:sz="4" w:space="1" w:color="auto"/>
          <w:right w:val="single" w:sz="4" w:space="4" w:color="auto"/>
        </w:pBdr>
        <w:spacing w:before="120"/>
        <w:jc w:val="center"/>
        <w:rPr>
          <w:rFonts w:ascii="Cambria" w:hAnsi="Cambria"/>
          <w:b/>
          <w:bCs/>
          <w:i/>
          <w:iCs/>
          <w:color w:val="0070C0"/>
        </w:rPr>
      </w:pPr>
      <w:r w:rsidRPr="00D6701C">
        <w:rPr>
          <w:rFonts w:ascii="Cambria" w:hAnsi="Cambria"/>
          <w:b/>
          <w:bCs/>
          <w:i/>
          <w:iCs/>
          <w:color w:val="0070C0"/>
        </w:rPr>
        <w:t>This represents a clear initiative from the co-legislator to start the Level 1 PRIIPs Regulation review.</w:t>
      </w:r>
    </w:p>
    <w:p w14:paraId="70D3353C" w14:textId="77777777" w:rsidR="00455230" w:rsidRDefault="00455230" w:rsidP="00455230">
      <w:pPr>
        <w:spacing w:before="120"/>
        <w:jc w:val="both"/>
        <w:rPr>
          <w:rFonts w:ascii="Cambria" w:hAnsi="Cambria"/>
          <w:color w:val="000000" w:themeColor="text1"/>
        </w:rPr>
      </w:pPr>
      <w:r>
        <w:rPr>
          <w:rFonts w:ascii="Cambria" w:hAnsi="Cambria"/>
          <w:color w:val="000000" w:themeColor="text1"/>
        </w:rPr>
        <w:t>In these circumstances, we continue to be concerned by this review process as to:</w:t>
      </w:r>
    </w:p>
    <w:p w14:paraId="71AE436B" w14:textId="77777777" w:rsidR="00455230" w:rsidRDefault="00455230" w:rsidP="00E565B9">
      <w:pPr>
        <w:pStyle w:val="ListParagraph"/>
        <w:numPr>
          <w:ilvl w:val="0"/>
          <w:numId w:val="41"/>
        </w:numPr>
        <w:spacing w:after="160" w:line="259" w:lineRule="auto"/>
        <w:jc w:val="both"/>
        <w:rPr>
          <w:rFonts w:ascii="Cambria" w:hAnsi="Cambria"/>
          <w:color w:val="000000" w:themeColor="text1"/>
        </w:rPr>
      </w:pPr>
      <w:r>
        <w:rPr>
          <w:rFonts w:ascii="Cambria" w:hAnsi="Cambria"/>
          <w:color w:val="000000" w:themeColor="text1"/>
        </w:rPr>
        <w:t xml:space="preserve">what type of information </w:t>
      </w:r>
      <w:r>
        <w:rPr>
          <w:rFonts w:ascii="Cambria" w:hAnsi="Cambria"/>
          <w:b/>
          <w:bCs/>
          <w:color w:val="000000" w:themeColor="text1"/>
        </w:rPr>
        <w:t>is available</w:t>
      </w:r>
      <w:r>
        <w:rPr>
          <w:rFonts w:ascii="Cambria" w:hAnsi="Cambria"/>
          <w:color w:val="000000" w:themeColor="text1"/>
        </w:rPr>
        <w:t xml:space="preserve"> to be presented to non-professional, individual and small (“retail”) investors, and</w:t>
      </w:r>
    </w:p>
    <w:p w14:paraId="27672B3E" w14:textId="5D547842" w:rsidR="00455230" w:rsidRPr="00455230" w:rsidRDefault="00455230" w:rsidP="00E565B9">
      <w:pPr>
        <w:pStyle w:val="ListParagraph"/>
        <w:numPr>
          <w:ilvl w:val="0"/>
          <w:numId w:val="41"/>
        </w:numPr>
        <w:spacing w:after="120" w:line="259" w:lineRule="auto"/>
        <w:jc w:val="both"/>
        <w:rPr>
          <w:rFonts w:ascii="Cambria" w:hAnsi="Cambria"/>
          <w:color w:val="000000" w:themeColor="text1"/>
        </w:rPr>
      </w:pPr>
      <w:r>
        <w:rPr>
          <w:rFonts w:ascii="Cambria" w:hAnsi="Cambria"/>
          <w:color w:val="000000" w:themeColor="text1"/>
        </w:rPr>
        <w:t xml:space="preserve">what retail investors </w:t>
      </w:r>
      <w:r w:rsidRPr="00CF6A44">
        <w:rPr>
          <w:rFonts w:ascii="Cambria" w:hAnsi="Cambria"/>
          <w:b/>
          <w:bCs/>
          <w:color w:val="000000" w:themeColor="text1"/>
        </w:rPr>
        <w:t xml:space="preserve">find useful </w:t>
      </w:r>
      <w:r>
        <w:rPr>
          <w:rFonts w:ascii="Cambria" w:hAnsi="Cambria"/>
          <w:color w:val="000000" w:themeColor="text1"/>
        </w:rPr>
        <w:t xml:space="preserve">and </w:t>
      </w:r>
      <w:r w:rsidRPr="00CF6A44">
        <w:rPr>
          <w:rFonts w:ascii="Cambria" w:hAnsi="Cambria"/>
          <w:b/>
          <w:bCs/>
          <w:color w:val="000000" w:themeColor="text1"/>
        </w:rPr>
        <w:t>relevant</w:t>
      </w:r>
      <w:r>
        <w:rPr>
          <w:rFonts w:ascii="Cambria" w:hAnsi="Cambria"/>
          <w:color w:val="000000" w:themeColor="text1"/>
        </w:rPr>
        <w:t xml:space="preserve"> to make an informed investment decision.</w:t>
      </w:r>
    </w:p>
    <w:p w14:paraId="3BF2A637" w14:textId="77777777" w:rsidR="00455230" w:rsidRPr="00531F75" w:rsidRDefault="00455230" w:rsidP="00455230">
      <w:pPr>
        <w:spacing w:after="120"/>
        <w:jc w:val="both"/>
        <w:rPr>
          <w:rFonts w:ascii="Cambria" w:hAnsi="Cambria"/>
          <w:i/>
          <w:iCs/>
          <w:color w:val="000000" w:themeColor="text1"/>
        </w:rPr>
      </w:pPr>
      <w:r w:rsidRPr="00531F75">
        <w:rPr>
          <w:rFonts w:ascii="Cambria" w:hAnsi="Cambria"/>
          <w:i/>
          <w:iCs/>
          <w:color w:val="000000" w:themeColor="text1"/>
        </w:rPr>
        <w:t xml:space="preserve">Chronology </w:t>
      </w:r>
    </w:p>
    <w:p w14:paraId="66DF6AC3" w14:textId="77777777" w:rsidR="00455230" w:rsidRDefault="00455230" w:rsidP="00455230">
      <w:pPr>
        <w:spacing w:after="120"/>
        <w:jc w:val="both"/>
        <w:rPr>
          <w:rFonts w:ascii="Cambria" w:hAnsi="Cambria"/>
          <w:color w:val="000000" w:themeColor="text1"/>
        </w:rPr>
      </w:pPr>
      <w:r>
        <w:rPr>
          <w:rFonts w:ascii="Cambria" w:hAnsi="Cambria"/>
          <w:color w:val="000000" w:themeColor="text1"/>
        </w:rPr>
        <w:t>The increased complexity and length of the UCITS prospectus lead to Directive 2001/107/EC</w:t>
      </w:r>
      <w:r>
        <w:rPr>
          <w:rStyle w:val="FootnoteReference"/>
          <w:rFonts w:ascii="Cambria" w:hAnsi="Cambria"/>
          <w:color w:val="000000" w:themeColor="text1"/>
        </w:rPr>
        <w:footnoteReference w:id="6"/>
      </w:r>
      <w:r>
        <w:rPr>
          <w:rFonts w:ascii="Cambria" w:hAnsi="Cambria"/>
          <w:color w:val="000000" w:themeColor="text1"/>
        </w:rPr>
        <w:t xml:space="preserve"> requiring product manufacturers to publish a </w:t>
      </w:r>
      <w:r>
        <w:rPr>
          <w:rFonts w:ascii="Cambria" w:hAnsi="Cambria"/>
          <w:i/>
          <w:iCs/>
          <w:color w:val="000000" w:themeColor="text1"/>
        </w:rPr>
        <w:t>simplified prospectus</w:t>
      </w:r>
      <w:r>
        <w:rPr>
          <w:rFonts w:ascii="Cambria" w:hAnsi="Cambria"/>
          <w:color w:val="000000" w:themeColor="text1"/>
        </w:rPr>
        <w:t xml:space="preserve">, disclosing information on </w:t>
      </w:r>
      <w:r w:rsidRPr="00FD1F02">
        <w:rPr>
          <w:rFonts w:ascii="Cambria" w:hAnsi="Cambria"/>
          <w:b/>
          <w:bCs/>
          <w:i/>
          <w:iCs/>
          <w:color w:val="000000" w:themeColor="text1"/>
          <w:u w:val="single"/>
        </w:rPr>
        <w:t>actual (past) returns and costs</w:t>
      </w:r>
      <w:r>
        <w:rPr>
          <w:rFonts w:ascii="Cambria" w:hAnsi="Cambria"/>
          <w:color w:val="000000" w:themeColor="text1"/>
        </w:rPr>
        <w:t>, in force as of 2005.</w:t>
      </w:r>
      <w:r>
        <w:rPr>
          <w:rStyle w:val="FootnoteReference"/>
          <w:rFonts w:ascii="Cambria" w:hAnsi="Cambria"/>
          <w:color w:val="000000" w:themeColor="text1"/>
        </w:rPr>
        <w:footnoteReference w:id="7"/>
      </w:r>
      <w:r>
        <w:rPr>
          <w:rFonts w:ascii="Cambria" w:hAnsi="Cambria"/>
          <w:color w:val="000000" w:themeColor="text1"/>
        </w:rPr>
        <w:t xml:space="preserve"> </w:t>
      </w:r>
    </w:p>
    <w:p w14:paraId="240FB26D" w14:textId="77777777" w:rsidR="00455230" w:rsidRDefault="00455230" w:rsidP="00455230">
      <w:pPr>
        <w:spacing w:after="120"/>
        <w:jc w:val="both"/>
        <w:rPr>
          <w:rFonts w:ascii="Cambria" w:hAnsi="Cambria"/>
          <w:color w:val="000000" w:themeColor="text1"/>
        </w:rPr>
      </w:pPr>
      <w:r>
        <w:rPr>
          <w:rFonts w:ascii="Cambria" w:hAnsi="Cambria"/>
          <w:color w:val="000000" w:themeColor="text1"/>
        </w:rPr>
        <w:t>After a short period of implementation, the European Commission’s 2006-2007 workshops on key investor information concluded that the simplified prospectus did not achieve its target</w:t>
      </w:r>
      <w:r>
        <w:rPr>
          <w:rStyle w:val="FootnoteReference"/>
          <w:rFonts w:ascii="Cambria" w:hAnsi="Cambria"/>
          <w:color w:val="000000" w:themeColor="text1"/>
        </w:rPr>
        <w:footnoteReference w:id="8"/>
      </w:r>
      <w:r>
        <w:rPr>
          <w:rFonts w:ascii="Cambria" w:hAnsi="Cambria"/>
          <w:color w:val="000000" w:themeColor="text1"/>
        </w:rPr>
        <w:t xml:space="preserve"> and a new document must be:</w:t>
      </w:r>
    </w:p>
    <w:p w14:paraId="093CD58B" w14:textId="77777777" w:rsidR="00455230" w:rsidRDefault="00455230" w:rsidP="00E565B9">
      <w:pPr>
        <w:pStyle w:val="ListParagraph"/>
        <w:numPr>
          <w:ilvl w:val="0"/>
          <w:numId w:val="42"/>
        </w:numPr>
        <w:spacing w:after="160" w:line="259" w:lineRule="auto"/>
        <w:jc w:val="both"/>
        <w:rPr>
          <w:rFonts w:ascii="Cambria" w:hAnsi="Cambria"/>
          <w:color w:val="000000" w:themeColor="text1"/>
        </w:rPr>
      </w:pPr>
      <w:r>
        <w:rPr>
          <w:rFonts w:ascii="Cambria" w:hAnsi="Cambria"/>
          <w:color w:val="000000" w:themeColor="text1"/>
        </w:rPr>
        <w:t>unbundled from the Prospectus,</w:t>
      </w:r>
    </w:p>
    <w:p w14:paraId="7DD8F615" w14:textId="77777777" w:rsidR="00455230" w:rsidRDefault="00455230" w:rsidP="00E565B9">
      <w:pPr>
        <w:pStyle w:val="ListParagraph"/>
        <w:numPr>
          <w:ilvl w:val="0"/>
          <w:numId w:val="42"/>
        </w:numPr>
        <w:spacing w:after="160" w:line="259" w:lineRule="auto"/>
        <w:jc w:val="both"/>
        <w:rPr>
          <w:rFonts w:ascii="Cambria" w:hAnsi="Cambria"/>
          <w:color w:val="000000" w:themeColor="text1"/>
        </w:rPr>
      </w:pPr>
      <w:r w:rsidRPr="009B65E0">
        <w:rPr>
          <w:rFonts w:ascii="Cambria" w:hAnsi="Cambria"/>
          <w:b/>
          <w:bCs/>
          <w:color w:val="000000" w:themeColor="text1"/>
        </w:rPr>
        <w:t>simplified</w:t>
      </w:r>
      <w:r>
        <w:rPr>
          <w:rFonts w:ascii="Cambria" w:hAnsi="Cambria"/>
          <w:color w:val="000000" w:themeColor="text1"/>
        </w:rPr>
        <w:t>, streamlined,</w:t>
      </w:r>
    </w:p>
    <w:p w14:paraId="07657380" w14:textId="77777777" w:rsidR="00455230" w:rsidRDefault="00455230" w:rsidP="00E565B9">
      <w:pPr>
        <w:pStyle w:val="ListParagraph"/>
        <w:numPr>
          <w:ilvl w:val="0"/>
          <w:numId w:val="42"/>
        </w:numPr>
        <w:spacing w:after="160" w:line="259" w:lineRule="auto"/>
        <w:jc w:val="both"/>
        <w:rPr>
          <w:rFonts w:ascii="Cambria" w:hAnsi="Cambria"/>
          <w:color w:val="000000" w:themeColor="text1"/>
        </w:rPr>
      </w:pPr>
      <w:r>
        <w:rPr>
          <w:rFonts w:ascii="Cambria" w:hAnsi="Cambria"/>
          <w:color w:val="000000" w:themeColor="text1"/>
        </w:rPr>
        <w:t xml:space="preserve">contain elements that are </w:t>
      </w:r>
      <w:r w:rsidRPr="009B65E0">
        <w:rPr>
          <w:rFonts w:ascii="Cambria" w:hAnsi="Cambria"/>
          <w:b/>
          <w:bCs/>
          <w:color w:val="000000" w:themeColor="text1"/>
        </w:rPr>
        <w:t>actually useful</w:t>
      </w:r>
      <w:r>
        <w:rPr>
          <w:rFonts w:ascii="Cambria" w:hAnsi="Cambria"/>
          <w:color w:val="000000" w:themeColor="text1"/>
        </w:rPr>
        <w:t xml:space="preserve"> to retail investors, and</w:t>
      </w:r>
    </w:p>
    <w:p w14:paraId="5A0CB051" w14:textId="77777777" w:rsidR="00455230" w:rsidRDefault="00455230" w:rsidP="00E565B9">
      <w:pPr>
        <w:pStyle w:val="ListParagraph"/>
        <w:numPr>
          <w:ilvl w:val="0"/>
          <w:numId w:val="42"/>
        </w:numPr>
        <w:spacing w:after="120" w:line="259" w:lineRule="auto"/>
        <w:jc w:val="both"/>
        <w:rPr>
          <w:rFonts w:ascii="Cambria" w:hAnsi="Cambria"/>
          <w:color w:val="000000" w:themeColor="text1"/>
        </w:rPr>
      </w:pPr>
      <w:r w:rsidRPr="009B65E0">
        <w:rPr>
          <w:rFonts w:ascii="Cambria" w:hAnsi="Cambria"/>
          <w:color w:val="000000" w:themeColor="text1"/>
        </w:rPr>
        <w:t>take the</w:t>
      </w:r>
      <w:r>
        <w:rPr>
          <w:rFonts w:ascii="Cambria" w:hAnsi="Cambria"/>
          <w:b/>
          <w:bCs/>
          <w:color w:val="000000" w:themeColor="text1"/>
        </w:rPr>
        <w:t xml:space="preserve"> actual experience of retail investors </w:t>
      </w:r>
      <w:r w:rsidRPr="009B65E0">
        <w:rPr>
          <w:rFonts w:ascii="Cambria" w:hAnsi="Cambria"/>
          <w:color w:val="000000" w:themeColor="text1"/>
        </w:rPr>
        <w:t>into account</w:t>
      </w:r>
      <w:r>
        <w:rPr>
          <w:rFonts w:ascii="Cambria" w:hAnsi="Cambria"/>
          <w:color w:val="000000" w:themeColor="text1"/>
        </w:rPr>
        <w:t>.</w:t>
      </w:r>
    </w:p>
    <w:p w14:paraId="33D503D2" w14:textId="77777777" w:rsidR="00455230" w:rsidRDefault="00455230" w:rsidP="00455230">
      <w:pPr>
        <w:spacing w:after="120"/>
        <w:jc w:val="both"/>
        <w:rPr>
          <w:rFonts w:ascii="Cambria" w:hAnsi="Cambria"/>
          <w:color w:val="000000" w:themeColor="text1"/>
        </w:rPr>
      </w:pPr>
      <w:r>
        <w:rPr>
          <w:rFonts w:ascii="Cambria" w:hAnsi="Cambria"/>
          <w:color w:val="000000" w:themeColor="text1"/>
        </w:rPr>
        <w:t>For this reason, the European Commission mandated an investor testing exercise in 2008 on the content and format of the Key Investor Information Document (KIID), which put forward strong conclusions:</w:t>
      </w:r>
    </w:p>
    <w:p w14:paraId="0E005474" w14:textId="77777777" w:rsidR="00455230" w:rsidRDefault="00455230" w:rsidP="00E565B9">
      <w:pPr>
        <w:pStyle w:val="ListParagraph"/>
        <w:numPr>
          <w:ilvl w:val="0"/>
          <w:numId w:val="43"/>
        </w:numPr>
        <w:spacing w:after="160" w:line="259" w:lineRule="auto"/>
        <w:jc w:val="both"/>
        <w:rPr>
          <w:rFonts w:ascii="Cambria" w:hAnsi="Cambria"/>
          <w:color w:val="000000" w:themeColor="text1"/>
        </w:rPr>
      </w:pPr>
      <w:r>
        <w:rPr>
          <w:rFonts w:ascii="Cambria" w:hAnsi="Cambria"/>
          <w:color w:val="000000" w:themeColor="text1"/>
        </w:rPr>
        <w:t>information overload and large blocks of text need to be avoided,</w:t>
      </w:r>
    </w:p>
    <w:p w14:paraId="3DB48C5B" w14:textId="77777777" w:rsidR="00455230" w:rsidRDefault="00455230" w:rsidP="00E565B9">
      <w:pPr>
        <w:pStyle w:val="ListParagraph"/>
        <w:numPr>
          <w:ilvl w:val="0"/>
          <w:numId w:val="43"/>
        </w:numPr>
        <w:spacing w:after="160" w:line="259" w:lineRule="auto"/>
        <w:jc w:val="both"/>
        <w:rPr>
          <w:rFonts w:ascii="Cambria" w:hAnsi="Cambria"/>
          <w:color w:val="000000" w:themeColor="text1"/>
        </w:rPr>
      </w:pPr>
      <w:r>
        <w:rPr>
          <w:rFonts w:ascii="Cambria" w:hAnsi="Cambria"/>
          <w:color w:val="000000" w:themeColor="text1"/>
        </w:rPr>
        <w:lastRenderedPageBreak/>
        <w:t>consumers pay most attention to the risk-reward sections, and</w:t>
      </w:r>
    </w:p>
    <w:p w14:paraId="52794AF6" w14:textId="77777777" w:rsidR="00455230" w:rsidRDefault="00455230" w:rsidP="00E565B9">
      <w:pPr>
        <w:pStyle w:val="ListParagraph"/>
        <w:numPr>
          <w:ilvl w:val="0"/>
          <w:numId w:val="43"/>
        </w:numPr>
        <w:spacing w:after="160" w:line="259" w:lineRule="auto"/>
        <w:jc w:val="both"/>
        <w:rPr>
          <w:rFonts w:ascii="Cambria" w:hAnsi="Cambria"/>
          <w:color w:val="000000" w:themeColor="text1"/>
        </w:rPr>
      </w:pPr>
      <w:r>
        <w:rPr>
          <w:rFonts w:ascii="Cambria" w:hAnsi="Cambria"/>
          <w:color w:val="000000" w:themeColor="text1"/>
        </w:rPr>
        <w:t>actual (past) performance is the information they expect to see in the KIID.</w:t>
      </w:r>
    </w:p>
    <w:p w14:paraId="123D9949" w14:textId="77777777" w:rsidR="00455230" w:rsidRPr="000732E5" w:rsidRDefault="00455230" w:rsidP="00455230">
      <w:pPr>
        <w:pBdr>
          <w:top w:val="single" w:sz="4" w:space="1" w:color="auto"/>
          <w:left w:val="single" w:sz="4" w:space="4" w:color="auto"/>
          <w:bottom w:val="single" w:sz="4" w:space="1" w:color="auto"/>
          <w:right w:val="single" w:sz="4" w:space="4" w:color="auto"/>
        </w:pBdr>
        <w:ind w:left="851" w:right="850"/>
        <w:jc w:val="center"/>
        <w:rPr>
          <w:rFonts w:ascii="Cambria" w:hAnsi="Cambria"/>
          <w:b/>
          <w:bCs/>
          <w:color w:val="000000" w:themeColor="text1"/>
        </w:rPr>
      </w:pPr>
      <w:r w:rsidRPr="000732E5">
        <w:rPr>
          <w:rFonts w:ascii="Cambria" w:hAnsi="Cambria"/>
          <w:b/>
          <w:bCs/>
          <w:i/>
          <w:iCs/>
          <w:color w:val="0070C0"/>
        </w:rPr>
        <w:t xml:space="preserve">The </w:t>
      </w:r>
      <w:r>
        <w:rPr>
          <w:rFonts w:ascii="Cambria" w:hAnsi="Cambria"/>
          <w:b/>
          <w:bCs/>
          <w:i/>
          <w:iCs/>
          <w:color w:val="0070C0"/>
        </w:rPr>
        <w:t>UCITS KIID is</w:t>
      </w:r>
      <w:r w:rsidRPr="000732E5">
        <w:rPr>
          <w:rFonts w:ascii="Cambria" w:hAnsi="Cambria"/>
          <w:b/>
          <w:bCs/>
          <w:i/>
          <w:iCs/>
          <w:color w:val="0070C0"/>
        </w:rPr>
        <w:t xml:space="preserve"> still today one of the most valuable sources of information for both retail investors and public authorities.</w:t>
      </w:r>
      <w:r w:rsidRPr="000732E5">
        <w:rPr>
          <w:rStyle w:val="FootnoteReference"/>
          <w:rFonts w:ascii="Cambria" w:hAnsi="Cambria"/>
          <w:b/>
          <w:bCs/>
          <w:color w:val="000000" w:themeColor="text1"/>
        </w:rPr>
        <w:footnoteReference w:id="9"/>
      </w:r>
    </w:p>
    <w:p w14:paraId="602E37CB" w14:textId="77777777" w:rsidR="00455230" w:rsidRDefault="00455230" w:rsidP="00455230">
      <w:pPr>
        <w:jc w:val="both"/>
        <w:rPr>
          <w:rFonts w:ascii="Cambria" w:hAnsi="Cambria"/>
          <w:color w:val="000000" w:themeColor="text1"/>
        </w:rPr>
      </w:pPr>
      <w:r>
        <w:rPr>
          <w:rFonts w:ascii="Cambria" w:hAnsi="Cambria"/>
          <w:color w:val="000000" w:themeColor="text1"/>
        </w:rPr>
        <w:t>For reasons that BETTER FINANCE could not document,</w:t>
      </w:r>
      <w:r>
        <w:rPr>
          <w:rStyle w:val="FootnoteReference"/>
          <w:rFonts w:ascii="Cambria" w:hAnsi="Cambria"/>
          <w:color w:val="000000" w:themeColor="text1"/>
        </w:rPr>
        <w:footnoteReference w:id="10"/>
      </w:r>
      <w:r>
        <w:rPr>
          <w:rFonts w:ascii="Cambria" w:hAnsi="Cambria"/>
          <w:color w:val="000000" w:themeColor="text1"/>
        </w:rPr>
        <w:t xml:space="preserve"> the PRIIPs regulation shifted from actual information (returns and costs) to estimations </w:t>
      </w:r>
      <w:r w:rsidRPr="008F05F8">
        <w:rPr>
          <w:rFonts w:ascii="Cambria" w:hAnsi="Cambria"/>
          <w:b/>
          <w:bCs/>
          <w:i/>
          <w:iCs/>
          <w:color w:val="0070C0"/>
          <w:u w:val="single"/>
        </w:rPr>
        <w:t>in spite</w:t>
      </w:r>
      <w:r>
        <w:rPr>
          <w:rFonts w:ascii="Cambria" w:hAnsi="Cambria"/>
          <w:color w:val="000000" w:themeColor="text1"/>
        </w:rPr>
        <w:t xml:space="preserve"> of </w:t>
      </w:r>
      <w:r w:rsidRPr="00EA645A">
        <w:rPr>
          <w:rFonts w:ascii="Cambria" w:hAnsi="Cambria"/>
          <w:color w:val="000000" w:themeColor="text1"/>
        </w:rPr>
        <w:t>the PRIIPs Consumer Testing Exercise of 2015</w:t>
      </w:r>
      <w:r>
        <w:rPr>
          <w:rFonts w:ascii="Cambria" w:hAnsi="Cambria"/>
          <w:color w:val="000000" w:themeColor="text1"/>
        </w:rPr>
        <w:t xml:space="preserve"> mentioning among others that:</w:t>
      </w:r>
    </w:p>
    <w:p w14:paraId="681F6260" w14:textId="77777777" w:rsidR="00455230" w:rsidRDefault="00455230" w:rsidP="00E565B9">
      <w:pPr>
        <w:pStyle w:val="ListParagraph"/>
        <w:numPr>
          <w:ilvl w:val="0"/>
          <w:numId w:val="44"/>
        </w:numPr>
        <w:spacing w:after="160" w:line="259" w:lineRule="auto"/>
        <w:jc w:val="both"/>
        <w:rPr>
          <w:rFonts w:ascii="Cambria" w:hAnsi="Cambria"/>
          <w:color w:val="000000" w:themeColor="text1"/>
        </w:rPr>
      </w:pPr>
      <w:r>
        <w:rPr>
          <w:rFonts w:ascii="Cambria" w:hAnsi="Cambria"/>
          <w:color w:val="000000" w:themeColor="text1"/>
        </w:rPr>
        <w:t>“</w:t>
      </w:r>
      <w:r w:rsidRPr="00DE4806">
        <w:rPr>
          <w:rFonts w:asciiTheme="majorHAnsi" w:hAnsiTheme="majorHAnsi" w:cstheme="majorHAnsi"/>
          <w:i/>
          <w:iCs/>
          <w:color w:val="000000" w:themeColor="text1"/>
          <w:u w:val="single"/>
        </w:rPr>
        <w:t>respondents often wrongly assess likelihoods when shown performance scenarios</w:t>
      </w:r>
      <w:r>
        <w:rPr>
          <w:rFonts w:ascii="Cambria" w:hAnsi="Cambria"/>
          <w:color w:val="000000" w:themeColor="text1"/>
        </w:rPr>
        <w:t>”;</w:t>
      </w:r>
    </w:p>
    <w:p w14:paraId="170DF1D7" w14:textId="77777777" w:rsidR="00455230" w:rsidRDefault="00455230" w:rsidP="00E565B9">
      <w:pPr>
        <w:pStyle w:val="ListParagraph"/>
        <w:numPr>
          <w:ilvl w:val="0"/>
          <w:numId w:val="44"/>
        </w:numPr>
        <w:spacing w:after="160" w:line="259" w:lineRule="auto"/>
        <w:jc w:val="both"/>
        <w:rPr>
          <w:rFonts w:ascii="Cambria" w:hAnsi="Cambria"/>
          <w:color w:val="000000" w:themeColor="text1"/>
        </w:rPr>
      </w:pPr>
      <w:r>
        <w:rPr>
          <w:rFonts w:ascii="Cambria" w:hAnsi="Cambria"/>
          <w:color w:val="000000" w:themeColor="text1"/>
        </w:rPr>
        <w:t>“</w:t>
      </w:r>
      <w:r w:rsidRPr="00DE4806">
        <w:rPr>
          <w:rFonts w:asciiTheme="majorHAnsi" w:hAnsiTheme="majorHAnsi" w:cstheme="majorHAnsi"/>
          <w:i/>
          <w:iCs/>
          <w:color w:val="000000" w:themeColor="text1"/>
          <w:u w:val="single"/>
        </w:rPr>
        <w:t>respondents made mistakes even when presented with information on probability</w:t>
      </w:r>
      <w:r>
        <w:rPr>
          <w:rFonts w:ascii="Cambria" w:hAnsi="Cambria"/>
          <w:color w:val="000000" w:themeColor="text1"/>
        </w:rPr>
        <w:t>” of the estimated returns;</w:t>
      </w:r>
    </w:p>
    <w:p w14:paraId="0D038D57" w14:textId="77777777" w:rsidR="00455230" w:rsidRDefault="00455230" w:rsidP="00E565B9">
      <w:pPr>
        <w:pStyle w:val="ListParagraph"/>
        <w:numPr>
          <w:ilvl w:val="0"/>
          <w:numId w:val="44"/>
        </w:numPr>
        <w:spacing w:after="160" w:line="259" w:lineRule="auto"/>
        <w:jc w:val="both"/>
        <w:rPr>
          <w:rFonts w:ascii="Cambria" w:hAnsi="Cambria"/>
          <w:color w:val="000000" w:themeColor="text1"/>
        </w:rPr>
      </w:pPr>
      <w:r>
        <w:rPr>
          <w:rFonts w:ascii="Cambria" w:hAnsi="Cambria"/>
          <w:color w:val="000000" w:themeColor="text1"/>
        </w:rPr>
        <w:t>“</w:t>
      </w:r>
      <w:r w:rsidRPr="00DE4806">
        <w:rPr>
          <w:rFonts w:asciiTheme="majorHAnsi" w:hAnsiTheme="majorHAnsi" w:cstheme="majorHAnsi"/>
          <w:i/>
          <w:iCs/>
          <w:color w:val="000000" w:themeColor="text1"/>
          <w:u w:val="single"/>
        </w:rPr>
        <w:t>respondents perform better when presented with simpler information</w:t>
      </w:r>
      <w:r>
        <w:rPr>
          <w:rFonts w:ascii="Cambria" w:hAnsi="Cambria"/>
          <w:color w:val="000000" w:themeColor="text1"/>
        </w:rPr>
        <w:t>”, which in our view is a clear-cut actual (past) data;</w:t>
      </w:r>
    </w:p>
    <w:p w14:paraId="5C51F9FA" w14:textId="77777777" w:rsidR="00455230" w:rsidRDefault="00455230" w:rsidP="00E565B9">
      <w:pPr>
        <w:pStyle w:val="ListParagraph"/>
        <w:numPr>
          <w:ilvl w:val="0"/>
          <w:numId w:val="44"/>
        </w:numPr>
        <w:spacing w:after="160" w:line="259" w:lineRule="auto"/>
        <w:jc w:val="both"/>
        <w:rPr>
          <w:rFonts w:ascii="Cambria" w:hAnsi="Cambria"/>
          <w:color w:val="000000" w:themeColor="text1"/>
        </w:rPr>
      </w:pPr>
      <w:r>
        <w:rPr>
          <w:rFonts w:ascii="Cambria" w:hAnsi="Cambria"/>
          <w:color w:val="000000" w:themeColor="text1"/>
        </w:rPr>
        <w:t>“</w:t>
      </w:r>
      <w:r w:rsidRPr="00DE4806">
        <w:rPr>
          <w:rFonts w:asciiTheme="majorHAnsi" w:hAnsiTheme="majorHAnsi" w:cstheme="majorHAnsi"/>
          <w:i/>
          <w:iCs/>
          <w:color w:val="000000" w:themeColor="text1"/>
          <w:u w:val="single"/>
        </w:rPr>
        <w:t>a minority of participants understood that the costs shown might not represent the actual costs they will pay</w:t>
      </w:r>
      <w:r>
        <w:rPr>
          <w:rFonts w:ascii="Cambria" w:hAnsi="Cambria"/>
          <w:color w:val="000000" w:themeColor="text1"/>
        </w:rPr>
        <w:t>”; and</w:t>
      </w:r>
    </w:p>
    <w:p w14:paraId="4FEFCE93" w14:textId="77777777" w:rsidR="00455230" w:rsidRDefault="00455230" w:rsidP="00E565B9">
      <w:pPr>
        <w:pStyle w:val="ListParagraph"/>
        <w:numPr>
          <w:ilvl w:val="0"/>
          <w:numId w:val="44"/>
        </w:numPr>
        <w:spacing w:after="160" w:line="259" w:lineRule="auto"/>
        <w:jc w:val="both"/>
        <w:rPr>
          <w:rFonts w:ascii="Cambria" w:hAnsi="Cambria"/>
          <w:color w:val="000000" w:themeColor="text1"/>
        </w:rPr>
      </w:pPr>
      <w:r>
        <w:rPr>
          <w:rFonts w:ascii="Cambria" w:hAnsi="Cambria"/>
          <w:color w:val="000000" w:themeColor="text1"/>
        </w:rPr>
        <w:t>“</w:t>
      </w:r>
      <w:r w:rsidRPr="00DE4806">
        <w:rPr>
          <w:rFonts w:asciiTheme="majorHAnsi" w:hAnsiTheme="majorHAnsi" w:cstheme="majorHAnsi"/>
          <w:i/>
          <w:iCs/>
          <w:color w:val="000000" w:themeColor="text1"/>
          <w:u w:val="single"/>
        </w:rPr>
        <w:t>most cost section’s questions posed difficulties in understanding for participants</w:t>
      </w:r>
      <w:r>
        <w:rPr>
          <w:rFonts w:ascii="Cambria" w:hAnsi="Cambria"/>
          <w:color w:val="000000" w:themeColor="text1"/>
        </w:rPr>
        <w:t>”,</w:t>
      </w:r>
      <w:r>
        <w:rPr>
          <w:rStyle w:val="FootnoteReference"/>
          <w:rFonts w:ascii="Cambria" w:hAnsi="Cambria"/>
          <w:color w:val="000000" w:themeColor="text1"/>
        </w:rPr>
        <w:footnoteReference w:id="11"/>
      </w:r>
    </w:p>
    <w:p w14:paraId="3DD4C6AD" w14:textId="77777777" w:rsidR="00455230" w:rsidRDefault="00455230" w:rsidP="00455230">
      <w:pPr>
        <w:jc w:val="both"/>
        <w:rPr>
          <w:rFonts w:ascii="Cambria" w:hAnsi="Cambria"/>
          <w:color w:val="000000" w:themeColor="text1"/>
        </w:rPr>
      </w:pPr>
      <w:r>
        <w:rPr>
          <w:rFonts w:ascii="Cambria" w:hAnsi="Cambria"/>
          <w:color w:val="000000" w:themeColor="text1"/>
        </w:rPr>
        <w:t>Moreover, the qualitative parts of the PRIIPs Consumer Testing exercise revealed that the factors causing most confusion for retail investors were:</w:t>
      </w:r>
    </w:p>
    <w:p w14:paraId="26D6BC8E" w14:textId="77777777" w:rsidR="00455230" w:rsidRDefault="00455230" w:rsidP="00E565B9">
      <w:pPr>
        <w:pStyle w:val="ListParagraph"/>
        <w:numPr>
          <w:ilvl w:val="0"/>
          <w:numId w:val="45"/>
        </w:numPr>
        <w:spacing w:after="160" w:line="259" w:lineRule="auto"/>
        <w:jc w:val="both"/>
        <w:rPr>
          <w:rFonts w:ascii="Cambria" w:hAnsi="Cambria"/>
          <w:color w:val="000000" w:themeColor="text1"/>
        </w:rPr>
      </w:pPr>
      <w:r>
        <w:rPr>
          <w:rFonts w:ascii="Cambria" w:hAnsi="Cambria"/>
          <w:color w:val="000000" w:themeColor="text1"/>
        </w:rPr>
        <w:t>Understanding that the costs figures were not exact, and</w:t>
      </w:r>
    </w:p>
    <w:p w14:paraId="170C6808" w14:textId="77777777" w:rsidR="00455230" w:rsidRDefault="00455230" w:rsidP="00E565B9">
      <w:pPr>
        <w:pStyle w:val="ListParagraph"/>
        <w:numPr>
          <w:ilvl w:val="0"/>
          <w:numId w:val="45"/>
        </w:numPr>
        <w:spacing w:after="160" w:line="259" w:lineRule="auto"/>
        <w:jc w:val="both"/>
        <w:rPr>
          <w:rFonts w:ascii="Cambria" w:hAnsi="Cambria"/>
          <w:color w:val="000000" w:themeColor="text1"/>
        </w:rPr>
      </w:pPr>
      <w:r>
        <w:rPr>
          <w:rFonts w:ascii="Cambria" w:hAnsi="Cambria"/>
          <w:color w:val="000000" w:themeColor="text1"/>
        </w:rPr>
        <w:t>Understanding performance scenarios.</w:t>
      </w:r>
      <w:r>
        <w:rPr>
          <w:rStyle w:val="FootnoteReference"/>
          <w:rFonts w:ascii="Cambria" w:hAnsi="Cambria"/>
          <w:color w:val="000000" w:themeColor="text1"/>
        </w:rPr>
        <w:footnoteReference w:id="12"/>
      </w:r>
    </w:p>
    <w:p w14:paraId="51FFC995" w14:textId="77777777" w:rsidR="00455230" w:rsidRDefault="00455230" w:rsidP="00455230">
      <w:pPr>
        <w:jc w:val="both"/>
        <w:rPr>
          <w:rFonts w:ascii="Cambria" w:hAnsi="Cambria"/>
          <w:color w:val="000000" w:themeColor="text1"/>
        </w:rPr>
      </w:pPr>
      <w:r>
        <w:rPr>
          <w:rFonts w:ascii="Cambria" w:hAnsi="Cambria"/>
          <w:color w:val="000000" w:themeColor="text1"/>
        </w:rPr>
        <w:t>Lastly, if additional explanations could be added to clarify issues for retail investors, research shows that information overload:</w:t>
      </w:r>
    </w:p>
    <w:p w14:paraId="5CE52854" w14:textId="77777777" w:rsidR="00455230" w:rsidRDefault="00455230" w:rsidP="00E565B9">
      <w:pPr>
        <w:pStyle w:val="ListParagraph"/>
        <w:numPr>
          <w:ilvl w:val="0"/>
          <w:numId w:val="49"/>
        </w:numPr>
        <w:spacing w:after="160" w:line="259" w:lineRule="auto"/>
        <w:jc w:val="both"/>
        <w:rPr>
          <w:rFonts w:ascii="Cambria" w:hAnsi="Cambria"/>
          <w:color w:val="000000" w:themeColor="text1"/>
        </w:rPr>
      </w:pPr>
      <w:r w:rsidRPr="00BE5B1A">
        <w:rPr>
          <w:rFonts w:ascii="Cambria" w:hAnsi="Cambria"/>
          <w:color w:val="000000" w:themeColor="text1"/>
        </w:rPr>
        <w:t>reduces the attention and likelihood of investors to read the KID,</w:t>
      </w:r>
      <w:r>
        <w:rPr>
          <w:rStyle w:val="FootnoteReference"/>
          <w:rFonts w:ascii="Cambria" w:hAnsi="Cambria"/>
          <w:color w:val="000000" w:themeColor="text1"/>
        </w:rPr>
        <w:footnoteReference w:id="13"/>
      </w:r>
      <w:r w:rsidRPr="00BE5B1A">
        <w:rPr>
          <w:rFonts w:ascii="Cambria" w:hAnsi="Cambria"/>
          <w:color w:val="000000" w:themeColor="text1"/>
        </w:rPr>
        <w:t xml:space="preserve"> </w:t>
      </w:r>
    </w:p>
    <w:p w14:paraId="5E48F821" w14:textId="77777777" w:rsidR="00455230" w:rsidRDefault="00455230" w:rsidP="00E565B9">
      <w:pPr>
        <w:pStyle w:val="ListParagraph"/>
        <w:numPr>
          <w:ilvl w:val="0"/>
          <w:numId w:val="49"/>
        </w:numPr>
        <w:spacing w:after="160" w:line="259" w:lineRule="auto"/>
        <w:jc w:val="both"/>
        <w:rPr>
          <w:rFonts w:ascii="Cambria" w:hAnsi="Cambria"/>
          <w:color w:val="000000" w:themeColor="text1"/>
        </w:rPr>
      </w:pPr>
      <w:r w:rsidRPr="00BE5B1A">
        <w:rPr>
          <w:rFonts w:ascii="Cambria" w:hAnsi="Cambria"/>
          <w:color w:val="000000" w:themeColor="text1"/>
        </w:rPr>
        <w:t>reduces their ability to understand the product</w:t>
      </w:r>
      <w:r>
        <w:rPr>
          <w:rFonts w:ascii="Cambria" w:hAnsi="Cambria"/>
          <w:color w:val="000000" w:themeColor="text1"/>
        </w:rPr>
        <w:t>,</w:t>
      </w:r>
      <w:r>
        <w:rPr>
          <w:rStyle w:val="FootnoteReference"/>
          <w:rFonts w:ascii="Cambria" w:hAnsi="Cambria"/>
          <w:color w:val="000000" w:themeColor="text1"/>
        </w:rPr>
        <w:footnoteReference w:id="14"/>
      </w:r>
      <w:r w:rsidRPr="00BE5B1A">
        <w:rPr>
          <w:rFonts w:ascii="Cambria" w:hAnsi="Cambria"/>
          <w:color w:val="000000" w:themeColor="text1"/>
        </w:rPr>
        <w:t xml:space="preserve"> and </w:t>
      </w:r>
    </w:p>
    <w:p w14:paraId="3063ED1F" w14:textId="77777777" w:rsidR="00455230" w:rsidRPr="00BE5B1A" w:rsidRDefault="00455230" w:rsidP="00E565B9">
      <w:pPr>
        <w:pStyle w:val="ListParagraph"/>
        <w:numPr>
          <w:ilvl w:val="0"/>
          <w:numId w:val="49"/>
        </w:numPr>
        <w:spacing w:after="160" w:line="259" w:lineRule="auto"/>
        <w:jc w:val="both"/>
        <w:rPr>
          <w:rFonts w:ascii="Cambria" w:hAnsi="Cambria"/>
          <w:color w:val="000000" w:themeColor="text1"/>
        </w:rPr>
      </w:pPr>
      <w:r w:rsidRPr="00BE5B1A">
        <w:rPr>
          <w:rFonts w:ascii="Cambria" w:hAnsi="Cambria"/>
          <w:color w:val="000000" w:themeColor="text1"/>
        </w:rPr>
        <w:t>reduces the “</w:t>
      </w:r>
      <w:r w:rsidRPr="00BE5B1A">
        <w:rPr>
          <w:rFonts w:asciiTheme="majorHAnsi" w:hAnsiTheme="majorHAnsi" w:cstheme="majorHAnsi"/>
          <w:i/>
          <w:iCs/>
          <w:color w:val="000000" w:themeColor="text1"/>
        </w:rPr>
        <w:t>perceived usefulness</w:t>
      </w:r>
      <w:r w:rsidRPr="00BE5B1A">
        <w:rPr>
          <w:rFonts w:ascii="Cambria" w:hAnsi="Cambria"/>
          <w:color w:val="000000" w:themeColor="text1"/>
        </w:rPr>
        <w:t>” of the KID.</w:t>
      </w:r>
      <w:r>
        <w:rPr>
          <w:rStyle w:val="FootnoteReference"/>
          <w:rFonts w:ascii="Cambria" w:hAnsi="Cambria"/>
          <w:color w:val="000000" w:themeColor="text1"/>
        </w:rPr>
        <w:footnoteReference w:id="15"/>
      </w:r>
    </w:p>
    <w:p w14:paraId="048C7DA8" w14:textId="77777777" w:rsidR="00455230" w:rsidRDefault="00455230" w:rsidP="00455230">
      <w:pPr>
        <w:jc w:val="both"/>
        <w:rPr>
          <w:rFonts w:ascii="Cambria" w:hAnsi="Cambria"/>
          <w:color w:val="000000" w:themeColor="text1"/>
        </w:rPr>
      </w:pPr>
      <w:r>
        <w:rPr>
          <w:rFonts w:ascii="Cambria" w:hAnsi="Cambria"/>
          <w:color w:val="000000" w:themeColor="text1"/>
        </w:rPr>
        <w:t>Yet, the PRIIPs Regulation produced a longer, more complex, misleading and inaccurate key information document (KID), that by essence puts forward only estimations of future performances and future costs, and no actual or accurate financial data:</w:t>
      </w:r>
    </w:p>
    <w:p w14:paraId="1CBD3CC6" w14:textId="77777777" w:rsidR="00455230" w:rsidRDefault="00455230" w:rsidP="00E565B9">
      <w:pPr>
        <w:pStyle w:val="ListParagraph"/>
        <w:numPr>
          <w:ilvl w:val="0"/>
          <w:numId w:val="46"/>
        </w:numPr>
        <w:spacing w:after="160" w:line="259" w:lineRule="auto"/>
        <w:jc w:val="both"/>
        <w:rPr>
          <w:rFonts w:ascii="Cambria" w:hAnsi="Cambria"/>
          <w:color w:val="000000" w:themeColor="text1"/>
        </w:rPr>
      </w:pPr>
      <w:r>
        <w:rPr>
          <w:rFonts w:ascii="Cambria" w:hAnsi="Cambria"/>
          <w:color w:val="000000" w:themeColor="text1"/>
        </w:rPr>
        <w:t>in the risk and reward section:</w:t>
      </w:r>
    </w:p>
    <w:p w14:paraId="22D127E3" w14:textId="77777777" w:rsidR="00455230" w:rsidRDefault="00455230" w:rsidP="00E565B9">
      <w:pPr>
        <w:pStyle w:val="ListParagraph"/>
        <w:numPr>
          <w:ilvl w:val="1"/>
          <w:numId w:val="46"/>
        </w:numPr>
        <w:spacing w:after="160" w:line="259" w:lineRule="auto"/>
        <w:ind w:hanging="164"/>
        <w:jc w:val="both"/>
        <w:rPr>
          <w:rFonts w:ascii="Cambria" w:hAnsi="Cambria"/>
          <w:color w:val="000000" w:themeColor="text1"/>
        </w:rPr>
      </w:pPr>
      <w:r>
        <w:rPr>
          <w:rFonts w:ascii="Cambria" w:hAnsi="Cambria"/>
          <w:color w:val="000000" w:themeColor="text1"/>
        </w:rPr>
        <w:t>probabilities of loss due to credit and market risk;</w:t>
      </w:r>
    </w:p>
    <w:p w14:paraId="4CF3EC88" w14:textId="77777777" w:rsidR="00455230" w:rsidRDefault="00455230" w:rsidP="00E565B9">
      <w:pPr>
        <w:pStyle w:val="ListParagraph"/>
        <w:numPr>
          <w:ilvl w:val="1"/>
          <w:numId w:val="46"/>
        </w:numPr>
        <w:spacing w:after="160" w:line="259" w:lineRule="auto"/>
        <w:ind w:hanging="164"/>
        <w:jc w:val="both"/>
        <w:rPr>
          <w:rFonts w:ascii="Cambria" w:hAnsi="Cambria"/>
          <w:color w:val="000000" w:themeColor="text1"/>
        </w:rPr>
      </w:pPr>
      <w:r>
        <w:rPr>
          <w:rFonts w:ascii="Cambria" w:hAnsi="Cambria"/>
          <w:color w:val="000000" w:themeColor="text1"/>
        </w:rPr>
        <w:t>probabilities of return factored in past performance data;</w:t>
      </w:r>
    </w:p>
    <w:p w14:paraId="44C5F8AB" w14:textId="77777777" w:rsidR="00455230" w:rsidRDefault="00455230" w:rsidP="00E565B9">
      <w:pPr>
        <w:pStyle w:val="ListParagraph"/>
        <w:numPr>
          <w:ilvl w:val="0"/>
          <w:numId w:val="46"/>
        </w:numPr>
        <w:spacing w:after="160" w:line="259" w:lineRule="auto"/>
        <w:jc w:val="both"/>
        <w:rPr>
          <w:rFonts w:ascii="Cambria" w:hAnsi="Cambria"/>
          <w:color w:val="000000" w:themeColor="text1"/>
        </w:rPr>
      </w:pPr>
      <w:r>
        <w:rPr>
          <w:rFonts w:ascii="Cambria" w:hAnsi="Cambria"/>
          <w:color w:val="000000" w:themeColor="text1"/>
        </w:rPr>
        <w:t>in the costs section, estimations of future costs.</w:t>
      </w:r>
    </w:p>
    <w:p w14:paraId="79E19B19" w14:textId="77777777" w:rsidR="00455230" w:rsidRPr="00272969" w:rsidRDefault="00455230" w:rsidP="00455230">
      <w:pPr>
        <w:jc w:val="both"/>
        <w:rPr>
          <w:rFonts w:ascii="Cambria" w:hAnsi="Cambria"/>
          <w:color w:val="000000" w:themeColor="text1"/>
        </w:rPr>
      </w:pPr>
      <w:r w:rsidRPr="00272969">
        <w:rPr>
          <w:rFonts w:ascii="Cambria" w:hAnsi="Cambria"/>
          <w:color w:val="000000" w:themeColor="text1"/>
        </w:rPr>
        <w:t>Ultimately, in order to address all these issues, the methodology proposed by the ESAs needs further explanations and caveats to inform non-professional investors of the limitations of information presented therein.</w:t>
      </w:r>
    </w:p>
    <w:p w14:paraId="5F080C42" w14:textId="77777777" w:rsidR="00455230" w:rsidRDefault="00455230" w:rsidP="00455230">
      <w:pPr>
        <w:jc w:val="both"/>
        <w:rPr>
          <w:rFonts w:ascii="Cambria" w:hAnsi="Cambria"/>
          <w:color w:val="000000" w:themeColor="text1"/>
        </w:rPr>
      </w:pPr>
      <w:r>
        <w:rPr>
          <w:rFonts w:ascii="Cambria" w:hAnsi="Cambria"/>
          <w:color w:val="000000" w:themeColor="text1"/>
        </w:rPr>
        <w:t>What must be weighted in when analysing the PRIIPs Consumer Testing exercise of 2015 is that:</w:t>
      </w:r>
    </w:p>
    <w:p w14:paraId="52CB3BAF" w14:textId="77777777" w:rsidR="00455230" w:rsidRDefault="00455230" w:rsidP="00E565B9">
      <w:pPr>
        <w:pStyle w:val="ListParagraph"/>
        <w:numPr>
          <w:ilvl w:val="0"/>
          <w:numId w:val="47"/>
        </w:numPr>
        <w:spacing w:after="160" w:line="259" w:lineRule="auto"/>
        <w:ind w:hanging="153"/>
        <w:jc w:val="both"/>
        <w:rPr>
          <w:rFonts w:ascii="Cambria" w:hAnsi="Cambria"/>
          <w:color w:val="000000" w:themeColor="text1"/>
        </w:rPr>
      </w:pPr>
      <w:r w:rsidRPr="008F41AE">
        <w:rPr>
          <w:rFonts w:ascii="Cambria" w:hAnsi="Cambria"/>
          <w:color w:val="000000" w:themeColor="text1"/>
        </w:rPr>
        <w:lastRenderedPageBreak/>
        <w:t>respondents and participants were presented with different versions of the same methodology, i.e. estimations of returns and costs</w:t>
      </w:r>
      <w:r>
        <w:rPr>
          <w:rFonts w:ascii="Cambria" w:hAnsi="Cambria"/>
          <w:color w:val="000000" w:themeColor="text1"/>
        </w:rPr>
        <w:t>;</w:t>
      </w:r>
      <w:r w:rsidRPr="008F41AE">
        <w:rPr>
          <w:rFonts w:ascii="Cambria" w:hAnsi="Cambria"/>
          <w:color w:val="000000" w:themeColor="text1"/>
        </w:rPr>
        <w:t xml:space="preserve"> and that</w:t>
      </w:r>
    </w:p>
    <w:p w14:paraId="59BD7E24" w14:textId="77777777" w:rsidR="00455230" w:rsidRDefault="00455230" w:rsidP="00E565B9">
      <w:pPr>
        <w:pStyle w:val="ListParagraph"/>
        <w:numPr>
          <w:ilvl w:val="0"/>
          <w:numId w:val="47"/>
        </w:numPr>
        <w:spacing w:after="160" w:line="259" w:lineRule="auto"/>
        <w:ind w:hanging="153"/>
        <w:jc w:val="both"/>
        <w:rPr>
          <w:rFonts w:ascii="Cambria" w:hAnsi="Cambria"/>
          <w:color w:val="000000" w:themeColor="text1"/>
        </w:rPr>
      </w:pPr>
      <w:r w:rsidRPr="00F049A7">
        <w:rPr>
          <w:rFonts w:ascii="Cambria" w:hAnsi="Cambria"/>
          <w:b/>
          <w:bCs/>
          <w:color w:val="000000" w:themeColor="text1"/>
        </w:rPr>
        <w:t>at no point in the past 20 years has consumer understanding of past performance been tested against understanding of return estimations</w:t>
      </w:r>
      <w:r w:rsidRPr="008F41AE">
        <w:rPr>
          <w:rFonts w:ascii="Cambria" w:hAnsi="Cambria"/>
          <w:color w:val="000000" w:themeColor="text1"/>
        </w:rPr>
        <w:t xml:space="preserve">. </w:t>
      </w:r>
    </w:p>
    <w:p w14:paraId="559D158D" w14:textId="5F039C98" w:rsidR="00455230" w:rsidRDefault="00455230" w:rsidP="00455230">
      <w:pPr>
        <w:jc w:val="both"/>
        <w:rPr>
          <w:rFonts w:ascii="Cambria" w:hAnsi="Cambria"/>
          <w:color w:val="000000" w:themeColor="text1"/>
        </w:rPr>
      </w:pPr>
      <w:r>
        <w:rPr>
          <w:rFonts w:ascii="Cambria" w:hAnsi="Cambria"/>
          <w:color w:val="000000" w:themeColor="text1"/>
        </w:rPr>
        <w:t>Contrary to</w:t>
      </w:r>
      <w:r w:rsidRPr="008F41AE">
        <w:rPr>
          <w:rFonts w:ascii="Cambria" w:hAnsi="Cambria"/>
          <w:color w:val="000000" w:themeColor="text1"/>
        </w:rPr>
        <w:t xml:space="preserve"> its stated </w:t>
      </w:r>
      <w:r>
        <w:rPr>
          <w:rFonts w:ascii="Cambria" w:hAnsi="Cambria"/>
          <w:color w:val="000000" w:themeColor="text1"/>
        </w:rPr>
        <w:t>consultation work</w:t>
      </w:r>
      <w:r>
        <w:rPr>
          <w:rStyle w:val="FootnoteReference"/>
          <w:rFonts w:ascii="Cambria" w:hAnsi="Cambria"/>
          <w:color w:val="000000" w:themeColor="text1"/>
        </w:rPr>
        <w:footnoteReference w:id="16"/>
      </w:r>
      <w:r w:rsidRPr="008F41AE">
        <w:rPr>
          <w:rFonts w:ascii="Cambria" w:hAnsi="Cambria"/>
          <w:color w:val="000000" w:themeColor="text1"/>
        </w:rPr>
        <w:t xml:space="preserve"> and the trends of national competent authorities,</w:t>
      </w:r>
      <w:r>
        <w:rPr>
          <w:rStyle w:val="FootnoteReference"/>
          <w:rFonts w:ascii="Cambria" w:hAnsi="Cambria"/>
          <w:color w:val="000000" w:themeColor="text1"/>
        </w:rPr>
        <w:footnoteReference w:id="17"/>
      </w:r>
      <w:r w:rsidRPr="008F41AE">
        <w:rPr>
          <w:rFonts w:ascii="Cambria" w:hAnsi="Cambria"/>
          <w:color w:val="000000" w:themeColor="text1"/>
        </w:rPr>
        <w:t xml:space="preserve"> the Proposal for a Regulation on PRIIPs</w:t>
      </w:r>
      <w:r>
        <w:rPr>
          <w:rStyle w:val="FootnoteReference"/>
          <w:rFonts w:ascii="Cambria" w:hAnsi="Cambria"/>
          <w:color w:val="000000" w:themeColor="text1"/>
        </w:rPr>
        <w:footnoteReference w:id="18"/>
      </w:r>
      <w:r w:rsidRPr="008F41AE">
        <w:rPr>
          <w:rFonts w:ascii="Cambria" w:hAnsi="Cambria"/>
          <w:color w:val="000000" w:themeColor="text1"/>
        </w:rPr>
        <w:t xml:space="preserve"> </w:t>
      </w:r>
      <w:r>
        <w:rPr>
          <w:rFonts w:ascii="Cambria" w:hAnsi="Cambria"/>
          <w:color w:val="000000" w:themeColor="text1"/>
        </w:rPr>
        <w:t>in our view ignored evidence</w:t>
      </w:r>
      <w:r w:rsidRPr="008F41AE">
        <w:rPr>
          <w:rFonts w:ascii="Cambria" w:hAnsi="Cambria"/>
          <w:color w:val="000000" w:themeColor="text1"/>
        </w:rPr>
        <w:t xml:space="preserve"> and reflected political ambition and financial industry preferences.</w:t>
      </w:r>
      <w:r>
        <w:rPr>
          <w:rFonts w:ascii="Cambria" w:hAnsi="Cambria"/>
          <w:color w:val="000000" w:themeColor="text1"/>
        </w:rPr>
        <w:t xml:space="preserve"> </w:t>
      </w:r>
    </w:p>
    <w:p w14:paraId="0650A056" w14:textId="77777777" w:rsidR="00455230" w:rsidRPr="006E3AEE" w:rsidRDefault="00455230" w:rsidP="00455230">
      <w:pPr>
        <w:pBdr>
          <w:top w:val="single" w:sz="4" w:space="1" w:color="auto"/>
          <w:left w:val="single" w:sz="4" w:space="4" w:color="auto"/>
          <w:bottom w:val="single" w:sz="4" w:space="1" w:color="auto"/>
          <w:right w:val="single" w:sz="4" w:space="4" w:color="auto"/>
        </w:pBdr>
        <w:ind w:left="851" w:right="850"/>
        <w:jc w:val="center"/>
        <w:rPr>
          <w:rFonts w:ascii="Cambria" w:hAnsi="Cambria"/>
          <w:b/>
          <w:bCs/>
          <w:color w:val="000000" w:themeColor="text1"/>
        </w:rPr>
      </w:pPr>
      <w:r w:rsidRPr="000732E5">
        <w:rPr>
          <w:rFonts w:ascii="Cambria" w:hAnsi="Cambria"/>
          <w:b/>
          <w:bCs/>
          <w:color w:val="0070C0"/>
        </w:rPr>
        <w:t xml:space="preserve">It is still unimaginable </w:t>
      </w:r>
      <w:r>
        <w:rPr>
          <w:rFonts w:ascii="Cambria" w:hAnsi="Cambria"/>
          <w:b/>
          <w:bCs/>
          <w:color w:val="0070C0"/>
        </w:rPr>
        <w:t>why</w:t>
      </w:r>
      <w:r w:rsidRPr="000732E5">
        <w:rPr>
          <w:rFonts w:ascii="Cambria" w:hAnsi="Cambria"/>
          <w:b/>
          <w:bCs/>
          <w:color w:val="0070C0"/>
        </w:rPr>
        <w:t xml:space="preserve"> EU financial regulation warn</w:t>
      </w:r>
      <w:r>
        <w:rPr>
          <w:rFonts w:ascii="Cambria" w:hAnsi="Cambria"/>
          <w:b/>
          <w:bCs/>
          <w:color w:val="0070C0"/>
        </w:rPr>
        <w:t>s</w:t>
      </w:r>
      <w:r w:rsidRPr="000732E5">
        <w:rPr>
          <w:rFonts w:ascii="Cambria" w:hAnsi="Cambria"/>
          <w:b/>
          <w:bCs/>
          <w:color w:val="0070C0"/>
        </w:rPr>
        <w:t xml:space="preserve"> that </w:t>
      </w:r>
      <w:r w:rsidRPr="00134774">
        <w:rPr>
          <w:rFonts w:ascii="Cambria" w:hAnsi="Cambria"/>
          <w:b/>
          <w:bCs/>
        </w:rPr>
        <w:t>“past performance is not a reliable indicator of future results”</w:t>
      </w:r>
      <w:r w:rsidRPr="00A102B4">
        <w:rPr>
          <w:rFonts w:ascii="Cambria" w:hAnsi="Cambria"/>
          <w:vertAlign w:val="superscript"/>
        </w:rPr>
        <w:footnoteReference w:id="19"/>
      </w:r>
      <w:r w:rsidRPr="00134774">
        <w:rPr>
          <w:rFonts w:ascii="Cambria" w:hAnsi="Cambria"/>
          <w:b/>
          <w:bCs/>
        </w:rPr>
        <w:t xml:space="preserve"> </w:t>
      </w:r>
      <w:r w:rsidRPr="000732E5">
        <w:rPr>
          <w:rFonts w:ascii="Cambria" w:hAnsi="Cambria"/>
          <w:b/>
          <w:bCs/>
          <w:color w:val="0070C0"/>
        </w:rPr>
        <w:t xml:space="preserve">but </w:t>
      </w:r>
      <w:r>
        <w:rPr>
          <w:rFonts w:ascii="Cambria" w:hAnsi="Cambria"/>
          <w:b/>
          <w:bCs/>
          <w:color w:val="0070C0"/>
        </w:rPr>
        <w:t xml:space="preserve">at the same time </w:t>
      </w:r>
      <w:r w:rsidRPr="000732E5">
        <w:rPr>
          <w:rFonts w:ascii="Cambria" w:hAnsi="Cambria"/>
          <w:b/>
          <w:bCs/>
          <w:color w:val="0070C0"/>
        </w:rPr>
        <w:t xml:space="preserve">obliges product manufacturers to estimate future results based </w:t>
      </w:r>
      <w:r>
        <w:rPr>
          <w:rFonts w:ascii="Cambria" w:hAnsi="Cambria"/>
          <w:b/>
          <w:bCs/>
          <w:color w:val="0070C0"/>
        </w:rPr>
        <w:t xml:space="preserve">exactly </w:t>
      </w:r>
      <w:r w:rsidRPr="000732E5">
        <w:rPr>
          <w:rFonts w:ascii="Cambria" w:hAnsi="Cambria"/>
          <w:b/>
          <w:bCs/>
          <w:color w:val="0070C0"/>
        </w:rPr>
        <w:t>on past performance</w:t>
      </w:r>
      <w:r w:rsidRPr="005B4238">
        <w:rPr>
          <w:rFonts w:ascii="Cambria" w:hAnsi="Cambria"/>
          <w:b/>
          <w:bCs/>
          <w:color w:val="0070C0"/>
        </w:rPr>
        <w:t>.</w:t>
      </w:r>
      <w:r w:rsidRPr="00A102B4">
        <w:rPr>
          <w:rStyle w:val="FootnoteReference"/>
          <w:rFonts w:ascii="Cambria" w:hAnsi="Cambria"/>
          <w:color w:val="000000" w:themeColor="text1"/>
        </w:rPr>
        <w:footnoteReference w:id="20"/>
      </w:r>
    </w:p>
    <w:p w14:paraId="5E23BC1C" w14:textId="77777777" w:rsidR="00455230" w:rsidRDefault="00455230" w:rsidP="00455230">
      <w:pPr>
        <w:jc w:val="both"/>
        <w:rPr>
          <w:rFonts w:ascii="Cambria" w:hAnsi="Cambria"/>
          <w:color w:val="000000" w:themeColor="text1"/>
        </w:rPr>
      </w:pPr>
      <w:r>
        <w:rPr>
          <w:rFonts w:ascii="Cambria" w:hAnsi="Cambria"/>
          <w:color w:val="000000" w:themeColor="text1"/>
        </w:rPr>
        <w:t>To this end, in BETTER FINANCE’s view it is less harmful to offer no information rather than misleading or confusing information to non-professional, individual and small investors. We also believe that public authorities and stakeholders must be reminded of the beneficiaries, functionality and purpose of a KID:</w:t>
      </w:r>
    </w:p>
    <w:p w14:paraId="1BF47935" w14:textId="77777777" w:rsidR="00455230" w:rsidRDefault="00455230" w:rsidP="00E565B9">
      <w:pPr>
        <w:pStyle w:val="ListParagraph"/>
        <w:numPr>
          <w:ilvl w:val="0"/>
          <w:numId w:val="50"/>
        </w:numPr>
        <w:spacing w:after="160" w:line="259" w:lineRule="auto"/>
        <w:jc w:val="both"/>
        <w:rPr>
          <w:rFonts w:ascii="Cambria" w:hAnsi="Cambria"/>
          <w:color w:val="000000" w:themeColor="text1"/>
        </w:rPr>
      </w:pPr>
      <w:r>
        <w:rPr>
          <w:rFonts w:ascii="Cambria" w:hAnsi="Cambria"/>
          <w:b/>
          <w:bCs/>
          <w:color w:val="000000" w:themeColor="text1"/>
        </w:rPr>
        <w:t>beneficiaries</w:t>
      </w:r>
      <w:r>
        <w:rPr>
          <w:rFonts w:ascii="Cambria" w:hAnsi="Cambria"/>
          <w:color w:val="000000" w:themeColor="text1"/>
        </w:rPr>
        <w:t>: individual, non-professional and small investors and savers (“</w:t>
      </w:r>
      <w:r>
        <w:rPr>
          <w:rFonts w:ascii="Cambria" w:hAnsi="Cambria"/>
          <w:b/>
          <w:bCs/>
          <w:color w:val="000000" w:themeColor="text1"/>
        </w:rPr>
        <w:t>retail</w:t>
      </w:r>
      <w:r>
        <w:rPr>
          <w:rFonts w:ascii="Cambria" w:hAnsi="Cambria"/>
          <w:color w:val="000000" w:themeColor="text1"/>
        </w:rPr>
        <w:t>”);</w:t>
      </w:r>
    </w:p>
    <w:p w14:paraId="0CDAA379" w14:textId="77777777" w:rsidR="00455230" w:rsidRDefault="00455230" w:rsidP="00E565B9">
      <w:pPr>
        <w:pStyle w:val="ListParagraph"/>
        <w:numPr>
          <w:ilvl w:val="0"/>
          <w:numId w:val="50"/>
        </w:numPr>
        <w:spacing w:after="160" w:line="259" w:lineRule="auto"/>
        <w:jc w:val="both"/>
        <w:rPr>
          <w:rFonts w:ascii="Cambria" w:hAnsi="Cambria"/>
          <w:color w:val="000000" w:themeColor="text1"/>
        </w:rPr>
      </w:pPr>
      <w:r>
        <w:rPr>
          <w:rFonts w:ascii="Cambria" w:hAnsi="Cambria"/>
          <w:b/>
          <w:bCs/>
          <w:color w:val="000000" w:themeColor="text1"/>
        </w:rPr>
        <w:t>functionality</w:t>
      </w:r>
      <w:r>
        <w:rPr>
          <w:rFonts w:ascii="Cambria" w:hAnsi="Cambria"/>
          <w:color w:val="000000" w:themeColor="text1"/>
        </w:rPr>
        <w:t xml:space="preserve">: allow retail investors to </w:t>
      </w:r>
      <w:r w:rsidRPr="003C0911">
        <w:rPr>
          <w:rFonts w:ascii="Cambria" w:hAnsi="Cambria"/>
          <w:b/>
          <w:bCs/>
          <w:i/>
          <w:iCs/>
          <w:color w:val="0070C0"/>
        </w:rPr>
        <w:t>understand</w:t>
      </w:r>
      <w:r>
        <w:rPr>
          <w:rFonts w:ascii="Cambria" w:hAnsi="Cambria"/>
          <w:color w:val="000000" w:themeColor="text1"/>
        </w:rPr>
        <w:t xml:space="preserve"> and </w:t>
      </w:r>
      <w:r w:rsidRPr="003C0911">
        <w:rPr>
          <w:rFonts w:ascii="Cambria" w:hAnsi="Cambria"/>
          <w:b/>
          <w:bCs/>
          <w:i/>
          <w:iCs/>
          <w:color w:val="0070C0"/>
        </w:rPr>
        <w:t>compare</w:t>
      </w:r>
      <w:r>
        <w:rPr>
          <w:rFonts w:ascii="Cambria" w:hAnsi="Cambria"/>
          <w:color w:val="000000" w:themeColor="text1"/>
        </w:rPr>
        <w:t xml:space="preserve"> the PRIIP;</w:t>
      </w:r>
    </w:p>
    <w:p w14:paraId="3ABE1BCB" w14:textId="77777777" w:rsidR="00455230" w:rsidRDefault="00455230" w:rsidP="00E565B9">
      <w:pPr>
        <w:pStyle w:val="ListParagraph"/>
        <w:numPr>
          <w:ilvl w:val="0"/>
          <w:numId w:val="50"/>
        </w:numPr>
        <w:spacing w:after="160" w:line="259" w:lineRule="auto"/>
        <w:jc w:val="both"/>
        <w:rPr>
          <w:rFonts w:ascii="Cambria" w:hAnsi="Cambria"/>
          <w:color w:val="000000" w:themeColor="text1"/>
        </w:rPr>
      </w:pPr>
      <w:r>
        <w:rPr>
          <w:rFonts w:ascii="Cambria" w:hAnsi="Cambria"/>
          <w:b/>
          <w:bCs/>
          <w:color w:val="000000" w:themeColor="text1"/>
        </w:rPr>
        <w:t>purpose</w:t>
      </w:r>
      <w:r>
        <w:rPr>
          <w:rFonts w:ascii="Cambria" w:hAnsi="Cambria"/>
          <w:color w:val="000000" w:themeColor="text1"/>
        </w:rPr>
        <w:t xml:space="preserve">: allow retail investors to make </w:t>
      </w:r>
      <w:r w:rsidRPr="003C0911">
        <w:rPr>
          <w:rFonts w:ascii="Cambria" w:hAnsi="Cambria"/>
          <w:b/>
          <w:bCs/>
          <w:i/>
          <w:iCs/>
          <w:color w:val="0070C0"/>
        </w:rPr>
        <w:t>informed investment decisions</w:t>
      </w:r>
      <w:r>
        <w:rPr>
          <w:rFonts w:ascii="Cambria" w:hAnsi="Cambria"/>
          <w:color w:val="000000" w:themeColor="text1"/>
        </w:rPr>
        <w:t>.</w:t>
      </w:r>
    </w:p>
    <w:p w14:paraId="2A3D157C" w14:textId="77777777" w:rsidR="00455230" w:rsidRPr="003C0911" w:rsidRDefault="00455230" w:rsidP="00455230">
      <w:pPr>
        <w:jc w:val="both"/>
        <w:rPr>
          <w:rFonts w:ascii="Cambria" w:hAnsi="Cambria"/>
          <w:color w:val="000000" w:themeColor="text1"/>
        </w:rPr>
      </w:pPr>
      <w:r>
        <w:rPr>
          <w:rFonts w:ascii="Cambria" w:hAnsi="Cambria"/>
          <w:color w:val="000000" w:themeColor="text1"/>
        </w:rPr>
        <w:t>The debate on the review of the PRIIPs KID regulations has transformed in a “political crusade”, with different groups of stakeholders pulling in opposite directions. However, the PRIIPs KID must cater the needs and understanding of non-professional investors, not those of financial services providers.</w:t>
      </w:r>
    </w:p>
    <w:p w14:paraId="046E0E9E" w14:textId="583114D8" w:rsidR="00455230" w:rsidRDefault="00455230" w:rsidP="00455230">
      <w:pPr>
        <w:jc w:val="both"/>
        <w:rPr>
          <w:rFonts w:ascii="Cambria" w:hAnsi="Cambria"/>
          <w:color w:val="000000" w:themeColor="text1"/>
        </w:rPr>
      </w:pPr>
      <w:r>
        <w:rPr>
          <w:rFonts w:ascii="Cambria" w:hAnsi="Cambria"/>
          <w:color w:val="000000" w:themeColor="text1"/>
        </w:rPr>
        <w:t>Therefore, BETTER FINANCE believes that this public consultation is neither timely, nor efficient from a logical and a regulatory point of view. We are disappointed to see so much of the European Supervisory Authorities’ (ESAs) Joint Committee’s (JC) scarce and valuable resources for consumer protection</w:t>
      </w:r>
      <w:r>
        <w:rPr>
          <w:rStyle w:val="FootnoteReference"/>
          <w:rFonts w:ascii="Cambria" w:hAnsi="Cambria"/>
          <w:color w:val="000000" w:themeColor="text1"/>
        </w:rPr>
        <w:footnoteReference w:id="21"/>
      </w:r>
      <w:r>
        <w:rPr>
          <w:rFonts w:ascii="Cambria" w:hAnsi="Cambria"/>
          <w:color w:val="000000" w:themeColor="text1"/>
        </w:rPr>
        <w:t xml:space="preserve"> being misused in 2018-2019 for this PRIIPs Delegated Regulation (Level 2) review. </w:t>
      </w:r>
    </w:p>
    <w:p w14:paraId="6DF97FAD" w14:textId="77777777" w:rsidR="00455230" w:rsidRDefault="00455230" w:rsidP="00455230">
      <w:pPr>
        <w:jc w:val="both"/>
        <w:rPr>
          <w:rFonts w:ascii="Cambria" w:hAnsi="Cambria"/>
          <w:color w:val="000000" w:themeColor="text1"/>
        </w:rPr>
      </w:pPr>
    </w:p>
    <w:p w14:paraId="0D336B57" w14:textId="17A40E8E" w:rsidR="00455230" w:rsidRDefault="00455230" w:rsidP="00455230">
      <w:pPr>
        <w:jc w:val="both"/>
        <w:rPr>
          <w:rFonts w:ascii="Cambria" w:hAnsi="Cambria"/>
          <w:color w:val="000000" w:themeColor="text1"/>
        </w:rPr>
      </w:pPr>
      <w:r>
        <w:rPr>
          <w:rFonts w:ascii="Cambria" w:hAnsi="Cambria"/>
          <w:color w:val="000000" w:themeColor="text1"/>
        </w:rPr>
        <w:t>We wish to congratulate, however, the three ESAs on amassing efforts to put forward workable solutions at Level 2 in such a short period of time and on so many difficult and complex aspects, and we wish to manifest our intention, as we did previously, to collaborate and support the ESAs in reducing the detrimental nature of the PRIIPs KID. Nevertheless, BETTER FINANCE’s current input for the performance and cost methodologies does not represent an endorsement of the ideas put forward in the CP as such but is an attempt to provide an as-meaningful-as-possible document for EU retail investors, given the current regulatory situation.</w:t>
      </w:r>
    </w:p>
    <w:p w14:paraId="7BF2D9B0" w14:textId="77777777" w:rsidR="00455230" w:rsidRDefault="00455230" w:rsidP="00455230">
      <w:pPr>
        <w:jc w:val="both"/>
        <w:rPr>
          <w:rFonts w:ascii="Cambria" w:hAnsi="Cambria"/>
          <w:color w:val="000000" w:themeColor="text1"/>
        </w:rPr>
      </w:pPr>
    </w:p>
    <w:p w14:paraId="08A994F7" w14:textId="77777777" w:rsidR="00455230" w:rsidRDefault="00455230" w:rsidP="00455230">
      <w:pPr>
        <w:jc w:val="both"/>
        <w:rPr>
          <w:rFonts w:ascii="Cambria" w:hAnsi="Cambria"/>
          <w:color w:val="000000" w:themeColor="text1"/>
        </w:rPr>
      </w:pPr>
      <w:r>
        <w:rPr>
          <w:rFonts w:ascii="Cambria" w:hAnsi="Cambria"/>
          <w:color w:val="000000" w:themeColor="text1"/>
        </w:rPr>
        <w:t>The PRIIPs Regulation (Level 1) provided the deadline for the European Commission to conduct a full review on the application and implementation of the said legislative act before 31 December 2018, further delayed by legislative act</w:t>
      </w:r>
      <w:r>
        <w:rPr>
          <w:rStyle w:val="FootnoteReference"/>
          <w:rFonts w:ascii="Cambria" w:hAnsi="Cambria"/>
          <w:color w:val="000000" w:themeColor="text1"/>
        </w:rPr>
        <w:footnoteReference w:id="22"/>
      </w:r>
      <w:r>
        <w:rPr>
          <w:rFonts w:ascii="Cambria" w:hAnsi="Cambria"/>
          <w:color w:val="000000" w:themeColor="text1"/>
        </w:rPr>
        <w:t xml:space="preserve"> by 31 December 2019. Therefore, the public consultation of the ESAs JC in November 2018, the </w:t>
      </w:r>
      <w:r>
        <w:rPr>
          <w:rFonts w:ascii="Cambria" w:hAnsi="Cambria"/>
          <w:color w:val="000000" w:themeColor="text1"/>
        </w:rPr>
        <w:lastRenderedPageBreak/>
        <w:t>consumer testing exercise, the public hearing of November 2019 and this present consultation should have focused on the provisions at PRIIPs Regulation (Level 1), which are key:</w:t>
      </w:r>
    </w:p>
    <w:p w14:paraId="6CC48F96" w14:textId="77777777" w:rsidR="00455230" w:rsidRDefault="00455230" w:rsidP="00E565B9">
      <w:pPr>
        <w:pStyle w:val="ListParagraph"/>
        <w:numPr>
          <w:ilvl w:val="0"/>
          <w:numId w:val="39"/>
        </w:numPr>
        <w:spacing w:after="160" w:line="259" w:lineRule="auto"/>
        <w:jc w:val="both"/>
        <w:rPr>
          <w:rFonts w:ascii="Cambria" w:hAnsi="Cambria"/>
          <w:color w:val="000000" w:themeColor="text1"/>
        </w:rPr>
      </w:pPr>
      <w:r w:rsidRPr="007136AB">
        <w:rPr>
          <w:rFonts w:ascii="Cambria" w:hAnsi="Cambria"/>
          <w:color w:val="000000" w:themeColor="text1"/>
        </w:rPr>
        <w:t xml:space="preserve">to solve the vast majority of issues raised by stakeholders and </w:t>
      </w:r>
    </w:p>
    <w:p w14:paraId="4BC54EC0" w14:textId="77777777" w:rsidR="00455230" w:rsidRPr="007136AB" w:rsidRDefault="00455230" w:rsidP="00E565B9">
      <w:pPr>
        <w:pStyle w:val="ListParagraph"/>
        <w:numPr>
          <w:ilvl w:val="0"/>
          <w:numId w:val="39"/>
        </w:numPr>
        <w:spacing w:after="160" w:line="259" w:lineRule="auto"/>
        <w:jc w:val="both"/>
        <w:rPr>
          <w:rFonts w:ascii="Cambria" w:hAnsi="Cambria"/>
          <w:color w:val="000000" w:themeColor="text1"/>
        </w:rPr>
      </w:pPr>
      <w:r>
        <w:rPr>
          <w:rFonts w:ascii="Cambria" w:hAnsi="Cambria"/>
          <w:color w:val="000000" w:themeColor="text1"/>
        </w:rPr>
        <w:t xml:space="preserve">to solve the issues </w:t>
      </w:r>
      <w:r w:rsidRPr="007136AB">
        <w:rPr>
          <w:rFonts w:ascii="Cambria" w:hAnsi="Cambria"/>
          <w:color w:val="000000" w:themeColor="text1"/>
        </w:rPr>
        <w:t xml:space="preserve">which the ESAs are attempting to provide a solution </w:t>
      </w:r>
      <w:r>
        <w:rPr>
          <w:rFonts w:ascii="Cambria" w:hAnsi="Cambria"/>
          <w:color w:val="000000" w:themeColor="text1"/>
        </w:rPr>
        <w:t>to</w:t>
      </w:r>
      <w:r w:rsidRPr="007136AB">
        <w:rPr>
          <w:rFonts w:ascii="Cambria" w:hAnsi="Cambria"/>
          <w:color w:val="000000" w:themeColor="text1"/>
        </w:rPr>
        <w:t xml:space="preserve">. </w:t>
      </w:r>
    </w:p>
    <w:p w14:paraId="6B6AECE5" w14:textId="2E962123" w:rsidR="00455230" w:rsidRDefault="00455230" w:rsidP="00455230">
      <w:pPr>
        <w:jc w:val="both"/>
        <w:rPr>
          <w:rFonts w:ascii="Cambria" w:hAnsi="Cambria"/>
          <w:color w:val="000000" w:themeColor="text1"/>
        </w:rPr>
      </w:pPr>
      <w:r>
        <w:rPr>
          <w:rFonts w:ascii="Cambria" w:hAnsi="Cambria"/>
          <w:color w:val="000000" w:themeColor="text1"/>
        </w:rPr>
        <w:t xml:space="preserve">In BETTER FINANCE’s experience so far, the majority of issues raised by us and other stakeholders cannot be “fixed” through amendments on the PRIIPs Delegated Regulation (Level 2) and must be answered or validated by the co-legislators before going into the implementing details. </w:t>
      </w:r>
    </w:p>
    <w:p w14:paraId="24B4BF2B" w14:textId="77777777" w:rsidR="00455230" w:rsidRDefault="00455230" w:rsidP="00455230">
      <w:pPr>
        <w:jc w:val="both"/>
        <w:rPr>
          <w:rFonts w:ascii="Cambria" w:hAnsi="Cambria"/>
          <w:color w:val="000000" w:themeColor="text1"/>
        </w:rPr>
      </w:pPr>
    </w:p>
    <w:p w14:paraId="000F0289" w14:textId="63F8E40B" w:rsidR="00455230" w:rsidRDefault="00455230" w:rsidP="00455230">
      <w:pPr>
        <w:jc w:val="both"/>
        <w:rPr>
          <w:rFonts w:ascii="Cambria" w:hAnsi="Cambria"/>
          <w:color w:val="000000" w:themeColor="text1"/>
        </w:rPr>
      </w:pPr>
      <w:r>
        <w:rPr>
          <w:rFonts w:ascii="Cambria" w:hAnsi="Cambria"/>
          <w:color w:val="000000" w:themeColor="text1"/>
        </w:rPr>
        <w:t xml:space="preserve">It is all the more disappointing to read in the Consultation Paper (hereinafter </w:t>
      </w:r>
      <w:r>
        <w:rPr>
          <w:rFonts w:ascii="Cambria" w:hAnsi="Cambria"/>
          <w:b/>
          <w:bCs/>
          <w:color w:val="000000" w:themeColor="text1"/>
        </w:rPr>
        <w:t>CP</w:t>
      </w:r>
      <w:r>
        <w:rPr>
          <w:rFonts w:ascii="Cambria" w:hAnsi="Cambria"/>
          <w:color w:val="000000" w:themeColor="text1"/>
        </w:rPr>
        <w:t>), quoting the February 2019 Final report, that “</w:t>
      </w:r>
      <w:r>
        <w:rPr>
          <w:rFonts w:ascii="Cambria" w:hAnsi="Cambria"/>
          <w:i/>
          <w:iCs/>
          <w:color w:val="000000" w:themeColor="text1"/>
        </w:rPr>
        <w:t xml:space="preserve">where the information collected and analysis conducted </w:t>
      </w:r>
      <w:r>
        <w:rPr>
          <w:rFonts w:ascii="Cambria" w:hAnsi="Cambria"/>
          <w:color w:val="000000" w:themeColor="text1"/>
        </w:rPr>
        <w:t xml:space="preserve">[…] </w:t>
      </w:r>
      <w:r>
        <w:rPr>
          <w:rFonts w:ascii="Cambria" w:hAnsi="Cambria"/>
          <w:i/>
          <w:iCs/>
          <w:color w:val="000000" w:themeColor="text1"/>
        </w:rPr>
        <w:t>would indicate that changes to the PRIIPs Level 1 Regulation may be</w:t>
      </w:r>
      <w:r w:rsidRPr="002754AA">
        <w:rPr>
          <w:rFonts w:ascii="Cambria" w:hAnsi="Cambria"/>
          <w:i/>
          <w:iCs/>
          <w:color w:val="000000" w:themeColor="text1"/>
        </w:rPr>
        <w:t xml:space="preserve"> needed</w:t>
      </w:r>
      <w:r>
        <w:rPr>
          <w:rFonts w:ascii="Cambria" w:hAnsi="Cambria"/>
          <w:color w:val="000000" w:themeColor="text1"/>
        </w:rPr>
        <w:t xml:space="preserve"> […] </w:t>
      </w:r>
      <w:r>
        <w:rPr>
          <w:rFonts w:ascii="Cambria" w:hAnsi="Cambria"/>
          <w:i/>
          <w:iCs/>
          <w:color w:val="000000" w:themeColor="text1"/>
        </w:rPr>
        <w:t xml:space="preserve">the ESAs will consider whether it is relevant </w:t>
      </w:r>
      <w:r>
        <w:rPr>
          <w:rFonts w:ascii="Cambria" w:hAnsi="Cambria"/>
          <w:color w:val="000000" w:themeColor="text1"/>
        </w:rPr>
        <w:t xml:space="preserve">[…] </w:t>
      </w:r>
      <w:r>
        <w:rPr>
          <w:rFonts w:ascii="Cambria" w:hAnsi="Cambria"/>
          <w:i/>
          <w:iCs/>
          <w:color w:val="000000" w:themeColor="text1"/>
        </w:rPr>
        <w:t>recommend such changes to the co-legislators</w:t>
      </w:r>
      <w:r>
        <w:rPr>
          <w:rFonts w:ascii="Cambria" w:hAnsi="Cambria"/>
          <w:color w:val="000000" w:themeColor="text1"/>
        </w:rPr>
        <w:t>”, without ESAs mentioning the need to address the performance and cost scenarios issues.</w:t>
      </w:r>
    </w:p>
    <w:p w14:paraId="5E516451" w14:textId="77777777" w:rsidR="00455230" w:rsidRDefault="00455230" w:rsidP="00455230">
      <w:pPr>
        <w:jc w:val="both"/>
        <w:rPr>
          <w:rFonts w:ascii="Cambria" w:hAnsi="Cambria"/>
          <w:color w:val="000000" w:themeColor="text1"/>
        </w:rPr>
      </w:pPr>
    </w:p>
    <w:p w14:paraId="5AE0E044" w14:textId="77777777" w:rsidR="00455230" w:rsidRDefault="00455230" w:rsidP="00455230">
      <w:pPr>
        <w:jc w:val="both"/>
        <w:rPr>
          <w:rFonts w:ascii="Cambria" w:hAnsi="Cambria"/>
          <w:color w:val="000000" w:themeColor="text1"/>
        </w:rPr>
      </w:pPr>
      <w:r>
        <w:rPr>
          <w:rFonts w:ascii="Cambria" w:hAnsi="Cambria"/>
          <w:color w:val="000000" w:themeColor="text1"/>
        </w:rPr>
        <w:t>What is more, even the German Federal Financial Supervisory Authority (BaFin) announced that it opposed this consultation in the ESAs decision-making bodies and it will not provide feedback, stating that</w:t>
      </w:r>
    </w:p>
    <w:p w14:paraId="000867C7" w14:textId="73826DF6" w:rsidR="00455230" w:rsidRDefault="00455230" w:rsidP="00455230">
      <w:pPr>
        <w:ind w:left="851" w:right="850"/>
        <w:jc w:val="both"/>
        <w:rPr>
          <w:rFonts w:ascii="Cambria" w:hAnsi="Cambria" w:cstheme="majorHAnsi"/>
          <w:b/>
          <w:bCs/>
          <w:lang w:val="en"/>
        </w:rPr>
      </w:pPr>
      <w:r w:rsidRPr="005A386A">
        <w:rPr>
          <w:rFonts w:ascii="Cambria" w:hAnsi="Cambria" w:cstheme="majorHAnsi"/>
          <w:b/>
          <w:bCs/>
          <w:lang w:val="en"/>
        </w:rPr>
        <w:t>“</w:t>
      </w:r>
      <w:r w:rsidRPr="00F5302A">
        <w:rPr>
          <w:rFonts w:asciiTheme="majorHAnsi" w:hAnsiTheme="majorHAnsi" w:cstheme="majorHAnsi"/>
          <w:b/>
          <w:bCs/>
          <w:i/>
          <w:iCs/>
          <w:lang w:val="en"/>
        </w:rPr>
        <w:t>In order to improve the key information document for retail investors, BaFin believes that the revision of the PRIIPs Regulation itself is required.</w:t>
      </w:r>
      <w:r w:rsidRPr="00414AC4">
        <w:rPr>
          <w:rFonts w:asciiTheme="majorHAnsi" w:hAnsiTheme="majorHAnsi" w:cstheme="majorHAnsi"/>
          <w:i/>
          <w:iCs/>
          <w:lang w:val="en"/>
        </w:rPr>
        <w:t xml:space="preserve"> This would </w:t>
      </w:r>
      <w:r>
        <w:rPr>
          <w:rFonts w:asciiTheme="majorHAnsi" w:hAnsiTheme="majorHAnsi" w:cstheme="majorHAnsi"/>
          <w:i/>
          <w:iCs/>
          <w:lang w:val="en"/>
        </w:rPr>
        <w:t>allow</w:t>
      </w:r>
      <w:r w:rsidRPr="00414AC4">
        <w:rPr>
          <w:rFonts w:asciiTheme="majorHAnsi" w:hAnsiTheme="majorHAnsi" w:cstheme="majorHAnsi"/>
          <w:i/>
          <w:iCs/>
          <w:lang w:val="en"/>
        </w:rPr>
        <w:t xml:space="preserve"> in</w:t>
      </w:r>
      <w:r>
        <w:rPr>
          <w:rFonts w:asciiTheme="majorHAnsi" w:hAnsiTheme="majorHAnsi" w:cstheme="majorHAnsi"/>
          <w:i/>
          <w:iCs/>
          <w:lang w:val="en"/>
        </w:rPr>
        <w:t xml:space="preserve"> </w:t>
      </w:r>
      <w:r w:rsidRPr="00414AC4">
        <w:rPr>
          <w:rFonts w:asciiTheme="majorHAnsi" w:hAnsiTheme="majorHAnsi" w:cstheme="majorHAnsi"/>
          <w:i/>
          <w:iCs/>
          <w:lang w:val="en"/>
        </w:rPr>
        <w:t>particular to specify the scope of application and to adapt</w:t>
      </w:r>
      <w:r>
        <w:rPr>
          <w:rFonts w:asciiTheme="majorHAnsi" w:hAnsiTheme="majorHAnsi" w:cstheme="majorHAnsi"/>
          <w:i/>
          <w:iCs/>
          <w:lang w:val="en"/>
        </w:rPr>
        <w:t xml:space="preserve"> the</w:t>
      </w:r>
      <w:r w:rsidRPr="00414AC4">
        <w:rPr>
          <w:rFonts w:asciiTheme="majorHAnsi" w:hAnsiTheme="majorHAnsi" w:cstheme="majorHAnsi"/>
          <w:i/>
          <w:iCs/>
          <w:lang w:val="en"/>
        </w:rPr>
        <w:t xml:space="preserve"> content and formats </w:t>
      </w:r>
      <w:r>
        <w:rPr>
          <w:rFonts w:asciiTheme="majorHAnsi" w:hAnsiTheme="majorHAnsi" w:cstheme="majorHAnsi"/>
          <w:i/>
          <w:iCs/>
          <w:lang w:val="en"/>
        </w:rPr>
        <w:t>for</w:t>
      </w:r>
      <w:r w:rsidRPr="00414AC4">
        <w:rPr>
          <w:rFonts w:asciiTheme="majorHAnsi" w:hAnsiTheme="majorHAnsi" w:cstheme="majorHAnsi"/>
          <w:i/>
          <w:iCs/>
          <w:lang w:val="en"/>
        </w:rPr>
        <w:t xml:space="preserve"> digital development.</w:t>
      </w:r>
      <w:r w:rsidRPr="005A386A">
        <w:rPr>
          <w:rFonts w:ascii="Cambria" w:hAnsi="Cambria" w:cstheme="majorHAnsi"/>
          <w:b/>
          <w:bCs/>
          <w:lang w:val="en"/>
        </w:rPr>
        <w:t>”</w:t>
      </w:r>
      <w:r w:rsidRPr="005A386A">
        <w:rPr>
          <w:rStyle w:val="FootnoteReference"/>
          <w:rFonts w:ascii="Cambria" w:hAnsi="Cambria" w:cstheme="majorHAnsi"/>
          <w:lang w:val="en"/>
        </w:rPr>
        <w:footnoteReference w:id="23"/>
      </w:r>
    </w:p>
    <w:p w14:paraId="6DC15DD7" w14:textId="77777777" w:rsidR="00455230" w:rsidRPr="00B77B34" w:rsidRDefault="00455230" w:rsidP="00455230">
      <w:pPr>
        <w:ind w:left="851" w:right="850"/>
        <w:jc w:val="both"/>
        <w:rPr>
          <w:rFonts w:asciiTheme="majorHAnsi" w:hAnsiTheme="majorHAnsi" w:cstheme="majorHAnsi"/>
          <w:color w:val="000000" w:themeColor="text1"/>
        </w:rPr>
      </w:pPr>
    </w:p>
    <w:p w14:paraId="5D81DA97" w14:textId="2E39FB77" w:rsidR="00455230" w:rsidRDefault="00455230" w:rsidP="00455230">
      <w:pPr>
        <w:jc w:val="both"/>
        <w:rPr>
          <w:rFonts w:ascii="Cambria" w:hAnsi="Cambria"/>
          <w:color w:val="000000" w:themeColor="text1"/>
        </w:rPr>
      </w:pPr>
      <w:r>
        <w:rPr>
          <w:rFonts w:ascii="Cambria" w:hAnsi="Cambria"/>
          <w:color w:val="000000" w:themeColor="text1"/>
        </w:rPr>
        <w:t>Therefore, we urge the ESAs JC to reconsider their position on the costs section (summary cost indicator and Reduction-in-Yield) and on the risk and reward section (performance scenarios), take stock of the valuable input received from retail investors during this entire period and propose the co-legislators a quickly and early review of the said Regulation.</w:t>
      </w:r>
    </w:p>
    <w:p w14:paraId="0170CF8A" w14:textId="77777777" w:rsidR="00455230" w:rsidRPr="001562F6" w:rsidRDefault="00455230" w:rsidP="00455230">
      <w:pPr>
        <w:jc w:val="both"/>
        <w:rPr>
          <w:rFonts w:ascii="Cambria" w:hAnsi="Cambria"/>
          <w:color w:val="000000" w:themeColor="text1"/>
        </w:rPr>
      </w:pPr>
    </w:p>
    <w:p w14:paraId="59ABAD85" w14:textId="5FD6834C" w:rsidR="00455230" w:rsidRDefault="00455230" w:rsidP="00455230">
      <w:pPr>
        <w:jc w:val="both"/>
        <w:rPr>
          <w:rFonts w:ascii="Cambria" w:hAnsi="Cambria"/>
          <w:color w:val="000000" w:themeColor="text1"/>
        </w:rPr>
      </w:pPr>
      <w:r>
        <w:rPr>
          <w:rFonts w:ascii="Cambria" w:hAnsi="Cambria"/>
          <w:color w:val="000000" w:themeColor="text1"/>
        </w:rPr>
        <w:t>Moreover, on the basis of Article 33(1) of the PRIIPs Regulation, the consumer testing exercise should have been much wider in scope, rather than testing only the presentation format of future performance scenarios, as it is currently done. BETTER FINANCE firmly disagrees with the European Commission’s exclusion</w:t>
      </w:r>
      <w:r>
        <w:rPr>
          <w:rStyle w:val="FootnoteReference"/>
          <w:rFonts w:ascii="Cambria" w:hAnsi="Cambria"/>
          <w:color w:val="000000" w:themeColor="text1"/>
        </w:rPr>
        <w:footnoteReference w:id="24"/>
      </w:r>
      <w:r>
        <w:rPr>
          <w:rFonts w:ascii="Cambria" w:hAnsi="Cambria"/>
          <w:color w:val="000000" w:themeColor="text1"/>
        </w:rPr>
        <w:t xml:space="preserve"> of the three testing options proposed</w:t>
      </w:r>
      <w:r>
        <w:rPr>
          <w:rStyle w:val="FootnoteReference"/>
          <w:rFonts w:ascii="Cambria" w:hAnsi="Cambria"/>
          <w:color w:val="000000" w:themeColor="text1"/>
        </w:rPr>
        <w:footnoteReference w:id="25"/>
      </w:r>
      <w:r>
        <w:rPr>
          <w:rFonts w:ascii="Cambria" w:hAnsi="Cambria"/>
          <w:color w:val="000000" w:themeColor="text1"/>
        </w:rPr>
        <w:t xml:space="preserve"> by the ESAs JC and believes there was no valid basis to do so. </w:t>
      </w:r>
    </w:p>
    <w:p w14:paraId="4377F438" w14:textId="77777777" w:rsidR="00455230" w:rsidRDefault="00455230" w:rsidP="00455230">
      <w:pPr>
        <w:jc w:val="both"/>
        <w:rPr>
          <w:rFonts w:ascii="Cambria" w:hAnsi="Cambria"/>
          <w:color w:val="000000" w:themeColor="text1"/>
        </w:rPr>
      </w:pPr>
    </w:p>
    <w:p w14:paraId="2A2CA68D" w14:textId="2886730A" w:rsidR="00455230" w:rsidRDefault="00455230" w:rsidP="00455230">
      <w:pPr>
        <w:jc w:val="both"/>
        <w:rPr>
          <w:rFonts w:ascii="Cambria" w:hAnsi="Cambria"/>
          <w:color w:val="000000" w:themeColor="text1"/>
        </w:rPr>
      </w:pPr>
      <w:r>
        <w:rPr>
          <w:rFonts w:ascii="Cambria" w:hAnsi="Cambria"/>
          <w:color w:val="000000" w:themeColor="text1"/>
        </w:rPr>
        <w:t>In addition, BETTER FINANCE firmly advises the ESAs JC to cooperate with the European Insurance and Occupational Pensions Authority (EIOPA) which is currently developing the RTS for the Pan-European Personal Pensions (PEPP),</w:t>
      </w:r>
      <w:r>
        <w:rPr>
          <w:rStyle w:val="FootnoteReference"/>
          <w:rFonts w:ascii="Cambria" w:hAnsi="Cambria"/>
          <w:color w:val="000000" w:themeColor="text1"/>
        </w:rPr>
        <w:footnoteReference w:id="26"/>
      </w:r>
      <w:r>
        <w:rPr>
          <w:rFonts w:ascii="Cambria" w:hAnsi="Cambria"/>
          <w:color w:val="000000" w:themeColor="text1"/>
        </w:rPr>
        <w:t xml:space="preserve"> among which the specific KID is discussed. BETTER FINANCE, as a representative of individual and small investors, believes that the outcome of the PRIIPs KID and PEPP KID must be correlated and as similar as possible with the UCITS KID, which proved a success of EU financial regulation so far. </w:t>
      </w:r>
    </w:p>
    <w:p w14:paraId="48F81622" w14:textId="77777777" w:rsidR="00455230" w:rsidRDefault="00455230" w:rsidP="00455230">
      <w:pPr>
        <w:jc w:val="both"/>
        <w:rPr>
          <w:rFonts w:ascii="Cambria" w:hAnsi="Cambria"/>
          <w:color w:val="000000" w:themeColor="text1"/>
        </w:rPr>
      </w:pPr>
    </w:p>
    <w:p w14:paraId="0DFE43E5" w14:textId="44FC2A0E" w:rsidR="00455230" w:rsidRDefault="00455230" w:rsidP="00455230">
      <w:pPr>
        <w:jc w:val="both"/>
        <w:rPr>
          <w:rFonts w:ascii="Cambria" w:hAnsi="Cambria"/>
          <w:color w:val="000000" w:themeColor="text1"/>
        </w:rPr>
      </w:pPr>
      <w:r w:rsidRPr="00F5302A">
        <w:rPr>
          <w:rFonts w:ascii="Cambria" w:hAnsi="Cambria"/>
          <w:color w:val="000000" w:themeColor="text1"/>
        </w:rPr>
        <w:t>Gaining comprehensive overview of the current complex regulatory landscape for retail investors can be a daunting task. The various new regulations, e.g. MiFID II, PRIIPs, IDD, Solvency II, IORP II, and rules applicable to banking products (savings accounts, structured notes, etc.) led to inconsistent standards of disclosure which create confusion among investors and unnecessarily increase the workload for distributors and manufacturers and by that costs for investors.</w:t>
      </w:r>
      <w:r w:rsidRPr="00E74F33">
        <w:rPr>
          <w:rFonts w:asciiTheme="majorHAnsi" w:hAnsiTheme="majorHAnsi" w:cstheme="majorHAnsi"/>
        </w:rPr>
        <w:t xml:space="preserve"> </w:t>
      </w:r>
      <w:r w:rsidRPr="00F5302A">
        <w:rPr>
          <w:rFonts w:ascii="Cambria" w:hAnsi="Cambria"/>
          <w:color w:val="000000" w:themeColor="text1"/>
        </w:rPr>
        <w:t xml:space="preserve">Moreover, there is oversupply </w:t>
      </w:r>
      <w:r>
        <w:rPr>
          <w:rFonts w:ascii="Cambria" w:hAnsi="Cambria"/>
          <w:color w:val="000000" w:themeColor="text1"/>
        </w:rPr>
        <w:t xml:space="preserve">of pre-contractual key disclosure documents that </w:t>
      </w:r>
      <w:r>
        <w:rPr>
          <w:rFonts w:ascii="Cambria" w:hAnsi="Cambria"/>
          <w:color w:val="000000" w:themeColor="text1"/>
        </w:rPr>
        <w:lastRenderedPageBreak/>
        <w:t>are being offered at national level for retail investors (for instance, the German market provides 10 different product information sheets),</w:t>
      </w:r>
      <w:r>
        <w:rPr>
          <w:rStyle w:val="FootnoteReference"/>
          <w:rFonts w:ascii="Cambria" w:hAnsi="Cambria"/>
          <w:color w:val="000000" w:themeColor="text1"/>
        </w:rPr>
        <w:footnoteReference w:id="27"/>
      </w:r>
      <w:r>
        <w:rPr>
          <w:rFonts w:ascii="Cambria" w:hAnsi="Cambria"/>
          <w:color w:val="000000" w:themeColor="text1"/>
        </w:rPr>
        <w:t xml:space="preserve">  lacking standardisation and hindering comparability and thus adding to investor confusion.</w:t>
      </w:r>
    </w:p>
    <w:p w14:paraId="18E64783" w14:textId="77777777" w:rsidR="00455230" w:rsidRDefault="00455230" w:rsidP="00455230">
      <w:pPr>
        <w:jc w:val="both"/>
        <w:rPr>
          <w:rFonts w:ascii="Cambria" w:hAnsi="Cambria"/>
          <w:color w:val="000000" w:themeColor="text1"/>
        </w:rPr>
      </w:pPr>
    </w:p>
    <w:p w14:paraId="6E7F6568" w14:textId="77777777" w:rsidR="00455230" w:rsidRDefault="00455230" w:rsidP="00455230">
      <w:pPr>
        <w:jc w:val="both"/>
        <w:rPr>
          <w:rFonts w:ascii="Cambria" w:hAnsi="Cambria"/>
          <w:color w:val="000000" w:themeColor="text1"/>
        </w:rPr>
      </w:pPr>
      <w:r>
        <w:rPr>
          <w:rFonts w:ascii="Cambria" w:hAnsi="Cambria"/>
          <w:color w:val="000000" w:themeColor="text1"/>
        </w:rPr>
        <w:t xml:space="preserve">The three KI(I)D(s) must not be viewed in isolation and the ESAs must consider the interests of retail investors: </w:t>
      </w:r>
    </w:p>
    <w:p w14:paraId="28622FFB" w14:textId="77777777" w:rsidR="00455230" w:rsidRDefault="00455230" w:rsidP="00E565B9">
      <w:pPr>
        <w:pStyle w:val="ListParagraph"/>
        <w:numPr>
          <w:ilvl w:val="0"/>
          <w:numId w:val="40"/>
        </w:numPr>
        <w:spacing w:after="160" w:line="259" w:lineRule="auto"/>
        <w:jc w:val="both"/>
        <w:rPr>
          <w:rFonts w:ascii="Cambria" w:hAnsi="Cambria"/>
          <w:color w:val="000000" w:themeColor="text1"/>
        </w:rPr>
      </w:pPr>
      <w:r>
        <w:rPr>
          <w:rFonts w:ascii="Cambria" w:hAnsi="Cambria"/>
          <w:color w:val="000000" w:themeColor="text1"/>
        </w:rPr>
        <w:t>to have access to simple, comparable information on retail investment products;</w:t>
      </w:r>
    </w:p>
    <w:p w14:paraId="59D78AEC" w14:textId="77777777" w:rsidR="00455230" w:rsidRDefault="00455230" w:rsidP="00E565B9">
      <w:pPr>
        <w:pStyle w:val="ListParagraph"/>
        <w:numPr>
          <w:ilvl w:val="0"/>
          <w:numId w:val="40"/>
        </w:numPr>
        <w:spacing w:after="160" w:line="259" w:lineRule="auto"/>
        <w:jc w:val="both"/>
        <w:rPr>
          <w:rFonts w:ascii="Cambria" w:hAnsi="Cambria"/>
          <w:color w:val="000000" w:themeColor="text1"/>
        </w:rPr>
      </w:pPr>
      <w:r>
        <w:rPr>
          <w:rFonts w:ascii="Cambria" w:hAnsi="Cambria"/>
          <w:color w:val="000000" w:themeColor="text1"/>
        </w:rPr>
        <w:t>to be able to make informed decisions; and</w:t>
      </w:r>
    </w:p>
    <w:p w14:paraId="3CF9584D" w14:textId="77777777" w:rsidR="00455230" w:rsidRDefault="00455230" w:rsidP="00E565B9">
      <w:pPr>
        <w:pStyle w:val="ListParagraph"/>
        <w:numPr>
          <w:ilvl w:val="0"/>
          <w:numId w:val="40"/>
        </w:numPr>
        <w:spacing w:after="160" w:line="259" w:lineRule="auto"/>
        <w:jc w:val="both"/>
        <w:rPr>
          <w:rFonts w:ascii="Cambria" w:hAnsi="Cambria"/>
          <w:color w:val="000000" w:themeColor="text1"/>
        </w:rPr>
      </w:pPr>
      <w:r>
        <w:rPr>
          <w:rFonts w:ascii="Cambria" w:hAnsi="Cambria"/>
          <w:color w:val="000000" w:themeColor="text1"/>
        </w:rPr>
        <w:t>the information presented to be fair, clear, and not misleading.</w:t>
      </w:r>
    </w:p>
    <w:p w14:paraId="44BD5046" w14:textId="7075E579" w:rsidR="00455230" w:rsidRDefault="00455230" w:rsidP="00455230">
      <w:pPr>
        <w:jc w:val="both"/>
        <w:rPr>
          <w:rFonts w:ascii="Cambria" w:hAnsi="Cambria"/>
          <w:color w:val="000000" w:themeColor="text1"/>
        </w:rPr>
      </w:pPr>
      <w:r>
        <w:rPr>
          <w:rFonts w:ascii="Cambria" w:hAnsi="Cambria"/>
          <w:color w:val="000000" w:themeColor="text1"/>
        </w:rPr>
        <w:t>Designing differently (and presenting different categories of information) these three KIDs will not only build against the aforementioned principles and further hinder the ultimate purpose of  KIDs in terms of enabling comparisons for potential clients between investment products, but will also constitute an infringement of the ESAs legal obligation to promote simplicity for consumers.</w:t>
      </w:r>
      <w:r>
        <w:rPr>
          <w:rStyle w:val="FootnoteReference"/>
          <w:rFonts w:ascii="Cambria" w:hAnsi="Cambria"/>
          <w:color w:val="000000" w:themeColor="text1"/>
        </w:rPr>
        <w:footnoteReference w:id="28"/>
      </w:r>
    </w:p>
    <w:p w14:paraId="75F14BF7" w14:textId="77777777" w:rsidR="00455230" w:rsidRPr="00DE0DCE" w:rsidRDefault="00455230" w:rsidP="00455230">
      <w:pPr>
        <w:jc w:val="both"/>
        <w:rPr>
          <w:rFonts w:ascii="Cambria" w:hAnsi="Cambria"/>
          <w:color w:val="000000" w:themeColor="text1"/>
        </w:rPr>
      </w:pPr>
    </w:p>
    <w:p w14:paraId="6A3CB061" w14:textId="6BD82B57" w:rsidR="00B327E9" w:rsidRDefault="00455230" w:rsidP="00455230">
      <w:r>
        <w:rPr>
          <w:rFonts w:ascii="Cambria" w:hAnsi="Cambria"/>
          <w:color w:val="000000" w:themeColor="text1"/>
        </w:rPr>
        <w:t>However, we believe that the ESAs did not properly address the topics set out in this paper, in particular essential questions that underline the work to be carried out, such as what is “key” in key information and what is relevant and useful for retail investors?</w:t>
      </w:r>
      <w:r>
        <w:rPr>
          <w:rFonts w:ascii="Cambria" w:hAnsi="Cambria"/>
          <w:i/>
          <w:iCs/>
          <w:color w:val="000000" w:themeColor="text1"/>
        </w:rPr>
        <w:t xml:space="preserve"> </w:t>
      </w:r>
      <w:r>
        <w:rPr>
          <w:rFonts w:ascii="Cambria" w:hAnsi="Cambria"/>
          <w:color w:val="000000" w:themeColor="text1"/>
        </w:rPr>
        <w:t>In our view, since these aspects are not prescribed in the PRIIPs Regulation, nor in the recitals preceding the provisions thereof, the ESAs must shed light and settle these issues, as they have done with the scope of application of the aforementioned regulation in what concerned bonds.</w:t>
      </w:r>
      <w:r>
        <w:rPr>
          <w:rStyle w:val="FootnoteReference"/>
          <w:rFonts w:ascii="Cambria" w:hAnsi="Cambria"/>
          <w:color w:val="000000" w:themeColor="text1"/>
        </w:rPr>
        <w:footnoteReference w:id="29"/>
      </w:r>
      <w:r>
        <w:rPr>
          <w:rFonts w:ascii="Cambria" w:hAnsi="Cambria"/>
          <w:color w:val="000000" w:themeColor="text1"/>
        </w:rPr>
        <w:t xml:space="preserve"> More comments are comprised in the </w:t>
      </w:r>
      <w:r>
        <w:rPr>
          <w:rFonts w:ascii="Cambria" w:hAnsi="Cambria"/>
          <w:i/>
          <w:iCs/>
          <w:color w:val="000000" w:themeColor="text1"/>
        </w:rPr>
        <w:t>consumer testing</w:t>
      </w:r>
      <w:r>
        <w:rPr>
          <w:rFonts w:ascii="Cambria" w:hAnsi="Cambria"/>
          <w:color w:val="000000" w:themeColor="text1"/>
        </w:rPr>
        <w:t xml:space="preserve"> section.</w:t>
      </w:r>
    </w:p>
    <w:permEnd w:id="411981036"/>
    <w:p w14:paraId="6A3CB062" w14:textId="1DA6EC94"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14C36982" w14:textId="15EF2456" w:rsidR="00B73ED8" w:rsidRPr="00B73ED8" w:rsidRDefault="00B73ED8" w:rsidP="00B73ED8">
      <w:pPr>
        <w:pStyle w:val="Default"/>
        <w:spacing w:after="120"/>
        <w:jc w:val="both"/>
        <w:rPr>
          <w:rFonts w:ascii="Cambria" w:hAnsi="Cambria" w:cstheme="majorHAnsi"/>
          <w:sz w:val="22"/>
          <w:szCs w:val="22"/>
          <w:lang w:val="en-GB"/>
        </w:rPr>
      </w:pPr>
      <w:permStart w:id="1221819945" w:edGrp="everyone"/>
      <w:r w:rsidRPr="00B73ED8">
        <w:rPr>
          <w:rFonts w:ascii="Cambria" w:hAnsi="Cambria" w:cstheme="majorHAnsi"/>
          <w:sz w:val="22"/>
          <w:szCs w:val="22"/>
          <w:lang w:val="en-GB"/>
        </w:rPr>
        <w:t xml:space="preserve">The scope of this proposal (or question) has not been defined by the ESAs, making it difficult to answer. If the question refers to </w:t>
      </w:r>
      <w:r w:rsidRPr="00B73ED8">
        <w:rPr>
          <w:rFonts w:ascii="Cambria" w:hAnsi="Cambria" w:cstheme="majorHAnsi"/>
          <w:i/>
          <w:iCs/>
          <w:sz w:val="22"/>
          <w:szCs w:val="22"/>
          <w:lang w:val="en-GB"/>
        </w:rPr>
        <w:t xml:space="preserve">digital solutions </w:t>
      </w:r>
      <w:r w:rsidRPr="00B73ED8">
        <w:rPr>
          <w:rFonts w:ascii="Cambria" w:hAnsi="Cambria" w:cstheme="majorHAnsi"/>
          <w:sz w:val="22"/>
          <w:szCs w:val="22"/>
          <w:lang w:val="en-GB"/>
        </w:rPr>
        <w:t xml:space="preserve">as in providing the KIDs on durable mediums, such as electronic versions of the document or on websites, if follows clearly from the reading of  Article 14(2), read in conjunction with paragraphs (4) and (5), that it is possible. In addition, BETTER FINANCE sees also portable (mobile) applications as natural extensions of the provisions of letter c) of Article 14(2). </w:t>
      </w:r>
    </w:p>
    <w:p w14:paraId="27B36038" w14:textId="77777777" w:rsidR="00B73ED8" w:rsidRPr="00B73ED8" w:rsidRDefault="00B73ED8" w:rsidP="00B73ED8">
      <w:pPr>
        <w:pStyle w:val="Default"/>
        <w:spacing w:after="120"/>
        <w:jc w:val="both"/>
        <w:rPr>
          <w:rFonts w:ascii="Cambria" w:hAnsi="Cambria" w:cstheme="majorHAnsi"/>
          <w:sz w:val="22"/>
          <w:szCs w:val="22"/>
          <w:lang w:val="en-GB"/>
        </w:rPr>
      </w:pPr>
      <w:r w:rsidRPr="00B73ED8">
        <w:rPr>
          <w:rFonts w:ascii="Cambria" w:hAnsi="Cambria" w:cstheme="majorHAnsi"/>
          <w:sz w:val="22"/>
          <w:szCs w:val="22"/>
          <w:lang w:val="en-GB"/>
        </w:rPr>
        <w:t xml:space="preserve">If the ESAs refer to </w:t>
      </w:r>
      <w:r w:rsidRPr="00B73ED8">
        <w:rPr>
          <w:rFonts w:ascii="Cambria" w:hAnsi="Cambria" w:cstheme="majorHAnsi"/>
          <w:i/>
          <w:iCs/>
          <w:sz w:val="22"/>
          <w:szCs w:val="22"/>
          <w:lang w:val="en-GB"/>
        </w:rPr>
        <w:t>digital solutions</w:t>
      </w:r>
      <w:r w:rsidRPr="00B73ED8">
        <w:rPr>
          <w:rFonts w:ascii="Cambria" w:hAnsi="Cambria" w:cstheme="majorHAnsi"/>
          <w:sz w:val="22"/>
          <w:szCs w:val="22"/>
          <w:lang w:val="en-GB"/>
        </w:rPr>
        <w:t xml:space="preserve"> as means to customise the content, format or order of presentation of the key information of the PRIIP, such as:</w:t>
      </w:r>
    </w:p>
    <w:p w14:paraId="277EFC78" w14:textId="77777777" w:rsidR="00B73ED8" w:rsidRPr="00B73ED8" w:rsidRDefault="00B73ED8" w:rsidP="00E565B9">
      <w:pPr>
        <w:pStyle w:val="Default"/>
        <w:numPr>
          <w:ilvl w:val="0"/>
          <w:numId w:val="51"/>
        </w:numPr>
        <w:spacing w:after="120"/>
        <w:jc w:val="both"/>
        <w:rPr>
          <w:rFonts w:ascii="Cambria" w:hAnsi="Cambria" w:cstheme="majorHAnsi"/>
          <w:sz w:val="22"/>
          <w:szCs w:val="22"/>
          <w:lang w:val="en-GB"/>
        </w:rPr>
      </w:pPr>
      <w:r w:rsidRPr="00B73ED8">
        <w:rPr>
          <w:rFonts w:ascii="Cambria" w:hAnsi="Cambria" w:cstheme="majorHAnsi"/>
          <w:sz w:val="22"/>
          <w:szCs w:val="22"/>
          <w:lang w:val="en-GB"/>
        </w:rPr>
        <w:t>dropdown lists, tabs, windows, flip-images, videos, or other means of information layering; or</w:t>
      </w:r>
    </w:p>
    <w:p w14:paraId="4DA83CF1" w14:textId="77777777" w:rsidR="00B73ED8" w:rsidRPr="00B73ED8" w:rsidRDefault="00B73ED8" w:rsidP="00E565B9">
      <w:pPr>
        <w:pStyle w:val="Default"/>
        <w:numPr>
          <w:ilvl w:val="0"/>
          <w:numId w:val="51"/>
        </w:numPr>
        <w:spacing w:after="120"/>
        <w:jc w:val="both"/>
        <w:rPr>
          <w:rFonts w:ascii="Cambria" w:hAnsi="Cambria" w:cstheme="majorHAnsi"/>
          <w:sz w:val="22"/>
          <w:szCs w:val="22"/>
          <w:lang w:val="en-GB"/>
        </w:rPr>
      </w:pPr>
      <w:r w:rsidRPr="00B73ED8">
        <w:rPr>
          <w:rFonts w:ascii="Cambria" w:hAnsi="Cambria" w:cstheme="majorHAnsi"/>
          <w:sz w:val="22"/>
          <w:szCs w:val="22"/>
          <w:lang w:val="en-GB"/>
        </w:rPr>
        <w:t>electronic features allowing for information customisation (such as computer-generated information),</w:t>
      </w:r>
    </w:p>
    <w:p w14:paraId="4A36CFFA" w14:textId="77777777" w:rsidR="00B73ED8" w:rsidRPr="00B73ED8" w:rsidRDefault="00B73ED8" w:rsidP="00B73ED8">
      <w:pPr>
        <w:pStyle w:val="Default"/>
        <w:spacing w:after="120"/>
        <w:jc w:val="both"/>
        <w:rPr>
          <w:rFonts w:ascii="Cambria" w:hAnsi="Cambria" w:cstheme="majorHAnsi"/>
          <w:sz w:val="22"/>
          <w:szCs w:val="22"/>
          <w:lang w:val="en-GB"/>
        </w:rPr>
      </w:pPr>
      <w:r w:rsidRPr="00B73ED8">
        <w:rPr>
          <w:rFonts w:ascii="Cambria" w:hAnsi="Cambria" w:cstheme="majorHAnsi"/>
          <w:sz w:val="22"/>
          <w:szCs w:val="22"/>
          <w:lang w:val="en-GB"/>
        </w:rPr>
        <w:t xml:space="preserve">a strict reading of the PRIIPs Regulation (Level 1) leads to the conclusion that such solutions would be </w:t>
      </w:r>
      <w:r w:rsidRPr="00B73ED8">
        <w:rPr>
          <w:rFonts w:ascii="Cambria" w:hAnsi="Cambria" w:cstheme="majorHAnsi"/>
          <w:color w:val="000000" w:themeColor="text1"/>
          <w:sz w:val="22"/>
          <w:szCs w:val="22"/>
          <w:lang w:val="en-GB"/>
        </w:rPr>
        <w:t>contrary to the wording of the aforementioned provisions</w:t>
      </w:r>
      <w:r w:rsidRPr="00B73ED8">
        <w:rPr>
          <w:rFonts w:ascii="Cambria" w:hAnsi="Cambria" w:cstheme="majorHAnsi"/>
          <w:sz w:val="22"/>
          <w:szCs w:val="22"/>
          <w:lang w:val="en-GB"/>
        </w:rPr>
        <w:t>.</w:t>
      </w:r>
    </w:p>
    <w:p w14:paraId="33D58F46" w14:textId="77777777" w:rsidR="00B73ED8" w:rsidRPr="00B73ED8" w:rsidRDefault="00B73ED8" w:rsidP="00B73ED8">
      <w:pPr>
        <w:pStyle w:val="Default"/>
        <w:spacing w:after="120"/>
        <w:jc w:val="both"/>
        <w:rPr>
          <w:rFonts w:ascii="Cambria" w:hAnsi="Cambria" w:cstheme="majorHAnsi"/>
          <w:sz w:val="22"/>
          <w:szCs w:val="22"/>
          <w:lang w:val="en-GB"/>
        </w:rPr>
      </w:pPr>
      <w:r w:rsidRPr="00B73ED8">
        <w:rPr>
          <w:rFonts w:ascii="Cambria" w:hAnsi="Cambria" w:cstheme="majorHAnsi"/>
          <w:sz w:val="22"/>
          <w:szCs w:val="22"/>
          <w:lang w:val="en-GB"/>
        </w:rPr>
        <w:t xml:space="preserve">First, in our view the purpose of allowing the provision of KIDs on durable medium (as it is the case also with the UCITS Directive) is limited to disseminating or making available the </w:t>
      </w:r>
      <w:r w:rsidRPr="00B73ED8">
        <w:rPr>
          <w:rFonts w:ascii="Cambria" w:hAnsi="Cambria" w:cstheme="majorHAnsi"/>
          <w:sz w:val="22"/>
          <w:szCs w:val="22"/>
          <w:u w:val="single"/>
          <w:lang w:val="en-GB"/>
        </w:rPr>
        <w:t>electronic format of the document</w:t>
      </w:r>
      <w:r w:rsidRPr="00B73ED8">
        <w:rPr>
          <w:rFonts w:ascii="Cambria" w:hAnsi="Cambria" w:cstheme="majorHAnsi"/>
          <w:sz w:val="22"/>
          <w:szCs w:val="22"/>
          <w:lang w:val="en-GB"/>
        </w:rPr>
        <w:t>, online or offline.</w:t>
      </w:r>
    </w:p>
    <w:p w14:paraId="22E64806" w14:textId="77777777" w:rsidR="00B73ED8" w:rsidRPr="00B73ED8" w:rsidRDefault="00B73ED8" w:rsidP="00B73ED8">
      <w:pPr>
        <w:pStyle w:val="Default"/>
        <w:spacing w:after="120"/>
        <w:jc w:val="both"/>
        <w:rPr>
          <w:rFonts w:ascii="Cambria" w:hAnsi="Cambria" w:cstheme="majorHAnsi"/>
          <w:sz w:val="22"/>
          <w:szCs w:val="22"/>
          <w:lang w:val="en-GB"/>
        </w:rPr>
      </w:pPr>
      <w:r w:rsidRPr="00B73ED8">
        <w:rPr>
          <w:rFonts w:ascii="Cambria" w:hAnsi="Cambria" w:cstheme="majorHAnsi"/>
          <w:sz w:val="22"/>
          <w:szCs w:val="22"/>
          <w:lang w:val="en-GB"/>
        </w:rPr>
        <w:t>Second, while Articles 13 and 14 of the PRIIPs Regulation (read in light of Recital 27) allow the retail investor to choose whether to receive the KID in paperback (hard) or electronic format, including electronic versions of documents or through a website, Articles 6(2) and 8(1), second indent, clearly require the provision of the key information in a document-like sequence and format, where the content cannot be changed in any manner.</w:t>
      </w:r>
    </w:p>
    <w:p w14:paraId="7765CE9D" w14:textId="77777777" w:rsidR="00B73ED8" w:rsidRPr="00B73ED8" w:rsidRDefault="00B73ED8" w:rsidP="00B73ED8">
      <w:pPr>
        <w:pStyle w:val="Default"/>
        <w:spacing w:after="120"/>
        <w:jc w:val="both"/>
        <w:rPr>
          <w:rFonts w:ascii="Cambria" w:hAnsi="Cambria" w:cstheme="majorHAnsi"/>
          <w:sz w:val="22"/>
          <w:szCs w:val="22"/>
          <w:lang w:val="en-GB"/>
        </w:rPr>
      </w:pPr>
      <w:r w:rsidRPr="00B73ED8">
        <w:rPr>
          <w:rFonts w:ascii="Cambria" w:hAnsi="Cambria" w:cstheme="majorHAnsi"/>
          <w:sz w:val="22"/>
          <w:szCs w:val="22"/>
          <w:lang w:val="en-GB"/>
        </w:rPr>
        <w:t xml:space="preserve">BETTER FINANCE sees an opportunity to further investigate whether customising the information in KIDs through digital solutions would improve the understanding and engagement of retail investors, in particular since it would allow to produce tailor-made documents for each person in particular. Provided that the information is fair, clear and not misleading, digital distribution of PRIIPs KIDs should then help consumers compare even better between the different PRIIPs offerings. </w:t>
      </w:r>
    </w:p>
    <w:p w14:paraId="17B46555" w14:textId="77777777" w:rsidR="00B73ED8" w:rsidRPr="00B73ED8" w:rsidRDefault="00B73ED8" w:rsidP="00B73ED8">
      <w:pPr>
        <w:pStyle w:val="Default"/>
        <w:spacing w:after="120"/>
        <w:jc w:val="both"/>
        <w:rPr>
          <w:rFonts w:ascii="Cambria" w:hAnsi="Cambria" w:cstheme="majorHAnsi"/>
          <w:sz w:val="22"/>
          <w:szCs w:val="22"/>
          <w:lang w:val="en-GB"/>
        </w:rPr>
      </w:pPr>
      <w:r w:rsidRPr="00B73ED8">
        <w:rPr>
          <w:rFonts w:ascii="Cambria" w:hAnsi="Cambria" w:cstheme="majorHAnsi"/>
          <w:sz w:val="22"/>
          <w:szCs w:val="22"/>
          <w:lang w:val="en-GB"/>
        </w:rPr>
        <w:t>In addition, digital tools could contain “nudging” features with regards to the prominent warnings contained in the PRIIPs KID so that the saver’s attention is drawn onto to them and so that the saver does not easily oversee the essential information, such as the prominent warnings. Nevertheless, we deem it also important for the ESAs to use the already available behavioural insights and behavioural experiments undertaken by some of the competent authorities as to the effectiveness of warnings and their impact on financial services users.</w:t>
      </w:r>
    </w:p>
    <w:p w14:paraId="6496FAC5" w14:textId="0FF2D0CA" w:rsidR="003E573C" w:rsidRDefault="00B73ED8" w:rsidP="00B73ED8">
      <w:pPr>
        <w:rPr>
          <w:rFonts w:cs="Arial"/>
        </w:rPr>
      </w:pPr>
      <w:r>
        <w:rPr>
          <w:rFonts w:ascii="Cambria" w:hAnsi="Cambria" w:cstheme="majorHAnsi"/>
          <w:sz w:val="22"/>
          <w:szCs w:val="22"/>
        </w:rPr>
        <w:t xml:space="preserve">However, as the situation stands currently, this would represent </w:t>
      </w:r>
      <w:r w:rsidRPr="009517C1">
        <w:rPr>
          <w:rFonts w:ascii="Cambria" w:hAnsi="Cambria" w:cstheme="majorHAnsi"/>
          <w:b/>
          <w:bCs/>
          <w:color w:val="0070C0"/>
          <w:sz w:val="22"/>
          <w:szCs w:val="22"/>
        </w:rPr>
        <w:t>a clear breach of EU law</w:t>
      </w:r>
      <w:r w:rsidRPr="009517C1">
        <w:rPr>
          <w:rFonts w:ascii="Cambria" w:hAnsi="Cambria" w:cstheme="majorHAnsi"/>
          <w:color w:val="0070C0"/>
          <w:sz w:val="22"/>
          <w:szCs w:val="22"/>
        </w:rPr>
        <w:t xml:space="preserve"> </w:t>
      </w:r>
      <w:r>
        <w:rPr>
          <w:rFonts w:ascii="Cambria" w:hAnsi="Cambria" w:cstheme="majorHAnsi"/>
          <w:sz w:val="22"/>
          <w:szCs w:val="22"/>
        </w:rPr>
        <w:t>and it should be addressed at Level 1.</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07A447E6" w14:textId="752E2609" w:rsidR="003235FB" w:rsidRPr="003235FB" w:rsidRDefault="003235FB" w:rsidP="003235FB">
      <w:pPr>
        <w:pStyle w:val="Default"/>
        <w:spacing w:after="120"/>
        <w:rPr>
          <w:rFonts w:ascii="Cambria" w:hAnsi="Cambria"/>
          <w:sz w:val="22"/>
          <w:szCs w:val="22"/>
          <w:lang w:val="en-GB"/>
        </w:rPr>
      </w:pPr>
      <w:permStart w:id="729947415" w:edGrp="everyone"/>
      <w:r w:rsidRPr="003235FB">
        <w:rPr>
          <w:rFonts w:ascii="Cambria" w:hAnsi="Cambria"/>
          <w:sz w:val="22"/>
          <w:szCs w:val="22"/>
          <w:lang w:val="en-GB"/>
        </w:rPr>
        <w:t>BETTER FINANCE firmly believes this would be helpful, for the following reasons:</w:t>
      </w:r>
    </w:p>
    <w:p w14:paraId="4466FE33" w14:textId="77777777" w:rsidR="003235FB" w:rsidRPr="003235FB" w:rsidRDefault="003235FB" w:rsidP="00E565B9">
      <w:pPr>
        <w:pStyle w:val="Default"/>
        <w:numPr>
          <w:ilvl w:val="0"/>
          <w:numId w:val="52"/>
        </w:numPr>
        <w:rPr>
          <w:rFonts w:ascii="Cambria" w:hAnsi="Cambria"/>
          <w:sz w:val="22"/>
          <w:szCs w:val="22"/>
          <w:lang w:val="en-GB"/>
        </w:rPr>
      </w:pPr>
      <w:r w:rsidRPr="003235FB">
        <w:rPr>
          <w:rFonts w:ascii="Cambria" w:hAnsi="Cambria"/>
          <w:sz w:val="22"/>
          <w:szCs w:val="22"/>
          <w:lang w:val="en-GB"/>
        </w:rPr>
        <w:lastRenderedPageBreak/>
        <w:t>It would facilitate the iteration of the reports on costs and past performance of the ESAs;</w:t>
      </w:r>
    </w:p>
    <w:p w14:paraId="3E32B47B" w14:textId="77777777" w:rsidR="003235FB" w:rsidRPr="003235FB" w:rsidRDefault="003235FB" w:rsidP="00E565B9">
      <w:pPr>
        <w:pStyle w:val="Default"/>
        <w:numPr>
          <w:ilvl w:val="0"/>
          <w:numId w:val="52"/>
        </w:numPr>
        <w:rPr>
          <w:rFonts w:ascii="Cambria" w:hAnsi="Cambria"/>
          <w:sz w:val="22"/>
          <w:szCs w:val="22"/>
          <w:lang w:val="en-GB"/>
        </w:rPr>
      </w:pPr>
      <w:r w:rsidRPr="003235FB">
        <w:rPr>
          <w:rFonts w:ascii="Cambria" w:hAnsi="Cambria"/>
          <w:sz w:val="22"/>
          <w:szCs w:val="22"/>
          <w:lang w:val="en-GB"/>
        </w:rPr>
        <w:t>It would facilitate harmonised reporting by NCAs;</w:t>
      </w:r>
    </w:p>
    <w:p w14:paraId="3A42B73D" w14:textId="77777777" w:rsidR="003235FB" w:rsidRPr="003235FB" w:rsidRDefault="003235FB" w:rsidP="00E565B9">
      <w:pPr>
        <w:pStyle w:val="Default"/>
        <w:numPr>
          <w:ilvl w:val="0"/>
          <w:numId w:val="52"/>
        </w:numPr>
        <w:spacing w:after="120"/>
        <w:rPr>
          <w:rFonts w:ascii="Cambria" w:hAnsi="Cambria"/>
          <w:sz w:val="22"/>
          <w:szCs w:val="22"/>
          <w:lang w:val="en-GB"/>
        </w:rPr>
      </w:pPr>
      <w:r w:rsidRPr="003235FB">
        <w:rPr>
          <w:rFonts w:ascii="Cambria" w:hAnsi="Cambria"/>
          <w:sz w:val="22"/>
          <w:szCs w:val="22"/>
          <w:lang w:val="en-GB"/>
        </w:rPr>
        <w:t>It would reduce the costs of data aggregation and reporting, especially in the context of developing web-comparison tools and online databases.</w:t>
      </w:r>
    </w:p>
    <w:p w14:paraId="7A09C6A0" w14:textId="7CDE3F45" w:rsidR="003E573C" w:rsidRDefault="003235FB" w:rsidP="003235FB">
      <w:pPr>
        <w:rPr>
          <w:rFonts w:cs="Arial"/>
        </w:rPr>
      </w:pPr>
      <w:r>
        <w:rPr>
          <w:rFonts w:ascii="Cambria" w:hAnsi="Cambria"/>
          <w:sz w:val="22"/>
          <w:szCs w:val="22"/>
        </w:rPr>
        <w:t>Therefore, BETTER FINANCE strongly supports this initiative.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79A2A77D" w:rsidR="003E573C" w:rsidRDefault="002E3C4F" w:rsidP="003E573C">
      <w:pPr>
        <w:rPr>
          <w:rFonts w:cs="Arial"/>
        </w:rPr>
      </w:pPr>
      <w:permStart w:id="677205538" w:edGrp="everyone"/>
      <w:r>
        <w:rPr>
          <w:rFonts w:ascii="Cambria" w:hAnsi="Cambria" w:cstheme="majorHAnsi"/>
          <w:sz w:val="22"/>
          <w:szCs w:val="22"/>
        </w:rPr>
        <w:t>BETTER FINANCE advises the ESAs to reduce the transitional periods for implementing the new requirements and impose the implementation of the PRIIPs amendments as soon as possible in order to reduce the detriment currently caused by the KID to individual, non-professional and small investors.</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45ECA879" w14:textId="2F4D5D50" w:rsidR="00752E78" w:rsidRPr="00752E78" w:rsidRDefault="00752E78" w:rsidP="00752E78">
      <w:pPr>
        <w:pStyle w:val="Default"/>
        <w:spacing w:after="120"/>
        <w:jc w:val="both"/>
        <w:rPr>
          <w:rFonts w:ascii="Cambria" w:hAnsi="Cambria"/>
          <w:sz w:val="22"/>
          <w:szCs w:val="22"/>
          <w:lang w:val="en-GB"/>
        </w:rPr>
      </w:pPr>
      <w:permStart w:id="1220688604" w:edGrp="everyone"/>
      <w:r w:rsidRPr="00752E78">
        <w:rPr>
          <w:rFonts w:ascii="Cambria" w:hAnsi="Cambria"/>
          <w:sz w:val="22"/>
          <w:szCs w:val="22"/>
          <w:lang w:val="en-GB"/>
        </w:rPr>
        <w:t xml:space="preserve">There is no reason for which a step-by-step approach could be applied. Moreover, considering the difficulties and complexity of the current requirements and of the proposed amendments, a graduated approach could lead to conceptual conflicts in the provision of the KID. </w:t>
      </w:r>
    </w:p>
    <w:p w14:paraId="784D9858" w14:textId="0DF18CAF" w:rsidR="003E573C" w:rsidRDefault="00752E78" w:rsidP="00752E78">
      <w:pPr>
        <w:rPr>
          <w:rFonts w:cs="Arial"/>
        </w:rPr>
      </w:pPr>
      <w:r w:rsidRPr="002C5CC3">
        <w:rPr>
          <w:rFonts w:ascii="Cambria" w:hAnsi="Cambria"/>
          <w:sz w:val="22"/>
          <w:szCs w:val="22"/>
        </w:rPr>
        <w:t>In addition, graduated approaches would result in the provision of different KIDs to potential retail clients, which would add even more to the confusion created by the KID and make it even more difficult for retail investors to assess and compare investment products.</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276FF505" w14:textId="45842669" w:rsidR="004B4517" w:rsidRPr="004B4517" w:rsidRDefault="004B4517" w:rsidP="004B4517">
      <w:pPr>
        <w:pStyle w:val="Default"/>
        <w:spacing w:after="240"/>
        <w:jc w:val="both"/>
        <w:rPr>
          <w:rFonts w:ascii="Cambria" w:hAnsi="Cambria" w:cstheme="majorHAnsi"/>
          <w:sz w:val="22"/>
          <w:szCs w:val="22"/>
          <w:lang w:val="en-GB"/>
        </w:rPr>
      </w:pPr>
      <w:permStart w:id="209390932" w:edGrp="everyone"/>
      <w:r w:rsidRPr="004B4517">
        <w:rPr>
          <w:rFonts w:ascii="Cambria" w:hAnsi="Cambria" w:cstheme="majorHAnsi"/>
          <w:sz w:val="22"/>
          <w:szCs w:val="22"/>
          <w:lang w:val="en-GB"/>
        </w:rPr>
        <w:t xml:space="preserve">BETTER FINANCE believes that, in absence of regulatory restraints at Level 1, it is in the remit of competence of the ESAs to consider </w:t>
      </w:r>
      <w:r w:rsidRPr="004B4517">
        <w:rPr>
          <w:rFonts w:ascii="Cambria" w:hAnsi="Cambria" w:cstheme="majorHAnsi"/>
          <w:b/>
          <w:bCs/>
          <w:sz w:val="22"/>
          <w:szCs w:val="22"/>
          <w:lang w:val="en-GB"/>
        </w:rPr>
        <w:t xml:space="preserve">standardising, streamlining or introducing clear requirements on the assessment and assignment of </w:t>
      </w:r>
      <w:r w:rsidRPr="004B4517">
        <w:rPr>
          <w:rFonts w:ascii="Cambria" w:hAnsi="Cambria" w:cstheme="majorHAnsi"/>
          <w:b/>
          <w:bCs/>
          <w:i/>
          <w:iCs/>
          <w:sz w:val="22"/>
          <w:szCs w:val="22"/>
          <w:lang w:val="en-GB"/>
        </w:rPr>
        <w:t>recommended holding periods</w:t>
      </w:r>
      <w:r w:rsidRPr="004B4517">
        <w:rPr>
          <w:rFonts w:ascii="Cambria" w:hAnsi="Cambria" w:cstheme="majorHAnsi"/>
          <w:b/>
          <w:bCs/>
          <w:sz w:val="22"/>
          <w:szCs w:val="22"/>
          <w:lang w:val="en-GB"/>
        </w:rPr>
        <w:t xml:space="preserve"> (RHP)</w:t>
      </w:r>
      <w:r w:rsidRPr="004B4517">
        <w:rPr>
          <w:rFonts w:ascii="Cambria" w:hAnsi="Cambria" w:cstheme="majorHAnsi"/>
          <w:sz w:val="22"/>
          <w:szCs w:val="22"/>
          <w:lang w:val="en-GB"/>
        </w:rPr>
        <w:t xml:space="preserve"> for PRIIPs. The RHP is not only crucial for the suitability of the PRIIP itself, but it also anchors essential elements, such as performance and costs, and should have been reviewed by the ESAs during this public consultation.</w:t>
      </w:r>
    </w:p>
    <w:p w14:paraId="4EE27C0A" w14:textId="41E125AF" w:rsidR="003E573C" w:rsidRDefault="004B4517" w:rsidP="004B4517">
      <w:pPr>
        <w:rPr>
          <w:rFonts w:cs="Arial"/>
        </w:rPr>
      </w:pPr>
      <w:r>
        <w:rPr>
          <w:rFonts w:ascii="Cambria" w:hAnsi="Cambria" w:cstheme="majorHAnsi"/>
          <w:sz w:val="22"/>
          <w:szCs w:val="22"/>
        </w:rPr>
        <w:t xml:space="preserve">Moreover, in the context of revising the probabilistic future return scenarios, the ESAs did not make any mention on </w:t>
      </w:r>
      <w:r w:rsidRPr="00BF1AE6">
        <w:rPr>
          <w:rFonts w:ascii="Cambria" w:hAnsi="Cambria" w:cstheme="majorHAnsi"/>
          <w:b/>
          <w:bCs/>
          <w:sz w:val="22"/>
          <w:szCs w:val="22"/>
        </w:rPr>
        <w:t>the minimal necessary historical track record that would need to be used to estimate performances</w:t>
      </w:r>
      <w:r>
        <w:rPr>
          <w:rFonts w:ascii="Cambria" w:hAnsi="Cambria" w:cstheme="majorHAnsi"/>
          <w:sz w:val="22"/>
          <w:szCs w:val="22"/>
        </w:rPr>
        <w:t>. Considering the conclusions put forward in the February 2019 Report, and analysing in conjunction with the new proposals of this consultation paper, it is not clear whether the old 5-year period will be used or not.</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lastRenderedPageBreak/>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13D1367B" w14:textId="33A2F4BF" w:rsidR="00E52EB3" w:rsidRPr="00456C07" w:rsidRDefault="00E52EB3" w:rsidP="00E52EB3">
      <w:pPr>
        <w:jc w:val="both"/>
        <w:rPr>
          <w:rFonts w:ascii="Cambria" w:hAnsi="Cambria"/>
          <w:color w:val="000000" w:themeColor="text1"/>
          <w:sz w:val="22"/>
          <w:szCs w:val="28"/>
        </w:rPr>
      </w:pPr>
      <w:permStart w:id="418122716" w:edGrp="everyone"/>
      <w:r w:rsidRPr="00456C07">
        <w:rPr>
          <w:rFonts w:ascii="Cambria" w:hAnsi="Cambria"/>
          <w:color w:val="000000" w:themeColor="text1"/>
          <w:sz w:val="22"/>
          <w:szCs w:val="28"/>
        </w:rPr>
        <w:t>The key information document is addressed to individual, non-professional and small investors, who have a limited understanding and/or knowledge of financial products. The KID’s function is twofold: (i) to enable retail investors understand the PRIIP; (ii) to enable comparisons among different PRIIPs. The purpose of the KID is to enable retail investors:</w:t>
      </w:r>
    </w:p>
    <w:p w14:paraId="5C23D271" w14:textId="77777777" w:rsidR="00E52EB3" w:rsidRPr="00456C07" w:rsidRDefault="00E52EB3" w:rsidP="00E565B9">
      <w:pPr>
        <w:pStyle w:val="ListParagraph"/>
        <w:numPr>
          <w:ilvl w:val="0"/>
          <w:numId w:val="53"/>
        </w:numPr>
        <w:spacing w:after="160" w:line="259" w:lineRule="auto"/>
        <w:jc w:val="both"/>
        <w:rPr>
          <w:rFonts w:ascii="Cambria" w:hAnsi="Cambria"/>
          <w:color w:val="000000" w:themeColor="text1"/>
          <w:sz w:val="22"/>
          <w:szCs w:val="28"/>
        </w:rPr>
      </w:pPr>
      <w:r w:rsidRPr="00456C07">
        <w:rPr>
          <w:rFonts w:ascii="Cambria" w:hAnsi="Cambria"/>
          <w:color w:val="000000" w:themeColor="text1"/>
          <w:sz w:val="22"/>
          <w:szCs w:val="28"/>
        </w:rPr>
        <w:t>make an informed investment decision;</w:t>
      </w:r>
    </w:p>
    <w:p w14:paraId="654D1702" w14:textId="77777777" w:rsidR="00E52EB3" w:rsidRPr="00456C07" w:rsidRDefault="00E52EB3" w:rsidP="00E565B9">
      <w:pPr>
        <w:pStyle w:val="ListParagraph"/>
        <w:numPr>
          <w:ilvl w:val="0"/>
          <w:numId w:val="53"/>
        </w:numPr>
        <w:spacing w:after="160" w:line="259" w:lineRule="auto"/>
        <w:jc w:val="both"/>
        <w:rPr>
          <w:rFonts w:ascii="Cambria" w:hAnsi="Cambria"/>
          <w:color w:val="000000" w:themeColor="text1"/>
          <w:sz w:val="22"/>
          <w:szCs w:val="28"/>
        </w:rPr>
      </w:pPr>
      <w:r w:rsidRPr="00456C07">
        <w:rPr>
          <w:rFonts w:ascii="Cambria" w:hAnsi="Cambria"/>
          <w:color w:val="000000" w:themeColor="text1"/>
          <w:sz w:val="22"/>
          <w:szCs w:val="28"/>
        </w:rPr>
        <w:t>reduce reliance on investment advice;</w:t>
      </w:r>
    </w:p>
    <w:p w14:paraId="59789F63" w14:textId="77777777" w:rsidR="00E52EB3" w:rsidRPr="00456C07" w:rsidRDefault="00E52EB3" w:rsidP="00E565B9">
      <w:pPr>
        <w:pStyle w:val="ListParagraph"/>
        <w:numPr>
          <w:ilvl w:val="0"/>
          <w:numId w:val="53"/>
        </w:numPr>
        <w:spacing w:after="160" w:line="259" w:lineRule="auto"/>
        <w:jc w:val="both"/>
        <w:rPr>
          <w:rFonts w:ascii="Cambria" w:hAnsi="Cambria"/>
          <w:color w:val="000000" w:themeColor="text1"/>
          <w:sz w:val="22"/>
          <w:szCs w:val="28"/>
        </w:rPr>
      </w:pPr>
      <w:r w:rsidRPr="00456C07">
        <w:rPr>
          <w:rFonts w:ascii="Cambria" w:hAnsi="Cambria"/>
          <w:color w:val="000000" w:themeColor="text1"/>
          <w:sz w:val="22"/>
          <w:szCs w:val="28"/>
        </w:rPr>
        <w:t>restore trust in the financial services industry.</w:t>
      </w:r>
    </w:p>
    <w:p w14:paraId="038775E1" w14:textId="77777777" w:rsidR="00E52EB3" w:rsidRPr="00456C07" w:rsidRDefault="00E52EB3" w:rsidP="00E52EB3">
      <w:pPr>
        <w:rPr>
          <w:rFonts w:ascii="Cambria" w:hAnsi="Cambria"/>
          <w:b/>
          <w:bCs/>
          <w:i/>
          <w:iCs/>
          <w:color w:val="000000" w:themeColor="text1"/>
          <w:sz w:val="22"/>
          <w:szCs w:val="28"/>
          <w:u w:val="single"/>
        </w:rPr>
      </w:pPr>
      <w:r w:rsidRPr="00456C07">
        <w:rPr>
          <w:rFonts w:ascii="Cambria" w:hAnsi="Cambria"/>
          <w:b/>
          <w:bCs/>
          <w:i/>
          <w:iCs/>
          <w:color w:val="000000" w:themeColor="text1"/>
          <w:sz w:val="22"/>
          <w:szCs w:val="28"/>
          <w:u w:val="single"/>
        </w:rPr>
        <w:t>Therefore, the KID should cater the needs of retail investors.</w:t>
      </w:r>
    </w:p>
    <w:p w14:paraId="7EC1F534" w14:textId="79876CF9" w:rsidR="00E52EB3" w:rsidRPr="00456C07" w:rsidRDefault="00E52EB3" w:rsidP="00E52EB3">
      <w:pPr>
        <w:jc w:val="both"/>
        <w:rPr>
          <w:rFonts w:ascii="Cambria" w:hAnsi="Cambria"/>
          <w:color w:val="000000" w:themeColor="text1"/>
          <w:sz w:val="22"/>
          <w:szCs w:val="28"/>
        </w:rPr>
      </w:pPr>
      <w:r w:rsidRPr="00456C07">
        <w:rPr>
          <w:rFonts w:ascii="Cambria" w:hAnsi="Cambria"/>
          <w:color w:val="000000" w:themeColor="text1"/>
          <w:sz w:val="22"/>
          <w:szCs w:val="28"/>
        </w:rPr>
        <w:t xml:space="preserve">A consumer testing exercise is the best mean to identify what retail investors understand in terms of content and format, how long and how much information can be presented and, </w:t>
      </w:r>
      <w:r w:rsidRPr="00456C07">
        <w:rPr>
          <w:rFonts w:ascii="Cambria" w:hAnsi="Cambria"/>
          <w:b/>
          <w:bCs/>
          <w:color w:val="000000" w:themeColor="text1"/>
          <w:sz w:val="22"/>
          <w:szCs w:val="28"/>
        </w:rPr>
        <w:t xml:space="preserve">most </w:t>
      </w:r>
      <w:r w:rsidRPr="00456C07">
        <w:rPr>
          <w:rFonts w:ascii="Cambria" w:hAnsi="Cambria"/>
          <w:color w:val="000000" w:themeColor="text1"/>
          <w:sz w:val="22"/>
          <w:szCs w:val="28"/>
        </w:rPr>
        <w:t xml:space="preserve">importantly, what information should be avoided due to its misleading nature. </w:t>
      </w:r>
    </w:p>
    <w:p w14:paraId="5B6C77FA" w14:textId="77777777" w:rsidR="00E52EB3" w:rsidRPr="00456C07" w:rsidRDefault="00E52EB3" w:rsidP="00E52EB3">
      <w:pPr>
        <w:jc w:val="both"/>
        <w:rPr>
          <w:rFonts w:ascii="Cambria" w:hAnsi="Cambria"/>
          <w:color w:val="000000" w:themeColor="text1"/>
          <w:sz w:val="22"/>
          <w:szCs w:val="28"/>
        </w:rPr>
      </w:pPr>
    </w:p>
    <w:p w14:paraId="71E8BC21" w14:textId="77777777" w:rsidR="00E52EB3" w:rsidRPr="00456C07" w:rsidRDefault="00E52EB3" w:rsidP="00E52EB3">
      <w:pPr>
        <w:jc w:val="both"/>
        <w:rPr>
          <w:rFonts w:ascii="Cambria" w:hAnsi="Cambria"/>
          <w:color w:val="000000" w:themeColor="text1"/>
          <w:sz w:val="22"/>
          <w:szCs w:val="28"/>
        </w:rPr>
      </w:pPr>
      <w:r w:rsidRPr="00456C07">
        <w:rPr>
          <w:rFonts w:ascii="Cambria" w:hAnsi="Cambria"/>
          <w:color w:val="000000" w:themeColor="text1"/>
          <w:sz w:val="22"/>
          <w:szCs w:val="28"/>
        </w:rPr>
        <w:t xml:space="preserve">The current consumer testing exercise performed by the European Commission (EC) missed on most of the abovementioned aspects, which are </w:t>
      </w:r>
      <w:r w:rsidRPr="00456C07">
        <w:rPr>
          <w:rFonts w:ascii="Cambria" w:hAnsi="Cambria"/>
          <w:b/>
          <w:bCs/>
          <w:color w:val="000000" w:themeColor="text1"/>
          <w:sz w:val="22"/>
          <w:szCs w:val="28"/>
        </w:rPr>
        <w:t>pivotal</w:t>
      </w:r>
      <w:r w:rsidRPr="00456C07">
        <w:rPr>
          <w:rFonts w:ascii="Cambria" w:hAnsi="Cambria"/>
          <w:color w:val="000000" w:themeColor="text1"/>
          <w:sz w:val="22"/>
          <w:szCs w:val="28"/>
        </w:rPr>
        <w:t xml:space="preserve"> for the clarification and proper implementation of the PRIIPs KID. Focusing only on the presentation of </w:t>
      </w:r>
      <w:r w:rsidRPr="00456C07">
        <w:rPr>
          <w:rFonts w:ascii="Cambria" w:hAnsi="Cambria"/>
          <w:i/>
          <w:iCs/>
          <w:color w:val="000000" w:themeColor="text1"/>
          <w:sz w:val="22"/>
          <w:szCs w:val="28"/>
        </w:rPr>
        <w:t>future performance scenarios</w:t>
      </w:r>
      <w:r w:rsidRPr="00456C07">
        <w:rPr>
          <w:rFonts w:ascii="Cambria" w:hAnsi="Cambria"/>
          <w:color w:val="000000" w:themeColor="text1"/>
          <w:sz w:val="22"/>
          <w:szCs w:val="28"/>
        </w:rPr>
        <w:t xml:space="preserve"> leaves informational gaps in consumer understanding regarding costs and risks.</w:t>
      </w:r>
    </w:p>
    <w:p w14:paraId="06EFC336" w14:textId="77777777" w:rsidR="00E52EB3" w:rsidRPr="00456C07" w:rsidRDefault="00E52EB3" w:rsidP="00E52EB3">
      <w:pPr>
        <w:jc w:val="both"/>
        <w:rPr>
          <w:rFonts w:ascii="Cambria" w:hAnsi="Cambria"/>
          <w:color w:val="000000" w:themeColor="text1"/>
          <w:sz w:val="22"/>
          <w:szCs w:val="28"/>
        </w:rPr>
      </w:pPr>
    </w:p>
    <w:p w14:paraId="08864217" w14:textId="77777777" w:rsidR="00E52EB3" w:rsidRPr="00456C07" w:rsidRDefault="00E52EB3" w:rsidP="00E52EB3">
      <w:pPr>
        <w:jc w:val="both"/>
        <w:rPr>
          <w:rFonts w:ascii="Cambria" w:hAnsi="Cambria"/>
          <w:color w:val="000000" w:themeColor="text1"/>
          <w:sz w:val="22"/>
          <w:szCs w:val="28"/>
        </w:rPr>
      </w:pPr>
      <w:r w:rsidRPr="00456C07">
        <w:rPr>
          <w:rFonts w:ascii="Cambria" w:hAnsi="Cambria"/>
          <w:color w:val="000000" w:themeColor="text1"/>
          <w:sz w:val="22"/>
          <w:szCs w:val="28"/>
        </w:rPr>
        <w:t xml:space="preserve">The 2008 UCITS KIID testing and the 2015 PRIIPs KID testing tested opposed presentations of information in the KIDs. On one side, the UCITS KIID testing analysed how retail investors perceive past performance presentation (and actual costs and risk information), while the 2015 PRIIPs KID testing examined how retail investors respond to estimated information. The two methodologies have not been tested together. The EC should have first tested which of the two approaches are more understandable by retail investors, lead to less hyperbolised assumptions and enable and facilitate a proper understanding of the nature and characteristics of a PRIIP. </w:t>
      </w:r>
    </w:p>
    <w:p w14:paraId="21A228D3" w14:textId="10F1D270" w:rsidR="00E52EB3" w:rsidRPr="00456C07" w:rsidRDefault="00E52EB3" w:rsidP="00E52EB3">
      <w:pPr>
        <w:jc w:val="both"/>
        <w:rPr>
          <w:rFonts w:ascii="Cambria" w:hAnsi="Cambria"/>
          <w:color w:val="000000" w:themeColor="text1"/>
          <w:sz w:val="22"/>
          <w:szCs w:val="28"/>
        </w:rPr>
      </w:pPr>
      <w:r w:rsidRPr="00456C07">
        <w:rPr>
          <w:rFonts w:ascii="Cambria" w:hAnsi="Cambria"/>
          <w:color w:val="000000" w:themeColor="text1"/>
          <w:sz w:val="22"/>
          <w:szCs w:val="28"/>
        </w:rPr>
        <w:t xml:space="preserve">Clarifying this question would have tremendously simplified the review process.  </w:t>
      </w:r>
    </w:p>
    <w:p w14:paraId="2822CD6F" w14:textId="77777777" w:rsidR="00E52EB3" w:rsidRPr="00456C07" w:rsidRDefault="00E52EB3" w:rsidP="00E52EB3">
      <w:pPr>
        <w:jc w:val="both"/>
        <w:rPr>
          <w:rFonts w:ascii="Cambria" w:hAnsi="Cambria"/>
          <w:color w:val="000000" w:themeColor="text1"/>
          <w:sz w:val="22"/>
          <w:szCs w:val="28"/>
        </w:rPr>
      </w:pPr>
    </w:p>
    <w:p w14:paraId="46FB187E" w14:textId="449FDD24" w:rsidR="003E573C" w:rsidRPr="00456C07" w:rsidRDefault="00E52EB3" w:rsidP="00E52EB3">
      <w:pPr>
        <w:jc w:val="both"/>
        <w:rPr>
          <w:rFonts w:cs="Arial"/>
          <w:sz w:val="22"/>
          <w:szCs w:val="28"/>
        </w:rPr>
      </w:pPr>
      <w:r w:rsidRPr="00456C07">
        <w:rPr>
          <w:rFonts w:ascii="Cambria" w:hAnsi="Cambria"/>
          <w:color w:val="000000" w:themeColor="text1"/>
          <w:sz w:val="22"/>
          <w:szCs w:val="28"/>
        </w:rPr>
        <w:t>However, BETTER FINANCE agreed with the initial options proposed by the ESAs since it also tested inclusion of past performance and of illustrative scenarios.</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1718C6D0" w14:textId="4C69674C" w:rsidR="002979CE" w:rsidRPr="002979CE" w:rsidRDefault="002979CE" w:rsidP="002979CE">
      <w:pPr>
        <w:pStyle w:val="Default"/>
        <w:spacing w:before="120"/>
        <w:jc w:val="both"/>
        <w:rPr>
          <w:rFonts w:ascii="Cambria" w:hAnsi="Cambria"/>
          <w:sz w:val="22"/>
          <w:szCs w:val="22"/>
          <w:lang w:val="en-GB"/>
        </w:rPr>
      </w:pPr>
      <w:permStart w:id="569465455" w:edGrp="everyone"/>
      <w:r w:rsidRPr="002979CE">
        <w:rPr>
          <w:rFonts w:ascii="Cambria" w:hAnsi="Cambria"/>
          <w:sz w:val="22"/>
          <w:szCs w:val="22"/>
          <w:lang w:val="en-GB"/>
        </w:rPr>
        <w:t>Since the Recommended Holding Period (RHP) is not standardised, the costs and performances may be incomparable at the maturity of the product. For this reason, the intermediate scenario (understood as half of the RHP) may also be incomparable between similar products. As such, if the intermediate scenario would be kept in the KID, it should be at a standardised point in time (for example, in 3 years), depending on the product based on three categories:</w:t>
      </w:r>
    </w:p>
    <w:p w14:paraId="2C8FC6BF" w14:textId="77777777" w:rsidR="002979CE" w:rsidRPr="002979CE" w:rsidRDefault="002979CE" w:rsidP="00E565B9">
      <w:pPr>
        <w:pStyle w:val="Default"/>
        <w:numPr>
          <w:ilvl w:val="0"/>
          <w:numId w:val="54"/>
        </w:numPr>
        <w:jc w:val="both"/>
        <w:rPr>
          <w:rFonts w:ascii="Cambria" w:hAnsi="Cambria"/>
          <w:sz w:val="22"/>
          <w:szCs w:val="22"/>
          <w:lang w:val="en-GB"/>
        </w:rPr>
      </w:pPr>
      <w:r w:rsidRPr="002979CE">
        <w:rPr>
          <w:rFonts w:ascii="Cambria" w:hAnsi="Cambria"/>
          <w:sz w:val="22"/>
          <w:szCs w:val="22"/>
          <w:lang w:val="en-GB"/>
        </w:rPr>
        <w:t>for short-term products (RHP &lt; 1 year), there should be no intermediate scenario;</w:t>
      </w:r>
    </w:p>
    <w:p w14:paraId="22C8552C" w14:textId="77777777" w:rsidR="002979CE" w:rsidRPr="002979CE" w:rsidRDefault="002979CE" w:rsidP="00E565B9">
      <w:pPr>
        <w:pStyle w:val="Default"/>
        <w:numPr>
          <w:ilvl w:val="0"/>
          <w:numId w:val="54"/>
        </w:numPr>
        <w:jc w:val="both"/>
        <w:rPr>
          <w:rFonts w:ascii="Cambria" w:hAnsi="Cambria"/>
          <w:sz w:val="22"/>
          <w:szCs w:val="22"/>
          <w:lang w:val="en-GB"/>
        </w:rPr>
      </w:pPr>
      <w:r w:rsidRPr="002979CE">
        <w:rPr>
          <w:rFonts w:ascii="Cambria" w:hAnsi="Cambria"/>
          <w:sz w:val="22"/>
          <w:szCs w:val="22"/>
          <w:lang w:val="en-GB"/>
        </w:rPr>
        <w:t>for medium-term products (3y &lt; RHP &lt;= 6y), the intermediate point should be set at 1 year;</w:t>
      </w:r>
    </w:p>
    <w:p w14:paraId="7A782CE8" w14:textId="77777777" w:rsidR="002979CE" w:rsidRPr="002979CE" w:rsidRDefault="002979CE" w:rsidP="00E565B9">
      <w:pPr>
        <w:pStyle w:val="Default"/>
        <w:numPr>
          <w:ilvl w:val="0"/>
          <w:numId w:val="54"/>
        </w:numPr>
        <w:jc w:val="both"/>
        <w:rPr>
          <w:rFonts w:ascii="Cambria" w:hAnsi="Cambria"/>
          <w:sz w:val="22"/>
          <w:szCs w:val="22"/>
          <w:lang w:val="en-GB"/>
        </w:rPr>
      </w:pPr>
      <w:r w:rsidRPr="002979CE">
        <w:rPr>
          <w:rFonts w:ascii="Cambria" w:hAnsi="Cambria"/>
          <w:sz w:val="22"/>
          <w:szCs w:val="22"/>
          <w:lang w:val="en-GB"/>
        </w:rPr>
        <w:t>for products with 7y &lt; RHP &lt; 10Y, the intermediate point should be set at 4 years;</w:t>
      </w:r>
    </w:p>
    <w:p w14:paraId="6F5FBBC3" w14:textId="77777777" w:rsidR="002979CE" w:rsidRPr="002979CE" w:rsidRDefault="002979CE" w:rsidP="00E565B9">
      <w:pPr>
        <w:pStyle w:val="Default"/>
        <w:numPr>
          <w:ilvl w:val="0"/>
          <w:numId w:val="54"/>
        </w:numPr>
        <w:spacing w:after="120"/>
        <w:jc w:val="both"/>
        <w:rPr>
          <w:rFonts w:ascii="Cambria" w:hAnsi="Cambria"/>
          <w:sz w:val="22"/>
          <w:szCs w:val="22"/>
          <w:lang w:val="en-GB"/>
        </w:rPr>
      </w:pPr>
      <w:r w:rsidRPr="002979CE">
        <w:rPr>
          <w:rFonts w:ascii="Cambria" w:hAnsi="Cambria"/>
          <w:sz w:val="22"/>
          <w:szCs w:val="22"/>
          <w:lang w:val="en-GB"/>
        </w:rPr>
        <w:t>for long-term products (RHP &gt; 10y), the intermediate point should be at 10 years.</w:t>
      </w:r>
    </w:p>
    <w:p w14:paraId="74EF7BA7" w14:textId="246664AC" w:rsidR="003E573C" w:rsidRDefault="002979CE" w:rsidP="002979CE">
      <w:pPr>
        <w:rPr>
          <w:rFonts w:cs="Arial"/>
        </w:rPr>
      </w:pPr>
      <w:r>
        <w:rPr>
          <w:rFonts w:ascii="Cambria" w:hAnsi="Cambria"/>
          <w:sz w:val="22"/>
          <w:szCs w:val="22"/>
        </w:rPr>
        <w:lastRenderedPageBreak/>
        <w:t>For reasons of transparency, if the intermediate scenarios would not be disclosed at all in the KID, the summary cost indicator should not disclose costs at the reduction-in-yield (RiY) at that point. However, intermediate scenarios must be kept if quantified future performance disclosures are maintained (not the position of BETTER FINANCE). Otherwise, the disclosures would show only linear future performances through time, which is most of the time extremely misleading.</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542C4028" w14:textId="7213F2BA" w:rsidR="00620A5E" w:rsidRPr="00620A5E" w:rsidRDefault="00620A5E" w:rsidP="00620A5E">
      <w:pPr>
        <w:pStyle w:val="Default"/>
        <w:spacing w:before="240"/>
        <w:jc w:val="both"/>
        <w:rPr>
          <w:rFonts w:ascii="Cambria" w:hAnsi="Cambria"/>
          <w:sz w:val="22"/>
          <w:szCs w:val="22"/>
          <w:lang w:val="en-GB"/>
        </w:rPr>
      </w:pPr>
      <w:permStart w:id="1713528049" w:edGrp="everyone"/>
      <w:r>
        <w:rPr>
          <w:noProof/>
        </w:rPr>
        <w:drawing>
          <wp:anchor distT="0" distB="0" distL="114300" distR="114300" simplePos="0" relativeHeight="251659264" behindDoc="1" locked="0" layoutInCell="1" allowOverlap="1" wp14:anchorId="444C3966" wp14:editId="3B42D6D8">
            <wp:simplePos x="0" y="0"/>
            <wp:positionH relativeFrom="margin">
              <wp:posOffset>2863215</wp:posOffset>
            </wp:positionH>
            <wp:positionV relativeFrom="paragraph">
              <wp:posOffset>869950</wp:posOffset>
            </wp:positionV>
            <wp:extent cx="2883535" cy="2350770"/>
            <wp:effectExtent l="0" t="0" r="12065" b="11430"/>
            <wp:wrapTight wrapText="bothSides">
              <wp:wrapPolygon edited="0">
                <wp:start x="0" y="0"/>
                <wp:lineTo x="0" y="21530"/>
                <wp:lineTo x="21548" y="21530"/>
                <wp:lineTo x="21548" y="0"/>
                <wp:lineTo x="0" y="0"/>
              </wp:wrapPolygon>
            </wp:wrapTight>
            <wp:docPr id="4" name="Chart 4">
              <a:extLst xmlns:a="http://schemas.openxmlformats.org/drawingml/2006/main">
                <a:ext uri="{FF2B5EF4-FFF2-40B4-BE49-F238E27FC236}">
                  <a16:creationId xmlns:a16="http://schemas.microsoft.com/office/drawing/2014/main" id="{BBA6E6B9-D21A-422A-B452-99D7C5D08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r>
        <w:rPr>
          <w:noProof/>
        </w:rPr>
        <w:drawing>
          <wp:anchor distT="0" distB="0" distL="114300" distR="114300" simplePos="0" relativeHeight="251660288" behindDoc="1" locked="0" layoutInCell="1" allowOverlap="1" wp14:anchorId="0E38FFAD" wp14:editId="3BB55635">
            <wp:simplePos x="0" y="0"/>
            <wp:positionH relativeFrom="column">
              <wp:posOffset>-136525</wp:posOffset>
            </wp:positionH>
            <wp:positionV relativeFrom="paragraph">
              <wp:posOffset>864870</wp:posOffset>
            </wp:positionV>
            <wp:extent cx="2908935" cy="2355850"/>
            <wp:effectExtent l="0" t="0" r="5715" b="6350"/>
            <wp:wrapTight wrapText="bothSides">
              <wp:wrapPolygon edited="0">
                <wp:start x="0" y="0"/>
                <wp:lineTo x="0" y="21484"/>
                <wp:lineTo x="21501" y="21484"/>
                <wp:lineTo x="21501" y="0"/>
                <wp:lineTo x="0" y="0"/>
              </wp:wrapPolygon>
            </wp:wrapTight>
            <wp:docPr id="6" name="Chart 6">
              <a:extLst xmlns:a="http://schemas.openxmlformats.org/drawingml/2006/main">
                <a:ext uri="{FF2B5EF4-FFF2-40B4-BE49-F238E27FC236}">
                  <a16:creationId xmlns:a16="http://schemas.microsoft.com/office/drawing/2014/main" id="{2389B8AB-0AC1-4993-8674-C31D6BD4A8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Pr="00620A5E">
        <w:rPr>
          <w:rFonts w:ascii="Cambria" w:hAnsi="Cambria"/>
          <w:sz w:val="22"/>
          <w:szCs w:val="22"/>
          <w:lang w:val="en-GB"/>
        </w:rPr>
        <w:t>The current methodology for the stress scenarios generates very confusing results for the retail investor: on one side, the cumulative performance constantly decreases (and tends to 0) as time passes by, but the annualised performance (return per year) increases as time passes by, as shown in the graphs below:</w:t>
      </w:r>
    </w:p>
    <w:p w14:paraId="40A62AE1" w14:textId="77777777" w:rsidR="00620A5E" w:rsidRPr="00620A5E" w:rsidRDefault="00620A5E" w:rsidP="00620A5E">
      <w:pPr>
        <w:pStyle w:val="Default"/>
        <w:rPr>
          <w:rFonts w:ascii="Cambria" w:hAnsi="Cambria"/>
          <w:sz w:val="22"/>
          <w:szCs w:val="22"/>
          <w:lang w:val="en-GB"/>
        </w:rPr>
      </w:pPr>
      <w:r w:rsidRPr="00620A5E">
        <w:rPr>
          <w:rFonts w:ascii="Cambria" w:hAnsi="Cambria"/>
          <w:i/>
          <w:iCs/>
          <w:sz w:val="18"/>
          <w:szCs w:val="18"/>
          <w:u w:val="single"/>
          <w:lang w:val="en-GB"/>
        </w:rPr>
        <w:t>Source</w:t>
      </w:r>
      <w:r w:rsidRPr="00620A5E">
        <w:rPr>
          <w:rFonts w:ascii="Cambria" w:hAnsi="Cambria"/>
          <w:sz w:val="18"/>
          <w:szCs w:val="18"/>
          <w:lang w:val="en-GB"/>
        </w:rPr>
        <w:t>: BETTER FINANCE own calculations</w:t>
      </w:r>
    </w:p>
    <w:p w14:paraId="41C7C63E" w14:textId="77777777" w:rsidR="00620A5E" w:rsidRPr="00620A5E" w:rsidRDefault="00620A5E" w:rsidP="00620A5E">
      <w:pPr>
        <w:pStyle w:val="Default"/>
        <w:spacing w:before="240"/>
        <w:jc w:val="both"/>
        <w:rPr>
          <w:rFonts w:ascii="Cambria" w:hAnsi="Cambria"/>
          <w:sz w:val="22"/>
          <w:szCs w:val="22"/>
          <w:lang w:val="en-GB"/>
        </w:rPr>
      </w:pPr>
      <w:r w:rsidRPr="00620A5E">
        <w:rPr>
          <w:rFonts w:ascii="Cambria" w:hAnsi="Cambria"/>
          <w:sz w:val="22"/>
          <w:szCs w:val="22"/>
          <w:lang w:val="en-GB"/>
        </w:rPr>
        <w:t>Therefore, the stress scenario methodology should either be revised or replaced by a short and concise narrative explanation/ warning:</w:t>
      </w:r>
    </w:p>
    <w:p w14:paraId="280CFD76" w14:textId="77777777" w:rsidR="00620A5E" w:rsidRPr="00620A5E" w:rsidRDefault="00620A5E" w:rsidP="00620A5E">
      <w:pPr>
        <w:pStyle w:val="Default"/>
        <w:spacing w:before="120"/>
        <w:jc w:val="center"/>
        <w:rPr>
          <w:rFonts w:ascii="Cambria" w:hAnsi="Cambria"/>
          <w:sz w:val="22"/>
          <w:szCs w:val="22"/>
          <w:lang w:val="en-GB"/>
        </w:rPr>
      </w:pPr>
      <w:r w:rsidRPr="00620A5E">
        <w:rPr>
          <w:rFonts w:ascii="Cambria" w:hAnsi="Cambria"/>
          <w:sz w:val="22"/>
          <w:szCs w:val="22"/>
          <w:lang w:val="en-GB"/>
        </w:rPr>
        <w:t>“</w:t>
      </w:r>
      <w:r w:rsidRPr="00620A5E">
        <w:rPr>
          <w:rFonts w:ascii="Cambria" w:hAnsi="Cambria"/>
          <w:b/>
          <w:bCs/>
          <w:i/>
          <w:iCs/>
          <w:color w:val="FF0000"/>
          <w:sz w:val="22"/>
          <w:szCs w:val="22"/>
          <w:lang w:val="en-GB"/>
        </w:rPr>
        <w:t>Under a stress scenario (adverse market conditions, crises, political intervention), you could lose a significant part or even all your investment</w:t>
      </w:r>
      <w:r w:rsidRPr="00620A5E">
        <w:rPr>
          <w:rFonts w:ascii="Cambria" w:hAnsi="Cambria"/>
          <w:sz w:val="22"/>
          <w:szCs w:val="22"/>
          <w:lang w:val="en-GB"/>
        </w:rPr>
        <w:t>”.</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2C71E81E" w14:textId="15D19FFF" w:rsidR="00F85936" w:rsidRPr="00F85936" w:rsidRDefault="00F85936" w:rsidP="00F85936">
      <w:pPr>
        <w:pStyle w:val="Default"/>
        <w:spacing w:before="120" w:after="120"/>
        <w:jc w:val="both"/>
        <w:rPr>
          <w:rFonts w:ascii="Cambria" w:hAnsi="Cambria" w:cstheme="majorHAnsi"/>
          <w:sz w:val="22"/>
          <w:szCs w:val="22"/>
          <w:lang w:val="en-GB"/>
        </w:rPr>
      </w:pPr>
      <w:permStart w:id="221670941" w:edGrp="everyone"/>
      <w:r w:rsidRPr="00F85936">
        <w:rPr>
          <w:rFonts w:ascii="Cambria" w:hAnsi="Cambria" w:cstheme="majorHAnsi"/>
          <w:sz w:val="22"/>
          <w:szCs w:val="22"/>
          <w:lang w:val="en-GB"/>
        </w:rPr>
        <w:t>We agree that the reference rate should be country specific and read from the historical prices of sovereign bonds of the domicile, with two elements of circumstantiation:</w:t>
      </w:r>
    </w:p>
    <w:p w14:paraId="28E28384" w14:textId="77777777" w:rsidR="00F85936" w:rsidRPr="00F85936" w:rsidRDefault="00F85936" w:rsidP="00E565B9">
      <w:pPr>
        <w:pStyle w:val="Default"/>
        <w:numPr>
          <w:ilvl w:val="0"/>
          <w:numId w:val="55"/>
        </w:numPr>
        <w:spacing w:before="120" w:after="120"/>
        <w:jc w:val="both"/>
        <w:rPr>
          <w:rFonts w:ascii="Cambria" w:hAnsi="Cambria" w:cstheme="majorHAnsi"/>
          <w:sz w:val="22"/>
          <w:szCs w:val="22"/>
          <w:lang w:val="en-GB"/>
        </w:rPr>
      </w:pPr>
      <w:r w:rsidRPr="00F85936">
        <w:rPr>
          <w:rFonts w:ascii="Cambria" w:hAnsi="Cambria" w:cstheme="majorHAnsi"/>
          <w:sz w:val="22"/>
          <w:szCs w:val="22"/>
          <w:lang w:val="en-GB"/>
        </w:rPr>
        <w:t>for securities, the risk-free rate should be estimated only from the investment grade (AAA – C) bonds, thus eliminating the risky (speculative) ones; otherwise, there would be an additional risk premium included in the historical price of the fixed instrument;</w:t>
      </w:r>
    </w:p>
    <w:p w14:paraId="14DC36C6" w14:textId="77777777" w:rsidR="00F85936" w:rsidRPr="00F85936" w:rsidRDefault="00F85936" w:rsidP="00E565B9">
      <w:pPr>
        <w:pStyle w:val="Default"/>
        <w:numPr>
          <w:ilvl w:val="0"/>
          <w:numId w:val="55"/>
        </w:numPr>
        <w:spacing w:before="120" w:after="120"/>
        <w:jc w:val="both"/>
        <w:rPr>
          <w:rFonts w:ascii="Cambria" w:hAnsi="Cambria" w:cstheme="majorHAnsi"/>
          <w:sz w:val="22"/>
          <w:szCs w:val="22"/>
          <w:lang w:val="en-GB"/>
        </w:rPr>
      </w:pPr>
      <w:r w:rsidRPr="00F85936">
        <w:rPr>
          <w:rFonts w:ascii="Cambria" w:hAnsi="Cambria" w:cstheme="majorHAnsi"/>
          <w:sz w:val="22"/>
          <w:szCs w:val="22"/>
          <w:lang w:val="en-GB"/>
        </w:rPr>
        <w:lastRenderedPageBreak/>
        <w:t>for indices, the risk-free rate (for EUR-denominated) should be based on the yield curve published by the European Central Bank for AAA-rated bonds.</w:t>
      </w:r>
      <w:r>
        <w:rPr>
          <w:rStyle w:val="FootnoteReference"/>
          <w:rFonts w:ascii="Cambria" w:hAnsi="Cambria" w:cstheme="majorHAnsi"/>
          <w:sz w:val="22"/>
          <w:szCs w:val="22"/>
        </w:rPr>
        <w:footnoteReference w:id="30"/>
      </w:r>
    </w:p>
    <w:p w14:paraId="0A4368BF" w14:textId="6C9CD336" w:rsidR="003E573C" w:rsidRDefault="00F85936" w:rsidP="00F85936">
      <w:pPr>
        <w:rPr>
          <w:rFonts w:cs="Arial"/>
        </w:rPr>
      </w:pPr>
      <w:r>
        <w:rPr>
          <w:rFonts w:ascii="Cambria" w:hAnsi="Cambria" w:cstheme="majorHAnsi"/>
          <w:sz w:val="22"/>
          <w:szCs w:val="22"/>
        </w:rPr>
        <w:t>If the securities’ class is cross-border (more than one domicile, as is for European small-caps), then the required rate of return should be either read from the securities’ index (ESAs could provide guidelines on it) or could be the weighted average of the risk-free rates of all domiciles involved plus the risk premia of the securities in all domiciles involved, in order to capture the weighted average of the domiciles’ risk.</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C2CD511" w14:textId="77777777" w:rsidR="00302874" w:rsidRPr="00302874" w:rsidRDefault="003E573C" w:rsidP="00302874">
      <w:pPr>
        <w:pStyle w:val="Default"/>
        <w:spacing w:before="120" w:after="120"/>
        <w:jc w:val="both"/>
        <w:rPr>
          <w:rFonts w:ascii="Cambria" w:hAnsi="Cambria" w:cstheme="majorHAnsi"/>
          <w:sz w:val="22"/>
          <w:szCs w:val="22"/>
          <w:lang w:val="en-GB"/>
        </w:rPr>
      </w:pPr>
      <w:permStart w:id="610013876" w:edGrp="everyone"/>
      <w:r w:rsidRPr="00302874">
        <w:rPr>
          <w:rFonts w:cs="Arial"/>
          <w:lang w:val="en-GB"/>
        </w:rPr>
        <w:t xml:space="preserve">TYPE </w:t>
      </w:r>
      <w:r w:rsidR="00302874" w:rsidRPr="00302874">
        <w:rPr>
          <w:rFonts w:ascii="Cambria" w:hAnsi="Cambria" w:cstheme="majorHAnsi"/>
          <w:sz w:val="22"/>
          <w:szCs w:val="22"/>
          <w:lang w:val="en-GB"/>
        </w:rPr>
        <w:t>Compared to the previous methodological approach for estimating future returns, the new approach brings improvements in terms of expectations for the saver as it manages to narrow down, on the majority of occasions, the minimum and maximum returns of the PRIIP within the favourable and moderate scenario, as shown in the graphs below:</w:t>
      </w:r>
    </w:p>
    <w:p w14:paraId="1EF6B7E2" w14:textId="6151C081" w:rsidR="00302874" w:rsidRPr="00302874" w:rsidRDefault="00302874" w:rsidP="00302874">
      <w:pPr>
        <w:pStyle w:val="Default"/>
        <w:spacing w:before="120"/>
        <w:jc w:val="center"/>
        <w:rPr>
          <w:rFonts w:ascii="Cambria" w:hAnsi="Cambria" w:cstheme="majorHAnsi"/>
          <w:b/>
          <w:bCs/>
          <w:i/>
          <w:iCs/>
          <w:sz w:val="20"/>
          <w:szCs w:val="20"/>
          <w:u w:val="single"/>
          <w:lang w:val="en-GB"/>
        </w:rPr>
      </w:pPr>
      <w:r w:rsidRPr="00977F28">
        <w:rPr>
          <w:rFonts w:ascii="Cambria" w:hAnsi="Cambria" w:cstheme="majorHAnsi"/>
          <w:noProof/>
          <w:sz w:val="16"/>
          <w:szCs w:val="16"/>
        </w:rPr>
        <w:drawing>
          <wp:anchor distT="0" distB="0" distL="114300" distR="114300" simplePos="0" relativeHeight="251662336" behindDoc="1" locked="0" layoutInCell="1" allowOverlap="1" wp14:anchorId="142C6E43" wp14:editId="065B3B1C">
            <wp:simplePos x="0" y="0"/>
            <wp:positionH relativeFrom="margin">
              <wp:posOffset>205105</wp:posOffset>
            </wp:positionH>
            <wp:positionV relativeFrom="paragraph">
              <wp:posOffset>153035</wp:posOffset>
            </wp:positionV>
            <wp:extent cx="5568950" cy="2155825"/>
            <wp:effectExtent l="0" t="0" r="0" b="0"/>
            <wp:wrapThrough wrapText="bothSides">
              <wp:wrapPolygon edited="0">
                <wp:start x="0" y="0"/>
                <wp:lineTo x="0" y="21377"/>
                <wp:lineTo x="21501" y="21377"/>
                <wp:lineTo x="2150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8950" cy="215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2874">
        <w:rPr>
          <w:rFonts w:ascii="Cambria" w:hAnsi="Cambria" w:cstheme="majorHAnsi"/>
          <w:b/>
          <w:bCs/>
          <w:i/>
          <w:iCs/>
          <w:sz w:val="20"/>
          <w:szCs w:val="20"/>
          <w:u w:val="single"/>
          <w:lang w:val="en-GB"/>
        </w:rPr>
        <w:t>New methodology</w:t>
      </w:r>
    </w:p>
    <w:p w14:paraId="79F9103F" w14:textId="69B86042" w:rsidR="00302874" w:rsidRPr="00302874" w:rsidRDefault="00302874" w:rsidP="00302874">
      <w:pPr>
        <w:pStyle w:val="Default"/>
        <w:jc w:val="both"/>
        <w:rPr>
          <w:rFonts w:ascii="Cambria" w:hAnsi="Cambria" w:cstheme="majorHAnsi"/>
          <w:sz w:val="18"/>
          <w:szCs w:val="18"/>
          <w:lang w:val="en-GB"/>
        </w:rPr>
      </w:pPr>
      <w:r w:rsidRPr="00302874">
        <w:rPr>
          <w:rFonts w:ascii="Cambria" w:hAnsi="Cambria" w:cstheme="majorHAnsi"/>
          <w:i/>
          <w:iCs/>
          <w:sz w:val="18"/>
          <w:szCs w:val="18"/>
          <w:u w:val="single"/>
          <w:lang w:val="en-GB"/>
        </w:rPr>
        <w:t>Source</w:t>
      </w:r>
      <w:r w:rsidRPr="00302874">
        <w:rPr>
          <w:rFonts w:ascii="Cambria" w:hAnsi="Cambria" w:cstheme="majorHAnsi"/>
          <w:sz w:val="18"/>
          <w:szCs w:val="18"/>
          <w:lang w:val="en-GB"/>
        </w:rPr>
        <w:t>: ESAs Consultation Paper, p. 22</w:t>
      </w:r>
    </w:p>
    <w:p w14:paraId="62F13519" w14:textId="77777777" w:rsidR="00302874" w:rsidRDefault="00302874" w:rsidP="00302874">
      <w:pPr>
        <w:jc w:val="center"/>
        <w:rPr>
          <w:rFonts w:ascii="Cambria" w:hAnsi="Cambria"/>
          <w:b/>
          <w:bCs/>
          <w:i/>
          <w:iCs/>
          <w:szCs w:val="20"/>
          <w:u w:val="single"/>
        </w:rPr>
      </w:pPr>
    </w:p>
    <w:p w14:paraId="5A8EF5CB" w14:textId="4A8B6D15" w:rsidR="00302874" w:rsidRPr="00977F28" w:rsidRDefault="00302874" w:rsidP="00302874">
      <w:pPr>
        <w:jc w:val="center"/>
        <w:rPr>
          <w:rFonts w:ascii="Cambria" w:hAnsi="Cambria"/>
          <w:b/>
          <w:bCs/>
          <w:i/>
          <w:iCs/>
          <w:szCs w:val="20"/>
          <w:u w:val="single"/>
        </w:rPr>
      </w:pPr>
      <w:r w:rsidRPr="00977F28">
        <w:rPr>
          <w:rFonts w:ascii="Cambria" w:hAnsi="Cambria"/>
          <w:b/>
          <w:bCs/>
          <w:i/>
          <w:iCs/>
          <w:szCs w:val="20"/>
          <w:u w:val="single"/>
        </w:rPr>
        <w:t>Current methodology</w:t>
      </w:r>
    </w:p>
    <w:p w14:paraId="3978544C" w14:textId="77777777" w:rsidR="00302874" w:rsidRPr="00CF589B" w:rsidRDefault="00302874" w:rsidP="00302874">
      <w:pPr>
        <w:jc w:val="both"/>
        <w:rPr>
          <w:rFonts w:ascii="Cambria" w:hAnsi="Cambria"/>
          <w:sz w:val="18"/>
          <w:szCs w:val="18"/>
        </w:rPr>
      </w:pPr>
      <w:r w:rsidRPr="00CF589B">
        <w:rPr>
          <w:rFonts w:ascii="Cambria" w:hAnsi="Cambria"/>
          <w:noProof/>
          <w:sz w:val="18"/>
          <w:szCs w:val="18"/>
        </w:rPr>
        <w:lastRenderedPageBreak/>
        <w:drawing>
          <wp:inline distT="0" distB="0" distL="0" distR="0" wp14:anchorId="0B698A03" wp14:editId="6AE0456B">
            <wp:extent cx="5759450" cy="2606634"/>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011" cy="2607793"/>
                    </a:xfrm>
                    <a:prstGeom prst="rect">
                      <a:avLst/>
                    </a:prstGeom>
                    <a:noFill/>
                    <a:ln>
                      <a:noFill/>
                    </a:ln>
                  </pic:spPr>
                </pic:pic>
              </a:graphicData>
            </a:graphic>
          </wp:inline>
        </w:drawing>
      </w:r>
    </w:p>
    <w:p w14:paraId="5846C27F" w14:textId="77777777" w:rsidR="00302874" w:rsidRPr="00CF589B" w:rsidRDefault="00302874" w:rsidP="00302874">
      <w:pPr>
        <w:spacing w:after="120"/>
        <w:jc w:val="both"/>
        <w:rPr>
          <w:rFonts w:ascii="Cambria" w:hAnsi="Cambria"/>
        </w:rPr>
      </w:pPr>
      <w:r w:rsidRPr="00CF589B">
        <w:rPr>
          <w:rFonts w:ascii="Cambria" w:hAnsi="Cambria"/>
          <w:i/>
          <w:iCs/>
          <w:sz w:val="18"/>
          <w:szCs w:val="18"/>
          <w:u w:val="single"/>
        </w:rPr>
        <w:t>Source</w:t>
      </w:r>
      <w:r w:rsidRPr="00CF589B">
        <w:rPr>
          <w:rFonts w:ascii="Cambria" w:hAnsi="Cambria"/>
          <w:sz w:val="18"/>
          <w:szCs w:val="18"/>
        </w:rPr>
        <w:t xml:space="preserve">: BETTER FINANCE </w:t>
      </w:r>
      <w:hyperlink r:id="rId26" w:history="1">
        <w:r w:rsidRPr="00CF589B">
          <w:rPr>
            <w:rStyle w:val="Hyperlink"/>
            <w:rFonts w:ascii="Cambria" w:hAnsi="Cambria"/>
            <w:sz w:val="18"/>
            <w:szCs w:val="18"/>
          </w:rPr>
          <w:t>PRIIPs Position Paper</w:t>
        </w:r>
      </w:hyperlink>
      <w:r>
        <w:rPr>
          <w:rFonts w:ascii="Cambria" w:hAnsi="Cambria"/>
          <w:sz w:val="18"/>
          <w:szCs w:val="18"/>
        </w:rPr>
        <w:t>, p. 4;</w:t>
      </w:r>
    </w:p>
    <w:p w14:paraId="2DA068A4" w14:textId="77777777" w:rsidR="00302874" w:rsidRPr="00C02646" w:rsidRDefault="00302874" w:rsidP="00302874">
      <w:pPr>
        <w:spacing w:before="120" w:after="120"/>
        <w:jc w:val="both"/>
        <w:rPr>
          <w:rFonts w:ascii="Cambria" w:hAnsi="Cambria" w:cs="Tahoma"/>
        </w:rPr>
      </w:pPr>
      <w:r>
        <w:rPr>
          <w:rFonts w:ascii="Cambria" w:hAnsi="Cambria" w:cs="Tahoma"/>
        </w:rPr>
        <w:t>R</w:t>
      </w:r>
      <w:r w:rsidRPr="00C02646">
        <w:rPr>
          <w:rFonts w:ascii="Cambria" w:hAnsi="Cambria" w:cs="Tahoma"/>
        </w:rPr>
        <w:t xml:space="preserve">educing the chances that actual performance escapes </w:t>
      </w:r>
      <w:r>
        <w:rPr>
          <w:rFonts w:ascii="Cambria" w:hAnsi="Cambria" w:cs="Tahoma"/>
        </w:rPr>
        <w:t>the favourable and unfavourable scenarios’</w:t>
      </w:r>
      <w:r w:rsidRPr="00C02646">
        <w:rPr>
          <w:rFonts w:ascii="Cambria" w:hAnsi="Cambria" w:cs="Tahoma"/>
        </w:rPr>
        <w:t xml:space="preserve"> frame is important</w:t>
      </w:r>
      <w:r>
        <w:rPr>
          <w:rFonts w:ascii="Cambria" w:hAnsi="Cambria" w:cs="Tahoma"/>
        </w:rPr>
        <w:t xml:space="preserve"> as it would not lead to overly optimistic or overly pessimistic forecasts</w:t>
      </w:r>
      <w:r w:rsidRPr="00C02646">
        <w:rPr>
          <w:rFonts w:ascii="Cambria" w:hAnsi="Cambria" w:cs="Tahoma"/>
        </w:rPr>
        <w:t xml:space="preserve">. </w:t>
      </w:r>
      <w:r>
        <w:rPr>
          <w:rFonts w:ascii="Cambria" w:hAnsi="Cambria" w:cs="Tahoma"/>
        </w:rPr>
        <w:t>However, the new methodology</w:t>
      </w:r>
      <w:r w:rsidRPr="00C02646">
        <w:rPr>
          <w:rFonts w:ascii="Cambria" w:hAnsi="Cambria" w:cs="Tahoma"/>
        </w:rPr>
        <w:t xml:space="preserve"> </w:t>
      </w:r>
      <w:r>
        <w:rPr>
          <w:rFonts w:ascii="Cambria" w:hAnsi="Cambria" w:cs="Tahoma"/>
          <w:b/>
          <w:bCs/>
          <w:u w:val="single"/>
        </w:rPr>
        <w:t>is applied not to</w:t>
      </w:r>
      <w:r w:rsidRPr="00F04D00">
        <w:rPr>
          <w:rFonts w:ascii="Cambria" w:hAnsi="Cambria" w:cs="Tahoma"/>
          <w:b/>
          <w:bCs/>
          <w:u w:val="single"/>
        </w:rPr>
        <w:t xml:space="preserve"> the PRIIP</w:t>
      </w:r>
      <w:r>
        <w:rPr>
          <w:rFonts w:ascii="Cambria" w:hAnsi="Cambria" w:cs="Tahoma"/>
        </w:rPr>
        <w:t>, but to the underlying portfolio</w:t>
      </w:r>
      <w:r w:rsidRPr="00C02646">
        <w:rPr>
          <w:rFonts w:ascii="Cambria" w:hAnsi="Cambria" w:cs="Tahoma"/>
        </w:rPr>
        <w:t xml:space="preserve">. </w:t>
      </w:r>
      <w:r>
        <w:rPr>
          <w:rFonts w:ascii="Cambria" w:hAnsi="Cambria" w:cs="Tahoma"/>
        </w:rPr>
        <w:t>Therefore, the question is split</w:t>
      </w:r>
      <w:r w:rsidRPr="00C02646">
        <w:rPr>
          <w:rFonts w:ascii="Cambria" w:hAnsi="Cambria" w:cs="Tahoma"/>
        </w:rPr>
        <w:t>:</w:t>
      </w:r>
    </w:p>
    <w:p w14:paraId="7DDB21A2" w14:textId="77777777" w:rsidR="00302874" w:rsidRPr="00C02646" w:rsidRDefault="00302874" w:rsidP="00E565B9">
      <w:pPr>
        <w:pStyle w:val="ListParagraph"/>
        <w:numPr>
          <w:ilvl w:val="0"/>
          <w:numId w:val="56"/>
        </w:numPr>
        <w:contextualSpacing w:val="0"/>
        <w:jc w:val="both"/>
        <w:rPr>
          <w:rFonts w:ascii="Cambria" w:hAnsi="Cambria" w:cs="Tahoma"/>
        </w:rPr>
      </w:pPr>
      <w:r w:rsidRPr="00C02646">
        <w:rPr>
          <w:rFonts w:ascii="Cambria" w:hAnsi="Cambria" w:cs="Tahoma"/>
        </w:rPr>
        <w:t xml:space="preserve">will investors read and understand that those are </w:t>
      </w:r>
      <w:r w:rsidRPr="00B9367B">
        <w:rPr>
          <w:rFonts w:ascii="Cambria" w:hAnsi="Cambria" w:cs="Tahoma"/>
          <w:b/>
          <w:bCs/>
          <w:i/>
          <w:iCs/>
          <w:u w:val="single"/>
        </w:rPr>
        <w:t>estimations</w:t>
      </w:r>
      <w:r w:rsidRPr="00C02646">
        <w:rPr>
          <w:rFonts w:ascii="Cambria" w:hAnsi="Cambria" w:cs="Tahoma"/>
        </w:rPr>
        <w:t xml:space="preserve"> and are improbable? </w:t>
      </w:r>
    </w:p>
    <w:p w14:paraId="5AA63DAF" w14:textId="77777777" w:rsidR="00302874" w:rsidRPr="00C02646" w:rsidRDefault="00302874" w:rsidP="00E565B9">
      <w:pPr>
        <w:pStyle w:val="ListParagraph"/>
        <w:numPr>
          <w:ilvl w:val="0"/>
          <w:numId w:val="56"/>
        </w:numPr>
        <w:contextualSpacing w:val="0"/>
        <w:jc w:val="both"/>
        <w:rPr>
          <w:rFonts w:ascii="Cambria" w:hAnsi="Cambria" w:cs="Tahoma"/>
        </w:rPr>
      </w:pPr>
      <w:r w:rsidRPr="00C02646">
        <w:rPr>
          <w:rFonts w:ascii="Cambria" w:hAnsi="Cambria" w:cs="Tahoma"/>
        </w:rPr>
        <w:t xml:space="preserve">will investors read and understand that those estimations are of an underlying benchmark, </w:t>
      </w:r>
      <w:r w:rsidRPr="0022742F">
        <w:rPr>
          <w:rFonts w:ascii="Cambria" w:hAnsi="Cambria" w:cs="Tahoma"/>
          <w:b/>
          <w:bCs/>
          <w:i/>
          <w:iCs/>
          <w:u w:val="single"/>
        </w:rPr>
        <w:t>and not of the PRIIP</w:t>
      </w:r>
      <w:r w:rsidRPr="00C02646">
        <w:rPr>
          <w:rFonts w:ascii="Cambria" w:hAnsi="Cambria" w:cs="Tahoma"/>
        </w:rPr>
        <w:t>, and returns may actually differ?</w:t>
      </w:r>
    </w:p>
    <w:p w14:paraId="369949E7" w14:textId="77777777" w:rsidR="00302874" w:rsidRPr="00C02646" w:rsidRDefault="00302874" w:rsidP="00302874">
      <w:pPr>
        <w:spacing w:before="120" w:after="120"/>
        <w:jc w:val="both"/>
        <w:rPr>
          <w:rFonts w:ascii="Cambria" w:hAnsi="Cambria"/>
        </w:rPr>
      </w:pPr>
      <w:r w:rsidRPr="00EF6134">
        <w:rPr>
          <w:rFonts w:ascii="Cambria" w:hAnsi="Cambria"/>
          <w:b/>
          <w:bCs/>
          <w:u w:val="single"/>
        </w:rPr>
        <w:t>The disadvantage</w:t>
      </w:r>
      <w:r>
        <w:rPr>
          <w:rFonts w:ascii="Cambria" w:hAnsi="Cambria"/>
        </w:rPr>
        <w:t xml:space="preserve"> is that t</w:t>
      </w:r>
      <w:r w:rsidRPr="00C02646">
        <w:rPr>
          <w:rFonts w:ascii="Cambria" w:hAnsi="Cambria"/>
        </w:rPr>
        <w:t xml:space="preserve">he proposed new formula </w:t>
      </w:r>
      <w:r>
        <w:rPr>
          <w:rFonts w:ascii="Cambria" w:hAnsi="Cambria"/>
        </w:rPr>
        <w:t xml:space="preserve">changes the basis of the return estimation. Instead of using the historical prices or returns of the PRIIP itself, it is based on those of </w:t>
      </w:r>
      <w:r w:rsidRPr="00C02646">
        <w:rPr>
          <w:rFonts w:ascii="Cambria" w:hAnsi="Cambria"/>
        </w:rPr>
        <w:t xml:space="preserve">the asset classes </w:t>
      </w:r>
      <w:r>
        <w:rPr>
          <w:rFonts w:ascii="Cambria" w:hAnsi="Cambria"/>
        </w:rPr>
        <w:t>the PRIIP invests</w:t>
      </w:r>
      <w:r w:rsidRPr="00C02646">
        <w:rPr>
          <w:rFonts w:ascii="Cambria" w:hAnsi="Cambria"/>
        </w:rPr>
        <w:t xml:space="preserve"> in</w:t>
      </w:r>
      <w:r>
        <w:rPr>
          <w:rFonts w:ascii="Cambria" w:hAnsi="Cambria"/>
        </w:rPr>
        <w:t>. As such, the new returns, if slightly less unrealistic,</w:t>
      </w:r>
      <w:r w:rsidRPr="00C02646">
        <w:rPr>
          <w:rFonts w:ascii="Cambria" w:hAnsi="Cambria"/>
        </w:rPr>
        <w:t xml:space="preserve"> generalise across PRIIPs since two </w:t>
      </w:r>
      <w:r>
        <w:rPr>
          <w:rFonts w:ascii="Cambria" w:hAnsi="Cambria"/>
        </w:rPr>
        <w:t>products</w:t>
      </w:r>
      <w:r w:rsidRPr="00C02646">
        <w:rPr>
          <w:rFonts w:ascii="Cambria" w:hAnsi="Cambria"/>
        </w:rPr>
        <w:t xml:space="preserve"> investing in the CAC40 index will have almost the same expected return at </w:t>
      </w:r>
      <w:r>
        <w:rPr>
          <w:rFonts w:ascii="Cambria" w:hAnsi="Cambria"/>
        </w:rPr>
        <w:t>RHP</w:t>
      </w:r>
      <w:r w:rsidRPr="00C02646">
        <w:rPr>
          <w:rFonts w:ascii="Cambria" w:hAnsi="Cambria"/>
        </w:rPr>
        <w:t xml:space="preserve"> </w:t>
      </w:r>
      <w:r>
        <w:rPr>
          <w:rFonts w:ascii="Cambria" w:hAnsi="Cambria"/>
        </w:rPr>
        <w:t xml:space="preserve">- </w:t>
      </w:r>
      <w:r w:rsidRPr="00C02646">
        <w:rPr>
          <w:rFonts w:ascii="Cambria" w:hAnsi="Cambria"/>
        </w:rPr>
        <w:t>what will differ is the net return</w:t>
      </w:r>
      <w:r>
        <w:rPr>
          <w:rFonts w:ascii="Cambria" w:hAnsi="Cambria"/>
        </w:rPr>
        <w:t>, due to costs</w:t>
      </w:r>
      <w:r w:rsidRPr="00C02646">
        <w:rPr>
          <w:rFonts w:ascii="Cambria" w:hAnsi="Cambria"/>
        </w:rPr>
        <w:t>.</w:t>
      </w:r>
      <w:r>
        <w:rPr>
          <w:rFonts w:ascii="Cambria" w:hAnsi="Cambria"/>
        </w:rPr>
        <w:t xml:space="preserve"> As such, </w:t>
      </w:r>
      <w:r w:rsidRPr="00C02646">
        <w:rPr>
          <w:rFonts w:ascii="Cambria" w:hAnsi="Cambria"/>
        </w:rPr>
        <w:t xml:space="preserve">this </w:t>
      </w:r>
      <w:r>
        <w:rPr>
          <w:rFonts w:ascii="Cambria" w:hAnsi="Cambria"/>
        </w:rPr>
        <w:t>new approach</w:t>
      </w:r>
      <w:r w:rsidRPr="00C02646">
        <w:rPr>
          <w:rFonts w:ascii="Cambria" w:hAnsi="Cambria"/>
        </w:rPr>
        <w:t xml:space="preserve"> eliminates the element of </w:t>
      </w:r>
      <w:r w:rsidRPr="00C02646">
        <w:rPr>
          <w:rFonts w:ascii="Cambria" w:hAnsi="Cambria"/>
          <w:b/>
          <w:bCs/>
          <w:i/>
          <w:iCs/>
          <w:u w:val="single"/>
        </w:rPr>
        <w:t>comparability</w:t>
      </w:r>
      <w:r w:rsidRPr="00C02646">
        <w:rPr>
          <w:rFonts w:ascii="Cambria" w:hAnsi="Cambria"/>
        </w:rPr>
        <w:t>, which is central to the PRIIPs KID.</w:t>
      </w:r>
      <w:r>
        <w:rPr>
          <w:rFonts w:ascii="Cambria" w:hAnsi="Cambria"/>
        </w:rPr>
        <w:t xml:space="preserve"> This is because </w:t>
      </w:r>
      <w:r w:rsidRPr="00C02646">
        <w:rPr>
          <w:rFonts w:ascii="Cambria" w:hAnsi="Cambria" w:cs="Tahoma"/>
        </w:rPr>
        <w:t>the risk-free rate (sovereign bond curve) and the dividend yield will be the same for both (</w:t>
      </w:r>
      <w:r>
        <w:rPr>
          <w:rFonts w:ascii="Cambria" w:hAnsi="Cambria" w:cs="Tahoma"/>
        </w:rPr>
        <w:t>asset class yield curve</w:t>
      </w:r>
      <w:r w:rsidRPr="00C02646">
        <w:rPr>
          <w:rFonts w:ascii="Cambria" w:hAnsi="Cambria" w:cs="Tahoma"/>
        </w:rPr>
        <w:t>).</w:t>
      </w:r>
    </w:p>
    <w:p w14:paraId="31B4E8E7" w14:textId="77777777" w:rsidR="00302874" w:rsidRDefault="00302874" w:rsidP="00302874">
      <w:pPr>
        <w:spacing w:before="120" w:after="120"/>
        <w:jc w:val="both"/>
        <w:rPr>
          <w:rFonts w:ascii="Cambria" w:hAnsi="Cambria"/>
        </w:rPr>
      </w:pPr>
      <w:r w:rsidRPr="0022742F">
        <w:rPr>
          <w:rFonts w:ascii="Cambria" w:hAnsi="Cambria"/>
          <w:b/>
          <w:bCs/>
          <w:color w:val="0070C0"/>
          <w:u w:val="single"/>
        </w:rPr>
        <w:t>Return estimations are still inaccurate</w:t>
      </w:r>
      <w:r w:rsidRPr="0022742F">
        <w:rPr>
          <w:rFonts w:ascii="Cambria" w:hAnsi="Cambria"/>
        </w:rPr>
        <w:t>.</w:t>
      </w:r>
      <w:r>
        <w:rPr>
          <w:rFonts w:ascii="Cambria" w:hAnsi="Cambria"/>
        </w:rPr>
        <w:t xml:space="preserve"> If we cannot know now whether forecasts will prove correct or not (since they are in the future), academic literature, stakeholders’ research and BETTER FINANCE’s own computations have proved that returns cannot be accurately predicted.</w:t>
      </w:r>
    </w:p>
    <w:p w14:paraId="0457B26C" w14:textId="77777777" w:rsidR="00302874" w:rsidRDefault="00302874" w:rsidP="00302874">
      <w:pPr>
        <w:spacing w:before="120" w:after="120"/>
        <w:jc w:val="both"/>
        <w:rPr>
          <w:rFonts w:ascii="Cambria" w:hAnsi="Cambria" w:cs="Tahoma"/>
        </w:rPr>
      </w:pPr>
      <w:r>
        <w:rPr>
          <w:rFonts w:ascii="Cambria" w:hAnsi="Cambria" w:cs="Tahoma"/>
        </w:rPr>
        <w:t xml:space="preserve">In our opinion, </w:t>
      </w:r>
      <w:r w:rsidRPr="0022742F">
        <w:rPr>
          <w:rFonts w:ascii="Cambria" w:hAnsi="Cambria" w:cs="Tahoma"/>
          <w:b/>
          <w:bCs/>
          <w:color w:val="0070C0"/>
        </w:rPr>
        <w:t xml:space="preserve">future performance accuracy is unreachable, </w:t>
      </w:r>
      <w:r>
        <w:rPr>
          <w:rFonts w:ascii="Cambria" w:hAnsi="Cambria" w:cs="Tahoma"/>
          <w:b/>
          <w:bCs/>
          <w:color w:val="0070C0"/>
        </w:rPr>
        <w:t>irrespective of</w:t>
      </w:r>
      <w:r w:rsidRPr="0022742F">
        <w:rPr>
          <w:rFonts w:ascii="Cambria" w:hAnsi="Cambria" w:cs="Tahoma"/>
          <w:b/>
          <w:bCs/>
          <w:color w:val="0070C0"/>
        </w:rPr>
        <w:t xml:space="preserve"> the method</w:t>
      </w:r>
      <w:r>
        <w:rPr>
          <w:rFonts w:ascii="Cambria" w:hAnsi="Cambria" w:cs="Tahoma"/>
          <w:b/>
          <w:bCs/>
          <w:color w:val="0070C0"/>
        </w:rPr>
        <w:t xml:space="preserve"> applied</w:t>
      </w:r>
      <w:r>
        <w:rPr>
          <w:rFonts w:ascii="Cambria" w:hAnsi="Cambria" w:cs="Tahoma"/>
          <w:b/>
          <w:bCs/>
        </w:rPr>
        <w:t xml:space="preserve">. </w:t>
      </w:r>
      <w:r>
        <w:rPr>
          <w:rFonts w:ascii="Cambria" w:hAnsi="Cambria" w:cs="Tahoma"/>
        </w:rPr>
        <w:t xml:space="preserve">If on certain occasions the return estimation were “bullseye”, we believe this is due to luck, not science. </w:t>
      </w:r>
    </w:p>
    <w:p w14:paraId="33649E2B" w14:textId="77777777" w:rsidR="00302874" w:rsidRPr="00302874" w:rsidRDefault="00302874" w:rsidP="00302874">
      <w:pPr>
        <w:pBdr>
          <w:top w:val="single" w:sz="4" w:space="1" w:color="auto"/>
          <w:left w:val="single" w:sz="4" w:space="4" w:color="auto"/>
          <w:bottom w:val="single" w:sz="4" w:space="1" w:color="auto"/>
          <w:right w:val="single" w:sz="4" w:space="4" w:color="auto"/>
        </w:pBdr>
        <w:shd w:val="clear" w:color="auto" w:fill="0070C0"/>
        <w:spacing w:before="120" w:after="120"/>
        <w:ind w:left="567" w:right="567"/>
        <w:jc w:val="center"/>
        <w:rPr>
          <w:rFonts w:ascii="Cambria" w:hAnsi="Cambria" w:cs="Tahoma"/>
          <w:b/>
          <w:bCs/>
          <w:i/>
          <w:iCs/>
          <w:color w:val="000000" w:themeColor="text1"/>
        </w:rPr>
      </w:pPr>
      <w:r w:rsidRPr="00302874">
        <w:rPr>
          <w:rFonts w:ascii="Cambria" w:hAnsi="Cambria" w:cs="Tahoma"/>
          <w:b/>
          <w:bCs/>
          <w:i/>
          <w:iCs/>
          <w:color w:val="000000" w:themeColor="text1"/>
        </w:rPr>
        <w:t xml:space="preserve">MiFID II warns that </w:t>
      </w:r>
      <w:r w:rsidRPr="00302874">
        <w:rPr>
          <w:rFonts w:ascii="Cambria" w:hAnsi="Cambria" w:cs="Tahoma"/>
          <w:b/>
          <w:bCs/>
          <w:i/>
          <w:iCs/>
          <w:color w:val="000000" w:themeColor="text1"/>
          <w:u w:val="single"/>
        </w:rPr>
        <w:t>past performance is not a reliable indicator of future results</w:t>
      </w:r>
      <w:r w:rsidRPr="00302874">
        <w:rPr>
          <w:rFonts w:ascii="Cambria" w:hAnsi="Cambria" w:cs="Tahoma"/>
          <w:b/>
          <w:bCs/>
          <w:i/>
          <w:iCs/>
          <w:color w:val="000000" w:themeColor="text1"/>
        </w:rPr>
        <w:t>, yet future results are calculated precisely on the basis of past performance.</w:t>
      </w:r>
    </w:p>
    <w:p w14:paraId="3614B5A8" w14:textId="77777777" w:rsidR="00302874" w:rsidRDefault="00302874" w:rsidP="00302874">
      <w:pPr>
        <w:spacing w:before="120" w:after="120"/>
        <w:jc w:val="both"/>
        <w:rPr>
          <w:rFonts w:ascii="Cambria" w:hAnsi="Cambria" w:cs="Tahoma"/>
        </w:rPr>
      </w:pPr>
      <w:r>
        <w:rPr>
          <w:rFonts w:ascii="Cambria" w:hAnsi="Cambria"/>
        </w:rPr>
        <w:t xml:space="preserve">What is more, the more volatile a security is, the longer past performance is needed to reduce the standard error band in the return distribution. For instance, for some S&amp;P Indices, in order to predict the returns within a +/- 0.5% interval of the sample mean, we calculated a </w:t>
      </w:r>
      <w:r w:rsidRPr="00EA03F2">
        <w:rPr>
          <w:rFonts w:ascii="Cambria" w:hAnsi="Cambria"/>
          <w:b/>
          <w:bCs/>
          <w:u w:val="single"/>
        </w:rPr>
        <w:t>necessary</w:t>
      </w:r>
      <w:r>
        <w:rPr>
          <w:rFonts w:ascii="Cambria" w:hAnsi="Cambria"/>
          <w:b/>
          <w:bCs/>
          <w:u w:val="single"/>
        </w:rPr>
        <w:t> </w:t>
      </w:r>
      <w:r w:rsidRPr="00EA03F2">
        <w:rPr>
          <w:rFonts w:ascii="Cambria" w:hAnsi="Cambria"/>
          <w:b/>
          <w:bCs/>
          <w:u w:val="single"/>
        </w:rPr>
        <w:t>992</w:t>
      </w:r>
      <w:r>
        <w:rPr>
          <w:rFonts w:ascii="Cambria" w:hAnsi="Cambria"/>
          <w:b/>
          <w:bCs/>
          <w:u w:val="single"/>
        </w:rPr>
        <w:t> </w:t>
      </w:r>
      <w:r w:rsidRPr="00EA03F2">
        <w:rPr>
          <w:rFonts w:ascii="Cambria" w:hAnsi="Cambria"/>
          <w:b/>
          <w:bCs/>
          <w:u w:val="single"/>
        </w:rPr>
        <w:t>to 4800 years</w:t>
      </w:r>
      <w:r>
        <w:rPr>
          <w:rFonts w:ascii="Cambria" w:hAnsi="Cambria"/>
        </w:rPr>
        <w:t xml:space="preserve"> of historical returns of equities.</w:t>
      </w:r>
      <w:r>
        <w:rPr>
          <w:rStyle w:val="FootnoteReference"/>
          <w:rFonts w:ascii="Cambria" w:hAnsi="Cambria"/>
        </w:rPr>
        <w:footnoteReference w:id="31"/>
      </w:r>
      <w:r>
        <w:rPr>
          <w:rFonts w:ascii="Cambria" w:hAnsi="Cambria"/>
        </w:rPr>
        <w:t xml:space="preserve"> </w:t>
      </w:r>
      <w:r w:rsidRPr="00C02646">
        <w:rPr>
          <w:rFonts w:ascii="Cambria" w:hAnsi="Cambria" w:cs="Tahoma"/>
        </w:rPr>
        <w:t xml:space="preserve">Nevertheless, securities generally have </w:t>
      </w:r>
      <w:r>
        <w:rPr>
          <w:rFonts w:ascii="Cambria" w:hAnsi="Cambria" w:cs="Tahoma"/>
        </w:rPr>
        <w:t>longer</w:t>
      </w:r>
      <w:r w:rsidRPr="00C02646">
        <w:rPr>
          <w:rFonts w:ascii="Cambria" w:hAnsi="Cambria" w:cs="Tahoma"/>
        </w:rPr>
        <w:t xml:space="preserve"> trading history</w:t>
      </w:r>
      <w:r>
        <w:rPr>
          <w:rFonts w:ascii="Cambria" w:hAnsi="Cambria" w:cs="Tahoma"/>
        </w:rPr>
        <w:t xml:space="preserve"> than investment products</w:t>
      </w:r>
      <w:r w:rsidRPr="00C02646">
        <w:rPr>
          <w:rFonts w:ascii="Cambria" w:hAnsi="Cambria" w:cs="Tahoma"/>
        </w:rPr>
        <w:t xml:space="preserve">. </w:t>
      </w:r>
      <w:r>
        <w:rPr>
          <w:rFonts w:ascii="Cambria" w:hAnsi="Cambria" w:cs="Tahoma"/>
        </w:rPr>
        <w:t>By generalising on asset classes</w:t>
      </w:r>
      <w:r w:rsidRPr="00C02646">
        <w:rPr>
          <w:rFonts w:ascii="Cambria" w:hAnsi="Cambria" w:cs="Tahoma"/>
        </w:rPr>
        <w:t xml:space="preserve">, </w:t>
      </w:r>
      <w:r>
        <w:rPr>
          <w:rFonts w:ascii="Cambria" w:hAnsi="Cambria" w:cs="Tahoma"/>
        </w:rPr>
        <w:t>it may prove easier to obtain longer track records</w:t>
      </w:r>
      <w:r w:rsidRPr="00C02646">
        <w:rPr>
          <w:rFonts w:ascii="Cambria" w:hAnsi="Cambria" w:cs="Tahoma"/>
        </w:rPr>
        <w:t xml:space="preserve">, which do make the return estimations </w:t>
      </w:r>
      <w:r>
        <w:rPr>
          <w:rFonts w:ascii="Cambria" w:hAnsi="Cambria" w:cs="Tahoma"/>
        </w:rPr>
        <w:t>narrower, but of the underlying portfolio, not of the PRIIP.</w:t>
      </w:r>
    </w:p>
    <w:p w14:paraId="5389C64C" w14:textId="77777777" w:rsidR="00302874" w:rsidRPr="0022742F" w:rsidRDefault="00302874" w:rsidP="00302874">
      <w:pPr>
        <w:spacing w:before="120" w:after="120"/>
        <w:jc w:val="both"/>
        <w:rPr>
          <w:rFonts w:ascii="Cambria" w:hAnsi="Cambria"/>
        </w:rPr>
      </w:pPr>
      <w:r>
        <w:rPr>
          <w:rFonts w:ascii="Cambria" w:hAnsi="Cambria" w:cs="Tahoma"/>
        </w:rPr>
        <w:t xml:space="preserve">A potential amendment to the proposed methodology would be to use the product of the risk-free rate as a common denominator for all securities in the portfolio that have the same domicile and the yield curve (risk </w:t>
      </w:r>
      <w:r>
        <w:rPr>
          <w:rFonts w:ascii="Cambria" w:hAnsi="Cambria" w:cs="Tahoma"/>
        </w:rPr>
        <w:lastRenderedPageBreak/>
        <w:t>premia) for each individual security. However, this would raise the issue of data availability, as the PRIIP manufacturer would need to obtain the historical prices and calculate the yield curve for each individual holding in part (with some exceptions). This would have the advantage of individualising each PRIIP.</w:t>
      </w:r>
    </w:p>
    <w:p w14:paraId="3D5354FE" w14:textId="5107EE93" w:rsidR="003E573C" w:rsidRDefault="00302874" w:rsidP="00302874">
      <w:pPr>
        <w:jc w:val="both"/>
        <w:rPr>
          <w:rFonts w:cs="Arial"/>
        </w:rPr>
      </w:pPr>
      <w:r>
        <w:rPr>
          <w:rFonts w:ascii="Cambria" w:hAnsi="Cambria" w:cs="Tahoma"/>
          <w:b/>
          <w:bCs/>
          <w:color w:val="0070C0"/>
          <w:u w:val="single"/>
        </w:rPr>
        <w:t>Therefore, BETTER FINANCE proposes an alternative methodology to present appropriate performance scenarios (see answer to Question 22 below).</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06CB4F7A" w14:textId="5A64C2F0" w:rsidR="003E12CF" w:rsidRPr="003E12CF" w:rsidRDefault="003E12CF" w:rsidP="003E12CF">
      <w:pPr>
        <w:pStyle w:val="Default"/>
        <w:spacing w:before="120" w:after="120"/>
        <w:jc w:val="both"/>
        <w:rPr>
          <w:rFonts w:ascii="Cambria" w:hAnsi="Cambria" w:cstheme="majorHAnsi"/>
          <w:sz w:val="22"/>
          <w:szCs w:val="22"/>
          <w:lang w:val="en-GB"/>
        </w:rPr>
      </w:pPr>
      <w:permStart w:id="790175202" w:edGrp="everyone"/>
      <w:r w:rsidRPr="003E12CF">
        <w:rPr>
          <w:rFonts w:ascii="Cambria" w:hAnsi="Cambria" w:cstheme="majorHAnsi"/>
          <w:sz w:val="22"/>
          <w:szCs w:val="22"/>
          <w:lang w:val="en-GB"/>
        </w:rPr>
        <w:t>The expected dividend rates must be estimated from the full price history available for each security class. As indicated above, in statistical probability the higher the number of observations (in this case, the historical returns – for Total Return PRIIPs – or prices – for Price Return PRIIPs) the lower the standard deviation (and, thus, the standard error band) in the estimated return distribution.</w:t>
      </w:r>
    </w:p>
    <w:p w14:paraId="5C070307" w14:textId="636A24E0" w:rsidR="003E573C" w:rsidRDefault="003E12CF" w:rsidP="003E12CF">
      <w:pPr>
        <w:rPr>
          <w:rFonts w:cs="Arial"/>
        </w:rPr>
      </w:pPr>
      <w:r>
        <w:rPr>
          <w:rFonts w:ascii="Cambria" w:hAnsi="Cambria" w:cstheme="majorHAnsi"/>
          <w:sz w:val="22"/>
          <w:szCs w:val="22"/>
        </w:rPr>
        <w:t>Therefore, the ESAs should require PRIIP manufacturers to obtain the full price or return history of the securities for which they are estimating returns. In the case of a more generalist model (as presented in the consultation paper), this could be read from published indices, provided that the ESAs lay down guidelines in order to not promote too divergent use of indices.</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194EAC6E" w14:textId="72AB93D7" w:rsidR="0016448A" w:rsidRPr="0016448A" w:rsidRDefault="0016448A" w:rsidP="0016448A">
      <w:pPr>
        <w:pStyle w:val="Default"/>
        <w:spacing w:before="120" w:after="120"/>
        <w:jc w:val="both"/>
        <w:rPr>
          <w:rFonts w:ascii="Cambria" w:hAnsi="Cambria" w:cstheme="majorHAnsi"/>
          <w:sz w:val="22"/>
          <w:szCs w:val="22"/>
          <w:lang w:val="en-GB"/>
        </w:rPr>
      </w:pPr>
      <w:permStart w:id="1271138379" w:edGrp="everyone"/>
      <w:r w:rsidRPr="0016448A">
        <w:rPr>
          <w:rFonts w:ascii="Cambria" w:hAnsi="Cambria" w:cstheme="majorHAnsi"/>
          <w:sz w:val="22"/>
          <w:szCs w:val="22"/>
          <w:lang w:val="en-GB"/>
        </w:rPr>
        <w:t>If the current approach (stochastic model for estimating results) would be kept, then a compensatory mechanism for correcting overly optimistic or pessimistic returns generated should be put in place.</w:t>
      </w:r>
    </w:p>
    <w:p w14:paraId="7A39AAD6" w14:textId="77777777" w:rsidR="0016448A" w:rsidRPr="0016448A" w:rsidRDefault="0016448A" w:rsidP="0016448A">
      <w:pPr>
        <w:pStyle w:val="Default"/>
        <w:spacing w:before="120" w:after="120"/>
        <w:jc w:val="both"/>
        <w:rPr>
          <w:rFonts w:ascii="Cambria" w:hAnsi="Cambria" w:cstheme="majorHAnsi"/>
          <w:sz w:val="22"/>
          <w:szCs w:val="22"/>
          <w:lang w:val="en-GB"/>
        </w:rPr>
      </w:pPr>
      <w:r w:rsidRPr="0016448A">
        <w:rPr>
          <w:rFonts w:ascii="Cambria" w:hAnsi="Cambria" w:cstheme="majorHAnsi"/>
          <w:sz w:val="22"/>
          <w:szCs w:val="22"/>
          <w:lang w:val="en-GB"/>
        </w:rPr>
        <w:lastRenderedPageBreak/>
        <w:t>As the ESAs have indicated, the mechanism is necessary to lower the maximum return to match the historic high and raise the minimum return to match the historic low of the product. However, considering that the new approach changed the growth estimator from the average lognormal return of the PRIIP (M1) to the expected rate of return of the underlying assets (g), the compensatory mechanism poses significant methodological challenges.</w:t>
      </w:r>
    </w:p>
    <w:p w14:paraId="115BBA66" w14:textId="77777777" w:rsidR="0016448A" w:rsidRPr="0016448A" w:rsidRDefault="0016448A" w:rsidP="0016448A">
      <w:pPr>
        <w:pStyle w:val="Default"/>
        <w:spacing w:before="120" w:after="120"/>
        <w:jc w:val="both"/>
        <w:rPr>
          <w:rFonts w:ascii="Cambria" w:hAnsi="Cambria" w:cstheme="majorHAnsi"/>
          <w:sz w:val="22"/>
          <w:szCs w:val="22"/>
          <w:lang w:val="en-GB"/>
        </w:rPr>
      </w:pPr>
      <w:r w:rsidRPr="0016448A">
        <w:rPr>
          <w:rFonts w:ascii="Cambria" w:hAnsi="Cambria" w:cstheme="majorHAnsi"/>
          <w:sz w:val="22"/>
          <w:szCs w:val="22"/>
          <w:lang w:val="en-GB"/>
        </w:rPr>
        <w:t>With the current methodology to estimate returns, the compensatory mechanism could have been used as the High- or Low-Watermark of the PRIIP’s performance since inception. To give more accuracy, the maximum and minimum caps could have been averaged from all similar products in the same domicile, task which can be assigned to national competent authorities or the ESAs.</w:t>
      </w:r>
    </w:p>
    <w:p w14:paraId="441AFA85" w14:textId="743D6729" w:rsidR="003E573C" w:rsidRDefault="0016448A" w:rsidP="0016448A">
      <w:pPr>
        <w:jc w:val="both"/>
        <w:rPr>
          <w:rFonts w:cs="Arial"/>
        </w:rPr>
      </w:pPr>
      <w:r>
        <w:rPr>
          <w:rFonts w:ascii="Cambria" w:hAnsi="Cambria" w:cstheme="majorHAnsi"/>
          <w:sz w:val="22"/>
          <w:szCs w:val="22"/>
        </w:rPr>
        <w:t>However, the new approach would mandate establishing compensatory mechanisms for each security class individually, taking into account their specificities and places of domicile. While it is still achievable, the ESAs must consider whether the approach (as presented on page 25 of the Consultation Paper) would not return conceptual inconsistencies in the return estimations.</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48197B82" w:rsidR="003E573C" w:rsidRDefault="00FF04A0" w:rsidP="00FF04A0">
      <w:pPr>
        <w:jc w:val="both"/>
        <w:rPr>
          <w:rFonts w:cs="Arial"/>
        </w:rPr>
      </w:pPr>
      <w:permStart w:id="1687822303" w:edGrp="everyone"/>
      <w:r>
        <w:rPr>
          <w:rFonts w:ascii="Cambria" w:hAnsi="Cambria" w:cstheme="majorHAnsi"/>
          <w:sz w:val="22"/>
          <w:szCs w:val="22"/>
        </w:rPr>
        <w:t>This approach is similar with the maximum and minimum caps compensatory mechanism and presents the same methodological challenges. However, for mixed-assets products, we doubt whether it would actually help retail investors since they would need to calculate weighted returns in order to obtain a full picture of the PRIIP.</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890A7CB" w:rsidR="003E573C" w:rsidRDefault="0017635E" w:rsidP="003E573C">
      <w:pPr>
        <w:rPr>
          <w:rFonts w:cs="Arial"/>
        </w:rPr>
      </w:pPr>
      <w:permStart w:id="669663577" w:edGrp="everyone"/>
      <w:r>
        <w:rPr>
          <w:rFonts w:ascii="Cambria" w:hAnsi="Cambria" w:cstheme="majorHAnsi"/>
          <w:sz w:val="22"/>
          <w:szCs w:val="22"/>
        </w:rPr>
        <w:t>Yes, BETTER FINANCE believes this approach would be appropriate as a last measure – see answer for Question 18 above.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lastRenderedPageBreak/>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8F32E9F" w:rsidR="003E573C" w:rsidRDefault="00303FD0" w:rsidP="00303FD0">
      <w:pPr>
        <w:jc w:val="both"/>
        <w:rPr>
          <w:rFonts w:cs="Arial"/>
        </w:rPr>
      </w:pPr>
      <w:permStart w:id="806708611" w:edGrp="everyone"/>
      <w:r w:rsidRPr="002965D7">
        <w:rPr>
          <w:rFonts w:ascii="Cambria" w:hAnsi="Cambria" w:cstheme="majorHAnsi"/>
          <w:sz w:val="22"/>
          <w:szCs w:val="22"/>
        </w:rPr>
        <w:t>We believe that probabilistic methodologies are similar in terms of return accuracy, reason for which their use does not depend on the type of product. The presentation of outcomes for retail investors is similar for all types of products and formulae: it must be kept simple. Therefore, no further explanations should be given under the performance section other than the return estimations themselves.</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820BF63" w14:textId="20E716E6" w:rsidR="007551D7" w:rsidRPr="007551D7" w:rsidRDefault="007551D7" w:rsidP="007551D7">
      <w:pPr>
        <w:pStyle w:val="Default"/>
        <w:spacing w:before="120"/>
        <w:jc w:val="both"/>
        <w:rPr>
          <w:rFonts w:ascii="Cambria" w:hAnsi="Cambria" w:cstheme="majorHAnsi"/>
          <w:sz w:val="22"/>
          <w:szCs w:val="22"/>
          <w:lang w:val="en-GB"/>
        </w:rPr>
      </w:pPr>
      <w:permStart w:id="2245015" w:edGrp="everyone"/>
      <w:r>
        <w:rPr>
          <w:rFonts w:ascii="Cambria" w:hAnsi="Cambria" w:cstheme="majorHAnsi"/>
          <w:sz w:val="22"/>
          <w:szCs w:val="22"/>
          <w:lang w:val="en-GB"/>
        </w:rPr>
        <w:t>E</w:t>
      </w:r>
      <w:r w:rsidRPr="007551D7">
        <w:rPr>
          <w:rFonts w:ascii="Cambria" w:hAnsi="Cambria" w:cstheme="majorHAnsi"/>
          <w:sz w:val="22"/>
          <w:szCs w:val="22"/>
          <w:lang w:val="en-GB"/>
        </w:rPr>
        <w:t>stimating returns has proven so far – to our knowledge – inaccurate, and all the methodologies explored (the current one, the new one, others proposed by stakeholders) have inherent issues or limitations. The risk is that, while displaying certain advantages, other alternative methodologies (such as a maximum growth table etc.) create many more issues than those they solve. Evidently, if the ESAs would choose one of them, further prescription is necessary and, thus, further consultations would be necessary.</w:t>
      </w:r>
    </w:p>
    <w:p w14:paraId="4B5B17C0" w14:textId="77777777" w:rsidR="007551D7" w:rsidRPr="007551D7" w:rsidRDefault="007551D7" w:rsidP="007551D7">
      <w:pPr>
        <w:pStyle w:val="Default"/>
        <w:spacing w:before="120"/>
        <w:jc w:val="both"/>
        <w:rPr>
          <w:rFonts w:ascii="Cambria" w:hAnsi="Cambria" w:cstheme="majorHAnsi"/>
          <w:sz w:val="22"/>
          <w:szCs w:val="22"/>
          <w:lang w:val="en-GB"/>
        </w:rPr>
      </w:pPr>
      <w:r w:rsidRPr="007551D7">
        <w:rPr>
          <w:rFonts w:ascii="Cambria" w:hAnsi="Cambria" w:cstheme="majorHAnsi"/>
          <w:sz w:val="22"/>
          <w:szCs w:val="22"/>
          <w:lang w:val="en-GB"/>
        </w:rPr>
        <w:t xml:space="preserve">The purpose of the KID is to be simple, understandable, and concise. Therefore, the simplest methodology available should be explored – in this sense, our answer to Question 22 below provides our alternative proposal for performance scenarios. </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3F337086" w14:textId="55CEAF71" w:rsidR="005B41F1" w:rsidRPr="005B41F1" w:rsidRDefault="005B41F1" w:rsidP="005B41F1">
      <w:pPr>
        <w:pStyle w:val="Default"/>
        <w:spacing w:before="120"/>
        <w:jc w:val="both"/>
        <w:rPr>
          <w:rFonts w:ascii="Cambria" w:hAnsi="Cambria"/>
          <w:sz w:val="22"/>
          <w:szCs w:val="22"/>
          <w:lang w:val="en-GB"/>
        </w:rPr>
      </w:pPr>
      <w:permStart w:id="1182486711" w:edGrp="everyone"/>
      <w:r w:rsidRPr="005B41F1">
        <w:rPr>
          <w:rFonts w:ascii="Cambria" w:hAnsi="Cambria"/>
          <w:sz w:val="22"/>
          <w:szCs w:val="22"/>
          <w:lang w:val="en-GB"/>
        </w:rPr>
        <w:t>BETTER FINANCE proposes to replace the probabilistic (stochastic) estimations of returns with illustrative scenarios since these would be less misleading, would not build on past returns and would be easier to couple with historical performance.</w:t>
      </w:r>
    </w:p>
    <w:p w14:paraId="3370ACFB" w14:textId="77777777" w:rsidR="005B41F1" w:rsidRPr="005B41F1" w:rsidRDefault="005B41F1" w:rsidP="005B41F1">
      <w:pPr>
        <w:pStyle w:val="Default"/>
        <w:spacing w:before="120"/>
        <w:jc w:val="both"/>
        <w:rPr>
          <w:rFonts w:ascii="Cambria" w:hAnsi="Cambria"/>
          <w:sz w:val="22"/>
          <w:szCs w:val="22"/>
          <w:lang w:val="en-GB"/>
        </w:rPr>
      </w:pPr>
      <w:r w:rsidRPr="005B41F1">
        <w:rPr>
          <w:rFonts w:ascii="Cambria" w:hAnsi="Cambria"/>
          <w:sz w:val="22"/>
          <w:szCs w:val="22"/>
          <w:lang w:val="en-GB"/>
        </w:rPr>
        <w:t>Disclosing estimated figures of profit at the recommended holding period (RHP) has a very high potential of giving rise to false expectations for retail investors. Moreover, it is difficult to mitigate the confusion created from publishing past performance and the warning attached to it and then disclose return estimations based on past performance.</w:t>
      </w:r>
    </w:p>
    <w:p w14:paraId="04A8ED08" w14:textId="77777777" w:rsidR="005B41F1" w:rsidRPr="005B41F1" w:rsidRDefault="005B41F1" w:rsidP="005B41F1">
      <w:pPr>
        <w:pStyle w:val="Default"/>
        <w:spacing w:before="120"/>
        <w:jc w:val="both"/>
        <w:rPr>
          <w:rFonts w:ascii="Cambria" w:hAnsi="Cambria"/>
          <w:sz w:val="22"/>
          <w:szCs w:val="22"/>
          <w:lang w:val="en-GB"/>
        </w:rPr>
      </w:pPr>
      <w:r w:rsidRPr="005B41F1">
        <w:rPr>
          <w:rFonts w:ascii="Cambria" w:hAnsi="Cambria"/>
          <w:sz w:val="22"/>
          <w:szCs w:val="22"/>
          <w:lang w:val="en-GB"/>
        </w:rPr>
        <w:t>On the other hand, illustrative scenarios would not attempt in predicting the future, but would give reasonable expectations to the retail investor on what can happen with a PRIIP during three or four scenarios: abnormal (positive or negative returns), significant losses or moderate performances.</w:t>
      </w:r>
    </w:p>
    <w:p w14:paraId="5F9A0932" w14:textId="77777777" w:rsidR="005B41F1" w:rsidRPr="005B41F1" w:rsidRDefault="005B41F1" w:rsidP="005B41F1">
      <w:pPr>
        <w:pStyle w:val="Default"/>
        <w:spacing w:before="120"/>
        <w:jc w:val="both"/>
        <w:rPr>
          <w:rFonts w:ascii="Cambria" w:hAnsi="Cambria"/>
          <w:sz w:val="22"/>
          <w:szCs w:val="22"/>
          <w:lang w:val="en-GB"/>
        </w:rPr>
      </w:pPr>
      <w:r w:rsidRPr="005B41F1">
        <w:rPr>
          <w:rFonts w:ascii="Cambria" w:hAnsi="Cambria"/>
          <w:sz w:val="22"/>
          <w:szCs w:val="22"/>
          <w:lang w:val="en-GB"/>
        </w:rPr>
        <w:t>We believe that meaningful information for retail savers is the one that prepares them for different, most likely, market evolutions – such as favourable, stress, moderate etc – without emphasising any particular level of return. Illustrative scenarios also have the advantage of providing some form of financial education and incentivising the retail saver to engage more often with its product and track its performance.</w:t>
      </w:r>
    </w:p>
    <w:p w14:paraId="335FB355" w14:textId="77777777" w:rsidR="005B41F1" w:rsidRPr="005B41F1" w:rsidRDefault="005B41F1" w:rsidP="005B41F1">
      <w:pPr>
        <w:pStyle w:val="Default"/>
        <w:spacing w:before="120"/>
        <w:jc w:val="both"/>
        <w:rPr>
          <w:rFonts w:ascii="Cambria" w:hAnsi="Cambria"/>
          <w:sz w:val="22"/>
          <w:szCs w:val="22"/>
          <w:lang w:val="en-GB"/>
        </w:rPr>
      </w:pPr>
      <w:r w:rsidRPr="005B41F1">
        <w:rPr>
          <w:rFonts w:ascii="Cambria" w:hAnsi="Cambria"/>
          <w:sz w:val="22"/>
          <w:szCs w:val="22"/>
          <w:lang w:val="en-GB"/>
        </w:rPr>
        <w:lastRenderedPageBreak/>
        <w:t>An explanation of what can be expected from the PRIIP during certain circumstances, however, must be kept simple, short and concise, avoiding jargon or technical language. Being aware of the pitfalls of providing too much narrative explanations, the illustrative scenarios must not appear as “chunks” of text, and should be accompanied by graphical illustrations (exemplificative only).</w:t>
      </w:r>
    </w:p>
    <w:p w14:paraId="796F9A7E" w14:textId="77777777" w:rsidR="005B41F1" w:rsidRPr="005B41F1" w:rsidRDefault="005B41F1" w:rsidP="005B41F1">
      <w:pPr>
        <w:pStyle w:val="Default"/>
        <w:spacing w:before="120"/>
        <w:jc w:val="both"/>
        <w:rPr>
          <w:rFonts w:ascii="Cambria" w:hAnsi="Cambria"/>
          <w:sz w:val="22"/>
          <w:szCs w:val="22"/>
          <w:lang w:val="en-GB"/>
        </w:rPr>
      </w:pPr>
      <w:r w:rsidRPr="005B41F1">
        <w:rPr>
          <w:rFonts w:ascii="Cambria" w:hAnsi="Cambria"/>
          <w:sz w:val="22"/>
          <w:szCs w:val="22"/>
          <w:lang w:val="en-GB"/>
        </w:rPr>
        <w:t>In our view, the simplest manner to achieve this illustrative scenario presentation is by not attaching figures to it – otherwise the door is opened to the same challenges as with probabilistic (stochastic) scenarios. The ESAs proposals consider describing an illustrative scenario as a drop or increase in the market (index) of the PRIIP and showing how the product would behave in such conditions.</w:t>
      </w:r>
    </w:p>
    <w:p w14:paraId="4986D314" w14:textId="77777777" w:rsidR="005B41F1" w:rsidRPr="005B41F1" w:rsidRDefault="005B41F1" w:rsidP="005B41F1">
      <w:pPr>
        <w:pStyle w:val="Default"/>
        <w:spacing w:before="120"/>
        <w:jc w:val="both"/>
        <w:rPr>
          <w:rFonts w:ascii="Cambria" w:hAnsi="Cambria"/>
          <w:sz w:val="22"/>
          <w:szCs w:val="22"/>
          <w:lang w:val="en-GB"/>
        </w:rPr>
      </w:pPr>
      <w:r w:rsidRPr="005B41F1">
        <w:rPr>
          <w:rFonts w:ascii="Cambria" w:hAnsi="Cambria"/>
          <w:sz w:val="22"/>
          <w:szCs w:val="22"/>
          <w:lang w:val="en-GB"/>
        </w:rPr>
        <w:t>We believe it to be a risky approach and to give rise to the same debate held so far on the method to achieve greater accuracy in return estimations; potentially, even worse, as correlating the decrease of the market with an accurate decrease of the product may prove more difficult than the current approach.</w:t>
      </w:r>
    </w:p>
    <w:p w14:paraId="0595D193" w14:textId="3E23056C" w:rsidR="003E573C" w:rsidRDefault="005B41F1" w:rsidP="005B41F1">
      <w:pPr>
        <w:rPr>
          <w:rFonts w:cs="Arial"/>
        </w:rPr>
      </w:pPr>
      <w:r>
        <w:rPr>
          <w:rFonts w:ascii="Cambria" w:hAnsi="Cambria"/>
          <w:sz w:val="22"/>
          <w:szCs w:val="22"/>
        </w:rPr>
        <w:t>Therefore, BETTER FINANCE strongly advises the ESAs to replace probabilistic scenarios with illustrative ones (narrative only, maximum 2-3 lines), which would also be compatible with presentation of past performance (see answer to Question 26 below).</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63809DD6" w:rsidR="003E573C" w:rsidRDefault="00CD3514" w:rsidP="003E573C">
      <w:pPr>
        <w:rPr>
          <w:rFonts w:cs="Arial"/>
        </w:rPr>
      </w:pPr>
      <w:permStart w:id="1634935588" w:edGrp="everyone"/>
      <w:r>
        <w:rPr>
          <w:rFonts w:ascii="Cambria" w:hAnsi="Cambria" w:cstheme="majorHAnsi"/>
          <w:sz w:val="22"/>
          <w:szCs w:val="22"/>
        </w:rPr>
        <w:t>No, we believe that this double wrapping of information requires additional explanations on the relationship between them (illustrative and probabilistic scenarios) and does not help the investor better understand the product, nor the limitations of those scenarios. The KID for structured products, as for all other, should only present illustrative scenarios.</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1DCC27BB" w14:textId="72ABAA9A" w:rsidR="00601900" w:rsidRPr="00601900" w:rsidRDefault="00601900" w:rsidP="00601900">
      <w:pPr>
        <w:pStyle w:val="Default"/>
        <w:jc w:val="both"/>
        <w:rPr>
          <w:rFonts w:ascii="Cambria" w:hAnsi="Cambria" w:cstheme="majorHAnsi"/>
          <w:sz w:val="22"/>
          <w:szCs w:val="22"/>
          <w:lang w:val="en-GB"/>
        </w:rPr>
      </w:pPr>
      <w:permStart w:id="872961277" w:edGrp="everyone"/>
      <w:r w:rsidRPr="00601900">
        <w:rPr>
          <w:rFonts w:ascii="Cambria" w:hAnsi="Cambria" w:cstheme="majorHAnsi"/>
          <w:sz w:val="22"/>
          <w:szCs w:val="22"/>
          <w:lang w:val="en-GB"/>
        </w:rPr>
        <w:t>Yes, illustrative scenarios should replace probabilistic scenarios – see answer to Question 23.</w:t>
      </w:r>
    </w:p>
    <w:p w14:paraId="2282D3D7" w14:textId="453A4F2F" w:rsidR="003E573C" w:rsidRDefault="003E573C" w:rsidP="003E573C">
      <w:pPr>
        <w:rPr>
          <w:rFonts w:cs="Arial"/>
        </w:rPr>
      </w:pP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3CE78A31" w14:textId="1220EFDE" w:rsidR="001C1672" w:rsidRPr="001C1672" w:rsidRDefault="001C1672" w:rsidP="001C1672">
      <w:pPr>
        <w:spacing w:before="120"/>
        <w:rPr>
          <w:rFonts w:ascii="Cambria" w:hAnsi="Cambria"/>
          <w:color w:val="000000" w:themeColor="text1"/>
          <w:sz w:val="22"/>
          <w:szCs w:val="28"/>
        </w:rPr>
      </w:pPr>
      <w:permStart w:id="374105505" w:edGrp="everyone"/>
      <w:r w:rsidRPr="001C1672">
        <w:rPr>
          <w:rFonts w:ascii="Cambria" w:hAnsi="Cambria"/>
          <w:color w:val="000000" w:themeColor="text1"/>
          <w:sz w:val="22"/>
          <w:szCs w:val="28"/>
        </w:rPr>
        <w:t>Yes, see answers for Questions 21 &amp; 22 above.</w:t>
      </w:r>
    </w:p>
    <w:p w14:paraId="791A0604" w14:textId="30ED13E4" w:rsidR="003E573C" w:rsidRDefault="003E573C" w:rsidP="003E573C">
      <w:pPr>
        <w:rPr>
          <w:rFonts w:cs="Arial"/>
        </w:rPr>
      </w:pP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39D409F0" w14:textId="1DC6908B" w:rsidR="00B90D37" w:rsidRPr="00B90D37" w:rsidRDefault="00B90D37" w:rsidP="00B90D37">
      <w:pPr>
        <w:pStyle w:val="Default"/>
        <w:spacing w:after="120"/>
        <w:jc w:val="both"/>
        <w:rPr>
          <w:rFonts w:ascii="Cambria" w:hAnsi="Cambria" w:cs="Calibri Light"/>
          <w:sz w:val="22"/>
          <w:szCs w:val="22"/>
          <w:lang w:val="en-GB"/>
        </w:rPr>
      </w:pPr>
      <w:permStart w:id="624894902" w:edGrp="everyone"/>
      <w:r w:rsidRPr="00B90D37">
        <w:rPr>
          <w:rFonts w:ascii="Cambria" w:hAnsi="Cambria" w:cs="Calibri Light"/>
          <w:sz w:val="22"/>
          <w:szCs w:val="22"/>
          <w:lang w:val="en-GB"/>
        </w:rPr>
        <w:lastRenderedPageBreak/>
        <w:t>Yes, BETTER FINANCE has always advocated in favour of past performance only for one clear reason: while past performance is not a reliable indicator of future results, it has the characteristic of showing the investor whether the product manager has reached its stated investment objectives in the past.</w:t>
      </w:r>
    </w:p>
    <w:p w14:paraId="168E2132" w14:textId="77777777" w:rsidR="00B90D37" w:rsidRPr="00B90D37" w:rsidRDefault="00B90D37" w:rsidP="00B90D37">
      <w:pPr>
        <w:pStyle w:val="Default"/>
        <w:spacing w:after="120"/>
        <w:jc w:val="both"/>
        <w:rPr>
          <w:rFonts w:ascii="Cambria" w:hAnsi="Cambria" w:cs="Calibri Light"/>
          <w:sz w:val="22"/>
          <w:szCs w:val="22"/>
          <w:lang w:val="en-GB"/>
        </w:rPr>
      </w:pPr>
      <w:r w:rsidRPr="00B90D37">
        <w:rPr>
          <w:rFonts w:ascii="Cambria" w:hAnsi="Cambria" w:cs="Calibri Light"/>
          <w:sz w:val="22"/>
          <w:szCs w:val="22"/>
          <w:lang w:val="en-GB"/>
        </w:rPr>
        <w:t>Accompanied by the short, concise and prominent warning that historical returns should not be used in any way to estimate future outcomes – as is currently the case for the UCITS KIID – it constitutes a clear and accurate measure for the retail saver to evaluate the past performance of the product manufacturer and provides a comparison basis for other products. Moreover, past performance must be accompanied by that of the market index benchmark (see answer to Question 32 below).</w:t>
      </w:r>
    </w:p>
    <w:p w14:paraId="659C28F1" w14:textId="77777777" w:rsidR="00B90D37" w:rsidRPr="00B90D37" w:rsidRDefault="00B90D37" w:rsidP="00B90D37">
      <w:pPr>
        <w:pStyle w:val="Default"/>
        <w:spacing w:after="120"/>
        <w:jc w:val="both"/>
        <w:rPr>
          <w:rFonts w:ascii="Cambria" w:hAnsi="Cambria" w:cs="Calibri Light"/>
          <w:sz w:val="22"/>
          <w:szCs w:val="22"/>
          <w:lang w:val="en-GB"/>
        </w:rPr>
      </w:pPr>
      <w:r w:rsidRPr="00B90D37">
        <w:rPr>
          <w:rFonts w:ascii="Cambria" w:hAnsi="Cambria" w:cs="Calibri Light"/>
          <w:sz w:val="22"/>
          <w:szCs w:val="22"/>
          <w:lang w:val="en-GB"/>
        </w:rPr>
        <w:t xml:space="preserve">If </w:t>
      </w:r>
      <w:r w:rsidRPr="00B90D37">
        <w:rPr>
          <w:rFonts w:ascii="Cambria" w:hAnsi="Cambria" w:cs="Calibri Light"/>
          <w:b/>
          <w:bCs/>
          <w:sz w:val="22"/>
          <w:szCs w:val="22"/>
          <w:u w:val="single"/>
          <w:lang w:val="en-GB"/>
        </w:rPr>
        <w:t>past performance</w:t>
      </w:r>
      <w:r w:rsidRPr="00B90D37">
        <w:rPr>
          <w:rFonts w:ascii="Cambria" w:hAnsi="Cambria" w:cs="Calibri Light"/>
          <w:sz w:val="22"/>
          <w:szCs w:val="22"/>
          <w:lang w:val="en-GB"/>
        </w:rPr>
        <w:t xml:space="preserve"> is not the silver bullet in making an informed investment decision – the KID is a holistic reporting document and all of its parts must be considered – </w:t>
      </w:r>
      <w:r w:rsidRPr="00B90D37">
        <w:rPr>
          <w:rFonts w:ascii="Cambria" w:hAnsi="Cambria" w:cs="Calibri Light"/>
          <w:b/>
          <w:bCs/>
          <w:sz w:val="22"/>
          <w:szCs w:val="22"/>
          <w:u w:val="single"/>
          <w:lang w:val="en-GB"/>
        </w:rPr>
        <w:t>it is pivotal</w:t>
      </w:r>
      <w:r w:rsidRPr="00B90D37">
        <w:rPr>
          <w:rFonts w:ascii="Cambria" w:hAnsi="Cambria" w:cs="Calibri Light"/>
          <w:sz w:val="22"/>
          <w:szCs w:val="22"/>
          <w:lang w:val="en-GB"/>
        </w:rPr>
        <w:t xml:space="preserve">. However, the function of regulatory reporting documents, such as the KID, is to ensure that the information and data comprised therein are accurate (reflect either the reality or known facts, just like a certification process) and it is the duty of law and regulatory authorities to achieve this function. It is for this reason that by including future performance, and not past performance, law eliminates the accurate reporting nature of the KID and reduces it to “reasonable assumptions”, which would not be the case with past performance. </w:t>
      </w:r>
    </w:p>
    <w:p w14:paraId="32DBA514" w14:textId="77777777" w:rsidR="00B90D37" w:rsidRPr="00B90D37" w:rsidRDefault="00B90D37" w:rsidP="00B90D37">
      <w:pPr>
        <w:pStyle w:val="Default"/>
        <w:spacing w:after="120"/>
        <w:jc w:val="both"/>
        <w:rPr>
          <w:rFonts w:ascii="Cambria" w:hAnsi="Cambria" w:cs="Calibri Light"/>
          <w:sz w:val="22"/>
          <w:szCs w:val="22"/>
          <w:lang w:val="en-GB"/>
        </w:rPr>
      </w:pPr>
      <w:r w:rsidRPr="00B90D37">
        <w:rPr>
          <w:rFonts w:ascii="Cambria" w:hAnsi="Cambria" w:cs="Calibri Light"/>
          <w:sz w:val="22"/>
          <w:szCs w:val="22"/>
          <w:lang w:val="en-GB"/>
        </w:rPr>
        <w:t>Therefore, in order to build to the accurate nature of the KID, past performance information in comparison with a relevant benchmark must be included.</w:t>
      </w:r>
    </w:p>
    <w:p w14:paraId="2BFE012E" w14:textId="7A4FB604" w:rsidR="003E573C" w:rsidRDefault="00B90D37" w:rsidP="00B90D37">
      <w:pPr>
        <w:rPr>
          <w:rFonts w:cs="Arial"/>
        </w:rPr>
      </w:pPr>
      <w:r>
        <w:rPr>
          <w:rFonts w:ascii="Cambria" w:hAnsi="Cambria" w:cs="Calibri Light"/>
          <w:sz w:val="22"/>
          <w:szCs w:val="22"/>
        </w:rPr>
        <w:t xml:space="preserve">If a product does not have past performance (because it is new or has been launched too recently), it should not be presented. However, if the product has past performance, the only exception to this rule could be admitted for those structured products that are made </w:t>
      </w:r>
      <w:r>
        <w:rPr>
          <w:rFonts w:ascii="Cambria" w:hAnsi="Cambria" w:cs="Calibri Light"/>
          <w:i/>
          <w:iCs/>
          <w:sz w:val="22"/>
          <w:szCs w:val="22"/>
        </w:rPr>
        <w:t>intuitu personae</w:t>
      </w:r>
      <w:r>
        <w:rPr>
          <w:rFonts w:ascii="Cambria" w:hAnsi="Cambria" w:cs="Calibri Light"/>
          <w:sz w:val="22"/>
          <w:szCs w:val="22"/>
        </w:rPr>
        <w:t xml:space="preserve"> and do not allow the investor or the product manufacturer to sell or buy it until maturity.</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3EA257FD" w:rsidR="003E573C" w:rsidRDefault="00F449E4" w:rsidP="003E573C">
      <w:pPr>
        <w:rPr>
          <w:rFonts w:cs="Arial"/>
        </w:rPr>
      </w:pPr>
      <w:permStart w:id="1007688109" w:edGrp="everyone"/>
      <w:r>
        <w:rPr>
          <w:rFonts w:ascii="Cambria" w:hAnsi="Cambria" w:cs="Calibri Light"/>
          <w:sz w:val="22"/>
          <w:szCs w:val="22"/>
        </w:rPr>
        <w:t>No, the provisions of Article 6(4) PRIIPs Regulation do not affect inclusion of past performance from the point of view of the length, conciseness or accessibility of the PRIIPs KID.</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4F5049C8" w14:textId="00DA0AFC" w:rsidR="009912AB" w:rsidRPr="009912AB" w:rsidRDefault="009912AB" w:rsidP="009912AB">
      <w:pPr>
        <w:pStyle w:val="Default"/>
        <w:jc w:val="both"/>
        <w:rPr>
          <w:rFonts w:ascii="Cambria" w:hAnsi="Cambria" w:cs="Calibri Light"/>
          <w:sz w:val="22"/>
          <w:szCs w:val="22"/>
          <w:lang w:val="en-GB"/>
        </w:rPr>
      </w:pPr>
      <w:permStart w:id="1152679739" w:edGrp="everyone"/>
      <w:r w:rsidRPr="009912AB">
        <w:rPr>
          <w:rFonts w:ascii="Cambria" w:hAnsi="Cambria" w:cs="Calibri Light"/>
          <w:sz w:val="22"/>
          <w:szCs w:val="22"/>
          <w:lang w:val="en-GB"/>
        </w:rPr>
        <w:t>No, we do not – past performance disclosure must be harmonised for all types of PRIIPs. For most used PRIIPs, as done for UCITS funds (including money market funds with very short RHPs and including target retirement funds with very long RHPs), the longer the disclosed track record is the better. This is because it is then more likely to track different cycles (like bull and bear for stocks for example), and also shows the persistence (or not) of the manager’s ability to perform and to meet his own investment objective.</w:t>
      </w:r>
    </w:p>
    <w:p w14:paraId="371ED482" w14:textId="33C3FD52" w:rsidR="003E573C" w:rsidRDefault="009912AB" w:rsidP="009912AB">
      <w:pPr>
        <w:rPr>
          <w:rFonts w:cs="Arial"/>
        </w:rPr>
      </w:pPr>
      <w:r w:rsidRPr="00CD1009">
        <w:rPr>
          <w:rFonts w:ascii="Cambria" w:hAnsi="Cambria" w:cs="Calibri Light"/>
          <w:sz w:val="22"/>
          <w:szCs w:val="22"/>
        </w:rPr>
        <w:t>The other crucial disclosure is to have the past performance of the benchmark chosen by the PRIIP manager alongside that of the product itself, like for UCITS funds. Indeed, the absolute past performance of a given PRIIP has little meaning if not compared of its benchmark (investment objective).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lastRenderedPageBreak/>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5340EEE5" w14:textId="594476E8" w:rsidR="005A71A7" w:rsidRPr="005A71A7" w:rsidRDefault="005A71A7" w:rsidP="005A71A7">
      <w:pPr>
        <w:pStyle w:val="Default"/>
        <w:spacing w:before="120" w:after="120"/>
        <w:jc w:val="both"/>
        <w:rPr>
          <w:rFonts w:ascii="Cambria" w:hAnsi="Cambria" w:cs="Calibri Light"/>
          <w:sz w:val="22"/>
          <w:szCs w:val="22"/>
          <w:lang w:val="en-GB"/>
        </w:rPr>
      </w:pPr>
      <w:permStart w:id="419824169" w:edGrp="everyone"/>
      <w:r w:rsidRPr="005A71A7">
        <w:rPr>
          <w:rFonts w:ascii="Cambria" w:hAnsi="Cambria" w:cs="Calibri Light"/>
          <w:sz w:val="22"/>
          <w:szCs w:val="22"/>
          <w:lang w:val="en-GB"/>
        </w:rPr>
        <w:t>BETTER FINANCE agrees with the text as used in the KIID Regulation, except the two additions on the market conditions and use of past performance. While, in principle, we believe that warning against hyperbolising historical returns would prove advantageous for the retail investor, the third sentence does not particularly do that. In the current conditions it would cause even more confusion.</w:t>
      </w:r>
    </w:p>
    <w:p w14:paraId="7D19B7BB" w14:textId="77777777" w:rsidR="005A71A7" w:rsidRPr="005A71A7" w:rsidRDefault="005A71A7" w:rsidP="005A71A7">
      <w:pPr>
        <w:pStyle w:val="Default"/>
        <w:spacing w:before="120" w:after="120"/>
        <w:jc w:val="both"/>
        <w:rPr>
          <w:rFonts w:ascii="Cambria" w:hAnsi="Cambria" w:cs="Calibri Light"/>
          <w:sz w:val="22"/>
          <w:szCs w:val="22"/>
          <w:lang w:val="en-GB"/>
        </w:rPr>
      </w:pPr>
      <w:r w:rsidRPr="005A71A7">
        <w:rPr>
          <w:rFonts w:ascii="Cambria" w:hAnsi="Cambria" w:cs="Calibri Light"/>
          <w:sz w:val="22"/>
          <w:szCs w:val="22"/>
          <w:lang w:val="en-GB"/>
        </w:rPr>
        <w:t xml:space="preserve">Therefore, the prominent warning should be displayed in bigger font and different colour (preferably red) and read: </w:t>
      </w:r>
    </w:p>
    <w:p w14:paraId="5EAA7A64" w14:textId="77777777" w:rsidR="005A71A7" w:rsidRPr="005A71A7" w:rsidRDefault="005A71A7" w:rsidP="005A71A7">
      <w:pPr>
        <w:pStyle w:val="Default"/>
        <w:spacing w:before="120" w:after="120"/>
        <w:jc w:val="center"/>
        <w:rPr>
          <w:rFonts w:ascii="Cambria" w:hAnsi="Cambria" w:cs="Calibri Light"/>
          <w:sz w:val="22"/>
          <w:szCs w:val="22"/>
          <w:lang w:val="en-GB"/>
        </w:rPr>
      </w:pPr>
      <w:r w:rsidRPr="005A71A7">
        <w:rPr>
          <w:rFonts w:ascii="Cambria" w:hAnsi="Cambria" w:cs="Calibri Light"/>
          <w:sz w:val="22"/>
          <w:szCs w:val="22"/>
          <w:lang w:val="en-GB"/>
        </w:rPr>
        <w:t>“</w:t>
      </w:r>
      <w:r w:rsidRPr="005A71A7">
        <w:rPr>
          <w:rFonts w:ascii="Cambria" w:hAnsi="Cambria" w:cs="Calibri Light"/>
          <w:b/>
          <w:bCs/>
          <w:i/>
          <w:iCs/>
          <w:color w:val="FF0000"/>
          <w:sz w:val="22"/>
          <w:szCs w:val="22"/>
          <w:lang w:val="en-GB"/>
        </w:rPr>
        <w:t>Past performance is not a reliable indicator of future results</w:t>
      </w:r>
      <w:r w:rsidRPr="005A71A7">
        <w:rPr>
          <w:rFonts w:ascii="Cambria" w:hAnsi="Cambria" w:cs="Calibri Light"/>
          <w:sz w:val="22"/>
          <w:szCs w:val="22"/>
          <w:lang w:val="en-GB"/>
        </w:rPr>
        <w:t>”.</w:t>
      </w:r>
    </w:p>
    <w:p w14:paraId="4D26391A" w14:textId="77777777" w:rsidR="005A71A7" w:rsidRPr="005A71A7" w:rsidRDefault="005A71A7" w:rsidP="005A71A7">
      <w:pPr>
        <w:pStyle w:val="Default"/>
        <w:spacing w:before="120" w:after="120"/>
        <w:jc w:val="both"/>
        <w:rPr>
          <w:rFonts w:ascii="Cambria" w:hAnsi="Cambria" w:cs="Calibri Light"/>
          <w:sz w:val="22"/>
          <w:szCs w:val="22"/>
          <w:lang w:val="en-GB"/>
        </w:rPr>
      </w:pPr>
      <w:r w:rsidRPr="005A71A7">
        <w:rPr>
          <w:rFonts w:ascii="Cambria" w:hAnsi="Cambria" w:cs="Calibri Light"/>
          <w:sz w:val="22"/>
          <w:szCs w:val="22"/>
          <w:lang w:val="en-GB"/>
        </w:rPr>
        <w:t>However, we take this opportunity to comment on the narrative descriptions and warning in reference to future performance, since there is no corresponding question.</w:t>
      </w:r>
    </w:p>
    <w:p w14:paraId="4E696E11" w14:textId="77777777" w:rsidR="005A71A7" w:rsidRPr="005A71A7" w:rsidRDefault="005A71A7" w:rsidP="005A71A7">
      <w:pPr>
        <w:pStyle w:val="Default"/>
        <w:spacing w:before="120" w:after="120"/>
        <w:jc w:val="both"/>
        <w:rPr>
          <w:rFonts w:ascii="Cambria" w:hAnsi="Cambria" w:cs="Calibri Light"/>
          <w:sz w:val="22"/>
          <w:szCs w:val="22"/>
          <w:lang w:val="en-GB"/>
        </w:rPr>
      </w:pPr>
      <w:r w:rsidRPr="005A71A7">
        <w:rPr>
          <w:rFonts w:ascii="Cambria" w:hAnsi="Cambria" w:cs="Calibri Light"/>
          <w:sz w:val="22"/>
          <w:szCs w:val="22"/>
          <w:lang w:val="en-GB"/>
        </w:rPr>
        <w:t>The general comment (pages 4-10) and the answer to Question 26 lay the foundation for this comment. Studies have revealed that investors do not respond correctly or positively to large amounts of information, including text descriptions. Considering that the function of the KID is to provide reliable and accurate information for the retail saver, further descriptions (as suggested by other stakeholders or policy makers) or warnings in the performance scenarios’ section will lead to information overload and confusion.</w:t>
      </w:r>
    </w:p>
    <w:p w14:paraId="3DB050ED" w14:textId="77777777" w:rsidR="005A71A7" w:rsidRPr="005A71A7" w:rsidRDefault="005A71A7" w:rsidP="005A71A7">
      <w:pPr>
        <w:pStyle w:val="Default"/>
        <w:spacing w:before="120" w:after="120"/>
        <w:jc w:val="both"/>
        <w:rPr>
          <w:rFonts w:ascii="Cambria" w:hAnsi="Cambria" w:cs="Calibri Light"/>
          <w:sz w:val="22"/>
          <w:szCs w:val="22"/>
          <w:lang w:val="en-GB"/>
        </w:rPr>
      </w:pPr>
      <w:r w:rsidRPr="005A71A7">
        <w:rPr>
          <w:rFonts w:ascii="Cambria" w:hAnsi="Cambria" w:cs="Calibri Light"/>
          <w:sz w:val="22"/>
          <w:szCs w:val="22"/>
          <w:lang w:val="en-GB"/>
        </w:rPr>
        <w:t>The KID must be provided by product manufacturers by virtue of the law, and it is currently completely prescribed and standardised (as opposed to commercial communications, which comprise limitations only). Moreover, it is not the task of non-professional savers to research, verify and validate the information presented in the KID, nor to know and evaluate the methodology to produce such estimations.</w:t>
      </w:r>
    </w:p>
    <w:p w14:paraId="301D6A44" w14:textId="77777777" w:rsidR="005A71A7" w:rsidRPr="005A71A7" w:rsidRDefault="005A71A7" w:rsidP="005A71A7">
      <w:pPr>
        <w:pStyle w:val="Default"/>
        <w:spacing w:before="120" w:after="120"/>
        <w:jc w:val="both"/>
        <w:rPr>
          <w:rFonts w:ascii="Cambria" w:hAnsi="Cambria" w:cs="Calibri Light"/>
          <w:sz w:val="22"/>
          <w:szCs w:val="22"/>
          <w:lang w:val="en-GB"/>
        </w:rPr>
      </w:pPr>
      <w:r w:rsidRPr="005A71A7">
        <w:rPr>
          <w:rFonts w:ascii="Cambria" w:hAnsi="Cambria" w:cs="Calibri Light"/>
          <w:sz w:val="22"/>
          <w:szCs w:val="22"/>
          <w:lang w:val="en-GB"/>
        </w:rPr>
        <w:t xml:space="preserve">Therefore, the only prominent warning that should accompany the performance scenarios’ section is the following: </w:t>
      </w:r>
    </w:p>
    <w:p w14:paraId="089997D7" w14:textId="19DD48F4" w:rsidR="003E573C" w:rsidRDefault="005A71A7" w:rsidP="005A71A7">
      <w:pPr>
        <w:jc w:val="center"/>
        <w:rPr>
          <w:rFonts w:cs="Arial"/>
        </w:rPr>
      </w:pPr>
      <w:r w:rsidRPr="00DB1599">
        <w:rPr>
          <w:rFonts w:ascii="Cambria" w:hAnsi="Cambria" w:cs="Calibri Light"/>
          <w:sz w:val="22"/>
          <w:szCs w:val="22"/>
        </w:rPr>
        <w:t>"</w:t>
      </w:r>
      <w:r w:rsidRPr="00246485">
        <w:rPr>
          <w:rFonts w:ascii="Cambria" w:hAnsi="Cambria" w:cs="Calibri Light"/>
          <w:b/>
          <w:bCs/>
          <w:i/>
          <w:iCs/>
          <w:color w:val="FF0000"/>
          <w:sz w:val="22"/>
          <w:szCs w:val="22"/>
        </w:rPr>
        <w:t xml:space="preserve">The above returns are what we reasonably assume will happen in </w:t>
      </w:r>
      <w:r w:rsidRPr="00DB1599">
        <w:rPr>
          <w:rFonts w:ascii="Cambria" w:hAnsi="Cambria" w:cs="Calibri Light"/>
          <w:sz w:val="22"/>
          <w:szCs w:val="22"/>
        </w:rPr>
        <w:t xml:space="preserve">[x] </w:t>
      </w:r>
      <w:r w:rsidRPr="00246485">
        <w:rPr>
          <w:rFonts w:ascii="Cambria" w:hAnsi="Cambria" w:cs="Calibri Light"/>
          <w:b/>
          <w:bCs/>
          <w:i/>
          <w:iCs/>
          <w:color w:val="FF0000"/>
          <w:sz w:val="22"/>
          <w:szCs w:val="22"/>
        </w:rPr>
        <w:t>years</w:t>
      </w:r>
      <w:r w:rsidRPr="00DB1599">
        <w:rPr>
          <w:rFonts w:ascii="Cambria" w:hAnsi="Cambria" w:cs="Calibri Light"/>
          <w:sz w:val="22"/>
          <w:szCs w:val="22"/>
        </w:rPr>
        <w:t>”</w:t>
      </w:r>
      <w:r>
        <w:rPr>
          <w:rFonts w:ascii="Cambria" w:hAnsi="Cambria" w:cs="Calibri Light"/>
          <w:sz w:val="22"/>
          <w:szCs w:val="22"/>
        </w:rPr>
        <w:t>.</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39C3F4F7" w14:textId="44B979AB" w:rsidR="00940AE1" w:rsidRPr="00940AE1" w:rsidRDefault="00940AE1" w:rsidP="00940AE1">
      <w:pPr>
        <w:pStyle w:val="Default"/>
        <w:spacing w:before="120"/>
        <w:jc w:val="both"/>
        <w:rPr>
          <w:rFonts w:ascii="Cambria" w:hAnsi="Cambria" w:cs="Calibri Light"/>
          <w:sz w:val="22"/>
          <w:szCs w:val="22"/>
          <w:lang w:val="en-GB"/>
        </w:rPr>
      </w:pPr>
      <w:permStart w:id="503522783" w:edGrp="everyone"/>
      <w:r w:rsidRPr="00940AE1">
        <w:rPr>
          <w:rFonts w:ascii="Cambria" w:hAnsi="Cambria" w:cs="Calibri Light"/>
          <w:sz w:val="22"/>
          <w:szCs w:val="22"/>
          <w:lang w:val="en-GB"/>
        </w:rPr>
        <w:t>Considering the current amount of information and narrative explanations comprised in the PRIIPs KID, it would not have added value for retail savers to include another warning on the relationship between past and future performance – nor can such a relationship be concisely enough explained (one or two sentences).</w:t>
      </w:r>
    </w:p>
    <w:p w14:paraId="1513D34A" w14:textId="21144AAB" w:rsidR="003E573C" w:rsidRDefault="00940AE1" w:rsidP="00940AE1">
      <w:pPr>
        <w:rPr>
          <w:rFonts w:cs="Arial"/>
        </w:rPr>
      </w:pPr>
      <w:r w:rsidRPr="00EA136C">
        <w:rPr>
          <w:rFonts w:ascii="Cambria" w:hAnsi="Cambria" w:cs="Calibri Light"/>
          <w:sz w:val="22"/>
          <w:szCs w:val="22"/>
        </w:rPr>
        <w:t>Therefore, BETTER FINANCE opposes such an addition.</w:t>
      </w:r>
      <w:r>
        <w:rPr>
          <w:rFonts w:ascii="Cambria" w:hAnsi="Cambria" w:cs="Calibri Light"/>
          <w:sz w:val="22"/>
          <w:szCs w:val="22"/>
        </w:rPr>
        <w:t xml:space="preserve"> </w:t>
      </w:r>
      <w:r w:rsidRPr="00EB1D79">
        <w:rPr>
          <w:rFonts w:ascii="Cambria" w:hAnsi="Cambria" w:cstheme="majorHAnsi"/>
          <w:sz w:val="22"/>
          <w:szCs w:val="22"/>
        </w:rPr>
        <w:t xml:space="preserve">Moreover, as stated in the answer to question 1, </w:t>
      </w:r>
      <w:r>
        <w:rPr>
          <w:rFonts w:ascii="Cambria" w:hAnsi="Cambria" w:cstheme="majorHAnsi"/>
          <w:sz w:val="22"/>
          <w:szCs w:val="22"/>
        </w:rPr>
        <w:t>we deem it also important for the ESAs to use the already available behavioural insights and behavioural experiments undertaken by some of the competent authorities as to the effectiveness of too long disclosures.</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lastRenderedPageBreak/>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32"/>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35F30BC3" w14:textId="18308F43" w:rsidR="00361420" w:rsidRPr="00361420" w:rsidRDefault="00361420" w:rsidP="00361420">
      <w:pPr>
        <w:pStyle w:val="Default"/>
        <w:spacing w:before="120"/>
        <w:jc w:val="both"/>
        <w:rPr>
          <w:rFonts w:ascii="Cambria" w:hAnsi="Cambria" w:cs="Calibri Light"/>
          <w:sz w:val="22"/>
          <w:szCs w:val="22"/>
          <w:lang w:val="en-GB"/>
        </w:rPr>
      </w:pPr>
      <w:permStart w:id="1708064826" w:edGrp="everyone"/>
      <w:r w:rsidRPr="00361420">
        <w:rPr>
          <w:rFonts w:ascii="Cambria" w:hAnsi="Cambria" w:cs="Calibri Light"/>
          <w:sz w:val="22"/>
          <w:szCs w:val="22"/>
          <w:lang w:val="en-GB"/>
        </w:rPr>
        <w:t>We believe that the recent (April 2019) ESMA Q&amp;As on UCITS (in relation to the past performance presented in the KIID) addressing the issues raised by Article 7(1)(d) of the KIID Regulation of when a UCITS/AIF is managed in reference to a benchmark are sufficiently clear, prescriptive and identify precisely the practical issues arising from the obligation to disclose the benchmark and publish its past performance along that of the UCITS/AIF.</w:t>
      </w:r>
    </w:p>
    <w:p w14:paraId="7F2061E9" w14:textId="1399DB45" w:rsidR="003E573C" w:rsidRDefault="00361420" w:rsidP="00361420">
      <w:pPr>
        <w:rPr>
          <w:rFonts w:cs="Arial"/>
        </w:rPr>
      </w:pPr>
      <w:r>
        <w:rPr>
          <w:rFonts w:ascii="Cambria" w:hAnsi="Cambria" w:cs="Calibri Light"/>
          <w:sz w:val="22"/>
          <w:szCs w:val="22"/>
        </w:rPr>
        <w:t>However, as we indicated in the ESMA Public Consultation on Performance Fees, divergent practices at national level require directly enforceable provisions from the ESAs, not merely soft law. Therefore, while there is no need to expand the guidelines identified by ESMA, it would be beneficial to award those with a stronger legal force and include them in the Level 2 legislation on PRIIPs</w:t>
      </w:r>
      <w:r>
        <w:rPr>
          <w:rFonts w:cs="Arial"/>
        </w:rPr>
        <w:t>.</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1D204DA9" w:rsidR="003E573C" w:rsidRDefault="00DB1895" w:rsidP="003E573C">
      <w:pPr>
        <w:rPr>
          <w:rFonts w:cs="Arial"/>
        </w:rPr>
      </w:pPr>
      <w:permStart w:id="1802452064" w:edGrp="everyone"/>
      <w:r>
        <w:rPr>
          <w:rFonts w:cs="Arial"/>
        </w:rPr>
        <w:t>Yes, see answer to Question 7 above.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00A03A1E" w:rsidR="003E573C" w:rsidRPr="0088531A" w:rsidRDefault="0088531A" w:rsidP="003E573C">
      <w:pPr>
        <w:rPr>
          <w:rFonts w:asciiTheme="majorHAnsi" w:hAnsiTheme="majorHAnsi" w:cs="Arial"/>
        </w:rPr>
      </w:pPr>
      <w:permStart w:id="1498437863" w:edGrp="everyone"/>
      <w:r>
        <w:rPr>
          <w:rFonts w:cs="Arial"/>
        </w:rPr>
        <w:t xml:space="preserve">Yes, the answer to </w:t>
      </w:r>
      <w:r>
        <w:rPr>
          <w:rFonts w:asciiTheme="majorHAnsi" w:hAnsiTheme="majorHAnsi" w:cs="Arial"/>
        </w:rPr>
        <w:t>Question 7 above answers this question as well.</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0F9D0CF2" w14:textId="739A049E" w:rsidR="007072D9" w:rsidRPr="007072D9" w:rsidRDefault="007072D9" w:rsidP="007072D9">
      <w:pPr>
        <w:pStyle w:val="Default"/>
        <w:spacing w:before="120"/>
        <w:jc w:val="both"/>
        <w:rPr>
          <w:rFonts w:ascii="Cambria" w:hAnsi="Cambria" w:cstheme="majorHAnsi"/>
          <w:sz w:val="22"/>
          <w:szCs w:val="22"/>
          <w:lang w:val="en-GB"/>
        </w:rPr>
      </w:pPr>
      <w:permStart w:id="621350576" w:edGrp="everyone"/>
      <w:r w:rsidRPr="007072D9">
        <w:rPr>
          <w:rFonts w:ascii="Cambria" w:hAnsi="Cambria" w:cstheme="majorHAnsi"/>
          <w:sz w:val="22"/>
          <w:szCs w:val="22"/>
          <w:lang w:val="en-GB"/>
        </w:rPr>
        <w:t xml:space="preserve">BETTER FINANCE strongly advises the ESAs to consider either standardising the recommended holding periods or harmonising an intermediary point which would be common to all products. Presenting an average cost figure, as proposed in the Consultation Paper, would not improve the aspect of </w:t>
      </w:r>
      <w:r w:rsidRPr="007072D9">
        <w:rPr>
          <w:rFonts w:ascii="Cambria" w:hAnsi="Cambria" w:cstheme="majorHAnsi"/>
          <w:sz w:val="22"/>
          <w:szCs w:val="22"/>
          <w:lang w:val="en-GB"/>
        </w:rPr>
        <w:lastRenderedPageBreak/>
        <w:t>comparability at all, but would have the adverse effect of diluting costs over time and misleading investors to more long-term products without taking into account suitability.</w:t>
      </w:r>
    </w:p>
    <w:p w14:paraId="1B22C94D" w14:textId="65F498E2" w:rsidR="003E573C" w:rsidRDefault="007072D9" w:rsidP="007072D9">
      <w:pPr>
        <w:jc w:val="both"/>
        <w:rPr>
          <w:rFonts w:cs="Arial"/>
        </w:rPr>
      </w:pPr>
      <w:r w:rsidRPr="00B822E4">
        <w:rPr>
          <w:rFonts w:ascii="Cambria" w:hAnsi="Cambria" w:cstheme="majorHAnsi"/>
          <w:sz w:val="22"/>
          <w:szCs w:val="22"/>
        </w:rPr>
        <w:t xml:space="preserve">The ESAs have correctly identified that presenting too many cost figures may lead to information overload, reason for which we </w:t>
      </w:r>
      <w:r w:rsidRPr="00EB1D79">
        <w:rPr>
          <w:rFonts w:ascii="Cambria" w:hAnsi="Cambria" w:cstheme="majorHAnsi"/>
          <w:b/>
          <w:bCs/>
          <w:sz w:val="22"/>
          <w:szCs w:val="22"/>
        </w:rPr>
        <w:t xml:space="preserve">suggest to </w:t>
      </w:r>
      <w:r w:rsidRPr="00B822E4">
        <w:rPr>
          <w:rFonts w:ascii="Cambria" w:hAnsi="Cambria" w:cstheme="majorHAnsi"/>
          <w:sz w:val="22"/>
          <w:szCs w:val="22"/>
        </w:rPr>
        <w:t xml:space="preserve">keep the summary cost indicator </w:t>
      </w:r>
      <w:r>
        <w:rPr>
          <w:rFonts w:ascii="Cambria" w:hAnsi="Cambria" w:cstheme="majorHAnsi"/>
          <w:sz w:val="22"/>
          <w:szCs w:val="22"/>
        </w:rPr>
        <w:t>simple and understandable. Therefore, the ESAs should prescribe only the second option.</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765630C" w14:textId="77777777" w:rsidR="006972F9" w:rsidRPr="006972F9" w:rsidRDefault="006972F9" w:rsidP="007B5387">
      <w:pPr>
        <w:pStyle w:val="Default"/>
        <w:spacing w:before="120"/>
        <w:jc w:val="both"/>
        <w:rPr>
          <w:rFonts w:ascii="Cambria" w:hAnsi="Cambria" w:cstheme="majorHAnsi"/>
          <w:sz w:val="22"/>
          <w:szCs w:val="22"/>
          <w:lang w:val="en-GB"/>
        </w:rPr>
      </w:pPr>
      <w:permStart w:id="354879508" w:edGrp="everyone"/>
      <w:r w:rsidRPr="006972F9">
        <w:rPr>
          <w:rFonts w:ascii="Cambria" w:hAnsi="Cambria" w:cstheme="majorHAnsi"/>
          <w:sz w:val="22"/>
          <w:szCs w:val="22"/>
          <w:lang w:val="en-GB"/>
        </w:rPr>
        <w:t>Yes, costs must be presented both in percentage (%) and monetary terms for the retail investor. Concerning the correlation with the MiFID II disclosure, which is actual costs charged by the product manufacturer, the misalignment is not addressed by merely including costs in percentage terms. Moreover, this is not merely a policy preference of BETTER FINANCE, but the actual requirement in the PRIIPs Regulation, Article 8(3)(f).</w:t>
      </w:r>
    </w:p>
    <w:p w14:paraId="0795B747" w14:textId="77777777" w:rsidR="006972F9" w:rsidRPr="006972F9" w:rsidRDefault="006972F9" w:rsidP="007B5387">
      <w:pPr>
        <w:pStyle w:val="Default"/>
        <w:spacing w:before="120"/>
        <w:jc w:val="both"/>
        <w:rPr>
          <w:rFonts w:ascii="Cambria" w:hAnsi="Cambria" w:cstheme="majorHAnsi"/>
          <w:sz w:val="22"/>
          <w:szCs w:val="22"/>
          <w:lang w:val="en-GB"/>
        </w:rPr>
      </w:pPr>
      <w:r w:rsidRPr="006972F9">
        <w:rPr>
          <w:rFonts w:ascii="Cambria" w:hAnsi="Cambria" w:cstheme="majorHAnsi"/>
          <w:sz w:val="22"/>
          <w:szCs w:val="22"/>
          <w:lang w:val="en-GB"/>
        </w:rPr>
        <w:t>This constitutes a serious issue since many product manufacturers will (and are) disclosing “two sides of the same face” but in different figures. The ESAs should have analysed the disclosure requirements under MiFID II and align the PRIIPs provisions with the former, so as the information – whatever the source – about a financial product is the same.</w:t>
      </w:r>
    </w:p>
    <w:p w14:paraId="15A4D246" w14:textId="77777777" w:rsidR="006972F9" w:rsidRPr="006972F9" w:rsidRDefault="006972F9" w:rsidP="007B5387">
      <w:pPr>
        <w:pStyle w:val="Default"/>
        <w:spacing w:before="120"/>
        <w:jc w:val="both"/>
        <w:rPr>
          <w:rFonts w:ascii="Cambria" w:hAnsi="Cambria" w:cstheme="majorHAnsi"/>
          <w:sz w:val="22"/>
          <w:szCs w:val="22"/>
          <w:lang w:val="en-GB"/>
        </w:rPr>
      </w:pPr>
      <w:r w:rsidRPr="006972F9">
        <w:rPr>
          <w:rFonts w:ascii="Cambria" w:hAnsi="Cambria" w:cstheme="majorHAnsi"/>
          <w:sz w:val="22"/>
          <w:szCs w:val="22"/>
          <w:lang w:val="en-GB"/>
        </w:rPr>
        <w:t xml:space="preserve">In particular, MiFID II does not require product manufacturers to generate performance estimations to calculate costs, which gives completely different temporal dimensions to the presentation of fees and charges, albeit the fixed or pro-rata costs are the same. What is more, whereas MiFID II requires disclosure of the costs taken from the investment, PRIIPs discloses not the costs, but the </w:t>
      </w:r>
      <w:r w:rsidRPr="006972F9">
        <w:rPr>
          <w:rFonts w:ascii="Cambria" w:hAnsi="Cambria" w:cstheme="majorHAnsi"/>
          <w:b/>
          <w:bCs/>
          <w:i/>
          <w:iCs/>
          <w:sz w:val="22"/>
          <w:szCs w:val="22"/>
          <w:u w:val="single"/>
          <w:lang w:val="en-GB"/>
        </w:rPr>
        <w:t>impact on return</w:t>
      </w:r>
      <w:r w:rsidRPr="006972F9">
        <w:rPr>
          <w:rFonts w:ascii="Cambria" w:hAnsi="Cambria" w:cstheme="majorHAnsi"/>
          <w:sz w:val="22"/>
          <w:szCs w:val="22"/>
          <w:lang w:val="en-GB"/>
        </w:rPr>
        <w:t>, illustrated by a Reduction-in-Yield, due to costs.</w:t>
      </w:r>
    </w:p>
    <w:p w14:paraId="6F2372BC" w14:textId="77777777" w:rsidR="006972F9" w:rsidRPr="006972F9" w:rsidRDefault="006972F9" w:rsidP="007B5387">
      <w:pPr>
        <w:pStyle w:val="Default"/>
        <w:spacing w:before="120"/>
        <w:jc w:val="both"/>
        <w:rPr>
          <w:rFonts w:ascii="Cambria" w:hAnsi="Cambria" w:cstheme="majorHAnsi"/>
          <w:sz w:val="22"/>
          <w:szCs w:val="22"/>
          <w:lang w:val="en-GB"/>
        </w:rPr>
      </w:pPr>
      <w:r w:rsidRPr="006972F9">
        <w:rPr>
          <w:rFonts w:ascii="Cambria" w:hAnsi="Cambria" w:cstheme="majorHAnsi"/>
          <w:sz w:val="22"/>
          <w:szCs w:val="22"/>
          <w:lang w:val="en-GB"/>
        </w:rPr>
        <w:t>Therefore, this distinction is a conceptual difference imposed by EU law. We are happy, however, that the ESAs have informally manifested intent to solve the disclosure discrepancies between PRIIPs and MiFID II, but much more work – actually, a distinct review – would have been needed in order to address these abovementioned issues.</w:t>
      </w:r>
    </w:p>
    <w:p w14:paraId="0D82FF49" w14:textId="3DF5960D" w:rsidR="003E573C" w:rsidRDefault="006972F9" w:rsidP="003E573C">
      <w:pPr>
        <w:rPr>
          <w:rFonts w:cs="Arial"/>
        </w:rPr>
      </w:pPr>
      <w:r>
        <w:rPr>
          <w:rFonts w:ascii="Cambria" w:hAnsi="Cambria" w:cstheme="majorHAnsi"/>
          <w:sz w:val="22"/>
          <w:szCs w:val="22"/>
        </w:rPr>
        <w:t>Lastly, we also believe that the RiY is not calculated accordingly for the purposes of communicating information to retail savers. Individual, non-professional and small investors do not have extended knowledge or experience with financial products and, as such – on most occasions – lack a scale of size to determine whether the RiY, calculated as the difference in the gross and net internal rate of return, is large or not (in other words, whether the PRIIP is expensive or cheap). However, what is important is to show the cumulative effect or impact of costs on the gross return for the saver (see answer to Question 41 below).</w:t>
      </w:r>
      <w:permEnd w:id="354879508"/>
      <w:r w:rsidR="003E573C">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lastRenderedPageBreak/>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221E8166" w14:textId="77777777" w:rsidR="00FA46A7" w:rsidRPr="00FA46A7" w:rsidRDefault="00FA46A7" w:rsidP="00FA46A7">
      <w:pPr>
        <w:pStyle w:val="Default"/>
        <w:spacing w:before="120"/>
        <w:jc w:val="both"/>
        <w:rPr>
          <w:rFonts w:ascii="Cambria" w:hAnsi="Cambria" w:cstheme="majorHAnsi"/>
          <w:sz w:val="22"/>
          <w:szCs w:val="22"/>
          <w:lang w:val="en-GB"/>
        </w:rPr>
      </w:pPr>
      <w:permStart w:id="777852593" w:edGrp="everyone"/>
      <w:r w:rsidRPr="00FA46A7">
        <w:rPr>
          <w:rFonts w:ascii="Cambria" w:hAnsi="Cambria" w:cstheme="majorHAnsi"/>
          <w:sz w:val="22"/>
          <w:szCs w:val="22"/>
          <w:lang w:val="en-GB"/>
        </w:rPr>
        <w:t>We do not agree with Option 3 – instead, BETTER FINANCE advises the ESAs to choose Option 4. First, removing the cost figures in monetary terms from any cost disclosure – at the moment – is undesirable especially taking into account the general low level of understanding or knowledge of individual, non-professional savers of percentages and compounding terms in financial services. As such, monetary terms must be kept in all PRIIPs costs disclosures.</w:t>
      </w:r>
    </w:p>
    <w:p w14:paraId="0756E1B4" w14:textId="77777777" w:rsidR="00FA46A7" w:rsidRPr="00FA46A7" w:rsidRDefault="00FA46A7" w:rsidP="00FA46A7">
      <w:pPr>
        <w:pStyle w:val="Default"/>
        <w:spacing w:before="120"/>
        <w:jc w:val="both"/>
        <w:rPr>
          <w:rFonts w:ascii="Cambria" w:hAnsi="Cambria" w:cstheme="majorHAnsi"/>
          <w:sz w:val="22"/>
          <w:szCs w:val="22"/>
          <w:lang w:val="en-GB"/>
        </w:rPr>
      </w:pPr>
      <w:r w:rsidRPr="00FA46A7">
        <w:rPr>
          <w:rFonts w:ascii="Cambria" w:hAnsi="Cambria" w:cstheme="majorHAnsi"/>
          <w:sz w:val="22"/>
          <w:szCs w:val="22"/>
          <w:lang w:val="en-GB"/>
        </w:rPr>
        <w:t>Second, Option 3 extends the amount of information presented in the breakdown of costs and runs counter the stated risk of information overload – recognised even by the ESAs on page 36 concerning the summary cost indicator. We do not believe that in a short and concise document as the KID additional explanations or details on the costs breakdown or categories is needed for the moment.</w:t>
      </w:r>
    </w:p>
    <w:p w14:paraId="2B1D59FC" w14:textId="77777777" w:rsidR="00FA46A7" w:rsidRPr="00FA46A7" w:rsidRDefault="00FA46A7" w:rsidP="00FA46A7">
      <w:pPr>
        <w:pStyle w:val="Default"/>
        <w:spacing w:before="120"/>
        <w:jc w:val="both"/>
        <w:rPr>
          <w:rFonts w:ascii="Cambria" w:hAnsi="Cambria" w:cstheme="majorHAnsi"/>
          <w:sz w:val="22"/>
          <w:szCs w:val="22"/>
          <w:lang w:val="en-GB"/>
        </w:rPr>
      </w:pPr>
      <w:r w:rsidRPr="00FA46A7">
        <w:rPr>
          <w:rFonts w:ascii="Cambria" w:hAnsi="Cambria" w:cstheme="majorHAnsi"/>
          <w:sz w:val="22"/>
          <w:szCs w:val="22"/>
          <w:lang w:val="en-GB"/>
        </w:rPr>
        <w:t>Last, the proposal for Option 3 adds four more figures per cost categories (assumedly, after 1 year and at an intermediary point in time) which will purely replicate the misleading, confusing and otherwise detrimental effects generated by the summary cost indicator (RiY) of Table 1.</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0623EBE" w14:textId="77777777" w:rsidR="002F486B" w:rsidRPr="002F486B" w:rsidRDefault="002F486B" w:rsidP="002F486B">
      <w:pPr>
        <w:pStyle w:val="Default"/>
        <w:spacing w:before="120"/>
        <w:jc w:val="both"/>
        <w:rPr>
          <w:rFonts w:ascii="Cambria" w:hAnsi="Cambria" w:cstheme="majorHAnsi"/>
          <w:sz w:val="22"/>
          <w:szCs w:val="22"/>
          <w:lang w:val="en-GB"/>
        </w:rPr>
      </w:pPr>
      <w:permStart w:id="1928422042" w:edGrp="everyone"/>
      <w:r w:rsidRPr="002F486B">
        <w:rPr>
          <w:rFonts w:ascii="Cambria" w:hAnsi="Cambria" w:cstheme="majorHAnsi"/>
          <w:sz w:val="22"/>
          <w:szCs w:val="22"/>
          <w:lang w:val="en-GB"/>
        </w:rPr>
        <w:t>The purpose of the KID is to be simple and concise, reason for which we prefer (out of the four presented) Option 4, with the amendment that costs in percentage terms should also be presented.</w:t>
      </w:r>
    </w:p>
    <w:p w14:paraId="340DF2DD" w14:textId="77777777" w:rsidR="002F486B" w:rsidRPr="002F486B" w:rsidRDefault="002F486B" w:rsidP="002F486B">
      <w:pPr>
        <w:pStyle w:val="Default"/>
        <w:spacing w:before="120"/>
        <w:jc w:val="both"/>
        <w:rPr>
          <w:rFonts w:ascii="Cambria" w:hAnsi="Cambria" w:cstheme="majorHAnsi"/>
          <w:sz w:val="22"/>
          <w:szCs w:val="22"/>
          <w:lang w:val="en-GB"/>
        </w:rPr>
      </w:pPr>
      <w:r w:rsidRPr="002F486B">
        <w:rPr>
          <w:rFonts w:ascii="Cambria" w:hAnsi="Cambria" w:cstheme="majorHAnsi"/>
          <w:sz w:val="22"/>
          <w:szCs w:val="22"/>
          <w:lang w:val="en-GB"/>
        </w:rPr>
        <w:t>The additional explanations should be removed, and product manufacturers can make a cross reference underneath the table to the Prospectus or the source where the retail saver can obtain more information about the description and structure of each category of cost.</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32FBFF0C" w14:textId="77777777" w:rsidR="0017002F" w:rsidRPr="0017002F" w:rsidRDefault="0017002F" w:rsidP="0017002F">
      <w:pPr>
        <w:pStyle w:val="Default"/>
        <w:spacing w:before="120"/>
        <w:jc w:val="both"/>
        <w:rPr>
          <w:rFonts w:ascii="Cambria" w:hAnsi="Cambria" w:cstheme="majorHAnsi"/>
          <w:sz w:val="22"/>
          <w:szCs w:val="22"/>
          <w:lang w:val="en-GB"/>
        </w:rPr>
      </w:pPr>
      <w:permStart w:id="855140723" w:edGrp="everyone"/>
      <w:r w:rsidRPr="0017002F">
        <w:rPr>
          <w:rFonts w:ascii="Cambria" w:hAnsi="Cambria" w:cstheme="majorHAnsi"/>
          <w:sz w:val="22"/>
          <w:szCs w:val="22"/>
          <w:lang w:val="en-GB"/>
        </w:rPr>
        <w:t>A more meaningful manner to present the impact of costs would have been to display the cumulative reduction of the gross return due to costs, such as: gross performance (before costs): 175%; net performance (after costs): 125% =&gt; cumulative reduction due to costs of 50 percentage points out of the total profit, which represents 66%, or 6€ out of 10€.</w:t>
      </w:r>
    </w:p>
    <w:p w14:paraId="087436D8" w14:textId="77777777" w:rsidR="0017002F" w:rsidRPr="0017002F" w:rsidRDefault="0017002F" w:rsidP="0017002F">
      <w:pPr>
        <w:pStyle w:val="Default"/>
        <w:spacing w:before="120" w:after="120"/>
        <w:jc w:val="both"/>
        <w:rPr>
          <w:rFonts w:ascii="Cambria" w:hAnsi="Cambria" w:cstheme="majorHAnsi"/>
          <w:sz w:val="22"/>
          <w:szCs w:val="22"/>
          <w:lang w:val="en-GB"/>
        </w:rPr>
      </w:pPr>
      <w:r w:rsidRPr="0017002F">
        <w:rPr>
          <w:rFonts w:ascii="Cambria" w:hAnsi="Cambria" w:cstheme="majorHAnsi"/>
          <w:sz w:val="22"/>
          <w:szCs w:val="22"/>
          <w:lang w:val="en-GB"/>
        </w:rPr>
        <w:t>This would give a better understanding of the scale size of costs for retail investors, rather than a difference between the annualized gross and net returns at different periods.</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0FFA23F8" w14:textId="77777777" w:rsidR="002507C9" w:rsidRPr="002507C9" w:rsidRDefault="002507C9" w:rsidP="002507C9">
      <w:pPr>
        <w:pStyle w:val="Default"/>
        <w:spacing w:before="120"/>
        <w:jc w:val="both"/>
        <w:rPr>
          <w:rFonts w:ascii="Cambria" w:hAnsi="Cambria" w:cstheme="majorHAnsi"/>
          <w:sz w:val="22"/>
          <w:szCs w:val="22"/>
          <w:lang w:val="en-GB"/>
        </w:rPr>
      </w:pPr>
      <w:permStart w:id="1223957116" w:edGrp="everyone"/>
      <w:r w:rsidRPr="002507C9">
        <w:rPr>
          <w:rFonts w:ascii="Cambria" w:hAnsi="Cambria" w:cstheme="majorHAnsi"/>
          <w:sz w:val="22"/>
          <w:szCs w:val="22"/>
          <w:lang w:val="en-GB"/>
        </w:rPr>
        <w:lastRenderedPageBreak/>
        <w:t>Yes: we reiterate our call to remove this incomprehensible and confusing Reduction-in-Yield measurement at different holding periods, based on an undisclosed performance scenario, and replace it with actual costs, as is currently the case with UCITS KIID, or with the contractual costs. For those products to which costs are an unknown aspect before conclusion of the contract, the KID should clearly mention “</w:t>
      </w:r>
      <w:r w:rsidRPr="002507C9">
        <w:rPr>
          <w:rFonts w:ascii="Cambria" w:hAnsi="Cambria" w:cstheme="majorHAnsi"/>
          <w:b/>
          <w:bCs/>
          <w:i/>
          <w:iCs/>
          <w:sz w:val="22"/>
          <w:szCs w:val="22"/>
          <w:lang w:val="en-GB"/>
        </w:rPr>
        <w:t>unknown</w:t>
      </w:r>
      <w:r w:rsidRPr="002507C9">
        <w:rPr>
          <w:rFonts w:ascii="Cambria" w:hAnsi="Cambria" w:cstheme="majorHAnsi"/>
          <w:sz w:val="22"/>
          <w:szCs w:val="22"/>
          <w:lang w:val="en-GB"/>
        </w:rPr>
        <w:t>” instead of producing estimates.</w:t>
      </w:r>
    </w:p>
    <w:p w14:paraId="0A428BA8" w14:textId="77777777" w:rsidR="002507C9" w:rsidRPr="002507C9" w:rsidRDefault="002507C9" w:rsidP="002507C9">
      <w:pPr>
        <w:pStyle w:val="Default"/>
        <w:spacing w:before="120"/>
        <w:jc w:val="both"/>
        <w:rPr>
          <w:rFonts w:asciiTheme="majorHAnsi" w:hAnsiTheme="majorHAnsi" w:cstheme="majorHAnsi"/>
          <w:sz w:val="22"/>
          <w:szCs w:val="22"/>
          <w:lang w:val="en-GB"/>
        </w:rPr>
      </w:pPr>
      <w:r w:rsidRPr="002507C9">
        <w:rPr>
          <w:rFonts w:ascii="Cambria" w:hAnsi="Cambria" w:cstheme="majorHAnsi"/>
          <w:sz w:val="22"/>
          <w:szCs w:val="22"/>
          <w:lang w:val="en-GB"/>
        </w:rPr>
        <w:t>The introduction of the RiY does not necessitate a review of Level 1 as it is a pure discretionary choice of the EC and of the ESAs. According to the relevant provision in the PRIIPs Regulation, the KID must only disclose costs “</w:t>
      </w:r>
      <w:r w:rsidRPr="002507C9">
        <w:rPr>
          <w:rFonts w:asciiTheme="majorHAnsi" w:hAnsiTheme="majorHAnsi" w:cstheme="majorHAnsi"/>
          <w:i/>
          <w:iCs/>
          <w:sz w:val="22"/>
          <w:szCs w:val="22"/>
          <w:lang w:val="en-GB"/>
        </w:rPr>
        <w:t xml:space="preserve">by means of summary indicators and </w:t>
      </w:r>
      <w:r w:rsidRPr="002507C9">
        <w:rPr>
          <w:rFonts w:ascii="Cambria" w:hAnsi="Cambria" w:cstheme="majorHAnsi"/>
          <w:sz w:val="22"/>
          <w:szCs w:val="22"/>
          <w:lang w:val="en-GB"/>
        </w:rPr>
        <w:t xml:space="preserve">[…] </w:t>
      </w:r>
      <w:r w:rsidRPr="002507C9">
        <w:rPr>
          <w:rFonts w:asciiTheme="majorHAnsi" w:hAnsiTheme="majorHAnsi" w:cstheme="majorHAnsi"/>
          <w:i/>
          <w:iCs/>
          <w:sz w:val="22"/>
          <w:szCs w:val="22"/>
          <w:lang w:val="en-GB"/>
        </w:rPr>
        <w:t>total aggregated costs</w:t>
      </w:r>
      <w:r w:rsidRPr="002507C9">
        <w:rPr>
          <w:rFonts w:ascii="Cambria" w:hAnsi="Cambria" w:cstheme="majorHAnsi"/>
          <w:sz w:val="22"/>
          <w:szCs w:val="22"/>
          <w:lang w:val="en-GB"/>
        </w:rPr>
        <w:t>”. As such, modifying the manner to calculate and present costs may prove the simplest task of the ESAs in this Level 2 review process.</w:t>
      </w:r>
      <w:r w:rsidRPr="002507C9">
        <w:rPr>
          <w:rFonts w:asciiTheme="majorHAnsi" w:hAnsiTheme="majorHAnsi" w:cstheme="majorHAnsi"/>
          <w:sz w:val="22"/>
          <w:szCs w:val="22"/>
          <w:lang w:val="en-GB"/>
        </w:rPr>
        <w:t xml:space="preserve"> </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1A916D06" w14:textId="77777777" w:rsidR="002326C7" w:rsidRPr="00F82A52" w:rsidRDefault="002326C7" w:rsidP="002326C7">
      <w:pPr>
        <w:spacing w:before="240"/>
        <w:jc w:val="both"/>
        <w:rPr>
          <w:rFonts w:ascii="Cambria" w:hAnsi="Cambria"/>
          <w:color w:val="000000" w:themeColor="text1"/>
          <w:sz w:val="22"/>
          <w:szCs w:val="22"/>
        </w:rPr>
      </w:pPr>
      <w:permStart w:id="1305246923" w:edGrp="everyone"/>
      <w:r>
        <w:rPr>
          <w:rFonts w:ascii="Cambria" w:hAnsi="Cambria"/>
          <w:color w:val="000000" w:themeColor="text1"/>
        </w:rPr>
        <w:t>BETTER FINANCE believes that transaction costs should be eliminated since they represent an implicit (theoretical) market impact on the trade and for the return of the retail investor. BETTER FINANCE proposes to replace this cost indication (which is not actually a cost) by the portfolio turnover rate (where available) as a proxy for the product manager’s activity.</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44F6BCD6" w14:textId="77777777" w:rsidR="00C23254" w:rsidRPr="00C23254" w:rsidRDefault="00C23254" w:rsidP="00C23254">
      <w:pPr>
        <w:pStyle w:val="Default"/>
        <w:spacing w:before="240" w:after="240"/>
        <w:jc w:val="both"/>
        <w:rPr>
          <w:rFonts w:ascii="Cambria" w:hAnsi="Cambria" w:cstheme="majorHAnsi"/>
          <w:sz w:val="22"/>
          <w:szCs w:val="22"/>
          <w:lang w:val="en-GB"/>
        </w:rPr>
      </w:pPr>
      <w:permStart w:id="700270871" w:edGrp="everyone"/>
      <w:r w:rsidRPr="00C23254">
        <w:rPr>
          <w:rFonts w:ascii="Cambria" w:hAnsi="Cambria" w:cstheme="majorHAnsi"/>
          <w:sz w:val="22"/>
          <w:szCs w:val="22"/>
          <w:lang w:val="en-GB"/>
        </w:rPr>
        <w:t>BETTER FINANCE reiterates its position that the UCITS KIID is an example of proper pre-contractual disclosure for investment products and advises the ESAs to take the opportunity to keep in place this document since it will be the last source (for a part of the market only – UCITS and some AIFs) of actual performance and costs data.</w:t>
      </w:r>
    </w:p>
    <w:p w14:paraId="48B7407F" w14:textId="77777777" w:rsidR="00C23254" w:rsidRPr="00C23254" w:rsidRDefault="00C23254" w:rsidP="00C23254">
      <w:pPr>
        <w:pStyle w:val="Default"/>
        <w:spacing w:before="120" w:after="120"/>
        <w:jc w:val="both"/>
        <w:rPr>
          <w:rFonts w:ascii="Cambria" w:hAnsi="Cambria" w:cstheme="majorHAnsi"/>
          <w:sz w:val="22"/>
          <w:szCs w:val="22"/>
          <w:lang w:val="en-GB"/>
        </w:rPr>
      </w:pPr>
      <w:r w:rsidRPr="00C23254">
        <w:rPr>
          <w:rFonts w:ascii="Cambria" w:hAnsi="Cambria" w:cstheme="majorHAnsi"/>
          <w:sz w:val="22"/>
          <w:szCs w:val="22"/>
          <w:lang w:val="en-GB"/>
        </w:rPr>
        <w:t>Therefore, professional investors should receive only the UCITS KIID, and retail investors should have the possibility to opt-out from the UCITS PRIIPs KID.</w:t>
      </w:r>
    </w:p>
    <w:p w14:paraId="39323169" w14:textId="77777777" w:rsidR="00C23254" w:rsidRPr="00C23254" w:rsidRDefault="00C23254" w:rsidP="00C23254">
      <w:pPr>
        <w:pStyle w:val="Default"/>
        <w:spacing w:before="120" w:after="120"/>
        <w:jc w:val="both"/>
        <w:rPr>
          <w:rFonts w:ascii="Cambria" w:hAnsi="Cambria" w:cstheme="majorHAnsi"/>
          <w:sz w:val="22"/>
          <w:szCs w:val="22"/>
          <w:lang w:val="en-GB"/>
        </w:rPr>
      </w:pPr>
      <w:r w:rsidRPr="00C23254">
        <w:rPr>
          <w:rFonts w:ascii="Cambria" w:hAnsi="Cambria" w:cstheme="majorHAnsi"/>
          <w:sz w:val="22"/>
          <w:szCs w:val="22"/>
          <w:lang w:val="en-GB"/>
        </w:rPr>
        <w:t>In absence of this standardised document, the ESAs will no longer be able to use documents prescribed by EU law to report on the cost and past performance of the retail investment products in their scope, nor to fulfil the objective of creating a public database and promote transparency.</w:t>
      </w:r>
    </w:p>
    <w:p w14:paraId="559E6ADA" w14:textId="77777777" w:rsidR="00C23254" w:rsidRPr="00C23254" w:rsidRDefault="00C23254" w:rsidP="00C23254">
      <w:pPr>
        <w:pStyle w:val="Default"/>
        <w:spacing w:before="120" w:after="120"/>
        <w:jc w:val="both"/>
        <w:rPr>
          <w:rFonts w:ascii="Cambria" w:hAnsi="Cambria" w:cstheme="majorHAnsi"/>
          <w:sz w:val="22"/>
          <w:szCs w:val="22"/>
          <w:lang w:val="en-GB"/>
        </w:rPr>
      </w:pPr>
      <w:r w:rsidRPr="00C23254">
        <w:rPr>
          <w:rFonts w:ascii="Cambria" w:hAnsi="Cambria" w:cstheme="majorHAnsi"/>
          <w:sz w:val="22"/>
          <w:szCs w:val="22"/>
          <w:lang w:val="en-GB"/>
        </w:rPr>
        <w:t xml:space="preserve">In absence of legislative changes in this regard, BETTER FINANCE proposes to the ESAs to introduce a specific provision in the PRIIPs Level 2 regulation by which retail investors can opt-out from the </w:t>
      </w:r>
      <w:r w:rsidRPr="00C23254">
        <w:rPr>
          <w:rFonts w:ascii="Cambria" w:hAnsi="Cambria" w:cstheme="majorHAnsi"/>
          <w:sz w:val="22"/>
          <w:szCs w:val="22"/>
          <w:lang w:val="en-GB"/>
        </w:rPr>
        <w:lastRenderedPageBreak/>
        <w:t>PRIIPs KID and be provided, instead, the UCITS KIID, which will be mandatorily disclosed only to professional investors.</w:t>
      </w:r>
    </w:p>
    <w:p w14:paraId="2888921F" w14:textId="77777777" w:rsidR="00C23254" w:rsidRDefault="00C23254" w:rsidP="003E573C">
      <w:pPr>
        <w:rPr>
          <w:rFonts w:ascii="Cambria" w:hAnsi="Cambria" w:cstheme="majorHAnsi"/>
          <w:sz w:val="22"/>
          <w:szCs w:val="22"/>
        </w:rPr>
      </w:pPr>
      <w:r>
        <w:rPr>
          <w:rFonts w:ascii="Cambria" w:hAnsi="Cambria" w:cstheme="majorHAnsi"/>
          <w:sz w:val="22"/>
          <w:szCs w:val="22"/>
        </w:rPr>
        <w:t>To circumstantiate, the right to opt-out should be in force for UCITS and AIFs either until the Level I PRIIPs review would be completed, or it should have a permanent nature (regardless of the result of the PRIIPs Level I review).</w:t>
      </w:r>
    </w:p>
    <w:permEnd w:id="700270871"/>
    <w:p w14:paraId="61A846AC" w14:textId="4E157724"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7058818" w14:textId="77777777" w:rsidR="006E45FC" w:rsidRPr="006E45FC" w:rsidRDefault="006E45FC" w:rsidP="007B5387">
      <w:pPr>
        <w:pStyle w:val="Default"/>
        <w:spacing w:before="120"/>
        <w:jc w:val="both"/>
        <w:rPr>
          <w:rFonts w:ascii="Cambria" w:hAnsi="Cambria" w:cstheme="majorHAnsi"/>
          <w:sz w:val="22"/>
          <w:szCs w:val="22"/>
          <w:lang w:val="en-GB"/>
        </w:rPr>
      </w:pPr>
      <w:permStart w:id="649920829" w:edGrp="everyone"/>
      <w:r w:rsidRPr="006E45FC">
        <w:rPr>
          <w:rFonts w:ascii="Cambria" w:hAnsi="Cambria" w:cstheme="majorHAnsi"/>
          <w:sz w:val="22"/>
          <w:szCs w:val="22"/>
          <w:lang w:val="en-GB"/>
        </w:rPr>
        <w:t>The difference in wording between the Guidelines for UCITS and Article 13(4) PRIIPs Regulation is justified from the point of view of retail savers: whereas the UCITS KIID focuses on past data – which the investor already received before entering the contract – the PRIIPs KID shows future costs and returns, reason for which it is necessary to re-communicate them.</w:t>
      </w:r>
    </w:p>
    <w:p w14:paraId="0A42F516" w14:textId="77777777" w:rsidR="006E45FC" w:rsidRPr="006E45FC" w:rsidRDefault="006E45FC" w:rsidP="007B5387">
      <w:pPr>
        <w:pStyle w:val="Default"/>
        <w:spacing w:before="120"/>
        <w:jc w:val="both"/>
        <w:rPr>
          <w:rFonts w:ascii="Cambria" w:hAnsi="Cambria" w:cstheme="majorHAnsi"/>
          <w:sz w:val="22"/>
          <w:szCs w:val="22"/>
          <w:lang w:val="en-GB"/>
        </w:rPr>
      </w:pPr>
      <w:r w:rsidRPr="006E45FC">
        <w:rPr>
          <w:rFonts w:ascii="Cambria" w:hAnsi="Cambria" w:cstheme="majorHAnsi"/>
          <w:sz w:val="22"/>
          <w:szCs w:val="22"/>
          <w:lang w:val="en-GB"/>
        </w:rPr>
        <w:t>However, if substantial changes are made to either the KIID or KID, the retail client should be informed of them and receive again a KIID or KID. Delivery of the PRIIPs KID should also consider whether the additional investments form a new contract, subscribe a new PRIIP or change the already existing choices made with the current (past) PRIIP.</w:t>
      </w:r>
    </w:p>
    <w:p w14:paraId="45C103D7" w14:textId="77777777" w:rsidR="006E45FC" w:rsidRPr="006E45FC" w:rsidRDefault="006E45FC" w:rsidP="007B5387">
      <w:pPr>
        <w:pStyle w:val="Default"/>
        <w:spacing w:before="120"/>
        <w:jc w:val="both"/>
        <w:rPr>
          <w:rFonts w:ascii="Cambria" w:hAnsi="Cambria" w:cstheme="majorHAnsi"/>
          <w:sz w:val="22"/>
          <w:szCs w:val="22"/>
          <w:lang w:val="en-GB"/>
        </w:rPr>
      </w:pPr>
      <w:r w:rsidRPr="006E45FC">
        <w:rPr>
          <w:rFonts w:ascii="Cambria" w:hAnsi="Cambria" w:cstheme="majorHAnsi"/>
          <w:sz w:val="22"/>
          <w:szCs w:val="22"/>
          <w:lang w:val="en-GB"/>
        </w:rPr>
        <w:t xml:space="preserve">BETTER FINANCE is of the opinion that, considering the nature of the information disclosed in the PRIIPs KID (based on assumptions), changes to the initial subscription plan that do not affect the investment choice/ the composition of the product or its costs/ the risk profile/ the sector or focus of assets, but only non-essential elements (such as purely the investment amount) which do not give rise to a change in the treatment or contractual terms for the retail investor should not oblige the product manufacturer or person responsible </w:t>
      </w:r>
      <w:r w:rsidRPr="006E45FC">
        <w:rPr>
          <w:rFonts w:ascii="Cambria" w:hAnsi="Cambria" w:cstheme="majorHAnsi"/>
          <w:i/>
          <w:iCs/>
          <w:sz w:val="22"/>
          <w:szCs w:val="22"/>
          <w:lang w:val="en-GB"/>
        </w:rPr>
        <w:t>ex officio</w:t>
      </w:r>
      <w:r w:rsidRPr="006E45FC">
        <w:rPr>
          <w:rFonts w:ascii="Cambria" w:hAnsi="Cambria" w:cstheme="majorHAnsi"/>
          <w:sz w:val="22"/>
          <w:szCs w:val="22"/>
          <w:lang w:val="en-GB"/>
        </w:rPr>
        <w:t xml:space="preserve"> to send the new PRIIP KID.</w:t>
      </w:r>
    </w:p>
    <w:p w14:paraId="30EB46E4" w14:textId="77777777" w:rsidR="006E45FC" w:rsidRDefault="006E45FC" w:rsidP="003E573C">
      <w:pPr>
        <w:rPr>
          <w:rFonts w:ascii="Cambria" w:hAnsi="Cambria" w:cstheme="majorHAnsi"/>
          <w:sz w:val="22"/>
          <w:szCs w:val="22"/>
        </w:rPr>
      </w:pPr>
      <w:r>
        <w:rPr>
          <w:rFonts w:ascii="Cambria" w:hAnsi="Cambria" w:cstheme="majorHAnsi"/>
          <w:sz w:val="22"/>
          <w:szCs w:val="22"/>
        </w:rPr>
        <w:t>Based on the wording of Article 13(4) PRIIPs Regulation, we do not believe that it would be inconsistent with the current guidelines (Q2c &amp; A2c) for the UCITS Directive. Nevertheless, for reasons of legal certainty, the PRIIPs Level 2 implementing provisions should make these specifications.</w:t>
      </w:r>
    </w:p>
    <w:permEnd w:id="649920829"/>
    <w:p w14:paraId="18F6EFCE" w14:textId="6F5BD445"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53BA673E" w14:textId="70B58B03" w:rsidR="00054A78" w:rsidRDefault="00054A78" w:rsidP="003E573C">
      <w:pPr>
        <w:rPr>
          <w:rFonts w:cs="Arial"/>
        </w:rPr>
      </w:pPr>
      <w:permStart w:id="803234900" w:edGrp="everyone"/>
      <w:r w:rsidRPr="00253425">
        <w:rPr>
          <w:rFonts w:ascii="Cambria" w:hAnsi="Cambria" w:cstheme="majorHAnsi"/>
          <w:sz w:val="22"/>
          <w:szCs w:val="22"/>
        </w:rPr>
        <w:t>Yes, all PRIIPs should provide information (if available) concerning the share class, group of the management company, or identification codes, etc., in the KID</w:t>
      </w:r>
      <w:r>
        <w:rPr>
          <w:rFonts w:cs="Arial"/>
        </w:rPr>
        <w:t>.</w:t>
      </w:r>
    </w:p>
    <w:permEnd w:id="803234900"/>
    <w:p w14:paraId="69CE25B2" w14:textId="3D8288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6F8BB9FE" w:rsidR="003E573C" w:rsidRDefault="001B5554" w:rsidP="001B5554">
      <w:pPr>
        <w:jc w:val="both"/>
        <w:rPr>
          <w:rFonts w:cs="Arial"/>
        </w:rPr>
      </w:pPr>
      <w:permStart w:id="2127781944" w:edGrp="everyone"/>
      <w:r>
        <w:rPr>
          <w:rFonts w:ascii="Cambria" w:hAnsi="Cambria" w:cstheme="majorHAnsi"/>
          <w:sz w:val="22"/>
          <w:szCs w:val="22"/>
        </w:rPr>
        <w:t>Yes, the purpose of the KID is to be comprehensible and easy to read for the average saver, and signposting to a Glossary of Terms may enhance it, especially concerning complex products. Concerning the other requirements clarified by Questions 5 &amp; 7 of Section II of the UCITS Q&amp;A, BETTER FINANCE believes it would be beneficial to be also included for all PRIIPs.</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lastRenderedPageBreak/>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7038C758" w14:textId="39B1187B" w:rsidR="001E721B" w:rsidRPr="001E721B" w:rsidRDefault="001E721B" w:rsidP="001E721B">
      <w:pPr>
        <w:pStyle w:val="Default"/>
        <w:spacing w:before="120" w:after="120"/>
        <w:jc w:val="both"/>
        <w:rPr>
          <w:rFonts w:ascii="Cambria" w:hAnsi="Cambria" w:cstheme="majorHAnsi"/>
          <w:sz w:val="22"/>
          <w:szCs w:val="22"/>
          <w:lang w:val="en-GB"/>
        </w:rPr>
      </w:pPr>
      <w:permStart w:id="1746749030" w:edGrp="everyone"/>
      <w:r w:rsidRPr="001E721B">
        <w:rPr>
          <w:rFonts w:ascii="Cambria" w:hAnsi="Cambria" w:cstheme="majorHAnsi"/>
          <w:sz w:val="22"/>
          <w:szCs w:val="22"/>
          <w:lang w:val="en-GB"/>
        </w:rPr>
        <w:t>In light of the ongoing efforts of the ESAs and National Competent Authorities (NCAs) to combat closet indexing, we firmly support the proposal to include the provisions of Article 7 KIID Regulation (583/2010) in the KID, in particular in the past performance section (which should be included).</w:t>
      </w:r>
    </w:p>
    <w:p w14:paraId="4D446A63" w14:textId="77777777" w:rsidR="001E721B" w:rsidRPr="001E721B" w:rsidRDefault="001E721B" w:rsidP="001E721B">
      <w:pPr>
        <w:pStyle w:val="Default"/>
        <w:spacing w:before="120" w:after="120"/>
        <w:jc w:val="both"/>
        <w:rPr>
          <w:rFonts w:ascii="Cambria" w:hAnsi="Cambria" w:cstheme="majorHAnsi"/>
          <w:sz w:val="22"/>
          <w:szCs w:val="22"/>
          <w:lang w:val="en-GB"/>
        </w:rPr>
      </w:pPr>
      <w:r w:rsidRPr="001E721B">
        <w:rPr>
          <w:rFonts w:ascii="Cambria" w:hAnsi="Cambria" w:cstheme="majorHAnsi"/>
          <w:sz w:val="22"/>
          <w:szCs w:val="22"/>
          <w:lang w:val="en-GB"/>
        </w:rPr>
        <w:t>Comparisons with the benchmark fulfil the purpose of past performance, i.e. to show whether the product manufacturer has reached its stated investment objectives. In addition, when it is not related directly to a market index benchmark, provide the retail saver with meaningful comparison on the performance of the product manager. BETTER FINANCE has justified at-length this necessity on several occasions.</w:t>
      </w:r>
      <w:r>
        <w:rPr>
          <w:rStyle w:val="FootnoteReference"/>
          <w:rFonts w:ascii="Cambria" w:hAnsi="Cambria" w:cstheme="majorHAnsi"/>
          <w:sz w:val="22"/>
          <w:szCs w:val="22"/>
        </w:rPr>
        <w:footnoteReference w:id="33"/>
      </w:r>
    </w:p>
    <w:p w14:paraId="54B235B3" w14:textId="77777777" w:rsidR="001E721B" w:rsidRPr="001E721B" w:rsidRDefault="001E721B" w:rsidP="001E721B">
      <w:pPr>
        <w:pStyle w:val="Default"/>
        <w:spacing w:before="120" w:after="120"/>
        <w:jc w:val="both"/>
        <w:rPr>
          <w:rFonts w:ascii="Cambria" w:hAnsi="Cambria" w:cstheme="majorHAnsi"/>
          <w:sz w:val="22"/>
          <w:szCs w:val="22"/>
          <w:lang w:val="en-GB"/>
        </w:rPr>
      </w:pPr>
      <w:r w:rsidRPr="001E721B">
        <w:rPr>
          <w:rFonts w:ascii="Cambria" w:hAnsi="Cambria" w:cstheme="majorHAnsi"/>
          <w:sz w:val="22"/>
          <w:szCs w:val="22"/>
          <w:lang w:val="en-GB"/>
        </w:rPr>
        <w:t>The work of ESMA</w:t>
      </w:r>
      <w:r>
        <w:rPr>
          <w:rStyle w:val="FootnoteReference"/>
          <w:rFonts w:ascii="Cambria" w:hAnsi="Cambria" w:cstheme="majorHAnsi"/>
          <w:sz w:val="22"/>
          <w:szCs w:val="22"/>
        </w:rPr>
        <w:footnoteReference w:id="34"/>
      </w:r>
      <w:r w:rsidRPr="001E721B">
        <w:rPr>
          <w:rFonts w:ascii="Cambria" w:hAnsi="Cambria" w:cstheme="majorHAnsi"/>
          <w:sz w:val="22"/>
          <w:szCs w:val="22"/>
          <w:lang w:val="en-GB"/>
        </w:rPr>
        <w:t xml:space="preserve"> in clarifying the obligations for identifying products managed in reference to a benchmark will be key for this process and should be extended to all types of PRIIPs where such comparison is relevant for the retail saver.</w:t>
      </w:r>
    </w:p>
    <w:p w14:paraId="6581F830" w14:textId="026517A8" w:rsidR="003E573C" w:rsidRPr="001E721B" w:rsidRDefault="001E721B" w:rsidP="001E721B">
      <w:pPr>
        <w:pStyle w:val="Default"/>
        <w:spacing w:before="120" w:after="120"/>
        <w:jc w:val="both"/>
        <w:rPr>
          <w:rFonts w:ascii="Cambria" w:hAnsi="Cambria" w:cstheme="majorHAnsi"/>
          <w:sz w:val="22"/>
          <w:szCs w:val="22"/>
          <w:lang w:val="en-GB"/>
        </w:rPr>
      </w:pPr>
      <w:r w:rsidRPr="001E721B">
        <w:rPr>
          <w:rFonts w:ascii="Cambria" w:hAnsi="Cambria" w:cstheme="majorHAnsi"/>
          <w:sz w:val="22"/>
          <w:szCs w:val="22"/>
          <w:lang w:val="en-GB"/>
        </w:rPr>
        <w:t>Therefore, BETTER FINANCE supports including Articles 7, 9, 15-21 of the KIID Regulation in the PRIIPs implementing measures and extending their application to all PRIIPs (where relevant) – we are aware of the fact that some PRIIPs may have characteristics that do not mandate relevant publication of such information, but this must be decided on a case-by-case basis.</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29F1A65D" w14:textId="2DA4A8D5" w:rsidR="00063B61" w:rsidRPr="00063B61" w:rsidRDefault="00063B61" w:rsidP="00063B61">
      <w:pPr>
        <w:pStyle w:val="Default"/>
        <w:spacing w:before="120"/>
        <w:jc w:val="both"/>
        <w:rPr>
          <w:rFonts w:ascii="Cambria" w:hAnsi="Cambria" w:cstheme="majorHAnsi"/>
          <w:sz w:val="22"/>
          <w:szCs w:val="22"/>
          <w:lang w:val="en-GB"/>
        </w:rPr>
      </w:pPr>
      <w:permStart w:id="1857164361" w:edGrp="everyone"/>
      <w:r w:rsidRPr="00063B61">
        <w:rPr>
          <w:rFonts w:ascii="Cambria" w:hAnsi="Cambria" w:cstheme="majorHAnsi"/>
          <w:sz w:val="22"/>
          <w:szCs w:val="22"/>
          <w:lang w:val="en-GB"/>
        </w:rPr>
        <w:t>The ESAs rightfully noted that a generic KID, offering ranges of costs for MOPs, make it “</w:t>
      </w:r>
      <w:r w:rsidRPr="00063B61">
        <w:rPr>
          <w:rFonts w:asciiTheme="majorHAnsi" w:hAnsiTheme="majorHAnsi" w:cstheme="majorHAnsi"/>
          <w:i/>
          <w:iCs/>
          <w:sz w:val="22"/>
          <w:szCs w:val="22"/>
          <w:lang w:val="en-GB"/>
        </w:rPr>
        <w:t>difficult for the investor to identify the total costs related to a particular investment option</w:t>
      </w:r>
      <w:r w:rsidRPr="00063B61">
        <w:rPr>
          <w:rFonts w:asciiTheme="majorHAnsi" w:hAnsiTheme="majorHAnsi" w:cstheme="majorHAnsi"/>
          <w:sz w:val="22"/>
          <w:szCs w:val="22"/>
          <w:lang w:val="en-GB"/>
        </w:rPr>
        <w:t>”.</w:t>
      </w:r>
      <w:r w:rsidRPr="00E81319">
        <w:rPr>
          <w:rStyle w:val="FootnoteReference"/>
          <w:rFonts w:asciiTheme="majorHAnsi" w:hAnsiTheme="majorHAnsi" w:cstheme="majorHAnsi"/>
          <w:sz w:val="22"/>
          <w:szCs w:val="22"/>
        </w:rPr>
        <w:footnoteReference w:id="35"/>
      </w:r>
      <w:r w:rsidRPr="00063B61">
        <w:rPr>
          <w:rFonts w:asciiTheme="majorHAnsi" w:hAnsiTheme="majorHAnsi" w:cstheme="majorHAnsi"/>
          <w:sz w:val="22"/>
          <w:szCs w:val="22"/>
          <w:lang w:val="en-GB"/>
        </w:rPr>
        <w:t xml:space="preserve"> </w:t>
      </w:r>
      <w:r w:rsidRPr="00063B61">
        <w:rPr>
          <w:rFonts w:ascii="Cambria" w:hAnsi="Cambria" w:cstheme="majorHAnsi"/>
          <w:sz w:val="22"/>
          <w:szCs w:val="22"/>
          <w:lang w:val="en-GB"/>
        </w:rPr>
        <w:t>The purpose of the KID is to show the total aggregated cost of the investment product, i.e. the wrapper and the underlying supports, which is currently not the case for most MOPs. However, the ESAs have not mentioned other significant issues generated for retail savers using MOPs, described below.</w:t>
      </w:r>
    </w:p>
    <w:p w14:paraId="36880857" w14:textId="77777777" w:rsidR="00063B61" w:rsidRPr="00063B61" w:rsidRDefault="00063B61" w:rsidP="00063B61">
      <w:pPr>
        <w:pStyle w:val="Default"/>
        <w:spacing w:before="120"/>
        <w:jc w:val="both"/>
        <w:rPr>
          <w:rFonts w:ascii="Cambria" w:hAnsi="Cambria" w:cstheme="majorHAnsi"/>
          <w:sz w:val="22"/>
          <w:szCs w:val="22"/>
          <w:lang w:val="en-GB"/>
        </w:rPr>
      </w:pPr>
      <w:r w:rsidRPr="00063B61">
        <w:rPr>
          <w:rFonts w:ascii="Cambria" w:hAnsi="Cambria" w:cstheme="majorHAnsi"/>
          <w:sz w:val="22"/>
          <w:szCs w:val="22"/>
          <w:lang w:val="en-GB"/>
        </w:rPr>
        <w:t xml:space="preserve">Requiring the saver to use the different documents (generic KID and KIIs or PIS of the supports) to compute costs is on many instances impossible. First, the KID produces cost estimations and some </w:t>
      </w:r>
      <w:r w:rsidRPr="00063B61">
        <w:rPr>
          <w:rFonts w:ascii="Cambria" w:hAnsi="Cambria" w:cstheme="majorHAnsi"/>
          <w:sz w:val="22"/>
          <w:szCs w:val="22"/>
          <w:lang w:val="en-GB"/>
        </w:rPr>
        <w:lastRenderedPageBreak/>
        <w:t>PIS (product information sheets) for the underlying options use past costs, thus impossible to compute.</w:t>
      </w:r>
    </w:p>
    <w:p w14:paraId="1BB4C12F" w14:textId="77777777" w:rsidR="00063B61" w:rsidRPr="00063B61" w:rsidRDefault="00063B61" w:rsidP="00063B61">
      <w:pPr>
        <w:pStyle w:val="Default"/>
        <w:spacing w:before="120"/>
        <w:jc w:val="both"/>
        <w:rPr>
          <w:rFonts w:ascii="Cambria" w:hAnsi="Cambria" w:cstheme="majorHAnsi"/>
          <w:sz w:val="22"/>
          <w:szCs w:val="22"/>
          <w:lang w:val="en-GB"/>
        </w:rPr>
      </w:pPr>
      <w:r w:rsidRPr="00063B61">
        <w:rPr>
          <w:rFonts w:ascii="Cambria" w:hAnsi="Cambria" w:cstheme="majorHAnsi"/>
          <w:sz w:val="22"/>
          <w:szCs w:val="22"/>
          <w:lang w:val="en-GB"/>
        </w:rPr>
        <w:t xml:space="preserve">Second, it is very difficult to understand what is the cost of the wrapper (contract) and what are the costs of the underlying options due to the different disclosure (and aggregation) requirements between documents. </w:t>
      </w:r>
    </w:p>
    <w:p w14:paraId="0063D7CF" w14:textId="77777777" w:rsidR="00063B61" w:rsidRPr="00063B61" w:rsidRDefault="00063B61" w:rsidP="00063B61">
      <w:pPr>
        <w:pStyle w:val="Default"/>
        <w:spacing w:before="120"/>
        <w:jc w:val="both"/>
        <w:rPr>
          <w:rFonts w:ascii="Cambria" w:hAnsi="Cambria" w:cstheme="majorHAnsi"/>
          <w:sz w:val="22"/>
          <w:szCs w:val="22"/>
          <w:lang w:val="en-GB"/>
        </w:rPr>
      </w:pPr>
      <w:r w:rsidRPr="00063B61">
        <w:rPr>
          <w:rFonts w:ascii="Cambria" w:hAnsi="Cambria" w:cstheme="majorHAnsi"/>
          <w:sz w:val="22"/>
          <w:szCs w:val="22"/>
          <w:lang w:val="en-GB"/>
        </w:rPr>
        <w:t xml:space="preserve">Third, and </w:t>
      </w:r>
      <w:r w:rsidRPr="00063B61">
        <w:rPr>
          <w:rFonts w:ascii="Cambria" w:hAnsi="Cambria" w:cstheme="majorHAnsi"/>
          <w:b/>
          <w:bCs/>
          <w:sz w:val="22"/>
          <w:szCs w:val="22"/>
          <w:lang w:val="en-GB"/>
        </w:rPr>
        <w:t>most importantly</w:t>
      </w:r>
      <w:r w:rsidRPr="00063B61">
        <w:rPr>
          <w:rFonts w:ascii="Cambria" w:hAnsi="Cambria" w:cstheme="majorHAnsi"/>
          <w:sz w:val="22"/>
          <w:szCs w:val="22"/>
          <w:lang w:val="en-GB"/>
        </w:rPr>
        <w:t xml:space="preserve">, if the wrapper PRIIP would have a RHP of </w:t>
      </w:r>
      <w:r w:rsidRPr="00063B61">
        <w:rPr>
          <w:rFonts w:ascii="Cambria" w:hAnsi="Cambria" w:cstheme="majorHAnsi"/>
          <w:i/>
          <w:iCs/>
          <w:sz w:val="22"/>
          <w:szCs w:val="22"/>
          <w:u w:val="single"/>
          <w:lang w:val="en-GB"/>
        </w:rPr>
        <w:t>5 years</w:t>
      </w:r>
      <w:r w:rsidRPr="00063B61">
        <w:rPr>
          <w:rFonts w:ascii="Cambria" w:hAnsi="Cambria" w:cstheme="majorHAnsi"/>
          <w:sz w:val="22"/>
          <w:szCs w:val="22"/>
          <w:lang w:val="en-GB"/>
        </w:rPr>
        <w:t xml:space="preserve"> and the support would have a RHP of </w:t>
      </w:r>
      <w:r w:rsidRPr="00063B61">
        <w:rPr>
          <w:rFonts w:ascii="Cambria" w:hAnsi="Cambria" w:cstheme="majorHAnsi"/>
          <w:i/>
          <w:iCs/>
          <w:sz w:val="22"/>
          <w:szCs w:val="22"/>
          <w:u w:val="single"/>
          <w:lang w:val="en-GB"/>
        </w:rPr>
        <w:t>6 years</w:t>
      </w:r>
      <w:r w:rsidRPr="00063B61">
        <w:rPr>
          <w:rFonts w:ascii="Cambria" w:hAnsi="Cambria" w:cstheme="majorHAnsi"/>
          <w:sz w:val="22"/>
          <w:szCs w:val="22"/>
          <w:lang w:val="en-GB"/>
        </w:rPr>
        <w:t>, it will be mathematically impossible to deduce the total costs or the cost split (wrapper / support) for MOPs.</w:t>
      </w:r>
    </w:p>
    <w:p w14:paraId="115AC85D" w14:textId="77777777" w:rsidR="00063B61" w:rsidRPr="00063B61" w:rsidRDefault="00063B61" w:rsidP="00063B61">
      <w:pPr>
        <w:pStyle w:val="Default"/>
        <w:spacing w:before="120"/>
        <w:jc w:val="both"/>
        <w:rPr>
          <w:rFonts w:ascii="Cambria" w:hAnsi="Cambria" w:cstheme="majorHAnsi"/>
          <w:sz w:val="22"/>
          <w:szCs w:val="22"/>
          <w:lang w:val="en-GB"/>
        </w:rPr>
      </w:pPr>
      <w:r w:rsidRPr="00063B61">
        <w:rPr>
          <w:rFonts w:ascii="Cambria" w:hAnsi="Cambria" w:cstheme="majorHAnsi"/>
          <w:sz w:val="22"/>
          <w:szCs w:val="22"/>
          <w:lang w:val="en-GB"/>
        </w:rPr>
        <w:t xml:space="preserve">For BETTER FINANCE, the desired approach is to produce a separate KID for each investment option from the MOP as those generate a new, different, PRIIP. The separate KID, instead of the generic one, would fulfil the requirements of Article 8 and disclose the </w:t>
      </w:r>
      <w:r w:rsidRPr="00063B61">
        <w:rPr>
          <w:rFonts w:ascii="Cambria" w:hAnsi="Cambria" w:cstheme="majorHAnsi"/>
          <w:b/>
          <w:bCs/>
          <w:i/>
          <w:iCs/>
          <w:sz w:val="22"/>
          <w:szCs w:val="22"/>
          <w:u w:val="single"/>
          <w:lang w:val="en-GB"/>
        </w:rPr>
        <w:t>full total cost</w:t>
      </w:r>
      <w:r w:rsidRPr="00063B61">
        <w:rPr>
          <w:rFonts w:ascii="Cambria" w:hAnsi="Cambria" w:cstheme="majorHAnsi"/>
          <w:sz w:val="22"/>
          <w:szCs w:val="22"/>
          <w:lang w:val="en-GB"/>
        </w:rPr>
        <w:t xml:space="preserve"> for the saver.</w:t>
      </w:r>
    </w:p>
    <w:p w14:paraId="62C5590C" w14:textId="6CAAC4E2" w:rsidR="00063B61" w:rsidRPr="00063B61" w:rsidRDefault="00063B61" w:rsidP="00063B61">
      <w:pPr>
        <w:pStyle w:val="Default"/>
        <w:spacing w:before="120" w:after="240"/>
        <w:jc w:val="both"/>
        <w:rPr>
          <w:rFonts w:ascii="Cambria" w:hAnsi="Cambria" w:cstheme="majorHAnsi"/>
          <w:sz w:val="22"/>
          <w:szCs w:val="22"/>
          <w:lang w:val="en-GB"/>
        </w:rPr>
      </w:pPr>
      <w:r w:rsidRPr="00063B61">
        <w:rPr>
          <w:rFonts w:ascii="Cambria" w:hAnsi="Cambria" w:cstheme="majorHAnsi"/>
          <w:sz w:val="22"/>
          <w:szCs w:val="22"/>
          <w:lang w:val="en-GB"/>
        </w:rPr>
        <w:t xml:space="preserve">If this alternative is not chosen by the ESAs, then a breakeven solution could be to use the generic KID where the costs are differentiated </w:t>
      </w:r>
      <w:bookmarkStart w:id="2" w:name="_GoBack"/>
      <w:bookmarkEnd w:id="2"/>
      <w:r w:rsidRPr="00063B61">
        <w:rPr>
          <w:rFonts w:ascii="Cambria" w:hAnsi="Cambria" w:cstheme="majorHAnsi"/>
          <w:sz w:val="22"/>
          <w:szCs w:val="22"/>
          <w:lang w:val="en-GB"/>
        </w:rPr>
        <w:t>between the wrapper and the underlying supports. The first table (SCI) would calculate the RiY as it is currently the case, but the cost breakdown table would add another line indicating the cost of the wrapper product: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60"/>
        <w:gridCol w:w="1422"/>
        <w:gridCol w:w="4394"/>
      </w:tblGrid>
      <w:tr w:rsidR="00063B61" w14:paraId="460D6695" w14:textId="77777777" w:rsidTr="007B5387">
        <w:trPr>
          <w:trHeight w:val="170"/>
        </w:trPr>
        <w:tc>
          <w:tcPr>
            <w:tcW w:w="9072" w:type="dxa"/>
            <w:gridSpan w:val="4"/>
            <w:shd w:val="clear" w:color="auto" w:fill="0070C0"/>
          </w:tcPr>
          <w:p w14:paraId="47F61195" w14:textId="77777777" w:rsidR="00063B61" w:rsidRPr="00063B61" w:rsidRDefault="00063B61" w:rsidP="007B5387">
            <w:pPr>
              <w:pStyle w:val="Default"/>
              <w:jc w:val="both"/>
              <w:rPr>
                <w:rFonts w:asciiTheme="majorHAnsi" w:hAnsiTheme="majorHAnsi" w:cstheme="majorHAnsi"/>
                <w:b/>
                <w:bCs/>
                <w:sz w:val="18"/>
                <w:szCs w:val="18"/>
                <w:lang w:val="en-GB"/>
              </w:rPr>
            </w:pPr>
            <w:r w:rsidRPr="00063B61">
              <w:rPr>
                <w:rFonts w:asciiTheme="majorHAnsi" w:hAnsiTheme="majorHAnsi" w:cstheme="majorHAnsi"/>
                <w:b/>
                <w:bCs/>
                <w:color w:val="000000" w:themeColor="text1"/>
                <w:sz w:val="18"/>
                <w:szCs w:val="18"/>
                <w:lang w:val="en-GB"/>
              </w:rPr>
              <w:t>This table shows the impact on return per year</w:t>
            </w:r>
          </w:p>
        </w:tc>
      </w:tr>
      <w:tr w:rsidR="00063B61" w14:paraId="2901CF19" w14:textId="77777777" w:rsidTr="007B5387">
        <w:trPr>
          <w:trHeight w:val="170"/>
        </w:trPr>
        <w:tc>
          <w:tcPr>
            <w:tcW w:w="1696" w:type="dxa"/>
            <w:tcBorders>
              <w:bottom w:val="single" w:sz="4" w:space="0" w:color="auto"/>
            </w:tcBorders>
          </w:tcPr>
          <w:p w14:paraId="0B2539B9" w14:textId="77777777" w:rsidR="00063B61" w:rsidRPr="000402CB" w:rsidRDefault="00063B61" w:rsidP="007B5387">
            <w:pPr>
              <w:pStyle w:val="Default"/>
              <w:jc w:val="both"/>
              <w:rPr>
                <w:rFonts w:asciiTheme="majorHAnsi" w:hAnsiTheme="majorHAnsi" w:cstheme="majorHAnsi"/>
                <w:b/>
                <w:bCs/>
                <w:sz w:val="18"/>
                <w:szCs w:val="18"/>
              </w:rPr>
            </w:pPr>
            <w:r w:rsidRPr="000402CB">
              <w:rPr>
                <w:rFonts w:asciiTheme="majorHAnsi" w:hAnsiTheme="majorHAnsi" w:cstheme="majorHAnsi"/>
                <w:b/>
                <w:bCs/>
                <w:sz w:val="18"/>
                <w:szCs w:val="18"/>
              </w:rPr>
              <w:t>Contract cost</w:t>
            </w:r>
          </w:p>
        </w:tc>
        <w:tc>
          <w:tcPr>
            <w:tcW w:w="1560" w:type="dxa"/>
            <w:tcBorders>
              <w:bottom w:val="single" w:sz="4" w:space="0" w:color="auto"/>
            </w:tcBorders>
          </w:tcPr>
          <w:p w14:paraId="2E242EA6" w14:textId="77777777" w:rsidR="00063B61" w:rsidRPr="000378E0" w:rsidRDefault="00063B61" w:rsidP="007B5387">
            <w:pPr>
              <w:pStyle w:val="Default"/>
              <w:jc w:val="both"/>
              <w:rPr>
                <w:rFonts w:asciiTheme="majorHAnsi" w:hAnsiTheme="majorHAnsi" w:cstheme="majorHAnsi"/>
                <w:sz w:val="18"/>
                <w:szCs w:val="18"/>
              </w:rPr>
            </w:pPr>
            <w:r>
              <w:rPr>
                <w:rFonts w:asciiTheme="majorHAnsi" w:hAnsiTheme="majorHAnsi" w:cstheme="majorHAnsi"/>
                <w:sz w:val="18"/>
                <w:szCs w:val="18"/>
              </w:rPr>
              <w:t>Wrapper cost</w:t>
            </w:r>
          </w:p>
        </w:tc>
        <w:tc>
          <w:tcPr>
            <w:tcW w:w="1422" w:type="dxa"/>
            <w:tcBorders>
              <w:bottom w:val="single" w:sz="4" w:space="0" w:color="auto"/>
            </w:tcBorders>
          </w:tcPr>
          <w:p w14:paraId="3D1E51E0" w14:textId="77777777" w:rsidR="00063B61" w:rsidRPr="000378E0" w:rsidRDefault="00063B61" w:rsidP="007B5387">
            <w:pPr>
              <w:pStyle w:val="Default"/>
              <w:jc w:val="both"/>
              <w:rPr>
                <w:rFonts w:asciiTheme="majorHAnsi" w:hAnsiTheme="majorHAnsi" w:cstheme="majorHAnsi"/>
                <w:sz w:val="18"/>
                <w:szCs w:val="18"/>
              </w:rPr>
            </w:pPr>
            <w:r>
              <w:rPr>
                <w:rFonts w:asciiTheme="majorHAnsi" w:hAnsiTheme="majorHAnsi" w:cstheme="majorHAnsi"/>
                <w:sz w:val="18"/>
                <w:szCs w:val="18"/>
              </w:rPr>
              <w:t>1%</w:t>
            </w:r>
          </w:p>
        </w:tc>
        <w:tc>
          <w:tcPr>
            <w:tcW w:w="4394" w:type="dxa"/>
            <w:tcBorders>
              <w:bottom w:val="single" w:sz="4" w:space="0" w:color="auto"/>
            </w:tcBorders>
          </w:tcPr>
          <w:p w14:paraId="4F37C15C" w14:textId="77777777" w:rsidR="00063B61" w:rsidRPr="00063B61" w:rsidRDefault="00063B61" w:rsidP="007B5387">
            <w:pPr>
              <w:pStyle w:val="Default"/>
              <w:jc w:val="both"/>
              <w:rPr>
                <w:rFonts w:asciiTheme="majorHAnsi" w:hAnsiTheme="majorHAnsi" w:cstheme="majorHAnsi"/>
                <w:sz w:val="18"/>
                <w:szCs w:val="18"/>
                <w:lang w:val="en-GB"/>
              </w:rPr>
            </w:pPr>
            <w:r w:rsidRPr="00063B61">
              <w:rPr>
                <w:rFonts w:asciiTheme="majorHAnsi" w:hAnsiTheme="majorHAnsi" w:cstheme="majorHAnsi"/>
                <w:sz w:val="18"/>
                <w:szCs w:val="18"/>
                <w:lang w:val="en-GB"/>
              </w:rPr>
              <w:t>The impact of the cost for entering this contract</w:t>
            </w:r>
          </w:p>
        </w:tc>
      </w:tr>
      <w:tr w:rsidR="00063B61" w14:paraId="4CCDE682" w14:textId="77777777" w:rsidTr="007B5387">
        <w:trPr>
          <w:trHeight w:val="42"/>
        </w:trPr>
        <w:tc>
          <w:tcPr>
            <w:tcW w:w="1696" w:type="dxa"/>
            <w:vMerge w:val="restart"/>
            <w:tcBorders>
              <w:top w:val="single" w:sz="4" w:space="0" w:color="auto"/>
            </w:tcBorders>
          </w:tcPr>
          <w:p w14:paraId="4572C268" w14:textId="77777777" w:rsidR="00063B61" w:rsidRPr="000402CB" w:rsidRDefault="00063B61" w:rsidP="007B5387">
            <w:pPr>
              <w:pStyle w:val="Default"/>
              <w:spacing w:before="240"/>
              <w:jc w:val="both"/>
              <w:rPr>
                <w:rFonts w:asciiTheme="majorHAnsi" w:hAnsiTheme="majorHAnsi" w:cstheme="majorHAnsi"/>
                <w:b/>
                <w:bCs/>
                <w:sz w:val="18"/>
                <w:szCs w:val="18"/>
              </w:rPr>
            </w:pPr>
            <w:r w:rsidRPr="000402CB">
              <w:rPr>
                <w:rFonts w:asciiTheme="majorHAnsi" w:hAnsiTheme="majorHAnsi" w:cstheme="majorHAnsi"/>
                <w:b/>
                <w:bCs/>
                <w:sz w:val="18"/>
                <w:szCs w:val="18"/>
              </w:rPr>
              <w:t>One-off costs</w:t>
            </w:r>
          </w:p>
        </w:tc>
        <w:tc>
          <w:tcPr>
            <w:tcW w:w="1560" w:type="dxa"/>
            <w:tcBorders>
              <w:top w:val="single" w:sz="4" w:space="0" w:color="auto"/>
              <w:bottom w:val="single" w:sz="4" w:space="0" w:color="auto"/>
            </w:tcBorders>
          </w:tcPr>
          <w:p w14:paraId="5E98DED4" w14:textId="77777777" w:rsidR="00063B61" w:rsidRPr="000378E0" w:rsidRDefault="00063B61" w:rsidP="007B5387">
            <w:pPr>
              <w:pStyle w:val="Default"/>
              <w:jc w:val="both"/>
              <w:rPr>
                <w:rFonts w:asciiTheme="majorHAnsi" w:hAnsiTheme="majorHAnsi" w:cstheme="majorHAnsi"/>
                <w:sz w:val="18"/>
                <w:szCs w:val="18"/>
              </w:rPr>
            </w:pPr>
            <w:r>
              <w:rPr>
                <w:rFonts w:asciiTheme="majorHAnsi" w:hAnsiTheme="majorHAnsi" w:cstheme="majorHAnsi"/>
                <w:sz w:val="18"/>
                <w:szCs w:val="18"/>
              </w:rPr>
              <w:t>Entry costs</w:t>
            </w:r>
          </w:p>
        </w:tc>
        <w:tc>
          <w:tcPr>
            <w:tcW w:w="1422" w:type="dxa"/>
            <w:tcBorders>
              <w:top w:val="single" w:sz="4" w:space="0" w:color="auto"/>
              <w:bottom w:val="single" w:sz="4" w:space="0" w:color="auto"/>
            </w:tcBorders>
          </w:tcPr>
          <w:p w14:paraId="29A95D0F" w14:textId="77777777" w:rsidR="00063B61" w:rsidRPr="000378E0" w:rsidRDefault="00063B61" w:rsidP="007B5387">
            <w:pPr>
              <w:pStyle w:val="Default"/>
              <w:jc w:val="both"/>
              <w:rPr>
                <w:rFonts w:asciiTheme="majorHAnsi" w:hAnsiTheme="majorHAnsi" w:cstheme="majorHAnsi"/>
                <w:sz w:val="18"/>
                <w:szCs w:val="18"/>
              </w:rPr>
            </w:pPr>
            <w:r>
              <w:rPr>
                <w:rFonts w:asciiTheme="majorHAnsi" w:hAnsiTheme="majorHAnsi" w:cstheme="majorHAnsi"/>
                <w:sz w:val="18"/>
                <w:szCs w:val="18"/>
              </w:rPr>
              <w:t>0.1% + [0.2% - 1%]</w:t>
            </w:r>
          </w:p>
        </w:tc>
        <w:tc>
          <w:tcPr>
            <w:tcW w:w="4394" w:type="dxa"/>
            <w:tcBorders>
              <w:top w:val="single" w:sz="4" w:space="0" w:color="auto"/>
              <w:bottom w:val="single" w:sz="4" w:space="0" w:color="auto"/>
            </w:tcBorders>
          </w:tcPr>
          <w:p w14:paraId="6163CD75" w14:textId="77777777" w:rsidR="00063B61" w:rsidRPr="00063B61" w:rsidRDefault="00063B61" w:rsidP="007B5387">
            <w:pPr>
              <w:pStyle w:val="Default"/>
              <w:jc w:val="both"/>
              <w:rPr>
                <w:rFonts w:asciiTheme="majorHAnsi" w:hAnsiTheme="majorHAnsi" w:cstheme="majorHAnsi"/>
                <w:sz w:val="18"/>
                <w:szCs w:val="18"/>
                <w:lang w:val="en-GB"/>
              </w:rPr>
            </w:pPr>
            <w:r w:rsidRPr="00063B61">
              <w:rPr>
                <w:rFonts w:asciiTheme="majorHAnsi" w:hAnsiTheme="majorHAnsi" w:cstheme="majorHAnsi"/>
                <w:sz w:val="18"/>
                <w:szCs w:val="18"/>
                <w:lang w:val="en-GB"/>
              </w:rPr>
              <w:t>The impact of the cost for entering this contract and/or the supports</w:t>
            </w:r>
          </w:p>
        </w:tc>
      </w:tr>
      <w:tr w:rsidR="00063B61" w14:paraId="36599689" w14:textId="77777777" w:rsidTr="007B5387">
        <w:trPr>
          <w:trHeight w:val="42"/>
        </w:trPr>
        <w:tc>
          <w:tcPr>
            <w:tcW w:w="1696" w:type="dxa"/>
            <w:vMerge/>
            <w:tcBorders>
              <w:bottom w:val="single" w:sz="4" w:space="0" w:color="auto"/>
            </w:tcBorders>
          </w:tcPr>
          <w:p w14:paraId="1210DD60" w14:textId="77777777" w:rsidR="00063B61" w:rsidRPr="00063B61" w:rsidRDefault="00063B61" w:rsidP="007B5387">
            <w:pPr>
              <w:pStyle w:val="Default"/>
              <w:spacing w:before="120"/>
              <w:jc w:val="both"/>
              <w:rPr>
                <w:rFonts w:asciiTheme="majorHAnsi" w:hAnsiTheme="majorHAnsi" w:cstheme="majorHAnsi"/>
                <w:sz w:val="18"/>
                <w:szCs w:val="18"/>
                <w:lang w:val="en-GB"/>
              </w:rPr>
            </w:pPr>
          </w:p>
        </w:tc>
        <w:tc>
          <w:tcPr>
            <w:tcW w:w="1560" w:type="dxa"/>
            <w:tcBorders>
              <w:top w:val="single" w:sz="4" w:space="0" w:color="auto"/>
              <w:bottom w:val="single" w:sz="4" w:space="0" w:color="auto"/>
            </w:tcBorders>
          </w:tcPr>
          <w:p w14:paraId="2C095EAE" w14:textId="77777777" w:rsidR="00063B61" w:rsidRPr="000378E0" w:rsidRDefault="00063B61" w:rsidP="007B5387">
            <w:pPr>
              <w:pStyle w:val="Default"/>
              <w:spacing w:before="120"/>
              <w:jc w:val="both"/>
              <w:rPr>
                <w:rFonts w:asciiTheme="majorHAnsi" w:hAnsiTheme="majorHAnsi" w:cstheme="majorHAnsi"/>
                <w:sz w:val="18"/>
                <w:szCs w:val="18"/>
              </w:rPr>
            </w:pPr>
            <w:r>
              <w:rPr>
                <w:rFonts w:asciiTheme="majorHAnsi" w:hAnsiTheme="majorHAnsi" w:cstheme="majorHAnsi"/>
                <w:sz w:val="18"/>
                <w:szCs w:val="18"/>
              </w:rPr>
              <w:t>Exit costs</w:t>
            </w:r>
          </w:p>
        </w:tc>
        <w:tc>
          <w:tcPr>
            <w:tcW w:w="1422" w:type="dxa"/>
            <w:tcBorders>
              <w:top w:val="single" w:sz="4" w:space="0" w:color="auto"/>
              <w:bottom w:val="single" w:sz="4" w:space="0" w:color="auto"/>
            </w:tcBorders>
          </w:tcPr>
          <w:p w14:paraId="7E81F287" w14:textId="77777777" w:rsidR="00063B61" w:rsidRPr="000378E0" w:rsidRDefault="00063B61" w:rsidP="007B5387">
            <w:pPr>
              <w:pStyle w:val="Default"/>
              <w:spacing w:before="120"/>
              <w:jc w:val="both"/>
              <w:rPr>
                <w:rFonts w:asciiTheme="majorHAnsi" w:hAnsiTheme="majorHAnsi" w:cstheme="majorHAnsi"/>
                <w:sz w:val="18"/>
                <w:szCs w:val="18"/>
              </w:rPr>
            </w:pPr>
            <w:r>
              <w:rPr>
                <w:rFonts w:asciiTheme="majorHAnsi" w:hAnsiTheme="majorHAnsi" w:cstheme="majorHAnsi"/>
                <w:sz w:val="18"/>
                <w:szCs w:val="18"/>
              </w:rPr>
              <w:t>2% + [0.2% - 1%]</w:t>
            </w:r>
          </w:p>
        </w:tc>
        <w:tc>
          <w:tcPr>
            <w:tcW w:w="4394" w:type="dxa"/>
            <w:tcBorders>
              <w:top w:val="single" w:sz="4" w:space="0" w:color="auto"/>
              <w:bottom w:val="single" w:sz="4" w:space="0" w:color="auto"/>
            </w:tcBorders>
          </w:tcPr>
          <w:p w14:paraId="5A422385" w14:textId="77777777" w:rsidR="00063B61" w:rsidRPr="00063B61" w:rsidRDefault="00063B61" w:rsidP="007B5387">
            <w:pPr>
              <w:pStyle w:val="Default"/>
              <w:jc w:val="both"/>
              <w:rPr>
                <w:rFonts w:asciiTheme="majorHAnsi" w:hAnsiTheme="majorHAnsi" w:cstheme="majorHAnsi"/>
                <w:sz w:val="18"/>
                <w:szCs w:val="18"/>
                <w:lang w:val="en-GB"/>
              </w:rPr>
            </w:pPr>
            <w:r w:rsidRPr="00063B61">
              <w:rPr>
                <w:rFonts w:asciiTheme="majorHAnsi" w:hAnsiTheme="majorHAnsi" w:cstheme="majorHAnsi"/>
                <w:sz w:val="18"/>
                <w:szCs w:val="18"/>
                <w:lang w:val="en-GB"/>
              </w:rPr>
              <w:t>The impact of the cost for exiting this contract and/or any of the supports</w:t>
            </w:r>
          </w:p>
        </w:tc>
      </w:tr>
      <w:tr w:rsidR="00063B61" w14:paraId="396997D9" w14:textId="77777777" w:rsidTr="007B5387">
        <w:tc>
          <w:tcPr>
            <w:tcW w:w="1696" w:type="dxa"/>
            <w:tcBorders>
              <w:top w:val="single" w:sz="4" w:space="0" w:color="auto"/>
            </w:tcBorders>
          </w:tcPr>
          <w:p w14:paraId="25F0CADB" w14:textId="77777777" w:rsidR="00063B61" w:rsidRPr="000402CB" w:rsidRDefault="00063B61" w:rsidP="007B5387">
            <w:pPr>
              <w:pStyle w:val="Default"/>
              <w:jc w:val="both"/>
              <w:rPr>
                <w:rFonts w:asciiTheme="majorHAnsi" w:hAnsiTheme="majorHAnsi" w:cstheme="majorHAnsi"/>
                <w:b/>
                <w:bCs/>
                <w:sz w:val="18"/>
                <w:szCs w:val="18"/>
              </w:rPr>
            </w:pPr>
            <w:r w:rsidRPr="000402CB">
              <w:rPr>
                <w:rFonts w:asciiTheme="majorHAnsi" w:hAnsiTheme="majorHAnsi" w:cstheme="majorHAnsi"/>
                <w:b/>
                <w:bCs/>
                <w:sz w:val="18"/>
                <w:szCs w:val="18"/>
              </w:rPr>
              <w:t>Ongoing costs</w:t>
            </w:r>
          </w:p>
        </w:tc>
        <w:tc>
          <w:tcPr>
            <w:tcW w:w="1560" w:type="dxa"/>
            <w:tcBorders>
              <w:top w:val="single" w:sz="4" w:space="0" w:color="auto"/>
            </w:tcBorders>
          </w:tcPr>
          <w:p w14:paraId="21A2F92B" w14:textId="77777777" w:rsidR="00063B61" w:rsidRPr="000378E0" w:rsidRDefault="00063B61" w:rsidP="007B5387">
            <w:pPr>
              <w:pStyle w:val="Default"/>
              <w:jc w:val="both"/>
              <w:rPr>
                <w:rFonts w:asciiTheme="majorHAnsi" w:hAnsiTheme="majorHAnsi" w:cstheme="majorHAnsi"/>
                <w:sz w:val="18"/>
                <w:szCs w:val="18"/>
              </w:rPr>
            </w:pPr>
            <w:r>
              <w:rPr>
                <w:rFonts w:asciiTheme="majorHAnsi" w:hAnsiTheme="majorHAnsi" w:cstheme="majorHAnsi"/>
                <w:sz w:val="18"/>
                <w:szCs w:val="18"/>
              </w:rPr>
              <w:t>…</w:t>
            </w:r>
          </w:p>
        </w:tc>
        <w:tc>
          <w:tcPr>
            <w:tcW w:w="1422" w:type="dxa"/>
            <w:tcBorders>
              <w:top w:val="single" w:sz="4" w:space="0" w:color="auto"/>
            </w:tcBorders>
          </w:tcPr>
          <w:p w14:paraId="043DB6A6" w14:textId="77777777" w:rsidR="00063B61" w:rsidRPr="000378E0" w:rsidRDefault="00063B61" w:rsidP="007B5387">
            <w:pPr>
              <w:pStyle w:val="Default"/>
              <w:jc w:val="both"/>
              <w:rPr>
                <w:rFonts w:asciiTheme="majorHAnsi" w:hAnsiTheme="majorHAnsi" w:cstheme="majorHAnsi"/>
                <w:sz w:val="18"/>
                <w:szCs w:val="18"/>
              </w:rPr>
            </w:pPr>
            <w:r>
              <w:rPr>
                <w:rFonts w:asciiTheme="majorHAnsi" w:hAnsiTheme="majorHAnsi" w:cstheme="majorHAnsi"/>
                <w:sz w:val="18"/>
                <w:szCs w:val="18"/>
              </w:rPr>
              <w:t>…</w:t>
            </w:r>
          </w:p>
        </w:tc>
        <w:tc>
          <w:tcPr>
            <w:tcW w:w="4394" w:type="dxa"/>
            <w:tcBorders>
              <w:top w:val="single" w:sz="4" w:space="0" w:color="auto"/>
            </w:tcBorders>
          </w:tcPr>
          <w:p w14:paraId="4E94B17B" w14:textId="77777777" w:rsidR="00063B61" w:rsidRPr="000378E0" w:rsidRDefault="00063B61" w:rsidP="007B5387">
            <w:pPr>
              <w:pStyle w:val="Default"/>
              <w:jc w:val="both"/>
              <w:rPr>
                <w:rFonts w:asciiTheme="majorHAnsi" w:hAnsiTheme="majorHAnsi" w:cstheme="majorHAnsi"/>
                <w:sz w:val="18"/>
                <w:szCs w:val="18"/>
              </w:rPr>
            </w:pPr>
            <w:r>
              <w:rPr>
                <w:rFonts w:asciiTheme="majorHAnsi" w:hAnsiTheme="majorHAnsi" w:cstheme="majorHAnsi"/>
                <w:sz w:val="18"/>
                <w:szCs w:val="18"/>
              </w:rPr>
              <w:t>…</w:t>
            </w:r>
          </w:p>
        </w:tc>
      </w:tr>
    </w:tbl>
    <w:p w14:paraId="22F32358" w14:textId="77777777" w:rsidR="00063B61" w:rsidRPr="000402CB" w:rsidRDefault="00063B61" w:rsidP="00063B61">
      <w:pPr>
        <w:pStyle w:val="Default"/>
        <w:spacing w:before="120"/>
        <w:jc w:val="both"/>
        <w:rPr>
          <w:rFonts w:ascii="Cambria" w:hAnsi="Cambria" w:cstheme="majorHAnsi"/>
          <w:sz w:val="18"/>
          <w:szCs w:val="18"/>
        </w:rPr>
      </w:pPr>
      <w:r w:rsidRPr="000402CB">
        <w:rPr>
          <w:rFonts w:ascii="Cambria" w:hAnsi="Cambria" w:cstheme="majorHAnsi"/>
          <w:i/>
          <w:iCs/>
          <w:sz w:val="18"/>
          <w:szCs w:val="18"/>
          <w:u w:val="single"/>
        </w:rPr>
        <w:t>Source</w:t>
      </w:r>
      <w:r w:rsidRPr="000402CB">
        <w:rPr>
          <w:rFonts w:ascii="Cambria" w:hAnsi="Cambria" w:cstheme="majorHAnsi"/>
          <w:sz w:val="18"/>
          <w:szCs w:val="18"/>
        </w:rPr>
        <w:t>: BETTER FINANCE own composition</w:t>
      </w:r>
    </w:p>
    <w:p w14:paraId="085E90ED" w14:textId="5E8383B9" w:rsidR="003E573C" w:rsidRDefault="00063B61" w:rsidP="00063B61">
      <w:pPr>
        <w:rPr>
          <w:rFonts w:cs="Arial"/>
        </w:rPr>
      </w:pPr>
      <w:r>
        <w:rPr>
          <w:rFonts w:ascii="Cambria" w:hAnsi="Cambria" w:cstheme="majorHAnsi"/>
          <w:sz w:val="22"/>
          <w:szCs w:val="22"/>
        </w:rPr>
        <w:t>In order to enable savers to understand what the costs of the MOP are and how should he use the supporting PISs to calculate the total costs, the distinction between the costs of the wrapper and the costs of the supports must be made. Moreover, this would give clarity for the Table 1 (RiY) and would improve understanding of the cost structure for MOPs. BETTER FINANCE’s subsidiary proposal is a draft and can be further discussed and improved, but should not prejudice assessment of our clear indication, i.e. that a separate KID per option should be produced.</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6E073C8F" w14:textId="0C728C9D" w:rsidR="004E6989" w:rsidRPr="004E6989" w:rsidRDefault="004E6989" w:rsidP="004E6989">
      <w:pPr>
        <w:pStyle w:val="Default"/>
        <w:pBdr>
          <w:bottom w:val="single" w:sz="4" w:space="1" w:color="auto"/>
        </w:pBdr>
        <w:spacing w:before="240" w:after="240"/>
        <w:jc w:val="both"/>
        <w:rPr>
          <w:rFonts w:ascii="Cambria" w:hAnsi="Cambria" w:cstheme="majorHAnsi"/>
          <w:sz w:val="22"/>
          <w:szCs w:val="22"/>
          <w:lang w:val="en-GB"/>
        </w:rPr>
      </w:pPr>
      <w:permStart w:id="1417153881" w:edGrp="everyone"/>
      <w:r w:rsidRPr="004E6989">
        <w:rPr>
          <w:rFonts w:ascii="Cambria" w:hAnsi="Cambria" w:cstheme="majorHAnsi"/>
          <w:sz w:val="22"/>
          <w:szCs w:val="22"/>
          <w:lang w:val="en-GB"/>
        </w:rPr>
        <w:t>This approach carries two risks in terms of consumer understanding. First, the requirement of Article 8 PRIIPs Regulation is not fulfilled as the retail saver will not get the full cost of the PRIIPs offered, but for four investment options which may prove in many circumstances not to be the most suitable or the recommended investment option for the saver.</w:t>
      </w:r>
    </w:p>
    <w:p w14:paraId="26AB215A" w14:textId="77777777" w:rsidR="004E6989" w:rsidRPr="004E6989" w:rsidRDefault="004E6989" w:rsidP="004E6989">
      <w:pPr>
        <w:pStyle w:val="Default"/>
        <w:pBdr>
          <w:bottom w:val="single" w:sz="4" w:space="1" w:color="auto"/>
        </w:pBdr>
        <w:spacing w:before="240" w:after="240"/>
        <w:jc w:val="both"/>
        <w:rPr>
          <w:rFonts w:ascii="Cambria" w:hAnsi="Cambria" w:cstheme="majorHAnsi"/>
          <w:sz w:val="22"/>
          <w:szCs w:val="22"/>
          <w:lang w:val="en-GB"/>
        </w:rPr>
      </w:pPr>
      <w:r w:rsidRPr="004E6989">
        <w:rPr>
          <w:rFonts w:ascii="Cambria" w:hAnsi="Cambria" w:cstheme="majorHAnsi"/>
          <w:sz w:val="22"/>
          <w:szCs w:val="22"/>
          <w:lang w:val="en-GB"/>
        </w:rPr>
        <w:lastRenderedPageBreak/>
        <w:t>Second, the client may be biased towards the four presented options due to the narrative and presentation of costs, and may be prone to consider that those four are the “best” products to invest in.</w:t>
      </w:r>
    </w:p>
    <w:p w14:paraId="4B435AAE" w14:textId="33037B05" w:rsidR="003E573C" w:rsidRDefault="004E6989" w:rsidP="004E6989">
      <w:pPr>
        <w:rPr>
          <w:rFonts w:cs="Arial"/>
        </w:rPr>
      </w:pPr>
      <w:r>
        <w:rPr>
          <w:rFonts w:ascii="Cambria" w:hAnsi="Cambria" w:cstheme="majorHAnsi"/>
          <w:sz w:val="22"/>
          <w:szCs w:val="22"/>
        </w:rPr>
        <w:t>Should the ESAs choose this approach, a clear warning must be put in place to inform the saver that those are exemplificative illustrations, and the actual cost of the saver’s choice of investment option may or will differ.</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310628EA" w:rsidR="003E573C" w:rsidRDefault="00C171B4" w:rsidP="003E573C">
      <w:pPr>
        <w:rPr>
          <w:rFonts w:cs="Arial"/>
        </w:rPr>
      </w:pPr>
      <w:permStart w:id="481841044" w:edGrp="everyone"/>
      <w:r>
        <w:rPr>
          <w:rFonts w:ascii="Cambria" w:hAnsi="Cambria" w:cstheme="majorHAnsi"/>
          <w:sz w:val="22"/>
          <w:szCs w:val="22"/>
        </w:rPr>
        <w:t>It would bring a slight improvement, but it falls short of the legal requirements for the KID – see answer for Question 50 above.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0B5E93D1" w:rsidR="003E573C" w:rsidRDefault="00C66E6C" w:rsidP="003E573C">
      <w:pPr>
        <w:rPr>
          <w:rFonts w:cs="Arial"/>
        </w:rPr>
      </w:pPr>
      <w:permStart w:id="1862034741" w:edGrp="everyone"/>
      <w:r>
        <w:rPr>
          <w:rFonts w:ascii="Cambria" w:hAnsi="Cambria"/>
          <w:color w:val="000000" w:themeColor="text1"/>
        </w:rPr>
        <w:t>Yes, our alternative proposals are highlighted in the answer for Question 50 above.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7"/>
      <w:headerReference w:type="first" r:id="rId28"/>
      <w:footerReference w:type="first" r:id="rId2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0F8F2" w14:textId="77777777" w:rsidR="00070C03" w:rsidRDefault="00070C03">
      <w:r>
        <w:separator/>
      </w:r>
    </w:p>
    <w:p w14:paraId="60DB1768" w14:textId="77777777" w:rsidR="00070C03" w:rsidRDefault="00070C03"/>
  </w:endnote>
  <w:endnote w:type="continuationSeparator" w:id="0">
    <w:p w14:paraId="233AB8B1" w14:textId="77777777" w:rsidR="00070C03" w:rsidRDefault="00070C03">
      <w:r>
        <w:continuationSeparator/>
      </w:r>
    </w:p>
    <w:p w14:paraId="1ECC2E40" w14:textId="77777777" w:rsidR="00070C03" w:rsidRDefault="00070C03"/>
  </w:endnote>
  <w:endnote w:type="continuationNotice" w:id="1">
    <w:p w14:paraId="042C9B93" w14:textId="77777777" w:rsidR="00070C03" w:rsidRDefault="00070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E23FA" w14:textId="77777777" w:rsidR="00070C03" w:rsidRDefault="00070C03">
      <w:r>
        <w:separator/>
      </w:r>
    </w:p>
    <w:p w14:paraId="48B722DC" w14:textId="77777777" w:rsidR="00070C03" w:rsidRDefault="00070C03"/>
  </w:footnote>
  <w:footnote w:type="continuationSeparator" w:id="0">
    <w:p w14:paraId="70263B9D" w14:textId="77777777" w:rsidR="00070C03" w:rsidRDefault="00070C03">
      <w:r>
        <w:continuationSeparator/>
      </w:r>
    </w:p>
    <w:p w14:paraId="05C9F74A" w14:textId="77777777" w:rsidR="00070C03" w:rsidRDefault="00070C03"/>
  </w:footnote>
  <w:footnote w:type="continuationNotice" w:id="1">
    <w:p w14:paraId="6C91961B" w14:textId="77777777" w:rsidR="00070C03" w:rsidRDefault="00070C03"/>
  </w:footnote>
  <w:footnote w:id="2">
    <w:p w14:paraId="3ADCE2CB" w14:textId="77777777" w:rsidR="00197794" w:rsidRPr="009E1A8D" w:rsidRDefault="0019779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551E8006" w14:textId="77777777" w:rsidR="00455230" w:rsidRPr="000F2D82" w:rsidRDefault="00455230" w:rsidP="00455230">
      <w:pPr>
        <w:pStyle w:val="FootnoteText"/>
        <w:jc w:val="both"/>
        <w:rPr>
          <w:rFonts w:asciiTheme="majorHAnsi" w:hAnsiTheme="majorHAnsi" w:cstheme="majorHAnsi"/>
        </w:rPr>
      </w:pPr>
      <w:r w:rsidRPr="000F2D82">
        <w:rPr>
          <w:rStyle w:val="FootnoteReference"/>
          <w:rFonts w:asciiTheme="majorHAnsi" w:hAnsiTheme="majorHAnsi" w:cstheme="majorHAnsi"/>
          <w:sz w:val="18"/>
          <w:szCs w:val="18"/>
        </w:rPr>
        <w:footnoteRef/>
      </w:r>
      <w:r w:rsidRPr="000F2D82">
        <w:rPr>
          <w:rFonts w:asciiTheme="majorHAnsi" w:hAnsiTheme="majorHAnsi" w:cstheme="majorHAnsi"/>
          <w:sz w:val="18"/>
          <w:szCs w:val="18"/>
        </w:rPr>
        <w:t xml:space="preserve"> Council Conclusions on the Deepening of the Capital Markets Union (5 December 2019), Brussels, 5 December 2019, (OR. en), 14815/19. </w:t>
      </w:r>
    </w:p>
  </w:footnote>
  <w:footnote w:id="6">
    <w:p w14:paraId="0E224771" w14:textId="77777777" w:rsidR="00455230" w:rsidRPr="00D420DB" w:rsidRDefault="00455230" w:rsidP="00455230">
      <w:pPr>
        <w:pStyle w:val="FootnoteText"/>
        <w:jc w:val="both"/>
        <w:rPr>
          <w:rFonts w:asciiTheme="majorHAnsi" w:hAnsiTheme="majorHAnsi" w:cstheme="majorHAnsi"/>
          <w:sz w:val="18"/>
          <w:szCs w:val="18"/>
        </w:rPr>
      </w:pPr>
      <w:r w:rsidRPr="00D420DB">
        <w:rPr>
          <w:rStyle w:val="FootnoteReference"/>
          <w:rFonts w:asciiTheme="majorHAnsi" w:hAnsiTheme="majorHAnsi" w:cstheme="majorHAnsi"/>
          <w:sz w:val="18"/>
          <w:szCs w:val="18"/>
        </w:rPr>
        <w:footnoteRef/>
      </w:r>
      <w:r w:rsidRPr="00D420DB">
        <w:rPr>
          <w:rFonts w:asciiTheme="majorHAnsi" w:hAnsiTheme="majorHAnsi" w:cstheme="majorHAnsi"/>
          <w:sz w:val="18"/>
          <w:szCs w:val="18"/>
        </w:rPr>
        <w:t xml:space="preserve"> Directive 2001/107/EC of the European Parliament and of the Council of 21 January 2002 amending Council Directive 85/611/EEC on the coordination of laws, regulations and administrative provisions relating to undertakings for collective investment in transferable securities (UCITS) with a view to regulating management companies and simplified prospectuses, OJ L 41, 13.2.2002, p. 20–34.</w:t>
      </w:r>
    </w:p>
  </w:footnote>
  <w:footnote w:id="7">
    <w:p w14:paraId="541B64AF" w14:textId="77777777" w:rsidR="00455230" w:rsidRDefault="00455230" w:rsidP="00455230">
      <w:pPr>
        <w:pStyle w:val="FootnoteText"/>
      </w:pPr>
      <w:r w:rsidRPr="00D420DB">
        <w:rPr>
          <w:rStyle w:val="FootnoteReference"/>
          <w:rFonts w:asciiTheme="majorHAnsi" w:hAnsiTheme="majorHAnsi" w:cstheme="majorHAnsi"/>
          <w:sz w:val="18"/>
          <w:szCs w:val="18"/>
        </w:rPr>
        <w:footnoteRef/>
      </w:r>
      <w:r w:rsidRPr="00D420DB">
        <w:rPr>
          <w:rFonts w:asciiTheme="majorHAnsi" w:hAnsiTheme="majorHAnsi" w:cstheme="majorHAnsi"/>
          <w:sz w:val="18"/>
          <w:szCs w:val="18"/>
        </w:rPr>
        <w:t xml:space="preserve"> Article 13c(9) read in conjunction with Schedule C of Directive 2001/107/EC.</w:t>
      </w:r>
    </w:p>
  </w:footnote>
  <w:footnote w:id="8">
    <w:p w14:paraId="39F274FA" w14:textId="77777777" w:rsidR="00455230" w:rsidRPr="00AB51C1" w:rsidRDefault="00455230" w:rsidP="00455230">
      <w:pPr>
        <w:pStyle w:val="FootnoteText"/>
        <w:rPr>
          <w:rFonts w:asciiTheme="majorHAnsi" w:hAnsiTheme="majorHAnsi" w:cstheme="majorHAnsi"/>
        </w:rPr>
      </w:pPr>
      <w:r w:rsidRPr="00AB51C1">
        <w:rPr>
          <w:rStyle w:val="FootnoteReference"/>
          <w:rFonts w:asciiTheme="majorHAnsi" w:hAnsiTheme="majorHAnsi" w:cstheme="majorHAnsi"/>
          <w:sz w:val="18"/>
          <w:szCs w:val="18"/>
        </w:rPr>
        <w:footnoteRef/>
      </w:r>
      <w:r w:rsidRPr="00AB51C1">
        <w:rPr>
          <w:rFonts w:asciiTheme="majorHAnsi" w:hAnsiTheme="majorHAnsi" w:cstheme="majorHAnsi"/>
          <w:sz w:val="18"/>
          <w:szCs w:val="18"/>
        </w:rPr>
        <w:t xml:space="preserve"> Talia B. Gillis, ‘Putting Disclosure to the Test: Towards Better Evidence-Based Policy’ (2015) 28(1) Loyola Consumer Law Review, 33-104, 59, available at </w:t>
      </w:r>
      <w:hyperlink r:id="rId1" w:history="1">
        <w:r w:rsidRPr="00AB51C1">
          <w:rPr>
            <w:rStyle w:val="Hyperlink"/>
            <w:rFonts w:asciiTheme="majorHAnsi" w:hAnsiTheme="majorHAnsi" w:cstheme="majorHAnsi"/>
            <w:sz w:val="18"/>
            <w:szCs w:val="18"/>
          </w:rPr>
          <w:t>https://lawecommons.luc.edu/lclr/vol28/iss1/3</w:t>
        </w:r>
      </w:hyperlink>
      <w:r w:rsidRPr="00AB51C1">
        <w:rPr>
          <w:rFonts w:asciiTheme="majorHAnsi" w:hAnsiTheme="majorHAnsi" w:cstheme="majorHAnsi"/>
          <w:sz w:val="18"/>
          <w:szCs w:val="18"/>
        </w:rPr>
        <w:t xml:space="preserve">. </w:t>
      </w:r>
    </w:p>
  </w:footnote>
  <w:footnote w:id="9">
    <w:p w14:paraId="257E67C6" w14:textId="77777777" w:rsidR="00455230" w:rsidRPr="00DA2DD9" w:rsidRDefault="00455230" w:rsidP="00455230">
      <w:pPr>
        <w:pStyle w:val="FootnoteText"/>
        <w:jc w:val="both"/>
        <w:rPr>
          <w:rFonts w:asciiTheme="majorHAnsi" w:hAnsiTheme="majorHAnsi" w:cstheme="majorHAnsi"/>
        </w:rPr>
      </w:pPr>
      <w:r w:rsidRPr="00DA2DD9">
        <w:rPr>
          <w:rStyle w:val="FootnoteReference"/>
          <w:rFonts w:asciiTheme="majorHAnsi" w:hAnsiTheme="majorHAnsi" w:cstheme="majorHAnsi"/>
          <w:sz w:val="18"/>
          <w:szCs w:val="18"/>
        </w:rPr>
        <w:footnoteRef/>
      </w:r>
      <w:r w:rsidRPr="00DA2DD9">
        <w:rPr>
          <w:rFonts w:asciiTheme="majorHAnsi" w:hAnsiTheme="majorHAnsi" w:cstheme="majorHAnsi"/>
          <w:sz w:val="18"/>
          <w:szCs w:val="18"/>
        </w:rPr>
        <w:t xml:space="preserve"> Se</w:t>
      </w:r>
      <w:r>
        <w:rPr>
          <w:rFonts w:asciiTheme="majorHAnsi" w:hAnsiTheme="majorHAnsi" w:cstheme="majorHAnsi"/>
          <w:sz w:val="18"/>
          <w:szCs w:val="18"/>
        </w:rPr>
        <w:t>e</w:t>
      </w:r>
      <w:r w:rsidRPr="00DA2DD9">
        <w:rPr>
          <w:rFonts w:asciiTheme="majorHAnsi" w:hAnsiTheme="majorHAnsi" w:cstheme="majorHAnsi"/>
          <w:sz w:val="18"/>
          <w:szCs w:val="18"/>
        </w:rPr>
        <w:t xml:space="preserve"> BETTER FINANCE Assessment of the European Supervisory Authorities’ Reports on Costs and Performance of Retail Investment Products, </w:t>
      </w:r>
      <w:hyperlink r:id="rId2" w:history="1">
        <w:r w:rsidRPr="00DA2DD9">
          <w:rPr>
            <w:rStyle w:val="Hyperlink"/>
            <w:rFonts w:asciiTheme="majorHAnsi" w:hAnsiTheme="majorHAnsi" w:cstheme="majorHAnsi"/>
            <w:sz w:val="18"/>
            <w:szCs w:val="18"/>
          </w:rPr>
          <w:t>https://betterfinance.eu/wp-content/uploads/BETTER-FINANCE-Assessment-ESAs-reports-FINAL-Feb-2019.pdf</w:t>
        </w:r>
      </w:hyperlink>
      <w:r w:rsidRPr="00DA2DD9">
        <w:rPr>
          <w:rFonts w:asciiTheme="majorHAnsi" w:hAnsiTheme="majorHAnsi" w:cstheme="majorHAnsi"/>
          <w:sz w:val="18"/>
          <w:szCs w:val="18"/>
        </w:rPr>
        <w:t xml:space="preserve">. </w:t>
      </w:r>
    </w:p>
  </w:footnote>
  <w:footnote w:id="10">
    <w:p w14:paraId="7D5FDF4F" w14:textId="77777777" w:rsidR="00455230" w:rsidRPr="0096352E" w:rsidRDefault="00455230" w:rsidP="00455230">
      <w:pPr>
        <w:pStyle w:val="FootnoteText"/>
        <w:jc w:val="both"/>
        <w:rPr>
          <w:rFonts w:asciiTheme="majorHAnsi" w:hAnsiTheme="majorHAnsi" w:cstheme="majorHAnsi"/>
        </w:rPr>
      </w:pPr>
      <w:r w:rsidRPr="0096352E">
        <w:rPr>
          <w:rStyle w:val="FootnoteReference"/>
          <w:rFonts w:asciiTheme="majorHAnsi" w:hAnsiTheme="majorHAnsi" w:cstheme="majorHAnsi"/>
          <w:sz w:val="18"/>
          <w:szCs w:val="18"/>
        </w:rPr>
        <w:footnoteRef/>
      </w:r>
      <w:r w:rsidRPr="0096352E">
        <w:rPr>
          <w:rFonts w:asciiTheme="majorHAnsi" w:hAnsiTheme="majorHAnsi" w:cstheme="majorHAnsi"/>
          <w:sz w:val="18"/>
          <w:szCs w:val="18"/>
        </w:rPr>
        <w:t xml:space="preserve"> BETTER FINANCE desk </w:t>
      </w:r>
      <w:r w:rsidRPr="00CD1009">
        <w:rPr>
          <w:rFonts w:asciiTheme="majorHAnsi" w:hAnsiTheme="majorHAnsi" w:cstheme="majorHAnsi"/>
          <w:sz w:val="18"/>
          <w:szCs w:val="18"/>
        </w:rPr>
        <w:t>research did not find any document clearly</w:t>
      </w:r>
      <w:r w:rsidRPr="0096352E">
        <w:rPr>
          <w:rFonts w:asciiTheme="majorHAnsi" w:hAnsiTheme="majorHAnsi" w:cstheme="majorHAnsi"/>
          <w:sz w:val="18"/>
          <w:szCs w:val="18"/>
        </w:rPr>
        <w:t xml:space="preserve"> spelling out that future performance is a better and more meaningful way to communicate the </w:t>
      </w:r>
      <w:r>
        <w:rPr>
          <w:rFonts w:asciiTheme="majorHAnsi" w:hAnsiTheme="majorHAnsi" w:cstheme="majorHAnsi"/>
          <w:sz w:val="18"/>
          <w:szCs w:val="18"/>
        </w:rPr>
        <w:t xml:space="preserve">key performance </w:t>
      </w:r>
      <w:r w:rsidRPr="0096352E">
        <w:rPr>
          <w:rFonts w:asciiTheme="majorHAnsi" w:hAnsiTheme="majorHAnsi" w:cstheme="majorHAnsi"/>
          <w:sz w:val="18"/>
          <w:szCs w:val="18"/>
        </w:rPr>
        <w:t xml:space="preserve">data of </w:t>
      </w:r>
      <w:r>
        <w:rPr>
          <w:rFonts w:asciiTheme="majorHAnsi" w:hAnsiTheme="majorHAnsi" w:cstheme="majorHAnsi"/>
          <w:sz w:val="18"/>
          <w:szCs w:val="18"/>
        </w:rPr>
        <w:t xml:space="preserve">a </w:t>
      </w:r>
      <w:r w:rsidRPr="0096352E">
        <w:rPr>
          <w:rFonts w:asciiTheme="majorHAnsi" w:hAnsiTheme="majorHAnsi" w:cstheme="majorHAnsi"/>
          <w:sz w:val="18"/>
          <w:szCs w:val="18"/>
        </w:rPr>
        <w:t>PRIIP.</w:t>
      </w:r>
    </w:p>
  </w:footnote>
  <w:footnote w:id="11">
    <w:p w14:paraId="6206C55F" w14:textId="77777777" w:rsidR="00455230" w:rsidRPr="007A31AA" w:rsidRDefault="00455230" w:rsidP="00455230">
      <w:pPr>
        <w:autoSpaceDE w:val="0"/>
        <w:autoSpaceDN w:val="0"/>
        <w:adjustRightInd w:val="0"/>
        <w:jc w:val="both"/>
        <w:rPr>
          <w:rFonts w:asciiTheme="majorHAnsi" w:hAnsiTheme="majorHAnsi" w:cstheme="majorHAnsi"/>
          <w:i/>
          <w:iCs/>
          <w:sz w:val="16"/>
          <w:szCs w:val="16"/>
        </w:rPr>
      </w:pPr>
      <w:r w:rsidRPr="0021511C">
        <w:rPr>
          <w:rStyle w:val="FootnoteReference"/>
          <w:rFonts w:asciiTheme="majorHAnsi" w:hAnsiTheme="majorHAnsi" w:cstheme="majorHAnsi"/>
          <w:sz w:val="18"/>
          <w:szCs w:val="18"/>
        </w:rPr>
        <w:footnoteRef/>
      </w:r>
      <w:r w:rsidRPr="0021511C">
        <w:rPr>
          <w:rFonts w:asciiTheme="majorHAnsi" w:hAnsiTheme="majorHAnsi" w:cstheme="majorHAnsi"/>
          <w:sz w:val="18"/>
          <w:szCs w:val="18"/>
        </w:rPr>
        <w:t xml:space="preserve"> European Commission, </w:t>
      </w:r>
      <w:r>
        <w:rPr>
          <w:rFonts w:asciiTheme="majorHAnsi" w:hAnsiTheme="majorHAnsi" w:cstheme="majorHAnsi"/>
          <w:sz w:val="18"/>
          <w:szCs w:val="18"/>
        </w:rPr>
        <w:t xml:space="preserve">‘Final Report: </w:t>
      </w:r>
      <w:r w:rsidRPr="0021511C">
        <w:rPr>
          <w:rFonts w:asciiTheme="majorHAnsi" w:hAnsiTheme="majorHAnsi" w:cstheme="majorHAnsi"/>
          <w:sz w:val="18"/>
          <w:szCs w:val="18"/>
        </w:rPr>
        <w:t xml:space="preserve">Consumer </w:t>
      </w:r>
      <w:r>
        <w:rPr>
          <w:rFonts w:asciiTheme="majorHAnsi" w:hAnsiTheme="majorHAnsi" w:cstheme="majorHAnsi"/>
          <w:sz w:val="18"/>
          <w:szCs w:val="18"/>
        </w:rPr>
        <w:t>T</w:t>
      </w:r>
      <w:r w:rsidRPr="0021511C">
        <w:rPr>
          <w:rFonts w:asciiTheme="majorHAnsi" w:hAnsiTheme="majorHAnsi" w:cstheme="majorHAnsi"/>
          <w:sz w:val="18"/>
          <w:szCs w:val="18"/>
        </w:rPr>
        <w:t xml:space="preserve">esting </w:t>
      </w:r>
      <w:r>
        <w:rPr>
          <w:rFonts w:asciiTheme="majorHAnsi" w:hAnsiTheme="majorHAnsi" w:cstheme="majorHAnsi"/>
          <w:sz w:val="18"/>
          <w:szCs w:val="18"/>
        </w:rPr>
        <w:t>S</w:t>
      </w:r>
      <w:r w:rsidRPr="0021511C">
        <w:rPr>
          <w:rFonts w:asciiTheme="majorHAnsi" w:hAnsiTheme="majorHAnsi" w:cstheme="majorHAnsi"/>
          <w:sz w:val="18"/>
          <w:szCs w:val="18"/>
        </w:rPr>
        <w:t xml:space="preserve">tudy of the </w:t>
      </w:r>
      <w:r>
        <w:rPr>
          <w:rFonts w:asciiTheme="majorHAnsi" w:hAnsiTheme="majorHAnsi" w:cstheme="majorHAnsi"/>
          <w:sz w:val="18"/>
          <w:szCs w:val="18"/>
        </w:rPr>
        <w:t>P</w:t>
      </w:r>
      <w:r w:rsidRPr="0021511C">
        <w:rPr>
          <w:rFonts w:asciiTheme="majorHAnsi" w:hAnsiTheme="majorHAnsi" w:cstheme="majorHAnsi"/>
          <w:sz w:val="18"/>
          <w:szCs w:val="18"/>
        </w:rPr>
        <w:t xml:space="preserve">ossible </w:t>
      </w:r>
      <w:r>
        <w:rPr>
          <w:rFonts w:asciiTheme="majorHAnsi" w:hAnsiTheme="majorHAnsi" w:cstheme="majorHAnsi"/>
          <w:sz w:val="18"/>
          <w:szCs w:val="18"/>
        </w:rPr>
        <w:t>N</w:t>
      </w:r>
      <w:r w:rsidRPr="0021511C">
        <w:rPr>
          <w:rFonts w:asciiTheme="majorHAnsi" w:hAnsiTheme="majorHAnsi" w:cstheme="majorHAnsi"/>
          <w:sz w:val="18"/>
          <w:szCs w:val="18"/>
        </w:rPr>
        <w:t xml:space="preserve">ew </w:t>
      </w:r>
      <w:r>
        <w:rPr>
          <w:rFonts w:asciiTheme="majorHAnsi" w:hAnsiTheme="majorHAnsi" w:cstheme="majorHAnsi"/>
          <w:sz w:val="18"/>
          <w:szCs w:val="18"/>
        </w:rPr>
        <w:t>F</w:t>
      </w:r>
      <w:r w:rsidRPr="0021511C">
        <w:rPr>
          <w:rFonts w:asciiTheme="majorHAnsi" w:hAnsiTheme="majorHAnsi" w:cstheme="majorHAnsi"/>
          <w:sz w:val="18"/>
          <w:szCs w:val="18"/>
        </w:rPr>
        <w:t xml:space="preserve">ormat and </w:t>
      </w:r>
      <w:r>
        <w:rPr>
          <w:rFonts w:asciiTheme="majorHAnsi" w:hAnsiTheme="majorHAnsi" w:cstheme="majorHAnsi"/>
          <w:sz w:val="18"/>
          <w:szCs w:val="18"/>
        </w:rPr>
        <w:t>C</w:t>
      </w:r>
      <w:r w:rsidRPr="0021511C">
        <w:rPr>
          <w:rFonts w:asciiTheme="majorHAnsi" w:hAnsiTheme="majorHAnsi" w:cstheme="majorHAnsi"/>
          <w:sz w:val="18"/>
          <w:szCs w:val="18"/>
        </w:rPr>
        <w:t xml:space="preserve">ontent of for </w:t>
      </w:r>
      <w:r>
        <w:rPr>
          <w:rFonts w:asciiTheme="majorHAnsi" w:hAnsiTheme="majorHAnsi" w:cstheme="majorHAnsi"/>
          <w:sz w:val="18"/>
          <w:szCs w:val="18"/>
        </w:rPr>
        <w:t>R</w:t>
      </w:r>
      <w:r w:rsidRPr="0021511C">
        <w:rPr>
          <w:rFonts w:asciiTheme="majorHAnsi" w:hAnsiTheme="majorHAnsi" w:cstheme="majorHAnsi"/>
          <w:sz w:val="18"/>
          <w:szCs w:val="18"/>
        </w:rPr>
        <w:t xml:space="preserve">etail </w:t>
      </w:r>
      <w:r>
        <w:rPr>
          <w:rFonts w:asciiTheme="majorHAnsi" w:hAnsiTheme="majorHAnsi" w:cstheme="majorHAnsi"/>
          <w:sz w:val="18"/>
          <w:szCs w:val="18"/>
        </w:rPr>
        <w:t>D</w:t>
      </w:r>
      <w:r w:rsidRPr="0021511C">
        <w:rPr>
          <w:rFonts w:asciiTheme="majorHAnsi" w:hAnsiTheme="majorHAnsi" w:cstheme="majorHAnsi"/>
          <w:sz w:val="18"/>
          <w:szCs w:val="18"/>
        </w:rPr>
        <w:t xml:space="preserve">isclosures of </w:t>
      </w:r>
      <w:r>
        <w:rPr>
          <w:rFonts w:asciiTheme="majorHAnsi" w:hAnsiTheme="majorHAnsi" w:cstheme="majorHAnsi"/>
          <w:sz w:val="18"/>
          <w:szCs w:val="18"/>
        </w:rPr>
        <w:t>P</w:t>
      </w:r>
      <w:r w:rsidRPr="0021511C">
        <w:rPr>
          <w:rFonts w:asciiTheme="majorHAnsi" w:hAnsiTheme="majorHAnsi" w:cstheme="majorHAnsi"/>
          <w:sz w:val="18"/>
          <w:szCs w:val="18"/>
        </w:rPr>
        <w:t xml:space="preserve">ackaged </w:t>
      </w:r>
      <w:r>
        <w:rPr>
          <w:rFonts w:asciiTheme="majorHAnsi" w:hAnsiTheme="majorHAnsi" w:cstheme="majorHAnsi"/>
          <w:sz w:val="18"/>
          <w:szCs w:val="18"/>
        </w:rPr>
        <w:t>R</w:t>
      </w:r>
      <w:r w:rsidRPr="0021511C">
        <w:rPr>
          <w:rFonts w:asciiTheme="majorHAnsi" w:hAnsiTheme="majorHAnsi" w:cstheme="majorHAnsi"/>
          <w:sz w:val="18"/>
          <w:szCs w:val="18"/>
        </w:rPr>
        <w:t xml:space="preserve">etail and </w:t>
      </w:r>
      <w:r>
        <w:rPr>
          <w:rFonts w:asciiTheme="majorHAnsi" w:hAnsiTheme="majorHAnsi" w:cstheme="majorHAnsi"/>
          <w:sz w:val="18"/>
          <w:szCs w:val="18"/>
        </w:rPr>
        <w:t>I</w:t>
      </w:r>
      <w:r w:rsidRPr="0021511C">
        <w:rPr>
          <w:rFonts w:asciiTheme="majorHAnsi" w:hAnsiTheme="majorHAnsi" w:cstheme="majorHAnsi"/>
          <w:sz w:val="18"/>
          <w:szCs w:val="18"/>
        </w:rPr>
        <w:t xml:space="preserve">nsurance-based </w:t>
      </w:r>
      <w:r>
        <w:rPr>
          <w:rFonts w:asciiTheme="majorHAnsi" w:hAnsiTheme="majorHAnsi" w:cstheme="majorHAnsi"/>
          <w:sz w:val="18"/>
          <w:szCs w:val="18"/>
        </w:rPr>
        <w:t>I</w:t>
      </w:r>
      <w:r w:rsidRPr="0021511C">
        <w:rPr>
          <w:rFonts w:asciiTheme="majorHAnsi" w:hAnsiTheme="majorHAnsi" w:cstheme="majorHAnsi"/>
          <w:sz w:val="18"/>
          <w:szCs w:val="18"/>
        </w:rPr>
        <w:t xml:space="preserve">nvestment </w:t>
      </w:r>
      <w:r>
        <w:rPr>
          <w:rFonts w:asciiTheme="majorHAnsi" w:hAnsiTheme="majorHAnsi" w:cstheme="majorHAnsi"/>
          <w:sz w:val="18"/>
          <w:szCs w:val="18"/>
        </w:rPr>
        <w:t>P</w:t>
      </w:r>
      <w:r w:rsidRPr="0021511C">
        <w:rPr>
          <w:rFonts w:asciiTheme="majorHAnsi" w:hAnsiTheme="majorHAnsi" w:cstheme="majorHAnsi"/>
          <w:sz w:val="18"/>
          <w:szCs w:val="18"/>
        </w:rPr>
        <w:t>roducts’ (2015)</w:t>
      </w:r>
      <w:r w:rsidRPr="0021511C">
        <w:rPr>
          <w:rFonts w:asciiTheme="majorHAnsi" w:hAnsiTheme="majorHAnsi" w:cstheme="majorHAnsi"/>
          <w:i/>
          <w:iCs/>
          <w:sz w:val="18"/>
          <w:szCs w:val="18"/>
        </w:rPr>
        <w:t xml:space="preserve"> </w:t>
      </w:r>
      <w:r w:rsidRPr="0021511C">
        <w:rPr>
          <w:rFonts w:asciiTheme="majorHAnsi" w:hAnsiTheme="majorHAnsi" w:cstheme="majorHAnsi"/>
          <w:sz w:val="18"/>
          <w:szCs w:val="18"/>
        </w:rPr>
        <w:t>18,</w:t>
      </w:r>
      <w:r>
        <w:rPr>
          <w:rFonts w:asciiTheme="majorHAnsi" w:hAnsiTheme="majorHAnsi" w:cstheme="majorHAnsi"/>
          <w:sz w:val="18"/>
          <w:szCs w:val="18"/>
        </w:rPr>
        <w:t xml:space="preserve"> hereinafter “PRIIPs CTE 2015”</w:t>
      </w:r>
      <w:r w:rsidRPr="0021511C">
        <w:rPr>
          <w:rFonts w:asciiTheme="majorHAnsi" w:hAnsiTheme="majorHAnsi" w:cstheme="majorHAnsi"/>
          <w:sz w:val="18"/>
          <w:szCs w:val="18"/>
        </w:rPr>
        <w:t xml:space="preserve"> available </w:t>
      </w:r>
      <w:hyperlink r:id="rId3" w:history="1">
        <w:r w:rsidRPr="007A31AA">
          <w:rPr>
            <w:rStyle w:val="Hyperlink"/>
            <w:rFonts w:asciiTheme="majorHAnsi" w:hAnsiTheme="majorHAnsi" w:cstheme="majorHAnsi"/>
            <w:sz w:val="18"/>
            <w:szCs w:val="18"/>
          </w:rPr>
          <w:t>https://ec.europa.eu/info/sites/info/files/consumer-testing-study-2015_en.pdf</w:t>
        </w:r>
      </w:hyperlink>
      <w:r>
        <w:rPr>
          <w:rFonts w:asciiTheme="majorHAnsi" w:hAnsiTheme="majorHAnsi" w:cstheme="majorHAnsi"/>
          <w:sz w:val="18"/>
          <w:szCs w:val="18"/>
        </w:rPr>
        <w:t>, emphasis added.</w:t>
      </w:r>
    </w:p>
  </w:footnote>
  <w:footnote w:id="12">
    <w:p w14:paraId="38CEA81A" w14:textId="77777777" w:rsidR="00455230" w:rsidRDefault="00455230" w:rsidP="00455230">
      <w:pPr>
        <w:pStyle w:val="FootnoteText"/>
      </w:pPr>
      <w:r w:rsidRPr="007A31AA">
        <w:rPr>
          <w:rStyle w:val="FootnoteReference"/>
          <w:rFonts w:asciiTheme="majorHAnsi" w:hAnsiTheme="majorHAnsi" w:cstheme="majorHAnsi"/>
          <w:sz w:val="18"/>
          <w:szCs w:val="18"/>
        </w:rPr>
        <w:footnoteRef/>
      </w:r>
      <w:r w:rsidRPr="007A31AA">
        <w:rPr>
          <w:rFonts w:asciiTheme="majorHAnsi" w:hAnsiTheme="majorHAnsi" w:cstheme="majorHAnsi"/>
          <w:sz w:val="18"/>
          <w:szCs w:val="18"/>
        </w:rPr>
        <w:t xml:space="preserve"> PRIIPs CTE 2015 (n 15) page 198.</w:t>
      </w:r>
    </w:p>
  </w:footnote>
  <w:footnote w:id="13">
    <w:p w14:paraId="6B13B812" w14:textId="77777777" w:rsidR="00455230" w:rsidRDefault="00455230" w:rsidP="00455230">
      <w:pPr>
        <w:pStyle w:val="FootnoteText"/>
        <w:jc w:val="both"/>
        <w:rPr>
          <w:rFonts w:asciiTheme="majorHAnsi" w:hAnsiTheme="majorHAnsi" w:cstheme="majorHAnsi"/>
          <w:sz w:val="18"/>
          <w:szCs w:val="18"/>
        </w:rPr>
      </w:pPr>
      <w:r w:rsidRPr="00FA6B63">
        <w:rPr>
          <w:rStyle w:val="FootnoteReference"/>
          <w:rFonts w:asciiTheme="majorHAnsi" w:hAnsiTheme="majorHAnsi" w:cstheme="majorHAnsi"/>
          <w:sz w:val="18"/>
          <w:szCs w:val="18"/>
        </w:rPr>
        <w:footnoteRef/>
      </w:r>
      <w:r w:rsidRPr="00FA6B63">
        <w:rPr>
          <w:rFonts w:asciiTheme="majorHAnsi" w:hAnsiTheme="majorHAnsi" w:cstheme="majorHAnsi"/>
          <w:sz w:val="18"/>
          <w:szCs w:val="18"/>
        </w:rPr>
        <w:t xml:space="preserve"> European Commission</w:t>
      </w:r>
      <w:r>
        <w:rPr>
          <w:rFonts w:asciiTheme="majorHAnsi" w:hAnsiTheme="majorHAnsi" w:cstheme="majorHAnsi"/>
          <w:sz w:val="18"/>
          <w:szCs w:val="18"/>
        </w:rPr>
        <w:t>,</w:t>
      </w:r>
      <w:r w:rsidRPr="00FA6B63">
        <w:rPr>
          <w:rFonts w:asciiTheme="majorHAnsi" w:hAnsiTheme="majorHAnsi" w:cstheme="majorHAnsi"/>
          <w:sz w:val="18"/>
          <w:szCs w:val="18"/>
        </w:rPr>
        <w:t xml:space="preserve"> </w:t>
      </w:r>
      <w:r>
        <w:rPr>
          <w:rFonts w:asciiTheme="majorHAnsi" w:hAnsiTheme="majorHAnsi" w:cstheme="majorHAnsi"/>
          <w:sz w:val="18"/>
          <w:szCs w:val="18"/>
        </w:rPr>
        <w:t>‘</w:t>
      </w:r>
      <w:r w:rsidRPr="00FA6B63">
        <w:rPr>
          <w:rFonts w:asciiTheme="majorHAnsi" w:hAnsiTheme="majorHAnsi" w:cstheme="majorHAnsi"/>
          <w:sz w:val="18"/>
          <w:szCs w:val="18"/>
        </w:rPr>
        <w:t xml:space="preserve">Impact Assessment Accompanying the document Proposal for a Regulation of the European Parliament and of the Council on </w:t>
      </w:r>
      <w:r>
        <w:rPr>
          <w:rFonts w:asciiTheme="majorHAnsi" w:hAnsiTheme="majorHAnsi" w:cstheme="majorHAnsi"/>
          <w:sz w:val="18"/>
          <w:szCs w:val="18"/>
        </w:rPr>
        <w:t>K</w:t>
      </w:r>
      <w:r w:rsidRPr="00FA6B63">
        <w:rPr>
          <w:rFonts w:asciiTheme="majorHAnsi" w:hAnsiTheme="majorHAnsi" w:cstheme="majorHAnsi"/>
          <w:sz w:val="18"/>
          <w:szCs w:val="18"/>
        </w:rPr>
        <w:t xml:space="preserve">ey </w:t>
      </w:r>
      <w:r>
        <w:rPr>
          <w:rFonts w:asciiTheme="majorHAnsi" w:hAnsiTheme="majorHAnsi" w:cstheme="majorHAnsi"/>
          <w:sz w:val="18"/>
          <w:szCs w:val="18"/>
        </w:rPr>
        <w:t>I</w:t>
      </w:r>
      <w:r w:rsidRPr="00FA6B63">
        <w:rPr>
          <w:rFonts w:asciiTheme="majorHAnsi" w:hAnsiTheme="majorHAnsi" w:cstheme="majorHAnsi"/>
          <w:sz w:val="18"/>
          <w:szCs w:val="18"/>
        </w:rPr>
        <w:t xml:space="preserve">nformation </w:t>
      </w:r>
      <w:r>
        <w:rPr>
          <w:rFonts w:asciiTheme="majorHAnsi" w:hAnsiTheme="majorHAnsi" w:cstheme="majorHAnsi"/>
          <w:sz w:val="18"/>
          <w:szCs w:val="18"/>
        </w:rPr>
        <w:t>D</w:t>
      </w:r>
      <w:r w:rsidRPr="00FA6B63">
        <w:rPr>
          <w:rFonts w:asciiTheme="majorHAnsi" w:hAnsiTheme="majorHAnsi" w:cstheme="majorHAnsi"/>
          <w:sz w:val="18"/>
          <w:szCs w:val="18"/>
        </w:rPr>
        <w:t xml:space="preserve">ocuments for </w:t>
      </w:r>
      <w:r>
        <w:rPr>
          <w:rFonts w:asciiTheme="majorHAnsi" w:hAnsiTheme="majorHAnsi" w:cstheme="majorHAnsi"/>
          <w:sz w:val="18"/>
          <w:szCs w:val="18"/>
        </w:rPr>
        <w:t>I</w:t>
      </w:r>
      <w:r w:rsidRPr="00FA6B63">
        <w:rPr>
          <w:rFonts w:asciiTheme="majorHAnsi" w:hAnsiTheme="majorHAnsi" w:cstheme="majorHAnsi"/>
          <w:sz w:val="18"/>
          <w:szCs w:val="18"/>
        </w:rPr>
        <w:t xml:space="preserve">nvestment </w:t>
      </w:r>
      <w:r>
        <w:rPr>
          <w:rFonts w:asciiTheme="majorHAnsi" w:hAnsiTheme="majorHAnsi" w:cstheme="majorHAnsi"/>
          <w:sz w:val="18"/>
          <w:szCs w:val="18"/>
        </w:rPr>
        <w:t>P</w:t>
      </w:r>
      <w:r w:rsidRPr="00FA6B63">
        <w:rPr>
          <w:rFonts w:asciiTheme="majorHAnsi" w:hAnsiTheme="majorHAnsi" w:cstheme="majorHAnsi"/>
          <w:sz w:val="18"/>
          <w:szCs w:val="18"/>
        </w:rPr>
        <w:t>roducts, COM(2012) 352 final, page 18, hereinafter “COM IA”, available here</w:t>
      </w:r>
      <w:r>
        <w:rPr>
          <w:rFonts w:asciiTheme="majorHAnsi" w:hAnsiTheme="majorHAnsi" w:cstheme="majorHAnsi"/>
          <w:sz w:val="18"/>
          <w:szCs w:val="18"/>
        </w:rPr>
        <w:t> </w:t>
      </w:r>
    </w:p>
    <w:p w14:paraId="6E898771" w14:textId="77777777" w:rsidR="00455230" w:rsidRPr="00FA6B63" w:rsidRDefault="00070C03" w:rsidP="00455230">
      <w:pPr>
        <w:pStyle w:val="FootnoteText"/>
        <w:jc w:val="both"/>
        <w:rPr>
          <w:rFonts w:asciiTheme="majorHAnsi" w:hAnsiTheme="majorHAnsi" w:cstheme="majorHAnsi"/>
        </w:rPr>
      </w:pPr>
      <w:hyperlink r:id="rId4" w:history="1">
        <w:r w:rsidR="00455230" w:rsidRPr="00FA6B63">
          <w:rPr>
            <w:rStyle w:val="Hyperlink"/>
            <w:rFonts w:asciiTheme="majorHAnsi" w:hAnsiTheme="majorHAnsi" w:cstheme="majorHAnsi"/>
            <w:sz w:val="18"/>
            <w:szCs w:val="18"/>
          </w:rPr>
          <w:t>https://eur-lex.europa.eu/legal-content/EN/TXT/PDF/?uri=CELEX:52012SC0187&amp;from=EN</w:t>
        </w:r>
      </w:hyperlink>
      <w:r w:rsidR="00455230" w:rsidRPr="00FA6B63">
        <w:rPr>
          <w:rFonts w:asciiTheme="majorHAnsi" w:hAnsiTheme="majorHAnsi" w:cstheme="majorHAnsi"/>
          <w:sz w:val="18"/>
          <w:szCs w:val="18"/>
        </w:rPr>
        <w:t xml:space="preserve">. </w:t>
      </w:r>
    </w:p>
  </w:footnote>
  <w:footnote w:id="14">
    <w:p w14:paraId="2D1DF276" w14:textId="77777777" w:rsidR="00455230" w:rsidRPr="00D268E2" w:rsidRDefault="00455230" w:rsidP="00455230">
      <w:pPr>
        <w:pStyle w:val="FootnoteText"/>
        <w:rPr>
          <w:rFonts w:asciiTheme="majorHAnsi" w:hAnsiTheme="majorHAnsi" w:cstheme="majorHAnsi"/>
        </w:rPr>
      </w:pPr>
      <w:r w:rsidRPr="00D268E2">
        <w:rPr>
          <w:rStyle w:val="FootnoteReference"/>
          <w:rFonts w:asciiTheme="majorHAnsi" w:hAnsiTheme="majorHAnsi" w:cstheme="majorHAnsi"/>
          <w:sz w:val="18"/>
          <w:szCs w:val="18"/>
        </w:rPr>
        <w:footnoteRef/>
      </w:r>
      <w:r w:rsidRPr="00D268E2">
        <w:rPr>
          <w:rFonts w:asciiTheme="majorHAnsi" w:hAnsiTheme="majorHAnsi" w:cstheme="majorHAnsi"/>
          <w:sz w:val="18"/>
          <w:szCs w:val="18"/>
        </w:rPr>
        <w:t xml:space="preserve"> PRIIPs CTE 2015 (n 15) 219.</w:t>
      </w:r>
    </w:p>
  </w:footnote>
  <w:footnote w:id="15">
    <w:p w14:paraId="70EB6ECF" w14:textId="77777777" w:rsidR="00455230" w:rsidRPr="00985E18" w:rsidRDefault="00455230" w:rsidP="00455230">
      <w:pPr>
        <w:pStyle w:val="FootnoteText"/>
        <w:rPr>
          <w:rFonts w:asciiTheme="majorHAnsi" w:hAnsiTheme="majorHAnsi" w:cstheme="majorHAnsi"/>
        </w:rPr>
      </w:pPr>
      <w:r w:rsidRPr="00985E18">
        <w:rPr>
          <w:rStyle w:val="FootnoteReference"/>
          <w:rFonts w:asciiTheme="majorHAnsi" w:hAnsiTheme="majorHAnsi" w:cstheme="majorHAnsi"/>
          <w:sz w:val="18"/>
          <w:szCs w:val="18"/>
        </w:rPr>
        <w:footnoteRef/>
      </w:r>
      <w:r w:rsidRPr="00985E18">
        <w:rPr>
          <w:rFonts w:asciiTheme="majorHAnsi" w:hAnsiTheme="majorHAnsi" w:cstheme="majorHAnsi"/>
          <w:sz w:val="18"/>
          <w:szCs w:val="18"/>
        </w:rPr>
        <w:t xml:space="preserve"> N. Gentile, N. Linciano, C. Lucarelli, P. Soccorso, ‘Financial Disclosure, Risk Perception and Investment Choice: Evidence from a Consumer Testing Exercise’ (2015) CONSOB, page 10, hereinafter “CONSOB CTE”, available at:  </w:t>
      </w:r>
      <w:hyperlink r:id="rId5" w:history="1">
        <w:r w:rsidRPr="00985E18">
          <w:rPr>
            <w:rStyle w:val="Hyperlink"/>
            <w:rFonts w:asciiTheme="majorHAnsi" w:hAnsiTheme="majorHAnsi" w:cstheme="majorHAnsi"/>
            <w:sz w:val="18"/>
            <w:szCs w:val="18"/>
          </w:rPr>
          <w:t>http://www.consob.it/documents/11973/204072/qdf82.pdf/58dc22f8-504b-4bad-9679-610306359dfc</w:t>
        </w:r>
      </w:hyperlink>
      <w:r w:rsidRPr="00985E18">
        <w:rPr>
          <w:rFonts w:asciiTheme="majorHAnsi" w:hAnsiTheme="majorHAnsi" w:cstheme="majorHAnsi"/>
          <w:sz w:val="18"/>
          <w:szCs w:val="18"/>
        </w:rPr>
        <w:t xml:space="preserve">. </w:t>
      </w:r>
    </w:p>
  </w:footnote>
  <w:footnote w:id="16">
    <w:p w14:paraId="1306E227" w14:textId="032A7E99" w:rsidR="00455230" w:rsidRPr="003313A5" w:rsidRDefault="00455230" w:rsidP="00455230">
      <w:pPr>
        <w:pStyle w:val="FootnoteText"/>
        <w:jc w:val="both"/>
        <w:rPr>
          <w:rFonts w:asciiTheme="majorHAnsi" w:hAnsiTheme="majorHAnsi" w:cstheme="majorHAnsi"/>
        </w:rPr>
      </w:pPr>
      <w:r w:rsidRPr="008F62AD">
        <w:rPr>
          <w:rStyle w:val="FootnoteReference"/>
          <w:rFonts w:asciiTheme="majorHAnsi" w:hAnsiTheme="majorHAnsi" w:cstheme="majorHAnsi"/>
          <w:sz w:val="18"/>
          <w:szCs w:val="18"/>
        </w:rPr>
        <w:footnoteRef/>
      </w:r>
      <w:r w:rsidRPr="003313A5">
        <w:rPr>
          <w:rFonts w:asciiTheme="majorHAnsi" w:hAnsiTheme="majorHAnsi" w:cstheme="majorHAnsi"/>
          <w:sz w:val="18"/>
          <w:szCs w:val="18"/>
        </w:rPr>
        <w:t xml:space="preserve"> COM IA (n 1</w:t>
      </w:r>
      <w:r w:rsidR="00CA4EAD">
        <w:rPr>
          <w:rFonts w:asciiTheme="majorHAnsi" w:hAnsiTheme="majorHAnsi" w:cstheme="majorHAnsi"/>
          <w:sz w:val="18"/>
          <w:szCs w:val="18"/>
        </w:rPr>
        <w:t>2</w:t>
      </w:r>
      <w:r w:rsidRPr="003313A5">
        <w:rPr>
          <w:rFonts w:asciiTheme="majorHAnsi" w:hAnsiTheme="majorHAnsi" w:cstheme="majorHAnsi"/>
          <w:sz w:val="18"/>
          <w:szCs w:val="18"/>
        </w:rPr>
        <w:t>) 6-8.</w:t>
      </w:r>
    </w:p>
  </w:footnote>
  <w:footnote w:id="17">
    <w:p w14:paraId="0A1EBBD3" w14:textId="194F43EC" w:rsidR="00455230" w:rsidRPr="00CA4EAD" w:rsidRDefault="00455230" w:rsidP="00455230">
      <w:pPr>
        <w:pStyle w:val="FootnoteText"/>
        <w:rPr>
          <w:rFonts w:asciiTheme="majorHAnsi" w:hAnsiTheme="majorHAnsi" w:cstheme="majorHAnsi"/>
          <w:lang w:val="fr-FR"/>
        </w:rPr>
      </w:pPr>
      <w:r w:rsidRPr="001E40A9">
        <w:rPr>
          <w:rStyle w:val="FootnoteReference"/>
          <w:rFonts w:asciiTheme="majorHAnsi" w:hAnsiTheme="majorHAnsi" w:cstheme="majorHAnsi"/>
          <w:sz w:val="18"/>
          <w:szCs w:val="18"/>
        </w:rPr>
        <w:footnoteRef/>
      </w:r>
      <w:r w:rsidRPr="00CA4EAD">
        <w:rPr>
          <w:rFonts w:asciiTheme="majorHAnsi" w:hAnsiTheme="majorHAnsi" w:cstheme="majorHAnsi"/>
          <w:sz w:val="18"/>
          <w:szCs w:val="18"/>
          <w:lang w:val="fr-FR"/>
        </w:rPr>
        <w:t xml:space="preserve"> Gentile, Linciano, Lucarelli, Soccorso (n 1</w:t>
      </w:r>
      <w:r w:rsidR="00CA4EAD" w:rsidRPr="00CA4EAD">
        <w:rPr>
          <w:rFonts w:asciiTheme="majorHAnsi" w:hAnsiTheme="majorHAnsi" w:cstheme="majorHAnsi"/>
          <w:sz w:val="18"/>
          <w:szCs w:val="18"/>
          <w:lang w:val="fr-FR"/>
        </w:rPr>
        <w:t>4</w:t>
      </w:r>
      <w:r w:rsidRPr="00CA4EAD">
        <w:rPr>
          <w:rFonts w:asciiTheme="majorHAnsi" w:hAnsiTheme="majorHAnsi" w:cstheme="majorHAnsi"/>
          <w:sz w:val="18"/>
          <w:szCs w:val="18"/>
          <w:lang w:val="fr-FR"/>
        </w:rPr>
        <w:t>) 16-19.</w:t>
      </w:r>
    </w:p>
  </w:footnote>
  <w:footnote w:id="18">
    <w:p w14:paraId="58185655" w14:textId="77777777" w:rsidR="00455230" w:rsidRPr="008C42FB" w:rsidRDefault="00455230" w:rsidP="00455230">
      <w:pPr>
        <w:pStyle w:val="FootnoteText"/>
        <w:jc w:val="both"/>
        <w:rPr>
          <w:rFonts w:asciiTheme="majorHAnsi" w:hAnsiTheme="majorHAnsi" w:cstheme="majorHAnsi"/>
        </w:rPr>
      </w:pPr>
      <w:r w:rsidRPr="008C42FB">
        <w:rPr>
          <w:rStyle w:val="FootnoteReference"/>
          <w:rFonts w:asciiTheme="majorHAnsi" w:hAnsiTheme="majorHAnsi" w:cstheme="majorHAnsi"/>
          <w:sz w:val="18"/>
          <w:szCs w:val="18"/>
        </w:rPr>
        <w:footnoteRef/>
      </w:r>
      <w:r w:rsidRPr="008C42FB">
        <w:rPr>
          <w:rFonts w:asciiTheme="majorHAnsi" w:hAnsiTheme="majorHAnsi" w:cstheme="majorHAnsi"/>
          <w:sz w:val="18"/>
          <w:szCs w:val="18"/>
        </w:rPr>
        <w:t xml:space="preserve"> Proposal for a Regulation of the European Parliament and of the Council on key information documents for investment products, COM(2012) 352 final, 2012/0169 (COD). </w:t>
      </w:r>
    </w:p>
  </w:footnote>
  <w:footnote w:id="19">
    <w:p w14:paraId="38B4DC10" w14:textId="77777777" w:rsidR="00455230" w:rsidRPr="0095772A" w:rsidRDefault="00455230" w:rsidP="00455230">
      <w:pPr>
        <w:pStyle w:val="FootnoteText"/>
        <w:jc w:val="both"/>
        <w:rPr>
          <w:rFonts w:asciiTheme="majorHAnsi" w:hAnsiTheme="majorHAnsi" w:cstheme="majorHAnsi"/>
        </w:rPr>
      </w:pPr>
      <w:r w:rsidRPr="0095772A">
        <w:rPr>
          <w:rStyle w:val="FootnoteReference"/>
          <w:rFonts w:asciiTheme="majorHAnsi" w:hAnsiTheme="majorHAnsi" w:cstheme="majorHAnsi"/>
          <w:sz w:val="18"/>
          <w:szCs w:val="18"/>
        </w:rPr>
        <w:footnoteRef/>
      </w:r>
      <w:r w:rsidRPr="0095772A">
        <w:rPr>
          <w:rFonts w:asciiTheme="majorHAnsi" w:hAnsiTheme="majorHAnsi" w:cstheme="majorHAnsi"/>
          <w:sz w:val="18"/>
          <w:szCs w:val="18"/>
        </w:rPr>
        <w:t xml:space="preserve"> Article 44(6)(e) of the MiFID II DA (Commission Regulation (EU) 2017/565 of 25 April 2016 supplementing Directive 2014/65/EU of the European Parliament and of the Council as regards organisational requirements and operating conditions for investment firms and defined terms for the purposes of that Directive, L 87/) and the KIID Regulation (Commission Regulation (EU) No 583/2010 of 1 July 2010 implementing Directive 2009/65/EC of the European Parliament and of the Council as regards key investor information and conditions to be met when providing key investor information or the prospectus in a durable medium other than paper or by means of a website OJ L 176, 10.7.2010, p. 1–15).</w:t>
      </w:r>
    </w:p>
  </w:footnote>
  <w:footnote w:id="20">
    <w:p w14:paraId="0D6B1BD8" w14:textId="77777777" w:rsidR="00455230" w:rsidRPr="0072467C" w:rsidRDefault="00455230" w:rsidP="00455230">
      <w:pPr>
        <w:pStyle w:val="FootnoteText"/>
        <w:jc w:val="both"/>
        <w:rPr>
          <w:rFonts w:asciiTheme="majorHAnsi" w:hAnsiTheme="majorHAnsi" w:cstheme="majorHAnsi"/>
        </w:rPr>
      </w:pPr>
      <w:r w:rsidRPr="0072467C">
        <w:rPr>
          <w:rStyle w:val="FootnoteReference"/>
          <w:rFonts w:asciiTheme="majorHAnsi" w:hAnsiTheme="majorHAnsi" w:cstheme="majorHAnsi"/>
          <w:sz w:val="18"/>
          <w:szCs w:val="18"/>
        </w:rPr>
        <w:footnoteRef/>
      </w:r>
      <w:r w:rsidRPr="0072467C">
        <w:rPr>
          <w:rFonts w:asciiTheme="majorHAnsi" w:hAnsiTheme="majorHAnsi" w:cstheme="majorHAnsi"/>
          <w:sz w:val="18"/>
          <w:szCs w:val="18"/>
        </w:rPr>
        <w:t xml:space="preserve"> Annex II, pt. 9, read in conjunction with pt. 4 of Annex IV of </w:t>
      </w:r>
      <w:r>
        <w:rPr>
          <w:rFonts w:asciiTheme="majorHAnsi" w:hAnsiTheme="majorHAnsi" w:cstheme="majorHAnsi"/>
          <w:sz w:val="18"/>
          <w:szCs w:val="18"/>
        </w:rPr>
        <w:t>Commission Delegated Regulation</w:t>
      </w:r>
      <w:r w:rsidRPr="0072467C">
        <w:rPr>
          <w:rFonts w:asciiTheme="majorHAnsi" w:hAnsiTheme="majorHAnsi" w:cstheme="majorHAnsi"/>
          <w:sz w:val="18"/>
          <w:szCs w:val="18"/>
        </w:rPr>
        <w:t xml:space="preserve">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 OJ L 100/1.</w:t>
      </w:r>
    </w:p>
  </w:footnote>
  <w:footnote w:id="21">
    <w:p w14:paraId="6117F2A0" w14:textId="77777777" w:rsidR="00455230" w:rsidRPr="002A52D0" w:rsidRDefault="00455230" w:rsidP="00455230">
      <w:pPr>
        <w:pStyle w:val="FootnoteText"/>
        <w:jc w:val="both"/>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w:t>
      </w:r>
      <w:r>
        <w:rPr>
          <w:rFonts w:asciiTheme="majorHAnsi" w:hAnsiTheme="majorHAnsi" w:cstheme="majorHAnsi"/>
          <w:sz w:val="18"/>
          <w:szCs w:val="18"/>
        </w:rPr>
        <w:t>Articles 9 and 10 of the founding Regulations (Regulation (EU) 1093/2010 – EBA – Regulation (EU) 1094/2010 - EIOPA - and Regulation (EU) 1095/2010 - ESMA).</w:t>
      </w:r>
    </w:p>
  </w:footnote>
  <w:footnote w:id="22">
    <w:p w14:paraId="6EC3D710" w14:textId="77777777" w:rsidR="00455230" w:rsidRPr="002A52D0" w:rsidRDefault="00455230" w:rsidP="00455230">
      <w:pPr>
        <w:pStyle w:val="FootnoteText"/>
        <w:jc w:val="both"/>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w:t>
      </w:r>
      <w:r>
        <w:rPr>
          <w:rFonts w:asciiTheme="majorHAnsi" w:hAnsiTheme="majorHAnsi" w:cstheme="majorHAnsi"/>
          <w:sz w:val="18"/>
          <w:szCs w:val="18"/>
        </w:rPr>
        <w:t>Article 17(2) of Regulation</w:t>
      </w:r>
      <w:r w:rsidRPr="002F0D5C">
        <w:rPr>
          <w:rFonts w:asciiTheme="majorHAnsi" w:hAnsiTheme="majorHAnsi" w:cstheme="majorHAnsi"/>
          <w:sz w:val="18"/>
          <w:szCs w:val="18"/>
        </w:rPr>
        <w:t xml:space="preserve"> (EU) 2019/1156 </w:t>
      </w:r>
      <w:r>
        <w:rPr>
          <w:rFonts w:asciiTheme="majorHAnsi" w:hAnsiTheme="majorHAnsi" w:cstheme="majorHAnsi"/>
          <w:sz w:val="18"/>
          <w:szCs w:val="18"/>
        </w:rPr>
        <w:t>of the European Parliament and of the Council</w:t>
      </w:r>
      <w:r w:rsidRPr="002F0D5C">
        <w:rPr>
          <w:rFonts w:asciiTheme="majorHAnsi" w:hAnsiTheme="majorHAnsi" w:cstheme="majorHAnsi"/>
          <w:sz w:val="18"/>
          <w:szCs w:val="18"/>
        </w:rPr>
        <w:t xml:space="preserve"> of 20 June 2019 on facilitating cross-border distribution of collective investment undertakings and amending Regulations (EU) No 345/2013, (EU) No 346/2013 and (EU) No 1286/2014</w:t>
      </w:r>
      <w:r>
        <w:rPr>
          <w:rFonts w:asciiTheme="majorHAnsi" w:hAnsiTheme="majorHAnsi" w:cstheme="majorHAnsi"/>
          <w:sz w:val="18"/>
          <w:szCs w:val="18"/>
        </w:rPr>
        <w:t>, OJ L 188/55.</w:t>
      </w:r>
    </w:p>
  </w:footnote>
  <w:footnote w:id="23">
    <w:p w14:paraId="6A1E7313" w14:textId="77777777" w:rsidR="00455230" w:rsidRPr="002A52D0" w:rsidRDefault="00455230" w:rsidP="00455230">
      <w:pPr>
        <w:pStyle w:val="FootnoteText"/>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Own translation, see BaFin Journal (November 2019), page 10</w:t>
      </w:r>
      <w:r>
        <w:rPr>
          <w:rFonts w:asciiTheme="majorHAnsi" w:hAnsiTheme="majorHAnsi" w:cstheme="majorHAnsi"/>
          <w:sz w:val="18"/>
          <w:szCs w:val="18"/>
        </w:rPr>
        <w:t xml:space="preserve">, </w:t>
      </w:r>
      <w:r>
        <w:rPr>
          <w:rFonts w:asciiTheme="majorHAnsi" w:hAnsiTheme="majorHAnsi" w:cstheme="majorHAnsi"/>
          <w:i/>
          <w:iCs/>
          <w:sz w:val="18"/>
          <w:szCs w:val="18"/>
        </w:rPr>
        <w:t xml:space="preserve">emphasis added </w:t>
      </w:r>
      <w:hyperlink r:id="rId6" w:history="1">
        <w:r w:rsidRPr="0072132D">
          <w:rPr>
            <w:rStyle w:val="Hyperlink"/>
            <w:rFonts w:asciiTheme="majorHAnsi" w:hAnsiTheme="majorHAnsi" w:cstheme="majorHAnsi"/>
            <w:sz w:val="18"/>
            <w:szCs w:val="18"/>
          </w:rPr>
          <w:t>https://www.bafin.de/SharedDocs/Downloads/DE/BaFinJournal/2019/bj_1911.pdf;jsessionid=B4261720A6256D3DF312CFA6A739EFF4.1_cid290?__blob=publicationFile&amp;v=4</w:t>
        </w:r>
      </w:hyperlink>
      <w:r>
        <w:rPr>
          <w:rFonts w:asciiTheme="majorHAnsi" w:hAnsiTheme="majorHAnsi" w:cstheme="majorHAnsi"/>
          <w:sz w:val="18"/>
          <w:szCs w:val="18"/>
        </w:rPr>
        <w:t xml:space="preserve">. </w:t>
      </w:r>
    </w:p>
  </w:footnote>
  <w:footnote w:id="24">
    <w:p w14:paraId="2D31A042" w14:textId="77777777" w:rsidR="00455230" w:rsidRPr="002A52D0" w:rsidRDefault="00455230" w:rsidP="00455230">
      <w:pPr>
        <w:pStyle w:val="FootnoteText"/>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w:t>
      </w:r>
      <w:r>
        <w:rPr>
          <w:rFonts w:asciiTheme="majorHAnsi" w:hAnsiTheme="majorHAnsi" w:cstheme="majorHAnsi"/>
          <w:sz w:val="18"/>
          <w:szCs w:val="18"/>
        </w:rPr>
        <w:t xml:space="preserve">Letter of DG FISMA of 19 July 2019 (FISMA C4 LP/mp(2019)5240023) to the Joint Committee of the ESAs explaining the choice of the options for the consumer testing exercise on PRIIPs, available here: </w:t>
      </w:r>
      <w:hyperlink r:id="rId7" w:history="1">
        <w:r w:rsidRPr="00416494">
          <w:rPr>
            <w:rStyle w:val="Hyperlink"/>
            <w:rFonts w:asciiTheme="majorHAnsi" w:hAnsiTheme="majorHAnsi" w:cstheme="majorHAnsi"/>
            <w:sz w:val="18"/>
            <w:szCs w:val="18"/>
          </w:rPr>
          <w:t>https://eiopa.europa.eu/Publications/COM%20letter%20to%20ESAs%20on%20exclusion%20of%20some%20performance%20scenarios%20PRIIPS%20consumer%20testing.pdf</w:t>
        </w:r>
      </w:hyperlink>
      <w:r>
        <w:rPr>
          <w:rFonts w:asciiTheme="majorHAnsi" w:hAnsiTheme="majorHAnsi" w:cstheme="majorHAnsi"/>
          <w:sz w:val="18"/>
          <w:szCs w:val="18"/>
        </w:rPr>
        <w:t xml:space="preserve">. </w:t>
      </w:r>
    </w:p>
  </w:footnote>
  <w:footnote w:id="25">
    <w:p w14:paraId="63DDBD38" w14:textId="77777777" w:rsidR="00455230" w:rsidRPr="002A52D0" w:rsidRDefault="00455230" w:rsidP="00455230">
      <w:pPr>
        <w:pStyle w:val="FootnoteText"/>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w:t>
      </w:r>
      <w:r>
        <w:rPr>
          <w:rFonts w:asciiTheme="majorHAnsi" w:hAnsiTheme="majorHAnsi" w:cstheme="majorHAnsi"/>
          <w:sz w:val="18"/>
          <w:szCs w:val="18"/>
        </w:rPr>
        <w:t xml:space="preserve">Letter of the Joint Committee of the ESAs to the Director-General of DG FISMA of 23 May 2019 (JC 2019 46) proposing options for the consumer testing exercise on PRIIPs – available here: </w:t>
      </w:r>
      <w:hyperlink r:id="rId8" w:history="1">
        <w:r w:rsidRPr="00416494">
          <w:rPr>
            <w:rStyle w:val="Hyperlink"/>
            <w:rFonts w:asciiTheme="majorHAnsi" w:hAnsiTheme="majorHAnsi" w:cstheme="majorHAnsi"/>
            <w:sz w:val="18"/>
            <w:szCs w:val="18"/>
          </w:rPr>
          <w:t>https://eiopa.europa.eu/Publications/Standards/JC%202019%20046_PRIIPs_Letter%20on%20consumer%20testing_COM.pdf</w:t>
        </w:r>
      </w:hyperlink>
      <w:r>
        <w:rPr>
          <w:rFonts w:asciiTheme="majorHAnsi" w:hAnsiTheme="majorHAnsi" w:cstheme="majorHAnsi"/>
          <w:sz w:val="18"/>
          <w:szCs w:val="18"/>
        </w:rPr>
        <w:t xml:space="preserve">- Annex of the Letter available here: </w:t>
      </w:r>
      <w:hyperlink r:id="rId9" w:history="1">
        <w:r w:rsidRPr="00416494">
          <w:rPr>
            <w:rStyle w:val="Hyperlink"/>
            <w:rFonts w:asciiTheme="majorHAnsi" w:hAnsiTheme="majorHAnsi" w:cstheme="majorHAnsi"/>
            <w:sz w:val="18"/>
            <w:szCs w:val="18"/>
          </w:rPr>
          <w:t>https://eiopa.europa.eu/Publications/Standards/Annex_PRIIPs_Performance_options_consumer_testing.pdf</w:t>
        </w:r>
      </w:hyperlink>
      <w:r>
        <w:rPr>
          <w:rFonts w:asciiTheme="majorHAnsi" w:hAnsiTheme="majorHAnsi" w:cstheme="majorHAnsi"/>
          <w:sz w:val="18"/>
          <w:szCs w:val="18"/>
        </w:rPr>
        <w:t xml:space="preserve">. </w:t>
      </w:r>
    </w:p>
  </w:footnote>
  <w:footnote w:id="26">
    <w:p w14:paraId="4CB104DB" w14:textId="77777777" w:rsidR="00455230" w:rsidRPr="002A52D0" w:rsidRDefault="00455230" w:rsidP="00455230">
      <w:pPr>
        <w:pStyle w:val="FootnoteText"/>
        <w:jc w:val="both"/>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w:t>
      </w:r>
      <w:r w:rsidRPr="00506FF3">
        <w:rPr>
          <w:rFonts w:asciiTheme="majorHAnsi" w:hAnsiTheme="majorHAnsi" w:cstheme="majorHAnsi"/>
          <w:sz w:val="18"/>
          <w:szCs w:val="18"/>
        </w:rPr>
        <w:t>R</w:t>
      </w:r>
      <w:r>
        <w:rPr>
          <w:rFonts w:asciiTheme="majorHAnsi" w:hAnsiTheme="majorHAnsi" w:cstheme="majorHAnsi"/>
          <w:sz w:val="18"/>
          <w:szCs w:val="18"/>
        </w:rPr>
        <w:t>egulation</w:t>
      </w:r>
      <w:r w:rsidRPr="00506FF3">
        <w:rPr>
          <w:rFonts w:asciiTheme="majorHAnsi" w:hAnsiTheme="majorHAnsi" w:cstheme="majorHAnsi"/>
          <w:sz w:val="18"/>
          <w:szCs w:val="18"/>
        </w:rPr>
        <w:t xml:space="preserve"> (EU) 2019/1238 </w:t>
      </w:r>
      <w:r>
        <w:rPr>
          <w:rFonts w:asciiTheme="majorHAnsi" w:hAnsiTheme="majorHAnsi" w:cstheme="majorHAnsi"/>
          <w:sz w:val="18"/>
          <w:szCs w:val="18"/>
        </w:rPr>
        <w:t>of the European Parliament and of the Council</w:t>
      </w:r>
      <w:r w:rsidRPr="00506FF3">
        <w:rPr>
          <w:rFonts w:asciiTheme="majorHAnsi" w:hAnsiTheme="majorHAnsi" w:cstheme="majorHAnsi"/>
          <w:sz w:val="18"/>
          <w:szCs w:val="18"/>
        </w:rPr>
        <w:t xml:space="preserve"> 20 June 2019</w:t>
      </w:r>
      <w:r>
        <w:rPr>
          <w:rFonts w:asciiTheme="majorHAnsi" w:hAnsiTheme="majorHAnsi" w:cstheme="majorHAnsi"/>
          <w:sz w:val="18"/>
          <w:szCs w:val="18"/>
        </w:rPr>
        <w:t xml:space="preserve"> </w:t>
      </w:r>
      <w:r w:rsidRPr="00506FF3">
        <w:rPr>
          <w:rFonts w:asciiTheme="majorHAnsi" w:hAnsiTheme="majorHAnsi" w:cstheme="majorHAnsi"/>
          <w:sz w:val="18"/>
          <w:szCs w:val="18"/>
        </w:rPr>
        <w:t>on a pan-European Personal Pension Product (PEPP)</w:t>
      </w:r>
      <w:r>
        <w:rPr>
          <w:rFonts w:asciiTheme="majorHAnsi" w:hAnsiTheme="majorHAnsi" w:cstheme="majorHAnsi"/>
          <w:sz w:val="18"/>
          <w:szCs w:val="18"/>
        </w:rPr>
        <w:t>, OJ L 198/1.</w:t>
      </w:r>
    </w:p>
  </w:footnote>
  <w:footnote w:id="27">
    <w:p w14:paraId="3E141489" w14:textId="77777777" w:rsidR="00455230" w:rsidRPr="00F5302A" w:rsidRDefault="00455230" w:rsidP="00455230">
      <w:pPr>
        <w:pStyle w:val="FootnoteText"/>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w:t>
      </w:r>
      <w:r>
        <w:rPr>
          <w:rFonts w:asciiTheme="majorHAnsi" w:hAnsiTheme="majorHAnsi" w:cstheme="majorHAnsi"/>
          <w:sz w:val="18"/>
          <w:szCs w:val="18"/>
        </w:rPr>
        <w:t>Currently, there are 10 key information sheets (</w:t>
      </w:r>
      <w:r>
        <w:rPr>
          <w:rFonts w:asciiTheme="majorHAnsi" w:hAnsiTheme="majorHAnsi" w:cstheme="majorHAnsi"/>
          <w:i/>
          <w:iCs/>
          <w:sz w:val="18"/>
          <w:szCs w:val="18"/>
        </w:rPr>
        <w:t>produktinformationsbl</w:t>
      </w:r>
      <w:r w:rsidRPr="00F5302A">
        <w:rPr>
          <w:rFonts w:asciiTheme="majorHAnsi" w:hAnsiTheme="majorHAnsi" w:cstheme="majorHAnsi"/>
          <w:i/>
          <w:iCs/>
          <w:sz w:val="18"/>
          <w:szCs w:val="18"/>
        </w:rPr>
        <w:t>ä</w:t>
      </w:r>
      <w:r>
        <w:rPr>
          <w:rFonts w:asciiTheme="majorHAnsi" w:hAnsiTheme="majorHAnsi" w:cstheme="majorHAnsi"/>
          <w:i/>
          <w:iCs/>
          <w:sz w:val="18"/>
          <w:szCs w:val="18"/>
        </w:rPr>
        <w:t>t</w:t>
      </w:r>
      <w:r>
        <w:rPr>
          <w:rFonts w:asciiTheme="majorHAnsi" w:hAnsiTheme="majorHAnsi" w:cstheme="majorHAnsi"/>
          <w:sz w:val="18"/>
          <w:szCs w:val="18"/>
        </w:rPr>
        <w:t>) available on the German retail market.</w:t>
      </w:r>
    </w:p>
  </w:footnote>
  <w:footnote w:id="28">
    <w:p w14:paraId="2364907B" w14:textId="77777777" w:rsidR="00455230" w:rsidRPr="002A52D0" w:rsidRDefault="00455230" w:rsidP="00455230">
      <w:pPr>
        <w:pStyle w:val="FootnoteText"/>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Article </w:t>
      </w:r>
      <w:r>
        <w:rPr>
          <w:rFonts w:asciiTheme="majorHAnsi" w:hAnsiTheme="majorHAnsi" w:cstheme="majorHAnsi"/>
          <w:sz w:val="18"/>
          <w:szCs w:val="18"/>
        </w:rPr>
        <w:t>9(1) of the founding regulations (Regulation (EU) 1093/2010 – EBA – Regulation (EU) 1094/2010 - EIOPA - and Regulation (EU) 1095/2010 – ESMA).</w:t>
      </w:r>
    </w:p>
  </w:footnote>
  <w:footnote w:id="29">
    <w:p w14:paraId="640787D0" w14:textId="77777777" w:rsidR="00455230" w:rsidRDefault="00455230" w:rsidP="00455230">
      <w:pPr>
        <w:pStyle w:val="FootnoteText"/>
        <w:jc w:val="both"/>
        <w:rPr>
          <w:rFonts w:asciiTheme="majorHAnsi" w:hAnsiTheme="majorHAnsi" w:cstheme="majorHAnsi"/>
          <w:sz w:val="18"/>
          <w:szCs w:val="18"/>
        </w:rPr>
      </w:pPr>
      <w:r w:rsidRPr="002A52D0">
        <w:rPr>
          <w:rStyle w:val="FootnoteReference"/>
          <w:rFonts w:asciiTheme="majorHAnsi" w:hAnsiTheme="majorHAnsi" w:cstheme="majorHAnsi"/>
          <w:sz w:val="18"/>
          <w:szCs w:val="18"/>
        </w:rPr>
        <w:footnoteRef/>
      </w:r>
      <w:r w:rsidRPr="002A52D0">
        <w:rPr>
          <w:rFonts w:asciiTheme="majorHAnsi" w:hAnsiTheme="majorHAnsi" w:cstheme="majorHAnsi"/>
          <w:sz w:val="18"/>
          <w:szCs w:val="18"/>
        </w:rPr>
        <w:t xml:space="preserve"> </w:t>
      </w:r>
      <w:r>
        <w:rPr>
          <w:rFonts w:asciiTheme="majorHAnsi" w:hAnsiTheme="majorHAnsi" w:cstheme="majorHAnsi"/>
          <w:sz w:val="18"/>
          <w:szCs w:val="18"/>
        </w:rPr>
        <w:t xml:space="preserve">Joint ESA Supervisory Statement – Application of the Scope of the PRIIPs Regulation to Bonds, (24 October 2019) JC-2019-64, available here </w:t>
      </w:r>
    </w:p>
    <w:p w14:paraId="0FF21B32" w14:textId="77777777" w:rsidR="00455230" w:rsidRPr="002A52D0" w:rsidRDefault="00070C03" w:rsidP="00455230">
      <w:pPr>
        <w:pStyle w:val="FootnoteText"/>
        <w:jc w:val="both"/>
        <w:rPr>
          <w:rFonts w:asciiTheme="majorHAnsi" w:hAnsiTheme="majorHAnsi" w:cstheme="majorHAnsi"/>
          <w:sz w:val="18"/>
          <w:szCs w:val="18"/>
        </w:rPr>
      </w:pPr>
      <w:hyperlink r:id="rId10" w:history="1">
        <w:r w:rsidR="00455230" w:rsidRPr="00416494">
          <w:rPr>
            <w:rStyle w:val="Hyperlink"/>
            <w:rFonts w:asciiTheme="majorHAnsi" w:hAnsiTheme="majorHAnsi" w:cstheme="majorHAnsi"/>
            <w:sz w:val="18"/>
            <w:szCs w:val="18"/>
          </w:rPr>
          <w:t>https://www.esma.europa.eu/sites/default/files/library/jc-2019-64_priips_kid_supervisory_statement_bonds.pdf</w:t>
        </w:r>
      </w:hyperlink>
      <w:r w:rsidR="00455230">
        <w:rPr>
          <w:rFonts w:asciiTheme="majorHAnsi" w:hAnsiTheme="majorHAnsi" w:cstheme="majorHAnsi"/>
          <w:sz w:val="18"/>
          <w:szCs w:val="18"/>
        </w:rPr>
        <w:t xml:space="preserve">. </w:t>
      </w:r>
    </w:p>
  </w:footnote>
  <w:footnote w:id="30">
    <w:p w14:paraId="01B2D837" w14:textId="77777777" w:rsidR="00F85936" w:rsidRPr="00BC2D71" w:rsidRDefault="00F85936" w:rsidP="00F85936">
      <w:pPr>
        <w:pStyle w:val="FootnoteText"/>
        <w:rPr>
          <w:rFonts w:asciiTheme="majorHAnsi" w:hAnsiTheme="majorHAnsi" w:cstheme="majorHAnsi"/>
        </w:rPr>
      </w:pPr>
      <w:r w:rsidRPr="00BC2D71">
        <w:rPr>
          <w:rStyle w:val="FootnoteReference"/>
          <w:rFonts w:asciiTheme="majorHAnsi" w:hAnsiTheme="majorHAnsi" w:cstheme="majorHAnsi"/>
          <w:sz w:val="18"/>
          <w:szCs w:val="18"/>
        </w:rPr>
        <w:footnoteRef/>
      </w:r>
      <w:r w:rsidRPr="00BC2D71">
        <w:rPr>
          <w:rFonts w:asciiTheme="majorHAnsi" w:hAnsiTheme="majorHAnsi" w:cstheme="majorHAnsi"/>
          <w:sz w:val="18"/>
          <w:szCs w:val="18"/>
        </w:rPr>
        <w:t xml:space="preserve"> See European Central Bank, ‘Euro Area Yield Curves’ (accessed 16 December 2019) </w:t>
      </w:r>
      <w:hyperlink r:id="rId11" w:history="1">
        <w:r w:rsidRPr="00BC2D71">
          <w:rPr>
            <w:rStyle w:val="Hyperlink"/>
            <w:rFonts w:asciiTheme="majorHAnsi" w:hAnsiTheme="majorHAnsi" w:cstheme="majorHAnsi"/>
            <w:sz w:val="18"/>
            <w:szCs w:val="18"/>
          </w:rPr>
          <w:t>https://www.ecb.europa.eu/stats/financial_markets_and_interest_rates/euro_area_yield_curves/html/index.en.html</w:t>
        </w:r>
      </w:hyperlink>
      <w:r w:rsidRPr="00BC2D71">
        <w:rPr>
          <w:rFonts w:asciiTheme="majorHAnsi" w:hAnsiTheme="majorHAnsi" w:cstheme="majorHAnsi"/>
          <w:sz w:val="18"/>
          <w:szCs w:val="18"/>
        </w:rPr>
        <w:t xml:space="preserve">. </w:t>
      </w:r>
    </w:p>
  </w:footnote>
  <w:footnote w:id="31">
    <w:p w14:paraId="38D3F9C8" w14:textId="77777777" w:rsidR="00302874" w:rsidRPr="00D20D99" w:rsidRDefault="00302874" w:rsidP="00302874">
      <w:pPr>
        <w:pStyle w:val="FootnoteText"/>
        <w:rPr>
          <w:rFonts w:asciiTheme="majorHAnsi" w:hAnsiTheme="majorHAnsi" w:cstheme="majorHAnsi"/>
        </w:rPr>
      </w:pPr>
      <w:r w:rsidRPr="00D20D99">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For</w:t>
      </w:r>
      <w:r w:rsidRPr="00D20D99">
        <w:rPr>
          <w:rFonts w:asciiTheme="majorHAnsi" w:hAnsiTheme="majorHAnsi" w:cstheme="majorHAnsi"/>
          <w:sz w:val="18"/>
          <w:szCs w:val="18"/>
        </w:rPr>
        <w:t xml:space="preserve"> n (the number of years) </w:t>
      </w:r>
      <w:r w:rsidRPr="00105513">
        <w:rPr>
          <w:rFonts w:asciiTheme="majorHAnsi" w:hAnsiTheme="majorHAnsi" w:cstheme="majorHAnsi"/>
        </w:rPr>
        <w:t xml:space="preserve">= </w:t>
      </w:r>
      <m:oMath>
        <m:sSup>
          <m:sSupPr>
            <m:ctrlPr>
              <w:rPr>
                <w:rFonts w:ascii="Cambria Math" w:hAnsi="Cambria Math" w:cstheme="majorHAnsi"/>
                <w:i/>
              </w:rPr>
            </m:ctrlPr>
          </m:sSupPr>
          <m:e>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σ</m:t>
                    </m:r>
                  </m:e>
                  <m:sub>
                    <m:r>
                      <w:rPr>
                        <w:rFonts w:ascii="Cambria Math" w:hAnsi="Cambria Math" w:cstheme="majorHAnsi"/>
                      </w:rPr>
                      <m:t>sample</m:t>
                    </m:r>
                  </m:sub>
                </m:sSub>
                <m:r>
                  <w:rPr>
                    <w:rFonts w:ascii="Cambria Math" w:hAnsi="Cambria Math" w:cstheme="majorHAnsi"/>
                  </w:rPr>
                  <m:t xml:space="preserve"> x 1.96</m:t>
                </m:r>
              </m:num>
              <m:den>
                <m:r>
                  <w:rPr>
                    <w:rFonts w:ascii="Cambria Math" w:hAnsi="Cambria Math" w:cstheme="majorHAnsi"/>
                  </w:rPr>
                  <m:t>0.005</m:t>
                </m:r>
              </m:den>
            </m:f>
            <m:r>
              <w:rPr>
                <w:rFonts w:ascii="Cambria Math" w:hAnsi="Cambria Math" w:cstheme="majorHAnsi"/>
              </w:rPr>
              <m:t>)</m:t>
            </m:r>
          </m:e>
          <m:sup>
            <m:r>
              <w:rPr>
                <w:rFonts w:ascii="Cambria Math" w:hAnsi="Cambria Math" w:cstheme="majorHAnsi"/>
              </w:rPr>
              <m:t>2</m:t>
            </m:r>
          </m:sup>
        </m:sSup>
      </m:oMath>
      <w:r w:rsidRPr="00105513">
        <w:rPr>
          <w:rFonts w:asciiTheme="majorHAnsi" w:eastAsiaTheme="minorEastAsia" w:hAnsiTheme="majorHAnsi" w:cstheme="majorHAnsi"/>
        </w:rPr>
        <w:t xml:space="preserve">, </w:t>
      </w:r>
      <w:r w:rsidRPr="00D20D99">
        <w:rPr>
          <w:rFonts w:asciiTheme="majorHAnsi" w:eastAsiaTheme="minorEastAsia" w:hAnsiTheme="majorHAnsi" w:cstheme="majorHAnsi"/>
          <w:sz w:val="18"/>
          <w:szCs w:val="18"/>
        </w:rPr>
        <w:t xml:space="preserve">where </w:t>
      </w:r>
      <w:r w:rsidRPr="00105513">
        <w:rPr>
          <w:rFonts w:asciiTheme="majorHAnsi" w:eastAsiaTheme="minorEastAsia" w:hAnsiTheme="majorHAnsi" w:cstheme="majorHAnsi"/>
          <w:b/>
          <w:bCs/>
        </w:rPr>
        <w:t>σ</w:t>
      </w:r>
      <w:r w:rsidRPr="00D20D99">
        <w:rPr>
          <w:rFonts w:asciiTheme="majorHAnsi" w:eastAsiaTheme="minorEastAsia" w:hAnsiTheme="majorHAnsi" w:cstheme="majorHAnsi"/>
          <w:sz w:val="18"/>
          <w:szCs w:val="18"/>
          <w:vertAlign w:val="subscript"/>
        </w:rPr>
        <w:t>sample</w:t>
      </w:r>
      <w:r w:rsidRPr="00D20D99">
        <w:rPr>
          <w:rFonts w:asciiTheme="majorHAnsi" w:eastAsiaTheme="minorEastAsia" w:hAnsiTheme="majorHAnsi" w:cstheme="majorHAnsi"/>
          <w:sz w:val="18"/>
          <w:szCs w:val="18"/>
        </w:rPr>
        <w:t xml:space="preserve"> is the standard deviation of the observed returns</w:t>
      </w:r>
      <w:r>
        <w:rPr>
          <w:rFonts w:asciiTheme="majorHAnsi" w:eastAsiaTheme="minorEastAsia" w:hAnsiTheme="majorHAnsi" w:cstheme="majorHAnsi"/>
          <w:sz w:val="18"/>
          <w:szCs w:val="18"/>
        </w:rPr>
        <w:t>.</w:t>
      </w:r>
    </w:p>
  </w:footnote>
  <w:footnote w:id="32">
    <w:p w14:paraId="0A1F2363" w14:textId="77777777" w:rsidR="003E573C" w:rsidRPr="00653F3B" w:rsidRDefault="003E573C"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 w:id="33">
    <w:p w14:paraId="14DB6F2C" w14:textId="77777777" w:rsidR="001E721B" w:rsidRPr="00B16144" w:rsidRDefault="001E721B" w:rsidP="001E721B">
      <w:pPr>
        <w:pStyle w:val="FootnoteText"/>
        <w:jc w:val="both"/>
        <w:rPr>
          <w:rFonts w:asciiTheme="majorHAnsi" w:hAnsiTheme="majorHAnsi"/>
        </w:rPr>
      </w:pPr>
      <w:r w:rsidRPr="00B16144">
        <w:rPr>
          <w:rStyle w:val="FootnoteReference"/>
          <w:rFonts w:asciiTheme="majorHAnsi" w:hAnsiTheme="majorHAnsi"/>
          <w:sz w:val="18"/>
          <w:szCs w:val="18"/>
        </w:rPr>
        <w:footnoteRef/>
      </w:r>
      <w:r w:rsidRPr="00B16144">
        <w:rPr>
          <w:rFonts w:asciiTheme="majorHAnsi" w:hAnsiTheme="majorHAnsi"/>
          <w:sz w:val="18"/>
          <w:szCs w:val="18"/>
        </w:rPr>
        <w:t xml:space="preserve"> See first the </w:t>
      </w:r>
      <w:r>
        <w:rPr>
          <w:rFonts w:asciiTheme="majorHAnsi" w:hAnsiTheme="majorHAnsi"/>
          <w:sz w:val="18"/>
          <w:szCs w:val="18"/>
        </w:rPr>
        <w:t>BETTER FINANCE, ‘</w:t>
      </w:r>
      <w:r w:rsidRPr="00B16144">
        <w:rPr>
          <w:rFonts w:asciiTheme="majorHAnsi" w:hAnsiTheme="majorHAnsi"/>
          <w:sz w:val="18"/>
          <w:szCs w:val="18"/>
        </w:rPr>
        <w:t>Benchmark Disclosure Compliance Report</w:t>
      </w:r>
      <w:r>
        <w:rPr>
          <w:rFonts w:asciiTheme="majorHAnsi" w:hAnsiTheme="majorHAnsi"/>
          <w:sz w:val="18"/>
          <w:szCs w:val="18"/>
        </w:rPr>
        <w:t>’</w:t>
      </w:r>
      <w:r w:rsidRPr="00B16144">
        <w:rPr>
          <w:rFonts w:asciiTheme="majorHAnsi" w:hAnsiTheme="majorHAnsi"/>
          <w:sz w:val="18"/>
          <w:szCs w:val="18"/>
        </w:rPr>
        <w:t xml:space="preserve"> (2018, </w:t>
      </w:r>
      <w:hyperlink r:id="rId12" w:history="1">
        <w:r w:rsidRPr="00B16144">
          <w:rPr>
            <w:rStyle w:val="Hyperlink"/>
            <w:rFonts w:asciiTheme="majorHAnsi" w:hAnsiTheme="majorHAnsi"/>
            <w:sz w:val="18"/>
            <w:szCs w:val="18"/>
          </w:rPr>
          <w:t>https://betterfinance.eu/wp-content/uploads/PR-Benchmark-Disclosure-Compliance-Research-040618.pdf</w:t>
        </w:r>
      </w:hyperlink>
      <w:r w:rsidRPr="00B16144">
        <w:rPr>
          <w:rFonts w:asciiTheme="majorHAnsi" w:hAnsiTheme="majorHAnsi"/>
          <w:sz w:val="18"/>
          <w:szCs w:val="18"/>
        </w:rPr>
        <w:t>) pages 12-17; see BETTER FINANCE, ‘ESMA reinforces Benchmark Disclosure Requirements for UCITS’ (2019</w:t>
      </w:r>
      <w:r>
        <w:rPr>
          <w:rFonts w:asciiTheme="majorHAnsi" w:hAnsiTheme="majorHAnsi"/>
          <w:sz w:val="18"/>
          <w:szCs w:val="18"/>
        </w:rPr>
        <w:t>,</w:t>
      </w:r>
      <w:r w:rsidRPr="00B16144">
        <w:rPr>
          <w:rFonts w:asciiTheme="majorHAnsi" w:hAnsiTheme="majorHAnsi"/>
          <w:sz w:val="18"/>
          <w:szCs w:val="18"/>
        </w:rPr>
        <w:t xml:space="preserve"> </w:t>
      </w:r>
      <w:hyperlink r:id="rId13" w:anchor="_ftn3" w:history="1">
        <w:r w:rsidRPr="00B16144">
          <w:rPr>
            <w:rStyle w:val="Hyperlink"/>
            <w:rFonts w:asciiTheme="majorHAnsi" w:hAnsiTheme="majorHAnsi"/>
            <w:sz w:val="18"/>
            <w:szCs w:val="18"/>
          </w:rPr>
          <w:t>https://betterfinance.eu/article/esma-reinforces-benchmark-disclosure-requirements-for-ucits/#_ftn3</w:t>
        </w:r>
      </w:hyperlink>
      <w:r w:rsidRPr="00B16144">
        <w:rPr>
          <w:rFonts w:asciiTheme="majorHAnsi" w:hAnsiTheme="majorHAnsi"/>
          <w:sz w:val="18"/>
          <w:szCs w:val="18"/>
        </w:rPr>
        <w:t xml:space="preserve">); </w:t>
      </w:r>
    </w:p>
  </w:footnote>
  <w:footnote w:id="34">
    <w:p w14:paraId="41449911" w14:textId="77777777" w:rsidR="001E721B" w:rsidRPr="00C471F1" w:rsidRDefault="001E721B" w:rsidP="001E721B">
      <w:pPr>
        <w:pStyle w:val="FootnoteText"/>
        <w:jc w:val="both"/>
        <w:rPr>
          <w:rFonts w:asciiTheme="majorHAnsi" w:hAnsiTheme="majorHAnsi"/>
        </w:rPr>
      </w:pPr>
      <w:r w:rsidRPr="00C471F1">
        <w:rPr>
          <w:rStyle w:val="FootnoteReference"/>
          <w:rFonts w:asciiTheme="majorHAnsi" w:hAnsiTheme="majorHAnsi"/>
          <w:sz w:val="18"/>
          <w:szCs w:val="18"/>
        </w:rPr>
        <w:footnoteRef/>
      </w:r>
      <w:r w:rsidRPr="00C471F1">
        <w:rPr>
          <w:rFonts w:asciiTheme="majorHAnsi" w:hAnsiTheme="majorHAnsi"/>
          <w:sz w:val="18"/>
          <w:szCs w:val="18"/>
        </w:rPr>
        <w:t xml:space="preserve"> ESMA Q&amp;A on the Application of the UCITS Directive, 29 March 2019, ESMA34-43-392</w:t>
      </w:r>
      <w:r>
        <w:rPr>
          <w:rFonts w:asciiTheme="majorHAnsi" w:hAnsiTheme="majorHAnsi"/>
          <w:sz w:val="18"/>
          <w:szCs w:val="18"/>
        </w:rPr>
        <w:t xml:space="preserve">, Section II, Questions 4 (b and </w:t>
      </w:r>
      <w:r>
        <w:rPr>
          <w:rFonts w:asciiTheme="majorHAnsi" w:hAnsiTheme="majorHAnsi"/>
          <w:i/>
          <w:iCs/>
          <w:sz w:val="18"/>
          <w:szCs w:val="18"/>
        </w:rPr>
        <w:t>cbis</w:t>
      </w:r>
      <w:r>
        <w:rPr>
          <w:rFonts w:asciiTheme="majorHAnsi" w:hAnsiTheme="majorHAnsi"/>
          <w:sz w:val="18"/>
          <w:szCs w:val="18"/>
        </w:rPr>
        <w:t>) and Questions 8 (a, b, and c).</w:t>
      </w:r>
    </w:p>
  </w:footnote>
  <w:footnote w:id="35">
    <w:p w14:paraId="5DBD8D80" w14:textId="77777777" w:rsidR="00063B61" w:rsidRPr="00E81319" w:rsidRDefault="00063B61" w:rsidP="00063B61">
      <w:pPr>
        <w:pStyle w:val="FootnoteText"/>
        <w:rPr>
          <w:rFonts w:asciiTheme="majorHAnsi" w:hAnsiTheme="majorHAnsi"/>
        </w:rPr>
      </w:pPr>
      <w:r w:rsidRPr="00E81319">
        <w:rPr>
          <w:rStyle w:val="FootnoteReference"/>
          <w:rFonts w:asciiTheme="majorHAnsi" w:hAnsiTheme="majorHAnsi"/>
          <w:sz w:val="18"/>
          <w:szCs w:val="18"/>
        </w:rPr>
        <w:footnoteRef/>
      </w:r>
      <w:r w:rsidRPr="00E81319">
        <w:rPr>
          <w:rFonts w:asciiTheme="majorHAnsi" w:hAnsiTheme="majorHAnsi"/>
          <w:sz w:val="18"/>
          <w:szCs w:val="18"/>
        </w:rPr>
        <w:t xml:space="preserve"> Page 51 of the Consultation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C49"/>
    <w:multiLevelType w:val="hybridMultilevel"/>
    <w:tmpl w:val="AF58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960A8D"/>
    <w:multiLevelType w:val="hybridMultilevel"/>
    <w:tmpl w:val="C336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9F6DC9"/>
    <w:multiLevelType w:val="hybridMultilevel"/>
    <w:tmpl w:val="EFFC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22A97"/>
    <w:multiLevelType w:val="hybridMultilevel"/>
    <w:tmpl w:val="3EAE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1269E"/>
    <w:multiLevelType w:val="hybridMultilevel"/>
    <w:tmpl w:val="511A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B5CF4"/>
    <w:multiLevelType w:val="hybridMultilevel"/>
    <w:tmpl w:val="A1E2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0"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2"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4" w15:restartNumberingAfterBreak="0">
    <w:nsid w:val="40BD529F"/>
    <w:multiLevelType w:val="hybridMultilevel"/>
    <w:tmpl w:val="AEB2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B05AA"/>
    <w:multiLevelType w:val="hybridMultilevel"/>
    <w:tmpl w:val="F97C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FD0014"/>
    <w:multiLevelType w:val="hybridMultilevel"/>
    <w:tmpl w:val="4A4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1B7CE7"/>
    <w:multiLevelType w:val="hybridMultilevel"/>
    <w:tmpl w:val="FE84B3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9FB2FB7"/>
    <w:multiLevelType w:val="hybridMultilevel"/>
    <w:tmpl w:val="89A2B31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0" w15:restartNumberingAfterBreak="0">
    <w:nsid w:val="5E2F6921"/>
    <w:multiLevelType w:val="hybridMultilevel"/>
    <w:tmpl w:val="063EE2D2"/>
    <w:lvl w:ilvl="0" w:tplc="08090011">
      <w:start w:val="1"/>
      <w:numFmt w:val="decimal"/>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5" w15:restartNumberingAfterBreak="0">
    <w:nsid w:val="631433D0"/>
    <w:multiLevelType w:val="hybridMultilevel"/>
    <w:tmpl w:val="D86A1C16"/>
    <w:lvl w:ilvl="0" w:tplc="FFA4C978">
      <w:start w:val="1"/>
      <w:numFmt w:val="decimal"/>
      <w:lvlText w:val="%1."/>
      <w:lvlJc w:val="left"/>
      <w:pPr>
        <w:ind w:left="720" w:hanging="360"/>
      </w:pPr>
      <w:rPr>
        <w:rFonts w:hint="default"/>
        <w:b/>
        <w:bCs/>
        <w:color w:val="0070C0"/>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E4764E"/>
    <w:multiLevelType w:val="hybridMultilevel"/>
    <w:tmpl w:val="C2FA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64415"/>
    <w:multiLevelType w:val="hybridMultilevel"/>
    <w:tmpl w:val="B05641A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F728F9"/>
    <w:multiLevelType w:val="hybridMultilevel"/>
    <w:tmpl w:val="498C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6BB437F8"/>
    <w:multiLevelType w:val="hybridMultilevel"/>
    <w:tmpl w:val="C1DE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0F56C5"/>
    <w:multiLevelType w:val="hybridMultilevel"/>
    <w:tmpl w:val="14B85A0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6" w15:restartNumberingAfterBreak="0">
    <w:nsid w:val="79092B39"/>
    <w:multiLevelType w:val="hybridMultilevel"/>
    <w:tmpl w:val="CB50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2"/>
  </w:num>
  <w:num w:numId="2">
    <w:abstractNumId w:val="25"/>
  </w:num>
  <w:num w:numId="3">
    <w:abstractNumId w:val="17"/>
  </w:num>
  <w:num w:numId="4">
    <w:abstractNumId w:val="33"/>
  </w:num>
  <w:num w:numId="5">
    <w:abstractNumId w:val="36"/>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43"/>
  </w:num>
  <w:num w:numId="14">
    <w:abstractNumId w:val="30"/>
  </w:num>
  <w:num w:numId="15">
    <w:abstractNumId w:val="14"/>
  </w:num>
  <w:num w:numId="16">
    <w:abstractNumId w:val="2"/>
  </w:num>
  <w:num w:numId="17">
    <w:abstractNumId w:val="20"/>
  </w:num>
  <w:num w:numId="18">
    <w:abstractNumId w:val="21"/>
  </w:num>
  <w:num w:numId="19">
    <w:abstractNumId w:val="23"/>
  </w:num>
  <w:num w:numId="20">
    <w:abstractNumId w:val="37"/>
  </w:num>
  <w:num w:numId="21">
    <w:abstractNumId w:val="54"/>
  </w:num>
  <w:num w:numId="22">
    <w:abstractNumId w:val="35"/>
  </w:num>
  <w:num w:numId="23">
    <w:abstractNumId w:val="13"/>
  </w:num>
  <w:num w:numId="24">
    <w:abstractNumId w:val="42"/>
  </w:num>
  <w:num w:numId="25">
    <w:abstractNumId w:val="41"/>
  </w:num>
  <w:num w:numId="26">
    <w:abstractNumId w:val="26"/>
  </w:num>
  <w:num w:numId="27">
    <w:abstractNumId w:val="49"/>
  </w:num>
  <w:num w:numId="28">
    <w:abstractNumId w:val="57"/>
  </w:num>
  <w:num w:numId="29">
    <w:abstractNumId w:val="11"/>
  </w:num>
  <w:num w:numId="30">
    <w:abstractNumId w:val="4"/>
  </w:num>
  <w:num w:numId="31">
    <w:abstractNumId w:val="29"/>
  </w:num>
  <w:num w:numId="32">
    <w:abstractNumId w:val="27"/>
  </w:num>
  <w:num w:numId="33">
    <w:abstractNumId w:val="52"/>
  </w:num>
  <w:num w:numId="34">
    <w:abstractNumId w:val="51"/>
  </w:num>
  <w:num w:numId="35">
    <w:abstractNumId w:val="15"/>
  </w:num>
  <w:num w:numId="36">
    <w:abstractNumId w:val="16"/>
  </w:num>
  <w:num w:numId="37">
    <w:abstractNumId w:val="18"/>
  </w:num>
  <w:num w:numId="38">
    <w:abstractNumId w:val="34"/>
  </w:num>
  <w:num w:numId="39">
    <w:abstractNumId w:val="24"/>
  </w:num>
  <w:num w:numId="40">
    <w:abstractNumId w:val="8"/>
  </w:num>
  <w:num w:numId="41">
    <w:abstractNumId w:val="0"/>
  </w:num>
  <w:num w:numId="42">
    <w:abstractNumId w:val="31"/>
  </w:num>
  <w:num w:numId="43">
    <w:abstractNumId w:val="48"/>
  </w:num>
  <w:num w:numId="44">
    <w:abstractNumId w:val="3"/>
  </w:num>
  <w:num w:numId="45">
    <w:abstractNumId w:val="53"/>
  </w:num>
  <w:num w:numId="46">
    <w:abstractNumId w:val="47"/>
  </w:num>
  <w:num w:numId="47">
    <w:abstractNumId w:val="32"/>
  </w:num>
  <w:num w:numId="48">
    <w:abstractNumId w:val="9"/>
  </w:num>
  <w:num w:numId="49">
    <w:abstractNumId w:val="39"/>
  </w:num>
  <w:num w:numId="50">
    <w:abstractNumId w:val="28"/>
  </w:num>
  <w:num w:numId="51">
    <w:abstractNumId w:val="7"/>
  </w:num>
  <w:num w:numId="52">
    <w:abstractNumId w:val="56"/>
  </w:num>
  <w:num w:numId="53">
    <w:abstractNumId w:val="50"/>
  </w:num>
  <w:num w:numId="54">
    <w:abstractNumId w:val="46"/>
  </w:num>
  <w:num w:numId="55">
    <w:abstractNumId w:val="10"/>
  </w:num>
  <w:num w:numId="56">
    <w:abstractNumId w:val="40"/>
  </w:num>
  <w:num w:numId="57">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A78"/>
    <w:rsid w:val="00054DE6"/>
    <w:rsid w:val="000569D7"/>
    <w:rsid w:val="000576D7"/>
    <w:rsid w:val="00060F72"/>
    <w:rsid w:val="00062592"/>
    <w:rsid w:val="000636A1"/>
    <w:rsid w:val="00063B61"/>
    <w:rsid w:val="000649D9"/>
    <w:rsid w:val="000652BE"/>
    <w:rsid w:val="00066479"/>
    <w:rsid w:val="00066F6B"/>
    <w:rsid w:val="0006723C"/>
    <w:rsid w:val="00070376"/>
    <w:rsid w:val="00070974"/>
    <w:rsid w:val="00070C03"/>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48A"/>
    <w:rsid w:val="00164664"/>
    <w:rsid w:val="00164F15"/>
    <w:rsid w:val="001651A4"/>
    <w:rsid w:val="0016552B"/>
    <w:rsid w:val="00166B04"/>
    <w:rsid w:val="001670A6"/>
    <w:rsid w:val="0017002F"/>
    <w:rsid w:val="001701FA"/>
    <w:rsid w:val="001707B9"/>
    <w:rsid w:val="00170D44"/>
    <w:rsid w:val="00171183"/>
    <w:rsid w:val="001725A5"/>
    <w:rsid w:val="00172681"/>
    <w:rsid w:val="00173AC7"/>
    <w:rsid w:val="001745D7"/>
    <w:rsid w:val="00175754"/>
    <w:rsid w:val="0017635E"/>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705"/>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54"/>
    <w:rsid w:val="001B55FB"/>
    <w:rsid w:val="001B5E05"/>
    <w:rsid w:val="001B6D68"/>
    <w:rsid w:val="001B6F2E"/>
    <w:rsid w:val="001C0344"/>
    <w:rsid w:val="001C0F2A"/>
    <w:rsid w:val="001C1672"/>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E721B"/>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6C7"/>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7C9"/>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979CE"/>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3C4F"/>
    <w:rsid w:val="002E4F86"/>
    <w:rsid w:val="002E7113"/>
    <w:rsid w:val="002E7F4B"/>
    <w:rsid w:val="002E7FB3"/>
    <w:rsid w:val="002F0C91"/>
    <w:rsid w:val="002F0E3E"/>
    <w:rsid w:val="002F1B19"/>
    <w:rsid w:val="002F1FBF"/>
    <w:rsid w:val="002F4139"/>
    <w:rsid w:val="002F486B"/>
    <w:rsid w:val="00300624"/>
    <w:rsid w:val="00300F56"/>
    <w:rsid w:val="00301006"/>
    <w:rsid w:val="00302874"/>
    <w:rsid w:val="00303565"/>
    <w:rsid w:val="00303FD0"/>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5FB"/>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1420"/>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2CF"/>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30"/>
    <w:rsid w:val="00455273"/>
    <w:rsid w:val="00456C07"/>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4517"/>
    <w:rsid w:val="004B4FFE"/>
    <w:rsid w:val="004B59E0"/>
    <w:rsid w:val="004B667B"/>
    <w:rsid w:val="004B71C7"/>
    <w:rsid w:val="004C03AA"/>
    <w:rsid w:val="004C0B9A"/>
    <w:rsid w:val="004C14E7"/>
    <w:rsid w:val="004C1D89"/>
    <w:rsid w:val="004C2A94"/>
    <w:rsid w:val="004C38E3"/>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989"/>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1A7"/>
    <w:rsid w:val="005A767D"/>
    <w:rsid w:val="005B00F1"/>
    <w:rsid w:val="005B0CE7"/>
    <w:rsid w:val="005B10E2"/>
    <w:rsid w:val="005B1803"/>
    <w:rsid w:val="005B2BD9"/>
    <w:rsid w:val="005B4079"/>
    <w:rsid w:val="005B41F1"/>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1900"/>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A5E"/>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2F9"/>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5FC"/>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072D9"/>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2E78"/>
    <w:rsid w:val="0075409F"/>
    <w:rsid w:val="00754A9B"/>
    <w:rsid w:val="007551D7"/>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31A"/>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0AE1"/>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12AB"/>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3ED8"/>
    <w:rsid w:val="00B7512A"/>
    <w:rsid w:val="00B76548"/>
    <w:rsid w:val="00B76BED"/>
    <w:rsid w:val="00B806E6"/>
    <w:rsid w:val="00B82DC1"/>
    <w:rsid w:val="00B835D5"/>
    <w:rsid w:val="00B84028"/>
    <w:rsid w:val="00B84307"/>
    <w:rsid w:val="00B8430D"/>
    <w:rsid w:val="00B85661"/>
    <w:rsid w:val="00B85C8A"/>
    <w:rsid w:val="00B86FBD"/>
    <w:rsid w:val="00B90D37"/>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3C2"/>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1B4"/>
    <w:rsid w:val="00C17750"/>
    <w:rsid w:val="00C2094B"/>
    <w:rsid w:val="00C20DC5"/>
    <w:rsid w:val="00C2294E"/>
    <w:rsid w:val="00C22A5B"/>
    <w:rsid w:val="00C23254"/>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6E6C"/>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4EAD"/>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3514"/>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1FE0"/>
    <w:rsid w:val="00DA2BA0"/>
    <w:rsid w:val="00DA39AD"/>
    <w:rsid w:val="00DA5B13"/>
    <w:rsid w:val="00DA6917"/>
    <w:rsid w:val="00DA6926"/>
    <w:rsid w:val="00DB0965"/>
    <w:rsid w:val="00DB0E47"/>
    <w:rsid w:val="00DB1895"/>
    <w:rsid w:val="00DB2BDD"/>
    <w:rsid w:val="00DB4121"/>
    <w:rsid w:val="00DB46C3"/>
    <w:rsid w:val="00DB5742"/>
    <w:rsid w:val="00DB5EDF"/>
    <w:rsid w:val="00DB5F58"/>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2EB3"/>
    <w:rsid w:val="00E53624"/>
    <w:rsid w:val="00E53C15"/>
    <w:rsid w:val="00E54EE6"/>
    <w:rsid w:val="00E565B9"/>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49E4"/>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5936"/>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46A7"/>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4A0"/>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hyperlink" Target="https://betterfinance.eu/wp-content/uploads/PRIIPs-Position-Paper-BETTER-FINANCE.pdf" TargetMode="Externa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hart" Target="charts/chart2.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iopa.europa.eu/Publications/Standards/JC%202019%20046_PRIIPs_Letter%20on%20consumer%20testing_COM.pdf" TargetMode="External"/><Relationship Id="rId13" Type="http://schemas.openxmlformats.org/officeDocument/2006/relationships/hyperlink" Target="https://betterfinance.eu/article/esma-reinforces-benchmark-disclosure-requirements-for-ucits/" TargetMode="External"/><Relationship Id="rId3" Type="http://schemas.openxmlformats.org/officeDocument/2006/relationships/hyperlink" Target="https://ec.europa.eu/info/sites/info/files/consumer-testing-study-2015_en.pdf" TargetMode="External"/><Relationship Id="rId7" Type="http://schemas.openxmlformats.org/officeDocument/2006/relationships/hyperlink" Target="https://eiopa.europa.eu/Publications/COM%20letter%20to%20ESAs%20on%20exclusion%20of%20some%20performance%20scenarios%20PRIIPS%20consumer%20testing.pdf" TargetMode="External"/><Relationship Id="rId12" Type="http://schemas.openxmlformats.org/officeDocument/2006/relationships/hyperlink" Target="https://betterfinance.eu/wp-content/uploads/PR-Benchmark-Disclosure-Compliance-Research-040618.pdf" TargetMode="External"/><Relationship Id="rId2" Type="http://schemas.openxmlformats.org/officeDocument/2006/relationships/hyperlink" Target="https://betterfinance.eu/wp-content/uploads/BETTER-FINANCE-Assessment-ESAs-reports-FINAL-Feb-2019.pdf" TargetMode="External"/><Relationship Id="rId1" Type="http://schemas.openxmlformats.org/officeDocument/2006/relationships/hyperlink" Target="https://lawecommons.luc.edu/lclr/vol28/iss1/3" TargetMode="External"/><Relationship Id="rId6" Type="http://schemas.openxmlformats.org/officeDocument/2006/relationships/hyperlink" Target="https://www.bafin.de/SharedDocs/Downloads/DE/BaFinJournal/2019/bj_1911.pdf;jsessionid=B4261720A6256D3DF312CFA6A739EFF4.1_cid290?__blob=publicationFile&amp;v=4"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onsob.it/documents/11973/204072/qdf82.pdf/58dc22f8-504b-4bad-9679-610306359dfc" TargetMode="External"/><Relationship Id="rId10" Type="http://schemas.openxmlformats.org/officeDocument/2006/relationships/hyperlink" Target="https://www.esma.europa.eu/sites/default/files/library/jc-2019-64_priips_kid_supervisory_statement_bonds.pdf" TargetMode="External"/><Relationship Id="rId4" Type="http://schemas.openxmlformats.org/officeDocument/2006/relationships/hyperlink" Target="https://eur-lex.europa.eu/legal-content/EN/TXT/PDF/?uri=CELEX:52012SC0187&amp;from=EN" TargetMode="External"/><Relationship Id="rId9" Type="http://schemas.openxmlformats.org/officeDocument/2006/relationships/hyperlink" Target="https://eiopa.europa.eu/Publications/Standards/Annex_PRIIPs_Performance_options_consumer_test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betterfinance1.sharepoint.com/sites/BetterFinance-Team/Shared%20Documents/Policy/PRIIPs%20review%20and%20exemption/Research/Performances%20-%20for%20Position%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etterfinance1.sharepoint.com/sites/BetterFinance-Team/Shared%20Documents/Policy/PRIIPs%20review%20and%20exemption/Research/Performances%20-%20for%20Position%20Pape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Cambria" panose="02040503050406030204" pitchFamily="18" charset="0"/>
                <a:ea typeface="Cambria" panose="02040503050406030204" pitchFamily="18" charset="0"/>
                <a:cs typeface="+mn-cs"/>
              </a:defRPr>
            </a:pPr>
            <a:r>
              <a:rPr lang="en-US" sz="1000"/>
              <a:t>Stress scenario (annualised return)</a:t>
            </a:r>
          </a:p>
        </c:rich>
      </c:tx>
      <c:layout>
        <c:manualLayout>
          <c:xMode val="edge"/>
          <c:yMode val="edge"/>
          <c:x val="0.15600088086324598"/>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Cambria" panose="02040503050406030204" pitchFamily="18" charset="0"/>
              <a:ea typeface="Cambria" panose="02040503050406030204" pitchFamily="18" charset="0"/>
              <a:cs typeface="+mn-cs"/>
            </a:defRPr>
          </a:pPr>
          <a:endParaRPr lang="en-US"/>
        </a:p>
      </c:txPr>
    </c:title>
    <c:autoTitleDeleted val="0"/>
    <c:plotArea>
      <c:layout>
        <c:manualLayout>
          <c:layoutTarget val="inner"/>
          <c:xMode val="edge"/>
          <c:yMode val="edge"/>
          <c:x val="0.11961776083869279"/>
          <c:y val="0.14034427111350189"/>
          <c:w val="0.82522216654210889"/>
          <c:h val="0.68030267733477912"/>
        </c:manualLayout>
      </c:layout>
      <c:lineChart>
        <c:grouping val="standard"/>
        <c:varyColors val="0"/>
        <c:ser>
          <c:idx val="0"/>
          <c:order val="0"/>
          <c:tx>
            <c:v>Stress (annualised)</c:v>
          </c:tx>
          <c:spPr>
            <a:ln w="28575" cap="rnd">
              <a:solidFill>
                <a:schemeClr val="accent1"/>
              </a:solidFill>
              <a:round/>
            </a:ln>
            <a:effectLst/>
          </c:spPr>
          <c:marker>
            <c:symbol val="none"/>
          </c:marker>
          <c:cat>
            <c:strRef>
              <c:f>'Amundi DAX ETF'!$T$37:$T$61</c:f>
              <c:strCache>
                <c:ptCount val="25"/>
                <c:pt idx="0">
                  <c:v>1y</c:v>
                </c:pt>
                <c:pt idx="1">
                  <c:v>3y</c:v>
                </c:pt>
                <c:pt idx="2">
                  <c:v>5y</c:v>
                </c:pt>
                <c:pt idx="3">
                  <c:v>6y</c:v>
                </c:pt>
                <c:pt idx="4">
                  <c:v>7y</c:v>
                </c:pt>
                <c:pt idx="5">
                  <c:v>8y</c:v>
                </c:pt>
                <c:pt idx="6">
                  <c:v>9y</c:v>
                </c:pt>
                <c:pt idx="7">
                  <c:v>10y</c:v>
                </c:pt>
                <c:pt idx="8">
                  <c:v>11y</c:v>
                </c:pt>
                <c:pt idx="9">
                  <c:v>12y</c:v>
                </c:pt>
                <c:pt idx="10">
                  <c:v>13y</c:v>
                </c:pt>
                <c:pt idx="11">
                  <c:v>14y</c:v>
                </c:pt>
                <c:pt idx="12">
                  <c:v>15y</c:v>
                </c:pt>
                <c:pt idx="13">
                  <c:v>16y</c:v>
                </c:pt>
                <c:pt idx="14">
                  <c:v>17y</c:v>
                </c:pt>
                <c:pt idx="15">
                  <c:v>18y</c:v>
                </c:pt>
                <c:pt idx="16">
                  <c:v>19y</c:v>
                </c:pt>
                <c:pt idx="17">
                  <c:v>20y</c:v>
                </c:pt>
                <c:pt idx="18">
                  <c:v>21y</c:v>
                </c:pt>
                <c:pt idx="19">
                  <c:v>22y</c:v>
                </c:pt>
                <c:pt idx="20">
                  <c:v>23y</c:v>
                </c:pt>
                <c:pt idx="21">
                  <c:v>24y</c:v>
                </c:pt>
                <c:pt idx="22">
                  <c:v>25y</c:v>
                </c:pt>
                <c:pt idx="23">
                  <c:v>26y</c:v>
                </c:pt>
                <c:pt idx="24">
                  <c:v>27y</c:v>
                </c:pt>
              </c:strCache>
            </c:strRef>
          </c:cat>
          <c:val>
            <c:numRef>
              <c:f>'Amundi DAX ETF'!$W$37:$W$61</c:f>
              <c:numCache>
                <c:formatCode>0.00%</c:formatCode>
                <c:ptCount val="25"/>
                <c:pt idx="0">
                  <c:v>-0.66648548555772247</c:v>
                </c:pt>
                <c:pt idx="1">
                  <c:v>-0.2524977242451274</c:v>
                </c:pt>
                <c:pt idx="2">
                  <c:v>-0.20824691162477149</c:v>
                </c:pt>
                <c:pt idx="3">
                  <c:v>-0.19450003202181854</c:v>
                </c:pt>
                <c:pt idx="4">
                  <c:v>-0.18365308285177784</c:v>
                </c:pt>
                <c:pt idx="5">
                  <c:v>-0.17480450665179625</c:v>
                </c:pt>
                <c:pt idx="6">
                  <c:v>-0.15200904651535019</c:v>
                </c:pt>
                <c:pt idx="7">
                  <c:v>-0.16109083498722454</c:v>
                </c:pt>
                <c:pt idx="8">
                  <c:v>-0.15562216513063631</c:v>
                </c:pt>
                <c:pt idx="9">
                  <c:v>-0.15082340010385109</c:v>
                </c:pt>
                <c:pt idx="10">
                  <c:v>-0.14656718423587189</c:v>
                </c:pt>
                <c:pt idx="11">
                  <c:v>-0.142757783604894</c:v>
                </c:pt>
                <c:pt idx="12">
                  <c:v>-0.13932163725533364</c:v>
                </c:pt>
                <c:pt idx="13">
                  <c:v>-0.13620114967065333</c:v>
                </c:pt>
                <c:pt idx="14">
                  <c:v>-0.13335048613126854</c:v>
                </c:pt>
                <c:pt idx="15">
                  <c:v>-0.13073264868389112</c:v>
                </c:pt>
                <c:pt idx="16">
                  <c:v>-0.12831739544570275</c:v>
                </c:pt>
                <c:pt idx="17">
                  <c:v>-0.12607972979787252</c:v>
                </c:pt>
                <c:pt idx="18">
                  <c:v>-0.12399878355135907</c:v>
                </c:pt>
                <c:pt idx="19">
                  <c:v>-0.12205697803675786</c:v>
                </c:pt>
                <c:pt idx="20">
                  <c:v>-0.12023938483442087</c:v>
                </c:pt>
                <c:pt idx="21">
                  <c:v>-0.11853323226774803</c:v>
                </c:pt>
                <c:pt idx="22">
                  <c:v>-0.11692751990395223</c:v>
                </c:pt>
                <c:pt idx="23">
                  <c:v>-0.11541271416714338</c:v>
                </c:pt>
                <c:pt idx="24">
                  <c:v>-0.11398050561705575</c:v>
                </c:pt>
              </c:numCache>
            </c:numRef>
          </c:val>
          <c:smooth val="0"/>
          <c:extLst>
            <c:ext xmlns:c16="http://schemas.microsoft.com/office/drawing/2014/chart" uri="{C3380CC4-5D6E-409C-BE32-E72D297353CC}">
              <c16:uniqueId val="{00000000-264C-4F5E-AA2F-8A561A862694}"/>
            </c:ext>
          </c:extLst>
        </c:ser>
        <c:dLbls>
          <c:showLegendKey val="0"/>
          <c:showVal val="0"/>
          <c:showCatName val="0"/>
          <c:showSerName val="0"/>
          <c:showPercent val="0"/>
          <c:showBubbleSize val="0"/>
        </c:dLbls>
        <c:smooth val="0"/>
        <c:axId val="812591056"/>
        <c:axId val="812596816"/>
      </c:lineChart>
      <c:catAx>
        <c:axId val="812591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Cambria" panose="02040503050406030204" pitchFamily="18" charset="0"/>
                    <a:ea typeface="Cambria" panose="02040503050406030204" pitchFamily="18" charset="0"/>
                    <a:cs typeface="+mn-cs"/>
                  </a:defRPr>
                </a:pPr>
                <a:r>
                  <a:rPr lang="en-GB" sz="900"/>
                  <a:t>RHP</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mbria" panose="02040503050406030204" pitchFamily="18" charset="0"/>
                  <a:ea typeface="Cambria" panose="02040503050406030204" pitchFamily="18" charset="0"/>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Cambria" panose="02040503050406030204" pitchFamily="18" charset="0"/>
                <a:ea typeface="Cambria" panose="02040503050406030204" pitchFamily="18" charset="0"/>
                <a:cs typeface="+mn-cs"/>
              </a:defRPr>
            </a:pPr>
            <a:endParaRPr lang="en-US"/>
          </a:p>
        </c:txPr>
        <c:crossAx val="812596816"/>
        <c:crosses val="autoZero"/>
        <c:auto val="1"/>
        <c:lblAlgn val="ctr"/>
        <c:lblOffset val="100"/>
        <c:noMultiLvlLbl val="0"/>
      </c:catAx>
      <c:valAx>
        <c:axId val="812596816"/>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Cambria" panose="02040503050406030204" pitchFamily="18" charset="0"/>
                <a:ea typeface="Cambria" panose="02040503050406030204" pitchFamily="18" charset="0"/>
                <a:cs typeface="+mn-cs"/>
              </a:defRPr>
            </a:pPr>
            <a:endParaRPr lang="en-US"/>
          </a:p>
        </c:txPr>
        <c:crossAx val="812591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Cambria" panose="02040503050406030204" pitchFamily="18" charset="0"/>
                <a:ea typeface="Cambria" panose="02040503050406030204" pitchFamily="18" charset="0"/>
                <a:cs typeface="+mn-cs"/>
              </a:defRPr>
            </a:pPr>
            <a:r>
              <a:rPr lang="en-US" sz="1000"/>
              <a:t>Stress scenario (compound return)</a:t>
            </a:r>
          </a:p>
        </c:rich>
      </c:tx>
      <c:layout>
        <c:manualLayout>
          <c:xMode val="edge"/>
          <c:yMode val="edge"/>
          <c:x val="0.19011115751984833"/>
          <c:y val="5.3908355795148251E-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Cambria" panose="02040503050406030204" pitchFamily="18" charset="0"/>
              <a:ea typeface="Cambria" panose="02040503050406030204" pitchFamily="18" charset="0"/>
              <a:cs typeface="+mn-cs"/>
            </a:defRPr>
          </a:pPr>
          <a:endParaRPr lang="en-US"/>
        </a:p>
      </c:txPr>
    </c:title>
    <c:autoTitleDeleted val="0"/>
    <c:plotArea>
      <c:layout>
        <c:manualLayout>
          <c:layoutTarget val="inner"/>
          <c:xMode val="edge"/>
          <c:yMode val="edge"/>
          <c:x val="0.12772750164579133"/>
          <c:y val="0.13151957531519576"/>
          <c:w val="0.83676259524533891"/>
          <c:h val="0.69175462926701159"/>
        </c:manualLayout>
      </c:layout>
      <c:lineChart>
        <c:grouping val="standard"/>
        <c:varyColors val="0"/>
        <c:ser>
          <c:idx val="0"/>
          <c:order val="0"/>
          <c:tx>
            <c:v>Stress</c:v>
          </c:tx>
          <c:spPr>
            <a:ln w="28575" cap="rnd">
              <a:solidFill>
                <a:schemeClr val="accent1"/>
              </a:solidFill>
              <a:round/>
            </a:ln>
            <a:effectLst/>
          </c:spPr>
          <c:marker>
            <c:symbol val="none"/>
          </c:marker>
          <c:cat>
            <c:strRef>
              <c:f>'Amundi DAX ETF'!$T$37:$T$61</c:f>
              <c:strCache>
                <c:ptCount val="25"/>
                <c:pt idx="0">
                  <c:v>1y</c:v>
                </c:pt>
                <c:pt idx="1">
                  <c:v>3y</c:v>
                </c:pt>
                <c:pt idx="2">
                  <c:v>5y</c:v>
                </c:pt>
                <c:pt idx="3">
                  <c:v>6y</c:v>
                </c:pt>
                <c:pt idx="4">
                  <c:v>7y</c:v>
                </c:pt>
                <c:pt idx="5">
                  <c:v>8y</c:v>
                </c:pt>
                <c:pt idx="6">
                  <c:v>9y</c:v>
                </c:pt>
                <c:pt idx="7">
                  <c:v>10y</c:v>
                </c:pt>
                <c:pt idx="8">
                  <c:v>11y</c:v>
                </c:pt>
                <c:pt idx="9">
                  <c:v>12y</c:v>
                </c:pt>
                <c:pt idx="10">
                  <c:v>13y</c:v>
                </c:pt>
                <c:pt idx="11">
                  <c:v>14y</c:v>
                </c:pt>
                <c:pt idx="12">
                  <c:v>15y</c:v>
                </c:pt>
                <c:pt idx="13">
                  <c:v>16y</c:v>
                </c:pt>
                <c:pt idx="14">
                  <c:v>17y</c:v>
                </c:pt>
                <c:pt idx="15">
                  <c:v>18y</c:v>
                </c:pt>
                <c:pt idx="16">
                  <c:v>19y</c:v>
                </c:pt>
                <c:pt idx="17">
                  <c:v>20y</c:v>
                </c:pt>
                <c:pt idx="18">
                  <c:v>21y</c:v>
                </c:pt>
                <c:pt idx="19">
                  <c:v>22y</c:v>
                </c:pt>
                <c:pt idx="20">
                  <c:v>23y</c:v>
                </c:pt>
                <c:pt idx="21">
                  <c:v>24y</c:v>
                </c:pt>
                <c:pt idx="22">
                  <c:v>25y</c:v>
                </c:pt>
                <c:pt idx="23">
                  <c:v>26y</c:v>
                </c:pt>
                <c:pt idx="24">
                  <c:v>27y</c:v>
                </c:pt>
              </c:strCache>
            </c:strRef>
          </c:cat>
          <c:val>
            <c:numRef>
              <c:f>'Amundi DAX ETF'!$Z$37:$Z$61</c:f>
              <c:numCache>
                <c:formatCode>General</c:formatCode>
                <c:ptCount val="25"/>
                <c:pt idx="0">
                  <c:v>-0.66648548555772247</c:v>
                </c:pt>
                <c:pt idx="1">
                  <c:v>-0.58232588833661025</c:v>
                </c:pt>
                <c:pt idx="2">
                  <c:v>-0.68886502706612052</c:v>
                </c:pt>
                <c:pt idx="3">
                  <c:v>-0.72685505666279027</c:v>
                </c:pt>
                <c:pt idx="4">
                  <c:v>-0.75838533025308141</c:v>
                </c:pt>
                <c:pt idx="5">
                  <c:v>-0.7849919205393816</c:v>
                </c:pt>
                <c:pt idx="6">
                  <c:v>-0.80772970549578427</c:v>
                </c:pt>
                <c:pt idx="7">
                  <c:v>-0.82735683445472008</c:v>
                </c:pt>
                <c:pt idx="8">
                  <c:v>-0.84443744449707014</c:v>
                </c:pt>
                <c:pt idx="9">
                  <c:v>-0.85940294700258901</c:v>
                </c:pt>
                <c:pt idx="10">
                  <c:v>-0.87259062201235005</c:v>
                </c:pt>
                <c:pt idx="11">
                  <c:v>-0.88426899970959738</c:v>
                </c:pt>
                <c:pt idx="12">
                  <c:v>-0.89465515812215035</c:v>
                </c:pt>
                <c:pt idx="13">
                  <c:v>-0.90392686843865411</c:v>
                </c:pt>
                <c:pt idx="14">
                  <c:v>-0.91223134125329575</c:v>
                </c:pt>
                <c:pt idx="15">
                  <c:v>-0.91969166352480436</c:v>
                </c:pt>
                <c:pt idx="16">
                  <c:v>-0.92641162630033747</c:v>
                </c:pt>
                <c:pt idx="17">
                  <c:v>-0.93247940592681222</c:v>
                </c:pt>
                <c:pt idx="18">
                  <c:v>-0.93797041234576972</c:v>
                </c:pt>
                <c:pt idx="19">
                  <c:v>-0.94294952174611113</c:v>
                </c:pt>
                <c:pt idx="20">
                  <c:v>-0.94747284709819135</c:v>
                </c:pt>
                <c:pt idx="21">
                  <c:v>-0.95158915697130997</c:v>
                </c:pt>
                <c:pt idx="22">
                  <c:v>-0.95534102329411996</c:v>
                </c:pt>
                <c:pt idx="23">
                  <c:v>-0.95876575783829443</c:v>
                </c:pt>
                <c:pt idx="24">
                  <c:v>-0.96189618231251472</c:v>
                </c:pt>
              </c:numCache>
            </c:numRef>
          </c:val>
          <c:smooth val="0"/>
          <c:extLst>
            <c:ext xmlns:c16="http://schemas.microsoft.com/office/drawing/2014/chart" uri="{C3380CC4-5D6E-409C-BE32-E72D297353CC}">
              <c16:uniqueId val="{00000000-A82C-4AF2-84FE-F632524CA617}"/>
            </c:ext>
          </c:extLst>
        </c:ser>
        <c:dLbls>
          <c:showLegendKey val="0"/>
          <c:showVal val="0"/>
          <c:showCatName val="0"/>
          <c:showSerName val="0"/>
          <c:showPercent val="0"/>
          <c:showBubbleSize val="0"/>
        </c:dLbls>
        <c:smooth val="0"/>
        <c:axId val="516376376"/>
        <c:axId val="516377656"/>
      </c:lineChart>
      <c:catAx>
        <c:axId val="516376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Cambria" panose="02040503050406030204" pitchFamily="18" charset="0"/>
                    <a:ea typeface="Cambria" panose="02040503050406030204" pitchFamily="18" charset="0"/>
                    <a:cs typeface="+mn-cs"/>
                  </a:defRPr>
                </a:pPr>
                <a:r>
                  <a:rPr lang="en-GB" sz="900"/>
                  <a:t>RHP</a:t>
                </a:r>
              </a:p>
            </c:rich>
          </c:tx>
          <c:layout>
            <c:manualLayout>
              <c:xMode val="edge"/>
              <c:yMode val="edge"/>
              <c:x val="0.44813892369544178"/>
              <c:y val="0.899491054184264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mbria" panose="02040503050406030204" pitchFamily="18" charset="0"/>
                  <a:ea typeface="Cambria" panose="02040503050406030204" pitchFamily="18" charset="0"/>
                  <a:cs typeface="+mn-cs"/>
                </a:defRPr>
              </a:pPr>
              <a:endParaRPr lang="en-US"/>
            </a:p>
          </c:txPr>
        </c:title>
        <c:numFmt formatCode="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Cambria" panose="02040503050406030204" pitchFamily="18" charset="0"/>
                <a:ea typeface="Cambria" panose="02040503050406030204" pitchFamily="18" charset="0"/>
                <a:cs typeface="+mn-cs"/>
              </a:defRPr>
            </a:pPr>
            <a:endParaRPr lang="en-US"/>
          </a:p>
        </c:txPr>
        <c:crossAx val="516377656"/>
        <c:crosses val="autoZero"/>
        <c:auto val="1"/>
        <c:lblAlgn val="ctr"/>
        <c:lblOffset val="100"/>
        <c:noMultiLvlLbl val="0"/>
      </c:catAx>
      <c:valAx>
        <c:axId val="516377656"/>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Cambria" panose="02040503050406030204" pitchFamily="18" charset="0"/>
                <a:ea typeface="Cambria" panose="02040503050406030204" pitchFamily="18" charset="0"/>
                <a:cs typeface="+mn-cs"/>
              </a:defRPr>
            </a:pPr>
            <a:endParaRPr lang="en-US"/>
          </a:p>
        </c:txPr>
        <c:crossAx val="516376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08A9776426D41840A8C2CCB15B3F3" ma:contentTypeVersion="10" ma:contentTypeDescription="Create a new document." ma:contentTypeScope="" ma:versionID="f266c5483894ae4f30e798586e0cfb36">
  <xsd:schema xmlns:xsd="http://www.w3.org/2001/XMLSchema" xmlns:xs="http://www.w3.org/2001/XMLSchema" xmlns:p="http://schemas.microsoft.com/office/2006/metadata/properties" xmlns:ns2="fd160c09-1844-45b0-b4f1-cf53e6c3c76a" xmlns:ns3="8e72f4a7-cae9-4e97-b541-2580a12d1989" targetNamespace="http://schemas.microsoft.com/office/2006/metadata/properties" ma:root="true" ma:fieldsID="157dcb502480e6a07c06bcc53165350f" ns2:_="" ns3:_="">
    <xsd:import namespace="fd160c09-1844-45b0-b4f1-cf53e6c3c76a"/>
    <xsd:import namespace="8e72f4a7-cae9-4e97-b541-2580a12d1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0c09-1844-45b0-b4f1-cf53e6c3c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2f4a7-cae9-4e97-b541-2580a12d19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6675A-2566-456A-B9FE-A489F7645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0c09-1844-45b0-b4f1-cf53e6c3c76a"/>
    <ds:schemaRef ds:uri="8e72f4a7-cae9-4e97-b541-2580a12d1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CC790-8A21-4D0C-A5A4-3D770EA6F1A9}">
  <ds:schemaRefs>
    <ds:schemaRef ds:uri="http://schemas.openxmlformats.org/officeDocument/2006/bibliography"/>
  </ds:schemaRefs>
</ds:datastoreItem>
</file>

<file path=customXml/itemProps5.xml><?xml version="1.0" encoding="utf-8"?>
<ds:datastoreItem xmlns:ds="http://schemas.openxmlformats.org/officeDocument/2006/customXml" ds:itemID="{988F9FCE-5975-4DB5-9F84-EBFC020D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10631</Words>
  <Characters>60600</Characters>
  <Application>Microsoft Office Word</Application>
  <DocSecurity>8</DocSecurity>
  <Lines>505</Lines>
  <Paragraphs>142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71089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Stefan Voicu</cp:lastModifiedBy>
  <cp:revision>55</cp:revision>
  <cp:lastPrinted>2015-02-18T11:01:00Z</cp:lastPrinted>
  <dcterms:created xsi:type="dcterms:W3CDTF">2019-10-16T14:22:00Z</dcterms:created>
  <dcterms:modified xsi:type="dcterms:W3CDTF">2020-01-13T09:27:00Z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0x010100B5308A9776426D41840A8C2CCB15B3F3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