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 xml:space="preserve">The consultation </w:t>
      </w:r>
      <w:proofErr w:type="gramStart"/>
      <w:r w:rsidRPr="00197794">
        <w:rPr>
          <w:rStyle w:val="SubtleEmphasis"/>
          <w:b w:val="0"/>
          <w:sz w:val="22"/>
        </w:rPr>
        <w:t>paper</w:t>
      </w:r>
      <w:proofErr w:type="gramEnd"/>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w:t>
      </w:r>
      <w:proofErr w:type="gramStart"/>
      <w:r w:rsidRPr="00197794">
        <w:rPr>
          <w:rStyle w:val="SubtleEmphasis"/>
          <w:b w:val="0"/>
          <w:sz w:val="22"/>
        </w:rPr>
        <w:t>approaches</w:t>
      </w:r>
      <w:proofErr w:type="gramEnd"/>
      <w:r w:rsidRPr="00197794">
        <w:rPr>
          <w:rStyle w:val="SubtleEmphasis"/>
          <w:b w:val="0"/>
          <w:sz w:val="22"/>
        </w:rPr>
        <w:t xml:space="preserve">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 xml:space="preserve">_1&gt;. Your response to each question </w:t>
      </w:r>
      <w:proofErr w:type="gramStart"/>
      <w:r w:rsidRPr="00E40A5C">
        <w:rPr>
          <w:rStyle w:val="SubtleEmphasis"/>
          <w:b w:val="0"/>
          <w:sz w:val="22"/>
        </w:rPr>
        <w:t>has to</w:t>
      </w:r>
      <w:proofErr w:type="gramEnd"/>
      <w:r w:rsidRPr="00E40A5C">
        <w:rPr>
          <w:rStyle w:val="SubtleEmphasis"/>
          <w:b w:val="0"/>
          <w:sz w:val="22"/>
        </w:rPr>
        <w:t xml:space="preserve">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When you have drafted your response, name your response form according to the following convention: </w:t>
      </w:r>
      <w:bookmarkStart w:id="1" w:name="_GoBack"/>
      <w:proofErr w:type="spellStart"/>
      <w:r w:rsidRPr="00E40A5C">
        <w:rPr>
          <w:rStyle w:val="SubtleEmphasis"/>
          <w:b w:val="0"/>
          <w:sz w:val="22"/>
        </w:rPr>
        <w:t>ESA_</w:t>
      </w:r>
      <w:r w:rsidR="00197794">
        <w:rPr>
          <w:rStyle w:val="SubtleEmphasis"/>
          <w:b w:val="0"/>
          <w:sz w:val="22"/>
        </w:rPr>
        <w:t>PKID</w:t>
      </w:r>
      <w:r w:rsidRPr="00E40A5C">
        <w:rPr>
          <w:rStyle w:val="SubtleEmphasis"/>
          <w:b w:val="0"/>
          <w:sz w:val="22"/>
        </w:rPr>
        <w:t>_nameofrespondent_RESPONSEFORM</w:t>
      </w:r>
      <w:bookmarkEnd w:id="1"/>
      <w:proofErr w:type="spellEnd"/>
      <w:r w:rsidRPr="00E40A5C">
        <w:rPr>
          <w:rStyle w:val="SubtleEmphasis"/>
          <w:b w:val="0"/>
          <w:sz w:val="22"/>
        </w:rPr>
        <w:t>.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8"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 xml:space="preserve">The protection of individuals </w:t>
      </w:r>
      <w:proofErr w:type="gramStart"/>
      <w:r w:rsidRPr="00197794">
        <w:rPr>
          <w:rFonts w:cs="Arial"/>
          <w:sz w:val="22"/>
        </w:rPr>
        <w:t>with regard to</w:t>
      </w:r>
      <w:proofErr w:type="gramEnd"/>
      <w:r w:rsidRPr="00197794">
        <w:rPr>
          <w:rFonts w:cs="Arial"/>
          <w:sz w:val="22"/>
        </w:rPr>
        <w:t xml:space="preserve">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19" w:history="1">
        <w:r w:rsidRPr="00197794">
          <w:rPr>
            <w:rStyle w:val="Hyperlink"/>
            <w:rFonts w:cs="Arial"/>
            <w:sz w:val="22"/>
          </w:rPr>
          <w:t>Legal notice</w:t>
        </w:r>
      </w:hyperlink>
      <w:r w:rsidRPr="00197794">
        <w:rPr>
          <w:rFonts w:cs="Arial"/>
          <w:sz w:val="22"/>
        </w:rPr>
        <w:t xml:space="preserve"> section of the EBA website and under the </w:t>
      </w:r>
      <w:hyperlink r:id="rId20" w:history="1">
        <w:r w:rsidRPr="00197794">
          <w:rPr>
            <w:rStyle w:val="Hyperlink"/>
            <w:rFonts w:cs="Arial"/>
            <w:sz w:val="22"/>
          </w:rPr>
          <w:t>Legal notice</w:t>
        </w:r>
      </w:hyperlink>
      <w:r w:rsidRPr="00197794">
        <w:rPr>
          <w:rFonts w:cs="Arial"/>
          <w:sz w:val="22"/>
        </w:rPr>
        <w:t xml:space="preserve"> section of the EIOPA website and under the </w:t>
      </w:r>
      <w:hyperlink r:id="rId21"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1D653B">
        <w:tc>
          <w:tcPr>
            <w:tcW w:w="3929" w:type="dxa"/>
            <w:shd w:val="clear" w:color="auto" w:fill="auto"/>
          </w:tcPr>
          <w:p w14:paraId="6A3CB050" w14:textId="77777777" w:rsidR="00B327E9" w:rsidRPr="00E40A5C" w:rsidRDefault="00B327E9" w:rsidP="001D653B">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528A2799" w:rsidR="00B327E9" w:rsidRPr="00AB6D88" w:rsidRDefault="00223DCF" w:rsidP="001D653B">
                <w:pPr>
                  <w:rPr>
                    <w:rStyle w:val="PlaceholderText"/>
                    <w:rFonts w:cs="Arial"/>
                  </w:rPr>
                </w:pPr>
                <w:r>
                  <w:rPr>
                    <w:rStyle w:val="PlaceholderText"/>
                    <w:rFonts w:cs="Arial"/>
                  </w:rPr>
                  <w:t>CFA Institute</w:t>
                </w:r>
              </w:p>
            </w:tc>
          </w:sdtContent>
        </w:sdt>
      </w:tr>
      <w:tr w:rsidR="00B327E9" w:rsidRPr="00AB6D88" w14:paraId="6A3CB055" w14:textId="77777777" w:rsidTr="001D653B">
        <w:tc>
          <w:tcPr>
            <w:tcW w:w="3929" w:type="dxa"/>
            <w:shd w:val="clear" w:color="auto" w:fill="auto"/>
          </w:tcPr>
          <w:p w14:paraId="6A3CB053" w14:textId="77777777" w:rsidR="00B327E9" w:rsidRPr="00E40A5C" w:rsidRDefault="00B327E9" w:rsidP="001D653B">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386DB1F" w:rsidR="00B327E9" w:rsidRPr="00AB6D88" w:rsidRDefault="009769B8" w:rsidP="001D653B">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15571">
                  <w:rPr>
                    <w:rFonts w:cs="Arial"/>
                  </w:rPr>
                  <w:t>Other Financial service providers</w:t>
                </w:r>
              </w:sdtContent>
            </w:sdt>
          </w:p>
        </w:tc>
      </w:tr>
      <w:tr w:rsidR="00B327E9" w:rsidRPr="00AB6D88" w14:paraId="6A3CB058" w14:textId="77777777" w:rsidTr="001D653B">
        <w:tc>
          <w:tcPr>
            <w:tcW w:w="3929" w:type="dxa"/>
            <w:shd w:val="clear" w:color="auto" w:fill="auto"/>
          </w:tcPr>
          <w:p w14:paraId="6A3CB056" w14:textId="77777777" w:rsidR="00B327E9" w:rsidRPr="00E40A5C" w:rsidRDefault="00B327E9" w:rsidP="001D653B">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5E6450F4" w:rsidR="00B327E9" w:rsidRPr="00AB6D88" w:rsidRDefault="00415571" w:rsidP="001D653B">
                <w:pPr>
                  <w:rPr>
                    <w:rFonts w:cs="Arial"/>
                  </w:rPr>
                </w:pPr>
                <w:r>
                  <w:rPr>
                    <w:rFonts w:ascii="MS Gothic" w:eastAsia="MS Gothic" w:hAnsi="MS Gothic" w:cs="Arial" w:hint="eastAsia"/>
                  </w:rPr>
                  <w:t>☒</w:t>
                </w:r>
              </w:p>
            </w:tc>
          </w:sdtContent>
        </w:sdt>
      </w:tr>
      <w:tr w:rsidR="00B327E9" w:rsidRPr="00AB6D88" w14:paraId="6A3CB05B" w14:textId="77777777" w:rsidTr="001D653B">
        <w:tc>
          <w:tcPr>
            <w:tcW w:w="3929" w:type="dxa"/>
            <w:shd w:val="clear" w:color="auto" w:fill="auto"/>
          </w:tcPr>
          <w:p w14:paraId="6A3CB059" w14:textId="77777777" w:rsidR="00B327E9" w:rsidRPr="00E40A5C" w:rsidRDefault="00B327E9" w:rsidP="001D653B">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52B1FCF6" w:rsidR="00B327E9" w:rsidRPr="00AB6D88" w:rsidRDefault="00415571" w:rsidP="001D653B">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70983546" w14:textId="77777777" w:rsidR="00415571" w:rsidRDefault="00415571" w:rsidP="00B327E9">
      <w:permStart w:id="411981036" w:edGrp="everyone"/>
    </w:p>
    <w:p w14:paraId="2085ECBB" w14:textId="4005A7AF" w:rsidR="00457604" w:rsidRDefault="00457604" w:rsidP="00457604">
      <w:pPr>
        <w:rPr>
          <w:lang w:val="en-US"/>
        </w:rPr>
      </w:pPr>
      <w:r w:rsidRPr="00457604">
        <w:rPr>
          <w:lang w:val="en-US"/>
        </w:rPr>
        <w:t xml:space="preserve">CFA Institute is pleased to have the opportunity to provide comments regarding the </w:t>
      </w:r>
      <w:r w:rsidR="009645B1">
        <w:rPr>
          <w:lang w:val="en-US"/>
        </w:rPr>
        <w:t>E</w:t>
      </w:r>
      <w:r w:rsidR="00830339">
        <w:rPr>
          <w:lang w:val="en-US"/>
        </w:rPr>
        <w:t xml:space="preserve">SAs’ </w:t>
      </w:r>
      <w:r w:rsidR="009645B1" w:rsidRPr="009645B1">
        <w:rPr>
          <w:lang w:val="en-US"/>
        </w:rPr>
        <w:t>Joint Consultation Paper concerning amendments to the PRIIPs KID</w:t>
      </w:r>
      <w:r w:rsidRPr="00457604">
        <w:rPr>
          <w:lang w:val="en-US"/>
        </w:rPr>
        <w:t>.</w:t>
      </w:r>
    </w:p>
    <w:p w14:paraId="21CDF083" w14:textId="77777777" w:rsidR="00C958C8" w:rsidRPr="00457604" w:rsidRDefault="00C958C8" w:rsidP="00457604">
      <w:pPr>
        <w:rPr>
          <w:lang w:val="en-US"/>
        </w:rPr>
      </w:pPr>
    </w:p>
    <w:p w14:paraId="4CD78A8A" w14:textId="77777777" w:rsidR="00457604" w:rsidRPr="00457604" w:rsidRDefault="00457604" w:rsidP="00457604">
      <w:pPr>
        <w:rPr>
          <w:lang w:val="en-US"/>
        </w:rPr>
      </w:pPr>
      <w:r w:rsidRPr="00457604">
        <w:rPr>
          <w:lang w:val="en-US"/>
        </w:rPr>
        <w:t xml:space="preserve">CFA Institute is the global association of investment professionals that sets the standards for professional excellence. We are a champion for ethical </w:t>
      </w:r>
      <w:proofErr w:type="spellStart"/>
      <w:r w:rsidRPr="00457604">
        <w:rPr>
          <w:lang w:val="en-US"/>
        </w:rPr>
        <w:t>behaviour</w:t>
      </w:r>
      <w:proofErr w:type="spellEnd"/>
      <w:r w:rsidRPr="00457604">
        <w:rPr>
          <w:lang w:val="en-US"/>
        </w:rPr>
        <w:t xml:space="preserve"> in investment markets and a respected source of knowledge in the global financial community. Our mission is to lead the investment profession globally by promoting the highest standards of ethics, education, and professional excellence for the ultimate benefit of society. There are more than 168,000 CFA </w:t>
      </w:r>
      <w:proofErr w:type="spellStart"/>
      <w:r w:rsidRPr="00457604">
        <w:rPr>
          <w:lang w:val="en-US"/>
        </w:rPr>
        <w:t>charterholders</w:t>
      </w:r>
      <w:proofErr w:type="spellEnd"/>
      <w:r w:rsidRPr="00457604">
        <w:rPr>
          <w:lang w:val="en-US"/>
        </w:rPr>
        <w:t xml:space="preserve"> worldwide in 164 markets. CFA Institute has nine offices worldwide and there are 157 local member societies.</w:t>
      </w:r>
    </w:p>
    <w:p w14:paraId="67FA2716" w14:textId="77777777" w:rsidR="00C958C8" w:rsidRDefault="00C958C8" w:rsidP="00457604">
      <w:pPr>
        <w:rPr>
          <w:lang w:val="en-US"/>
        </w:rPr>
      </w:pPr>
    </w:p>
    <w:p w14:paraId="03EAAA5A" w14:textId="7EC0375E" w:rsidR="00457604" w:rsidRDefault="00457604" w:rsidP="00457604">
      <w:pPr>
        <w:rPr>
          <w:lang w:val="en-US"/>
        </w:rPr>
      </w:pPr>
      <w:r w:rsidRPr="00457604">
        <w:rPr>
          <w:lang w:val="en-US"/>
        </w:rPr>
        <w:t>We promote</w:t>
      </w:r>
      <w:r w:rsidR="00AF2F0A">
        <w:rPr>
          <w:lang w:val="en-US"/>
        </w:rPr>
        <w:t xml:space="preserve">, </w:t>
      </w:r>
      <w:r w:rsidRPr="00457604">
        <w:rPr>
          <w:lang w:val="en-US"/>
        </w:rPr>
        <w:t>and have a keen interest in</w:t>
      </w:r>
      <w:r w:rsidR="00AF2F0A">
        <w:rPr>
          <w:lang w:val="en-US"/>
        </w:rPr>
        <w:t>,</w:t>
      </w:r>
      <w:r w:rsidRPr="00457604">
        <w:rPr>
          <w:lang w:val="en-US"/>
        </w:rPr>
        <w:t xml:space="preserve"> investor protection and market integrity, as stipulated in our mission statement. Historically, we have also taken part in debates about performance and costs presentation, clarity and transparency. </w:t>
      </w:r>
      <w:proofErr w:type="gramStart"/>
      <w:r w:rsidRPr="00457604">
        <w:rPr>
          <w:lang w:val="en-US"/>
        </w:rPr>
        <w:t>In particular, CFA</w:t>
      </w:r>
      <w:proofErr w:type="gramEnd"/>
      <w:r w:rsidRPr="00457604">
        <w:rPr>
          <w:lang w:val="en-US"/>
        </w:rPr>
        <w:t xml:space="preserve"> Institute promotes the adoption of GIPS ® standards, which are an investment industry standard for calculating and presenting historical investment performance.</w:t>
      </w:r>
    </w:p>
    <w:p w14:paraId="2F190BA8" w14:textId="6EE10545" w:rsidR="00772BA7" w:rsidRDefault="00772BA7" w:rsidP="00457604">
      <w:pPr>
        <w:rPr>
          <w:lang w:val="en-US"/>
        </w:rPr>
      </w:pPr>
    </w:p>
    <w:p w14:paraId="176DEE0E" w14:textId="26D23755" w:rsidR="00CB7FB4" w:rsidRDefault="00772BA7" w:rsidP="00772BA7">
      <w:pPr>
        <w:rPr>
          <w:lang w:val="en-US"/>
        </w:rPr>
      </w:pPr>
      <w:r>
        <w:rPr>
          <w:lang w:val="en-US"/>
        </w:rPr>
        <w:t xml:space="preserve">CFA Institute has previously reported on </w:t>
      </w:r>
      <w:r w:rsidR="00692D2C">
        <w:rPr>
          <w:lang w:val="en-US"/>
        </w:rPr>
        <w:t xml:space="preserve">the views we hold that reporting rules have gradually become complicated </w:t>
      </w:r>
      <w:r w:rsidR="001C24BA">
        <w:rPr>
          <w:lang w:val="en-US"/>
        </w:rPr>
        <w:t>and may be suffering from a lack of consistency across the various regulatory frameworks (PRIIPs, UCITS, MiFID II</w:t>
      </w:r>
      <w:r w:rsidR="00CE133A">
        <w:rPr>
          <w:lang w:val="en-US"/>
        </w:rPr>
        <w:t xml:space="preserve"> (EMT)</w:t>
      </w:r>
      <w:r w:rsidR="001C24BA">
        <w:rPr>
          <w:lang w:val="en-US"/>
        </w:rPr>
        <w:t>, AIFMD)</w:t>
      </w:r>
      <w:r w:rsidR="005441D1">
        <w:rPr>
          <w:lang w:val="en-US"/>
        </w:rPr>
        <w:t>. We understand the complexity</w:t>
      </w:r>
      <w:r w:rsidR="006E61DD">
        <w:rPr>
          <w:lang w:val="en-US"/>
        </w:rPr>
        <w:t xml:space="preserve"> legislators and regulators are facing as these frameworks are developing in parallel </w:t>
      </w:r>
      <w:r w:rsidR="00F95151">
        <w:rPr>
          <w:lang w:val="en-US"/>
        </w:rPr>
        <w:t>to</w:t>
      </w:r>
      <w:r w:rsidR="006E61DD">
        <w:rPr>
          <w:lang w:val="en-US"/>
        </w:rPr>
        <w:t xml:space="preserve"> each other. </w:t>
      </w:r>
      <w:r w:rsidR="009F086A">
        <w:rPr>
          <w:lang w:val="en-US"/>
        </w:rPr>
        <w:t>We also acknowledge, and agree with, the fact that these initiatives are all rooted in the idea that investor protection</w:t>
      </w:r>
      <w:r w:rsidR="00091F27">
        <w:rPr>
          <w:lang w:val="en-US"/>
        </w:rPr>
        <w:t xml:space="preserve"> principles</w:t>
      </w:r>
      <w:r w:rsidR="009F086A">
        <w:rPr>
          <w:lang w:val="en-US"/>
        </w:rPr>
        <w:t xml:space="preserve"> need to be safeguarded against </w:t>
      </w:r>
      <w:r w:rsidR="00B7219B">
        <w:rPr>
          <w:lang w:val="en-US"/>
        </w:rPr>
        <w:t xml:space="preserve">past </w:t>
      </w:r>
      <w:r w:rsidR="009F086A">
        <w:rPr>
          <w:lang w:val="en-US"/>
        </w:rPr>
        <w:t xml:space="preserve">excesses </w:t>
      </w:r>
      <w:r w:rsidR="00B7219B">
        <w:rPr>
          <w:lang w:val="en-US"/>
        </w:rPr>
        <w:t xml:space="preserve">observed in the financial services industry, which have resulted in severe </w:t>
      </w:r>
      <w:r w:rsidR="000E52AA">
        <w:rPr>
          <w:lang w:val="en-US"/>
        </w:rPr>
        <w:t>crises and have dented the public’s trust in financ</w:t>
      </w:r>
      <w:r w:rsidR="00CE1EE6">
        <w:rPr>
          <w:lang w:val="en-US"/>
        </w:rPr>
        <w:t>e professionals</w:t>
      </w:r>
      <w:r w:rsidR="000E52AA">
        <w:rPr>
          <w:lang w:val="en-US"/>
        </w:rPr>
        <w:t>. Repairing this trust</w:t>
      </w:r>
      <w:r w:rsidR="006C28F6">
        <w:rPr>
          <w:lang w:val="en-US"/>
        </w:rPr>
        <w:t xml:space="preserve"> is of utmost importance and </w:t>
      </w:r>
      <w:r w:rsidR="00C64542">
        <w:rPr>
          <w:lang w:val="en-US"/>
        </w:rPr>
        <w:t>shall be a necessary condition if broader EU initiatives like the Capital Markets Union</w:t>
      </w:r>
      <w:r w:rsidR="009378EF">
        <w:rPr>
          <w:lang w:val="en-US"/>
        </w:rPr>
        <w:t xml:space="preserve"> are to be successful. </w:t>
      </w:r>
      <w:r w:rsidR="00B26BF5">
        <w:rPr>
          <w:lang w:val="en-US"/>
        </w:rPr>
        <w:t>Yet, the complication of reporting we</w:t>
      </w:r>
      <w:r w:rsidR="00BC737B">
        <w:rPr>
          <w:lang w:val="en-US"/>
        </w:rPr>
        <w:t xml:space="preserve"> now</w:t>
      </w:r>
      <w:r w:rsidR="00B26BF5">
        <w:rPr>
          <w:lang w:val="en-US"/>
        </w:rPr>
        <w:t xml:space="preserve"> feel may be blurring the message to investors</w:t>
      </w:r>
      <w:r w:rsidR="00314B8B">
        <w:rPr>
          <w:lang w:val="en-US"/>
        </w:rPr>
        <w:t xml:space="preserve"> and diminishing the benefit</w:t>
      </w:r>
      <w:r w:rsidR="00156CFF">
        <w:rPr>
          <w:lang w:val="en-US"/>
        </w:rPr>
        <w:t>s</w:t>
      </w:r>
      <w:r w:rsidR="00314B8B">
        <w:rPr>
          <w:lang w:val="en-US"/>
        </w:rPr>
        <w:t xml:space="preserve"> </w:t>
      </w:r>
      <w:r w:rsidR="00156CFF">
        <w:rPr>
          <w:lang w:val="en-US"/>
        </w:rPr>
        <w:t>from</w:t>
      </w:r>
      <w:r w:rsidR="00314B8B">
        <w:rPr>
          <w:lang w:val="en-US"/>
        </w:rPr>
        <w:t xml:space="preserve"> </w:t>
      </w:r>
      <w:r w:rsidR="00FE0B5F">
        <w:rPr>
          <w:lang w:val="en-US"/>
        </w:rPr>
        <w:t>enhanced</w:t>
      </w:r>
      <w:r w:rsidR="00F123F4">
        <w:rPr>
          <w:lang w:val="en-US"/>
        </w:rPr>
        <w:t xml:space="preserve"> transparency. </w:t>
      </w:r>
    </w:p>
    <w:p w14:paraId="410FC8A6" w14:textId="77777777" w:rsidR="00CB7FB4" w:rsidRDefault="00CB7FB4" w:rsidP="00772BA7">
      <w:pPr>
        <w:rPr>
          <w:lang w:val="en-US"/>
        </w:rPr>
      </w:pPr>
    </w:p>
    <w:p w14:paraId="50057CFD" w14:textId="7DCCA5AA" w:rsidR="00772BA7" w:rsidRDefault="00A70239" w:rsidP="00772BA7">
      <w:pPr>
        <w:rPr>
          <w:lang w:val="en-US"/>
        </w:rPr>
      </w:pPr>
      <w:r>
        <w:rPr>
          <w:lang w:val="en-US"/>
        </w:rPr>
        <w:t>Ultimately, the objective should be for investors to have access to a large array of investment choices</w:t>
      </w:r>
      <w:r w:rsidR="00956926">
        <w:rPr>
          <w:lang w:val="en-US"/>
        </w:rPr>
        <w:t xml:space="preserve"> priced competitively (competition forces should be </w:t>
      </w:r>
      <w:r w:rsidR="00BF26D4">
        <w:rPr>
          <w:lang w:val="en-US"/>
        </w:rPr>
        <w:t>functional</w:t>
      </w:r>
      <w:r w:rsidR="00956926">
        <w:rPr>
          <w:lang w:val="en-US"/>
        </w:rPr>
        <w:t>)</w:t>
      </w:r>
      <w:r>
        <w:rPr>
          <w:lang w:val="en-US"/>
        </w:rPr>
        <w:t xml:space="preserve">, to trust the information that is provided to them so that they can </w:t>
      </w:r>
      <w:r w:rsidR="0069168B">
        <w:rPr>
          <w:lang w:val="en-US"/>
        </w:rPr>
        <w:t xml:space="preserve">confidently make an informed decision. A lack of trust results in investors therefore </w:t>
      </w:r>
      <w:r w:rsidR="00B453B4">
        <w:rPr>
          <w:lang w:val="en-US"/>
        </w:rPr>
        <w:t>resorting to the cheapest and</w:t>
      </w:r>
      <w:r w:rsidR="0018167E">
        <w:rPr>
          <w:lang w:val="en-US"/>
        </w:rPr>
        <w:t xml:space="preserve"> what are</w:t>
      </w:r>
      <w:r w:rsidR="00B453B4">
        <w:rPr>
          <w:lang w:val="en-US"/>
        </w:rPr>
        <w:t xml:space="preserve"> </w:t>
      </w:r>
      <w:r w:rsidR="00DA6224">
        <w:rPr>
          <w:lang w:val="en-US"/>
        </w:rPr>
        <w:t xml:space="preserve">perceived </w:t>
      </w:r>
      <w:r w:rsidR="0018167E">
        <w:rPr>
          <w:lang w:val="en-US"/>
        </w:rPr>
        <w:t xml:space="preserve">to be the </w:t>
      </w:r>
      <w:r w:rsidR="00B453B4">
        <w:rPr>
          <w:lang w:val="en-US"/>
        </w:rPr>
        <w:t xml:space="preserve">safest solutions, which does not promote sound risk taking </w:t>
      </w:r>
      <w:r w:rsidR="00CB7FB4">
        <w:rPr>
          <w:lang w:val="en-US"/>
        </w:rPr>
        <w:t>aimed at funding long-term projects</w:t>
      </w:r>
      <w:r w:rsidR="009C30B6">
        <w:rPr>
          <w:lang w:val="en-US"/>
        </w:rPr>
        <w:t>. This</w:t>
      </w:r>
      <w:r w:rsidR="0070472D">
        <w:rPr>
          <w:lang w:val="en-US"/>
        </w:rPr>
        <w:t xml:space="preserve"> short-termism and </w:t>
      </w:r>
      <w:r w:rsidR="00517E9D">
        <w:rPr>
          <w:lang w:val="en-US"/>
        </w:rPr>
        <w:t>exclusive focus on costs would</w:t>
      </w:r>
      <w:r w:rsidR="009C30B6">
        <w:rPr>
          <w:lang w:val="en-US"/>
        </w:rPr>
        <w:t xml:space="preserve"> run contrary to the current objectives stated by the new European Commission</w:t>
      </w:r>
      <w:r w:rsidR="00517E9D">
        <w:rPr>
          <w:lang w:val="en-US"/>
        </w:rPr>
        <w:t xml:space="preserve"> </w:t>
      </w:r>
      <w:r w:rsidR="0079274E">
        <w:rPr>
          <w:lang w:val="en-US"/>
        </w:rPr>
        <w:t>(Economic policy and financial services).</w:t>
      </w:r>
    </w:p>
    <w:p w14:paraId="001AEDAE" w14:textId="39771BEE" w:rsidR="38EA3756" w:rsidRDefault="38EA3756" w:rsidP="38EA3756">
      <w:pPr>
        <w:rPr>
          <w:lang w:val="en-US"/>
        </w:rPr>
      </w:pPr>
    </w:p>
    <w:p w14:paraId="70B1CAB6" w14:textId="21A91816" w:rsidR="38EA3756" w:rsidRDefault="38EA3756" w:rsidP="38EA3756">
      <w:pPr>
        <w:rPr>
          <w:lang w:val="en-US"/>
        </w:rPr>
      </w:pPr>
      <w:r w:rsidRPr="38EA3756">
        <w:rPr>
          <w:lang w:val="en-US"/>
        </w:rPr>
        <w:t>CFA Institute</w:t>
      </w:r>
      <w:r w:rsidR="00C54C94">
        <w:rPr>
          <w:lang w:val="en-US"/>
        </w:rPr>
        <w:t>,</w:t>
      </w:r>
      <w:r w:rsidRPr="38EA3756">
        <w:rPr>
          <w:lang w:val="en-US"/>
        </w:rPr>
        <w:t xml:space="preserve"> after extensive dialogue with its EU members would recommend that the implementation of PRIIP</w:t>
      </w:r>
      <w:r w:rsidR="00C54C94">
        <w:rPr>
          <w:lang w:val="en-US"/>
        </w:rPr>
        <w:t>s</w:t>
      </w:r>
      <w:r w:rsidRPr="38EA3756">
        <w:rPr>
          <w:lang w:val="en-US"/>
        </w:rPr>
        <w:t xml:space="preserve"> changes not be staggered and even more crucial that for the sake of comparability, the EU NCAs do not implement the regulation at different times. </w:t>
      </w:r>
      <w:r w:rsidR="004E6637">
        <w:rPr>
          <w:lang w:val="en-US"/>
        </w:rPr>
        <w:t xml:space="preserve">A staggered approach would </w:t>
      </w:r>
      <w:r w:rsidRPr="38EA3756">
        <w:rPr>
          <w:lang w:val="en-US"/>
        </w:rPr>
        <w:t xml:space="preserve">create an uneven </w:t>
      </w:r>
      <w:r w:rsidR="004E6637">
        <w:rPr>
          <w:lang w:val="en-US"/>
        </w:rPr>
        <w:t xml:space="preserve">playing field </w:t>
      </w:r>
      <w:r w:rsidRPr="38EA3756">
        <w:rPr>
          <w:lang w:val="en-US"/>
        </w:rPr>
        <w:t>and a market</w:t>
      </w:r>
      <w:r w:rsidR="00255949">
        <w:rPr>
          <w:lang w:val="en-US"/>
        </w:rPr>
        <w:t xml:space="preserve"> that would lack transparency</w:t>
      </w:r>
      <w:r w:rsidRPr="38EA3756">
        <w:rPr>
          <w:lang w:val="en-US"/>
        </w:rPr>
        <w:t xml:space="preserve"> when the aim is</w:t>
      </w:r>
      <w:r w:rsidR="00A57E72">
        <w:rPr>
          <w:lang w:val="en-US"/>
        </w:rPr>
        <w:t xml:space="preserve"> precisely</w:t>
      </w:r>
      <w:r w:rsidRPr="38EA3756">
        <w:rPr>
          <w:lang w:val="en-US"/>
        </w:rPr>
        <w:t xml:space="preserve"> to move to a single market.</w:t>
      </w:r>
    </w:p>
    <w:p w14:paraId="7012EA63" w14:textId="71B00310" w:rsidR="009378EF" w:rsidRDefault="009378EF" w:rsidP="00772BA7">
      <w:pPr>
        <w:rPr>
          <w:lang w:val="en-US"/>
        </w:rPr>
      </w:pPr>
    </w:p>
    <w:p w14:paraId="72664F4D" w14:textId="3D81931C" w:rsidR="000A057B" w:rsidRDefault="38EA3756" w:rsidP="00772BA7">
      <w:pPr>
        <w:rPr>
          <w:lang w:val="en-US"/>
        </w:rPr>
      </w:pPr>
      <w:r w:rsidRPr="38EA3756">
        <w:rPr>
          <w:lang w:val="en-US"/>
        </w:rPr>
        <w:lastRenderedPageBreak/>
        <w:t xml:space="preserve">CFA Institute has the advantage of being able to access the views and opinions of its professional members when crafting its responses to important consultations such as this one. We would like to thank the numerous members and their local societies who </w:t>
      </w:r>
      <w:r w:rsidR="00A17C01">
        <w:rPr>
          <w:lang w:val="en-US"/>
        </w:rPr>
        <w:t xml:space="preserve">have helped </w:t>
      </w:r>
      <w:r w:rsidR="00931C51">
        <w:rPr>
          <w:lang w:val="en-US"/>
        </w:rPr>
        <w:t>inform the responses given in this document (</w:t>
      </w:r>
      <w:proofErr w:type="gramStart"/>
      <w:r w:rsidR="00931C51">
        <w:rPr>
          <w:lang w:val="en-US"/>
        </w:rPr>
        <w:t>in particular in</w:t>
      </w:r>
      <w:proofErr w:type="gramEnd"/>
      <w:r w:rsidR="00931C51">
        <w:rPr>
          <w:lang w:val="en-US"/>
        </w:rPr>
        <w:t xml:space="preserve"> the UK, Netherlands, Italy, </w:t>
      </w:r>
      <w:r w:rsidR="004348BA">
        <w:rPr>
          <w:lang w:val="en-US"/>
        </w:rPr>
        <w:t>France, Germany).</w:t>
      </w:r>
    </w:p>
    <w:p w14:paraId="3EB20B06" w14:textId="4F5DBAF9" w:rsidR="00E53A1E" w:rsidRDefault="00E53A1E" w:rsidP="00772BA7">
      <w:pPr>
        <w:rPr>
          <w:lang w:val="en-US"/>
        </w:rPr>
      </w:pPr>
    </w:p>
    <w:p w14:paraId="59DABB78" w14:textId="28CDBAE5" w:rsidR="00E53A1E" w:rsidRDefault="00E53A1E" w:rsidP="00772BA7">
      <w:pPr>
        <w:rPr>
          <w:lang w:val="en-US"/>
        </w:rPr>
      </w:pPr>
      <w:r>
        <w:rPr>
          <w:lang w:val="en-US"/>
        </w:rPr>
        <w:t xml:space="preserve">This consultation also deserves a specific general comment about the various questions related to performance scenario methods and proposed alternatives. </w:t>
      </w:r>
      <w:r w:rsidR="00C72C0E">
        <w:rPr>
          <w:lang w:val="en-US"/>
        </w:rPr>
        <w:t xml:space="preserve">CFA Institute believes that further consultation should be </w:t>
      </w:r>
      <w:r w:rsidR="008D48B3">
        <w:rPr>
          <w:lang w:val="en-US"/>
        </w:rPr>
        <w:t>considered</w:t>
      </w:r>
      <w:r w:rsidR="00C72C0E">
        <w:rPr>
          <w:lang w:val="en-US"/>
        </w:rPr>
        <w:t xml:space="preserve"> on the </w:t>
      </w:r>
      <w:r w:rsidR="00D91186">
        <w:rPr>
          <w:lang w:val="en-US"/>
        </w:rPr>
        <w:t xml:space="preserve">performance scenarios and possible changes to the existing prescribed calculation method. </w:t>
      </w:r>
      <w:r w:rsidR="00C55D3F">
        <w:rPr>
          <w:lang w:val="en-US"/>
        </w:rPr>
        <w:t xml:space="preserve">Although we strongly advocate in </w:t>
      </w:r>
      <w:proofErr w:type="spellStart"/>
      <w:r w:rsidR="00C55D3F">
        <w:rPr>
          <w:lang w:val="en-US"/>
        </w:rPr>
        <w:t>favour</w:t>
      </w:r>
      <w:proofErr w:type="spellEnd"/>
      <w:r w:rsidR="00C55D3F">
        <w:rPr>
          <w:lang w:val="en-US"/>
        </w:rPr>
        <w:t xml:space="preserve"> of simplification and alignment between the various regulatory frameworks that deal with reporting requirements, we think different approaches to calculations could be used to reflect </w:t>
      </w:r>
      <w:r w:rsidR="00CA777F">
        <w:rPr>
          <w:lang w:val="en-US"/>
        </w:rPr>
        <w:t xml:space="preserve">differences in product characteristics and asset classes. It is difficult to lump everything together </w:t>
      </w:r>
      <w:proofErr w:type="gramStart"/>
      <w:r w:rsidR="00CA777F">
        <w:rPr>
          <w:lang w:val="en-US"/>
        </w:rPr>
        <w:t>and in the end</w:t>
      </w:r>
      <w:proofErr w:type="gramEnd"/>
      <w:r w:rsidR="00CA777F">
        <w:rPr>
          <w:lang w:val="en-US"/>
        </w:rPr>
        <w:t xml:space="preserve">, the variety of products and asset classes could </w:t>
      </w:r>
      <w:r w:rsidR="0021799C">
        <w:rPr>
          <w:lang w:val="en-US"/>
        </w:rPr>
        <w:t>warrant approaches that would better represent their</w:t>
      </w:r>
      <w:r w:rsidR="00B35D4C">
        <w:rPr>
          <w:lang w:val="en-US"/>
        </w:rPr>
        <w:t xml:space="preserve"> intrinsic</w:t>
      </w:r>
      <w:r w:rsidR="0021799C">
        <w:rPr>
          <w:lang w:val="en-US"/>
        </w:rPr>
        <w:t xml:space="preserve"> characteristics and </w:t>
      </w:r>
      <w:r w:rsidR="00B35D4C">
        <w:rPr>
          <w:lang w:val="en-US"/>
        </w:rPr>
        <w:t xml:space="preserve">specific </w:t>
      </w:r>
      <w:r w:rsidR="0021799C">
        <w:rPr>
          <w:lang w:val="en-US"/>
        </w:rPr>
        <w:t xml:space="preserve">behavior. </w:t>
      </w:r>
      <w:r w:rsidR="006D6294">
        <w:rPr>
          <w:lang w:val="en-US"/>
        </w:rPr>
        <w:t>As it stands, the alternative approaches explored by the ESAs</w:t>
      </w:r>
      <w:r w:rsidR="001F7A6E">
        <w:rPr>
          <w:lang w:val="en-US"/>
        </w:rPr>
        <w:t xml:space="preserve"> in this consultation</w:t>
      </w:r>
      <w:r w:rsidR="006D6294">
        <w:rPr>
          <w:lang w:val="en-US"/>
        </w:rPr>
        <w:t xml:space="preserve"> </w:t>
      </w:r>
      <w:r w:rsidR="006E1B77">
        <w:rPr>
          <w:lang w:val="en-US"/>
        </w:rPr>
        <w:t>present</w:t>
      </w:r>
      <w:r w:rsidR="006D6294">
        <w:rPr>
          <w:lang w:val="en-US"/>
        </w:rPr>
        <w:t xml:space="preserve"> </w:t>
      </w:r>
      <w:r w:rsidR="001F7A6E">
        <w:rPr>
          <w:lang w:val="en-US"/>
        </w:rPr>
        <w:t>qualities</w:t>
      </w:r>
      <w:r w:rsidR="006E1B77">
        <w:rPr>
          <w:lang w:val="en-US"/>
        </w:rPr>
        <w:t xml:space="preserve"> – as we recognize in our answers –</w:t>
      </w:r>
      <w:r w:rsidR="001F7A6E">
        <w:rPr>
          <w:lang w:val="en-US"/>
        </w:rPr>
        <w:t xml:space="preserve"> but also appear to us as very equity-focused and may therefore not </w:t>
      </w:r>
      <w:r w:rsidR="00F35004">
        <w:rPr>
          <w:lang w:val="en-US"/>
        </w:rPr>
        <w:t xml:space="preserve">significantly improve on the incumbent approach </w:t>
      </w:r>
      <w:r w:rsidR="00630FD8">
        <w:rPr>
          <w:lang w:val="en-US"/>
        </w:rPr>
        <w:t xml:space="preserve">from the angle of representativeness. </w:t>
      </w:r>
    </w:p>
    <w:p w14:paraId="10C3953D" w14:textId="3A40F377" w:rsidR="0046303F" w:rsidRDefault="0046303F" w:rsidP="00772BA7">
      <w:pPr>
        <w:rPr>
          <w:lang w:val="en-US"/>
        </w:rPr>
      </w:pPr>
    </w:p>
    <w:p w14:paraId="68C8FFCF" w14:textId="45E356B3" w:rsidR="0046303F" w:rsidRDefault="00FF5883" w:rsidP="00772BA7">
      <w:pPr>
        <w:rPr>
          <w:lang w:val="en-US"/>
        </w:rPr>
      </w:pPr>
      <w:r>
        <w:rPr>
          <w:lang w:val="en-US"/>
        </w:rPr>
        <w:t>As further background to our answers, w</w:t>
      </w:r>
      <w:r w:rsidR="0046303F">
        <w:rPr>
          <w:lang w:val="en-US"/>
        </w:rPr>
        <w:t xml:space="preserve">e would like to point out that CFA Institute has conducted </w:t>
      </w:r>
      <w:proofErr w:type="gramStart"/>
      <w:r w:rsidR="0046303F">
        <w:rPr>
          <w:lang w:val="en-US"/>
        </w:rPr>
        <w:t>a</w:t>
      </w:r>
      <w:proofErr w:type="gramEnd"/>
      <w:r w:rsidR="0046303F">
        <w:rPr>
          <w:lang w:val="en-US"/>
        </w:rPr>
        <w:t xml:space="preserve"> EU-wide survey of its membership </w:t>
      </w:r>
      <w:r w:rsidR="00A81576">
        <w:rPr>
          <w:lang w:val="en-US"/>
        </w:rPr>
        <w:t xml:space="preserve">in December 2019 </w:t>
      </w:r>
      <w:r w:rsidR="0046303F">
        <w:rPr>
          <w:lang w:val="en-US"/>
        </w:rPr>
        <w:t xml:space="preserve">on the topic of product governance and </w:t>
      </w:r>
      <w:r w:rsidR="00285BCD">
        <w:rPr>
          <w:lang w:val="en-US"/>
        </w:rPr>
        <w:t>investor reporting regulatory requirements</w:t>
      </w:r>
      <w:r w:rsidR="006A3721">
        <w:rPr>
          <w:lang w:val="en-US"/>
        </w:rPr>
        <w:t xml:space="preserve"> (see Note 1 for details)</w:t>
      </w:r>
      <w:r w:rsidR="00285BCD">
        <w:rPr>
          <w:lang w:val="en-US"/>
        </w:rPr>
        <w:t xml:space="preserve">. </w:t>
      </w:r>
      <w:r w:rsidR="00095F4E">
        <w:rPr>
          <w:lang w:val="en-US"/>
        </w:rPr>
        <w:t xml:space="preserve">Our objective was to ask our member community </w:t>
      </w:r>
      <w:r w:rsidR="00A517ED">
        <w:rPr>
          <w:lang w:val="en-US"/>
        </w:rPr>
        <w:t>how product governance, the relationship between manufacturers and distributors had evolved since the introduction of MiFID II and PRIIPs. We also wanted their views specifically on regulatory reporting requirements (like PRIIPs, UCITS)</w:t>
      </w:r>
      <w:r w:rsidR="00716E67">
        <w:rPr>
          <w:lang w:val="en-US"/>
        </w:rPr>
        <w:t xml:space="preserve"> and</w:t>
      </w:r>
      <w:r w:rsidR="00A517ED">
        <w:rPr>
          <w:lang w:val="en-US"/>
        </w:rPr>
        <w:t xml:space="preserve"> the key information document, in order to inform our answers to this consultation. </w:t>
      </w:r>
      <w:r w:rsidR="007B6BC4">
        <w:rPr>
          <w:lang w:val="en-US"/>
        </w:rPr>
        <w:t xml:space="preserve">The </w:t>
      </w:r>
      <w:r w:rsidR="00CA30EF">
        <w:rPr>
          <w:lang w:val="en-US"/>
        </w:rPr>
        <w:t>highlights and key statistics</w:t>
      </w:r>
      <w:r w:rsidR="00B713D9">
        <w:rPr>
          <w:lang w:val="en-US"/>
        </w:rPr>
        <w:t xml:space="preserve"> drawn from this </w:t>
      </w:r>
      <w:r w:rsidR="0058769E">
        <w:rPr>
          <w:lang w:val="en-US"/>
        </w:rPr>
        <w:t>survey are presented below:</w:t>
      </w:r>
    </w:p>
    <w:p w14:paraId="63F04B91" w14:textId="70CB4A1C" w:rsidR="00794228" w:rsidRDefault="00794228" w:rsidP="00772BA7">
      <w:pPr>
        <w:rPr>
          <w:lang w:val="en-US"/>
        </w:rPr>
      </w:pPr>
    </w:p>
    <w:p w14:paraId="41E6F893" w14:textId="2D44B2D6" w:rsidR="0058769E" w:rsidRDefault="007F5427" w:rsidP="0058769E">
      <w:pPr>
        <w:pStyle w:val="ListParagraph"/>
        <w:numPr>
          <w:ilvl w:val="0"/>
          <w:numId w:val="50"/>
        </w:numPr>
        <w:rPr>
          <w:lang w:val="en-US"/>
        </w:rPr>
      </w:pPr>
      <w:r>
        <w:rPr>
          <w:lang w:val="en-US"/>
        </w:rPr>
        <w:t>51% of respondents thought that more care is</w:t>
      </w:r>
      <w:r w:rsidR="002C4597">
        <w:rPr>
          <w:lang w:val="en-US"/>
        </w:rPr>
        <w:t xml:space="preserve"> now</w:t>
      </w:r>
      <w:r>
        <w:rPr>
          <w:lang w:val="en-US"/>
        </w:rPr>
        <w:t xml:space="preserve"> given </w:t>
      </w:r>
      <w:r w:rsidR="002C4597">
        <w:rPr>
          <w:lang w:val="en-US"/>
        </w:rPr>
        <w:t>to product design and marketing to ensure the right products are reaching their target client base</w:t>
      </w:r>
      <w:r w:rsidR="00714FC5">
        <w:rPr>
          <w:lang w:val="en-US"/>
        </w:rPr>
        <w:t>, since the introduction of MiFID II</w:t>
      </w:r>
      <w:r w:rsidR="002C4597">
        <w:rPr>
          <w:lang w:val="en-US"/>
        </w:rPr>
        <w:t>.</w:t>
      </w:r>
    </w:p>
    <w:p w14:paraId="6F177F69" w14:textId="64534CA0" w:rsidR="002C4597" w:rsidRDefault="00267A3E" w:rsidP="0058769E">
      <w:pPr>
        <w:pStyle w:val="ListParagraph"/>
        <w:numPr>
          <w:ilvl w:val="0"/>
          <w:numId w:val="50"/>
        </w:numPr>
        <w:rPr>
          <w:lang w:val="en-US"/>
        </w:rPr>
      </w:pPr>
      <w:r>
        <w:rPr>
          <w:lang w:val="en-US"/>
        </w:rPr>
        <w:t xml:space="preserve">41% think MiFID II has improved the understanding distributors and advisors have of the investment products they market, thanks </w:t>
      </w:r>
      <w:r w:rsidR="003C143B">
        <w:rPr>
          <w:lang w:val="en-US"/>
        </w:rPr>
        <w:t>to more effective communication with the product manufacturers</w:t>
      </w:r>
      <w:r w:rsidR="00D51980">
        <w:rPr>
          <w:lang w:val="en-US"/>
        </w:rPr>
        <w:t>. 37% saw no change and 22% still think distributors and advisors have a poor level of understanding.</w:t>
      </w:r>
    </w:p>
    <w:p w14:paraId="6AAF8F35" w14:textId="09A513EA" w:rsidR="00D51980" w:rsidRDefault="00440275" w:rsidP="0058769E">
      <w:pPr>
        <w:pStyle w:val="ListParagraph"/>
        <w:numPr>
          <w:ilvl w:val="0"/>
          <w:numId w:val="50"/>
        </w:numPr>
        <w:rPr>
          <w:lang w:val="en-US"/>
        </w:rPr>
      </w:pPr>
      <w:r>
        <w:rPr>
          <w:lang w:val="en-US"/>
        </w:rPr>
        <w:t>57% of respondents think the administrative process required to assess an investor’</w:t>
      </w:r>
      <w:r w:rsidR="00611662">
        <w:rPr>
          <w:lang w:val="en-US"/>
        </w:rPr>
        <w:t xml:space="preserve"> suitability prior to making an investment has become too complicated, should be simplified </w:t>
      </w:r>
      <w:r w:rsidR="008F348B">
        <w:rPr>
          <w:lang w:val="en-US"/>
        </w:rPr>
        <w:t>and clarified.</w:t>
      </w:r>
    </w:p>
    <w:p w14:paraId="1CF9A8A4" w14:textId="637CEF5E" w:rsidR="008F348B" w:rsidRDefault="00722052" w:rsidP="0058769E">
      <w:pPr>
        <w:pStyle w:val="ListParagraph"/>
        <w:numPr>
          <w:ilvl w:val="0"/>
          <w:numId w:val="50"/>
        </w:numPr>
        <w:rPr>
          <w:lang w:val="en-US"/>
        </w:rPr>
      </w:pPr>
      <w:r>
        <w:rPr>
          <w:lang w:val="en-US"/>
        </w:rPr>
        <w:t xml:space="preserve">54% of respondents think </w:t>
      </w:r>
      <w:r w:rsidR="009D5748">
        <w:rPr>
          <w:lang w:val="en-US"/>
        </w:rPr>
        <w:t xml:space="preserve">investors obtain enough information, yet they think these investors are probably struggling to understand the information </w:t>
      </w:r>
      <w:r w:rsidR="00CD4448">
        <w:rPr>
          <w:lang w:val="en-US"/>
        </w:rPr>
        <w:t>due to its complexity.</w:t>
      </w:r>
    </w:p>
    <w:p w14:paraId="4AF7D9EA" w14:textId="4A26C96A" w:rsidR="00CD4448" w:rsidRDefault="00CD4448" w:rsidP="0058769E">
      <w:pPr>
        <w:pStyle w:val="ListParagraph"/>
        <w:numPr>
          <w:ilvl w:val="0"/>
          <w:numId w:val="50"/>
        </w:numPr>
        <w:rPr>
          <w:lang w:val="en-US"/>
        </w:rPr>
      </w:pPr>
      <w:r>
        <w:rPr>
          <w:lang w:val="en-US"/>
        </w:rPr>
        <w:t xml:space="preserve">57% of respondents think the </w:t>
      </w:r>
      <w:r w:rsidR="00074DCD">
        <w:rPr>
          <w:lang w:val="en-US"/>
        </w:rPr>
        <w:t xml:space="preserve">marketing rules in the EU are partially effective for the efficient cross-distribution of investment products across the Union. </w:t>
      </w:r>
      <w:r w:rsidR="00AF724E">
        <w:rPr>
          <w:lang w:val="en-US"/>
        </w:rPr>
        <w:t xml:space="preserve">They say partially because of still inconsistent standards across jurisdictions </w:t>
      </w:r>
      <w:r w:rsidR="00F65093">
        <w:rPr>
          <w:lang w:val="en-US"/>
        </w:rPr>
        <w:t>due to EU directives being applied in different ways for retail and professional clients.</w:t>
      </w:r>
    </w:p>
    <w:p w14:paraId="4D09C9D0" w14:textId="24A72109" w:rsidR="00F65093" w:rsidRDefault="00750EB4" w:rsidP="0058769E">
      <w:pPr>
        <w:pStyle w:val="ListParagraph"/>
        <w:numPr>
          <w:ilvl w:val="0"/>
          <w:numId w:val="50"/>
        </w:numPr>
        <w:rPr>
          <w:lang w:val="en-US"/>
        </w:rPr>
      </w:pPr>
      <w:r>
        <w:rPr>
          <w:lang w:val="en-US"/>
        </w:rPr>
        <w:t>69% of respondents agree ESMA should be granted more powers to oversee the cross-distribution of investment products across the EU.</w:t>
      </w:r>
    </w:p>
    <w:p w14:paraId="3AAB2758" w14:textId="341D16AA" w:rsidR="00750EB4" w:rsidRDefault="004E106F" w:rsidP="0058769E">
      <w:pPr>
        <w:pStyle w:val="ListParagraph"/>
        <w:numPr>
          <w:ilvl w:val="0"/>
          <w:numId w:val="50"/>
        </w:numPr>
        <w:rPr>
          <w:lang w:val="en-US"/>
        </w:rPr>
      </w:pPr>
      <w:r>
        <w:rPr>
          <w:lang w:val="en-US"/>
        </w:rPr>
        <w:t xml:space="preserve">As regards the PRIIPs Regulation </w:t>
      </w:r>
      <w:r w:rsidR="0007052A">
        <w:rPr>
          <w:lang w:val="en-US"/>
        </w:rPr>
        <w:t xml:space="preserve">(KID) </w:t>
      </w:r>
      <w:r>
        <w:rPr>
          <w:lang w:val="en-US"/>
        </w:rPr>
        <w:t xml:space="preserve">and </w:t>
      </w:r>
      <w:r w:rsidR="0007052A">
        <w:rPr>
          <w:lang w:val="en-US"/>
        </w:rPr>
        <w:t xml:space="preserve">UCITS Regulation (KIID), 52% of respondents think the frameworks are partially </w:t>
      </w:r>
      <w:r w:rsidR="00522871">
        <w:rPr>
          <w:lang w:val="en-US"/>
        </w:rPr>
        <w:t>successful, as they have improved information consistency across products and providers</w:t>
      </w:r>
      <w:r w:rsidR="00735EE8">
        <w:rPr>
          <w:lang w:val="en-US"/>
        </w:rPr>
        <w:t>, but there are still large variations in the quality and standardization of information provided.</w:t>
      </w:r>
    </w:p>
    <w:p w14:paraId="5AFB4216" w14:textId="654F86BC" w:rsidR="00735EE8" w:rsidRDefault="003B00EE" w:rsidP="0058769E">
      <w:pPr>
        <w:pStyle w:val="ListParagraph"/>
        <w:numPr>
          <w:ilvl w:val="0"/>
          <w:numId w:val="50"/>
        </w:numPr>
        <w:rPr>
          <w:lang w:val="en-US"/>
        </w:rPr>
      </w:pPr>
      <w:r>
        <w:rPr>
          <w:lang w:val="en-US"/>
        </w:rPr>
        <w:t xml:space="preserve">In terms of areas needing improvements, 31% think performance scenarios are </w:t>
      </w:r>
      <w:r w:rsidR="00DC1E73">
        <w:rPr>
          <w:lang w:val="en-US"/>
        </w:rPr>
        <w:t xml:space="preserve">not easily understandable for </w:t>
      </w:r>
      <w:proofErr w:type="gramStart"/>
      <w:r w:rsidR="00DC1E73">
        <w:rPr>
          <w:lang w:val="en-US"/>
        </w:rPr>
        <w:t>the majority of</w:t>
      </w:r>
      <w:proofErr w:type="gramEnd"/>
      <w:r w:rsidR="00DC1E73">
        <w:rPr>
          <w:lang w:val="en-US"/>
        </w:rPr>
        <w:t xml:space="preserve"> investors, 24% think the RIY cost approach in the KID is not intelligible</w:t>
      </w:r>
      <w:r w:rsidR="008F705F">
        <w:rPr>
          <w:lang w:val="en-US"/>
        </w:rPr>
        <w:t xml:space="preserve"> and difficult to compare, 19% think past performance information is missing.</w:t>
      </w:r>
    </w:p>
    <w:p w14:paraId="36F0BDF4" w14:textId="2327FF08" w:rsidR="008F705F" w:rsidRDefault="00466D8C" w:rsidP="0058769E">
      <w:pPr>
        <w:pStyle w:val="ListParagraph"/>
        <w:numPr>
          <w:ilvl w:val="0"/>
          <w:numId w:val="50"/>
        </w:numPr>
        <w:rPr>
          <w:lang w:val="en-US"/>
        </w:rPr>
      </w:pPr>
      <w:r>
        <w:rPr>
          <w:lang w:val="en-US"/>
        </w:rPr>
        <w:t xml:space="preserve">As regards the </w:t>
      </w:r>
      <w:proofErr w:type="spellStart"/>
      <w:r w:rsidR="00A53314">
        <w:rPr>
          <w:lang w:val="en-US"/>
        </w:rPr>
        <w:t>harmoni</w:t>
      </w:r>
      <w:r w:rsidR="00AC1BAE">
        <w:rPr>
          <w:lang w:val="en-US"/>
        </w:rPr>
        <w:t>s</w:t>
      </w:r>
      <w:r w:rsidR="00A53314">
        <w:rPr>
          <w:lang w:val="en-US"/>
        </w:rPr>
        <w:t>ation</w:t>
      </w:r>
      <w:proofErr w:type="spellEnd"/>
      <w:r>
        <w:rPr>
          <w:lang w:val="en-US"/>
        </w:rPr>
        <w:t xml:space="preserve"> of the PRIIPs KID and UCITS KIID, </w:t>
      </w:r>
      <w:r w:rsidR="00C75F71">
        <w:rPr>
          <w:lang w:val="en-US"/>
        </w:rPr>
        <w:t>53</w:t>
      </w:r>
      <w:r>
        <w:rPr>
          <w:lang w:val="en-US"/>
        </w:rPr>
        <w:t>% completely agree</w:t>
      </w:r>
      <w:r w:rsidR="00C75F71">
        <w:rPr>
          <w:lang w:val="en-US"/>
        </w:rPr>
        <w:t xml:space="preserve"> or somewhat agree</w:t>
      </w:r>
      <w:r>
        <w:rPr>
          <w:lang w:val="en-US"/>
        </w:rPr>
        <w:t xml:space="preserve"> they should be </w:t>
      </w:r>
      <w:r w:rsidR="00C75F71">
        <w:rPr>
          <w:lang w:val="en-US"/>
        </w:rPr>
        <w:t>unified</w:t>
      </w:r>
      <w:r w:rsidR="00583ACB">
        <w:rPr>
          <w:lang w:val="en-US"/>
        </w:rPr>
        <w:t>. 10% disagree.</w:t>
      </w:r>
    </w:p>
    <w:p w14:paraId="43CD480F" w14:textId="23C891CD" w:rsidR="00583ACB" w:rsidRDefault="00583ACB" w:rsidP="0058769E">
      <w:pPr>
        <w:pStyle w:val="ListParagraph"/>
        <w:numPr>
          <w:ilvl w:val="0"/>
          <w:numId w:val="50"/>
        </w:numPr>
        <w:rPr>
          <w:lang w:val="en-US"/>
        </w:rPr>
      </w:pPr>
      <w:r>
        <w:rPr>
          <w:lang w:val="en-US"/>
        </w:rPr>
        <w:t xml:space="preserve">As regards the featuring of past performance information, 50% of respondents </w:t>
      </w:r>
      <w:r w:rsidR="005878D2">
        <w:rPr>
          <w:lang w:val="en-US"/>
        </w:rPr>
        <w:t>think the KID should feature both past performance and performance scenarios. 38% feel only past performance should feature.</w:t>
      </w:r>
    </w:p>
    <w:p w14:paraId="608E1E31" w14:textId="6D461639" w:rsidR="005878D2" w:rsidRPr="0058769E" w:rsidRDefault="005878D2" w:rsidP="0058769E">
      <w:pPr>
        <w:pStyle w:val="ListParagraph"/>
        <w:numPr>
          <w:ilvl w:val="0"/>
          <w:numId w:val="50"/>
        </w:numPr>
        <w:rPr>
          <w:lang w:val="en-US"/>
        </w:rPr>
      </w:pPr>
      <w:r>
        <w:rPr>
          <w:lang w:val="en-US"/>
        </w:rPr>
        <w:t>As regards the complex question of</w:t>
      </w:r>
      <w:r w:rsidR="0089539D">
        <w:rPr>
          <w:lang w:val="en-US"/>
        </w:rPr>
        <w:t xml:space="preserve"> </w:t>
      </w:r>
      <w:r w:rsidR="00703909">
        <w:rPr>
          <w:lang w:val="en-US"/>
        </w:rPr>
        <w:t>the treatment of</w:t>
      </w:r>
      <w:r>
        <w:rPr>
          <w:lang w:val="en-US"/>
        </w:rPr>
        <w:t xml:space="preserve"> transaction costs in general and slippage in particular, </w:t>
      </w:r>
      <w:r w:rsidR="00703909">
        <w:rPr>
          <w:lang w:val="en-US"/>
        </w:rPr>
        <w:t xml:space="preserve">30% agree slippage is an integral </w:t>
      </w:r>
      <w:r w:rsidR="00680D05">
        <w:rPr>
          <w:lang w:val="en-US"/>
        </w:rPr>
        <w:t xml:space="preserve">part </w:t>
      </w:r>
      <w:r w:rsidR="00703909">
        <w:rPr>
          <w:lang w:val="en-US"/>
        </w:rPr>
        <w:t>of the transaction costs borne by investors and should be reported in the KID</w:t>
      </w:r>
      <w:r w:rsidR="00192929">
        <w:rPr>
          <w:lang w:val="en-US"/>
        </w:rPr>
        <w:t xml:space="preserve"> (15% disagree)</w:t>
      </w:r>
      <w:r w:rsidR="00703909">
        <w:rPr>
          <w:lang w:val="en-US"/>
        </w:rPr>
        <w:t xml:space="preserve">, </w:t>
      </w:r>
      <w:r w:rsidR="00192929">
        <w:rPr>
          <w:lang w:val="en-US"/>
        </w:rPr>
        <w:t xml:space="preserve">31% think slippage represents market risk rather </w:t>
      </w:r>
      <w:r w:rsidR="00192929">
        <w:rPr>
          <w:lang w:val="en-US"/>
        </w:rPr>
        <w:lastRenderedPageBreak/>
        <w:t xml:space="preserve">than a cost to investments </w:t>
      </w:r>
      <w:r w:rsidR="00FA7494">
        <w:rPr>
          <w:lang w:val="en-US"/>
        </w:rPr>
        <w:t>(53% disagree)</w:t>
      </w:r>
      <w:r w:rsidR="00A53314">
        <w:rPr>
          <w:lang w:val="en-US"/>
        </w:rPr>
        <w:t xml:space="preserve">, 39% agree the slippage calculation method should be adjusted </w:t>
      </w:r>
      <w:r w:rsidR="00AC1BAE">
        <w:rPr>
          <w:lang w:val="en-US"/>
        </w:rPr>
        <w:t>for OTC instruments and non-financial assets.</w:t>
      </w:r>
    </w:p>
    <w:p w14:paraId="71E2F6CF" w14:textId="2B236640" w:rsidR="0058769E" w:rsidRDefault="0058769E" w:rsidP="00772BA7">
      <w:pPr>
        <w:rPr>
          <w:lang w:val="en-US"/>
        </w:rPr>
      </w:pPr>
    </w:p>
    <w:p w14:paraId="08167341" w14:textId="569A9F5B" w:rsidR="0058769E" w:rsidRDefault="00270A50" w:rsidP="00772BA7">
      <w:pPr>
        <w:rPr>
          <w:lang w:val="en-US"/>
        </w:rPr>
      </w:pPr>
      <w:r>
        <w:rPr>
          <w:lang w:val="en-US"/>
        </w:rPr>
        <w:t>Overall, our answers to this consultation are built on the following underlying ideas and principles:</w:t>
      </w:r>
    </w:p>
    <w:p w14:paraId="5668AF0D" w14:textId="09106FE6" w:rsidR="00794228" w:rsidRDefault="00794228" w:rsidP="00772BA7">
      <w:pPr>
        <w:rPr>
          <w:lang w:val="en-US"/>
        </w:rPr>
      </w:pPr>
    </w:p>
    <w:p w14:paraId="56A18CCA" w14:textId="5877F5FF" w:rsidR="00794228" w:rsidRDefault="00270A50" w:rsidP="00794228">
      <w:pPr>
        <w:pStyle w:val="ListParagraph"/>
        <w:numPr>
          <w:ilvl w:val="0"/>
          <w:numId w:val="49"/>
        </w:numPr>
        <w:rPr>
          <w:lang w:val="en-US"/>
        </w:rPr>
      </w:pPr>
      <w:r>
        <w:rPr>
          <w:lang w:val="en-US"/>
        </w:rPr>
        <w:t xml:space="preserve">We </w:t>
      </w:r>
      <w:proofErr w:type="spellStart"/>
      <w:r>
        <w:rPr>
          <w:lang w:val="en-US"/>
        </w:rPr>
        <w:t>favour</w:t>
      </w:r>
      <w:proofErr w:type="spellEnd"/>
      <w:r>
        <w:rPr>
          <w:lang w:val="en-US"/>
        </w:rPr>
        <w:t xml:space="preserve"> </w:t>
      </w:r>
      <w:r w:rsidR="00C24E1B">
        <w:rPr>
          <w:lang w:val="en-US"/>
        </w:rPr>
        <w:t>a simplification of rules to ensure better understanding on the part of both the manufacturers (do they feel the data produced is representative)</w:t>
      </w:r>
      <w:r w:rsidR="00FF7EC8">
        <w:rPr>
          <w:lang w:val="en-US"/>
        </w:rPr>
        <w:t xml:space="preserve"> and the investors (do they understand this information).</w:t>
      </w:r>
    </w:p>
    <w:p w14:paraId="2913F2C9" w14:textId="0C3C0A6E" w:rsidR="00794228" w:rsidRDefault="00FF7EC8" w:rsidP="00794228">
      <w:pPr>
        <w:pStyle w:val="ListParagraph"/>
        <w:numPr>
          <w:ilvl w:val="0"/>
          <w:numId w:val="49"/>
        </w:numPr>
        <w:rPr>
          <w:lang w:val="en-US"/>
        </w:rPr>
      </w:pPr>
      <w:r>
        <w:rPr>
          <w:lang w:val="en-US"/>
        </w:rPr>
        <w:t xml:space="preserve">We </w:t>
      </w:r>
      <w:proofErr w:type="spellStart"/>
      <w:r>
        <w:rPr>
          <w:lang w:val="en-US"/>
        </w:rPr>
        <w:t>favour</w:t>
      </w:r>
      <w:proofErr w:type="spellEnd"/>
      <w:r>
        <w:rPr>
          <w:lang w:val="en-US"/>
        </w:rPr>
        <w:t xml:space="preserve"> harmonization of reporting rules across the various regulatory frameworks</w:t>
      </w:r>
      <w:r w:rsidR="00470531">
        <w:rPr>
          <w:lang w:val="en-US"/>
        </w:rPr>
        <w:t xml:space="preserve"> to ensure consistency of information and facilitate its communication to end investors.</w:t>
      </w:r>
    </w:p>
    <w:p w14:paraId="45E7DF4F" w14:textId="3D859664" w:rsidR="00144ECA" w:rsidRDefault="00470531" w:rsidP="00794228">
      <w:pPr>
        <w:pStyle w:val="ListParagraph"/>
        <w:numPr>
          <w:ilvl w:val="0"/>
          <w:numId w:val="49"/>
        </w:numPr>
        <w:rPr>
          <w:lang w:val="en-US"/>
        </w:rPr>
      </w:pPr>
      <w:r>
        <w:rPr>
          <w:lang w:val="en-US"/>
        </w:rPr>
        <w:t xml:space="preserve">We strongly </w:t>
      </w:r>
      <w:proofErr w:type="spellStart"/>
      <w:r>
        <w:rPr>
          <w:lang w:val="en-US"/>
        </w:rPr>
        <w:t>favour</w:t>
      </w:r>
      <w:proofErr w:type="spellEnd"/>
      <w:r>
        <w:rPr>
          <w:lang w:val="en-US"/>
        </w:rPr>
        <w:t xml:space="preserve"> the introduction of past performance information, also to align with the UCITS KIID. </w:t>
      </w:r>
      <w:r w:rsidR="00C33552">
        <w:rPr>
          <w:lang w:val="en-US"/>
        </w:rPr>
        <w:t xml:space="preserve">CFA Institute has developed and been promoting the adoption of the GIPS standards </w:t>
      </w:r>
      <w:r w:rsidR="00620DA7">
        <w:rPr>
          <w:lang w:val="en-US"/>
        </w:rPr>
        <w:t xml:space="preserve">across the industry </w:t>
      </w:r>
      <w:r w:rsidR="00C33552">
        <w:rPr>
          <w:lang w:val="en-US"/>
        </w:rPr>
        <w:t xml:space="preserve">as a standardized way to </w:t>
      </w:r>
      <w:r w:rsidR="0019322E">
        <w:rPr>
          <w:lang w:val="en-US"/>
        </w:rPr>
        <w:t xml:space="preserve">properly </w:t>
      </w:r>
      <w:r w:rsidR="00C33552">
        <w:rPr>
          <w:lang w:val="en-US"/>
        </w:rPr>
        <w:t xml:space="preserve">represent past performance. This past performance can then be compared to performance scenarios to measure </w:t>
      </w:r>
      <w:r w:rsidR="00C72BB6">
        <w:rPr>
          <w:lang w:val="en-US"/>
        </w:rPr>
        <w:t>consistency and representativeness through time and across products.</w:t>
      </w:r>
    </w:p>
    <w:p w14:paraId="114F7874" w14:textId="4CE81C03" w:rsidR="00536A86" w:rsidRDefault="00536A86" w:rsidP="00794228">
      <w:pPr>
        <w:pStyle w:val="ListParagraph"/>
        <w:numPr>
          <w:ilvl w:val="0"/>
          <w:numId w:val="49"/>
        </w:numPr>
        <w:rPr>
          <w:lang w:val="en-US"/>
        </w:rPr>
      </w:pPr>
      <w:r>
        <w:rPr>
          <w:lang w:val="en-US"/>
        </w:rPr>
        <w:t xml:space="preserve">Some element of </w:t>
      </w:r>
      <w:r w:rsidR="00C24661">
        <w:rPr>
          <w:lang w:val="en-US"/>
        </w:rPr>
        <w:t>differentiation</w:t>
      </w:r>
      <w:r>
        <w:rPr>
          <w:lang w:val="en-US"/>
        </w:rPr>
        <w:t xml:space="preserve"> could take place on the calculation method for performance scenarios to take account of different asset class characteristics or </w:t>
      </w:r>
      <w:r w:rsidR="0026401A">
        <w:rPr>
          <w:lang w:val="en-US"/>
        </w:rPr>
        <w:t xml:space="preserve">strategy. </w:t>
      </w:r>
    </w:p>
    <w:p w14:paraId="011F72AB" w14:textId="4877018C" w:rsidR="00415571" w:rsidRPr="004526F6" w:rsidRDefault="00B50C04" w:rsidP="00B327E9">
      <w:pPr>
        <w:pStyle w:val="ListParagraph"/>
        <w:numPr>
          <w:ilvl w:val="0"/>
          <w:numId w:val="49"/>
        </w:numPr>
        <w:rPr>
          <w:lang w:val="en-US"/>
        </w:rPr>
      </w:pPr>
      <w:r>
        <w:rPr>
          <w:lang w:val="en-US"/>
        </w:rPr>
        <w:t xml:space="preserve">The calculation and presentation of costs and the </w:t>
      </w:r>
      <w:r w:rsidR="001F4A06">
        <w:rPr>
          <w:lang w:val="en-US"/>
        </w:rPr>
        <w:t xml:space="preserve">complex RIY figure could be simplified and harmonized with the standards under MiFID II. </w:t>
      </w:r>
    </w:p>
    <w:p w14:paraId="4D0BE179" w14:textId="0E0C7CF8" w:rsidR="00415571" w:rsidRDefault="00415571" w:rsidP="00B327E9"/>
    <w:p w14:paraId="1022E501" w14:textId="2E4E4CB8" w:rsidR="00A81576" w:rsidRDefault="00FB128A" w:rsidP="00B327E9">
      <w:r>
        <w:t xml:space="preserve">Finally, CFA Institute would like to propose to the ESAs, if helpful, to meet with </w:t>
      </w:r>
      <w:r w:rsidR="00381FDF">
        <w:t xml:space="preserve">our experts and </w:t>
      </w:r>
      <w:r>
        <w:t>some of our members</w:t>
      </w:r>
      <w:r w:rsidR="00381FDF">
        <w:t xml:space="preserve"> who participated in this work. This could be an opportunity to share more directly on specific aspects where the ESAs </w:t>
      </w:r>
      <w:r w:rsidR="00901275">
        <w:t>feel they would like to obtain more details</w:t>
      </w:r>
      <w:r w:rsidR="000B725B">
        <w:t xml:space="preserve"> about the positions we have taken. </w:t>
      </w:r>
    </w:p>
    <w:p w14:paraId="1673B80F" w14:textId="7068D4AA" w:rsidR="00FB128A" w:rsidRDefault="00FB128A" w:rsidP="00B327E9"/>
    <w:p w14:paraId="00B366F6" w14:textId="77777777" w:rsidR="00FB128A" w:rsidRDefault="00FB128A" w:rsidP="00B327E9"/>
    <w:p w14:paraId="6FBB6B62" w14:textId="2A8096FC" w:rsidR="00A81576" w:rsidRDefault="00A81576" w:rsidP="00B327E9">
      <w:r>
        <w:t>Notes</w:t>
      </w:r>
    </w:p>
    <w:p w14:paraId="222CFF84" w14:textId="335326BF" w:rsidR="00A81576" w:rsidRDefault="00A81576" w:rsidP="00B327E9"/>
    <w:p w14:paraId="18024548" w14:textId="07747569" w:rsidR="00A81576" w:rsidRDefault="004F3FB1" w:rsidP="009110EA">
      <w:pPr>
        <w:pStyle w:val="ListParagraph"/>
        <w:numPr>
          <w:ilvl w:val="0"/>
          <w:numId w:val="57"/>
        </w:numPr>
      </w:pPr>
      <w:r w:rsidRPr="009110EA">
        <w:rPr>
          <w:lang w:val="en-US"/>
        </w:rPr>
        <w:t xml:space="preserve">This survey took place from 02-17 December 2019, was submitted to 12,596 individuals (all CFA </w:t>
      </w:r>
      <w:proofErr w:type="spellStart"/>
      <w:r w:rsidRPr="009110EA">
        <w:rPr>
          <w:lang w:val="en-US"/>
        </w:rPr>
        <w:t>Charterholders</w:t>
      </w:r>
      <w:proofErr w:type="spellEnd"/>
      <w:r w:rsidRPr="009110EA">
        <w:rPr>
          <w:lang w:val="en-US"/>
        </w:rPr>
        <w:t>) across the EU and across a range of various financial services roles. We have obtained 527 responses for a</w:t>
      </w:r>
      <w:r w:rsidR="00C57109">
        <w:rPr>
          <w:lang w:val="en-US"/>
        </w:rPr>
        <w:t xml:space="preserve"> good</w:t>
      </w:r>
      <w:r w:rsidRPr="009110EA">
        <w:rPr>
          <w:lang w:val="en-US"/>
        </w:rPr>
        <w:t xml:space="preserve"> response rate of 5%.</w:t>
      </w:r>
    </w:p>
    <w:p w14:paraId="11912207" w14:textId="75240EB8" w:rsidR="00A81576" w:rsidRDefault="00A81576" w:rsidP="00B327E9"/>
    <w:p w14:paraId="27E2C6B9" w14:textId="77777777" w:rsidR="00A81576" w:rsidRDefault="00A81576" w:rsidP="00B327E9"/>
    <w:permEnd w:id="411981036"/>
    <w:p w14:paraId="6A3CB062" w14:textId="2E7EAEFD" w:rsidR="00B327E9" w:rsidRPr="00BF28DA" w:rsidRDefault="00B327E9" w:rsidP="00B327E9">
      <w:r w:rsidRPr="00BF28DA">
        <w:t>&lt;ESA_COMMENT_</w:t>
      </w:r>
      <w:r w:rsidR="00197794">
        <w:rPr>
          <w:rStyle w:val="SubtleEmphasi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79DBAE29" w14:textId="77777777" w:rsidR="009F1BCA" w:rsidRDefault="009F1BCA" w:rsidP="003E573C">
      <w:pPr>
        <w:rPr>
          <w:rFonts w:cs="Arial"/>
        </w:rPr>
      </w:pPr>
      <w:permStart w:id="1221819945" w:edGrp="everyone"/>
    </w:p>
    <w:p w14:paraId="730B1ABA" w14:textId="7BB5589F" w:rsidR="007E75F7" w:rsidRDefault="006525B6" w:rsidP="003E573C">
      <w:pPr>
        <w:rPr>
          <w:rFonts w:cs="Arial"/>
        </w:rPr>
      </w:pPr>
      <w:r>
        <w:rPr>
          <w:rFonts w:cs="Arial"/>
        </w:rPr>
        <w:t xml:space="preserve">CFA Institute argues that the Regulation should have a different design for a Key Information Document (KID) provided in a digital form. </w:t>
      </w:r>
      <w:r w:rsidR="007E75F7">
        <w:rPr>
          <w:rFonts w:cs="Arial"/>
        </w:rPr>
        <w:t>Today, m</w:t>
      </w:r>
      <w:r w:rsidR="00AA45CA">
        <w:rPr>
          <w:rFonts w:cs="Arial"/>
        </w:rPr>
        <w:t>ost KIDs are provided in electronic form by pdf</w:t>
      </w:r>
      <w:r w:rsidR="007E75F7">
        <w:rPr>
          <w:rFonts w:cs="Arial"/>
        </w:rPr>
        <w:t>. The Regulation does not focus on how a user reads the document on-screen</w:t>
      </w:r>
      <w:r w:rsidR="00096028">
        <w:rPr>
          <w:rFonts w:cs="Arial"/>
        </w:rPr>
        <w:t xml:space="preserve">, especially by using mobile devices. </w:t>
      </w:r>
      <w:r w:rsidR="00AA45CA">
        <w:rPr>
          <w:rFonts w:cs="Arial"/>
        </w:rPr>
        <w:t>W</w:t>
      </w:r>
      <w:r>
        <w:rPr>
          <w:rFonts w:cs="Arial"/>
        </w:rPr>
        <w:t>e believe that information shown on a screen in a vertical or portrait format does not incentivise the reader to break down the document but just to skim it through.</w:t>
      </w:r>
      <w:r w:rsidR="00AA45CA">
        <w:rPr>
          <w:rFonts w:cs="Arial"/>
        </w:rPr>
        <w:t xml:space="preserve"> </w:t>
      </w:r>
      <w:r>
        <w:rPr>
          <w:rFonts w:cs="Arial"/>
        </w:rPr>
        <w:t>Hence, we advocate for a separate format and design that is specific for digital use.</w:t>
      </w:r>
    </w:p>
    <w:p w14:paraId="7715C42B" w14:textId="77777777" w:rsidR="009F1BCA" w:rsidRDefault="009F1BCA" w:rsidP="003E573C">
      <w:pPr>
        <w:rPr>
          <w:rFonts w:cs="Arial"/>
        </w:rPr>
      </w:pP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076C5E93" w14:textId="77777777" w:rsidR="009F1BCA" w:rsidRDefault="009F1BCA" w:rsidP="003E573C">
      <w:pPr>
        <w:rPr>
          <w:rFonts w:cs="Arial"/>
          <w:lang w:val="en-US"/>
        </w:rPr>
      </w:pPr>
      <w:permStart w:id="729947415" w:edGrp="everyone"/>
    </w:p>
    <w:p w14:paraId="7A09C6A0" w14:textId="6374E0E0" w:rsidR="003E573C" w:rsidRDefault="00212F2A" w:rsidP="003E573C">
      <w:pPr>
        <w:rPr>
          <w:rFonts w:cs="Arial"/>
          <w:lang w:val="en-US"/>
        </w:rPr>
      </w:pPr>
      <w:r w:rsidRPr="006E42A8">
        <w:rPr>
          <w:rFonts w:cs="Arial"/>
          <w:lang w:val="en-US"/>
        </w:rPr>
        <w:t>Yes.</w:t>
      </w:r>
      <w:r w:rsidR="00377E6A" w:rsidRPr="006E42A8">
        <w:rPr>
          <w:rFonts w:cs="Arial"/>
          <w:lang w:val="en-US"/>
        </w:rPr>
        <w:t xml:space="preserve"> </w:t>
      </w:r>
      <w:r w:rsidR="006E42A8" w:rsidRPr="006E42A8">
        <w:rPr>
          <w:rFonts w:cs="Arial"/>
          <w:lang w:val="en-US"/>
        </w:rPr>
        <w:t>PRIIPs finds its r</w:t>
      </w:r>
      <w:r w:rsidR="006E42A8">
        <w:rPr>
          <w:rFonts w:cs="Arial"/>
          <w:lang w:val="en-US"/>
        </w:rPr>
        <w:t xml:space="preserve">oot in the </w:t>
      </w:r>
      <w:r w:rsidR="004A79F7">
        <w:rPr>
          <w:rFonts w:cs="Arial"/>
          <w:lang w:val="en-US"/>
        </w:rPr>
        <w:t xml:space="preserve">rules governing </w:t>
      </w:r>
      <w:r w:rsidR="006E42A8">
        <w:rPr>
          <w:rFonts w:cs="Arial"/>
          <w:lang w:val="en-US"/>
        </w:rPr>
        <w:t xml:space="preserve">general product governance arrangements between manufacturers and distributors of investment products. </w:t>
      </w:r>
      <w:proofErr w:type="gramStart"/>
      <w:r w:rsidR="004A79F7">
        <w:rPr>
          <w:rFonts w:cs="Arial"/>
          <w:lang w:val="en-US"/>
        </w:rPr>
        <w:t>At the moment</w:t>
      </w:r>
      <w:proofErr w:type="gramEnd"/>
      <w:r w:rsidR="004A79F7">
        <w:rPr>
          <w:rFonts w:cs="Arial"/>
          <w:lang w:val="en-US"/>
        </w:rPr>
        <w:t xml:space="preserve">, the KIDs are usually </w:t>
      </w:r>
      <w:r w:rsidR="00865D6A">
        <w:rPr>
          <w:rFonts w:cs="Arial"/>
          <w:lang w:val="en-US"/>
        </w:rPr>
        <w:t>produced as static documents</w:t>
      </w:r>
      <w:r w:rsidR="00BA3BA7">
        <w:rPr>
          <w:rFonts w:cs="Arial"/>
          <w:lang w:val="en-US"/>
        </w:rPr>
        <w:t xml:space="preserve"> (e.g. PDF)</w:t>
      </w:r>
      <w:r w:rsidR="00865D6A">
        <w:rPr>
          <w:rFonts w:cs="Arial"/>
          <w:lang w:val="en-US"/>
        </w:rPr>
        <w:t xml:space="preserve">, with </w:t>
      </w:r>
      <w:r w:rsidR="00282DBB">
        <w:rPr>
          <w:rFonts w:cs="Arial"/>
          <w:lang w:val="en-US"/>
        </w:rPr>
        <w:t>a degree of customization by each firm producing them. This situation makes it difficult for aggregators, distributors</w:t>
      </w:r>
      <w:r w:rsidR="00A91674">
        <w:rPr>
          <w:rFonts w:cs="Arial"/>
          <w:lang w:val="en-US"/>
        </w:rPr>
        <w:t>, asset managers themselves and/or</w:t>
      </w:r>
      <w:r w:rsidR="00282DBB">
        <w:rPr>
          <w:rFonts w:cs="Arial"/>
          <w:lang w:val="en-US"/>
        </w:rPr>
        <w:t xml:space="preserve"> platforms</w:t>
      </w:r>
      <w:r w:rsidR="00AA55F1">
        <w:rPr>
          <w:rFonts w:cs="Arial"/>
          <w:lang w:val="en-US"/>
        </w:rPr>
        <w:t xml:space="preserve"> to present the KIDs to prospective investors in an efficient and visually easy way </w:t>
      </w:r>
      <w:r w:rsidR="004F581F">
        <w:rPr>
          <w:rFonts w:cs="Arial"/>
          <w:lang w:val="en-US"/>
        </w:rPr>
        <w:t xml:space="preserve">for these potential clients to compare the different products. The possibility to extract information from the KIDs would be very convenient to build IT software, dynamic </w:t>
      </w:r>
      <w:r w:rsidR="00AD59A0">
        <w:rPr>
          <w:rFonts w:cs="Arial"/>
          <w:lang w:val="en-US"/>
        </w:rPr>
        <w:t>tables, which in the end would facilitate the reading of the information and permit a smoother way to compare features between products.</w:t>
      </w:r>
      <w:r w:rsidR="00096028">
        <w:rPr>
          <w:rFonts w:cs="Arial"/>
          <w:lang w:val="en-US"/>
        </w:rPr>
        <w:t xml:space="preserve"> Facilitating comparison and search tools would be valuable for clients and improve their engagement with KIDs.</w:t>
      </w:r>
      <w:r w:rsidR="00AD59A0">
        <w:rPr>
          <w:rFonts w:cs="Arial"/>
          <w:lang w:val="en-US"/>
        </w:rPr>
        <w:t xml:space="preserve"> </w:t>
      </w:r>
    </w:p>
    <w:p w14:paraId="15E3E96A" w14:textId="77777777" w:rsidR="009F1BCA" w:rsidRPr="006E42A8" w:rsidRDefault="009F1BCA" w:rsidP="003E573C">
      <w:pPr>
        <w:rPr>
          <w:rFonts w:cs="Arial"/>
          <w:lang w:val="en-US"/>
        </w:rPr>
      </w:pP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4ECEF667" w14:textId="77777777" w:rsidR="009F1BCA" w:rsidRDefault="009F1BCA" w:rsidP="003E573C">
      <w:pPr>
        <w:rPr>
          <w:rFonts w:cs="Arial"/>
        </w:rPr>
      </w:pPr>
      <w:permStart w:id="677205538" w:edGrp="everyone"/>
    </w:p>
    <w:p w14:paraId="1084803A" w14:textId="496BFCD3" w:rsidR="00D96AA8" w:rsidRDefault="003C5DB9" w:rsidP="003E573C">
      <w:pPr>
        <w:rPr>
          <w:rFonts w:cs="Arial"/>
        </w:rPr>
      </w:pPr>
      <w:r>
        <w:rPr>
          <w:rFonts w:cs="Arial"/>
        </w:rPr>
        <w:t>P</w:t>
      </w:r>
      <w:r w:rsidR="00EA3721">
        <w:rPr>
          <w:rFonts w:cs="Arial"/>
        </w:rPr>
        <w:t xml:space="preserve">RIIPs KID has been a difficult regulation for firms to comply with as its implementation had ramifications across the </w:t>
      </w:r>
      <w:r w:rsidR="00931E46">
        <w:rPr>
          <w:rFonts w:cs="Arial"/>
        </w:rPr>
        <w:t xml:space="preserve">operational, risk and compliance chains. The delegated </w:t>
      </w:r>
      <w:r w:rsidR="00F32FDF">
        <w:rPr>
          <w:rFonts w:cs="Arial"/>
        </w:rPr>
        <w:t>regulation</w:t>
      </w:r>
      <w:r w:rsidR="00DE3A79">
        <w:rPr>
          <w:rFonts w:cs="Arial"/>
        </w:rPr>
        <w:t xml:space="preserve"> (</w:t>
      </w:r>
      <w:r w:rsidR="00F2719B">
        <w:rPr>
          <w:rFonts w:cs="Arial"/>
        </w:rPr>
        <w:t>EU 2017/653)</w:t>
      </w:r>
      <w:r w:rsidR="00F32FDF">
        <w:rPr>
          <w:rFonts w:cs="Arial"/>
        </w:rPr>
        <w:t xml:space="preserve"> and its annexes </w:t>
      </w:r>
      <w:r w:rsidR="00F2719B">
        <w:rPr>
          <w:rFonts w:cs="Arial"/>
        </w:rPr>
        <w:t xml:space="preserve">required significant technical analysis across various departments, such as middle and front offices, </w:t>
      </w:r>
      <w:r w:rsidR="00B4532E">
        <w:rPr>
          <w:rFonts w:cs="Arial"/>
        </w:rPr>
        <w:t xml:space="preserve">trading, risk, compliance, data analytics, but also </w:t>
      </w:r>
      <w:r w:rsidR="00822B1B">
        <w:rPr>
          <w:rFonts w:cs="Arial"/>
        </w:rPr>
        <w:t xml:space="preserve">demanded that </w:t>
      </w:r>
      <w:r w:rsidR="00887F21">
        <w:rPr>
          <w:rFonts w:cs="Arial"/>
        </w:rPr>
        <w:t xml:space="preserve">outsource service providers contributed since outsourcing arrangements mean that data </w:t>
      </w:r>
      <w:r w:rsidR="007B2E4B">
        <w:rPr>
          <w:rFonts w:cs="Arial"/>
        </w:rPr>
        <w:t xml:space="preserve">is now processed across </w:t>
      </w:r>
      <w:proofErr w:type="gramStart"/>
      <w:r w:rsidR="007B2E4B">
        <w:rPr>
          <w:rFonts w:cs="Arial"/>
        </w:rPr>
        <w:t>a number of</w:t>
      </w:r>
      <w:proofErr w:type="gramEnd"/>
      <w:r w:rsidR="007B2E4B">
        <w:rPr>
          <w:rFonts w:cs="Arial"/>
        </w:rPr>
        <w:t xml:space="preserve"> internal and external parties.</w:t>
      </w:r>
    </w:p>
    <w:p w14:paraId="46723058" w14:textId="25B586D9" w:rsidR="007B2E4B" w:rsidRDefault="007B2E4B" w:rsidP="003E573C">
      <w:pPr>
        <w:rPr>
          <w:rFonts w:cs="Arial"/>
        </w:rPr>
      </w:pPr>
    </w:p>
    <w:p w14:paraId="4002F55E" w14:textId="07BD885C" w:rsidR="007B2E4B" w:rsidRDefault="007B2E4B" w:rsidP="003E573C">
      <w:pPr>
        <w:rPr>
          <w:rFonts w:cs="Arial"/>
        </w:rPr>
      </w:pPr>
      <w:r>
        <w:rPr>
          <w:rFonts w:cs="Arial"/>
        </w:rPr>
        <w:t xml:space="preserve">While we recognise the benefits for firms to ensure that they have the proper control over the important data that is used and processed as part of their investment services, it is a difficult and oftentimes cumbersome process, especially for firms </w:t>
      </w:r>
      <w:r w:rsidR="00A0448D">
        <w:rPr>
          <w:rFonts w:cs="Arial"/>
        </w:rPr>
        <w:t>with limited resources internally.</w:t>
      </w:r>
      <w:r w:rsidR="0024057A">
        <w:rPr>
          <w:rFonts w:cs="Arial"/>
        </w:rPr>
        <w:t xml:space="preserve"> In addition, implementing multiple changes at different points of time could cause confusion for investors.</w:t>
      </w:r>
    </w:p>
    <w:p w14:paraId="7B052D04" w14:textId="109CF1D6" w:rsidR="00A0448D" w:rsidRDefault="00A0448D" w:rsidP="003E573C">
      <w:pPr>
        <w:rPr>
          <w:rFonts w:cs="Arial"/>
        </w:rPr>
      </w:pPr>
    </w:p>
    <w:p w14:paraId="6FF64A20" w14:textId="432DF120" w:rsidR="00A0448D" w:rsidRDefault="00A0448D" w:rsidP="003E573C">
      <w:pPr>
        <w:rPr>
          <w:rFonts w:cs="Arial"/>
        </w:rPr>
      </w:pPr>
      <w:r>
        <w:rPr>
          <w:rFonts w:cs="Arial"/>
        </w:rPr>
        <w:t>For these reasons, we would argue in favour of giving firms and the industry in general enough time to digest the proposed changes</w:t>
      </w:r>
      <w:r w:rsidR="006B0E16">
        <w:rPr>
          <w:rFonts w:cs="Arial"/>
        </w:rPr>
        <w:t xml:space="preserve"> so that internal processes can be adapted.</w:t>
      </w:r>
    </w:p>
    <w:p w14:paraId="54881FF5" w14:textId="053ED0DA" w:rsidR="006B0E16" w:rsidRDefault="006B0E16" w:rsidP="003E573C">
      <w:pPr>
        <w:rPr>
          <w:rFonts w:cs="Arial"/>
        </w:rPr>
      </w:pPr>
    </w:p>
    <w:p w14:paraId="49DDE1BF" w14:textId="74CFBFC1" w:rsidR="00D96AA8" w:rsidRDefault="001E268C" w:rsidP="003E573C">
      <w:pPr>
        <w:rPr>
          <w:rFonts w:cs="Arial"/>
        </w:rPr>
      </w:pPr>
      <w:r>
        <w:rPr>
          <w:rFonts w:cs="Arial"/>
        </w:rPr>
        <w:t>Taking into consideration the usual administrative delays and inertia</w:t>
      </w:r>
      <w:r w:rsidR="008C31D6">
        <w:rPr>
          <w:rFonts w:cs="Arial"/>
        </w:rPr>
        <w:t>, w</w:t>
      </w:r>
      <w:r w:rsidR="006B0E16">
        <w:rPr>
          <w:rFonts w:cs="Arial"/>
        </w:rPr>
        <w:t xml:space="preserve">e would therefore prefer an implementation timeline </w:t>
      </w:r>
      <w:r w:rsidR="008C31D6">
        <w:rPr>
          <w:rFonts w:cs="Arial"/>
        </w:rPr>
        <w:t>that errs on the side of caution and permits an implementation in 2022.</w:t>
      </w:r>
    </w:p>
    <w:p w14:paraId="60FC565B" w14:textId="77777777" w:rsidR="009F1BCA" w:rsidRDefault="009F1BCA" w:rsidP="003E573C">
      <w:pPr>
        <w:rPr>
          <w:rFonts w:cs="Arial"/>
        </w:rPr>
      </w:pPr>
    </w:p>
    <w:permEnd w:id="677205538"/>
    <w:p w14:paraId="54D6583E" w14:textId="2E867A80" w:rsidR="003E573C" w:rsidRDefault="003E573C" w:rsidP="003E573C">
      <w:pPr>
        <w:rPr>
          <w:rFonts w:cs="Arial"/>
        </w:rPr>
      </w:pPr>
      <w:r>
        <w:rPr>
          <w:rFonts w:cs="Arial"/>
        </w:rPr>
        <w:lastRenderedPageBreak/>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1D710326" w14:textId="6ACCFE8B" w:rsidR="00A77621" w:rsidRDefault="00043DC4" w:rsidP="003E573C">
      <w:pPr>
        <w:rPr>
          <w:rFonts w:cs="Arial"/>
          <w:lang w:val="en-US"/>
        </w:rPr>
      </w:pPr>
      <w:permStart w:id="1220688604" w:edGrp="everyone"/>
      <w:r>
        <w:rPr>
          <w:rFonts w:cs="Arial"/>
        </w:rPr>
        <w:t xml:space="preserve">CFA Institute believes </w:t>
      </w:r>
      <w:r>
        <w:rPr>
          <w:rFonts w:cs="Arial"/>
          <w:lang w:val="en-US"/>
        </w:rPr>
        <w:t>a</w:t>
      </w:r>
      <w:r w:rsidR="00A77621" w:rsidRPr="00A77621">
        <w:rPr>
          <w:rFonts w:cs="Arial"/>
          <w:lang w:val="en-US"/>
        </w:rPr>
        <w:t xml:space="preserve"> gradual approach would mean the KID can keep changing its format throughout the period, causing confusions to end customers, advi</w:t>
      </w:r>
      <w:r>
        <w:rPr>
          <w:rFonts w:cs="Arial"/>
          <w:lang w:val="en-US"/>
        </w:rPr>
        <w:t>so</w:t>
      </w:r>
      <w:r w:rsidR="00A77621" w:rsidRPr="00A77621">
        <w:rPr>
          <w:rFonts w:cs="Arial"/>
          <w:lang w:val="en-US"/>
        </w:rPr>
        <w:t>rs and portfolio managers who invest in PRIIPs. It could end up increasing the cost to product manufacturers and distributors as well.</w:t>
      </w:r>
      <w:r w:rsidR="00E928AF">
        <w:rPr>
          <w:rFonts w:cs="Arial"/>
          <w:lang w:val="en-US"/>
        </w:rPr>
        <w:t xml:space="preserve"> E</w:t>
      </w:r>
      <w:r w:rsidR="00A77621" w:rsidRPr="00A77621">
        <w:rPr>
          <w:rFonts w:cs="Arial"/>
          <w:lang w:val="en-US"/>
        </w:rPr>
        <w:t xml:space="preserve">nd-investor </w:t>
      </w:r>
      <w:r w:rsidR="00E928AF">
        <w:rPr>
          <w:rFonts w:cs="Arial"/>
          <w:lang w:val="en-US"/>
        </w:rPr>
        <w:t>in general prefer</w:t>
      </w:r>
      <w:r w:rsidR="00A77621" w:rsidRPr="00A77621">
        <w:rPr>
          <w:rFonts w:cs="Arial"/>
          <w:lang w:val="en-US"/>
        </w:rPr>
        <w:t xml:space="preserve"> to see information presented in a consistent format and this </w:t>
      </w:r>
      <w:r w:rsidR="00E928AF">
        <w:rPr>
          <w:rFonts w:cs="Arial"/>
          <w:lang w:val="en-US"/>
        </w:rPr>
        <w:t>would be made more difficult</w:t>
      </w:r>
      <w:r w:rsidR="00A77621" w:rsidRPr="00A77621">
        <w:rPr>
          <w:rFonts w:cs="Arial"/>
          <w:lang w:val="en-US"/>
        </w:rPr>
        <w:t xml:space="preserve"> if the format is continually changing. </w:t>
      </w:r>
    </w:p>
    <w:p w14:paraId="554DFE13" w14:textId="49011115" w:rsidR="00B96F06" w:rsidRDefault="00B96F06" w:rsidP="003E573C">
      <w:pPr>
        <w:rPr>
          <w:rFonts w:cs="Arial"/>
          <w:lang w:val="en-US"/>
        </w:rPr>
      </w:pPr>
    </w:p>
    <w:p w14:paraId="48F921FA" w14:textId="633100D1" w:rsidR="00B96F06" w:rsidRDefault="00B96F06" w:rsidP="003E573C">
      <w:pPr>
        <w:rPr>
          <w:rFonts w:cs="Arial"/>
          <w:lang w:val="en-US"/>
        </w:rPr>
      </w:pPr>
      <w:r>
        <w:rPr>
          <w:rFonts w:cs="Arial"/>
          <w:lang w:val="en-US"/>
        </w:rPr>
        <w:t xml:space="preserve">We therefore think </w:t>
      </w:r>
      <w:r w:rsidR="00755FCE">
        <w:rPr>
          <w:rFonts w:cs="Arial"/>
          <w:lang w:val="en-US"/>
        </w:rPr>
        <w:t xml:space="preserve">all </w:t>
      </w:r>
      <w:r>
        <w:rPr>
          <w:rFonts w:cs="Arial"/>
          <w:lang w:val="en-US"/>
        </w:rPr>
        <w:t>changes should be applied at the same time</w:t>
      </w:r>
      <w:r w:rsidR="001F6289">
        <w:rPr>
          <w:rFonts w:cs="Arial"/>
          <w:lang w:val="en-US"/>
        </w:rPr>
        <w:t xml:space="preserve"> and across Member States.</w:t>
      </w:r>
    </w:p>
    <w:p w14:paraId="542FDBCC" w14:textId="4B100FDA" w:rsidR="00B96F06" w:rsidRDefault="00B96F06" w:rsidP="003E573C">
      <w:pPr>
        <w:rPr>
          <w:rFonts w:cs="Arial"/>
          <w:lang w:val="en-US"/>
        </w:rPr>
      </w:pPr>
    </w:p>
    <w:p w14:paraId="423D09DE" w14:textId="6970838F" w:rsidR="00B96F06" w:rsidRDefault="00256B60" w:rsidP="003E573C">
      <w:pPr>
        <w:rPr>
          <w:rFonts w:cs="Arial"/>
          <w:lang w:val="en-US"/>
        </w:rPr>
      </w:pPr>
      <w:r>
        <w:rPr>
          <w:rFonts w:cs="Arial"/>
          <w:lang w:val="en-US"/>
        </w:rPr>
        <w:t xml:space="preserve">CFA Institute would also like to point out that whatever the method chosen to implement the changes, this will not be easy for firms </w:t>
      </w:r>
      <w:r w:rsidR="00CB4C90">
        <w:rPr>
          <w:rFonts w:cs="Arial"/>
          <w:lang w:val="en-US"/>
        </w:rPr>
        <w:t xml:space="preserve">and implementation will be cumbersome. </w:t>
      </w:r>
    </w:p>
    <w:p w14:paraId="1C740049" w14:textId="293BA33F" w:rsidR="000040B4" w:rsidRDefault="000040B4" w:rsidP="003E573C">
      <w:pPr>
        <w:rPr>
          <w:rFonts w:cs="Arial"/>
          <w:lang w:val="en-US"/>
        </w:rPr>
      </w:pPr>
    </w:p>
    <w:p w14:paraId="04C51ABE" w14:textId="746FD2E1" w:rsidR="00A77621" w:rsidRDefault="000040B4" w:rsidP="003E573C">
      <w:pPr>
        <w:rPr>
          <w:rFonts w:cs="Arial"/>
        </w:rPr>
      </w:pPr>
      <w:r>
        <w:rPr>
          <w:rFonts w:cs="Arial"/>
          <w:lang w:val="en-US"/>
        </w:rPr>
        <w:t xml:space="preserve">We would argue in </w:t>
      </w:r>
      <w:proofErr w:type="spellStart"/>
      <w:r>
        <w:rPr>
          <w:rFonts w:cs="Arial"/>
          <w:lang w:val="en-US"/>
        </w:rPr>
        <w:t>favour</w:t>
      </w:r>
      <w:proofErr w:type="spellEnd"/>
      <w:r>
        <w:rPr>
          <w:rFonts w:cs="Arial"/>
          <w:lang w:val="en-US"/>
        </w:rPr>
        <w:t xml:space="preserve"> of more consumer testing to ensure the changes will be understood, accepted and will respond to some genuine demand for enhancement on the part of consumers. </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66B83AD2" w14:textId="20709B0E" w:rsidR="00DB14DF" w:rsidRDefault="00565C78" w:rsidP="003E573C">
      <w:pPr>
        <w:rPr>
          <w:rFonts w:cs="Arial"/>
        </w:rPr>
      </w:pPr>
      <w:permStart w:id="209390932" w:edGrp="everyone"/>
      <w:r>
        <w:rPr>
          <w:rFonts w:cs="Arial"/>
        </w:rPr>
        <w:t>Discussing with practitioners, CFA Institute has found that the calculation of the</w:t>
      </w:r>
      <w:r w:rsidR="00DB04E3">
        <w:rPr>
          <w:rFonts w:cs="Arial"/>
        </w:rPr>
        <w:t xml:space="preserve"> summary</w:t>
      </w:r>
      <w:r>
        <w:rPr>
          <w:rFonts w:cs="Arial"/>
        </w:rPr>
        <w:t xml:space="preserve"> risk indicator</w:t>
      </w:r>
      <w:r w:rsidR="00DB04E3">
        <w:rPr>
          <w:rFonts w:cs="Arial"/>
        </w:rPr>
        <w:t xml:space="preserve"> (SRI)</w:t>
      </w:r>
      <w:r>
        <w:rPr>
          <w:rFonts w:cs="Arial"/>
        </w:rPr>
        <w:t xml:space="preserve"> can present challenges</w:t>
      </w:r>
      <w:r w:rsidR="0036262D">
        <w:rPr>
          <w:rFonts w:cs="Arial"/>
        </w:rPr>
        <w:t xml:space="preserve">. It has been discussed how this indicator tends to overstate the risk </w:t>
      </w:r>
      <w:r w:rsidR="004D3BD0">
        <w:rPr>
          <w:rFonts w:cs="Arial"/>
        </w:rPr>
        <w:t>represented by corporate credit as compared to equities</w:t>
      </w:r>
      <w:r w:rsidR="004D53C4">
        <w:rPr>
          <w:rFonts w:cs="Arial"/>
        </w:rPr>
        <w:t xml:space="preserve"> for example</w:t>
      </w:r>
      <w:r w:rsidR="004D3BD0">
        <w:rPr>
          <w:rFonts w:cs="Arial"/>
        </w:rPr>
        <w:t xml:space="preserve">, depending on how the rules are interpreted </w:t>
      </w:r>
      <w:r w:rsidR="00286A4F">
        <w:rPr>
          <w:rFonts w:cs="Arial"/>
        </w:rPr>
        <w:t xml:space="preserve">for the credit risk measure. </w:t>
      </w:r>
      <w:proofErr w:type="gramStart"/>
      <w:r w:rsidR="00286A4F">
        <w:rPr>
          <w:rFonts w:cs="Arial"/>
        </w:rPr>
        <w:t>In essence, whether</w:t>
      </w:r>
      <w:proofErr w:type="gramEnd"/>
      <w:r w:rsidR="00286A4F">
        <w:rPr>
          <w:rFonts w:cs="Arial"/>
        </w:rPr>
        <w:t xml:space="preserve"> </w:t>
      </w:r>
      <w:r w:rsidR="002967DD">
        <w:rPr>
          <w:rFonts w:cs="Arial"/>
        </w:rPr>
        <w:t>credit risk is measured at the level of the product or at the level of the underlying assets does make a difference</w:t>
      </w:r>
      <w:r w:rsidR="00930F70">
        <w:rPr>
          <w:rFonts w:cs="Arial"/>
        </w:rPr>
        <w:t xml:space="preserve"> and the rules could be clarified to make sure there can no interpretational differences in this respect.</w:t>
      </w:r>
      <w:r w:rsidR="00FC4FCC">
        <w:rPr>
          <w:rFonts w:cs="Arial"/>
        </w:rPr>
        <w:t xml:space="preserve"> This issue is also present between product types. For example, UCITS investment funds get automatically a low credit risk because of the segregated nature </w:t>
      </w:r>
      <w:r w:rsidR="00B02F82">
        <w:rPr>
          <w:rFonts w:cs="Arial"/>
        </w:rPr>
        <w:t xml:space="preserve">of their assets’ custody. </w:t>
      </w:r>
    </w:p>
    <w:p w14:paraId="4AFE8B6E" w14:textId="2237E643" w:rsidR="002967DD" w:rsidRDefault="002967DD" w:rsidP="003E573C">
      <w:pPr>
        <w:rPr>
          <w:rFonts w:cs="Arial"/>
        </w:rPr>
      </w:pPr>
    </w:p>
    <w:p w14:paraId="55895003" w14:textId="38FE36F7" w:rsidR="002967DD" w:rsidRDefault="002967DD" w:rsidP="003E573C">
      <w:pPr>
        <w:rPr>
          <w:rFonts w:cs="Arial"/>
        </w:rPr>
      </w:pPr>
      <w:r>
        <w:rPr>
          <w:rFonts w:cs="Arial"/>
        </w:rPr>
        <w:t xml:space="preserve">More generally, </w:t>
      </w:r>
      <w:r w:rsidR="004D53C4">
        <w:rPr>
          <w:rFonts w:cs="Arial"/>
        </w:rPr>
        <w:t xml:space="preserve">the </w:t>
      </w:r>
      <w:r w:rsidR="00957485">
        <w:rPr>
          <w:rFonts w:cs="Arial"/>
        </w:rPr>
        <w:t>SRI</w:t>
      </w:r>
      <w:r w:rsidR="004D53C4">
        <w:rPr>
          <w:rFonts w:cs="Arial"/>
        </w:rPr>
        <w:t xml:space="preserve"> </w:t>
      </w:r>
      <w:r w:rsidR="00930F70">
        <w:rPr>
          <w:rFonts w:cs="Arial"/>
        </w:rPr>
        <w:t xml:space="preserve">could benefit </w:t>
      </w:r>
      <w:r w:rsidR="0043151B">
        <w:rPr>
          <w:rFonts w:cs="Arial"/>
        </w:rPr>
        <w:t>from a clearer explanation so that investors are in a better position to interpret its meaning</w:t>
      </w:r>
      <w:r w:rsidR="00547242">
        <w:rPr>
          <w:rFonts w:cs="Arial"/>
        </w:rPr>
        <w:t xml:space="preserve"> and compare between products. </w:t>
      </w:r>
      <w:r w:rsidR="00070604">
        <w:rPr>
          <w:rFonts w:cs="Arial"/>
        </w:rPr>
        <w:t>It is not obvious how to relate the Risk Indicator with the materiality or sever</w:t>
      </w:r>
      <w:r w:rsidR="00022746">
        <w:rPr>
          <w:rFonts w:cs="Arial"/>
        </w:rPr>
        <w:t>ity of potential losses.</w:t>
      </w:r>
    </w:p>
    <w:p w14:paraId="7F8CA39C" w14:textId="2FBAF084" w:rsidR="00DB14DF" w:rsidRDefault="00DB14DF" w:rsidP="003E573C">
      <w:pPr>
        <w:rPr>
          <w:rFonts w:cs="Arial"/>
        </w:rPr>
      </w:pPr>
    </w:p>
    <w:p w14:paraId="31A9B1E0" w14:textId="1E910800" w:rsidR="00776B21" w:rsidRDefault="00776B21" w:rsidP="003E573C">
      <w:pPr>
        <w:rPr>
          <w:rFonts w:cs="Arial"/>
        </w:rPr>
      </w:pPr>
      <w:r>
        <w:rPr>
          <w:rFonts w:cs="Arial"/>
        </w:rPr>
        <w:t xml:space="preserve">It is conceptually difficult to aggregate all risks into a single measure and a single indicator for that matter. </w:t>
      </w:r>
      <w:r w:rsidR="00AB06D3">
        <w:rPr>
          <w:rFonts w:cs="Arial"/>
        </w:rPr>
        <w:t>When compared with the other parts of the KID, the costs section for example shows more granularity.</w:t>
      </w:r>
      <w:r w:rsidR="00673B65">
        <w:rPr>
          <w:rFonts w:cs="Arial"/>
        </w:rPr>
        <w:t xml:space="preserve"> Perhaps one alternative approach could be to borrow from the approach used by credit rating agencies and use a combination of a number and a letter to express risk? One </w:t>
      </w:r>
      <w:r w:rsidR="00AC3C3E">
        <w:rPr>
          <w:rFonts w:cs="Arial"/>
        </w:rPr>
        <w:t>unit for the credit risk and one other unit for market risk.</w:t>
      </w:r>
    </w:p>
    <w:p w14:paraId="3CECA48B" w14:textId="5D713958" w:rsidR="00AC3C3E" w:rsidRDefault="00AC3C3E" w:rsidP="003E573C">
      <w:pPr>
        <w:rPr>
          <w:rFonts w:cs="Arial"/>
        </w:rPr>
      </w:pPr>
    </w:p>
    <w:p w14:paraId="5BB1BE6F" w14:textId="530C01DD" w:rsidR="00AC3C3E" w:rsidRDefault="00AC3C3E" w:rsidP="003E573C">
      <w:pPr>
        <w:rPr>
          <w:rFonts w:cs="Arial"/>
        </w:rPr>
      </w:pPr>
      <w:r>
        <w:rPr>
          <w:rFonts w:cs="Arial"/>
        </w:rPr>
        <w:t>Throughout its answers to this consultation and as a guiding principle, CFA Institute favours simplicity over complication. However, in the case of the SRI</w:t>
      </w:r>
      <w:r w:rsidR="00613CFB">
        <w:rPr>
          <w:rFonts w:cs="Arial"/>
        </w:rPr>
        <w:t xml:space="preserve">, we believe the indicator could tolerate a bit more granularity for the sake of facilitating comprehension on the part of the readers. We would be happy to discuss further </w:t>
      </w:r>
      <w:r w:rsidR="00F53AA9">
        <w:rPr>
          <w:rFonts w:cs="Arial"/>
        </w:rPr>
        <w:t xml:space="preserve">with the ESAs what our thoughts are on how this granularity could be </w:t>
      </w:r>
      <w:r w:rsidR="00857500">
        <w:rPr>
          <w:rFonts w:cs="Arial"/>
        </w:rPr>
        <w:t>obtained without causing more complication</w:t>
      </w:r>
      <w:r w:rsidR="00F53AA9">
        <w:rPr>
          <w:rFonts w:cs="Arial"/>
        </w:rPr>
        <w:t xml:space="preserve">. </w:t>
      </w:r>
    </w:p>
    <w:p w14:paraId="3055EED7" w14:textId="77777777" w:rsidR="00776B21" w:rsidRDefault="00776B21" w:rsidP="003E573C">
      <w:pPr>
        <w:rPr>
          <w:rFonts w:cs="Arial"/>
        </w:rPr>
      </w:pPr>
    </w:p>
    <w:p w14:paraId="765987AC" w14:textId="77777777" w:rsidR="00DB14DF" w:rsidRDefault="00DB14DF" w:rsidP="003E573C">
      <w:pPr>
        <w:rPr>
          <w:rFonts w:cs="Arial"/>
        </w:rPr>
      </w:pPr>
    </w:p>
    <w:permEnd w:id="209390932"/>
    <w:p w14:paraId="61BD6C84" w14:textId="516DA4D6"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lastRenderedPageBreak/>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6FB187E" w14:textId="6395057A" w:rsidR="003E573C" w:rsidRDefault="00E575D3" w:rsidP="003E573C">
      <w:pPr>
        <w:rPr>
          <w:rFonts w:cs="Arial"/>
        </w:rPr>
      </w:pPr>
      <w:permStart w:id="418122716" w:edGrp="everyone"/>
      <w:r>
        <w:rPr>
          <w:rFonts w:cs="Arial"/>
        </w:rPr>
        <w:t xml:space="preserve">CFA Institute strongly advocates for the reintroduction of past performance in the Key Information Document since that is the only actual information that is provided. However, it is necessary to separate this information, which is a fact and refers to historical data, from future performance scenario, which is based on estimates. </w:t>
      </w:r>
      <w:r w:rsidR="001D653B">
        <w:rPr>
          <w:rFonts w:cs="Arial"/>
        </w:rPr>
        <w:t>Both past performance and future performance should require different disclosures to support clear and fair communications with clients.</w:t>
      </w:r>
      <w:r>
        <w:rPr>
          <w:rFonts w:cs="Arial"/>
        </w:rPr>
        <w:t xml:space="preserve"> We believe that investors would always like to see the track record of a financial product as such data gives an initial feeling about an investment. </w:t>
      </w:r>
    </w:p>
    <w:p w14:paraId="670010AE" w14:textId="77777777" w:rsidR="00EA3248" w:rsidRDefault="00EA3248" w:rsidP="003E573C">
      <w:pPr>
        <w:rPr>
          <w:rFonts w:cs="Arial"/>
        </w:rPr>
      </w:pPr>
    </w:p>
    <w:p w14:paraId="2CACFA4D" w14:textId="4FABB278" w:rsidR="00324711" w:rsidRDefault="00324711" w:rsidP="003E573C">
      <w:pPr>
        <w:rPr>
          <w:rFonts w:cs="Arial"/>
        </w:rPr>
      </w:pPr>
      <w:r>
        <w:rPr>
          <w:rFonts w:cs="Arial"/>
        </w:rPr>
        <w:t>Concerning future performance scenarios, the KID should explain, in a clear manner, the underlying assumptions that have been used to make the estimates. These should be clearly understandable to the end investor. Moreover, investors should be made aware of all limitations of forward-looking estimates.</w:t>
      </w:r>
    </w:p>
    <w:p w14:paraId="4D6D6BB2" w14:textId="77777777" w:rsidR="001B44FD" w:rsidRDefault="001B44FD" w:rsidP="003E573C">
      <w:pPr>
        <w:rPr>
          <w:rFonts w:cs="Arial"/>
        </w:rPr>
      </w:pPr>
    </w:p>
    <w:p w14:paraId="3794A5FD" w14:textId="531AFD1F" w:rsidR="00E575D3" w:rsidRDefault="00BC1AFF" w:rsidP="003E573C">
      <w:pPr>
        <w:rPr>
          <w:rFonts w:cs="Arial"/>
        </w:rPr>
      </w:pPr>
      <w:r>
        <w:rPr>
          <w:rFonts w:cs="Arial"/>
        </w:rPr>
        <w:t>CFA Institute has developed the Global Investment Performance Standards (GIPS</w:t>
      </w:r>
      <w:r w:rsidRPr="004F5823">
        <w:rPr>
          <w:rFonts w:cs="Arial"/>
          <w:vertAlign w:val="superscript"/>
        </w:rPr>
        <w:t>®</w:t>
      </w:r>
      <w:r>
        <w:rPr>
          <w:rFonts w:cs="Arial"/>
        </w:rPr>
        <w:t>) to provide an accepted set of best practices for the calculation and presentation of past investment performance. The standards, which are voluntary, facilitate the comparison of information between financial products provided by different investment firms and enhance investor interest and confidence as well as transparency by eliminating misrepresentations and past data omissions.</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0BD3D8A1" w14:textId="592A412D" w:rsidR="001C2DE2" w:rsidRDefault="001C2DE2" w:rsidP="003E573C">
      <w:pPr>
        <w:rPr>
          <w:rFonts w:cs="Arial"/>
        </w:rPr>
      </w:pPr>
      <w:permStart w:id="569465455" w:edGrp="everyone"/>
    </w:p>
    <w:p w14:paraId="414C9378" w14:textId="03526AB2" w:rsidR="00654113" w:rsidRDefault="00CA6FA9" w:rsidP="003E573C">
      <w:pPr>
        <w:rPr>
          <w:rFonts w:cs="Arial"/>
        </w:rPr>
      </w:pPr>
      <w:r>
        <w:rPr>
          <w:rFonts w:cs="Arial"/>
        </w:rPr>
        <w:t>CFA Institute recognises that not all products are the same. In the specific case of closed-ended products</w:t>
      </w:r>
      <w:r w:rsidR="00363162">
        <w:rPr>
          <w:rFonts w:cs="Arial"/>
        </w:rPr>
        <w:t xml:space="preserve"> that are structurally or conceptually for buy-and-hold</w:t>
      </w:r>
      <w:r w:rsidR="001C2DE2">
        <w:rPr>
          <w:rFonts w:cs="Arial"/>
        </w:rPr>
        <w:t xml:space="preserve"> purposes</w:t>
      </w:r>
      <w:r w:rsidR="00D34844">
        <w:rPr>
          <w:rFonts w:cs="Arial"/>
        </w:rPr>
        <w:t>, showing an intermedia</w:t>
      </w:r>
      <w:r w:rsidR="00445848">
        <w:rPr>
          <w:rFonts w:cs="Arial"/>
        </w:rPr>
        <w:t>te</w:t>
      </w:r>
      <w:r w:rsidR="00D34844">
        <w:rPr>
          <w:rFonts w:cs="Arial"/>
        </w:rPr>
        <w:t xml:space="preserve"> performance scenario may create confusion and suggest that it is possible </w:t>
      </w:r>
      <w:r w:rsidR="00445848">
        <w:rPr>
          <w:rFonts w:cs="Arial"/>
        </w:rPr>
        <w:t xml:space="preserve">to exit the investment before the term of the product. </w:t>
      </w:r>
      <w:r w:rsidR="00DC1B24">
        <w:rPr>
          <w:rFonts w:cs="Arial"/>
        </w:rPr>
        <w:t xml:space="preserve">We would suggest discriminating </w:t>
      </w:r>
      <w:r w:rsidR="00DC4AE9">
        <w:rPr>
          <w:rFonts w:cs="Arial"/>
        </w:rPr>
        <w:t>between those products who provide liquidity and those who do not.</w:t>
      </w:r>
      <w:r w:rsidR="009913BC">
        <w:rPr>
          <w:rFonts w:cs="Arial"/>
        </w:rPr>
        <w:t xml:space="preserve"> This </w:t>
      </w:r>
      <w:r w:rsidR="00BE4521">
        <w:rPr>
          <w:rFonts w:cs="Arial"/>
        </w:rPr>
        <w:t xml:space="preserve">presentation </w:t>
      </w:r>
      <w:r w:rsidR="00E05BC0">
        <w:rPr>
          <w:rFonts w:cs="Arial"/>
        </w:rPr>
        <w:t>choice should</w:t>
      </w:r>
      <w:r w:rsidR="00BE4521">
        <w:rPr>
          <w:rFonts w:cs="Arial"/>
        </w:rPr>
        <w:t xml:space="preserve"> then</w:t>
      </w:r>
      <w:r w:rsidR="00E05BC0">
        <w:rPr>
          <w:rFonts w:cs="Arial"/>
        </w:rPr>
        <w:t xml:space="preserve"> align with the way that costs are then show</w:t>
      </w:r>
      <w:r w:rsidR="009F24AC">
        <w:rPr>
          <w:rFonts w:cs="Arial"/>
        </w:rPr>
        <w:t>n</w:t>
      </w:r>
      <w:r w:rsidR="00E05BC0">
        <w:rPr>
          <w:rFonts w:cs="Arial"/>
        </w:rPr>
        <w:t xml:space="preserve"> in the Costs section.</w:t>
      </w:r>
    </w:p>
    <w:p w14:paraId="0A64CF0B" w14:textId="77777777" w:rsidR="009F24AC" w:rsidRDefault="009F24AC" w:rsidP="003E573C">
      <w:pPr>
        <w:rPr>
          <w:rFonts w:cs="Arial"/>
        </w:rPr>
      </w:pPr>
    </w:p>
    <w:p w14:paraId="224E0876" w14:textId="3EA7910D" w:rsidR="00FA42DC" w:rsidRDefault="00F27B6C" w:rsidP="003E573C">
      <w:pPr>
        <w:rPr>
          <w:rFonts w:cs="Arial"/>
        </w:rPr>
      </w:pPr>
      <w:r>
        <w:rPr>
          <w:rFonts w:cs="Arial"/>
        </w:rPr>
        <w:t>S</w:t>
      </w:r>
      <w:r w:rsidR="006B167B">
        <w:rPr>
          <w:rFonts w:cs="Arial"/>
        </w:rPr>
        <w:t>howing intermediate performance could be valuable in some cases.</w:t>
      </w:r>
      <w:r w:rsidR="00FA42DC">
        <w:rPr>
          <w:rFonts w:cs="Arial"/>
        </w:rPr>
        <w:t xml:space="preserve"> </w:t>
      </w:r>
      <w:r w:rsidR="006B167B">
        <w:rPr>
          <w:rFonts w:cs="Arial"/>
        </w:rPr>
        <w:t>I</w:t>
      </w:r>
      <w:r w:rsidR="00FA42DC">
        <w:rPr>
          <w:rFonts w:cs="Arial"/>
        </w:rPr>
        <w:t>f the structured product is marketed on the basis that there will be an active secondary market, we agree that intermediate scenarios could help in guiding investors’ expectations. The KID should indicate the expected returns under different scenarios for the key variables that shape the intermediate return.</w:t>
      </w:r>
    </w:p>
    <w:p w14:paraId="32A66026" w14:textId="77777777" w:rsidR="00654113" w:rsidRDefault="00654113" w:rsidP="003E573C">
      <w:pPr>
        <w:rPr>
          <w:rFonts w:cs="Arial"/>
        </w:rPr>
      </w:pP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5313CBBB" w14:textId="77777777" w:rsidR="001C2DE2" w:rsidRDefault="001C2DE2" w:rsidP="003E573C">
      <w:pPr>
        <w:rPr>
          <w:rFonts w:cs="Arial"/>
          <w:lang w:val="en-US"/>
        </w:rPr>
      </w:pPr>
      <w:permStart w:id="1713528049" w:edGrp="everyone"/>
    </w:p>
    <w:p w14:paraId="6639F43D" w14:textId="25A8AD79" w:rsidR="00795DF5" w:rsidRDefault="001B7367" w:rsidP="003E573C">
      <w:pPr>
        <w:rPr>
          <w:rFonts w:cs="Arial"/>
          <w:lang w:val="en-US"/>
        </w:rPr>
      </w:pPr>
      <w:r w:rsidRPr="001B7367">
        <w:rPr>
          <w:rFonts w:cs="Arial"/>
          <w:lang w:val="en-US"/>
        </w:rPr>
        <w:t>CFA Institute is of t</w:t>
      </w:r>
      <w:r>
        <w:rPr>
          <w:rFonts w:cs="Arial"/>
          <w:lang w:val="en-US"/>
        </w:rPr>
        <w:t xml:space="preserve">he view that the stress scenario does not add meaningful information to an already significant amount of information </w:t>
      </w:r>
      <w:r w:rsidR="0075676E">
        <w:rPr>
          <w:rFonts w:cs="Arial"/>
          <w:lang w:val="en-US"/>
        </w:rPr>
        <w:t xml:space="preserve">provided </w:t>
      </w:r>
      <w:r>
        <w:rPr>
          <w:rFonts w:cs="Arial"/>
          <w:lang w:val="en-US"/>
        </w:rPr>
        <w:t>on potential performance scenarios. It is difficult to interpret the results from the stress scenario</w:t>
      </w:r>
      <w:r w:rsidR="008A0B5D">
        <w:rPr>
          <w:rFonts w:cs="Arial"/>
          <w:lang w:val="en-US"/>
        </w:rPr>
        <w:t>, whether directly to investors or to explain to intermediaries (such as distributors</w:t>
      </w:r>
      <w:r w:rsidR="00573DA7">
        <w:rPr>
          <w:rFonts w:cs="Arial"/>
          <w:lang w:val="en-US"/>
        </w:rPr>
        <w:t xml:space="preserve"> and advisors</w:t>
      </w:r>
      <w:r w:rsidR="008A0B5D">
        <w:rPr>
          <w:rFonts w:cs="Arial"/>
          <w:lang w:val="en-US"/>
        </w:rPr>
        <w:t>) how they should explain what the figures entail.</w:t>
      </w:r>
    </w:p>
    <w:p w14:paraId="4701941D" w14:textId="229BEF09" w:rsidR="0075676E" w:rsidRDefault="0075676E" w:rsidP="003E573C">
      <w:pPr>
        <w:rPr>
          <w:rFonts w:cs="Arial"/>
          <w:lang w:val="en-US"/>
        </w:rPr>
      </w:pPr>
    </w:p>
    <w:p w14:paraId="1A5A9870" w14:textId="77777777" w:rsidR="007437FE" w:rsidRDefault="0075676E" w:rsidP="003E573C">
      <w:pPr>
        <w:rPr>
          <w:rFonts w:cs="Arial"/>
          <w:lang w:val="en-US"/>
        </w:rPr>
      </w:pPr>
      <w:r>
        <w:rPr>
          <w:rFonts w:cs="Arial"/>
          <w:lang w:val="en-US"/>
        </w:rPr>
        <w:lastRenderedPageBreak/>
        <w:t xml:space="preserve">In general, CFA Institute believes that </w:t>
      </w:r>
      <w:r w:rsidR="00451421">
        <w:rPr>
          <w:rFonts w:cs="Arial"/>
          <w:lang w:val="en-US"/>
        </w:rPr>
        <w:t>investment managers should be straightforward as regards the risks of their products. For any linear investment</w:t>
      </w:r>
      <w:r w:rsidR="00F214BB">
        <w:rPr>
          <w:rFonts w:cs="Arial"/>
          <w:lang w:val="en-US"/>
        </w:rPr>
        <w:t xml:space="preserve"> with no leverage, the simple answer is to explain that the entire investment is always at risk.</w:t>
      </w:r>
    </w:p>
    <w:p w14:paraId="52286E4E" w14:textId="77777777" w:rsidR="007437FE" w:rsidRDefault="007437FE" w:rsidP="003E573C">
      <w:pPr>
        <w:rPr>
          <w:rFonts w:cs="Arial"/>
          <w:lang w:val="en-US"/>
        </w:rPr>
      </w:pPr>
    </w:p>
    <w:p w14:paraId="29B014A5" w14:textId="1F317E26" w:rsidR="00795DF5" w:rsidRPr="001B7367" w:rsidRDefault="007437FE" w:rsidP="003E573C">
      <w:pPr>
        <w:rPr>
          <w:rFonts w:cs="Arial"/>
          <w:lang w:val="en-US"/>
        </w:rPr>
      </w:pPr>
      <w:r>
        <w:rPr>
          <w:rFonts w:cs="Arial"/>
          <w:lang w:val="en-US"/>
        </w:rPr>
        <w:t xml:space="preserve">The other existing scenarios (moderate, </w:t>
      </w:r>
      <w:proofErr w:type="spellStart"/>
      <w:r>
        <w:rPr>
          <w:rFonts w:cs="Arial"/>
          <w:lang w:val="en-US"/>
        </w:rPr>
        <w:t>favourable</w:t>
      </w:r>
      <w:proofErr w:type="spellEnd"/>
      <w:r>
        <w:rPr>
          <w:rFonts w:cs="Arial"/>
          <w:lang w:val="en-US"/>
        </w:rPr>
        <w:t xml:space="preserve"> and </w:t>
      </w:r>
      <w:proofErr w:type="spellStart"/>
      <w:r>
        <w:rPr>
          <w:rFonts w:cs="Arial"/>
          <w:lang w:val="en-US"/>
        </w:rPr>
        <w:t>unfavourable</w:t>
      </w:r>
      <w:proofErr w:type="spellEnd"/>
      <w:r>
        <w:rPr>
          <w:rFonts w:cs="Arial"/>
          <w:lang w:val="en-US"/>
        </w:rPr>
        <w:t xml:space="preserve">) should provide enough perspective to investors wanting an assessment of possible outcomes </w:t>
      </w:r>
      <w:r w:rsidR="006A6F4A">
        <w:rPr>
          <w:rFonts w:cs="Arial"/>
          <w:lang w:val="en-US"/>
        </w:rPr>
        <w:t>while markets operate under normal conditions</w:t>
      </w:r>
      <w:r w:rsidR="00E54DC2">
        <w:rPr>
          <w:rFonts w:cs="Arial"/>
          <w:lang w:val="en-US"/>
        </w:rPr>
        <w:t xml:space="preserve"> (average liquidity, trading volumes, </w:t>
      </w:r>
      <w:r w:rsidR="00C87C66">
        <w:rPr>
          <w:rFonts w:cs="Arial"/>
          <w:lang w:val="en-US"/>
        </w:rPr>
        <w:t>typical or cyclical volatility)</w:t>
      </w:r>
      <w:r w:rsidR="006A6F4A">
        <w:rPr>
          <w:rFonts w:cs="Arial"/>
          <w:lang w:val="en-US"/>
        </w:rPr>
        <w:t>, whe</w:t>
      </w:r>
      <w:r w:rsidR="00C87C66">
        <w:rPr>
          <w:rFonts w:cs="Arial"/>
          <w:lang w:val="en-US"/>
        </w:rPr>
        <w:t xml:space="preserve">ther these conditions are trending upwards or </w:t>
      </w:r>
      <w:proofErr w:type="gramStart"/>
      <w:r w:rsidR="00C87C66">
        <w:rPr>
          <w:rFonts w:cs="Arial"/>
          <w:lang w:val="en-US"/>
        </w:rPr>
        <w:t>downwards</w:t>
      </w:r>
      <w:r w:rsidR="00611D3E">
        <w:rPr>
          <w:rFonts w:cs="Arial"/>
          <w:lang w:val="en-US"/>
        </w:rPr>
        <w:t>.</w:t>
      </w:r>
      <w:r w:rsidR="00A03E21">
        <w:rPr>
          <w:rFonts w:cs="Arial"/>
          <w:lang w:val="en-US"/>
        </w:rPr>
        <w:t>.</w:t>
      </w:r>
      <w:proofErr w:type="gramEnd"/>
      <w:r w:rsidR="00A03E21">
        <w:rPr>
          <w:rFonts w:cs="Arial"/>
          <w:lang w:val="en-US"/>
        </w:rPr>
        <w:t xml:space="preserve"> </w:t>
      </w:r>
    </w:p>
    <w:p w14:paraId="70BF454B" w14:textId="77777777" w:rsidR="00795DF5" w:rsidRPr="001B7367" w:rsidRDefault="00795DF5" w:rsidP="003E573C">
      <w:pPr>
        <w:rPr>
          <w:rFonts w:cs="Arial"/>
          <w:lang w:val="en-US"/>
        </w:rPr>
      </w:pP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63570042" w14:textId="5944E238" w:rsidR="0042727F" w:rsidRDefault="0042727F" w:rsidP="003E573C">
      <w:pPr>
        <w:rPr>
          <w:rFonts w:cs="Arial"/>
        </w:rPr>
      </w:pPr>
      <w:permStart w:id="221670941" w:edGrp="everyone"/>
    </w:p>
    <w:p w14:paraId="42A766A5" w14:textId="5BEF3E7E" w:rsidR="00CC7DF1" w:rsidRDefault="001C05BA" w:rsidP="003E573C">
      <w:pPr>
        <w:rPr>
          <w:rFonts w:cs="Arial"/>
        </w:rPr>
      </w:pPr>
      <w:r>
        <w:rPr>
          <w:rFonts w:cs="Arial"/>
        </w:rPr>
        <w:t>The r</w:t>
      </w:r>
      <w:r w:rsidR="00CC7DF1">
        <w:rPr>
          <w:rFonts w:cs="Arial"/>
        </w:rPr>
        <w:t xml:space="preserve">eference rate should be based on the sovereign government bond </w:t>
      </w:r>
      <w:r w:rsidR="00D80519">
        <w:rPr>
          <w:rFonts w:cs="Arial"/>
        </w:rPr>
        <w:t xml:space="preserve">yield </w:t>
      </w:r>
      <w:r w:rsidR="00CC7DF1">
        <w:rPr>
          <w:rFonts w:cs="Arial"/>
        </w:rPr>
        <w:t xml:space="preserve">curve </w:t>
      </w:r>
      <w:r w:rsidR="007A5AE4">
        <w:rPr>
          <w:rFonts w:cs="Arial"/>
        </w:rPr>
        <w:t>of</w:t>
      </w:r>
      <w:r w:rsidR="00CC7DF1">
        <w:rPr>
          <w:rFonts w:cs="Arial"/>
        </w:rPr>
        <w:t xml:space="preserve"> the </w:t>
      </w:r>
      <w:r>
        <w:rPr>
          <w:rFonts w:cs="Arial"/>
        </w:rPr>
        <w:t xml:space="preserve">underlying </w:t>
      </w:r>
      <w:r w:rsidR="00CC7DF1">
        <w:rPr>
          <w:rFonts w:cs="Arial"/>
        </w:rPr>
        <w:t>asset</w:t>
      </w:r>
      <w:r>
        <w:rPr>
          <w:rFonts w:cs="Arial"/>
        </w:rPr>
        <w:t>s</w:t>
      </w:r>
      <w:r w:rsidR="00CC7DF1">
        <w:rPr>
          <w:rFonts w:cs="Arial"/>
        </w:rPr>
        <w:t>’ country. It is, yet, important to specify what the rate</w:t>
      </w:r>
      <w:r w:rsidR="007A5AE4">
        <w:rPr>
          <w:rFonts w:cs="Arial"/>
        </w:rPr>
        <w:t xml:space="preserve"> is composed of</w:t>
      </w:r>
      <w:r w:rsidR="00CC7DF1">
        <w:rPr>
          <w:rFonts w:cs="Arial"/>
        </w:rPr>
        <w:t xml:space="preserve"> (providing both a description of the rate and the actual rate). </w:t>
      </w:r>
      <w:r w:rsidR="00CC7DF1" w:rsidRPr="00CC7DF1">
        <w:rPr>
          <w:rFonts w:cs="Arial"/>
        </w:rPr>
        <w:t xml:space="preserve">For example, a German equity fund generating </w:t>
      </w:r>
      <w:r w:rsidR="00155202">
        <w:rPr>
          <w:rFonts w:cs="Arial"/>
        </w:rPr>
        <w:t>3</w:t>
      </w:r>
      <w:r w:rsidR="00CC7DF1" w:rsidRPr="00CC7DF1">
        <w:rPr>
          <w:rFonts w:cs="Arial"/>
        </w:rPr>
        <w:t xml:space="preserve">% more than the negative yielding German bund </w:t>
      </w:r>
      <w:r w:rsidR="00716C02">
        <w:rPr>
          <w:rFonts w:cs="Arial"/>
        </w:rPr>
        <w:t>c</w:t>
      </w:r>
      <w:r w:rsidR="00CC7DF1" w:rsidRPr="00CC7DF1">
        <w:rPr>
          <w:rFonts w:cs="Arial"/>
        </w:rPr>
        <w:t xml:space="preserve">ould earn a lower incremental return versus Italian BTPs which </w:t>
      </w:r>
      <w:proofErr w:type="gramStart"/>
      <w:r w:rsidR="00CC7DF1" w:rsidRPr="00CC7DF1">
        <w:rPr>
          <w:rFonts w:cs="Arial"/>
        </w:rPr>
        <w:t>is arguably the correct base reference rate for a cross-border Italian investor</w:t>
      </w:r>
      <w:proofErr w:type="gramEnd"/>
      <w:r w:rsidR="00CC7DF1" w:rsidRPr="00CC7DF1">
        <w:rPr>
          <w:rFonts w:cs="Arial"/>
        </w:rPr>
        <w:t>.</w:t>
      </w:r>
    </w:p>
    <w:p w14:paraId="3B5D979A" w14:textId="108DC4E4" w:rsidR="00AA509A" w:rsidRDefault="00AA509A" w:rsidP="003E573C">
      <w:pPr>
        <w:rPr>
          <w:rFonts w:cs="Arial"/>
        </w:rPr>
      </w:pPr>
    </w:p>
    <w:p w14:paraId="599920C6" w14:textId="6CC6C42C" w:rsidR="0042727F" w:rsidRDefault="00AA509A" w:rsidP="003E573C">
      <w:pPr>
        <w:rPr>
          <w:rFonts w:cs="Arial"/>
        </w:rPr>
      </w:pPr>
      <w:r>
        <w:rPr>
          <w:rFonts w:cs="Arial"/>
        </w:rPr>
        <w:t xml:space="preserve">The question </w:t>
      </w:r>
      <w:proofErr w:type="gramStart"/>
      <w:r>
        <w:rPr>
          <w:rFonts w:cs="Arial"/>
        </w:rPr>
        <w:t>has to</w:t>
      </w:r>
      <w:proofErr w:type="gramEnd"/>
      <w:r>
        <w:rPr>
          <w:rFonts w:cs="Arial"/>
        </w:rPr>
        <w:t xml:space="preserve"> be asked about products denominated in another </w:t>
      </w:r>
      <w:r w:rsidR="005C1715">
        <w:rPr>
          <w:rFonts w:cs="Arial"/>
        </w:rPr>
        <w:t>currency than its home jurisdiction</w:t>
      </w:r>
      <w:r w:rsidR="00502CD9">
        <w:rPr>
          <w:rFonts w:cs="Arial"/>
        </w:rPr>
        <w:t>, which caused distortions to this model.</w:t>
      </w:r>
    </w:p>
    <w:p w14:paraId="10377C9A" w14:textId="77777777" w:rsidR="0042727F" w:rsidRDefault="0042727F" w:rsidP="003E573C">
      <w:pPr>
        <w:rPr>
          <w:rFonts w:cs="Arial"/>
        </w:rPr>
      </w:pPr>
    </w:p>
    <w:permEnd w:id="221670941"/>
    <w:p w14:paraId="57161E15" w14:textId="628B2C8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2652B4EB" w14:textId="77777777" w:rsidR="00884151" w:rsidRDefault="00884151" w:rsidP="00884151">
      <w:pPr>
        <w:rPr>
          <w:rFonts w:cs="Arial"/>
        </w:rPr>
      </w:pPr>
      <w:permStart w:id="610013876" w:edGrp="everyone"/>
    </w:p>
    <w:p w14:paraId="4055AE3A" w14:textId="0C792BCA" w:rsidR="000C683C" w:rsidRDefault="00327087" w:rsidP="00884151">
      <w:pPr>
        <w:rPr>
          <w:rFonts w:cs="Arial"/>
        </w:rPr>
      </w:pPr>
      <w:r>
        <w:rPr>
          <w:rFonts w:cs="Arial"/>
        </w:rPr>
        <w:t xml:space="preserve">This methodology could </w:t>
      </w:r>
      <w:r w:rsidR="00D01913">
        <w:rPr>
          <w:rFonts w:cs="Arial"/>
        </w:rPr>
        <w:t>appear</w:t>
      </w:r>
      <w:r>
        <w:rPr>
          <w:rFonts w:cs="Arial"/>
        </w:rPr>
        <w:t xml:space="preserve"> simpler</w:t>
      </w:r>
      <w:r w:rsidR="00807C30">
        <w:rPr>
          <w:rFonts w:cs="Arial"/>
        </w:rPr>
        <w:t>, on the surface,</w:t>
      </w:r>
      <w:r>
        <w:rPr>
          <w:rFonts w:cs="Arial"/>
        </w:rPr>
        <w:t xml:space="preserve"> to understand for investors</w:t>
      </w:r>
      <w:r w:rsidR="00807C30">
        <w:rPr>
          <w:rFonts w:cs="Arial"/>
        </w:rPr>
        <w:t xml:space="preserve">, but we believe it </w:t>
      </w:r>
      <w:r w:rsidR="002047D0">
        <w:rPr>
          <w:rFonts w:cs="Arial"/>
        </w:rPr>
        <w:t xml:space="preserve">could also prove </w:t>
      </w:r>
      <w:r w:rsidR="00807C30">
        <w:rPr>
          <w:rFonts w:cs="Arial"/>
        </w:rPr>
        <w:t>misleading.</w:t>
      </w:r>
    </w:p>
    <w:p w14:paraId="39B66DC7" w14:textId="77777777" w:rsidR="000C683C" w:rsidRDefault="000C683C" w:rsidP="00884151">
      <w:pPr>
        <w:rPr>
          <w:rFonts w:cs="Arial"/>
        </w:rPr>
      </w:pPr>
    </w:p>
    <w:p w14:paraId="1AA2652F" w14:textId="222F0FE0" w:rsidR="00327087" w:rsidRDefault="00807C30" w:rsidP="00884151">
      <w:pPr>
        <w:rPr>
          <w:rFonts w:cs="Arial"/>
        </w:rPr>
      </w:pPr>
      <w:r>
        <w:rPr>
          <w:rFonts w:cs="Arial"/>
        </w:rPr>
        <w:t xml:space="preserve">It </w:t>
      </w:r>
      <w:r w:rsidR="002F3E52">
        <w:rPr>
          <w:rFonts w:cs="Arial"/>
        </w:rPr>
        <w:t xml:space="preserve">could work for developed market shares, bonds and funds, </w:t>
      </w:r>
      <w:r w:rsidR="00327087">
        <w:rPr>
          <w:rFonts w:cs="Arial"/>
        </w:rPr>
        <w:t xml:space="preserve">but have shortcomings for </w:t>
      </w:r>
      <w:r w:rsidR="002F3E52">
        <w:rPr>
          <w:rFonts w:cs="Arial"/>
        </w:rPr>
        <w:t>more complex</w:t>
      </w:r>
      <w:r w:rsidR="00327087">
        <w:rPr>
          <w:rFonts w:cs="Arial"/>
        </w:rPr>
        <w:t xml:space="preserve"> products. This would not work: 1) for small companies’ growth shares that would not pay dividends; 2) in the fixed income market, if we refer to </w:t>
      </w:r>
      <w:r w:rsidR="002F3E52">
        <w:rPr>
          <w:rFonts w:cs="Arial"/>
        </w:rPr>
        <w:t>5-year history for variance, skew and kurtosis when rates may not continue to decline (the assumption should be that the rates will be constant); 3) for multi-asset portfolios when they include assets from different geographical segments of the market.</w:t>
      </w:r>
    </w:p>
    <w:p w14:paraId="0280DBF8" w14:textId="24837989" w:rsidR="00271F3D" w:rsidRDefault="00271F3D" w:rsidP="00884151">
      <w:pPr>
        <w:rPr>
          <w:rFonts w:cs="Arial"/>
        </w:rPr>
      </w:pPr>
    </w:p>
    <w:p w14:paraId="62DA3857" w14:textId="5DDB627E" w:rsidR="00271F3D" w:rsidRDefault="00271F3D" w:rsidP="00884151">
      <w:pPr>
        <w:rPr>
          <w:rFonts w:cs="Arial"/>
        </w:rPr>
      </w:pPr>
      <w:r>
        <w:rPr>
          <w:rFonts w:cs="Arial"/>
        </w:rPr>
        <w:t>This approach would also be very resource-intensive and therefore could be difficult to implement i</w:t>
      </w:r>
      <w:r w:rsidR="001B1000">
        <w:rPr>
          <w:rFonts w:cs="Arial"/>
        </w:rPr>
        <w:t xml:space="preserve">n certain conditions. </w:t>
      </w:r>
    </w:p>
    <w:p w14:paraId="0F5D505F" w14:textId="77777777" w:rsidR="00884151" w:rsidRDefault="00884151" w:rsidP="00884151">
      <w:pPr>
        <w:rPr>
          <w:rFonts w:cs="Arial"/>
        </w:rPr>
      </w:pP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2FC4DAF7" w14:textId="77777777" w:rsidR="00884151" w:rsidRDefault="00884151" w:rsidP="003E573C">
      <w:pPr>
        <w:rPr>
          <w:rFonts w:cs="Arial"/>
        </w:rPr>
      </w:pPr>
      <w:permStart w:id="790175202" w:edGrp="everyone"/>
    </w:p>
    <w:p w14:paraId="2E10F592" w14:textId="4C28F2E5" w:rsidR="00884151" w:rsidRDefault="002F3E52" w:rsidP="00884151">
      <w:pPr>
        <w:rPr>
          <w:rFonts w:cs="Arial"/>
        </w:rPr>
      </w:pPr>
      <w:r>
        <w:rPr>
          <w:rFonts w:cs="Arial"/>
        </w:rPr>
        <w:lastRenderedPageBreak/>
        <w:t xml:space="preserve">Neither these two methods are perfect. </w:t>
      </w:r>
      <w:r w:rsidRPr="002F3E52">
        <w:rPr>
          <w:rFonts w:cs="Arial"/>
        </w:rPr>
        <w:t>A prescriptive source can create biases and have limitations. Allowing manufacturers to choose introduces another source of bias</w:t>
      </w:r>
      <w:r w:rsidR="00857AF0">
        <w:rPr>
          <w:rFonts w:cs="Arial"/>
        </w:rPr>
        <w:t>.</w:t>
      </w:r>
    </w:p>
    <w:p w14:paraId="59FB213E" w14:textId="12373080" w:rsidR="001B2D62" w:rsidRDefault="001B2D62" w:rsidP="00884151">
      <w:pPr>
        <w:rPr>
          <w:rFonts w:cs="Arial"/>
        </w:rPr>
      </w:pPr>
    </w:p>
    <w:p w14:paraId="6A4C6455" w14:textId="66A1CC4F" w:rsidR="001B2D62" w:rsidRDefault="001B2D62" w:rsidP="00884151">
      <w:pPr>
        <w:rPr>
          <w:rFonts w:cs="Arial"/>
        </w:rPr>
      </w:pPr>
      <w:r>
        <w:rPr>
          <w:rFonts w:cs="Arial"/>
        </w:rPr>
        <w:t>We would like to refer to the paragraph in our introduction about performance scenarios. Our view is that further consultation should be considered as we think different asset classes and different product types may be better served through specific approaches that recognise their differences.</w:t>
      </w:r>
      <w:r w:rsidR="004F4A4E">
        <w:rPr>
          <w:rFonts w:cs="Arial"/>
        </w:rPr>
        <w:t xml:space="preserve"> This comment and our views on performance scenarios is applicable for all related questions up until Q22.</w:t>
      </w:r>
    </w:p>
    <w:p w14:paraId="08C1D5DB" w14:textId="77777777" w:rsidR="00884151" w:rsidRDefault="00884151" w:rsidP="003E573C">
      <w:pPr>
        <w:rPr>
          <w:rFonts w:cs="Arial"/>
        </w:rPr>
      </w:pPr>
    </w:p>
    <w:permEnd w:id="790175202"/>
    <w:p w14:paraId="140C09C0" w14:textId="0F35E6A3"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5EBDCCA" w14:textId="145052B4" w:rsidR="00C22391" w:rsidRDefault="0074134B" w:rsidP="003E573C">
      <w:pPr>
        <w:rPr>
          <w:rFonts w:cs="Arial"/>
        </w:rPr>
      </w:pPr>
      <w:permStart w:id="747664392" w:edGrp="everyone"/>
      <w:r>
        <w:rPr>
          <w:rFonts w:cs="Arial"/>
        </w:rPr>
        <w:t>TYPE YOUR TEXT HERE</w:t>
      </w:r>
    </w:p>
    <w:permEnd w:id="747664392"/>
    <w:p w14:paraId="7F118029" w14:textId="3E002081"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 xml:space="preserve">Do you agree with the approach for money-market funds?  Are there other assets which may require a </w:t>
      </w:r>
      <w:proofErr w:type="gramStart"/>
      <w:r w:rsidRPr="00763760">
        <w:t>similar specific provisions</w:t>
      </w:r>
      <w:proofErr w:type="gramEnd"/>
      <w:r w:rsidRPr="00763760">
        <w:t>?</w:t>
      </w:r>
    </w:p>
    <w:p w14:paraId="56F5A2F0" w14:textId="77D64AD7" w:rsidR="003E573C" w:rsidRDefault="003E573C" w:rsidP="003E573C">
      <w:pPr>
        <w:rPr>
          <w:rFonts w:cs="Arial"/>
        </w:rPr>
      </w:pPr>
      <w:r>
        <w:rPr>
          <w:rFonts w:cs="Arial"/>
        </w:rPr>
        <w:t>&lt;ESA_QUESTION_PKID_13&gt;</w:t>
      </w:r>
    </w:p>
    <w:p w14:paraId="5B97AC26" w14:textId="77777777" w:rsidR="0091377B" w:rsidRDefault="0091377B" w:rsidP="0091377B">
      <w:pPr>
        <w:rPr>
          <w:rFonts w:cs="Arial"/>
        </w:rPr>
      </w:pPr>
      <w:permStart w:id="1932541595" w:edGrp="everyone"/>
      <w:r>
        <w:rPr>
          <w:rFonts w:cs="Arial"/>
        </w:rPr>
        <w:t>TYPE YOUR TEXT HERE</w:t>
      </w:r>
    </w:p>
    <w:permEnd w:id="1932541595"/>
    <w:p w14:paraId="39C16C25" w14:textId="4A8C7C9F"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35DD9B72" w14:textId="77777777" w:rsidR="00B60C26" w:rsidRDefault="00B60C26" w:rsidP="003E573C">
      <w:pPr>
        <w:rPr>
          <w:rFonts w:cs="Arial"/>
        </w:rPr>
      </w:pPr>
      <w:permStart w:id="1646396141" w:edGrp="everyone"/>
    </w:p>
    <w:p w14:paraId="708524CD" w14:textId="1B3E340E" w:rsidR="00B60C26" w:rsidRDefault="00FF1F4B" w:rsidP="003E573C">
      <w:pPr>
        <w:rPr>
          <w:rFonts w:cs="Arial"/>
        </w:rPr>
      </w:pPr>
      <w:r>
        <w:rPr>
          <w:rFonts w:cs="Arial"/>
        </w:rPr>
        <w:t>Using implied volatility has two problems: 1) deciding the maturity of options that should be used; and 2) using shorter dated implied volatility could show short-term spikes even whe</w:t>
      </w:r>
      <w:r w:rsidR="007F2F53">
        <w:rPr>
          <w:rFonts w:cs="Arial"/>
        </w:rPr>
        <w:t>n</w:t>
      </w:r>
      <w:r>
        <w:rPr>
          <w:rFonts w:cs="Arial"/>
        </w:rPr>
        <w:t xml:space="preserve"> markets are falling. Given such problems, we would recommend sticking with historical volatility.</w:t>
      </w:r>
      <w:r w:rsidR="00B60C26">
        <w:rPr>
          <w:rFonts w:cs="Arial"/>
        </w:rPr>
        <w:t>]</w:t>
      </w:r>
    </w:p>
    <w:p w14:paraId="76C3A29C" w14:textId="77777777" w:rsidR="00B60C26" w:rsidRDefault="00B60C26" w:rsidP="003E573C">
      <w:pPr>
        <w:rPr>
          <w:rFonts w:cs="Arial"/>
        </w:rPr>
      </w:pPr>
    </w:p>
    <w:permEnd w:id="1646396141"/>
    <w:p w14:paraId="0FE78052" w14:textId="3EE1C808"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33F03976" w14:textId="77777777" w:rsidR="00FC7383" w:rsidRDefault="00FC7383" w:rsidP="003E573C">
      <w:pPr>
        <w:rPr>
          <w:rFonts w:cs="Arial"/>
        </w:rPr>
      </w:pPr>
      <w:permStart w:id="1271138379" w:edGrp="everyone"/>
    </w:p>
    <w:p w14:paraId="259A0082" w14:textId="6FE2D6ED" w:rsidR="00FC7383" w:rsidRDefault="00FC7383" w:rsidP="003E573C">
      <w:pPr>
        <w:rPr>
          <w:rFonts w:cs="Arial"/>
        </w:rPr>
      </w:pPr>
      <w:r>
        <w:rPr>
          <w:rFonts w:cs="Arial"/>
        </w:rPr>
        <w:t xml:space="preserve">As expressed in our answer to question 6, CFA Institute would favour the introduction of past performance </w:t>
      </w:r>
      <w:proofErr w:type="gramStart"/>
      <w:r>
        <w:rPr>
          <w:rFonts w:cs="Arial"/>
        </w:rPr>
        <w:t>so as to</w:t>
      </w:r>
      <w:proofErr w:type="gramEnd"/>
      <w:r>
        <w:rPr>
          <w:rFonts w:cs="Arial"/>
        </w:rPr>
        <w:t xml:space="preserve"> give </w:t>
      </w:r>
      <w:r w:rsidR="006C6BF0">
        <w:rPr>
          <w:rFonts w:cs="Arial"/>
        </w:rPr>
        <w:t>investors an appreciation of the real performance of the product.</w:t>
      </w:r>
    </w:p>
    <w:p w14:paraId="6C5C4346" w14:textId="2A8DB3F7" w:rsidR="006C6BF0" w:rsidRDefault="006C6BF0" w:rsidP="003E573C">
      <w:pPr>
        <w:rPr>
          <w:rFonts w:cs="Arial"/>
        </w:rPr>
      </w:pPr>
    </w:p>
    <w:p w14:paraId="193DD4FD" w14:textId="6BE413CF" w:rsidR="006C6BF0" w:rsidRDefault="006C6BF0" w:rsidP="003E573C">
      <w:pPr>
        <w:rPr>
          <w:rFonts w:cs="Arial"/>
        </w:rPr>
      </w:pPr>
      <w:r>
        <w:rPr>
          <w:rFonts w:cs="Arial"/>
        </w:rPr>
        <w:t xml:space="preserve">If past performance is introduced, such as for the UCITS KIID, compensatory measures would not be necessary as investors would be </w:t>
      </w:r>
      <w:proofErr w:type="gramStart"/>
      <w:r>
        <w:rPr>
          <w:rFonts w:cs="Arial"/>
        </w:rPr>
        <w:t>in a position</w:t>
      </w:r>
      <w:proofErr w:type="gramEnd"/>
      <w:r>
        <w:rPr>
          <w:rFonts w:cs="Arial"/>
        </w:rPr>
        <w:t xml:space="preserve"> to directly compare the results from the models with the real-life </w:t>
      </w:r>
      <w:r w:rsidR="001C3763">
        <w:rPr>
          <w:rFonts w:cs="Arial"/>
        </w:rPr>
        <w:t xml:space="preserve">performance of the product. </w:t>
      </w:r>
    </w:p>
    <w:p w14:paraId="74CD1E9A" w14:textId="77777777" w:rsidR="00FC7383" w:rsidRDefault="00FC7383" w:rsidP="003E573C">
      <w:pPr>
        <w:rPr>
          <w:rFonts w:cs="Arial"/>
        </w:rPr>
      </w:pPr>
    </w:p>
    <w:permEnd w:id="1271138379"/>
    <w:p w14:paraId="5A098E3E" w14:textId="20123021"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lastRenderedPageBreak/>
        <w:t>&lt;ESA_QUESTION_PKID_16&gt;</w:t>
      </w:r>
    </w:p>
    <w:p w14:paraId="2D808846" w14:textId="77777777" w:rsidR="004A2EF6" w:rsidRDefault="004A2EF6" w:rsidP="003E573C">
      <w:pPr>
        <w:rPr>
          <w:rFonts w:cs="Arial"/>
          <w:lang w:val="en-US"/>
        </w:rPr>
      </w:pPr>
      <w:permStart w:id="739535953" w:edGrp="everyone"/>
    </w:p>
    <w:p w14:paraId="1FB8106F" w14:textId="356BBA31" w:rsidR="00E972F3" w:rsidRDefault="00FF1F4B" w:rsidP="003E573C">
      <w:pPr>
        <w:rPr>
          <w:rFonts w:cs="Arial"/>
          <w:lang w:val="en-US"/>
        </w:rPr>
      </w:pPr>
      <w:r>
        <w:rPr>
          <w:rFonts w:cs="Arial"/>
          <w:lang w:val="en-US"/>
        </w:rPr>
        <w:t xml:space="preserve">Please see our response to question 15. </w:t>
      </w:r>
      <w:r w:rsidR="00E972F3" w:rsidRPr="00E972F3">
        <w:rPr>
          <w:rFonts w:cs="Arial"/>
          <w:lang w:val="en-US"/>
        </w:rPr>
        <w:t xml:space="preserve">CFA Institute </w:t>
      </w:r>
      <w:proofErr w:type="spellStart"/>
      <w:r w:rsidR="00E972F3" w:rsidRPr="00E972F3">
        <w:rPr>
          <w:rFonts w:cs="Arial"/>
          <w:lang w:val="en-US"/>
        </w:rPr>
        <w:t>favours</w:t>
      </w:r>
      <w:proofErr w:type="spellEnd"/>
      <w:r w:rsidR="00E972F3" w:rsidRPr="00E972F3">
        <w:rPr>
          <w:rFonts w:cs="Arial"/>
          <w:lang w:val="en-US"/>
        </w:rPr>
        <w:t xml:space="preserve"> the i</w:t>
      </w:r>
      <w:r w:rsidR="00E972F3">
        <w:rPr>
          <w:rFonts w:cs="Arial"/>
          <w:lang w:val="en-US"/>
        </w:rPr>
        <w:t xml:space="preserve">ntroduction of past performance to compare products against each other and to compare ex-ante performance against ex-post performance, over compensatory </w:t>
      </w:r>
      <w:r w:rsidR="005F4B88">
        <w:rPr>
          <w:rFonts w:cs="Arial"/>
          <w:lang w:val="en-US"/>
        </w:rPr>
        <w:t xml:space="preserve">mechanisms. </w:t>
      </w:r>
    </w:p>
    <w:p w14:paraId="00D2BFE6" w14:textId="301882B8" w:rsidR="00E67914" w:rsidRDefault="00E67914" w:rsidP="003E573C">
      <w:pPr>
        <w:rPr>
          <w:rFonts w:cs="Arial"/>
          <w:lang w:val="en-US"/>
        </w:rPr>
      </w:pPr>
    </w:p>
    <w:p w14:paraId="375B8E1C" w14:textId="14E284AD" w:rsidR="00E67914" w:rsidRDefault="006C2B0E" w:rsidP="003E573C">
      <w:pPr>
        <w:rPr>
          <w:rFonts w:cs="Arial"/>
          <w:lang w:val="en-US"/>
        </w:rPr>
      </w:pPr>
      <w:r>
        <w:rPr>
          <w:rFonts w:cs="Arial"/>
          <w:lang w:val="en-US"/>
        </w:rPr>
        <w:t xml:space="preserve">The </w:t>
      </w:r>
      <w:r w:rsidR="00755D0D">
        <w:rPr>
          <w:rFonts w:cs="Arial"/>
          <w:lang w:val="en-US"/>
        </w:rPr>
        <w:t xml:space="preserve">probabilistic </w:t>
      </w:r>
      <w:r>
        <w:rPr>
          <w:rFonts w:cs="Arial"/>
          <w:lang w:val="en-US"/>
        </w:rPr>
        <w:t>approach could make manufacturers</w:t>
      </w:r>
      <w:r w:rsidR="00E67914" w:rsidRPr="00E67914">
        <w:rPr>
          <w:rFonts w:cs="Arial"/>
          <w:lang w:val="en-US"/>
        </w:rPr>
        <w:t xml:space="preserve"> </w:t>
      </w:r>
      <w:r w:rsidRPr="00E67914">
        <w:rPr>
          <w:rFonts w:cs="Arial"/>
          <w:lang w:val="en-US"/>
        </w:rPr>
        <w:t>dependent</w:t>
      </w:r>
      <w:r w:rsidR="00E67914" w:rsidRPr="00E67914">
        <w:rPr>
          <w:rFonts w:cs="Arial"/>
          <w:lang w:val="en-US"/>
        </w:rPr>
        <w:t xml:space="preserve"> on data vendors such as Bloomberg and create an inelastic demand for their services</w:t>
      </w:r>
      <w:r>
        <w:rPr>
          <w:rFonts w:cs="Arial"/>
          <w:lang w:val="en-US"/>
        </w:rPr>
        <w:t xml:space="preserve">. In addition, the </w:t>
      </w:r>
      <w:r w:rsidR="003F2874">
        <w:rPr>
          <w:rFonts w:cs="Arial"/>
          <w:lang w:val="en-US"/>
        </w:rPr>
        <w:t>outcome</w:t>
      </w:r>
      <w:r w:rsidR="00E67914" w:rsidRPr="00E67914">
        <w:rPr>
          <w:rFonts w:cs="Arial"/>
          <w:lang w:val="en-US"/>
        </w:rPr>
        <w:t xml:space="preserve"> is not guaranteed to be meaningful</w:t>
      </w:r>
      <w:r w:rsidR="003F2874">
        <w:rPr>
          <w:rFonts w:cs="Arial"/>
          <w:lang w:val="en-US"/>
        </w:rPr>
        <w:t>. Therefore,</w:t>
      </w:r>
      <w:r w:rsidR="00E67914" w:rsidRPr="00E67914">
        <w:rPr>
          <w:rFonts w:cs="Arial"/>
          <w:lang w:val="en-US"/>
        </w:rPr>
        <w:t xml:space="preserve"> having a standard set of rates provided by the regulator would be preferable. But they would have to be subject to the same conditions for review as manufacturers are (at least annual </w:t>
      </w:r>
      <w:proofErr w:type="gramStart"/>
      <w:r w:rsidR="00E67914" w:rsidRPr="00E67914">
        <w:rPr>
          <w:rFonts w:cs="Arial"/>
          <w:lang w:val="en-US"/>
        </w:rPr>
        <w:t>review, and</w:t>
      </w:r>
      <w:proofErr w:type="gramEnd"/>
      <w:r w:rsidR="00E67914" w:rsidRPr="00E67914">
        <w:rPr>
          <w:rFonts w:cs="Arial"/>
          <w:lang w:val="en-US"/>
        </w:rPr>
        <w:t xml:space="preserve"> amend if it changes materially). One thing that all options have in common as they are based on asset class vs fund data, is that assuming the same level of gross growth rate, the typical active fund will always look worse than the typical passive fund in the same category (similar gross return but higher fees).</w:t>
      </w:r>
    </w:p>
    <w:p w14:paraId="12DCABED" w14:textId="77777777" w:rsidR="005F4B88" w:rsidRPr="00E972F3" w:rsidRDefault="005F4B88" w:rsidP="003E573C">
      <w:pPr>
        <w:rPr>
          <w:rFonts w:cs="Arial"/>
          <w:lang w:val="en-US"/>
        </w:rPr>
      </w:pP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 xml:space="preserve">Are there any other compensatory mechanisms that could address unforeseen methodological faults? If yes, please explain the mechanism; explain how it ensures that scenario information in the KID allows investors to compare </w:t>
      </w:r>
      <w:proofErr w:type="gramStart"/>
      <w:r w:rsidRPr="00763760">
        <w:t>PRIIPs, and</w:t>
      </w:r>
      <w:proofErr w:type="gramEnd"/>
      <w:r w:rsidRPr="00763760">
        <w:t xml:space="preserve">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3965CF89" w14:textId="77777777" w:rsidR="005F4B88" w:rsidRDefault="005F4B88" w:rsidP="003E573C">
      <w:pPr>
        <w:rPr>
          <w:rFonts w:cs="Arial"/>
        </w:rPr>
      </w:pPr>
      <w:permStart w:id="225396737" w:edGrp="everyone"/>
    </w:p>
    <w:p w14:paraId="12CC801E" w14:textId="5BBFB16B" w:rsidR="005F4B88" w:rsidRPr="005F4B88" w:rsidRDefault="00FF1F4B" w:rsidP="003E573C">
      <w:pPr>
        <w:rPr>
          <w:rFonts w:cs="Arial"/>
          <w:lang w:val="en-US"/>
        </w:rPr>
      </w:pPr>
      <w:r>
        <w:rPr>
          <w:rFonts w:cs="Arial"/>
          <w:lang w:val="en-US"/>
        </w:rPr>
        <w:t>Please see our response to question 15.</w:t>
      </w:r>
      <w:r w:rsidR="005F4B88" w:rsidRPr="00E972F3">
        <w:rPr>
          <w:rFonts w:cs="Arial"/>
          <w:lang w:val="en-US"/>
        </w:rPr>
        <w:t xml:space="preserve">CFA Institute </w:t>
      </w:r>
      <w:proofErr w:type="spellStart"/>
      <w:r w:rsidR="005F4B88" w:rsidRPr="00E972F3">
        <w:rPr>
          <w:rFonts w:cs="Arial"/>
          <w:lang w:val="en-US"/>
        </w:rPr>
        <w:t>favours</w:t>
      </w:r>
      <w:proofErr w:type="spellEnd"/>
      <w:r w:rsidR="005F4B88" w:rsidRPr="00E972F3">
        <w:rPr>
          <w:rFonts w:cs="Arial"/>
          <w:lang w:val="en-US"/>
        </w:rPr>
        <w:t xml:space="preserve"> the i</w:t>
      </w:r>
      <w:r w:rsidR="005F4B88">
        <w:rPr>
          <w:rFonts w:cs="Arial"/>
          <w:lang w:val="en-US"/>
        </w:rPr>
        <w:t xml:space="preserve">ntroduction of past performance to compare products against each other and to compare ex-ante performance against ex-post performance, over compensatory mechanisms. </w:t>
      </w:r>
    </w:p>
    <w:p w14:paraId="3EC7D127" w14:textId="77777777" w:rsidR="005F4B88" w:rsidRDefault="005F4B88" w:rsidP="003E573C">
      <w:pPr>
        <w:rPr>
          <w:rFonts w:cs="Arial"/>
        </w:rPr>
      </w:pPr>
    </w:p>
    <w:permEnd w:id="225396737"/>
    <w:p w14:paraId="78DF26C5" w14:textId="4A5BCCAC"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73FB0A21" w14:textId="4C0A998C" w:rsidR="005918A3" w:rsidRDefault="005918A3" w:rsidP="003E573C">
      <w:pPr>
        <w:rPr>
          <w:rFonts w:cs="Arial"/>
        </w:rPr>
      </w:pPr>
      <w:permStart w:id="1687822303" w:edGrp="everyone"/>
    </w:p>
    <w:p w14:paraId="273B2C23" w14:textId="6434FEC6" w:rsidR="004A2EF6" w:rsidRDefault="007431A6" w:rsidP="003E573C">
      <w:pPr>
        <w:rPr>
          <w:rFonts w:cs="Arial"/>
        </w:rPr>
      </w:pPr>
      <w:r>
        <w:rPr>
          <w:rFonts w:cs="Arial"/>
        </w:rPr>
        <w:t xml:space="preserve">The </w:t>
      </w:r>
      <w:r w:rsidR="005E3260">
        <w:rPr>
          <w:rFonts w:cs="Arial"/>
        </w:rPr>
        <w:t>use</w:t>
      </w:r>
      <w:r>
        <w:rPr>
          <w:rFonts w:cs="Arial"/>
        </w:rPr>
        <w:t xml:space="preserve"> of a simplified approach based on maximum growth rates </w:t>
      </w:r>
      <w:r w:rsidR="005E3260">
        <w:rPr>
          <w:rFonts w:cs="Arial"/>
        </w:rPr>
        <w:t xml:space="preserve">per asset classes </w:t>
      </w:r>
      <w:r>
        <w:rPr>
          <w:rFonts w:cs="Arial"/>
        </w:rPr>
        <w:t>has the benefit</w:t>
      </w:r>
      <w:r w:rsidR="005E3260">
        <w:rPr>
          <w:rFonts w:cs="Arial"/>
        </w:rPr>
        <w:t xml:space="preserve"> of radically simplifying the process </w:t>
      </w:r>
      <w:r w:rsidR="00C110D9">
        <w:rPr>
          <w:rFonts w:cs="Arial"/>
        </w:rPr>
        <w:t>for firms.</w:t>
      </w:r>
    </w:p>
    <w:p w14:paraId="601EDB0D" w14:textId="1AC67BDC" w:rsidR="00C110D9" w:rsidRDefault="00C110D9" w:rsidP="003E573C">
      <w:pPr>
        <w:rPr>
          <w:rFonts w:cs="Arial"/>
        </w:rPr>
      </w:pPr>
    </w:p>
    <w:p w14:paraId="4B8A5D3F" w14:textId="1EC40378" w:rsidR="00C110D9" w:rsidRDefault="00C110D9" w:rsidP="003E573C">
      <w:pPr>
        <w:rPr>
          <w:rFonts w:cs="Arial"/>
        </w:rPr>
      </w:pPr>
      <w:r>
        <w:rPr>
          <w:rFonts w:cs="Arial"/>
        </w:rPr>
        <w:t xml:space="preserve">It is not </w:t>
      </w:r>
      <w:r w:rsidR="00DD6FF8">
        <w:rPr>
          <w:rFonts w:cs="Arial"/>
        </w:rPr>
        <w:t xml:space="preserve">obvious how clearer the message to investors becomes, though. </w:t>
      </w:r>
      <w:r w:rsidR="00CD2E02">
        <w:rPr>
          <w:rFonts w:cs="Arial"/>
        </w:rPr>
        <w:t>There is a risk funds will look very similar across the board and it may become difficult to distinguish between products.</w:t>
      </w:r>
    </w:p>
    <w:p w14:paraId="60C5C23F" w14:textId="1DB9D8CF" w:rsidR="00CD2E02" w:rsidRDefault="00CD2E02" w:rsidP="003E573C">
      <w:pPr>
        <w:rPr>
          <w:rFonts w:cs="Arial"/>
        </w:rPr>
      </w:pPr>
    </w:p>
    <w:p w14:paraId="7DBF4294" w14:textId="5768958A" w:rsidR="00CD2E02" w:rsidRDefault="00CD2E02" w:rsidP="003E573C">
      <w:pPr>
        <w:rPr>
          <w:rFonts w:cs="Arial"/>
        </w:rPr>
      </w:pPr>
      <w:r>
        <w:rPr>
          <w:rFonts w:cs="Arial"/>
        </w:rPr>
        <w:t xml:space="preserve">Perhaps, again, the inclusion of past performance combined with such a simplified approach would permit different levels of comparison between ex-ante and ex-post figures, </w:t>
      </w:r>
      <w:r w:rsidR="00520AA6">
        <w:rPr>
          <w:rFonts w:cs="Arial"/>
        </w:rPr>
        <w:t xml:space="preserve">would allow to calculate some form of alpha and compare this alpha among different products. </w:t>
      </w:r>
    </w:p>
    <w:p w14:paraId="623DBFD3" w14:textId="75F4E2AE" w:rsidR="00520AA6" w:rsidRDefault="00520AA6" w:rsidP="003E573C">
      <w:pPr>
        <w:rPr>
          <w:rFonts w:cs="Arial"/>
        </w:rPr>
      </w:pPr>
    </w:p>
    <w:p w14:paraId="3A6E673F" w14:textId="6A7B68CF" w:rsidR="004A2EF6" w:rsidRDefault="00520AA6" w:rsidP="003E573C">
      <w:pPr>
        <w:rPr>
          <w:rFonts w:cs="Arial"/>
        </w:rPr>
      </w:pPr>
      <w:r>
        <w:rPr>
          <w:rFonts w:cs="Arial"/>
        </w:rPr>
        <w:t>In isolation, this simplified method makes the process easier, but does not necessarily result in better information for the investors.</w:t>
      </w:r>
    </w:p>
    <w:p w14:paraId="22CFE94E" w14:textId="392711F7" w:rsidR="004A2EF6" w:rsidRDefault="004A2EF6" w:rsidP="003E573C">
      <w:pPr>
        <w:rPr>
          <w:rFonts w:cs="Arial"/>
        </w:rPr>
      </w:pPr>
    </w:p>
    <w:p w14:paraId="2AE8F5AB" w14:textId="40B0564C" w:rsidR="00BB2026" w:rsidRDefault="00146A82" w:rsidP="003E573C">
      <w:pPr>
        <w:rPr>
          <w:rFonts w:cs="Arial"/>
        </w:rPr>
      </w:pPr>
      <w:r>
        <w:rPr>
          <w:rFonts w:cs="Arial"/>
        </w:rPr>
        <w:t xml:space="preserve">Among identifiable shortcomings </w:t>
      </w:r>
      <w:r w:rsidR="0012209A">
        <w:rPr>
          <w:rFonts w:cs="Arial"/>
        </w:rPr>
        <w:t>to</w:t>
      </w:r>
      <w:r>
        <w:rPr>
          <w:rFonts w:cs="Arial"/>
        </w:rPr>
        <w:t xml:space="preserve"> this method are the following:</w:t>
      </w:r>
    </w:p>
    <w:p w14:paraId="64C31BB4" w14:textId="1FE81B91" w:rsidR="00146A82" w:rsidRDefault="00146A82" w:rsidP="003E573C">
      <w:pPr>
        <w:rPr>
          <w:rFonts w:cs="Arial"/>
        </w:rPr>
      </w:pPr>
    </w:p>
    <w:p w14:paraId="267658BA" w14:textId="357FF63B" w:rsidR="00146A82" w:rsidRDefault="00146A82" w:rsidP="00146A82">
      <w:pPr>
        <w:pStyle w:val="ListParagraph"/>
        <w:numPr>
          <w:ilvl w:val="0"/>
          <w:numId w:val="52"/>
        </w:numPr>
        <w:rPr>
          <w:rFonts w:cs="Arial"/>
        </w:rPr>
      </w:pPr>
      <w:r>
        <w:rPr>
          <w:rFonts w:cs="Arial"/>
        </w:rPr>
        <w:t xml:space="preserve">It could disadvantage active funds as the approach will tend </w:t>
      </w:r>
      <w:r w:rsidR="00F57223">
        <w:rPr>
          <w:rFonts w:cs="Arial"/>
        </w:rPr>
        <w:t xml:space="preserve">to </w:t>
      </w:r>
      <w:r w:rsidR="00C30E13">
        <w:rPr>
          <w:rFonts w:cs="Arial"/>
        </w:rPr>
        <w:t>eliminate outliers</w:t>
      </w:r>
    </w:p>
    <w:p w14:paraId="09160C5B" w14:textId="059C2C64" w:rsidR="00C30E13" w:rsidRPr="00146A82" w:rsidRDefault="00C30E13" w:rsidP="00146A82">
      <w:pPr>
        <w:pStyle w:val="ListParagraph"/>
        <w:numPr>
          <w:ilvl w:val="0"/>
          <w:numId w:val="52"/>
        </w:numPr>
        <w:rPr>
          <w:rFonts w:cs="Arial"/>
        </w:rPr>
      </w:pPr>
      <w:r>
        <w:rPr>
          <w:rFonts w:cs="Arial"/>
        </w:rPr>
        <w:t>Perhaps too simplistic, misses country specific variances</w:t>
      </w:r>
      <w:r w:rsidR="000B0CF4">
        <w:rPr>
          <w:rFonts w:cs="Arial"/>
        </w:rPr>
        <w:t>, differences between large and small caps, impact of leverage.</w:t>
      </w:r>
    </w:p>
    <w:p w14:paraId="7DCBF5F1" w14:textId="77777777" w:rsidR="00BB2026" w:rsidRDefault="00BB2026" w:rsidP="003E573C">
      <w:pPr>
        <w:rPr>
          <w:rFonts w:cs="Arial"/>
        </w:rPr>
      </w:pPr>
    </w:p>
    <w:permEnd w:id="1687822303"/>
    <w:p w14:paraId="30601A6B" w14:textId="7B9B06CF" w:rsidR="003E573C" w:rsidRDefault="003E573C" w:rsidP="003E573C">
      <w:pPr>
        <w:rPr>
          <w:rFonts w:cs="Arial"/>
        </w:rPr>
      </w:pPr>
      <w:r>
        <w:rPr>
          <w:rFonts w:cs="Arial"/>
        </w:rPr>
        <w:lastRenderedPageBreak/>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0542EC7C" w14:textId="77777777" w:rsidR="00652B36" w:rsidRDefault="00652B36" w:rsidP="003E573C">
      <w:pPr>
        <w:rPr>
          <w:rFonts w:cs="Arial"/>
        </w:rPr>
      </w:pPr>
      <w:permStart w:id="669663577" w:edGrp="everyone"/>
    </w:p>
    <w:p w14:paraId="3A457FB6" w14:textId="688C7E30" w:rsidR="00652B36" w:rsidRDefault="00652B36" w:rsidP="003E573C">
      <w:pPr>
        <w:rPr>
          <w:rFonts w:cs="Arial"/>
          <w:lang w:val="en-US"/>
        </w:rPr>
      </w:pPr>
      <w:r w:rsidRPr="00652B36">
        <w:rPr>
          <w:rFonts w:cs="Arial"/>
          <w:lang w:val="en-US"/>
        </w:rPr>
        <w:t>The table of growth r</w:t>
      </w:r>
      <w:r>
        <w:rPr>
          <w:rFonts w:cs="Arial"/>
          <w:lang w:val="en-US"/>
        </w:rPr>
        <w:t xml:space="preserve">ates could be made more </w:t>
      </w:r>
      <w:r w:rsidR="00BC4F1C">
        <w:rPr>
          <w:rFonts w:cs="Arial"/>
          <w:lang w:val="en-US"/>
        </w:rPr>
        <w:t>granular</w:t>
      </w:r>
      <w:r>
        <w:rPr>
          <w:rFonts w:cs="Arial"/>
          <w:lang w:val="en-US"/>
        </w:rPr>
        <w:t xml:space="preserve"> and refined by adding the following dimensions:</w:t>
      </w:r>
    </w:p>
    <w:p w14:paraId="7DD08B95" w14:textId="4487D2F5" w:rsidR="00652B36" w:rsidRDefault="00652B36" w:rsidP="003E573C">
      <w:pPr>
        <w:rPr>
          <w:rFonts w:cs="Arial"/>
          <w:lang w:val="en-US"/>
        </w:rPr>
      </w:pPr>
    </w:p>
    <w:p w14:paraId="29B4D659" w14:textId="7E66CF30" w:rsidR="00652B36" w:rsidRDefault="00DC1D61" w:rsidP="00652B36">
      <w:pPr>
        <w:pStyle w:val="ListParagraph"/>
        <w:numPr>
          <w:ilvl w:val="0"/>
          <w:numId w:val="48"/>
        </w:numPr>
        <w:rPr>
          <w:rFonts w:cs="Arial"/>
          <w:lang w:val="en-US"/>
        </w:rPr>
      </w:pPr>
      <w:r>
        <w:rPr>
          <w:rFonts w:cs="Arial"/>
          <w:lang w:val="en-US"/>
        </w:rPr>
        <w:t>Country</w:t>
      </w:r>
    </w:p>
    <w:p w14:paraId="49276F0E" w14:textId="2E763C74" w:rsidR="00DC1D61" w:rsidRDefault="00DC1D61" w:rsidP="00652B36">
      <w:pPr>
        <w:pStyle w:val="ListParagraph"/>
        <w:numPr>
          <w:ilvl w:val="0"/>
          <w:numId w:val="48"/>
        </w:numPr>
        <w:rPr>
          <w:rFonts w:cs="Arial"/>
          <w:lang w:val="en-US"/>
        </w:rPr>
      </w:pPr>
      <w:r>
        <w:rPr>
          <w:rFonts w:cs="Arial"/>
          <w:lang w:val="en-US"/>
        </w:rPr>
        <w:t>Sub-categories of the same asset class (</w:t>
      </w:r>
      <w:r w:rsidR="00A97DDE">
        <w:rPr>
          <w:rFonts w:cs="Arial"/>
          <w:lang w:val="en-US"/>
        </w:rPr>
        <w:t>credit rating, seniority, industry)</w:t>
      </w:r>
    </w:p>
    <w:p w14:paraId="33DA1E82" w14:textId="10280A13" w:rsidR="00DC1D61" w:rsidRDefault="00DC1D61" w:rsidP="00652B36">
      <w:pPr>
        <w:pStyle w:val="ListParagraph"/>
        <w:numPr>
          <w:ilvl w:val="0"/>
          <w:numId w:val="48"/>
        </w:numPr>
        <w:rPr>
          <w:rFonts w:cs="Arial"/>
          <w:lang w:val="en-US"/>
        </w:rPr>
      </w:pPr>
      <w:r>
        <w:rPr>
          <w:rFonts w:cs="Arial"/>
          <w:lang w:val="en-US"/>
        </w:rPr>
        <w:t>Derivatives</w:t>
      </w:r>
    </w:p>
    <w:p w14:paraId="6B173DBC" w14:textId="754360DB" w:rsidR="00DC1D61" w:rsidRDefault="00DC1D61" w:rsidP="00652B36">
      <w:pPr>
        <w:pStyle w:val="ListParagraph"/>
        <w:numPr>
          <w:ilvl w:val="0"/>
          <w:numId w:val="48"/>
        </w:numPr>
        <w:rPr>
          <w:rFonts w:cs="Arial"/>
          <w:lang w:val="en-US"/>
        </w:rPr>
      </w:pPr>
      <w:r>
        <w:rPr>
          <w:rFonts w:cs="Arial"/>
          <w:lang w:val="en-US"/>
        </w:rPr>
        <w:t>Long vs short</w:t>
      </w:r>
    </w:p>
    <w:p w14:paraId="34E7B595" w14:textId="77777777" w:rsidR="00572D59" w:rsidRPr="00652B36" w:rsidRDefault="00572D59" w:rsidP="00572D59">
      <w:pPr>
        <w:pStyle w:val="ListParagraph"/>
        <w:rPr>
          <w:rFonts w:cs="Arial"/>
          <w:lang w:val="en-US"/>
        </w:rPr>
      </w:pPr>
    </w:p>
    <w:p w14:paraId="11D0F343" w14:textId="77777777" w:rsidR="00754D93" w:rsidRDefault="00F76646" w:rsidP="003E573C">
      <w:pPr>
        <w:rPr>
          <w:rFonts w:cs="Arial"/>
          <w:lang w:val="en-US"/>
        </w:rPr>
      </w:pPr>
      <w:r>
        <w:rPr>
          <w:rFonts w:cs="Arial"/>
          <w:lang w:val="en-US"/>
        </w:rPr>
        <w:t>C</w:t>
      </w:r>
      <w:r w:rsidRPr="00F76646">
        <w:rPr>
          <w:rFonts w:cs="Arial"/>
          <w:lang w:val="en-US"/>
        </w:rPr>
        <w:t xml:space="preserve">onsumers could cope with three scenarios, </w:t>
      </w:r>
      <w:r>
        <w:rPr>
          <w:rFonts w:cs="Arial"/>
          <w:lang w:val="en-US"/>
        </w:rPr>
        <w:t>e.g.</w:t>
      </w:r>
      <w:r w:rsidRPr="00F76646">
        <w:rPr>
          <w:rFonts w:cs="Arial"/>
          <w:lang w:val="en-US"/>
        </w:rPr>
        <w:t xml:space="preserve"> a 'Best', 'Average', 'Worst', t</w:t>
      </w:r>
      <w:r>
        <w:rPr>
          <w:rFonts w:cs="Arial"/>
          <w:lang w:val="en-US"/>
        </w:rPr>
        <w:t>o</w:t>
      </w:r>
      <w:r w:rsidRPr="00F76646">
        <w:rPr>
          <w:rFonts w:cs="Arial"/>
          <w:lang w:val="en-US"/>
        </w:rPr>
        <w:t xml:space="preserve"> provide a range around an average point based on long-term historical returns, but it should be clear that things might turn out better or worse than the 'Best' / 'Worst' scenarios</w:t>
      </w:r>
      <w:r>
        <w:rPr>
          <w:rFonts w:cs="Arial"/>
          <w:lang w:val="en-US"/>
        </w:rPr>
        <w:t xml:space="preserve">. </w:t>
      </w:r>
    </w:p>
    <w:p w14:paraId="5E7728AB" w14:textId="77777777" w:rsidR="00754D93" w:rsidRDefault="00754D93" w:rsidP="003E573C">
      <w:pPr>
        <w:rPr>
          <w:rFonts w:cs="Arial"/>
          <w:lang w:val="en-US"/>
        </w:rPr>
      </w:pPr>
    </w:p>
    <w:p w14:paraId="716C556C" w14:textId="3F2B6EF6" w:rsidR="00F76646" w:rsidRDefault="00F76646" w:rsidP="003E573C">
      <w:pPr>
        <w:rPr>
          <w:rFonts w:cs="Arial"/>
          <w:lang w:val="en-US"/>
        </w:rPr>
      </w:pPr>
      <w:r w:rsidRPr="00F76646">
        <w:rPr>
          <w:rFonts w:cs="Arial"/>
          <w:lang w:val="en-US"/>
        </w:rPr>
        <w:t xml:space="preserve">We would prefer </w:t>
      </w:r>
      <w:r w:rsidR="00BC2D57">
        <w:rPr>
          <w:rFonts w:cs="Arial"/>
          <w:lang w:val="en-US"/>
        </w:rPr>
        <w:t xml:space="preserve">if </w:t>
      </w:r>
      <w:r w:rsidRPr="00F76646">
        <w:rPr>
          <w:rFonts w:cs="Arial"/>
          <w:lang w:val="en-US"/>
        </w:rPr>
        <w:t>different growth rates can be used as illustrative examples for the underlying investment in a structured product. For example, +20%, 0%, -20%. This highlights the situation</w:t>
      </w:r>
      <w:r w:rsidR="00BC2D57">
        <w:rPr>
          <w:rFonts w:cs="Arial"/>
          <w:lang w:val="en-US"/>
        </w:rPr>
        <w:t xml:space="preserve"> where</w:t>
      </w:r>
      <w:r w:rsidRPr="00F76646">
        <w:rPr>
          <w:rFonts w:cs="Arial"/>
          <w:lang w:val="en-US"/>
        </w:rPr>
        <w:t xml:space="preserve"> the structured product, at end of recommended holding period, will have capped returns, when the capital protection holds, and when investors will start losing money. This</w:t>
      </w:r>
      <w:r w:rsidR="00BC2D57">
        <w:rPr>
          <w:rFonts w:cs="Arial"/>
          <w:lang w:val="en-US"/>
        </w:rPr>
        <w:t>, as mentioned before,</w:t>
      </w:r>
      <w:r w:rsidRPr="00F76646">
        <w:rPr>
          <w:rFonts w:cs="Arial"/>
          <w:lang w:val="en-US"/>
        </w:rPr>
        <w:t xml:space="preserve"> needs to be followed by </w:t>
      </w:r>
      <w:proofErr w:type="spellStart"/>
      <w:r w:rsidRPr="00F76646">
        <w:rPr>
          <w:rFonts w:cs="Arial"/>
          <w:lang w:val="en-US"/>
        </w:rPr>
        <w:t>standardised</w:t>
      </w:r>
      <w:proofErr w:type="spellEnd"/>
      <w:r w:rsidRPr="00F76646">
        <w:rPr>
          <w:rFonts w:cs="Arial"/>
          <w:lang w:val="en-US"/>
        </w:rPr>
        <w:t xml:space="preserve"> disclosure text, where consumers will be told how likely these returns will occur, and if</w:t>
      </w:r>
      <w:r w:rsidR="009D5390">
        <w:rPr>
          <w:rFonts w:cs="Arial"/>
          <w:lang w:val="en-US"/>
        </w:rPr>
        <w:t xml:space="preserve"> </w:t>
      </w:r>
      <w:r w:rsidRPr="00F76646">
        <w:rPr>
          <w:rFonts w:cs="Arial"/>
          <w:lang w:val="en-US"/>
        </w:rPr>
        <w:t>needed seek financial advice.</w:t>
      </w:r>
    </w:p>
    <w:p w14:paraId="6B1FA1FA" w14:textId="77777777" w:rsidR="00572D59" w:rsidRDefault="00572D59" w:rsidP="003E573C">
      <w:pPr>
        <w:rPr>
          <w:rFonts w:cs="Arial"/>
          <w:lang w:val="en-US"/>
        </w:rPr>
      </w:pPr>
    </w:p>
    <w:permEnd w:id="669663577"/>
    <w:p w14:paraId="4B36BA28" w14:textId="4D91BD7F"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304ED8A1" w14:textId="0D1DD588" w:rsidR="007E1CDF" w:rsidRDefault="00985B5C" w:rsidP="003E573C">
      <w:pPr>
        <w:rPr>
          <w:rFonts w:cs="Arial"/>
        </w:rPr>
      </w:pPr>
      <w:permStart w:id="806708611" w:edGrp="everyone"/>
      <w:r>
        <w:rPr>
          <w:rFonts w:cs="Arial"/>
        </w:rPr>
        <w:t>Yes.</w:t>
      </w:r>
    </w:p>
    <w:p w14:paraId="4C957728" w14:textId="12886C77" w:rsidR="00985B5C" w:rsidRDefault="00985B5C" w:rsidP="003E573C">
      <w:pPr>
        <w:rPr>
          <w:rFonts w:cs="Arial"/>
        </w:rPr>
      </w:pPr>
    </w:p>
    <w:p w14:paraId="16B5C78E" w14:textId="6B14AE73" w:rsidR="00985B5C" w:rsidRDefault="00985B5C" w:rsidP="003E573C">
      <w:pPr>
        <w:rPr>
          <w:rFonts w:cs="Arial"/>
          <w:lang w:val="en-US"/>
        </w:rPr>
      </w:pPr>
      <w:r w:rsidRPr="00985B5C">
        <w:rPr>
          <w:rFonts w:cs="Arial"/>
          <w:lang w:val="en-US"/>
        </w:rPr>
        <w:t xml:space="preserve">But this answer </w:t>
      </w:r>
      <w:r w:rsidR="0026163A">
        <w:rPr>
          <w:rFonts w:cs="Arial"/>
          <w:lang w:val="en-US"/>
        </w:rPr>
        <w:t xml:space="preserve">must discriminate </w:t>
      </w:r>
      <w:r w:rsidR="00DB2BB7">
        <w:rPr>
          <w:rFonts w:cs="Arial"/>
          <w:lang w:val="en-US"/>
        </w:rPr>
        <w:t>according to</w:t>
      </w:r>
      <w:r w:rsidR="0026163A">
        <w:rPr>
          <w:rFonts w:cs="Arial"/>
          <w:lang w:val="en-US"/>
        </w:rPr>
        <w:t xml:space="preserve"> what</w:t>
      </w:r>
      <w:r w:rsidR="00DB2BB7">
        <w:rPr>
          <w:rFonts w:cs="Arial"/>
          <w:lang w:val="en-US"/>
        </w:rPr>
        <w:t xml:space="preserve"> is meant </w:t>
      </w:r>
      <w:r w:rsidR="0026163A">
        <w:rPr>
          <w:rFonts w:cs="Arial"/>
          <w:lang w:val="en-US"/>
        </w:rPr>
        <w:t>by type of product.</w:t>
      </w:r>
    </w:p>
    <w:p w14:paraId="72E9EED4" w14:textId="137C3288" w:rsidR="0026163A" w:rsidRDefault="0026163A" w:rsidP="003E573C">
      <w:pPr>
        <w:rPr>
          <w:rFonts w:cs="Arial"/>
          <w:lang w:val="en-US"/>
        </w:rPr>
      </w:pPr>
    </w:p>
    <w:p w14:paraId="1EAB3418" w14:textId="4665E911" w:rsidR="0026163A" w:rsidRDefault="0026163A" w:rsidP="003E573C">
      <w:pPr>
        <w:rPr>
          <w:rFonts w:cs="Arial"/>
          <w:lang w:val="en-US"/>
        </w:rPr>
      </w:pPr>
      <w:r>
        <w:rPr>
          <w:rFonts w:cs="Arial"/>
          <w:lang w:val="en-US"/>
        </w:rPr>
        <w:t xml:space="preserve">A </w:t>
      </w:r>
      <w:r w:rsidR="00DF316D">
        <w:rPr>
          <w:rFonts w:cs="Arial"/>
          <w:lang w:val="en-US"/>
        </w:rPr>
        <w:t xml:space="preserve">singular </w:t>
      </w:r>
      <w:r>
        <w:rPr>
          <w:rFonts w:cs="Arial"/>
          <w:lang w:val="en-US"/>
        </w:rPr>
        <w:t>prescribed probabilistic metho</w:t>
      </w:r>
      <w:r w:rsidR="00DF316D">
        <w:rPr>
          <w:rFonts w:cs="Arial"/>
          <w:lang w:val="en-US"/>
        </w:rPr>
        <w:t xml:space="preserve">d </w:t>
      </w:r>
      <w:r>
        <w:rPr>
          <w:rFonts w:cs="Arial"/>
          <w:lang w:val="en-US"/>
        </w:rPr>
        <w:t xml:space="preserve">works well </w:t>
      </w:r>
      <w:r w:rsidR="003D481F">
        <w:rPr>
          <w:rFonts w:cs="Arial"/>
          <w:lang w:val="en-US"/>
        </w:rPr>
        <w:t xml:space="preserve">in reasonably homogeneous universes which generally operate in normal market conditions, </w:t>
      </w:r>
      <w:r w:rsidR="00DF316D">
        <w:rPr>
          <w:rFonts w:cs="Arial"/>
          <w:lang w:val="en-US"/>
        </w:rPr>
        <w:t>such as long-only equities</w:t>
      </w:r>
      <w:r w:rsidR="00B620A4">
        <w:rPr>
          <w:rFonts w:cs="Arial"/>
          <w:lang w:val="en-US"/>
        </w:rPr>
        <w:t xml:space="preserve"> or fixed income with </w:t>
      </w:r>
      <w:proofErr w:type="gramStart"/>
      <w:r w:rsidR="00B620A4">
        <w:rPr>
          <w:rFonts w:cs="Arial"/>
          <w:lang w:val="en-US"/>
        </w:rPr>
        <w:t>sufficient</w:t>
      </w:r>
      <w:proofErr w:type="gramEnd"/>
      <w:r w:rsidR="00B620A4">
        <w:rPr>
          <w:rFonts w:cs="Arial"/>
          <w:lang w:val="en-US"/>
        </w:rPr>
        <w:t xml:space="preserve"> liquidity and information</w:t>
      </w:r>
      <w:r w:rsidR="00CF7F24">
        <w:rPr>
          <w:rFonts w:cs="Arial"/>
          <w:lang w:val="en-US"/>
        </w:rPr>
        <w:t xml:space="preserve"> constantly available</w:t>
      </w:r>
      <w:r w:rsidR="00B620A4">
        <w:rPr>
          <w:rFonts w:cs="Arial"/>
          <w:lang w:val="en-US"/>
        </w:rPr>
        <w:t xml:space="preserve">. </w:t>
      </w:r>
    </w:p>
    <w:p w14:paraId="3B27F928" w14:textId="078E4CA0" w:rsidR="00B620A4" w:rsidRDefault="00B620A4" w:rsidP="003E573C">
      <w:pPr>
        <w:rPr>
          <w:rFonts w:cs="Arial"/>
          <w:lang w:val="en-US"/>
        </w:rPr>
      </w:pPr>
    </w:p>
    <w:p w14:paraId="791E4879" w14:textId="0CAF22E3" w:rsidR="00B620A4" w:rsidRPr="00985B5C" w:rsidRDefault="00B620A4" w:rsidP="003E573C">
      <w:pPr>
        <w:rPr>
          <w:rFonts w:cs="Arial"/>
          <w:lang w:val="en-US"/>
        </w:rPr>
      </w:pPr>
      <w:r>
        <w:rPr>
          <w:rFonts w:cs="Arial"/>
          <w:lang w:val="en-US"/>
        </w:rPr>
        <w:t>Such an approach</w:t>
      </w:r>
      <w:r w:rsidR="00242943">
        <w:rPr>
          <w:rFonts w:cs="Arial"/>
          <w:lang w:val="en-US"/>
        </w:rPr>
        <w:t xml:space="preserve"> in turn</w:t>
      </w:r>
      <w:r>
        <w:rPr>
          <w:rFonts w:cs="Arial"/>
          <w:lang w:val="en-US"/>
        </w:rPr>
        <w:t xml:space="preserve"> will tend to yield weaker results </w:t>
      </w:r>
      <w:r w:rsidR="00944F7D">
        <w:rPr>
          <w:rFonts w:cs="Arial"/>
          <w:lang w:val="en-US"/>
        </w:rPr>
        <w:t>the more complex, less liquid the asset class or strategy is</w:t>
      </w:r>
      <w:r w:rsidR="00BF5C7A">
        <w:rPr>
          <w:rFonts w:cs="Arial"/>
          <w:lang w:val="en-US"/>
        </w:rPr>
        <w:t xml:space="preserve">, where information is private or scarce, where </w:t>
      </w:r>
      <w:r w:rsidR="00AB1061">
        <w:rPr>
          <w:rFonts w:cs="Arial"/>
          <w:lang w:val="en-US"/>
        </w:rPr>
        <w:t>transaction flows</w:t>
      </w:r>
      <w:r w:rsidR="00BF5C7A">
        <w:rPr>
          <w:rFonts w:cs="Arial"/>
          <w:lang w:val="en-US"/>
        </w:rPr>
        <w:t xml:space="preserve"> </w:t>
      </w:r>
      <w:r w:rsidR="00AB1061">
        <w:rPr>
          <w:rFonts w:cs="Arial"/>
          <w:lang w:val="en-US"/>
        </w:rPr>
        <w:t>are</w:t>
      </w:r>
      <w:r w:rsidR="00BF5C7A">
        <w:rPr>
          <w:rFonts w:cs="Arial"/>
          <w:lang w:val="en-US"/>
        </w:rPr>
        <w:t xml:space="preserve"> patchy and where the investment manager skills </w:t>
      </w:r>
      <w:r w:rsidR="00B714F1">
        <w:rPr>
          <w:rFonts w:cs="Arial"/>
          <w:lang w:val="en-US"/>
        </w:rPr>
        <w:t xml:space="preserve">(selection, risk management, hedging) </w:t>
      </w:r>
      <w:r w:rsidR="00BF5C7A">
        <w:rPr>
          <w:rFonts w:cs="Arial"/>
          <w:lang w:val="en-US"/>
        </w:rPr>
        <w:t>matter</w:t>
      </w:r>
      <w:r w:rsidR="00AB1061">
        <w:rPr>
          <w:rFonts w:cs="Arial"/>
          <w:lang w:val="en-US"/>
        </w:rPr>
        <w:t xml:space="preserve"> more directly</w:t>
      </w:r>
      <w:r w:rsidR="00BF5C7A">
        <w:rPr>
          <w:rFonts w:cs="Arial"/>
          <w:lang w:val="en-US"/>
        </w:rPr>
        <w:t xml:space="preserve">. </w:t>
      </w:r>
    </w:p>
    <w:p w14:paraId="3EBC20EE" w14:textId="77777777" w:rsidR="007E1CDF" w:rsidRPr="00985B5C" w:rsidRDefault="007E1CDF" w:rsidP="003E573C">
      <w:pPr>
        <w:rPr>
          <w:rFonts w:cs="Arial"/>
          <w:lang w:val="en-US"/>
        </w:rPr>
      </w:pPr>
    </w:p>
    <w:p w14:paraId="35FE6020" w14:textId="3BD0F3DA" w:rsidR="007E1CDF" w:rsidRDefault="00A32EDC" w:rsidP="003E573C">
      <w:pPr>
        <w:rPr>
          <w:rFonts w:cs="Arial"/>
          <w:lang w:val="en-US"/>
        </w:rPr>
      </w:pPr>
      <w:r>
        <w:rPr>
          <w:rFonts w:cs="Arial"/>
          <w:lang w:val="en-US"/>
        </w:rPr>
        <w:t>After having practiced the current approach in the PRIIPs KID</w:t>
      </w:r>
      <w:r w:rsidR="00E91098">
        <w:rPr>
          <w:rFonts w:cs="Arial"/>
          <w:lang w:val="en-US"/>
        </w:rPr>
        <w:t xml:space="preserve"> with different types of investment funds</w:t>
      </w:r>
      <w:r>
        <w:rPr>
          <w:rFonts w:cs="Arial"/>
          <w:lang w:val="en-US"/>
        </w:rPr>
        <w:t xml:space="preserve">, it appears that the three scenarios naturally converge over time via an asymptotic </w:t>
      </w:r>
      <w:r w:rsidR="00E91098">
        <w:rPr>
          <w:rFonts w:cs="Arial"/>
          <w:lang w:val="en-US"/>
        </w:rPr>
        <w:t>process</w:t>
      </w:r>
      <w:r w:rsidR="00172CF8">
        <w:rPr>
          <w:rFonts w:cs="Arial"/>
          <w:lang w:val="en-US"/>
        </w:rPr>
        <w:t>. This result tends to neutralize the idiosyncratic factors which are most prevalent in complex products or investment funds.</w:t>
      </w:r>
    </w:p>
    <w:p w14:paraId="5A27B554" w14:textId="40644E21" w:rsidR="00172CF8" w:rsidRDefault="00172CF8" w:rsidP="003E573C">
      <w:pPr>
        <w:rPr>
          <w:rFonts w:cs="Arial"/>
          <w:lang w:val="en-US"/>
        </w:rPr>
      </w:pPr>
    </w:p>
    <w:p w14:paraId="63161011" w14:textId="03A4290C" w:rsidR="00172CF8" w:rsidRDefault="00172CF8" w:rsidP="003E573C">
      <w:pPr>
        <w:rPr>
          <w:rFonts w:cs="Arial"/>
          <w:lang w:val="en-US"/>
        </w:rPr>
      </w:pPr>
      <w:r>
        <w:rPr>
          <w:rFonts w:cs="Arial"/>
          <w:lang w:val="en-US"/>
        </w:rPr>
        <w:t xml:space="preserve">This is again why we still need to integrate into the mix past performance to get a sense of </w:t>
      </w:r>
      <w:r w:rsidR="009E6A2E">
        <w:rPr>
          <w:rFonts w:cs="Arial"/>
          <w:lang w:val="en-US"/>
        </w:rPr>
        <w:t>how well</w:t>
      </w:r>
      <w:r>
        <w:rPr>
          <w:rFonts w:cs="Arial"/>
          <w:lang w:val="en-US"/>
        </w:rPr>
        <w:t xml:space="preserve"> models</w:t>
      </w:r>
      <w:r w:rsidR="009E6A2E">
        <w:rPr>
          <w:rFonts w:cs="Arial"/>
          <w:lang w:val="en-US"/>
        </w:rPr>
        <w:t xml:space="preserve"> represent actual performance over time. </w:t>
      </w:r>
    </w:p>
    <w:p w14:paraId="4BC7571F" w14:textId="39662F15" w:rsidR="009206C2" w:rsidRDefault="009206C2" w:rsidP="003E573C">
      <w:pPr>
        <w:rPr>
          <w:rFonts w:cs="Arial"/>
          <w:lang w:val="en-US"/>
        </w:rPr>
      </w:pPr>
    </w:p>
    <w:p w14:paraId="202904E8" w14:textId="3ED7AD39" w:rsidR="009206C2" w:rsidRDefault="009206C2" w:rsidP="003E573C">
      <w:pPr>
        <w:rPr>
          <w:rFonts w:cs="Arial"/>
          <w:lang w:val="en-US"/>
        </w:rPr>
      </w:pPr>
      <w:r>
        <w:rPr>
          <w:rFonts w:cs="Arial"/>
          <w:lang w:val="en-US"/>
        </w:rPr>
        <w:t xml:space="preserve">Perhaps there could be an argument in </w:t>
      </w:r>
      <w:proofErr w:type="spellStart"/>
      <w:r>
        <w:rPr>
          <w:rFonts w:cs="Arial"/>
          <w:lang w:val="en-US"/>
        </w:rPr>
        <w:t>favour</w:t>
      </w:r>
      <w:proofErr w:type="spellEnd"/>
      <w:r>
        <w:rPr>
          <w:rFonts w:cs="Arial"/>
          <w:lang w:val="en-US"/>
        </w:rPr>
        <w:t xml:space="preserve"> of </w:t>
      </w:r>
      <w:r w:rsidR="00490E1C">
        <w:rPr>
          <w:rFonts w:cs="Arial"/>
          <w:lang w:val="en-US"/>
        </w:rPr>
        <w:t>differentiating</w:t>
      </w:r>
      <w:r w:rsidR="007348B1">
        <w:rPr>
          <w:rFonts w:cs="Arial"/>
          <w:lang w:val="en-US"/>
        </w:rPr>
        <w:t xml:space="preserve"> the scenarios calculations based on the strategy or asset class?</w:t>
      </w:r>
    </w:p>
    <w:p w14:paraId="731D32D4" w14:textId="4233E806" w:rsidR="00490E1C" w:rsidRDefault="00490E1C" w:rsidP="003E573C">
      <w:pPr>
        <w:rPr>
          <w:rFonts w:cs="Arial"/>
          <w:lang w:val="en-US"/>
        </w:rPr>
      </w:pPr>
    </w:p>
    <w:p w14:paraId="5C591581" w14:textId="3E6DD69C" w:rsidR="00490E1C" w:rsidRDefault="00B04C8A" w:rsidP="003E573C">
      <w:pPr>
        <w:rPr>
          <w:rFonts w:cs="Arial"/>
          <w:lang w:val="en-US"/>
        </w:rPr>
      </w:pPr>
      <w:r>
        <w:rPr>
          <w:rFonts w:cs="Arial"/>
          <w:lang w:val="en-US"/>
        </w:rPr>
        <w:t>More specifically, s</w:t>
      </w:r>
      <w:r w:rsidR="00490E1C" w:rsidRPr="00490E1C">
        <w:rPr>
          <w:rFonts w:cs="Arial"/>
          <w:lang w:val="en-US"/>
        </w:rPr>
        <w:t>tructured products would benefit from using a probabilistic methodology, as the outcome of the investment does not have a linear relationship with the performance of the underlying investment. The drawback is that consumers will unlikely be able to interpret the results easily to make a sensible decision. We prefer snapshots of how performance of underlying investment (or a range of performance) will affect the outcome, rather than over the whole probability distribution. It is then up to the consumers to see the likelihood of the illustrated market performance (or range of market performances) and make a responsible decision.</w:t>
      </w:r>
    </w:p>
    <w:p w14:paraId="15EF9099" w14:textId="77777777" w:rsidR="00490E1C" w:rsidRPr="00985B5C" w:rsidRDefault="00490E1C" w:rsidP="003E573C">
      <w:pPr>
        <w:rPr>
          <w:rFonts w:cs="Arial"/>
          <w:lang w:val="en-US"/>
        </w:rPr>
      </w:pPr>
    </w:p>
    <w:permEnd w:id="806708611"/>
    <w:p w14:paraId="7AC72B75" w14:textId="7ABA8935"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06202F0E" w14:textId="77777777" w:rsidR="00F8282F" w:rsidRDefault="00F8282F" w:rsidP="003E573C">
      <w:pPr>
        <w:rPr>
          <w:rFonts w:cs="Arial"/>
        </w:rPr>
      </w:pPr>
      <w:permStart w:id="2245015" w:edGrp="everyone"/>
    </w:p>
    <w:p w14:paraId="74338EE2" w14:textId="03D0C132" w:rsidR="00F8282F" w:rsidRDefault="00C8742F" w:rsidP="003E573C">
      <w:pPr>
        <w:rPr>
          <w:rFonts w:cs="Arial"/>
        </w:rPr>
      </w:pPr>
      <w:r>
        <w:rPr>
          <w:rFonts w:cs="Arial"/>
        </w:rPr>
        <w:t>We believe that the dividend yield model has many issues, even though it has dealt with the bias from past returns that fo</w:t>
      </w:r>
      <w:r w:rsidR="00AF6C2B">
        <w:rPr>
          <w:rFonts w:cs="Arial"/>
        </w:rPr>
        <w:t>rm</w:t>
      </w:r>
      <w:r>
        <w:rPr>
          <w:rFonts w:cs="Arial"/>
        </w:rPr>
        <w:t>s into the model currently used</w:t>
      </w:r>
      <w:r w:rsidR="001722BD">
        <w:rPr>
          <w:rFonts w:cs="Arial"/>
        </w:rPr>
        <w:t xml:space="preserve">. </w:t>
      </w:r>
      <w:r w:rsidR="00B55C9C">
        <w:rPr>
          <w:rFonts w:cs="Arial"/>
        </w:rPr>
        <w:t xml:space="preserve">One issue being </w:t>
      </w:r>
      <w:r w:rsidR="00C374F2">
        <w:rPr>
          <w:rFonts w:cs="Arial"/>
        </w:rPr>
        <w:t xml:space="preserve">that these alternative approaches are inherently equity biased and could work poorly for non-equity asset classes. </w:t>
      </w:r>
      <w:r w:rsidR="001722BD">
        <w:rPr>
          <w:rFonts w:cs="Arial"/>
        </w:rPr>
        <w:t xml:space="preserve">Hence, we would advocate for the use of other approaches </w:t>
      </w:r>
      <w:r w:rsidR="00EB6C9C">
        <w:rPr>
          <w:rFonts w:cs="Arial"/>
        </w:rPr>
        <w:t>which could better capture the behaviour and characteristics of other asset classes</w:t>
      </w:r>
      <w:r w:rsidR="001722BD">
        <w:rPr>
          <w:rFonts w:cs="Arial"/>
        </w:rPr>
        <w:t xml:space="preserve">. For PRIIPs that invest in credit, interest rate or other assets, more sophisticated models may be needed as the suggested option does not fully capture mean reversion. </w:t>
      </w:r>
    </w:p>
    <w:p w14:paraId="2F46BBF1" w14:textId="77777777" w:rsidR="00F8282F" w:rsidRDefault="00F8282F" w:rsidP="003E573C">
      <w:pPr>
        <w:rPr>
          <w:rFonts w:cs="Arial"/>
        </w:rPr>
      </w:pPr>
    </w:p>
    <w:permEnd w:id="2245015"/>
    <w:p w14:paraId="3E1B08DB" w14:textId="78FD7A38"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453055AB" w14:textId="77777777" w:rsidR="009E6EB8" w:rsidRDefault="009E6EB8" w:rsidP="003E573C">
      <w:pPr>
        <w:rPr>
          <w:rFonts w:cs="Arial"/>
        </w:rPr>
      </w:pPr>
      <w:permStart w:id="1182486711" w:edGrp="everyone"/>
    </w:p>
    <w:p w14:paraId="0374AF04" w14:textId="77777777" w:rsidR="00931690" w:rsidRPr="00B57EA1" w:rsidRDefault="00931690" w:rsidP="00931690">
      <w:pPr>
        <w:rPr>
          <w:rFonts w:cs="Arial"/>
        </w:rPr>
      </w:pPr>
      <w:r>
        <w:rPr>
          <w:rFonts w:cs="Arial"/>
        </w:rPr>
        <w:t>A possible approach that can be used for d</w:t>
      </w:r>
      <w:r w:rsidRPr="00B57EA1">
        <w:rPr>
          <w:rFonts w:cs="Arial"/>
        </w:rPr>
        <w:t>ifferent types of performance disclosure for different types of PRIIPs</w:t>
      </w:r>
      <w:r>
        <w:rPr>
          <w:rFonts w:cs="Arial"/>
        </w:rPr>
        <w:t xml:space="preserve"> is to have</w:t>
      </w:r>
      <w:r w:rsidRPr="00B57EA1">
        <w:rPr>
          <w:rFonts w:cs="Arial"/>
        </w:rPr>
        <w:t xml:space="preserve"> “appropriate scenarios”.</w:t>
      </w:r>
      <w:r>
        <w:rPr>
          <w:rFonts w:cs="Arial"/>
        </w:rPr>
        <w:t xml:space="preserve"> These are already used by UCITS and is included in level 1 legislation. The approach consists in moving to </w:t>
      </w:r>
      <w:r w:rsidRPr="00B57EA1">
        <w:rPr>
          <w:rFonts w:cs="Arial"/>
        </w:rPr>
        <w:t>some version of past performance for linear PRIIPs and scenarios for non-linear PRIIPs.</w:t>
      </w:r>
    </w:p>
    <w:p w14:paraId="2E6AEB3F" w14:textId="77777777" w:rsidR="00931690" w:rsidRPr="001C5B87" w:rsidRDefault="00931690" w:rsidP="00931690">
      <w:pPr>
        <w:pStyle w:val="ListParagraph"/>
        <w:rPr>
          <w:rFonts w:cs="Arial"/>
        </w:rPr>
      </w:pPr>
    </w:p>
    <w:p w14:paraId="56CF8B9A" w14:textId="77777777" w:rsidR="00931690" w:rsidRDefault="00931690" w:rsidP="00931690">
      <w:pPr>
        <w:rPr>
          <w:rFonts w:cs="Arial"/>
        </w:rPr>
      </w:pPr>
      <w:r>
        <w:rPr>
          <w:rFonts w:cs="Arial"/>
        </w:rPr>
        <w:t xml:space="preserve">Alternatively, </w:t>
      </w:r>
      <w:r w:rsidRPr="00B57EA1">
        <w:rPr>
          <w:rFonts w:cs="Arial"/>
        </w:rPr>
        <w:t>possible outcomes based on historical observations</w:t>
      </w:r>
      <w:r>
        <w:rPr>
          <w:rFonts w:cs="Arial"/>
        </w:rPr>
        <w:t xml:space="preserve"> could be taken into consideration</w:t>
      </w:r>
      <w:r w:rsidRPr="00B57EA1">
        <w:rPr>
          <w:rFonts w:cs="Arial"/>
        </w:rPr>
        <w:t>.</w:t>
      </w:r>
      <w:r>
        <w:rPr>
          <w:rFonts w:cs="Arial"/>
        </w:rPr>
        <w:t xml:space="preserve"> However, structured PRIIPs </w:t>
      </w:r>
      <w:r w:rsidRPr="00B57EA1">
        <w:rPr>
          <w:rFonts w:cs="Arial"/>
        </w:rPr>
        <w:t>would be against using past returns for a “range of outcomes</w:t>
      </w:r>
      <w:proofErr w:type="gramStart"/>
      <w:r w:rsidRPr="00B57EA1">
        <w:rPr>
          <w:rFonts w:cs="Arial"/>
        </w:rPr>
        <w:t>”</w:t>
      </w:r>
      <w:r>
        <w:rPr>
          <w:rFonts w:cs="Arial"/>
        </w:rPr>
        <w:t>, and</w:t>
      </w:r>
      <w:proofErr w:type="gramEnd"/>
      <w:r w:rsidRPr="00B57EA1">
        <w:rPr>
          <w:rFonts w:cs="Arial"/>
        </w:rPr>
        <w:t xml:space="preserve"> could </w:t>
      </w:r>
      <w:r>
        <w:rPr>
          <w:rFonts w:cs="Arial"/>
        </w:rPr>
        <w:t xml:space="preserve">therefore </w:t>
      </w:r>
      <w:r w:rsidRPr="00B57EA1">
        <w:rPr>
          <w:rFonts w:cs="Arial"/>
        </w:rPr>
        <w:t xml:space="preserve">use their own scenarios. This would </w:t>
      </w:r>
      <w:r>
        <w:rPr>
          <w:rFonts w:cs="Arial"/>
        </w:rPr>
        <w:t>lead to</w:t>
      </w:r>
      <w:r w:rsidRPr="00B57EA1">
        <w:rPr>
          <w:rFonts w:cs="Arial"/>
        </w:rPr>
        <w:t xml:space="preserve"> </w:t>
      </w:r>
      <w:r>
        <w:rPr>
          <w:rFonts w:cs="Arial"/>
        </w:rPr>
        <w:t>no</w:t>
      </w:r>
      <w:r w:rsidRPr="00B57EA1">
        <w:rPr>
          <w:rFonts w:cs="Arial"/>
        </w:rPr>
        <w:t xml:space="preserve"> comparable disclosure</w:t>
      </w:r>
      <w:r>
        <w:rPr>
          <w:rFonts w:cs="Arial"/>
        </w:rPr>
        <w:t>.</w:t>
      </w:r>
    </w:p>
    <w:p w14:paraId="732B8A3A" w14:textId="77777777" w:rsidR="00931690" w:rsidRPr="00B57EA1" w:rsidRDefault="00931690" w:rsidP="00931690">
      <w:pPr>
        <w:rPr>
          <w:rFonts w:cs="Arial"/>
        </w:rPr>
      </w:pPr>
    </w:p>
    <w:p w14:paraId="6862D9DD" w14:textId="77777777" w:rsidR="00931690" w:rsidRPr="006768D6" w:rsidRDefault="00931690" w:rsidP="00931690">
      <w:pPr>
        <w:rPr>
          <w:rFonts w:cs="Arial"/>
        </w:rPr>
      </w:pPr>
      <w:r>
        <w:rPr>
          <w:rFonts w:cs="Arial"/>
        </w:rPr>
        <w:t>Another method is just to use</w:t>
      </w:r>
      <w:r w:rsidRPr="006768D6">
        <w:rPr>
          <w:rFonts w:cs="Arial"/>
        </w:rPr>
        <w:t xml:space="preserve"> the standard growth rate concept, with figures provided by the ESAs. </w:t>
      </w:r>
      <w:r>
        <w:rPr>
          <w:rFonts w:cs="Arial"/>
        </w:rPr>
        <w:t>However,</w:t>
      </w:r>
      <w:r w:rsidRPr="006768D6">
        <w:rPr>
          <w:rFonts w:cs="Arial"/>
        </w:rPr>
        <w:t xml:space="preserve"> performance on a gross of fees basis</w:t>
      </w:r>
      <w:r>
        <w:rPr>
          <w:rFonts w:cs="Arial"/>
        </w:rPr>
        <w:t xml:space="preserve"> would need to be reported</w:t>
      </w:r>
      <w:r w:rsidRPr="006768D6">
        <w:rPr>
          <w:rFonts w:cs="Arial"/>
        </w:rPr>
        <w:t xml:space="preserve"> as net scenarios in this cas</w:t>
      </w:r>
      <w:r>
        <w:rPr>
          <w:rFonts w:cs="Arial"/>
        </w:rPr>
        <w:t xml:space="preserve">e, and this could disadvantage </w:t>
      </w:r>
      <w:r w:rsidRPr="006768D6">
        <w:rPr>
          <w:rFonts w:cs="Arial"/>
        </w:rPr>
        <w:t>active funds</w:t>
      </w:r>
      <w:r>
        <w:rPr>
          <w:rFonts w:cs="Arial"/>
        </w:rPr>
        <w:t>, which typically have higher fees.</w:t>
      </w:r>
    </w:p>
    <w:p w14:paraId="4F0DFF53" w14:textId="2483E205" w:rsidR="009E6EB8" w:rsidRDefault="009E6EB8" w:rsidP="001C5B87">
      <w:pPr>
        <w:rPr>
          <w:rFonts w:cs="Arial"/>
        </w:rPr>
      </w:pPr>
    </w:p>
    <w:permEnd w:id="1182486711"/>
    <w:p w14:paraId="5F95ABFF" w14:textId="016306F1"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57BF442F" w:rsidR="003E573C" w:rsidRDefault="004B1887" w:rsidP="003E573C">
      <w:pPr>
        <w:rPr>
          <w:rFonts w:cs="Arial"/>
        </w:rPr>
      </w:pPr>
      <w:permStart w:id="1634935588" w:edGrp="everyone"/>
      <w:r>
        <w:rPr>
          <w:rFonts w:cs="Arial"/>
        </w:rPr>
        <w:t xml:space="preserve">CFA Institute agrees with </w:t>
      </w:r>
      <w:r w:rsidR="008C4C23">
        <w:rPr>
          <w:rFonts w:cs="Arial"/>
        </w:rPr>
        <w:t>the ESAs</w:t>
      </w:r>
      <w:r>
        <w:rPr>
          <w:rFonts w:cs="Arial"/>
        </w:rPr>
        <w:t xml:space="preserve"> that illustrative scenario can be included in the KID, especially when they refer to the performance of structured products. However, probabilistic performance scenarios should </w:t>
      </w:r>
      <w:r w:rsidR="00FA2E97">
        <w:rPr>
          <w:rFonts w:cs="Arial"/>
        </w:rPr>
        <w:t xml:space="preserve">also </w:t>
      </w:r>
      <w:r>
        <w:rPr>
          <w:rFonts w:cs="Arial"/>
        </w:rPr>
        <w:t xml:space="preserve">be included when available as these provide </w:t>
      </w:r>
      <w:r w:rsidR="00FA2E97">
        <w:rPr>
          <w:rFonts w:cs="Arial"/>
        </w:rPr>
        <w:t>further</w:t>
      </w:r>
      <w:r>
        <w:rPr>
          <w:rFonts w:cs="Arial"/>
        </w:rPr>
        <w:t xml:space="preserve"> information on which investors can rely when making an investment decision. Illustrative scenarios and probabilistic performance scenarios should not be mutually exclusive</w:t>
      </w:r>
      <w:r w:rsidR="00594655">
        <w:rPr>
          <w:rFonts w:cs="Arial"/>
        </w:rPr>
        <w:t>.</w:t>
      </w:r>
    </w:p>
    <w:p w14:paraId="5FA7A5CD" w14:textId="7D91518B" w:rsidR="00594655" w:rsidRDefault="00594655" w:rsidP="003E573C">
      <w:pPr>
        <w:rPr>
          <w:rFonts w:cs="Arial"/>
        </w:rPr>
      </w:pPr>
    </w:p>
    <w:p w14:paraId="4AF231AA" w14:textId="3F3152D0" w:rsidR="00594655" w:rsidRDefault="00594655" w:rsidP="003E573C">
      <w:pPr>
        <w:rPr>
          <w:rFonts w:cs="Arial"/>
        </w:rPr>
      </w:pPr>
      <w:r>
        <w:rPr>
          <w:rFonts w:cs="Arial"/>
        </w:rPr>
        <w:t xml:space="preserve">From a wider perspective, CFA Institute believes such an approach should not be limited in scope to structured </w:t>
      </w:r>
      <w:proofErr w:type="gramStart"/>
      <w:r>
        <w:rPr>
          <w:rFonts w:cs="Arial"/>
        </w:rPr>
        <w:t>products, but</w:t>
      </w:r>
      <w:proofErr w:type="gramEnd"/>
      <w:r>
        <w:rPr>
          <w:rFonts w:cs="Arial"/>
        </w:rPr>
        <w:t xml:space="preserve"> </w:t>
      </w:r>
      <w:r w:rsidR="004C3737">
        <w:rPr>
          <w:rFonts w:cs="Arial"/>
        </w:rPr>
        <w:t>could</w:t>
      </w:r>
      <w:r>
        <w:rPr>
          <w:rFonts w:cs="Arial"/>
        </w:rPr>
        <w:t xml:space="preserve"> apply as well to all </w:t>
      </w:r>
      <w:r w:rsidR="00314C4C">
        <w:rPr>
          <w:rFonts w:cs="Arial"/>
        </w:rPr>
        <w:t xml:space="preserve">types of </w:t>
      </w:r>
      <w:r>
        <w:rPr>
          <w:rFonts w:cs="Arial"/>
        </w:rPr>
        <w:t>PRIIPs</w:t>
      </w:r>
      <w:r w:rsidR="00314C4C">
        <w:rPr>
          <w:rFonts w:cs="Arial"/>
        </w:rPr>
        <w:t>.</w:t>
      </w:r>
    </w:p>
    <w:p w14:paraId="659DA32A" w14:textId="6B8968FB" w:rsidR="00904744" w:rsidRDefault="00904744" w:rsidP="003E573C">
      <w:pPr>
        <w:rPr>
          <w:rFonts w:cs="Arial"/>
        </w:rPr>
      </w:pPr>
    </w:p>
    <w:p w14:paraId="118D6683" w14:textId="0B79D6C6" w:rsidR="00904744" w:rsidRDefault="00904744" w:rsidP="003E573C">
      <w:pPr>
        <w:rPr>
          <w:rFonts w:cs="Arial"/>
        </w:rPr>
      </w:pPr>
      <w:r>
        <w:rPr>
          <w:rFonts w:cs="Arial"/>
        </w:rPr>
        <w:t xml:space="preserve">We </w:t>
      </w:r>
      <w:r w:rsidRPr="00904744">
        <w:rPr>
          <w:rFonts w:cs="Arial"/>
        </w:rPr>
        <w:t xml:space="preserve">like this approach because of the potential to educate investors. </w:t>
      </w:r>
      <w:r w:rsidR="009F7B84">
        <w:rPr>
          <w:rFonts w:cs="Arial"/>
        </w:rPr>
        <w:t xml:space="preserve">There is a risk </w:t>
      </w:r>
      <w:r w:rsidRPr="00904744">
        <w:rPr>
          <w:rFonts w:cs="Arial"/>
        </w:rPr>
        <w:t xml:space="preserve">some investors </w:t>
      </w:r>
      <w:r w:rsidR="009F7B84">
        <w:rPr>
          <w:rFonts w:cs="Arial"/>
        </w:rPr>
        <w:t>could find</w:t>
      </w:r>
      <w:r w:rsidRPr="00904744">
        <w:rPr>
          <w:rFonts w:cs="Arial"/>
        </w:rPr>
        <w:t xml:space="preserve"> the amount of text/content off-putting. It would </w:t>
      </w:r>
      <w:proofErr w:type="gramStart"/>
      <w:r w:rsidRPr="00904744">
        <w:rPr>
          <w:rFonts w:cs="Arial"/>
        </w:rPr>
        <w:t>definitely affect</w:t>
      </w:r>
      <w:proofErr w:type="gramEnd"/>
      <w:r w:rsidRPr="00904744">
        <w:rPr>
          <w:rFonts w:cs="Arial"/>
        </w:rPr>
        <w:t xml:space="preserve"> comparability even between products of the same type.</w:t>
      </w:r>
      <w:r w:rsidR="009F7B84">
        <w:rPr>
          <w:rFonts w:cs="Arial"/>
        </w:rPr>
        <w:t xml:space="preserve"> The other problem is that</w:t>
      </w:r>
      <w:r w:rsidRPr="00904744">
        <w:rPr>
          <w:rFonts w:cs="Arial"/>
        </w:rPr>
        <w:t xml:space="preserve">, </w:t>
      </w:r>
      <w:r w:rsidR="009F7B84">
        <w:rPr>
          <w:rFonts w:cs="Arial"/>
        </w:rPr>
        <w:t xml:space="preserve">in the current context, </w:t>
      </w:r>
      <w:r w:rsidRPr="00904744">
        <w:rPr>
          <w:rFonts w:cs="Arial"/>
        </w:rPr>
        <w:t>as it is proposed only for structured products, this effectively means different type of performance disclosure for different types of PRIIPs</w:t>
      </w:r>
      <w:r w:rsidR="005E1AB8">
        <w:rPr>
          <w:rFonts w:cs="Arial"/>
        </w:rPr>
        <w:t>, which could make comparability more difficult.</w:t>
      </w:r>
    </w:p>
    <w:p w14:paraId="4AA09C1F" w14:textId="77694460" w:rsidR="00B0230C" w:rsidRDefault="00B0230C" w:rsidP="003E573C">
      <w:pPr>
        <w:rPr>
          <w:rFonts w:cs="Arial"/>
        </w:rPr>
      </w:pP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587D9A73" w14:textId="77777777" w:rsidR="00092874" w:rsidRDefault="00092874" w:rsidP="003E573C">
      <w:pPr>
        <w:rPr>
          <w:rFonts w:cs="Arial"/>
        </w:rPr>
      </w:pPr>
      <w:permStart w:id="872961277" w:edGrp="everyone"/>
    </w:p>
    <w:p w14:paraId="4821B52E" w14:textId="77777777" w:rsidR="00353964" w:rsidRDefault="00353964" w:rsidP="003E573C">
      <w:pPr>
        <w:rPr>
          <w:rFonts w:cs="Arial"/>
        </w:rPr>
      </w:pPr>
      <w:r>
        <w:rPr>
          <w:rFonts w:cs="Arial"/>
        </w:rPr>
        <w:t xml:space="preserve">CFA Institute considers that further consumer testing could be performed to ascertain how much information would be preferred by investors. </w:t>
      </w:r>
    </w:p>
    <w:p w14:paraId="6F5AD8BD" w14:textId="77777777" w:rsidR="00353964" w:rsidRDefault="00353964" w:rsidP="003E573C">
      <w:pPr>
        <w:rPr>
          <w:rFonts w:cs="Arial"/>
        </w:rPr>
      </w:pPr>
    </w:p>
    <w:p w14:paraId="67507E3D" w14:textId="511B92A4" w:rsidR="00092874" w:rsidRDefault="003A41DB" w:rsidP="003E573C">
      <w:pPr>
        <w:rPr>
          <w:rFonts w:cs="Arial"/>
        </w:rPr>
      </w:pPr>
      <w:r>
        <w:rPr>
          <w:rFonts w:cs="Arial"/>
        </w:rPr>
        <w:t>In general, yes, we</w:t>
      </w:r>
      <w:r w:rsidR="002F210D" w:rsidRPr="002F210D">
        <w:rPr>
          <w:rFonts w:cs="Arial"/>
        </w:rPr>
        <w:t xml:space="preserve"> do not think the probabilistic scenarios are useful for end users for structured products</w:t>
      </w:r>
      <w:r w:rsidR="008F249E">
        <w:rPr>
          <w:rFonts w:cs="Arial"/>
        </w:rPr>
        <w:t xml:space="preserve"> and therefore illustrative scenarios could replace probabilistic scenarios</w:t>
      </w:r>
      <w:r w:rsidR="002F210D" w:rsidRPr="002F210D">
        <w:rPr>
          <w:rFonts w:cs="Arial"/>
        </w:rPr>
        <w:t xml:space="preserve">. It is much better to have improved standardised framework for illustrated </w:t>
      </w:r>
      <w:r w:rsidRPr="002F210D">
        <w:rPr>
          <w:rFonts w:cs="Arial"/>
        </w:rPr>
        <w:t>scenarios</w:t>
      </w:r>
      <w:r w:rsidR="002F210D" w:rsidRPr="002F210D">
        <w:rPr>
          <w:rFonts w:cs="Arial"/>
        </w:rPr>
        <w:t>. The text that accompanies that is critical. Policies must also be set such that product manufacturers cannot skip scenarios that illustrate potential losses.</w:t>
      </w:r>
    </w:p>
    <w:p w14:paraId="29D58F9F" w14:textId="77777777" w:rsidR="008F249E" w:rsidRDefault="008F249E" w:rsidP="003E573C">
      <w:pPr>
        <w:rPr>
          <w:rFonts w:cs="Arial"/>
        </w:rPr>
      </w:pPr>
    </w:p>
    <w:permEnd w:id="872961277"/>
    <w:p w14:paraId="10059834" w14:textId="036225CB"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6CED91A7" w14:textId="77777777" w:rsidR="001D315C" w:rsidRDefault="001D315C" w:rsidP="003E573C">
      <w:pPr>
        <w:rPr>
          <w:rFonts w:cs="Arial"/>
        </w:rPr>
      </w:pPr>
      <w:permStart w:id="374105505" w:edGrp="everyone"/>
    </w:p>
    <w:p w14:paraId="37117CC7" w14:textId="5BA93DB1" w:rsidR="001D315C" w:rsidRDefault="00232FC0" w:rsidP="003E573C">
      <w:pPr>
        <w:rPr>
          <w:rFonts w:cs="Arial"/>
        </w:rPr>
      </w:pPr>
      <w:r>
        <w:rPr>
          <w:rFonts w:cs="Arial"/>
        </w:rPr>
        <w:t xml:space="preserve">Yes, we agree as the products mentioned in the text resemble structured </w:t>
      </w:r>
      <w:proofErr w:type="gramStart"/>
      <w:r>
        <w:rPr>
          <w:rFonts w:cs="Arial"/>
        </w:rPr>
        <w:t>products</w:t>
      </w:r>
      <w:proofErr w:type="gramEnd"/>
      <w:r>
        <w:rPr>
          <w:rFonts w:cs="Arial"/>
        </w:rPr>
        <w:t xml:space="preserve"> but they are currently captured. These types of PRIIPs products should be fallen into the scope of PRIIPs as regards the requirement to provide illustrative performance scenarios.</w:t>
      </w:r>
    </w:p>
    <w:p w14:paraId="74C32BAA" w14:textId="77777777" w:rsidR="001D315C" w:rsidRDefault="001D315C" w:rsidP="003E573C">
      <w:pPr>
        <w:rPr>
          <w:rFonts w:cs="Arial"/>
        </w:rPr>
      </w:pPr>
    </w:p>
    <w:permEnd w:id="374105505"/>
    <w:p w14:paraId="7665AEED" w14:textId="34ECA002"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75416FF1" w14:textId="77777777" w:rsidR="00A720BB" w:rsidRDefault="00A720BB" w:rsidP="003E573C">
      <w:pPr>
        <w:rPr>
          <w:rFonts w:cs="Arial"/>
        </w:rPr>
      </w:pPr>
      <w:permStart w:id="624894902" w:edGrp="everyone"/>
    </w:p>
    <w:p w14:paraId="2BFE012E" w14:textId="6A7075EC" w:rsidR="003E573C" w:rsidRDefault="000E3226" w:rsidP="003E573C">
      <w:pPr>
        <w:rPr>
          <w:rFonts w:cs="Arial"/>
        </w:rPr>
      </w:pPr>
      <w:r>
        <w:rPr>
          <w:rFonts w:cs="Arial"/>
        </w:rPr>
        <w:t xml:space="preserve">CFA Institute agrees with </w:t>
      </w:r>
      <w:r w:rsidR="00925086">
        <w:rPr>
          <w:rFonts w:cs="Arial"/>
        </w:rPr>
        <w:t>the ESAs</w:t>
      </w:r>
      <w:r>
        <w:rPr>
          <w:rFonts w:cs="Arial"/>
        </w:rPr>
        <w:t xml:space="preserve"> on the need to include past performance for both linear PRIIPs and linear investment options</w:t>
      </w:r>
      <w:r w:rsidR="00137CF7">
        <w:rPr>
          <w:rFonts w:cs="Arial"/>
        </w:rPr>
        <w:t xml:space="preserve"> where it is available</w:t>
      </w:r>
      <w:r>
        <w:rPr>
          <w:rFonts w:cs="Arial"/>
        </w:rPr>
        <w:t xml:space="preserve">. While </w:t>
      </w:r>
      <w:proofErr w:type="gramStart"/>
      <w:r>
        <w:rPr>
          <w:rFonts w:cs="Arial"/>
        </w:rPr>
        <w:t>understanding  that</w:t>
      </w:r>
      <w:proofErr w:type="gramEnd"/>
      <w:r>
        <w:rPr>
          <w:rFonts w:cs="Arial"/>
        </w:rPr>
        <w:t xml:space="preserve"> a sound methodology to increase transparency on past performance to particular products, distributing a portion of the profits to retail investors, is not yet available, we still believe that past performance should be included for every type of product offered to retail investors. We therefore encourage EIOPA to complete its test on the methodology that can be used for these products.</w:t>
      </w:r>
    </w:p>
    <w:p w14:paraId="7768C4DC" w14:textId="77777777" w:rsidR="00A720BB" w:rsidRDefault="00A720BB" w:rsidP="003E573C">
      <w:pPr>
        <w:rPr>
          <w:rFonts w:cs="Arial"/>
        </w:rPr>
      </w:pP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lastRenderedPageBreak/>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AD7E1BF" w14:textId="77777777" w:rsidR="00B4688C" w:rsidRDefault="00B4688C" w:rsidP="003E573C">
      <w:pPr>
        <w:rPr>
          <w:rFonts w:cs="Arial"/>
        </w:rPr>
      </w:pPr>
      <w:permStart w:id="1007688109" w:edGrp="everyone"/>
    </w:p>
    <w:p w14:paraId="33C7AB9B" w14:textId="65810138" w:rsidR="00B4688C" w:rsidRDefault="00B4688C" w:rsidP="003E573C">
      <w:pPr>
        <w:rPr>
          <w:rFonts w:cs="Arial"/>
        </w:rPr>
      </w:pPr>
      <w:r>
        <w:rPr>
          <w:rFonts w:cs="Arial"/>
        </w:rPr>
        <w:t>No.</w:t>
      </w:r>
    </w:p>
    <w:p w14:paraId="2118AC6B" w14:textId="7DF8113E" w:rsidR="00BC4A6B" w:rsidRDefault="00BC4A6B" w:rsidP="003E573C">
      <w:pPr>
        <w:rPr>
          <w:rFonts w:cs="Arial"/>
        </w:rPr>
      </w:pPr>
      <w:r>
        <w:rPr>
          <w:rFonts w:cs="Arial"/>
        </w:rPr>
        <w:t xml:space="preserve">Yet, </w:t>
      </w:r>
      <w:r w:rsidRPr="00BC4A6B">
        <w:rPr>
          <w:rFonts w:cs="Arial"/>
        </w:rPr>
        <w:t xml:space="preserve">space constraints </w:t>
      </w:r>
      <w:r>
        <w:rPr>
          <w:rFonts w:cs="Arial"/>
        </w:rPr>
        <w:t xml:space="preserve">on the KID form itself </w:t>
      </w:r>
      <w:r w:rsidRPr="00BC4A6B">
        <w:rPr>
          <w:rFonts w:cs="Arial"/>
        </w:rPr>
        <w:t>is a real concern. Particularly if we consider that as part of the EU's sustainable finance agenda, there will eventually be a requirement to add details of environmental and social objectives. Digital delivery/IT tools may help</w:t>
      </w:r>
      <w:r>
        <w:rPr>
          <w:rFonts w:cs="Arial"/>
        </w:rPr>
        <w:t xml:space="preserve"> to alleviate this concern</w:t>
      </w:r>
      <w:r w:rsidRPr="00BC4A6B">
        <w:rPr>
          <w:rFonts w:cs="Arial"/>
        </w:rPr>
        <w:t>.</w:t>
      </w:r>
    </w:p>
    <w:p w14:paraId="783B49B3" w14:textId="77777777" w:rsidR="00B4688C" w:rsidRDefault="00B4688C" w:rsidP="003E573C">
      <w:pPr>
        <w:rPr>
          <w:rFonts w:cs="Arial"/>
        </w:rPr>
      </w:pPr>
    </w:p>
    <w:permEnd w:id="1007688109"/>
    <w:p w14:paraId="60AE9CFD" w14:textId="26FC2FE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234150F3" w14:textId="74CDE604" w:rsidR="004C3725" w:rsidRDefault="003E573C" w:rsidP="003E573C">
      <w:pPr>
        <w:rPr>
          <w:rFonts w:cs="Arial"/>
        </w:rPr>
      </w:pPr>
      <w:r>
        <w:rPr>
          <w:rFonts w:cs="Arial"/>
        </w:rPr>
        <w:t>&lt;ESA_QUESTION_PKID_28&gt;</w:t>
      </w:r>
    </w:p>
    <w:p w14:paraId="4452E03A" w14:textId="77777777" w:rsidR="004C3725" w:rsidRDefault="004C3725" w:rsidP="003E573C">
      <w:pPr>
        <w:rPr>
          <w:rFonts w:cs="Arial"/>
        </w:rPr>
      </w:pPr>
      <w:permStart w:id="1152679739" w:edGrp="everyone"/>
    </w:p>
    <w:p w14:paraId="7AAB917D" w14:textId="77777777" w:rsidR="006D4C11" w:rsidRDefault="74F4C83B" w:rsidP="74F4C83B">
      <w:pPr>
        <w:rPr>
          <w:rFonts w:cs="Arial"/>
        </w:rPr>
      </w:pPr>
      <w:r w:rsidRPr="74F4C83B">
        <w:rPr>
          <w:rFonts w:cs="Arial"/>
        </w:rPr>
        <w:t xml:space="preserve">For those types of PRIIPs where the presentation </w:t>
      </w:r>
      <w:r w:rsidR="7AFB41DC" w:rsidRPr="7AFB41DC">
        <w:rPr>
          <w:rFonts w:cs="Arial"/>
        </w:rPr>
        <w:t>of</w:t>
      </w:r>
      <w:r w:rsidRPr="74F4C83B">
        <w:rPr>
          <w:rFonts w:cs="Arial"/>
        </w:rPr>
        <w:t xml:space="preserve"> time-weighted returns is appropriate (typically where </w:t>
      </w:r>
      <w:r w:rsidR="7AFB41DC" w:rsidRPr="7AFB41DC">
        <w:rPr>
          <w:rFonts w:cs="Arial"/>
        </w:rPr>
        <w:t xml:space="preserve">external </w:t>
      </w:r>
      <w:r w:rsidRPr="74F4C83B">
        <w:rPr>
          <w:rFonts w:cs="Arial"/>
        </w:rPr>
        <w:t xml:space="preserve">flows are not controlled by the manager and where the product is not </w:t>
      </w:r>
      <w:r w:rsidR="1416BE7D" w:rsidRPr="1416BE7D">
        <w:rPr>
          <w:rFonts w:cs="Arial"/>
        </w:rPr>
        <w:t xml:space="preserve">closed-end or fixed life </w:t>
      </w:r>
      <w:r w:rsidR="7AFB41DC" w:rsidRPr="7AFB41DC">
        <w:rPr>
          <w:rFonts w:cs="Arial"/>
        </w:rPr>
        <w:t xml:space="preserve">or fixed commitment or holds illiquid investments as a significant part of the investment strategy) we </w:t>
      </w:r>
      <w:r w:rsidRPr="74F4C83B">
        <w:rPr>
          <w:rFonts w:cs="Arial"/>
        </w:rPr>
        <w:t xml:space="preserve">believe that presenting </w:t>
      </w:r>
      <w:r w:rsidR="7AFB41DC" w:rsidRPr="7AFB41DC">
        <w:rPr>
          <w:rFonts w:cs="Arial"/>
        </w:rPr>
        <w:t>multiple</w:t>
      </w:r>
      <w:r w:rsidRPr="74F4C83B">
        <w:rPr>
          <w:rFonts w:cs="Arial"/>
        </w:rPr>
        <w:t xml:space="preserve"> period</w:t>
      </w:r>
      <w:r w:rsidR="7AFB41DC" w:rsidRPr="7AFB41DC">
        <w:rPr>
          <w:rFonts w:cs="Arial"/>
        </w:rPr>
        <w:t xml:space="preserve"> time-weighted</w:t>
      </w:r>
      <w:r w:rsidRPr="74F4C83B">
        <w:rPr>
          <w:rFonts w:cs="Arial"/>
        </w:rPr>
        <w:t xml:space="preserve"> returns</w:t>
      </w:r>
      <w:r w:rsidR="7AFB41DC" w:rsidRPr="7AFB41DC">
        <w:rPr>
          <w:rFonts w:cs="Arial"/>
        </w:rPr>
        <w:t>, whether 12 month periods or calendar years, as currently required in the UCITS KIID, provides comparable</w:t>
      </w:r>
      <w:r w:rsidRPr="74F4C83B">
        <w:rPr>
          <w:rFonts w:cs="Arial"/>
        </w:rPr>
        <w:t xml:space="preserve"> data </w:t>
      </w:r>
      <w:r w:rsidR="7AFB41DC" w:rsidRPr="7AFB41DC">
        <w:rPr>
          <w:rFonts w:cs="Arial"/>
        </w:rPr>
        <w:t xml:space="preserve">across products and also provides information on the volatility of the product that is not available through the </w:t>
      </w:r>
      <w:r w:rsidRPr="74F4C83B">
        <w:rPr>
          <w:rFonts w:cs="Arial"/>
        </w:rPr>
        <w:t xml:space="preserve">presentation </w:t>
      </w:r>
      <w:r w:rsidR="7AFB41DC" w:rsidRPr="7AFB41DC">
        <w:rPr>
          <w:rFonts w:cs="Arial"/>
        </w:rPr>
        <w:t>of only an average return. Return and risk information are the components of the PRIIPs KID and presenting past performance as an aggregate or average number is not providing adequate recognition of the risk inherent in the products.</w:t>
      </w:r>
    </w:p>
    <w:p w14:paraId="5454AA9C" w14:textId="77777777" w:rsidR="006D4C11" w:rsidRDefault="006D4C11" w:rsidP="74F4C83B">
      <w:pPr>
        <w:rPr>
          <w:rFonts w:cs="Arial"/>
        </w:rPr>
      </w:pPr>
    </w:p>
    <w:p w14:paraId="7E5C3C3C" w14:textId="22F962EC" w:rsidR="008F082A" w:rsidRDefault="7AFB41DC" w:rsidP="74F4C83B">
      <w:pPr>
        <w:rPr>
          <w:rFonts w:cs="Arial"/>
        </w:rPr>
      </w:pPr>
      <w:r w:rsidRPr="7AFB41DC">
        <w:rPr>
          <w:rFonts w:cs="Arial"/>
        </w:rPr>
        <w:t xml:space="preserve">For products where a money-weighted (internal rate) return is appropriate, the annualised since inception return should be presented but such products, because of their unique characteristics such as start date, investment opportunities and flow pattern controlled by the manager, are unlikely to be comparable to other similarly designed products with differing characteristics. Individual periodic returns (annual or 12-month) could also be required as they are indicative of the performance of these products as intermediate measures. The use of averages since inception or rolling periods as of end of </w:t>
      </w:r>
      <w:proofErr w:type="spellStart"/>
      <w:r w:rsidRPr="7AFB41DC">
        <w:rPr>
          <w:rFonts w:cs="Arial"/>
        </w:rPr>
        <w:t>xyz</w:t>
      </w:r>
      <w:proofErr w:type="spellEnd"/>
      <w:r w:rsidRPr="7AFB41DC">
        <w:rPr>
          <w:rFonts w:cs="Arial"/>
        </w:rPr>
        <w:t xml:space="preserve"> month or calendar year do not provide a story that is as comprehensive or as comparable as multiple specified periods.</w:t>
      </w:r>
    </w:p>
    <w:p w14:paraId="1891E296" w14:textId="77777777" w:rsidR="004C3725" w:rsidRDefault="004C3725" w:rsidP="003E573C">
      <w:pPr>
        <w:rPr>
          <w:rFonts w:cs="Arial"/>
        </w:rPr>
      </w:pP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 xml:space="preserve">Do you have any comments on the statement that would supplement the display of past performance (e.g. </w:t>
      </w:r>
      <w:proofErr w:type="gramStart"/>
      <w:r w:rsidRPr="00763760">
        <w:t>with regard to</w:t>
      </w:r>
      <w:proofErr w:type="gramEnd"/>
      <w:r w:rsidRPr="00763760">
        <w:t xml:space="preserve">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34E576FD" w14:textId="77777777" w:rsidR="00B373A7" w:rsidRDefault="00B373A7" w:rsidP="003E573C">
      <w:pPr>
        <w:rPr>
          <w:rFonts w:cs="Arial"/>
        </w:rPr>
      </w:pPr>
      <w:permStart w:id="419824169" w:edGrp="everyone"/>
    </w:p>
    <w:p w14:paraId="1C5809FD" w14:textId="229B24F4" w:rsidR="00C007D2" w:rsidRDefault="38EA3756" w:rsidP="003E573C">
      <w:pPr>
        <w:rPr>
          <w:rFonts w:cs="Arial"/>
        </w:rPr>
      </w:pPr>
      <w:r w:rsidRPr="38EA3756">
        <w:rPr>
          <w:rFonts w:cs="Arial"/>
        </w:rPr>
        <w:t xml:space="preserve">The investor must be able to determine what additional costs would further impact the return that they are being presented. Those indications may be qualitative, such as a performance fee is applicable for this product, or quantitative e.g. a basis point amount or an ad valorem table if relevant. </w:t>
      </w:r>
    </w:p>
    <w:p w14:paraId="79C6DCA5" w14:textId="77777777" w:rsidR="00C007D2" w:rsidRDefault="00C007D2" w:rsidP="003E573C">
      <w:pPr>
        <w:rPr>
          <w:rFonts w:cs="Arial"/>
        </w:rPr>
      </w:pP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lastRenderedPageBreak/>
        <w:t>&lt;ESA_QUESTION_PKID_30&gt;</w:t>
      </w:r>
    </w:p>
    <w:p w14:paraId="5A2081EB" w14:textId="77777777" w:rsidR="009E6751" w:rsidRDefault="009E6751" w:rsidP="003E573C">
      <w:pPr>
        <w:rPr>
          <w:rFonts w:cs="Arial"/>
        </w:rPr>
      </w:pPr>
      <w:permStart w:id="503522783" w:edGrp="everyone"/>
    </w:p>
    <w:p w14:paraId="22B33E2F" w14:textId="11EDF0A2" w:rsidR="009E6751" w:rsidRDefault="009E6751" w:rsidP="003E573C">
      <w:pPr>
        <w:rPr>
          <w:rFonts w:cs="Arial"/>
        </w:rPr>
      </w:pPr>
      <w:r>
        <w:rPr>
          <w:rFonts w:cs="Arial"/>
        </w:rPr>
        <w:t>Yes.</w:t>
      </w:r>
    </w:p>
    <w:p w14:paraId="59311262" w14:textId="41D0C66A" w:rsidR="7AFB41DC" w:rsidRDefault="38EA3756" w:rsidP="38EA3756">
      <w:pPr>
        <w:rPr>
          <w:rFonts w:cs="Arial"/>
        </w:rPr>
      </w:pPr>
      <w:r w:rsidRPr="38EA3756">
        <w:rPr>
          <w:rFonts w:cs="Arial"/>
        </w:rPr>
        <w:t xml:space="preserve">A clear explanation on the difference between past performance and future performance scenarios must be included in the KID. Past performance does not represent a guarantee of returns for the </w:t>
      </w:r>
      <w:proofErr w:type="gramStart"/>
      <w:r w:rsidRPr="38EA3756">
        <w:rPr>
          <w:rFonts w:cs="Arial"/>
        </w:rPr>
        <w:t>future, and</w:t>
      </w:r>
      <w:proofErr w:type="gramEnd"/>
      <w:r w:rsidRPr="38EA3756">
        <w:rPr>
          <w:rFonts w:cs="Arial"/>
        </w:rPr>
        <w:t xml:space="preserve"> must not be presented as such. The value of past performance comes from it indicating the behaviour of the product (and its manager) during the periods presented. When viewed against comparable products and relevant market indicators, past performance indicates how the product has responded to the market environment and the impact of actions the manager has taken during those periods.</w:t>
      </w:r>
    </w:p>
    <w:p w14:paraId="0158A0D6" w14:textId="77777777" w:rsidR="002959FB" w:rsidRDefault="002959FB" w:rsidP="38EA3756">
      <w:pPr>
        <w:rPr>
          <w:rFonts w:cs="Arial"/>
        </w:rPr>
      </w:pPr>
    </w:p>
    <w:p w14:paraId="52B93473" w14:textId="2A93FE79" w:rsidR="009E6751" w:rsidRDefault="009E6751" w:rsidP="003E573C">
      <w:pPr>
        <w:rPr>
          <w:rFonts w:cs="Arial"/>
        </w:rPr>
      </w:pPr>
      <w:r>
        <w:rPr>
          <w:rFonts w:cs="Arial"/>
        </w:rPr>
        <w:t xml:space="preserve">An explanation as to the calculation and presentation method used for past performance should be </w:t>
      </w:r>
      <w:r w:rsidR="00431013">
        <w:rPr>
          <w:rFonts w:cs="Arial"/>
        </w:rPr>
        <w:t xml:space="preserve">provided. Then, some simple explanation of the performance scenarios should </w:t>
      </w:r>
      <w:r w:rsidR="00C44BDD">
        <w:rPr>
          <w:rFonts w:cs="Arial"/>
        </w:rPr>
        <w:t xml:space="preserve">also </w:t>
      </w:r>
      <w:r w:rsidR="00431013">
        <w:rPr>
          <w:rFonts w:cs="Arial"/>
        </w:rPr>
        <w:t>be provided</w:t>
      </w:r>
      <w:r w:rsidR="008C2E70">
        <w:rPr>
          <w:rFonts w:cs="Arial"/>
        </w:rPr>
        <w:t>. This way, investors will be able to compare the two sets of figures in an informed manner.</w:t>
      </w:r>
    </w:p>
    <w:p w14:paraId="37D24690" w14:textId="77777777" w:rsidR="009E6751" w:rsidRDefault="009E6751" w:rsidP="003E573C">
      <w:pPr>
        <w:rPr>
          <w:rFonts w:cs="Arial"/>
        </w:rPr>
      </w:pPr>
    </w:p>
    <w:permEnd w:id="503522783"/>
    <w:p w14:paraId="349D85E4" w14:textId="51655748"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w:t>
      </w:r>
      <w:proofErr w:type="gramStart"/>
      <w:r w:rsidRPr="00424904">
        <w:rPr>
          <w:rFonts w:cstheme="minorHAnsi"/>
          <w:iCs/>
        </w:rPr>
        <w:t>in reference to</w:t>
      </w:r>
      <w:proofErr w:type="gramEnd"/>
      <w:r w:rsidRPr="00424904">
        <w:rPr>
          <w:rFonts w:cstheme="minorHAnsi"/>
          <w:iCs/>
        </w:rPr>
        <w:t xml:space="preserve">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54D092B1" w14:textId="77777777" w:rsidR="0000623D" w:rsidRDefault="0000623D" w:rsidP="003E573C">
      <w:pPr>
        <w:rPr>
          <w:rFonts w:cs="Arial"/>
        </w:rPr>
      </w:pPr>
      <w:permStart w:id="1708064826" w:edGrp="everyone"/>
    </w:p>
    <w:p w14:paraId="3389B758" w14:textId="4A8C5B17" w:rsidR="007B1923" w:rsidRDefault="0000623D" w:rsidP="003E573C">
      <w:pPr>
        <w:rPr>
          <w:rFonts w:cs="Arial"/>
        </w:rPr>
      </w:pPr>
      <w:r>
        <w:rPr>
          <w:rFonts w:cs="Arial"/>
        </w:rPr>
        <w:t xml:space="preserve">Yes, we agree with the answer provided by ESMA on question 8a of </w:t>
      </w:r>
      <w:r w:rsidR="00960911">
        <w:rPr>
          <w:rFonts w:cs="Arial"/>
        </w:rPr>
        <w:t>the Q&amp;A document on the UCITS Directive (</w:t>
      </w:r>
      <w:r w:rsidR="00960911" w:rsidRPr="00960911">
        <w:rPr>
          <w:rFonts w:cs="Arial"/>
        </w:rPr>
        <w:t>4 June 2019 | ESMA34-43-392</w:t>
      </w:r>
      <w:r w:rsidR="00960911">
        <w:rPr>
          <w:rFonts w:cs="Arial"/>
        </w:rPr>
        <w:t>).</w:t>
      </w:r>
      <w:r w:rsidR="007B1923">
        <w:rPr>
          <w:rFonts w:cs="Arial"/>
        </w:rPr>
        <w:t xml:space="preserve"> Additional disclosures should be provided so the investors know the management style and the important fact that the product is managed against a reference index or a benchmark.</w:t>
      </w:r>
    </w:p>
    <w:p w14:paraId="2B6D8067" w14:textId="77777777" w:rsidR="007B1923" w:rsidRDefault="007B1923" w:rsidP="003E573C">
      <w:pPr>
        <w:rPr>
          <w:rFonts w:cs="Arial"/>
        </w:rPr>
      </w:pP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4711BB58" w14:textId="77777777" w:rsidR="008655B7" w:rsidRDefault="008655B7" w:rsidP="003E573C">
      <w:pPr>
        <w:rPr>
          <w:rFonts w:cs="Arial"/>
        </w:rPr>
      </w:pPr>
      <w:permStart w:id="320603426" w:edGrp="everyone"/>
    </w:p>
    <w:p w14:paraId="71129D63" w14:textId="0E4CF823" w:rsidR="00AD7B5A" w:rsidRDefault="00094096" w:rsidP="003E573C">
      <w:pPr>
        <w:rPr>
          <w:rFonts w:cs="Arial"/>
        </w:rPr>
      </w:pPr>
      <w:r>
        <w:rPr>
          <w:rFonts w:cs="Arial"/>
        </w:rPr>
        <w:t>No.</w:t>
      </w:r>
    </w:p>
    <w:p w14:paraId="39D81009" w14:textId="77777777" w:rsidR="008655B7" w:rsidRDefault="008655B7" w:rsidP="003E573C">
      <w:pPr>
        <w:rPr>
          <w:rFonts w:cs="Arial"/>
        </w:rPr>
      </w:pPr>
    </w:p>
    <w:permEnd w:id="320603426"/>
    <w:p w14:paraId="6B666CCA" w14:textId="022C1AF3"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22137A5D" w14:textId="77777777" w:rsidR="00295318" w:rsidRDefault="00295318" w:rsidP="003E573C">
      <w:pPr>
        <w:rPr>
          <w:rFonts w:cs="Arial"/>
        </w:rPr>
      </w:pPr>
      <w:permStart w:id="1802452064" w:edGrp="everyone"/>
    </w:p>
    <w:p w14:paraId="11E26B0A" w14:textId="28ACA3D3" w:rsidR="00295318" w:rsidRDefault="00295318" w:rsidP="003E573C">
      <w:pPr>
        <w:rPr>
          <w:rFonts w:cs="Arial"/>
        </w:rPr>
      </w:pPr>
      <w:r>
        <w:rPr>
          <w:rFonts w:cs="Arial"/>
        </w:rPr>
        <w:t xml:space="preserve">Yes, such a measure </w:t>
      </w:r>
      <w:r w:rsidR="006E5E18">
        <w:rPr>
          <w:rFonts w:cs="Arial"/>
        </w:rPr>
        <w:t>could</w:t>
      </w:r>
      <w:r>
        <w:rPr>
          <w:rFonts w:cs="Arial"/>
        </w:rPr>
        <w:t xml:space="preserve"> facilitate comparability and would also simplify operational processes for firms.</w:t>
      </w:r>
    </w:p>
    <w:p w14:paraId="13E3EA19" w14:textId="77777777" w:rsidR="00295318" w:rsidRDefault="00295318" w:rsidP="003E573C">
      <w:pPr>
        <w:rPr>
          <w:rFonts w:cs="Arial"/>
        </w:rPr>
      </w:pPr>
    </w:p>
    <w:permEnd w:id="1802452064"/>
    <w:p w14:paraId="500E6482" w14:textId="36311448"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lastRenderedPageBreak/>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6B09099E" w14:textId="77777777" w:rsidR="0054162C" w:rsidRDefault="0054162C" w:rsidP="003E573C">
      <w:pPr>
        <w:rPr>
          <w:rFonts w:cs="Arial"/>
        </w:rPr>
      </w:pPr>
      <w:permStart w:id="1498437863" w:edGrp="everyone"/>
    </w:p>
    <w:p w14:paraId="5127A636" w14:textId="270524AC" w:rsidR="0054162C" w:rsidRDefault="00094096" w:rsidP="003E573C">
      <w:pPr>
        <w:rPr>
          <w:rFonts w:cs="Arial"/>
        </w:rPr>
      </w:pPr>
      <w:r>
        <w:rPr>
          <w:rFonts w:cs="Arial"/>
        </w:rPr>
        <w:t>Yes, we agree that</w:t>
      </w:r>
      <w:r w:rsidR="00F118BB">
        <w:rPr>
          <w:rFonts w:cs="Arial"/>
        </w:rPr>
        <w:t xml:space="preserve"> representing exit costs after 5 years would be a good time frame. However, since structured products usually have a maturity of 5/6 years, a shorter fixed intermediate time period could be used. </w:t>
      </w:r>
    </w:p>
    <w:p w14:paraId="0B5CA2F2" w14:textId="7BE3C3D3" w:rsidR="00AD3C47" w:rsidRDefault="00AD3C47" w:rsidP="003E573C">
      <w:pPr>
        <w:rPr>
          <w:rFonts w:cs="Arial"/>
        </w:rPr>
      </w:pPr>
    </w:p>
    <w:p w14:paraId="6BDC7268" w14:textId="60E58347" w:rsidR="00AD3C47" w:rsidRDefault="00AD3C47" w:rsidP="003E573C">
      <w:pPr>
        <w:rPr>
          <w:rFonts w:cs="Arial"/>
        </w:rPr>
      </w:pPr>
      <w:r>
        <w:rPr>
          <w:rFonts w:cs="Arial"/>
        </w:rPr>
        <w:t>Please also refer to the answer we provided to question 7</w:t>
      </w:r>
      <w:r w:rsidR="008E6CBA">
        <w:rPr>
          <w:rFonts w:cs="Arial"/>
        </w:rPr>
        <w:t xml:space="preserve"> on comparability.</w:t>
      </w:r>
    </w:p>
    <w:p w14:paraId="687F3706" w14:textId="77777777" w:rsidR="0054162C" w:rsidRDefault="0054162C" w:rsidP="003E573C">
      <w:pPr>
        <w:rPr>
          <w:rFonts w:cs="Arial"/>
        </w:rPr>
      </w:pPr>
    </w:p>
    <w:permEnd w:id="1498437863"/>
    <w:p w14:paraId="29F7B36D" w14:textId="7920558F"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w:t>
      </w:r>
      <w:proofErr w:type="spellStart"/>
      <w:r w:rsidRPr="00763760">
        <w:t>i</w:t>
      </w:r>
      <w:proofErr w:type="spellEnd"/>
      <w:r w:rsidRPr="00763760">
        <w:t>)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2CF068CE" w14:textId="77777777" w:rsidR="00C603A1" w:rsidRDefault="00C603A1" w:rsidP="003E573C">
      <w:pPr>
        <w:rPr>
          <w:rFonts w:cs="Arial"/>
        </w:rPr>
      </w:pPr>
      <w:permStart w:id="621350576" w:edGrp="everyone"/>
    </w:p>
    <w:p w14:paraId="53CE4AEF" w14:textId="38850CE8" w:rsidR="00C603A1" w:rsidRDefault="00C603A1" w:rsidP="003E573C">
      <w:pPr>
        <w:rPr>
          <w:rFonts w:cs="Arial"/>
        </w:rPr>
      </w:pPr>
      <w:r>
        <w:rPr>
          <w:rFonts w:cs="Arial"/>
        </w:rPr>
        <w:t>Both measures provide interesting information to investors</w:t>
      </w:r>
      <w:r w:rsidR="006D6BDD">
        <w:rPr>
          <w:rFonts w:cs="Arial"/>
        </w:rPr>
        <w:t>, so we favour option 2</w:t>
      </w:r>
      <w:r w:rsidR="00383177">
        <w:rPr>
          <w:rFonts w:cs="Arial"/>
        </w:rPr>
        <w:t xml:space="preserve"> (both figures to be presented). </w:t>
      </w:r>
    </w:p>
    <w:p w14:paraId="0664D384" w14:textId="77777777" w:rsidR="00C603A1" w:rsidRDefault="00C603A1" w:rsidP="003E573C">
      <w:pPr>
        <w:rPr>
          <w:rFonts w:cs="Arial"/>
        </w:rPr>
      </w:pPr>
    </w:p>
    <w:permEnd w:id="621350576"/>
    <w:p w14:paraId="20915542" w14:textId="2C1D9834"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 xml:space="preserve">Do you think that it would be helpful, </w:t>
      </w:r>
      <w:proofErr w:type="gramStart"/>
      <w:r w:rsidRPr="00763760">
        <w:t>in particular for</w:t>
      </w:r>
      <w:proofErr w:type="gramEnd"/>
      <w:r w:rsidRPr="00763760">
        <w:t xml:space="preserve">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ECE2561" w14:textId="77777777" w:rsidR="00B94E39" w:rsidRDefault="00B94E39" w:rsidP="003E573C">
      <w:pPr>
        <w:rPr>
          <w:rFonts w:cs="Arial"/>
        </w:rPr>
      </w:pPr>
      <w:permStart w:id="354879508" w:edGrp="everyone"/>
    </w:p>
    <w:p w14:paraId="66FC8EA8" w14:textId="35BCD440" w:rsidR="00B94E39" w:rsidRDefault="002C5D28" w:rsidP="003E573C">
      <w:pPr>
        <w:rPr>
          <w:rFonts w:cs="Arial"/>
        </w:rPr>
      </w:pPr>
      <w:r>
        <w:rPr>
          <w:rFonts w:cs="Arial"/>
        </w:rPr>
        <w:t xml:space="preserve">In our introduction to this document, we mention that </w:t>
      </w:r>
      <w:r w:rsidR="00C85C23">
        <w:rPr>
          <w:rFonts w:cs="Arial"/>
        </w:rPr>
        <w:t>an important focus should be set on better harmonising standards between the various regulatory pieces that deal with regulatory reporting rules, i</w:t>
      </w:r>
      <w:r w:rsidR="00E972C4">
        <w:rPr>
          <w:rFonts w:cs="Arial"/>
        </w:rPr>
        <w:t>ncluding MiFID</w:t>
      </w:r>
      <w:r w:rsidR="007463AA">
        <w:rPr>
          <w:rFonts w:cs="Arial"/>
        </w:rPr>
        <w:t xml:space="preserve"> and the EMT</w:t>
      </w:r>
      <w:r w:rsidR="00C22749">
        <w:rPr>
          <w:rFonts w:cs="Arial"/>
        </w:rPr>
        <w:t xml:space="preserve"> template</w:t>
      </w:r>
      <w:r w:rsidR="00E972C4">
        <w:rPr>
          <w:rFonts w:cs="Arial"/>
        </w:rPr>
        <w:t>.</w:t>
      </w:r>
    </w:p>
    <w:p w14:paraId="522B8474" w14:textId="6A854196" w:rsidR="00E972C4" w:rsidRDefault="00E972C4" w:rsidP="003E573C">
      <w:pPr>
        <w:rPr>
          <w:rFonts w:cs="Arial"/>
        </w:rPr>
      </w:pPr>
    </w:p>
    <w:p w14:paraId="15320377" w14:textId="269E0A56" w:rsidR="00E972C4" w:rsidRDefault="00DE578C" w:rsidP="003E573C">
      <w:pPr>
        <w:rPr>
          <w:rFonts w:cs="Arial"/>
        </w:rPr>
      </w:pPr>
      <w:proofErr w:type="gramStart"/>
      <w:r>
        <w:rPr>
          <w:rFonts w:cs="Arial"/>
        </w:rPr>
        <w:t>At the moment</w:t>
      </w:r>
      <w:proofErr w:type="gramEnd"/>
      <w:r>
        <w:rPr>
          <w:rFonts w:cs="Arial"/>
        </w:rPr>
        <w:t xml:space="preserve">, there is a discrepancy between MiFID and PRIIPs on costs presentation standards. </w:t>
      </w:r>
      <w:r w:rsidR="00B34BC5">
        <w:rPr>
          <w:rFonts w:cs="Arial"/>
        </w:rPr>
        <w:t xml:space="preserve">Further consistency should be sought to clarify the messaging to end-investors. </w:t>
      </w:r>
    </w:p>
    <w:p w14:paraId="4F31E327" w14:textId="30C64EEE" w:rsidR="00E972C4" w:rsidRDefault="00E972C4" w:rsidP="003E573C">
      <w:pPr>
        <w:rPr>
          <w:rFonts w:cs="Arial"/>
        </w:rPr>
      </w:pPr>
    </w:p>
    <w:p w14:paraId="42CED4D5" w14:textId="5FF7CBC8" w:rsidR="002434AE" w:rsidRDefault="00644176" w:rsidP="003E573C">
      <w:pPr>
        <w:rPr>
          <w:rFonts w:cs="Arial"/>
        </w:rPr>
      </w:pPr>
      <w:r>
        <w:rPr>
          <w:rFonts w:cs="Arial"/>
        </w:rPr>
        <w:t xml:space="preserve">So, from the perspective of harmonisation, yes, we would support </w:t>
      </w:r>
      <w:r w:rsidR="00FE4408">
        <w:rPr>
          <w:rFonts w:cs="Arial"/>
        </w:rPr>
        <w:t xml:space="preserve">the introduction of total costs as a percentage of the investment amount. </w:t>
      </w:r>
    </w:p>
    <w:p w14:paraId="6FC79A4F" w14:textId="77777777" w:rsidR="002434AE" w:rsidRDefault="002434AE" w:rsidP="003E573C">
      <w:pPr>
        <w:rPr>
          <w:rFonts w:cs="Arial"/>
        </w:rPr>
      </w:pPr>
    </w:p>
    <w:p w14:paraId="224D0245" w14:textId="06C35C5E" w:rsidR="006C11A4" w:rsidRDefault="006C11A4" w:rsidP="003E573C">
      <w:pPr>
        <w:rPr>
          <w:rFonts w:cs="Arial"/>
        </w:rPr>
      </w:pPr>
      <w:r w:rsidRPr="006C11A4">
        <w:rPr>
          <w:rFonts w:cs="Arial"/>
        </w:rPr>
        <w:t>Currently, because of the RIY indicator, investors see different numbers for the same datapoint. E.g. if one looks at cost disclosure for a</w:t>
      </w:r>
      <w:r w:rsidR="00CA58A5">
        <w:rPr>
          <w:rFonts w:cs="Arial"/>
        </w:rPr>
        <w:t xml:space="preserve"> given</w:t>
      </w:r>
      <w:r w:rsidRPr="006C11A4">
        <w:rPr>
          <w:rFonts w:cs="Arial"/>
        </w:rPr>
        <w:t xml:space="preserve"> investment trust</w:t>
      </w:r>
      <w:r w:rsidR="00CA58A5">
        <w:rPr>
          <w:rFonts w:cs="Arial"/>
        </w:rPr>
        <w:t xml:space="preserve"> or product</w:t>
      </w:r>
      <w:r w:rsidRPr="006C11A4">
        <w:rPr>
          <w:rFonts w:cs="Arial"/>
        </w:rPr>
        <w:t xml:space="preserve"> on a platform, they see different numbers than if they open the KID (the link to which is provided right next to the cost disclosure). </w:t>
      </w:r>
      <w:r w:rsidR="00CA58A5">
        <w:rPr>
          <w:rFonts w:cs="Arial"/>
        </w:rPr>
        <w:t>T</w:t>
      </w:r>
      <w:r w:rsidRPr="006C11A4">
        <w:rPr>
          <w:rFonts w:cs="Arial"/>
        </w:rPr>
        <w:t xml:space="preserve">his can be very confusing and </w:t>
      </w:r>
      <w:r w:rsidR="00CA58A5">
        <w:rPr>
          <w:rFonts w:cs="Arial"/>
        </w:rPr>
        <w:t>would benefit from targeted amendments.</w:t>
      </w:r>
      <w:r w:rsidR="00085246">
        <w:rPr>
          <w:rFonts w:cs="Arial"/>
        </w:rPr>
        <w:t xml:space="preserve"> In general, we have reservations about </w:t>
      </w:r>
      <w:r w:rsidRPr="006C11A4">
        <w:rPr>
          <w:rFonts w:cs="Arial"/>
        </w:rPr>
        <w:t xml:space="preserve">the RIY indicator </w:t>
      </w:r>
      <w:r w:rsidR="004F3379">
        <w:rPr>
          <w:rFonts w:cs="Arial"/>
        </w:rPr>
        <w:t xml:space="preserve">– despite its </w:t>
      </w:r>
      <w:r w:rsidR="00E14111">
        <w:rPr>
          <w:rFonts w:cs="Arial"/>
        </w:rPr>
        <w:t>rational intent to show</w:t>
      </w:r>
      <w:r w:rsidR="00F24277">
        <w:rPr>
          <w:rFonts w:cs="Arial"/>
        </w:rPr>
        <w:t xml:space="preserve"> the</w:t>
      </w:r>
      <w:r w:rsidR="00E14111">
        <w:rPr>
          <w:rFonts w:cs="Arial"/>
        </w:rPr>
        <w:t xml:space="preserve"> impact of costs over time – </w:t>
      </w:r>
      <w:r w:rsidRPr="006C11A4">
        <w:rPr>
          <w:rFonts w:cs="Arial"/>
        </w:rPr>
        <w:t>because it is theoretical: assumes both time horizon and a rate of return</w:t>
      </w:r>
      <w:r w:rsidR="00586A68">
        <w:rPr>
          <w:rFonts w:cs="Arial"/>
        </w:rPr>
        <w:t xml:space="preserve"> based on another theoretical assumption of the moderate </w:t>
      </w:r>
      <w:r w:rsidR="00940280">
        <w:rPr>
          <w:rFonts w:cs="Arial"/>
        </w:rPr>
        <w:t xml:space="preserve">performance </w:t>
      </w:r>
      <w:r w:rsidR="00586A68">
        <w:rPr>
          <w:rFonts w:cs="Arial"/>
        </w:rPr>
        <w:t>scenario</w:t>
      </w:r>
      <w:r w:rsidRPr="006C11A4">
        <w:rPr>
          <w:rFonts w:cs="Arial"/>
        </w:rPr>
        <w:t xml:space="preserve">. </w:t>
      </w:r>
      <w:r w:rsidR="00085246">
        <w:rPr>
          <w:rFonts w:cs="Arial"/>
        </w:rPr>
        <w:t xml:space="preserve">It </w:t>
      </w:r>
      <w:r w:rsidRPr="006C11A4">
        <w:rPr>
          <w:rFonts w:cs="Arial"/>
        </w:rPr>
        <w:t xml:space="preserve">makes one-off costs look smaller. </w:t>
      </w:r>
      <w:r w:rsidR="00864E55">
        <w:rPr>
          <w:rFonts w:cs="Arial"/>
        </w:rPr>
        <w:t>We</w:t>
      </w:r>
      <w:r w:rsidRPr="006C11A4">
        <w:rPr>
          <w:rFonts w:cs="Arial"/>
        </w:rPr>
        <w:t xml:space="preserve"> understand that this is because</w:t>
      </w:r>
      <w:r w:rsidR="00864E55">
        <w:rPr>
          <w:rFonts w:cs="Arial"/>
        </w:rPr>
        <w:t xml:space="preserve">, </w:t>
      </w:r>
      <w:r w:rsidRPr="006C11A4">
        <w:rPr>
          <w:rFonts w:cs="Arial"/>
        </w:rPr>
        <w:t>e</w:t>
      </w:r>
      <w:r w:rsidR="00864E55">
        <w:rPr>
          <w:rFonts w:cs="Arial"/>
        </w:rPr>
        <w:t>.</w:t>
      </w:r>
      <w:r w:rsidRPr="006C11A4">
        <w:rPr>
          <w:rFonts w:cs="Arial"/>
        </w:rPr>
        <w:t>g</w:t>
      </w:r>
      <w:r w:rsidR="00864E55">
        <w:rPr>
          <w:rFonts w:cs="Arial"/>
        </w:rPr>
        <w:t>.</w:t>
      </w:r>
      <w:r w:rsidRPr="006C11A4">
        <w:rPr>
          <w:rFonts w:cs="Arial"/>
        </w:rPr>
        <w:t xml:space="preserve"> </w:t>
      </w:r>
      <w:r w:rsidR="00864E55">
        <w:rPr>
          <w:rFonts w:cs="Arial"/>
        </w:rPr>
        <w:t xml:space="preserve">an </w:t>
      </w:r>
      <w:r w:rsidRPr="006C11A4">
        <w:rPr>
          <w:rFonts w:cs="Arial"/>
        </w:rPr>
        <w:t>entry fee of 1% of NAV then translates into impact of entry fee of e.g. 0.35% (as RIY) but if consumers find percentages hard to understand,</w:t>
      </w:r>
      <w:r w:rsidR="00864E55">
        <w:rPr>
          <w:rFonts w:cs="Arial"/>
        </w:rPr>
        <w:t xml:space="preserve"> we</w:t>
      </w:r>
      <w:r w:rsidRPr="006C11A4">
        <w:rPr>
          <w:rFonts w:cs="Arial"/>
        </w:rPr>
        <w:t xml:space="preserve"> would expect it is even harder for them to distinguish between % of NAV and % RIY.</w:t>
      </w:r>
    </w:p>
    <w:p w14:paraId="1335F916" w14:textId="18A170CD" w:rsidR="0036711A" w:rsidRDefault="0036711A" w:rsidP="003E573C">
      <w:pPr>
        <w:rPr>
          <w:rFonts w:cs="Arial"/>
        </w:rPr>
      </w:pPr>
    </w:p>
    <w:p w14:paraId="2548D608" w14:textId="506B12A1" w:rsidR="006C11A4" w:rsidRDefault="0036711A" w:rsidP="003E573C">
      <w:pPr>
        <w:rPr>
          <w:rFonts w:cs="Arial"/>
        </w:rPr>
      </w:pPr>
      <w:r>
        <w:rPr>
          <w:rFonts w:cs="Arial"/>
        </w:rPr>
        <w:lastRenderedPageBreak/>
        <w:t xml:space="preserve">Again, we would advocate that additional consumer testing would be required to better comprehend investors needs when it comes to cost disclosure and what measures are found truly useful to distinguish between products. </w:t>
      </w:r>
    </w:p>
    <w:p w14:paraId="6439D82F" w14:textId="77777777" w:rsidR="00B94E39" w:rsidRDefault="00B94E39" w:rsidP="003E573C">
      <w:pPr>
        <w:rPr>
          <w:rFonts w:cs="Arial"/>
        </w:rPr>
      </w:pPr>
    </w:p>
    <w:permEnd w:id="354879508"/>
    <w:p w14:paraId="0D82FF49" w14:textId="01F9B8F9"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0020970C" w:rsidR="003E573C" w:rsidRDefault="003E573C" w:rsidP="003E573C">
      <w:pPr>
        <w:rPr>
          <w:rFonts w:cs="Arial"/>
        </w:rPr>
      </w:pPr>
      <w:permStart w:id="80752736" w:edGrp="everyone"/>
    </w:p>
    <w:p w14:paraId="2F99C86F" w14:textId="6D6A40AD" w:rsidR="006A7F0A" w:rsidRDefault="0041172F" w:rsidP="003E573C">
      <w:pPr>
        <w:rPr>
          <w:rFonts w:cs="Arial"/>
        </w:rPr>
      </w:pPr>
      <w:r>
        <w:rPr>
          <w:rFonts w:cs="Arial"/>
        </w:rPr>
        <w:t>We were unable to identify PRIIPs that charge both performance fees and carried interest.</w:t>
      </w:r>
    </w:p>
    <w:p w14:paraId="7F8BAA76" w14:textId="77777777" w:rsidR="006A7F0A" w:rsidRDefault="006A7F0A" w:rsidP="003E573C">
      <w:pPr>
        <w:rPr>
          <w:rFonts w:cs="Arial"/>
        </w:rPr>
      </w:pP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 xml:space="preserve">Do you agree with this analysis from the ESAs? If yes, what are your views on the extent to which fees related to the management of the underlying real estate assets, i.e. the properties themselves, should be </w:t>
      </w:r>
      <w:proofErr w:type="gramStart"/>
      <w:r w:rsidRPr="00763760">
        <w:t>taken into account</w:t>
      </w:r>
      <w:proofErr w:type="gramEnd"/>
      <w:r w:rsidRPr="00763760">
        <w:t xml:space="preserve"> in the calculation of the cost indicators?</w:t>
      </w:r>
    </w:p>
    <w:p w14:paraId="25C6A0FE" w14:textId="1DF4300E" w:rsidR="003E573C" w:rsidRDefault="003E573C" w:rsidP="003E573C">
      <w:pPr>
        <w:rPr>
          <w:rFonts w:cs="Arial"/>
        </w:rPr>
      </w:pPr>
      <w:r>
        <w:rPr>
          <w:rFonts w:cs="Arial"/>
        </w:rPr>
        <w:t>&lt;ESA_QUESTION_PKID_38&gt;</w:t>
      </w:r>
    </w:p>
    <w:p w14:paraId="501AEB8B" w14:textId="1160C731" w:rsidR="003E573C" w:rsidRDefault="003E573C" w:rsidP="003E573C">
      <w:pPr>
        <w:rPr>
          <w:rFonts w:cs="Arial"/>
        </w:rPr>
      </w:pPr>
      <w:permStart w:id="2047886229" w:edGrp="everyone"/>
    </w:p>
    <w:p w14:paraId="48C64CD6" w14:textId="6694B79E" w:rsidR="00514CCF" w:rsidRDefault="00267C2F" w:rsidP="003E573C">
      <w:pPr>
        <w:rPr>
          <w:rFonts w:cs="Arial"/>
        </w:rPr>
      </w:pPr>
      <w:r>
        <w:rPr>
          <w:rFonts w:cs="Arial"/>
        </w:rPr>
        <w:t xml:space="preserve">Theoretically, including these costs should be fine. However, the </w:t>
      </w:r>
      <w:r w:rsidRPr="00267C2F">
        <w:rPr>
          <w:rFonts w:cs="Arial"/>
        </w:rPr>
        <w:t xml:space="preserve">concern is whether this cost will be so high that investors are not expecting </w:t>
      </w:r>
      <w:proofErr w:type="gramStart"/>
      <w:r w:rsidRPr="00267C2F">
        <w:rPr>
          <w:rFonts w:cs="Arial"/>
        </w:rPr>
        <w:t>that, and</w:t>
      </w:r>
      <w:proofErr w:type="gramEnd"/>
      <w:r w:rsidRPr="00267C2F">
        <w:rPr>
          <w:rFonts w:cs="Arial"/>
        </w:rPr>
        <w:t xml:space="preserve"> end up with massive exodus from these investments.</w:t>
      </w:r>
    </w:p>
    <w:p w14:paraId="62919765" w14:textId="72551FC2" w:rsidR="00514CCF" w:rsidRDefault="00514CCF" w:rsidP="003E573C">
      <w:pPr>
        <w:rPr>
          <w:rFonts w:cs="Arial"/>
        </w:rPr>
      </w:pPr>
    </w:p>
    <w:p w14:paraId="4343E1EC" w14:textId="7FDAFB47" w:rsidR="00514CCF" w:rsidRDefault="00C07B8A" w:rsidP="003E573C">
      <w:pPr>
        <w:rPr>
          <w:rFonts w:cs="Arial"/>
        </w:rPr>
      </w:pPr>
      <w:r w:rsidRPr="00C07B8A">
        <w:rPr>
          <w:rFonts w:cs="Arial"/>
        </w:rPr>
        <w:t xml:space="preserve">This is a question of whether these costs should appear in the numerator (as an investment fee) or be a deduction from the denominator (as a cost of running the asset). </w:t>
      </w:r>
      <w:r w:rsidR="002D176C">
        <w:rPr>
          <w:rFonts w:cs="Arial"/>
        </w:rPr>
        <w:t xml:space="preserve">Our </w:t>
      </w:r>
      <w:r w:rsidRPr="00C07B8A">
        <w:rPr>
          <w:rFonts w:cs="Arial"/>
        </w:rPr>
        <w:t xml:space="preserve">view is the latter (i.e. that they are included in net yield and not regarded as an investment fee). This does expose end-investors to potential mistreatment whereby a property fund lines its own pockets by overcharging for property services that it provides. </w:t>
      </w:r>
      <w:proofErr w:type="gramStart"/>
      <w:r w:rsidRPr="00C07B8A">
        <w:rPr>
          <w:rFonts w:cs="Arial"/>
        </w:rPr>
        <w:t>Therefore</w:t>
      </w:r>
      <w:proofErr w:type="gramEnd"/>
      <w:r w:rsidRPr="00C07B8A">
        <w:rPr>
          <w:rFonts w:cs="Arial"/>
        </w:rPr>
        <w:t xml:space="preserve"> </w:t>
      </w:r>
      <w:r w:rsidR="009B1666">
        <w:rPr>
          <w:rFonts w:cs="Arial"/>
        </w:rPr>
        <w:t>we</w:t>
      </w:r>
      <w:r w:rsidRPr="00C07B8A">
        <w:rPr>
          <w:rFonts w:cs="Arial"/>
        </w:rPr>
        <w:t xml:space="preserve"> think the ESAs are correct to also ask for specific disclosure about how large the deduction for property management costs was and what proportion related to in-house services.</w:t>
      </w:r>
    </w:p>
    <w:p w14:paraId="74D3F12E" w14:textId="77777777" w:rsidR="00514CCF" w:rsidRDefault="00514CCF" w:rsidP="003E573C">
      <w:pPr>
        <w:rPr>
          <w:rFonts w:cs="Arial"/>
        </w:rPr>
      </w:pP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4C17295C" w14:textId="06F1FE3F" w:rsidR="003E0AD1" w:rsidRDefault="003E0AD1" w:rsidP="003E573C">
      <w:pPr>
        <w:rPr>
          <w:rFonts w:cs="Arial"/>
        </w:rPr>
      </w:pPr>
      <w:permStart w:id="777852593" w:edGrp="everyone"/>
    </w:p>
    <w:p w14:paraId="0CB359E2" w14:textId="7A7D0AE7" w:rsidR="00B1370F" w:rsidRDefault="00590149" w:rsidP="003E573C">
      <w:pPr>
        <w:rPr>
          <w:rFonts w:cs="Arial"/>
        </w:rPr>
      </w:pPr>
      <w:r>
        <w:rPr>
          <w:rFonts w:cs="Arial"/>
        </w:rPr>
        <w:t>We have analysed this question and the proposed options from the point of view of which one consisted in the best compromise</w:t>
      </w:r>
      <w:r w:rsidR="00926E31">
        <w:rPr>
          <w:rFonts w:cs="Arial"/>
        </w:rPr>
        <w:t>.</w:t>
      </w:r>
    </w:p>
    <w:p w14:paraId="2A184571" w14:textId="002CCDE8" w:rsidR="00926E31" w:rsidRDefault="00926E31" w:rsidP="003E573C">
      <w:pPr>
        <w:rPr>
          <w:rFonts w:cs="Arial"/>
        </w:rPr>
      </w:pPr>
    </w:p>
    <w:p w14:paraId="51E3E631" w14:textId="507BDD09" w:rsidR="00926E31" w:rsidRDefault="00926E31" w:rsidP="003E573C">
      <w:pPr>
        <w:rPr>
          <w:rFonts w:cs="Arial"/>
        </w:rPr>
      </w:pPr>
      <w:r>
        <w:rPr>
          <w:rFonts w:cs="Arial"/>
        </w:rPr>
        <w:t xml:space="preserve">From this perspective and the need to harmonise with MiFID II, then yes, we agree option 3 is preferable. </w:t>
      </w:r>
      <w:r w:rsidR="00C500A9">
        <w:rPr>
          <w:rFonts w:cs="Arial"/>
        </w:rPr>
        <w:t xml:space="preserve">This is </w:t>
      </w:r>
      <w:proofErr w:type="gramStart"/>
      <w:r w:rsidR="00C500A9">
        <w:rPr>
          <w:rFonts w:cs="Arial"/>
        </w:rPr>
        <w:t>in spite of</w:t>
      </w:r>
      <w:proofErr w:type="gramEnd"/>
      <w:r w:rsidR="00C500A9">
        <w:rPr>
          <w:rFonts w:cs="Arial"/>
        </w:rPr>
        <w:t xml:space="preserve"> our reservations as regards the RIY calculation approach and theoretical assumptions. </w:t>
      </w:r>
    </w:p>
    <w:p w14:paraId="37664249" w14:textId="6909B5BF" w:rsidR="00B42D37" w:rsidRDefault="00B42D37" w:rsidP="003E573C">
      <w:pPr>
        <w:rPr>
          <w:rFonts w:cs="Arial"/>
        </w:rPr>
      </w:pPr>
    </w:p>
    <w:p w14:paraId="348E4850" w14:textId="2F1499C7" w:rsidR="00B42D37" w:rsidRDefault="00B42D37" w:rsidP="003E573C">
      <w:pPr>
        <w:rPr>
          <w:rFonts w:cs="Arial"/>
        </w:rPr>
      </w:pPr>
      <w:r>
        <w:rPr>
          <w:rFonts w:cs="Arial"/>
        </w:rPr>
        <w:t xml:space="preserve">Again, further consumer testing could be warranted in order to provide an informed opinion based on investor experience rather than our theoretical views on the matter. </w:t>
      </w:r>
    </w:p>
    <w:p w14:paraId="2C19B8F3" w14:textId="11E639C3" w:rsidR="00B1370F" w:rsidRDefault="00B1370F" w:rsidP="003E573C">
      <w:pPr>
        <w:rPr>
          <w:rFonts w:cs="Arial"/>
        </w:rPr>
      </w:pPr>
    </w:p>
    <w:p w14:paraId="4842B938" w14:textId="0340EE5C" w:rsidR="00B1370F" w:rsidRDefault="00AA6598" w:rsidP="003E573C">
      <w:pPr>
        <w:rPr>
          <w:rFonts w:cs="Arial"/>
        </w:rPr>
      </w:pPr>
      <w:r>
        <w:rPr>
          <w:rFonts w:cs="Arial"/>
        </w:rPr>
        <w:t>However, option 3 remains complicated to understand for investors and r</w:t>
      </w:r>
      <w:r w:rsidR="00440D2B">
        <w:rPr>
          <w:rFonts w:cs="Arial"/>
        </w:rPr>
        <w:t xml:space="preserve">uns the risk of </w:t>
      </w:r>
      <w:r w:rsidR="00C045B0">
        <w:rPr>
          <w:rFonts w:cs="Arial"/>
        </w:rPr>
        <w:t>information overkill</w:t>
      </w:r>
      <w:r w:rsidR="00440D2B">
        <w:rPr>
          <w:rFonts w:cs="Arial"/>
        </w:rPr>
        <w:t xml:space="preserve">. </w:t>
      </w:r>
    </w:p>
    <w:p w14:paraId="03038042" w14:textId="5D6F5ABC" w:rsidR="00B0230C" w:rsidRDefault="00B0230C" w:rsidP="003E573C">
      <w:pPr>
        <w:rPr>
          <w:rFonts w:cs="Arial"/>
        </w:rPr>
      </w:pPr>
    </w:p>
    <w:permEnd w:id="777852593"/>
    <w:p w14:paraId="2AB035EE" w14:textId="1E5FEF07"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5CA6CDE6" w14:textId="2E6834A0" w:rsidR="008451F8" w:rsidRDefault="003E573C" w:rsidP="003E573C">
      <w:pPr>
        <w:rPr>
          <w:rFonts w:cs="Arial"/>
        </w:rPr>
      </w:pPr>
      <w:r>
        <w:rPr>
          <w:rFonts w:cs="Arial"/>
        </w:rPr>
        <w:t>&lt;ESA_QUESTION_PKID_40&gt;</w:t>
      </w:r>
    </w:p>
    <w:p w14:paraId="68115E0D" w14:textId="77777777" w:rsidR="003B1B9B" w:rsidRDefault="003B1B9B" w:rsidP="003B1B9B">
      <w:pPr>
        <w:rPr>
          <w:rFonts w:cs="Arial"/>
        </w:rPr>
      </w:pPr>
      <w:permStart w:id="1562183048" w:edGrp="everyone"/>
    </w:p>
    <w:p w14:paraId="091A4E3E" w14:textId="5CB82BE8" w:rsidR="003B1B9B" w:rsidRDefault="003B1B9B" w:rsidP="003B1B9B">
      <w:pPr>
        <w:rPr>
          <w:rFonts w:cs="Arial"/>
        </w:rPr>
      </w:pPr>
      <w:r>
        <w:rPr>
          <w:rFonts w:cs="Arial"/>
        </w:rPr>
        <w:t>Members have expressed different views on this question.</w:t>
      </w:r>
    </w:p>
    <w:p w14:paraId="20793ABA" w14:textId="65CEA412" w:rsidR="003B1B9B" w:rsidRDefault="003B1B9B" w:rsidP="003B1B9B">
      <w:pPr>
        <w:rPr>
          <w:rFonts w:cs="Arial"/>
        </w:rPr>
      </w:pPr>
    </w:p>
    <w:p w14:paraId="437930B6" w14:textId="5D129427" w:rsidR="003B1B9B" w:rsidRDefault="003B1B9B" w:rsidP="003B1B9B">
      <w:pPr>
        <w:rPr>
          <w:rFonts w:cs="Arial"/>
        </w:rPr>
      </w:pPr>
      <w:r>
        <w:rPr>
          <w:rFonts w:cs="Arial"/>
        </w:rPr>
        <w:t>Perhaps the preferred option was not among the list proposed as members expressed in general a preference for simpler and lighter information</w:t>
      </w:r>
      <w:r w:rsidR="0071079A">
        <w:rPr>
          <w:rFonts w:cs="Arial"/>
        </w:rPr>
        <w:t xml:space="preserve">. In general, the following summarises how respondents </w:t>
      </w:r>
      <w:r w:rsidR="00A66E79">
        <w:rPr>
          <w:rFonts w:cs="Arial"/>
        </w:rPr>
        <w:t>saw investor needs for information on costs:</w:t>
      </w:r>
    </w:p>
    <w:p w14:paraId="2A933BD5" w14:textId="6D6B2561" w:rsidR="0071079A" w:rsidRDefault="0071079A" w:rsidP="003B1B9B">
      <w:pPr>
        <w:rPr>
          <w:rFonts w:cs="Arial"/>
        </w:rPr>
      </w:pPr>
    </w:p>
    <w:p w14:paraId="4285F39F" w14:textId="4FE91F48" w:rsidR="0071079A" w:rsidRDefault="00A66E79" w:rsidP="00B928C4">
      <w:pPr>
        <w:ind w:left="709"/>
        <w:rPr>
          <w:rFonts w:cs="Arial"/>
        </w:rPr>
      </w:pPr>
      <w:r>
        <w:rPr>
          <w:rFonts w:cs="Arial"/>
        </w:rPr>
        <w:t xml:space="preserve">Information that: </w:t>
      </w:r>
      <w:r w:rsidR="0071079A" w:rsidRPr="0071079A">
        <w:rPr>
          <w:rFonts w:cs="Arial"/>
        </w:rPr>
        <w:t>(a) shows % of NAV so that the figures are consistent with MiFID II disclosure</w:t>
      </w:r>
      <w:r w:rsidR="001128CE">
        <w:rPr>
          <w:rFonts w:cs="Arial"/>
        </w:rPr>
        <w:t>;</w:t>
      </w:r>
      <w:r w:rsidR="0071079A" w:rsidRPr="0071079A">
        <w:rPr>
          <w:rFonts w:cs="Arial"/>
        </w:rPr>
        <w:t xml:space="preserve"> </w:t>
      </w:r>
      <w:r w:rsidR="001128CE">
        <w:rPr>
          <w:rFonts w:cs="Arial"/>
        </w:rPr>
        <w:t>b) t</w:t>
      </w:r>
      <w:r w:rsidR="0071079A" w:rsidRPr="0071079A">
        <w:rPr>
          <w:rFonts w:cs="Arial"/>
        </w:rPr>
        <w:t xml:space="preserve">hen </w:t>
      </w:r>
      <w:r w:rsidR="001128CE">
        <w:rPr>
          <w:rFonts w:cs="Arial"/>
        </w:rPr>
        <w:t>t</w:t>
      </w:r>
      <w:r w:rsidR="0071079A" w:rsidRPr="0071079A">
        <w:rPr>
          <w:rFonts w:cs="Arial"/>
        </w:rPr>
        <w:t xml:space="preserve">he figures for RHP/2 </w:t>
      </w:r>
      <w:r w:rsidR="001128CE">
        <w:rPr>
          <w:rFonts w:cs="Arial"/>
        </w:rPr>
        <w:t xml:space="preserve">could be removed </w:t>
      </w:r>
      <w:r w:rsidR="0071079A" w:rsidRPr="0071079A">
        <w:rPr>
          <w:rFonts w:cs="Arial"/>
        </w:rPr>
        <w:t>because this is unnecessary and too much information</w:t>
      </w:r>
      <w:r w:rsidR="001128CE">
        <w:rPr>
          <w:rFonts w:cs="Arial"/>
        </w:rPr>
        <w:t>; c)</w:t>
      </w:r>
      <w:r w:rsidR="0071079A" w:rsidRPr="0071079A">
        <w:rPr>
          <w:rFonts w:cs="Arial"/>
        </w:rPr>
        <w:t xml:space="preserve"> </w:t>
      </w:r>
      <w:r w:rsidR="001128CE">
        <w:rPr>
          <w:rFonts w:cs="Arial"/>
        </w:rPr>
        <w:t>s</w:t>
      </w:r>
      <w:r w:rsidR="0071079A" w:rsidRPr="0071079A">
        <w:rPr>
          <w:rFonts w:cs="Arial"/>
        </w:rPr>
        <w:t>how RIY only on a total cost basis next to a total cost indicator that is % of NAV</w:t>
      </w:r>
      <w:r w:rsidR="00E3538A">
        <w:rPr>
          <w:rFonts w:cs="Arial"/>
        </w:rPr>
        <w:t xml:space="preserve">; d) </w:t>
      </w:r>
      <w:r w:rsidR="0071079A" w:rsidRPr="0071079A">
        <w:rPr>
          <w:rFonts w:cs="Arial"/>
        </w:rPr>
        <w:t>need to maintain the breakdown of individual cost components</w:t>
      </w:r>
      <w:r w:rsidR="00E3538A">
        <w:rPr>
          <w:rFonts w:cs="Arial"/>
        </w:rPr>
        <w:t xml:space="preserve"> and their description</w:t>
      </w:r>
      <w:r w:rsidR="0071079A" w:rsidRPr="0071079A">
        <w:rPr>
          <w:rFonts w:cs="Arial"/>
        </w:rPr>
        <w:t xml:space="preserve">. </w:t>
      </w:r>
    </w:p>
    <w:p w14:paraId="3D61F814" w14:textId="7276F8D2" w:rsidR="00E3538A" w:rsidRDefault="00E3538A" w:rsidP="003B1B9B">
      <w:pPr>
        <w:rPr>
          <w:rFonts w:cs="Arial"/>
        </w:rPr>
      </w:pPr>
    </w:p>
    <w:p w14:paraId="59347D29" w14:textId="35774995" w:rsidR="00E3538A" w:rsidRDefault="00E3538A" w:rsidP="003B1B9B">
      <w:pPr>
        <w:rPr>
          <w:rFonts w:cs="Arial"/>
        </w:rPr>
      </w:pPr>
      <w:r>
        <w:rPr>
          <w:rFonts w:cs="Arial"/>
        </w:rPr>
        <w:t xml:space="preserve">Eventually, </w:t>
      </w:r>
      <w:proofErr w:type="gramStart"/>
      <w:r>
        <w:rPr>
          <w:rFonts w:cs="Arial"/>
        </w:rPr>
        <w:t>an</w:t>
      </w:r>
      <w:proofErr w:type="gramEnd"/>
      <w:r>
        <w:rPr>
          <w:rFonts w:cs="Arial"/>
        </w:rPr>
        <w:t xml:space="preserve"> further option 5 which would combine </w:t>
      </w:r>
      <w:r w:rsidR="00D63E8D">
        <w:rPr>
          <w:rFonts w:cs="Arial"/>
        </w:rPr>
        <w:t>current options 3 and 4?</w:t>
      </w:r>
    </w:p>
    <w:p w14:paraId="34482CBD" w14:textId="77777777" w:rsidR="00E3538A" w:rsidRDefault="00E3538A" w:rsidP="003B1B9B">
      <w:pPr>
        <w:rPr>
          <w:rFonts w:cs="Arial"/>
        </w:rPr>
      </w:pPr>
    </w:p>
    <w:p w14:paraId="51385832" w14:textId="77777777" w:rsidR="003B1B9B" w:rsidRDefault="003B1B9B" w:rsidP="003B1B9B">
      <w:pPr>
        <w:rPr>
          <w:rFonts w:cs="Arial"/>
        </w:rPr>
      </w:pPr>
    </w:p>
    <w:permEnd w:id="1562183048"/>
    <w:p w14:paraId="74A0C740" w14:textId="6F94A381"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proofErr w:type="gramStart"/>
      <w:r w:rsidRPr="00763760">
        <w:t>In particular, do</w:t>
      </w:r>
      <w:proofErr w:type="gramEnd"/>
      <w:r w:rsidRPr="00763760">
        <w:t xml:space="preserve">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6E81B700" w14:textId="77777777" w:rsidR="00E038CD" w:rsidRDefault="00E038CD" w:rsidP="003E573C">
      <w:pPr>
        <w:rPr>
          <w:rFonts w:cs="Arial"/>
        </w:rPr>
      </w:pPr>
      <w:permStart w:id="855140723" w:edGrp="everyone"/>
    </w:p>
    <w:p w14:paraId="6D38C1BE" w14:textId="5C9B02CD" w:rsidR="00E038CD" w:rsidRDefault="00267C2F" w:rsidP="003E573C">
      <w:pPr>
        <w:rPr>
          <w:rFonts w:cs="Arial"/>
        </w:rPr>
      </w:pPr>
      <w:r>
        <w:rPr>
          <w:rFonts w:cs="Arial"/>
        </w:rPr>
        <w:t>We are in favour of showing both returns net and gross of fees</w:t>
      </w:r>
      <w:r w:rsidR="00482B90">
        <w:rPr>
          <w:rFonts w:cs="Arial"/>
        </w:rPr>
        <w:t>. All returns, whether gross or net, should be net of transaction costs</w:t>
      </w:r>
      <w:r w:rsidR="004E4839">
        <w:rPr>
          <w:rFonts w:cs="Arial"/>
        </w:rPr>
        <w:t xml:space="preserve"> in any case</w:t>
      </w:r>
      <w:r w:rsidR="00482B90">
        <w:rPr>
          <w:rFonts w:cs="Arial"/>
        </w:rPr>
        <w:t xml:space="preserve">, </w:t>
      </w:r>
      <w:r w:rsidR="004E4839">
        <w:rPr>
          <w:rFonts w:cs="Arial"/>
        </w:rPr>
        <w:t>as these</w:t>
      </w:r>
      <w:r w:rsidR="000A7D04">
        <w:rPr>
          <w:rFonts w:cs="Arial"/>
        </w:rPr>
        <w:t xml:space="preserve"> are embedded in the management of the fund in all cases</w:t>
      </w:r>
      <w:r w:rsidR="00482B90">
        <w:rPr>
          <w:rFonts w:cs="Arial"/>
        </w:rPr>
        <w:t xml:space="preserve">. This is the same approach </w:t>
      </w:r>
      <w:r w:rsidR="00F25A06">
        <w:rPr>
          <w:rFonts w:cs="Arial"/>
        </w:rPr>
        <w:t xml:space="preserve">prescribed under GIPS standards. </w:t>
      </w:r>
      <w:r w:rsidR="00482B90">
        <w:rPr>
          <w:rFonts w:cs="Arial"/>
        </w:rPr>
        <w:t>There should also be a clear indication of what net and gross fees are</w:t>
      </w:r>
      <w:r w:rsidR="00F25A06">
        <w:rPr>
          <w:rFonts w:cs="Arial"/>
        </w:rPr>
        <w:t xml:space="preserve">, and their various sub-components to ensure a level playing field and comparability across regulatory frameworks and across products. </w:t>
      </w:r>
    </w:p>
    <w:p w14:paraId="38261D99" w14:textId="0744D968" w:rsidR="00DD4D1E" w:rsidRDefault="00DD4D1E" w:rsidP="003E573C">
      <w:pPr>
        <w:rPr>
          <w:rFonts w:cs="Arial"/>
        </w:rPr>
      </w:pPr>
    </w:p>
    <w:p w14:paraId="77551F4E" w14:textId="36B180B7" w:rsidR="008078C2" w:rsidRDefault="008078C2" w:rsidP="003E573C">
      <w:pPr>
        <w:rPr>
          <w:rFonts w:cs="Arial"/>
        </w:rPr>
      </w:pPr>
      <w:r>
        <w:rPr>
          <w:rFonts w:cs="Arial"/>
        </w:rPr>
        <w:t>For reference, CFA Society of the UK</w:t>
      </w:r>
      <w:r w:rsidR="009A6097">
        <w:rPr>
          <w:rFonts w:cs="Arial"/>
        </w:rPr>
        <w:t xml:space="preserve"> published in December 2018</w:t>
      </w:r>
      <w:r w:rsidR="00D14EA1">
        <w:rPr>
          <w:rFonts w:cs="Arial"/>
        </w:rPr>
        <w:t xml:space="preserve"> a whitepaper on Value for Money in the UK </w:t>
      </w:r>
      <w:r w:rsidR="003650DC">
        <w:rPr>
          <w:rFonts w:cs="Arial"/>
        </w:rPr>
        <w:t xml:space="preserve">investment sector titled Value </w:t>
      </w:r>
      <w:proofErr w:type="gramStart"/>
      <w:r w:rsidR="003650DC">
        <w:rPr>
          <w:rFonts w:cs="Arial"/>
        </w:rPr>
        <w:t>For</w:t>
      </w:r>
      <w:proofErr w:type="gramEnd"/>
      <w:r w:rsidR="003650DC">
        <w:rPr>
          <w:rFonts w:cs="Arial"/>
        </w:rPr>
        <w:t xml:space="preserve"> Money: A Framework for Assessment.</w:t>
      </w:r>
    </w:p>
    <w:p w14:paraId="52A3BE27" w14:textId="6EC2B78E" w:rsidR="003650DC" w:rsidRDefault="003650DC" w:rsidP="003E573C">
      <w:pPr>
        <w:rPr>
          <w:rFonts w:cs="Arial"/>
        </w:rPr>
      </w:pPr>
    </w:p>
    <w:p w14:paraId="3F08B72D" w14:textId="1630AE81" w:rsidR="003650DC" w:rsidRDefault="009769B8" w:rsidP="003E573C">
      <w:pPr>
        <w:rPr>
          <w:rFonts w:cs="Arial"/>
        </w:rPr>
      </w:pPr>
      <w:hyperlink r:id="rId22" w:history="1">
        <w:r w:rsidR="003650DC" w:rsidRPr="00E61753">
          <w:rPr>
            <w:rStyle w:val="Hyperlink"/>
            <w:rFonts w:cs="Arial"/>
          </w:rPr>
          <w:t>https://www.cfauk.org/media-centre/cfa-uk--proposes-new-value-for-money-framework</w:t>
        </w:r>
      </w:hyperlink>
    </w:p>
    <w:p w14:paraId="47B8356B" w14:textId="77777777" w:rsidR="003650DC" w:rsidRDefault="003650DC" w:rsidP="003E573C">
      <w:pPr>
        <w:rPr>
          <w:rFonts w:cs="Arial"/>
        </w:rPr>
      </w:pPr>
    </w:p>
    <w:p w14:paraId="4374A278" w14:textId="4CD3FC31" w:rsidR="00E038CD" w:rsidRDefault="00DD4D1E" w:rsidP="003E573C">
      <w:pPr>
        <w:rPr>
          <w:rFonts w:cs="Arial"/>
        </w:rPr>
      </w:pPr>
      <w:r w:rsidRPr="00DD4D1E">
        <w:rPr>
          <w:rFonts w:cs="Arial"/>
        </w:rPr>
        <w:t xml:space="preserve">In CFA UK's VFM report we advocate for showing returns net and gross of fees. </w:t>
      </w:r>
      <w:r w:rsidR="0034391A">
        <w:rPr>
          <w:rFonts w:cs="Arial"/>
        </w:rPr>
        <w:t xml:space="preserve">In addition, </w:t>
      </w:r>
      <w:r w:rsidRPr="00DD4D1E">
        <w:rPr>
          <w:rFonts w:cs="Arial"/>
        </w:rPr>
        <w:t xml:space="preserve">CFA Institute's Guidance to Effective Investment Reporting (p14, </w:t>
      </w:r>
      <w:proofErr w:type="spellStart"/>
      <w:r w:rsidRPr="00DD4D1E">
        <w:rPr>
          <w:rFonts w:cs="Arial"/>
        </w:rPr>
        <w:t>Vj</w:t>
      </w:r>
      <w:proofErr w:type="spellEnd"/>
      <w:r w:rsidRPr="00DD4D1E">
        <w:rPr>
          <w:rFonts w:cs="Arial"/>
        </w:rPr>
        <w:t>) caution</w:t>
      </w:r>
      <w:r w:rsidR="00C03A10">
        <w:rPr>
          <w:rFonts w:cs="Arial"/>
        </w:rPr>
        <w:t>s</w:t>
      </w:r>
      <w:r w:rsidRPr="00DD4D1E">
        <w:rPr>
          <w:rFonts w:cs="Arial"/>
        </w:rPr>
        <w:t xml:space="preserve"> that it must be c</w:t>
      </w:r>
      <w:r w:rsidR="00C03A10">
        <w:rPr>
          <w:rFonts w:cs="Arial"/>
        </w:rPr>
        <w:t>l</w:t>
      </w:r>
      <w:r w:rsidRPr="00DD4D1E">
        <w:rPr>
          <w:rFonts w:cs="Arial"/>
        </w:rPr>
        <w:t xml:space="preserve">ear what net and gross </w:t>
      </w:r>
      <w:r w:rsidR="00AF5B4B">
        <w:rPr>
          <w:rFonts w:cs="Arial"/>
        </w:rPr>
        <w:t xml:space="preserve">figures </w:t>
      </w:r>
      <w:r w:rsidRPr="00DD4D1E">
        <w:rPr>
          <w:rFonts w:cs="Arial"/>
        </w:rPr>
        <w:t>are</w:t>
      </w:r>
      <w:r w:rsidR="00AF5B4B">
        <w:rPr>
          <w:rFonts w:cs="Arial"/>
        </w:rPr>
        <w:t xml:space="preserve"> meant to represent</w:t>
      </w:r>
      <w:r w:rsidR="00C03A10">
        <w:rPr>
          <w:rFonts w:cs="Arial"/>
        </w:rPr>
        <w:t>.</w:t>
      </w:r>
    </w:p>
    <w:p w14:paraId="78F0E8EF" w14:textId="77777777" w:rsidR="00E038CD" w:rsidRDefault="00E038CD" w:rsidP="003E573C">
      <w:pPr>
        <w:rPr>
          <w:rFonts w:cs="Arial"/>
        </w:rPr>
      </w:pPr>
    </w:p>
    <w:permEnd w:id="855140723"/>
    <w:p w14:paraId="7E838799" w14:textId="6C89AE4E"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581C88D2" w:rsidR="003E573C" w:rsidRDefault="003E573C" w:rsidP="003E573C">
      <w:pPr>
        <w:rPr>
          <w:rFonts w:cs="Arial"/>
        </w:rPr>
      </w:pPr>
      <w:permStart w:id="1223957116" w:edGrp="everyone"/>
    </w:p>
    <w:p w14:paraId="59B9D241" w14:textId="40200386" w:rsidR="00D54BE4" w:rsidRDefault="00A64D68" w:rsidP="003E573C">
      <w:pPr>
        <w:rPr>
          <w:rFonts w:cs="Arial"/>
        </w:rPr>
      </w:pPr>
      <w:r>
        <w:rPr>
          <w:rFonts w:cs="Arial"/>
        </w:rPr>
        <w:t>No.</w:t>
      </w:r>
    </w:p>
    <w:p w14:paraId="50CCBC5D" w14:textId="77777777" w:rsidR="00D54BE4" w:rsidRDefault="00D54BE4" w:rsidP="003E573C">
      <w:pPr>
        <w:rPr>
          <w:rFonts w:cs="Arial"/>
        </w:rPr>
      </w:pPr>
    </w:p>
    <w:permEnd w:id="1223957116"/>
    <w:p w14:paraId="12724384" w14:textId="03222AB3"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4233BFF7" w14:textId="77777777" w:rsidR="00474542" w:rsidRDefault="00474542" w:rsidP="003E573C">
      <w:pPr>
        <w:rPr>
          <w:rFonts w:cs="Arial"/>
        </w:rPr>
      </w:pPr>
      <w:permStart w:id="1305246923" w:edGrp="everyone"/>
    </w:p>
    <w:p w14:paraId="1255F6DA" w14:textId="21402AAB" w:rsidR="00474542" w:rsidRDefault="003E170E" w:rsidP="003E573C">
      <w:pPr>
        <w:rPr>
          <w:rFonts w:cs="Arial"/>
        </w:rPr>
      </w:pPr>
      <w:r>
        <w:rPr>
          <w:rFonts w:cs="Arial"/>
        </w:rPr>
        <w:lastRenderedPageBreak/>
        <w:t xml:space="preserve">As part of the answer to this question, we would like to provide a more general </w:t>
      </w:r>
      <w:r w:rsidR="00481F05">
        <w:rPr>
          <w:rFonts w:cs="Arial"/>
        </w:rPr>
        <w:t xml:space="preserve">remark on the treatment of transaction costs in general and </w:t>
      </w:r>
      <w:proofErr w:type="gramStart"/>
      <w:r w:rsidR="00481F05">
        <w:rPr>
          <w:rFonts w:cs="Arial"/>
        </w:rPr>
        <w:t>slippage in particular</w:t>
      </w:r>
      <w:proofErr w:type="gramEnd"/>
      <w:r w:rsidR="00481F05">
        <w:rPr>
          <w:rFonts w:cs="Arial"/>
        </w:rPr>
        <w:t>.</w:t>
      </w:r>
    </w:p>
    <w:p w14:paraId="35B1A7CE" w14:textId="7B7F60D3" w:rsidR="009D0800" w:rsidRDefault="009D0800" w:rsidP="003E573C">
      <w:pPr>
        <w:rPr>
          <w:rFonts w:cs="Arial"/>
        </w:rPr>
      </w:pPr>
    </w:p>
    <w:p w14:paraId="60B27A6F" w14:textId="324080BB" w:rsidR="009D0800" w:rsidRDefault="009D0800" w:rsidP="003E573C">
      <w:pPr>
        <w:rPr>
          <w:rFonts w:cs="Arial"/>
        </w:rPr>
      </w:pPr>
      <w:r>
        <w:rPr>
          <w:rFonts w:cs="Arial"/>
        </w:rPr>
        <w:t xml:space="preserve">As expressed in our introduction to this document, the survey we have conducted of our membership </w:t>
      </w:r>
      <w:r w:rsidR="005708E2">
        <w:rPr>
          <w:rFonts w:cs="Arial"/>
        </w:rPr>
        <w:t xml:space="preserve">in December 2019 showed that the industry is rather split on whether slippage represents a genuine transaction cost that should be reported as such to investors or rather whether it qualifies as </w:t>
      </w:r>
      <w:r w:rsidR="00FC3B90">
        <w:rPr>
          <w:rFonts w:cs="Arial"/>
        </w:rPr>
        <w:t xml:space="preserve">market risk and how best execution was achieved. </w:t>
      </w:r>
      <w:r w:rsidR="00BC2753">
        <w:rPr>
          <w:rFonts w:cs="Arial"/>
        </w:rPr>
        <w:t xml:space="preserve">Further research and consultation </w:t>
      </w:r>
      <w:proofErr w:type="gramStart"/>
      <w:r w:rsidR="00BC2753">
        <w:rPr>
          <w:rFonts w:cs="Arial"/>
        </w:rPr>
        <w:t>appears</w:t>
      </w:r>
      <w:proofErr w:type="gramEnd"/>
      <w:r w:rsidR="00BC2753">
        <w:rPr>
          <w:rFonts w:cs="Arial"/>
        </w:rPr>
        <w:t xml:space="preserve"> to be warranted to reach a better consensus on how to process and integrate slippage and implicit costs, perhaps depending on underlying assets or strategies, liquidity</w:t>
      </w:r>
      <w:r w:rsidR="00DB6A25">
        <w:rPr>
          <w:rFonts w:cs="Arial"/>
        </w:rPr>
        <w:t xml:space="preserve"> and other measures which would reflect more accurately the actual implicit costs of the assets in question.</w:t>
      </w:r>
    </w:p>
    <w:p w14:paraId="1F2487F7" w14:textId="46811A1A" w:rsidR="00474542" w:rsidRDefault="00474542" w:rsidP="003E573C">
      <w:pPr>
        <w:rPr>
          <w:rFonts w:cs="Arial"/>
        </w:rPr>
      </w:pPr>
    </w:p>
    <w:p w14:paraId="61D33B2C" w14:textId="3D3505C9" w:rsidR="007779C5" w:rsidRDefault="007779C5" w:rsidP="003E573C">
      <w:pPr>
        <w:rPr>
          <w:rFonts w:cs="Arial"/>
        </w:rPr>
      </w:pPr>
      <w:r>
        <w:rPr>
          <w:rFonts w:cs="Arial"/>
        </w:rPr>
        <w:t xml:space="preserve">We cannot really agree on thresholds as it would introduce differential treatment </w:t>
      </w:r>
      <w:r w:rsidR="00297443">
        <w:rPr>
          <w:rFonts w:cs="Arial"/>
        </w:rPr>
        <w:t>between funds.</w:t>
      </w:r>
    </w:p>
    <w:p w14:paraId="52E91D1E" w14:textId="77777777" w:rsidR="00297443" w:rsidRDefault="00297443" w:rsidP="003E573C">
      <w:pPr>
        <w:rPr>
          <w:rFonts w:cs="Arial"/>
        </w:rPr>
      </w:pPr>
    </w:p>
    <w:p w14:paraId="556BB2A1" w14:textId="63FFF89A" w:rsidR="00BC3A9B" w:rsidRPr="00BC3A9B" w:rsidRDefault="00297443" w:rsidP="00BC3A9B">
      <w:pPr>
        <w:rPr>
          <w:rFonts w:cs="Arial"/>
        </w:rPr>
      </w:pPr>
      <w:r>
        <w:rPr>
          <w:rFonts w:cs="Arial"/>
        </w:rPr>
        <w:t>Our thoughts on this question include:</w:t>
      </w:r>
    </w:p>
    <w:p w14:paraId="1FB0AC32" w14:textId="77777777" w:rsidR="00BC3A9B" w:rsidRPr="00BC3A9B" w:rsidRDefault="00BC3A9B" w:rsidP="00BC3A9B">
      <w:pPr>
        <w:rPr>
          <w:rFonts w:cs="Arial"/>
        </w:rPr>
      </w:pPr>
    </w:p>
    <w:p w14:paraId="57CACE9B" w14:textId="198C0672" w:rsidR="00BC3A9B" w:rsidRPr="00297443" w:rsidRDefault="00297443" w:rsidP="00297443">
      <w:pPr>
        <w:pStyle w:val="ListParagraph"/>
        <w:numPr>
          <w:ilvl w:val="0"/>
          <w:numId w:val="56"/>
        </w:numPr>
        <w:rPr>
          <w:rFonts w:cs="Arial"/>
        </w:rPr>
      </w:pPr>
      <w:r>
        <w:rPr>
          <w:rFonts w:cs="Arial"/>
        </w:rPr>
        <w:t>I</w:t>
      </w:r>
      <w:r w:rsidR="00BC3A9B" w:rsidRPr="00297443">
        <w:rPr>
          <w:rFonts w:cs="Arial"/>
        </w:rPr>
        <w:t xml:space="preserve">mplicit costs </w:t>
      </w:r>
      <w:r w:rsidR="004B6BBE">
        <w:rPr>
          <w:rFonts w:cs="Arial"/>
        </w:rPr>
        <w:t xml:space="preserve">should </w:t>
      </w:r>
      <w:r w:rsidR="00BC3A9B" w:rsidRPr="00297443">
        <w:rPr>
          <w:rFonts w:cs="Arial"/>
        </w:rPr>
        <w:t>be included. Investors need to see the impact of a fund that over-trades;</w:t>
      </w:r>
    </w:p>
    <w:p w14:paraId="1A650559" w14:textId="77777777" w:rsidR="00BC3A9B" w:rsidRPr="00BC3A9B" w:rsidRDefault="00BC3A9B" w:rsidP="00BC3A9B">
      <w:pPr>
        <w:rPr>
          <w:rFonts w:cs="Arial"/>
        </w:rPr>
      </w:pPr>
    </w:p>
    <w:p w14:paraId="308AF688" w14:textId="2987622C" w:rsidR="00BC3A9B" w:rsidRPr="00297443" w:rsidRDefault="00297443" w:rsidP="00297443">
      <w:pPr>
        <w:pStyle w:val="ListParagraph"/>
        <w:numPr>
          <w:ilvl w:val="0"/>
          <w:numId w:val="56"/>
        </w:numPr>
        <w:rPr>
          <w:rFonts w:cs="Arial"/>
        </w:rPr>
      </w:pPr>
      <w:r>
        <w:rPr>
          <w:rFonts w:cs="Arial"/>
        </w:rPr>
        <w:t>T</w:t>
      </w:r>
      <w:r w:rsidR="00BC3A9B" w:rsidRPr="00297443">
        <w:rPr>
          <w:rFonts w:cs="Arial"/>
        </w:rPr>
        <w:t>here are clear industry concerns about accuracy</w:t>
      </w:r>
      <w:r>
        <w:rPr>
          <w:rFonts w:cs="Arial"/>
        </w:rPr>
        <w:t xml:space="preserve"> of the calculation method</w:t>
      </w:r>
      <w:r w:rsidR="00BC3A9B" w:rsidRPr="00297443">
        <w:rPr>
          <w:rFonts w:cs="Arial"/>
        </w:rPr>
        <w:t xml:space="preserve">. </w:t>
      </w:r>
      <w:r w:rsidR="004B6BBE">
        <w:rPr>
          <w:rFonts w:cs="Arial"/>
        </w:rPr>
        <w:t>We</w:t>
      </w:r>
      <w:r w:rsidR="00BC3A9B" w:rsidRPr="00297443">
        <w:rPr>
          <w:rFonts w:cs="Arial"/>
        </w:rPr>
        <w:t xml:space="preserve"> agree that principles are not</w:t>
      </w:r>
      <w:r w:rsidR="004B6BBE">
        <w:rPr>
          <w:rFonts w:cs="Arial"/>
        </w:rPr>
        <w:t xml:space="preserve"> necessarily</w:t>
      </w:r>
      <w:r w:rsidR="00BC3A9B" w:rsidRPr="00297443">
        <w:rPr>
          <w:rFonts w:cs="Arial"/>
        </w:rPr>
        <w:t xml:space="preserve"> the right answer as it allows managers too much room for manoeuvre but there are probably areas where rules </w:t>
      </w:r>
      <w:proofErr w:type="gramStart"/>
      <w:r w:rsidR="00BC3A9B" w:rsidRPr="00297443">
        <w:rPr>
          <w:rFonts w:cs="Arial"/>
        </w:rPr>
        <w:t>needs</w:t>
      </w:r>
      <w:proofErr w:type="gramEnd"/>
      <w:r w:rsidR="00BC3A9B" w:rsidRPr="00297443">
        <w:rPr>
          <w:rFonts w:cs="Arial"/>
        </w:rPr>
        <w:t xml:space="preserve"> to be tightened up and some extra rules created for securities that do not fit within the current rules;</w:t>
      </w:r>
    </w:p>
    <w:p w14:paraId="5E209905" w14:textId="77777777" w:rsidR="00BC3A9B" w:rsidRPr="00BC3A9B" w:rsidRDefault="00BC3A9B" w:rsidP="00BC3A9B">
      <w:pPr>
        <w:rPr>
          <w:rFonts w:cs="Arial"/>
        </w:rPr>
      </w:pPr>
    </w:p>
    <w:p w14:paraId="32173E07" w14:textId="1A8BE4E8" w:rsidR="00BC3A9B" w:rsidRDefault="004B6BBE" w:rsidP="00BC3A9B">
      <w:pPr>
        <w:pStyle w:val="ListParagraph"/>
        <w:numPr>
          <w:ilvl w:val="0"/>
          <w:numId w:val="56"/>
        </w:numPr>
        <w:rPr>
          <w:rFonts w:cs="Arial"/>
        </w:rPr>
      </w:pPr>
      <w:r>
        <w:rPr>
          <w:rFonts w:cs="Arial"/>
        </w:rPr>
        <w:t>We</w:t>
      </w:r>
      <w:r w:rsidR="00BC3A9B" w:rsidRPr="004B6BBE">
        <w:rPr>
          <w:rFonts w:cs="Arial"/>
        </w:rPr>
        <w:t xml:space="preserve"> think ruling out negative transaction costs is a bad idea</w:t>
      </w:r>
      <w:r w:rsidR="007B640C">
        <w:rPr>
          <w:rFonts w:cs="Arial"/>
        </w:rPr>
        <w:t xml:space="preserve"> as these represent a reality of investment management and trading</w:t>
      </w:r>
      <w:r w:rsidR="00BC3A9B" w:rsidRPr="004B6BBE">
        <w:rPr>
          <w:rFonts w:cs="Arial"/>
        </w:rPr>
        <w:t>;</w:t>
      </w:r>
    </w:p>
    <w:p w14:paraId="03D960AA" w14:textId="77777777" w:rsidR="007B640C" w:rsidRPr="007B640C" w:rsidRDefault="007B640C" w:rsidP="007B640C">
      <w:pPr>
        <w:rPr>
          <w:rFonts w:cs="Arial"/>
        </w:rPr>
      </w:pPr>
    </w:p>
    <w:p w14:paraId="40B34F9C" w14:textId="31DDF1CD" w:rsidR="00BC3A9B" w:rsidRPr="007B640C" w:rsidRDefault="00BC3A9B" w:rsidP="007B640C">
      <w:pPr>
        <w:pStyle w:val="ListParagraph"/>
        <w:numPr>
          <w:ilvl w:val="0"/>
          <w:numId w:val="56"/>
        </w:numPr>
        <w:rPr>
          <w:rFonts w:cs="Arial"/>
        </w:rPr>
      </w:pPr>
      <w:r w:rsidRPr="007B640C">
        <w:rPr>
          <w:rFonts w:cs="Arial"/>
        </w:rPr>
        <w:t xml:space="preserve">Implicit and explicit transaction costs </w:t>
      </w:r>
      <w:proofErr w:type="gramStart"/>
      <w:r w:rsidR="007B640C" w:rsidRPr="007B640C">
        <w:rPr>
          <w:rFonts w:cs="Arial"/>
        </w:rPr>
        <w:t>definitely</w:t>
      </w:r>
      <w:r w:rsidRPr="007B640C">
        <w:rPr>
          <w:rFonts w:cs="Arial"/>
        </w:rPr>
        <w:t xml:space="preserve"> need</w:t>
      </w:r>
      <w:proofErr w:type="gramEnd"/>
      <w:r w:rsidRPr="007B640C">
        <w:rPr>
          <w:rFonts w:cs="Arial"/>
        </w:rPr>
        <w:t xml:space="preserve"> to be separated. This is a good proposal;</w:t>
      </w:r>
    </w:p>
    <w:p w14:paraId="3A01EEEF" w14:textId="77777777" w:rsidR="00BC3A9B" w:rsidRPr="00BC3A9B" w:rsidRDefault="00BC3A9B" w:rsidP="00BC3A9B">
      <w:pPr>
        <w:rPr>
          <w:rFonts w:cs="Arial"/>
        </w:rPr>
      </w:pPr>
    </w:p>
    <w:p w14:paraId="04EE972B" w14:textId="08F4678B" w:rsidR="00474542" w:rsidRDefault="009A103C" w:rsidP="007B640C">
      <w:pPr>
        <w:pStyle w:val="ListParagraph"/>
        <w:numPr>
          <w:ilvl w:val="0"/>
          <w:numId w:val="56"/>
        </w:numPr>
        <w:rPr>
          <w:rFonts w:cs="Arial"/>
        </w:rPr>
      </w:pPr>
      <w:r>
        <w:rPr>
          <w:rFonts w:cs="Arial"/>
        </w:rPr>
        <w:t>We</w:t>
      </w:r>
      <w:r w:rsidR="00BC3A9B" w:rsidRPr="007B640C">
        <w:rPr>
          <w:rFonts w:cs="Arial"/>
        </w:rPr>
        <w:t xml:space="preserve"> cannot answer the threshold question</w:t>
      </w:r>
      <w:r>
        <w:rPr>
          <w:rFonts w:cs="Arial"/>
        </w:rPr>
        <w:t xml:space="preserve"> and we think many practitioners will find this proposal would not work in</w:t>
      </w:r>
      <w:r w:rsidR="00BC3A9B" w:rsidRPr="007B640C">
        <w:rPr>
          <w:rFonts w:cs="Arial"/>
        </w:rPr>
        <w:t xml:space="preserve"> practice. </w:t>
      </w:r>
      <w:r>
        <w:rPr>
          <w:rFonts w:cs="Arial"/>
        </w:rPr>
        <w:t>We are a</w:t>
      </w:r>
      <w:r w:rsidR="00BC3A9B" w:rsidRPr="007B640C">
        <w:rPr>
          <w:rFonts w:cs="Arial"/>
        </w:rPr>
        <w:t>lso concerned that this threshold might work against investors' best interests by discouraging managers from trading in a situation when they should be</w:t>
      </w:r>
      <w:r>
        <w:rPr>
          <w:rFonts w:cs="Arial"/>
        </w:rPr>
        <w:t>.</w:t>
      </w:r>
    </w:p>
    <w:p w14:paraId="40E7114D" w14:textId="77777777" w:rsidR="009E218E" w:rsidRPr="009E218E" w:rsidRDefault="009E218E" w:rsidP="009E218E">
      <w:pPr>
        <w:pStyle w:val="ListParagraph"/>
        <w:rPr>
          <w:rFonts w:cs="Arial"/>
        </w:rPr>
      </w:pPr>
    </w:p>
    <w:p w14:paraId="2334EFFA" w14:textId="37A8855F" w:rsidR="009E218E" w:rsidRPr="007B640C" w:rsidRDefault="009E218E" w:rsidP="007B640C">
      <w:pPr>
        <w:pStyle w:val="ListParagraph"/>
        <w:numPr>
          <w:ilvl w:val="0"/>
          <w:numId w:val="56"/>
        </w:numPr>
        <w:rPr>
          <w:rFonts w:cs="Arial"/>
        </w:rPr>
      </w:pPr>
      <w:r>
        <w:rPr>
          <w:rFonts w:cs="Arial"/>
        </w:rPr>
        <w:t>A</w:t>
      </w:r>
      <w:r w:rsidRPr="009E218E">
        <w:rPr>
          <w:rFonts w:cs="Arial"/>
        </w:rPr>
        <w:t xml:space="preserve"> threshold that is based on portfolio turnover (itself not being a standard metric anymore) </w:t>
      </w:r>
      <w:r>
        <w:rPr>
          <w:rFonts w:cs="Arial"/>
        </w:rPr>
        <w:t>may not be</w:t>
      </w:r>
      <w:r w:rsidRPr="009E218E">
        <w:rPr>
          <w:rFonts w:cs="Arial"/>
        </w:rPr>
        <w:t xml:space="preserve"> helpful. If nothing else, it would create an uneven playing field between open-ended and closed-ended funds as the former </w:t>
      </w:r>
      <w:proofErr w:type="gramStart"/>
      <w:r w:rsidRPr="009E218E">
        <w:rPr>
          <w:rFonts w:cs="Arial"/>
        </w:rPr>
        <w:t>have to</w:t>
      </w:r>
      <w:proofErr w:type="gramEnd"/>
      <w:r w:rsidRPr="009E218E">
        <w:rPr>
          <w:rFonts w:cs="Arial"/>
        </w:rPr>
        <w:t xml:space="preserve"> incur transactions with every sale/redemption.</w:t>
      </w:r>
    </w:p>
    <w:p w14:paraId="2FE3585F" w14:textId="5265E981" w:rsidR="00B0230C" w:rsidRDefault="00B0230C" w:rsidP="003E573C">
      <w:pPr>
        <w:rPr>
          <w:rFonts w:cs="Arial"/>
        </w:rPr>
      </w:pP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2A85FD73" w14:textId="77777777" w:rsidR="00C83B35" w:rsidRDefault="00C83B35" w:rsidP="003E573C">
      <w:pPr>
        <w:rPr>
          <w:rFonts w:cs="Arial"/>
        </w:rPr>
      </w:pPr>
      <w:permStart w:id="700270871" w:edGrp="everyone"/>
    </w:p>
    <w:p w14:paraId="6376DA79" w14:textId="6821529A" w:rsidR="003E573C" w:rsidRDefault="00701866" w:rsidP="003E573C">
      <w:pPr>
        <w:rPr>
          <w:rFonts w:cs="Arial"/>
        </w:rPr>
      </w:pPr>
      <w:r>
        <w:rPr>
          <w:rFonts w:cs="Arial"/>
        </w:rPr>
        <w:t>We agree that the coexistence of the UCITS KII</w:t>
      </w:r>
      <w:r w:rsidR="00C83B35">
        <w:rPr>
          <w:rFonts w:cs="Arial"/>
        </w:rPr>
        <w:t>D</w:t>
      </w:r>
      <w:r>
        <w:rPr>
          <w:rFonts w:cs="Arial"/>
        </w:rPr>
        <w:t xml:space="preserve"> and the PRIIPs KID has negative consequences in terms of clarity of the EU disclosure requirements. Currently, investment managers need to produce two </w:t>
      </w:r>
      <w:r>
        <w:rPr>
          <w:rFonts w:cs="Arial"/>
        </w:rPr>
        <w:lastRenderedPageBreak/>
        <w:t>completely different documents that lead to higher costs. CFA Institute believes that a PRIIP</w:t>
      </w:r>
      <w:r w:rsidR="001D31EC">
        <w:rPr>
          <w:rFonts w:cs="Arial"/>
        </w:rPr>
        <w:t>s</w:t>
      </w:r>
      <w:r>
        <w:rPr>
          <w:rFonts w:cs="Arial"/>
        </w:rPr>
        <w:t xml:space="preserve"> KID for UCITS products that is targeted to retail investors can also be produced for professional investors.</w:t>
      </w:r>
    </w:p>
    <w:p w14:paraId="7D694DDC" w14:textId="26695A7F" w:rsidR="00C83B35" w:rsidRDefault="00C83B35" w:rsidP="003E573C">
      <w:pPr>
        <w:rPr>
          <w:rFonts w:cs="Arial"/>
        </w:rPr>
      </w:pPr>
    </w:p>
    <w:p w14:paraId="4B920439" w14:textId="1251C18C" w:rsidR="00895B7D" w:rsidRDefault="00895B7D" w:rsidP="003E573C">
      <w:pPr>
        <w:rPr>
          <w:rFonts w:cs="Arial"/>
        </w:rPr>
      </w:pPr>
      <w:r w:rsidRPr="00895B7D">
        <w:rPr>
          <w:rFonts w:cs="Arial"/>
        </w:rPr>
        <w:t xml:space="preserve">If these documents are aimed </w:t>
      </w:r>
      <w:r>
        <w:rPr>
          <w:rFonts w:cs="Arial"/>
        </w:rPr>
        <w:t>at</w:t>
      </w:r>
      <w:r w:rsidRPr="00895B7D">
        <w:rPr>
          <w:rFonts w:cs="Arial"/>
        </w:rPr>
        <w:t xml:space="preserve"> provid</w:t>
      </w:r>
      <w:r>
        <w:rPr>
          <w:rFonts w:cs="Arial"/>
        </w:rPr>
        <w:t>ing</w:t>
      </w:r>
      <w:r w:rsidRPr="00895B7D">
        <w:rPr>
          <w:rFonts w:cs="Arial"/>
        </w:rPr>
        <w:t xml:space="preserve"> clarity and allow investors to make better decisions, there is no reason to make such distinction between retail and professional investors.</w:t>
      </w:r>
      <w:r w:rsidR="00A365A9">
        <w:rPr>
          <w:rFonts w:cs="Arial"/>
        </w:rPr>
        <w:t xml:space="preserve"> </w:t>
      </w:r>
      <w:r w:rsidRPr="00895B7D">
        <w:rPr>
          <w:rFonts w:cs="Arial"/>
        </w:rPr>
        <w:t>Provision of a UCITS KII</w:t>
      </w:r>
      <w:r>
        <w:rPr>
          <w:rFonts w:cs="Arial"/>
        </w:rPr>
        <w:t>D</w:t>
      </w:r>
      <w:r w:rsidRPr="00895B7D">
        <w:rPr>
          <w:rFonts w:cs="Arial"/>
        </w:rPr>
        <w:t xml:space="preserve"> and a PRIIPS KID would indeed be confusing to any investor. Legislators should consider removing the requirement for the UCITS KII</w:t>
      </w:r>
      <w:r w:rsidR="00A365A9">
        <w:rPr>
          <w:rFonts w:cs="Arial"/>
        </w:rPr>
        <w:t>D</w:t>
      </w:r>
      <w:r w:rsidRPr="00895B7D">
        <w:rPr>
          <w:rFonts w:cs="Arial"/>
        </w:rPr>
        <w:t xml:space="preserve"> to be provided to professional investors, to avoid the provision of two conflicting documents.</w:t>
      </w:r>
    </w:p>
    <w:p w14:paraId="4AEFC2F1" w14:textId="77777777" w:rsidR="00895B7D" w:rsidRDefault="00895B7D" w:rsidP="003E573C">
      <w:pPr>
        <w:rPr>
          <w:rFonts w:cs="Arial"/>
        </w:rPr>
      </w:pP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0A3BB3D0" w14:textId="001847CC" w:rsidR="00866E15" w:rsidRDefault="00866E15" w:rsidP="003E573C">
      <w:pPr>
        <w:rPr>
          <w:rFonts w:cs="Arial"/>
        </w:rPr>
      </w:pPr>
      <w:permStart w:id="649920829" w:edGrp="everyone"/>
    </w:p>
    <w:p w14:paraId="1F263F35" w14:textId="77777777" w:rsidR="00AC32C7" w:rsidRDefault="00B301FB" w:rsidP="003E573C">
      <w:pPr>
        <w:rPr>
          <w:rFonts w:cs="Arial"/>
        </w:rPr>
      </w:pPr>
      <w:r w:rsidRPr="00B301FB">
        <w:rPr>
          <w:rFonts w:cs="Arial"/>
        </w:rPr>
        <w:t>Investors who use regular savings plan should keep re-examining whether the investment options are still appropriate given the changes in the investment enviro</w:t>
      </w:r>
      <w:r>
        <w:rPr>
          <w:rFonts w:cs="Arial"/>
        </w:rPr>
        <w:t>n</w:t>
      </w:r>
      <w:r w:rsidRPr="00B301FB">
        <w:rPr>
          <w:rFonts w:cs="Arial"/>
        </w:rPr>
        <w:t xml:space="preserve">ment and their own personal circumstances. There </w:t>
      </w:r>
      <w:proofErr w:type="gramStart"/>
      <w:r w:rsidRPr="00B301FB">
        <w:rPr>
          <w:rFonts w:cs="Arial"/>
        </w:rPr>
        <w:t>is</w:t>
      </w:r>
      <w:proofErr w:type="gramEnd"/>
      <w:r w:rsidRPr="00B301FB">
        <w:rPr>
          <w:rFonts w:cs="Arial"/>
        </w:rPr>
        <w:t xml:space="preserve"> no reason why regular saving investors should not receive a KII or KIID regularly e.g. every year, and encourage them to review their current savings plan.</w:t>
      </w:r>
    </w:p>
    <w:p w14:paraId="377EE098" w14:textId="77777777" w:rsidR="00AC32C7" w:rsidRDefault="00AC32C7" w:rsidP="003E573C">
      <w:pPr>
        <w:rPr>
          <w:rFonts w:cs="Arial"/>
        </w:rPr>
      </w:pPr>
    </w:p>
    <w:p w14:paraId="2247AB86" w14:textId="6B6D9C84" w:rsidR="00AC32C7" w:rsidRDefault="00B301FB" w:rsidP="003E573C">
      <w:pPr>
        <w:rPr>
          <w:rFonts w:cs="Arial"/>
        </w:rPr>
      </w:pPr>
      <w:r w:rsidRPr="00B301FB">
        <w:rPr>
          <w:rFonts w:cs="Arial"/>
        </w:rPr>
        <w:t xml:space="preserve">If transactions occur monthly this is clearly a nonsense, but </w:t>
      </w:r>
      <w:r w:rsidR="005F453B">
        <w:rPr>
          <w:rFonts w:cs="Arial"/>
        </w:rPr>
        <w:t>there could be an argument in favour of</w:t>
      </w:r>
      <w:r w:rsidRPr="00B301FB">
        <w:rPr>
          <w:rFonts w:cs="Arial"/>
        </w:rPr>
        <w:t xml:space="preserve"> annual</w:t>
      </w:r>
      <w:r w:rsidR="005F453B">
        <w:rPr>
          <w:rFonts w:cs="Arial"/>
        </w:rPr>
        <w:t xml:space="preserve"> updates</w:t>
      </w:r>
      <w:r w:rsidRPr="00B301FB">
        <w:rPr>
          <w:rFonts w:cs="Arial"/>
        </w:rPr>
        <w:t xml:space="preserve"> to reflect </w:t>
      </w:r>
      <w:r w:rsidR="00D70B2E">
        <w:rPr>
          <w:rFonts w:cs="Arial"/>
        </w:rPr>
        <w:t>changes</w:t>
      </w:r>
      <w:r w:rsidRPr="00B301FB">
        <w:rPr>
          <w:rFonts w:cs="Arial"/>
        </w:rPr>
        <w:t xml:space="preserve"> in performance and fees</w:t>
      </w:r>
      <w:r w:rsidR="00AC32C7">
        <w:rPr>
          <w:rFonts w:cs="Arial"/>
        </w:rPr>
        <w:t>.</w:t>
      </w:r>
    </w:p>
    <w:p w14:paraId="234BD86A" w14:textId="558F9371" w:rsidR="00866E15" w:rsidRDefault="00866E15" w:rsidP="008D6C72">
      <w:pPr>
        <w:rPr>
          <w:rFonts w:cs="Arial"/>
        </w:rPr>
      </w:pPr>
    </w:p>
    <w:permEnd w:id="649920829"/>
    <w:p w14:paraId="18F6EFCE" w14:textId="14F20238"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22FF2E56" w14:textId="77777777" w:rsidR="00734FD0" w:rsidRDefault="00734FD0" w:rsidP="003E573C">
      <w:pPr>
        <w:rPr>
          <w:rFonts w:cs="Arial"/>
        </w:rPr>
      </w:pPr>
      <w:permStart w:id="803234900" w:edGrp="everyone"/>
    </w:p>
    <w:p w14:paraId="718A5AB1" w14:textId="60E2E04F" w:rsidR="00734FD0" w:rsidRDefault="00B407CB" w:rsidP="003E573C">
      <w:pPr>
        <w:rPr>
          <w:rFonts w:cs="Arial"/>
        </w:rPr>
      </w:pPr>
      <w:r>
        <w:rPr>
          <w:rFonts w:cs="Arial"/>
        </w:rPr>
        <w:t>The information concerne</w:t>
      </w:r>
      <w:r w:rsidR="00645960">
        <w:rPr>
          <w:rFonts w:cs="Arial"/>
        </w:rPr>
        <w:t xml:space="preserve">d in paragraphs 6 and 2 of Article 4 in the UCITS regulation is directly pertinent for collective investment schemes, so should be limited </w:t>
      </w:r>
      <w:r w:rsidR="006765B9">
        <w:rPr>
          <w:rFonts w:cs="Arial"/>
        </w:rPr>
        <w:t>to Management Company of UCITS or AIFs.</w:t>
      </w:r>
    </w:p>
    <w:p w14:paraId="7C71F86F" w14:textId="77777777" w:rsidR="003F06DA" w:rsidRDefault="003F06DA" w:rsidP="003E573C">
      <w:pPr>
        <w:rPr>
          <w:rFonts w:cs="Arial"/>
        </w:rPr>
      </w:pPr>
    </w:p>
    <w:permEnd w:id="803234900"/>
    <w:p w14:paraId="69CE25B2" w14:textId="63C63E6C"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76407609" w14:textId="6FFB9799" w:rsidR="00037276" w:rsidRDefault="003E573C" w:rsidP="003E573C">
      <w:pPr>
        <w:rPr>
          <w:rFonts w:cs="Arial"/>
        </w:rPr>
      </w:pPr>
      <w:r>
        <w:rPr>
          <w:rFonts w:cs="Arial"/>
        </w:rPr>
        <w:t>&lt;ESA_QUESTION_PKID_47&gt;</w:t>
      </w:r>
      <w:permStart w:id="2127781944" w:edGrp="everyone"/>
    </w:p>
    <w:p w14:paraId="35880FB8" w14:textId="5AA22B59" w:rsidR="00037276" w:rsidRDefault="00DB2427" w:rsidP="003E573C">
      <w:pPr>
        <w:rPr>
          <w:rFonts w:cs="Arial"/>
        </w:rPr>
      </w:pPr>
      <w:r>
        <w:rPr>
          <w:rFonts w:cs="Arial"/>
        </w:rPr>
        <w:t>TYPE YOUR TEXT HERE</w:t>
      </w:r>
    </w:p>
    <w:permEnd w:id="2127781944"/>
    <w:p w14:paraId="13B601F5" w14:textId="0CF1DBC0"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73F685B7" w14:textId="77777777" w:rsidR="0003737C" w:rsidRDefault="0003737C" w:rsidP="0003737C">
      <w:pPr>
        <w:rPr>
          <w:rFonts w:cs="Arial"/>
        </w:rPr>
      </w:pPr>
      <w:permStart w:id="1746749030" w:edGrp="everyone"/>
    </w:p>
    <w:p w14:paraId="262C6B87" w14:textId="3F8B0D9C" w:rsidR="0003737C" w:rsidRDefault="0003737C" w:rsidP="0003737C">
      <w:pPr>
        <w:rPr>
          <w:rFonts w:cs="Arial"/>
        </w:rPr>
      </w:pPr>
      <w:r>
        <w:rPr>
          <w:rFonts w:cs="Arial"/>
        </w:rPr>
        <w:t xml:space="preserve">The information described in the relevant </w:t>
      </w:r>
      <w:r w:rsidR="00D12B5A">
        <w:rPr>
          <w:rFonts w:cs="Arial"/>
        </w:rPr>
        <w:t xml:space="preserve">articles of the </w:t>
      </w:r>
      <w:r w:rsidR="006E1CB2">
        <w:rPr>
          <w:rFonts w:cs="Arial"/>
        </w:rPr>
        <w:t>UCITS regulation are</w:t>
      </w:r>
      <w:r>
        <w:rPr>
          <w:rFonts w:cs="Arial"/>
        </w:rPr>
        <w:t xml:space="preserve"> directly pertinent for collective investment schemes, so should be limited to Management Company of UCITS or AIFs.</w:t>
      </w:r>
    </w:p>
    <w:p w14:paraId="5495E8CC" w14:textId="77777777" w:rsidR="006E1CB2" w:rsidRDefault="006E1CB2" w:rsidP="0003737C">
      <w:pPr>
        <w:rPr>
          <w:rFonts w:cs="Arial"/>
        </w:rPr>
      </w:pPr>
    </w:p>
    <w:permEnd w:id="1746749030"/>
    <w:p w14:paraId="461B49A4" w14:textId="748F0B36" w:rsidR="003E573C" w:rsidRDefault="003E573C" w:rsidP="003E573C">
      <w:pPr>
        <w:rPr>
          <w:rFonts w:cs="Arial"/>
        </w:rPr>
      </w:pPr>
      <w:r>
        <w:rPr>
          <w:rFonts w:cs="Arial"/>
        </w:rPr>
        <w:lastRenderedPageBreak/>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 xml:space="preserve">Do you have any comments on the proposed approaches in relation to the analysis and proposals in this Section, and </w:t>
      </w:r>
      <w:proofErr w:type="gramStart"/>
      <w:r w:rsidRPr="009A68ED">
        <w:t>in particular on</w:t>
      </w:r>
      <w:proofErr w:type="gramEnd"/>
      <w:r w:rsidRPr="009A68ED">
        <w:t xml:space="preserve">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2D637B6" w14:textId="77777777" w:rsidR="00AF6256" w:rsidRDefault="00AF6256" w:rsidP="00AF6256">
      <w:pPr>
        <w:rPr>
          <w:rFonts w:cs="Arial"/>
        </w:rPr>
      </w:pPr>
      <w:permStart w:id="722866220" w:edGrp="everyone"/>
      <w:r>
        <w:rPr>
          <w:rFonts w:cs="Arial"/>
        </w:rPr>
        <w:t>TYPE YOUR TEXT HERE</w:t>
      </w:r>
    </w:p>
    <w:permEnd w:id="722866220"/>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4CFCBB55" w14:textId="77777777" w:rsidR="00AF6256" w:rsidRDefault="00AF6256" w:rsidP="00AF6256">
      <w:pPr>
        <w:rPr>
          <w:rFonts w:cs="Arial"/>
        </w:rPr>
      </w:pPr>
      <w:permStart w:id="1844652153" w:edGrp="everyone"/>
      <w:r>
        <w:rPr>
          <w:rFonts w:cs="Arial"/>
        </w:rPr>
        <w:t>TYPE YOUR TEXT HERE</w:t>
      </w:r>
    </w:p>
    <w:permEnd w:id="1844652153"/>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7D9BEC19" w14:textId="77777777" w:rsidR="00AF6256" w:rsidRDefault="00AF6256" w:rsidP="00AF6256">
      <w:pPr>
        <w:rPr>
          <w:rFonts w:cs="Arial"/>
        </w:rPr>
      </w:pPr>
      <w:permStart w:id="1596995049" w:edGrp="everyone"/>
      <w:r>
        <w:rPr>
          <w:rFonts w:cs="Arial"/>
        </w:rPr>
        <w:t>TYPE YOUR TEXT HERE</w:t>
      </w:r>
    </w:p>
    <w:permEnd w:id="1596995049"/>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3FC318EA" w14:textId="77777777" w:rsidR="00D42286" w:rsidRDefault="00D42286" w:rsidP="00D42286">
      <w:pPr>
        <w:rPr>
          <w:rFonts w:cs="Arial"/>
        </w:rPr>
      </w:pPr>
      <w:permStart w:id="330843100" w:edGrp="everyone"/>
      <w:r>
        <w:rPr>
          <w:rFonts w:cs="Arial"/>
        </w:rPr>
        <w:t>TYPE YOUR TEXT HERE</w:t>
      </w:r>
    </w:p>
    <w:permEnd w:id="330843100"/>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1F460684" w14:textId="77777777" w:rsidR="00D42286" w:rsidRDefault="00D42286" w:rsidP="00D42286">
      <w:pPr>
        <w:rPr>
          <w:rFonts w:cs="Arial"/>
        </w:rPr>
      </w:pPr>
      <w:permStart w:id="2086418014" w:edGrp="everyone"/>
      <w:r>
        <w:rPr>
          <w:rFonts w:cs="Arial"/>
        </w:rPr>
        <w:t>TYPE YOUR TEXT HERE</w:t>
      </w:r>
    </w:p>
    <w:permEnd w:id="208641801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747A2649" w14:textId="77777777" w:rsidR="00D42286" w:rsidRDefault="00D42286" w:rsidP="00D42286">
      <w:pPr>
        <w:rPr>
          <w:rFonts w:cs="Arial"/>
        </w:rPr>
      </w:pPr>
      <w:permStart w:id="1765364200" w:edGrp="everyone"/>
      <w:r>
        <w:rPr>
          <w:rFonts w:cs="Arial"/>
        </w:rPr>
        <w:t>TYPE YOUR TEXT HERE</w:t>
      </w:r>
    </w:p>
    <w:permEnd w:id="1765364200"/>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469BC66B" w14:textId="77777777" w:rsidR="00D42286" w:rsidRDefault="00D42286" w:rsidP="00D42286">
      <w:pPr>
        <w:rPr>
          <w:rFonts w:cs="Arial"/>
        </w:rPr>
      </w:pPr>
      <w:permStart w:id="472796285" w:edGrp="everyone"/>
      <w:r>
        <w:rPr>
          <w:rFonts w:cs="Arial"/>
        </w:rPr>
        <w:t>TYPE YOUR TEXT HERE</w:t>
      </w:r>
    </w:p>
    <w:permEnd w:id="472796285"/>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lastRenderedPageBreak/>
        <w:t xml:space="preserve">: </w:t>
      </w:r>
      <w:r w:rsidRPr="000F73B1">
        <w:t>Are you able to p</w:t>
      </w:r>
      <w:r>
        <w:t xml:space="preserve">rovide information on the implementation costs of the proposed changes, </w:t>
      </w:r>
      <w:proofErr w:type="gramStart"/>
      <w:r>
        <w:t>in particular regarding</w:t>
      </w:r>
      <w:proofErr w:type="gramEnd"/>
      <w:r>
        <w:t xml:space="preserve">,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9E7B5" w14:textId="77777777" w:rsidR="009769B8" w:rsidRDefault="009769B8">
      <w:r>
        <w:separator/>
      </w:r>
    </w:p>
    <w:p w14:paraId="253AB983" w14:textId="77777777" w:rsidR="009769B8" w:rsidRDefault="009769B8"/>
  </w:endnote>
  <w:endnote w:type="continuationSeparator" w:id="0">
    <w:p w14:paraId="61166916" w14:textId="77777777" w:rsidR="009769B8" w:rsidRDefault="009769B8">
      <w:r>
        <w:continuationSeparator/>
      </w:r>
    </w:p>
    <w:p w14:paraId="33CA4DFB" w14:textId="77777777" w:rsidR="009769B8" w:rsidRDefault="009769B8"/>
  </w:endnote>
  <w:endnote w:type="continuationNotice" w:id="1">
    <w:p w14:paraId="6E60EE84" w14:textId="77777777" w:rsidR="009769B8" w:rsidRDefault="00976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1D653B" w:rsidRDefault="001D6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D653B" w:rsidRPr="00616B9B" w14:paraId="6A3CB0EF" w14:textId="77777777" w:rsidTr="00315E96">
      <w:trPr>
        <w:trHeight w:val="284"/>
      </w:trPr>
      <w:tc>
        <w:tcPr>
          <w:tcW w:w="8460" w:type="dxa"/>
        </w:tcPr>
        <w:p w14:paraId="6A3CB0ED" w14:textId="77777777" w:rsidR="001D653B" w:rsidRPr="00315E96" w:rsidRDefault="001D653B" w:rsidP="00315E96">
          <w:pPr>
            <w:pStyle w:val="00Footer"/>
            <w:rPr>
              <w:lang w:val="fr-FR"/>
            </w:rPr>
          </w:pPr>
        </w:p>
      </w:tc>
      <w:tc>
        <w:tcPr>
          <w:tcW w:w="952" w:type="dxa"/>
        </w:tcPr>
        <w:p w14:paraId="6A3CB0EE" w14:textId="23180CB7" w:rsidR="001D653B" w:rsidRPr="00616B9B" w:rsidRDefault="001D653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w:t>
          </w:r>
          <w:r w:rsidRPr="00616B9B">
            <w:rPr>
              <w:rFonts w:cs="Arial"/>
              <w:noProof/>
              <w:sz w:val="22"/>
              <w:szCs w:val="22"/>
            </w:rPr>
            <w:fldChar w:fldCharType="end"/>
          </w:r>
        </w:p>
      </w:tc>
    </w:tr>
  </w:tbl>
  <w:p w14:paraId="6A3CB0F0" w14:textId="77777777" w:rsidR="001D653B" w:rsidRDefault="001D6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1D653B" w:rsidRDefault="001D65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1D653B" w:rsidRDefault="001D6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9FE2" w14:textId="77777777" w:rsidR="009769B8" w:rsidRDefault="009769B8">
      <w:r>
        <w:separator/>
      </w:r>
    </w:p>
    <w:p w14:paraId="211E5B40" w14:textId="77777777" w:rsidR="009769B8" w:rsidRDefault="009769B8"/>
  </w:footnote>
  <w:footnote w:type="continuationSeparator" w:id="0">
    <w:p w14:paraId="0FFD0959" w14:textId="77777777" w:rsidR="009769B8" w:rsidRDefault="009769B8">
      <w:r>
        <w:continuationSeparator/>
      </w:r>
    </w:p>
    <w:p w14:paraId="795C6489" w14:textId="77777777" w:rsidR="009769B8" w:rsidRDefault="009769B8"/>
  </w:footnote>
  <w:footnote w:type="continuationNotice" w:id="1">
    <w:p w14:paraId="08B234B2" w14:textId="77777777" w:rsidR="009769B8" w:rsidRDefault="009769B8"/>
  </w:footnote>
  <w:footnote w:id="2">
    <w:p w14:paraId="3ADCE2CB" w14:textId="77777777" w:rsidR="001D653B" w:rsidRPr="009E1A8D" w:rsidRDefault="001D653B"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D653B" w:rsidRDefault="001D653B"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D653B" w:rsidRDefault="001D653B" w:rsidP="00197794">
      <w:pPr>
        <w:pStyle w:val="FootnoteText"/>
      </w:pPr>
      <w:r>
        <w:rPr>
          <w:rStyle w:val="FootnoteReference"/>
        </w:rPr>
        <w:footnoteRef/>
      </w:r>
      <w:r>
        <w:t xml:space="preserve"> </w:t>
      </w:r>
      <w:r w:rsidRPr="00010A39">
        <w:t xml:space="preserve">Regulation (EU) 2018/1725 OF THE EUROPEAN PARLIAMENT AND OF THE COUNCIL of 23 October 2018 on the protection of natural persons </w:t>
      </w:r>
      <w:proofErr w:type="gramStart"/>
      <w:r w:rsidRPr="00010A39">
        <w:t>with regard to</w:t>
      </w:r>
      <w:proofErr w:type="gramEnd"/>
      <w:r w:rsidRPr="00010A39">
        <w:t xml:space="preserve">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1D653B" w:rsidRPr="00653F3B" w:rsidRDefault="001D653B" w:rsidP="003E573C">
      <w:pPr>
        <w:pStyle w:val="FootnoteText"/>
      </w:pPr>
      <w:r>
        <w:rPr>
          <w:rStyle w:val="FootnoteReference"/>
        </w:rPr>
        <w:footnoteRef/>
      </w:r>
      <w:r>
        <w:t xml:space="preserve"> </w:t>
      </w:r>
      <w:r w:rsidRPr="00653F3B">
        <w:t>See “Section II – Key Investor Information Document (KIID) for UCITS” (</w:t>
      </w:r>
      <w:proofErr w:type="gramStart"/>
      <w:r w:rsidRPr="00653F3B">
        <w:t>in particular, Q&amp;A</w:t>
      </w:r>
      <w:proofErr w:type="gramEnd"/>
      <w:r w:rsidRPr="00653F3B">
        <w:t xml:space="preserve">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1D653B" w:rsidRDefault="001D6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1D653B" w:rsidRDefault="001D653B">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w16cex="http://schemas.microsoft.com/office/word/2018/wordml/cex" xmlns:w16="http://schemas.microsoft.com/office/word/2018/wordml"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mc:AlternateContent>
        <mc:Choice Requires="wps">
          <w:drawing>
            <wp:anchor distT="0" distB="0" distL="114295" distR="114295" simplePos="0" relativeHeight="251658241"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53C68"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1D653B" w:rsidRDefault="001D653B"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w16cex="http://schemas.microsoft.com/office/word/2018/wordml/cex" xmlns:w16="http://schemas.microsoft.com/office/word/2018/wordml"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eastAsia="en-GB"/>
      </w:rPr>
      <w:drawing>
        <wp:anchor distT="0" distB="0" distL="114300" distR="114300" simplePos="0" relativeHeight="251658240"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1D653B" w:rsidRDefault="001D653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1D653B" w:rsidRPr="002F4496" w14:paraId="6A3CB0F5" w14:textId="77777777" w:rsidTr="000C06C9">
      <w:trPr>
        <w:trHeight w:val="284"/>
      </w:trPr>
      <w:tc>
        <w:tcPr>
          <w:tcW w:w="8460" w:type="dxa"/>
        </w:tcPr>
        <w:p w14:paraId="6A3CB0F3" w14:textId="77777777" w:rsidR="001D653B" w:rsidRPr="000C3B6D" w:rsidRDefault="001D653B" w:rsidP="000C06C9">
          <w:pPr>
            <w:pStyle w:val="00Footer"/>
            <w:rPr>
              <w:lang w:val="fr-FR"/>
            </w:rPr>
          </w:pPr>
        </w:p>
      </w:tc>
      <w:tc>
        <w:tcPr>
          <w:tcW w:w="952" w:type="dxa"/>
        </w:tcPr>
        <w:p w14:paraId="6A3CB0F4" w14:textId="77777777" w:rsidR="001D653B" w:rsidRPr="00146B34" w:rsidRDefault="001D653B" w:rsidP="000C06C9">
          <w:pPr>
            <w:pStyle w:val="00aPagenumber"/>
            <w:rPr>
              <w:lang w:val="fr-FR"/>
            </w:rPr>
          </w:pPr>
        </w:p>
      </w:tc>
    </w:tr>
  </w:tbl>
  <w:p w14:paraId="6A3CB0F6" w14:textId="77777777" w:rsidR="001D653B" w:rsidRPr="00DB46C3" w:rsidRDefault="001D653B">
    <w:pPr>
      <w:rPr>
        <w:lang w:val="fr-FR"/>
      </w:rPr>
    </w:pPr>
  </w:p>
  <w:p w14:paraId="6A3CB0F7" w14:textId="77777777" w:rsidR="001D653B" w:rsidRPr="002F4496" w:rsidRDefault="001D653B">
    <w:pPr>
      <w:pStyle w:val="Header"/>
      <w:rPr>
        <w:lang w:val="fr-FR"/>
      </w:rPr>
    </w:pPr>
  </w:p>
  <w:p w14:paraId="6A3CB0F8" w14:textId="77777777" w:rsidR="001D653B" w:rsidRPr="002F4496" w:rsidRDefault="001D653B" w:rsidP="000C06C9">
    <w:pPr>
      <w:pStyle w:val="Header"/>
      <w:tabs>
        <w:tab w:val="clear" w:pos="4536"/>
        <w:tab w:val="clear" w:pos="9072"/>
        <w:tab w:val="left" w:pos="8227"/>
      </w:tabs>
      <w:rPr>
        <w:lang w:val="fr-FR"/>
      </w:rPr>
    </w:pPr>
  </w:p>
  <w:p w14:paraId="6A3CB0F9" w14:textId="77777777" w:rsidR="001D653B" w:rsidRPr="002F4496" w:rsidRDefault="001D653B" w:rsidP="000C06C9">
    <w:pPr>
      <w:pStyle w:val="Header"/>
      <w:tabs>
        <w:tab w:val="clear" w:pos="4536"/>
        <w:tab w:val="clear" w:pos="9072"/>
        <w:tab w:val="left" w:pos="8227"/>
      </w:tabs>
      <w:rPr>
        <w:lang w:val="fr-FR"/>
      </w:rPr>
    </w:pPr>
  </w:p>
  <w:p w14:paraId="6A3CB0FA" w14:textId="77777777" w:rsidR="001D653B" w:rsidRPr="002F4496" w:rsidRDefault="001D653B">
    <w:pPr>
      <w:pStyle w:val="Header"/>
      <w:rPr>
        <w:lang w:val="fr-FR"/>
      </w:rPr>
    </w:pPr>
  </w:p>
  <w:p w14:paraId="6A3CB0FB" w14:textId="77777777" w:rsidR="001D653B" w:rsidRPr="002F4496" w:rsidRDefault="001D653B">
    <w:pPr>
      <w:pStyle w:val="Header"/>
      <w:rPr>
        <w:lang w:val="fr-FR"/>
      </w:rPr>
    </w:pPr>
  </w:p>
  <w:p w14:paraId="6A3CB0FC" w14:textId="77777777" w:rsidR="001D653B" w:rsidRPr="002F4496" w:rsidRDefault="001D653B">
    <w:pPr>
      <w:pStyle w:val="Header"/>
      <w:rPr>
        <w:lang w:val="fr-FR"/>
      </w:rPr>
    </w:pPr>
  </w:p>
  <w:p w14:paraId="6A3CB0FD" w14:textId="77777777" w:rsidR="001D653B" w:rsidRPr="002F4496" w:rsidRDefault="001D653B">
    <w:pPr>
      <w:pStyle w:val="Header"/>
      <w:rPr>
        <w:lang w:val="fr-FR"/>
      </w:rPr>
    </w:pPr>
  </w:p>
  <w:p w14:paraId="6A3CB0FE" w14:textId="77777777" w:rsidR="001D653B" w:rsidRPr="002F4496" w:rsidRDefault="001D653B">
    <w:pPr>
      <w:pStyle w:val="Header"/>
      <w:rPr>
        <w:highlight w:val="yellow"/>
        <w:lang w:val="fr-FR"/>
      </w:rPr>
    </w:pPr>
  </w:p>
  <w:p w14:paraId="6A3CB0FF" w14:textId="05D5FF53" w:rsidR="001D653B" w:rsidRDefault="001D653B">
    <w:pPr>
      <w:pStyle w:val="Header"/>
    </w:pPr>
    <w:r>
      <w:rPr>
        <w:noProof/>
        <w:lang w:eastAsia="en-GB"/>
      </w:rPr>
      <mc:AlternateContent>
        <mc:Choice Requires="wps">
          <w:drawing>
            <wp:anchor distT="0" distB="0" distL="114299" distR="114299" simplePos="0" relativeHeight="251658242"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B5700" id="Straight Connector 138" o:spid="_x0000_s1026" style="position:absolute;z-index:25165824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w16cex="http://schemas.microsoft.com/office/word/2018/wordml/cex" xmlns:w16="http://schemas.microsoft.com/office/word/2018/wordml"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2DD"/>
    <w:multiLevelType w:val="hybridMultilevel"/>
    <w:tmpl w:val="77824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8F410C"/>
    <w:multiLevelType w:val="hybridMultilevel"/>
    <w:tmpl w:val="57A6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D84CE6"/>
    <w:multiLevelType w:val="hybridMultilevel"/>
    <w:tmpl w:val="C84CA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15:restartNumberingAfterBreak="0">
    <w:nsid w:val="3C6D7214"/>
    <w:multiLevelType w:val="hybridMultilevel"/>
    <w:tmpl w:val="231E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4"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47865"/>
    <w:multiLevelType w:val="hybridMultilevel"/>
    <w:tmpl w:val="5522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8"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5CB378AF"/>
    <w:multiLevelType w:val="hybridMultilevel"/>
    <w:tmpl w:val="5830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3" w15:restartNumberingAfterBreak="0">
    <w:nsid w:val="604F0105"/>
    <w:multiLevelType w:val="hybridMultilevel"/>
    <w:tmpl w:val="B9848DDC"/>
    <w:lvl w:ilvl="0" w:tplc="44F863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6" w15:restartNumberingAfterBreak="0">
    <w:nsid w:val="66D844C7"/>
    <w:multiLevelType w:val="hybridMultilevel"/>
    <w:tmpl w:val="86F2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6DF05437"/>
    <w:multiLevelType w:val="hybridMultilevel"/>
    <w:tmpl w:val="146CF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72A6118C"/>
    <w:multiLevelType w:val="hybridMultilevel"/>
    <w:tmpl w:val="DACAF384"/>
    <w:lvl w:ilvl="0" w:tplc="44F863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2"/>
  </w:num>
  <w:num w:numId="2">
    <w:abstractNumId w:val="26"/>
  </w:num>
  <w:num w:numId="3">
    <w:abstractNumId w:val="16"/>
  </w:num>
  <w:num w:numId="4">
    <w:abstractNumId w:val="33"/>
  </w:num>
  <w:num w:numId="5">
    <w:abstractNumId w:val="36"/>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44"/>
  </w:num>
  <w:num w:numId="14">
    <w:abstractNumId w:val="30"/>
  </w:num>
  <w:num w:numId="15">
    <w:abstractNumId w:val="11"/>
  </w:num>
  <w:num w:numId="16">
    <w:abstractNumId w:val="2"/>
  </w:num>
  <w:num w:numId="17">
    <w:abstractNumId w:val="19"/>
  </w:num>
  <w:num w:numId="18">
    <w:abstractNumId w:val="20"/>
  </w:num>
  <w:num w:numId="19">
    <w:abstractNumId w:val="23"/>
  </w:num>
  <w:num w:numId="20">
    <w:abstractNumId w:val="37"/>
  </w:num>
  <w:num w:numId="21">
    <w:abstractNumId w:val="52"/>
  </w:num>
  <w:num w:numId="22">
    <w:abstractNumId w:val="35"/>
  </w:num>
  <w:num w:numId="23">
    <w:abstractNumId w:val="10"/>
  </w:num>
  <w:num w:numId="24">
    <w:abstractNumId w:val="42"/>
  </w:num>
  <w:num w:numId="25">
    <w:abstractNumId w:val="41"/>
  </w:num>
  <w:num w:numId="26">
    <w:abstractNumId w:val="27"/>
  </w:num>
  <w:num w:numId="27">
    <w:abstractNumId w:val="48"/>
  </w:num>
  <w:num w:numId="28">
    <w:abstractNumId w:val="55"/>
  </w:num>
  <w:num w:numId="29">
    <w:abstractNumId w:val="7"/>
  </w:num>
  <w:num w:numId="30">
    <w:abstractNumId w:val="3"/>
  </w:num>
  <w:num w:numId="31">
    <w:abstractNumId w:val="29"/>
  </w:num>
  <w:num w:numId="32">
    <w:abstractNumId w:val="28"/>
  </w:num>
  <w:num w:numId="33">
    <w:abstractNumId w:val="51"/>
  </w:num>
  <w:num w:numId="34">
    <w:abstractNumId w:val="50"/>
  </w:num>
  <w:num w:numId="35">
    <w:abstractNumId w:val="1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1"/>
  </w:num>
  <w:num w:numId="39">
    <w:abstractNumId w:val="17"/>
  </w:num>
  <w:num w:numId="40">
    <w:abstractNumId w:val="14"/>
  </w:num>
  <w:num w:numId="41">
    <w:abstractNumId w:val="24"/>
  </w:num>
  <w:num w:numId="42">
    <w:abstractNumId w:val="47"/>
  </w:num>
  <w:num w:numId="43">
    <w:abstractNumId w:val="34"/>
  </w:num>
  <w:num w:numId="44">
    <w:abstractNumId w:val="34"/>
    <w:lvlOverride w:ilvl="0">
      <w:startOverride w:val="1"/>
    </w:lvlOverride>
  </w:num>
  <w:num w:numId="45">
    <w:abstractNumId w:val="32"/>
  </w:num>
  <w:num w:numId="46">
    <w:abstractNumId w:val="9"/>
  </w:num>
  <w:num w:numId="47">
    <w:abstractNumId w:val="38"/>
  </w:num>
  <w:num w:numId="48">
    <w:abstractNumId w:val="4"/>
  </w:num>
  <w:num w:numId="49">
    <w:abstractNumId w:val="53"/>
  </w:num>
  <w:num w:numId="50">
    <w:abstractNumId w:val="43"/>
  </w:num>
  <w:num w:numId="51">
    <w:abstractNumId w:val="13"/>
  </w:num>
  <w:num w:numId="52">
    <w:abstractNumId w:val="46"/>
  </w:num>
  <w:num w:numId="53">
    <w:abstractNumId w:val="40"/>
  </w:num>
  <w:num w:numId="54">
    <w:abstractNumId w:val="21"/>
  </w:num>
  <w:num w:numId="55">
    <w:abstractNumId w:val="49"/>
  </w:num>
  <w:num w:numId="56">
    <w:abstractNumId w:val="25"/>
  </w:num>
  <w:num w:numId="57">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138"/>
    <w:rsid w:val="000006AD"/>
    <w:rsid w:val="00001490"/>
    <w:rsid w:val="00002232"/>
    <w:rsid w:val="00002491"/>
    <w:rsid w:val="0000378E"/>
    <w:rsid w:val="00003AEB"/>
    <w:rsid w:val="000040B4"/>
    <w:rsid w:val="00005BBA"/>
    <w:rsid w:val="00005D8C"/>
    <w:rsid w:val="0000623D"/>
    <w:rsid w:val="00006C2B"/>
    <w:rsid w:val="00007014"/>
    <w:rsid w:val="00007968"/>
    <w:rsid w:val="0001067A"/>
    <w:rsid w:val="00013CCE"/>
    <w:rsid w:val="000140D5"/>
    <w:rsid w:val="0001410B"/>
    <w:rsid w:val="000141D6"/>
    <w:rsid w:val="00014A95"/>
    <w:rsid w:val="00015B5E"/>
    <w:rsid w:val="00015F1D"/>
    <w:rsid w:val="0001774B"/>
    <w:rsid w:val="00020D0F"/>
    <w:rsid w:val="0002101C"/>
    <w:rsid w:val="000215EB"/>
    <w:rsid w:val="00021E83"/>
    <w:rsid w:val="00022746"/>
    <w:rsid w:val="00023713"/>
    <w:rsid w:val="00023C4D"/>
    <w:rsid w:val="00025E71"/>
    <w:rsid w:val="00026035"/>
    <w:rsid w:val="00026269"/>
    <w:rsid w:val="00027154"/>
    <w:rsid w:val="00027ECF"/>
    <w:rsid w:val="000303BE"/>
    <w:rsid w:val="000321C9"/>
    <w:rsid w:val="000344D6"/>
    <w:rsid w:val="00034960"/>
    <w:rsid w:val="00036FAE"/>
    <w:rsid w:val="00037276"/>
    <w:rsid w:val="0003737C"/>
    <w:rsid w:val="00037FF7"/>
    <w:rsid w:val="00041858"/>
    <w:rsid w:val="00041BCB"/>
    <w:rsid w:val="0004389E"/>
    <w:rsid w:val="000439D8"/>
    <w:rsid w:val="00043DC4"/>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1E18"/>
    <w:rsid w:val="0006255A"/>
    <w:rsid w:val="00062592"/>
    <w:rsid w:val="000636A1"/>
    <w:rsid w:val="000649D9"/>
    <w:rsid w:val="000652BE"/>
    <w:rsid w:val="00066479"/>
    <w:rsid w:val="00066F6B"/>
    <w:rsid w:val="0006723C"/>
    <w:rsid w:val="00070376"/>
    <w:rsid w:val="0007052A"/>
    <w:rsid w:val="00070604"/>
    <w:rsid w:val="00070974"/>
    <w:rsid w:val="00071EAD"/>
    <w:rsid w:val="00071F4E"/>
    <w:rsid w:val="00072271"/>
    <w:rsid w:val="00072B54"/>
    <w:rsid w:val="000744C3"/>
    <w:rsid w:val="0007463D"/>
    <w:rsid w:val="000749F0"/>
    <w:rsid w:val="00074DCD"/>
    <w:rsid w:val="0007609D"/>
    <w:rsid w:val="00077C67"/>
    <w:rsid w:val="00080976"/>
    <w:rsid w:val="00081148"/>
    <w:rsid w:val="00081CEB"/>
    <w:rsid w:val="00081E60"/>
    <w:rsid w:val="00082626"/>
    <w:rsid w:val="00082D8E"/>
    <w:rsid w:val="00082E31"/>
    <w:rsid w:val="00083AA3"/>
    <w:rsid w:val="00085246"/>
    <w:rsid w:val="00085947"/>
    <w:rsid w:val="000868FE"/>
    <w:rsid w:val="000878D1"/>
    <w:rsid w:val="00091F27"/>
    <w:rsid w:val="000921AE"/>
    <w:rsid w:val="000921D7"/>
    <w:rsid w:val="000925FF"/>
    <w:rsid w:val="00092874"/>
    <w:rsid w:val="000932E0"/>
    <w:rsid w:val="00094096"/>
    <w:rsid w:val="00094C4C"/>
    <w:rsid w:val="00095F4E"/>
    <w:rsid w:val="00096028"/>
    <w:rsid w:val="00096762"/>
    <w:rsid w:val="000969C8"/>
    <w:rsid w:val="0009752D"/>
    <w:rsid w:val="00097AEE"/>
    <w:rsid w:val="000A014A"/>
    <w:rsid w:val="000A04B6"/>
    <w:rsid w:val="000A057B"/>
    <w:rsid w:val="000A0E36"/>
    <w:rsid w:val="000A130D"/>
    <w:rsid w:val="000A1BD2"/>
    <w:rsid w:val="000A2127"/>
    <w:rsid w:val="000A358F"/>
    <w:rsid w:val="000A43CC"/>
    <w:rsid w:val="000A4F19"/>
    <w:rsid w:val="000A58BE"/>
    <w:rsid w:val="000A7314"/>
    <w:rsid w:val="000A7B53"/>
    <w:rsid w:val="000A7B64"/>
    <w:rsid w:val="000A7D04"/>
    <w:rsid w:val="000A7D5F"/>
    <w:rsid w:val="000B0CF4"/>
    <w:rsid w:val="000B145F"/>
    <w:rsid w:val="000B275C"/>
    <w:rsid w:val="000B2C3D"/>
    <w:rsid w:val="000B335F"/>
    <w:rsid w:val="000B55C0"/>
    <w:rsid w:val="000B5DF2"/>
    <w:rsid w:val="000B725B"/>
    <w:rsid w:val="000C06C9"/>
    <w:rsid w:val="000C1DCC"/>
    <w:rsid w:val="000C1FBC"/>
    <w:rsid w:val="000C2B6A"/>
    <w:rsid w:val="000C2F88"/>
    <w:rsid w:val="000C55C8"/>
    <w:rsid w:val="000C57C4"/>
    <w:rsid w:val="000C5FD3"/>
    <w:rsid w:val="000C683C"/>
    <w:rsid w:val="000C701D"/>
    <w:rsid w:val="000C7C4A"/>
    <w:rsid w:val="000D17AA"/>
    <w:rsid w:val="000D2D0B"/>
    <w:rsid w:val="000D340A"/>
    <w:rsid w:val="000D4660"/>
    <w:rsid w:val="000D5D1A"/>
    <w:rsid w:val="000D705D"/>
    <w:rsid w:val="000D7EB9"/>
    <w:rsid w:val="000E0223"/>
    <w:rsid w:val="000E0694"/>
    <w:rsid w:val="000E0CF3"/>
    <w:rsid w:val="000E18A8"/>
    <w:rsid w:val="000E1AEC"/>
    <w:rsid w:val="000E3226"/>
    <w:rsid w:val="000E3937"/>
    <w:rsid w:val="000E4926"/>
    <w:rsid w:val="000E52AA"/>
    <w:rsid w:val="000E5F7F"/>
    <w:rsid w:val="000E667A"/>
    <w:rsid w:val="000E7086"/>
    <w:rsid w:val="000E7C65"/>
    <w:rsid w:val="000F04D2"/>
    <w:rsid w:val="000F55B7"/>
    <w:rsid w:val="000F604F"/>
    <w:rsid w:val="000F7399"/>
    <w:rsid w:val="000F791F"/>
    <w:rsid w:val="001027F1"/>
    <w:rsid w:val="00104F2E"/>
    <w:rsid w:val="001067D6"/>
    <w:rsid w:val="001072DD"/>
    <w:rsid w:val="00110D7A"/>
    <w:rsid w:val="00111464"/>
    <w:rsid w:val="0011167B"/>
    <w:rsid w:val="0011167D"/>
    <w:rsid w:val="00112892"/>
    <w:rsid w:val="001128CE"/>
    <w:rsid w:val="00112E48"/>
    <w:rsid w:val="001130EA"/>
    <w:rsid w:val="001139CE"/>
    <w:rsid w:val="00114259"/>
    <w:rsid w:val="001148DD"/>
    <w:rsid w:val="00114CF5"/>
    <w:rsid w:val="001168B2"/>
    <w:rsid w:val="00117C20"/>
    <w:rsid w:val="00120F0E"/>
    <w:rsid w:val="00121BED"/>
    <w:rsid w:val="0012209A"/>
    <w:rsid w:val="00123D39"/>
    <w:rsid w:val="001244CD"/>
    <w:rsid w:val="0012566F"/>
    <w:rsid w:val="001262B1"/>
    <w:rsid w:val="00130F41"/>
    <w:rsid w:val="00130FAF"/>
    <w:rsid w:val="00135137"/>
    <w:rsid w:val="00135F2B"/>
    <w:rsid w:val="001372DD"/>
    <w:rsid w:val="00137CF7"/>
    <w:rsid w:val="001405BA"/>
    <w:rsid w:val="00141497"/>
    <w:rsid w:val="0014253A"/>
    <w:rsid w:val="001425C8"/>
    <w:rsid w:val="001431AE"/>
    <w:rsid w:val="001433A3"/>
    <w:rsid w:val="00143B87"/>
    <w:rsid w:val="00144ECA"/>
    <w:rsid w:val="00145678"/>
    <w:rsid w:val="001459E3"/>
    <w:rsid w:val="00146A0B"/>
    <w:rsid w:val="00146A82"/>
    <w:rsid w:val="0014761E"/>
    <w:rsid w:val="00151907"/>
    <w:rsid w:val="001544C8"/>
    <w:rsid w:val="00155202"/>
    <w:rsid w:val="00155FAB"/>
    <w:rsid w:val="001567A1"/>
    <w:rsid w:val="00156857"/>
    <w:rsid w:val="00156CFF"/>
    <w:rsid w:val="00157E79"/>
    <w:rsid w:val="00157EED"/>
    <w:rsid w:val="0016087A"/>
    <w:rsid w:val="00160A5C"/>
    <w:rsid w:val="001613EC"/>
    <w:rsid w:val="0016358A"/>
    <w:rsid w:val="001638D4"/>
    <w:rsid w:val="00164664"/>
    <w:rsid w:val="00164F15"/>
    <w:rsid w:val="001651A4"/>
    <w:rsid w:val="0016552B"/>
    <w:rsid w:val="00166B04"/>
    <w:rsid w:val="001670A6"/>
    <w:rsid w:val="001700B5"/>
    <w:rsid w:val="001701FA"/>
    <w:rsid w:val="001707B9"/>
    <w:rsid w:val="00170D44"/>
    <w:rsid w:val="00171183"/>
    <w:rsid w:val="001722BD"/>
    <w:rsid w:val="001725A5"/>
    <w:rsid w:val="00172681"/>
    <w:rsid w:val="00172CF8"/>
    <w:rsid w:val="00173AC7"/>
    <w:rsid w:val="00173ED3"/>
    <w:rsid w:val="001745D7"/>
    <w:rsid w:val="00175754"/>
    <w:rsid w:val="00176982"/>
    <w:rsid w:val="0017701C"/>
    <w:rsid w:val="00181264"/>
    <w:rsid w:val="0018167E"/>
    <w:rsid w:val="001817D7"/>
    <w:rsid w:val="00181BD1"/>
    <w:rsid w:val="0018204A"/>
    <w:rsid w:val="00182AFE"/>
    <w:rsid w:val="00182F7C"/>
    <w:rsid w:val="001843B5"/>
    <w:rsid w:val="00186829"/>
    <w:rsid w:val="001868CA"/>
    <w:rsid w:val="00187304"/>
    <w:rsid w:val="001875BE"/>
    <w:rsid w:val="0019017A"/>
    <w:rsid w:val="00190B8C"/>
    <w:rsid w:val="00190FF8"/>
    <w:rsid w:val="001913D9"/>
    <w:rsid w:val="001913E4"/>
    <w:rsid w:val="00192929"/>
    <w:rsid w:val="0019311A"/>
    <w:rsid w:val="0019322E"/>
    <w:rsid w:val="0019508A"/>
    <w:rsid w:val="00195BFF"/>
    <w:rsid w:val="001960D8"/>
    <w:rsid w:val="00196EAF"/>
    <w:rsid w:val="00197794"/>
    <w:rsid w:val="001A1642"/>
    <w:rsid w:val="001A371B"/>
    <w:rsid w:val="001A4766"/>
    <w:rsid w:val="001A5E5C"/>
    <w:rsid w:val="001A6A0D"/>
    <w:rsid w:val="001A6C51"/>
    <w:rsid w:val="001A6FAA"/>
    <w:rsid w:val="001A7D73"/>
    <w:rsid w:val="001B0363"/>
    <w:rsid w:val="001B1000"/>
    <w:rsid w:val="001B1355"/>
    <w:rsid w:val="001B2D62"/>
    <w:rsid w:val="001B3138"/>
    <w:rsid w:val="001B38DE"/>
    <w:rsid w:val="001B44FD"/>
    <w:rsid w:val="001B4E4B"/>
    <w:rsid w:val="001B50AC"/>
    <w:rsid w:val="001B55FB"/>
    <w:rsid w:val="001B5E05"/>
    <w:rsid w:val="001B66C8"/>
    <w:rsid w:val="001B6D68"/>
    <w:rsid w:val="001B6F2E"/>
    <w:rsid w:val="001B7367"/>
    <w:rsid w:val="001C0344"/>
    <w:rsid w:val="001C05BA"/>
    <w:rsid w:val="001C0F2A"/>
    <w:rsid w:val="001C16BA"/>
    <w:rsid w:val="001C1A59"/>
    <w:rsid w:val="001C24BA"/>
    <w:rsid w:val="001C270F"/>
    <w:rsid w:val="001C2DE2"/>
    <w:rsid w:val="001C3763"/>
    <w:rsid w:val="001C43FD"/>
    <w:rsid w:val="001C4679"/>
    <w:rsid w:val="001C5770"/>
    <w:rsid w:val="001C5B87"/>
    <w:rsid w:val="001C6195"/>
    <w:rsid w:val="001D000A"/>
    <w:rsid w:val="001D0883"/>
    <w:rsid w:val="001D2205"/>
    <w:rsid w:val="001D315C"/>
    <w:rsid w:val="001D31EC"/>
    <w:rsid w:val="001D3A1F"/>
    <w:rsid w:val="001D3FB6"/>
    <w:rsid w:val="001D4550"/>
    <w:rsid w:val="001D5360"/>
    <w:rsid w:val="001D5498"/>
    <w:rsid w:val="001D5BAF"/>
    <w:rsid w:val="001D6401"/>
    <w:rsid w:val="001D653B"/>
    <w:rsid w:val="001D66C9"/>
    <w:rsid w:val="001D6B73"/>
    <w:rsid w:val="001D722A"/>
    <w:rsid w:val="001E04FC"/>
    <w:rsid w:val="001E268C"/>
    <w:rsid w:val="001E407D"/>
    <w:rsid w:val="001E40FB"/>
    <w:rsid w:val="001E58C7"/>
    <w:rsid w:val="001E66EC"/>
    <w:rsid w:val="001E68C5"/>
    <w:rsid w:val="001F0F63"/>
    <w:rsid w:val="001F3996"/>
    <w:rsid w:val="001F44A4"/>
    <w:rsid w:val="001F4A06"/>
    <w:rsid w:val="001F579D"/>
    <w:rsid w:val="001F6289"/>
    <w:rsid w:val="001F65EF"/>
    <w:rsid w:val="001F697B"/>
    <w:rsid w:val="001F7A6E"/>
    <w:rsid w:val="002005A6"/>
    <w:rsid w:val="00202A7C"/>
    <w:rsid w:val="002047D0"/>
    <w:rsid w:val="00204CBC"/>
    <w:rsid w:val="002051F1"/>
    <w:rsid w:val="002067BA"/>
    <w:rsid w:val="0021058D"/>
    <w:rsid w:val="00210E59"/>
    <w:rsid w:val="00211E2F"/>
    <w:rsid w:val="00211E9E"/>
    <w:rsid w:val="00212F2A"/>
    <w:rsid w:val="00214FB4"/>
    <w:rsid w:val="00215940"/>
    <w:rsid w:val="0021799C"/>
    <w:rsid w:val="00217C23"/>
    <w:rsid w:val="00220561"/>
    <w:rsid w:val="00220CE4"/>
    <w:rsid w:val="00222D9B"/>
    <w:rsid w:val="00223788"/>
    <w:rsid w:val="00223D11"/>
    <w:rsid w:val="00223DCF"/>
    <w:rsid w:val="002242D3"/>
    <w:rsid w:val="002301E6"/>
    <w:rsid w:val="00232F90"/>
    <w:rsid w:val="00232FC0"/>
    <w:rsid w:val="00233B08"/>
    <w:rsid w:val="00233C3B"/>
    <w:rsid w:val="0023499C"/>
    <w:rsid w:val="00235CE3"/>
    <w:rsid w:val="0023636A"/>
    <w:rsid w:val="00236F34"/>
    <w:rsid w:val="002372F7"/>
    <w:rsid w:val="0024057A"/>
    <w:rsid w:val="00240651"/>
    <w:rsid w:val="00240803"/>
    <w:rsid w:val="00242943"/>
    <w:rsid w:val="002434AE"/>
    <w:rsid w:val="0024426D"/>
    <w:rsid w:val="00244F1D"/>
    <w:rsid w:val="00245004"/>
    <w:rsid w:val="00245FB4"/>
    <w:rsid w:val="00250898"/>
    <w:rsid w:val="00251EA9"/>
    <w:rsid w:val="00252843"/>
    <w:rsid w:val="002543F8"/>
    <w:rsid w:val="002551A4"/>
    <w:rsid w:val="00255949"/>
    <w:rsid w:val="002559F3"/>
    <w:rsid w:val="00256B60"/>
    <w:rsid w:val="00256DFE"/>
    <w:rsid w:val="0026163A"/>
    <w:rsid w:val="00261D56"/>
    <w:rsid w:val="00261FD3"/>
    <w:rsid w:val="0026401A"/>
    <w:rsid w:val="00264077"/>
    <w:rsid w:val="00266B9A"/>
    <w:rsid w:val="00267A3E"/>
    <w:rsid w:val="00267C2F"/>
    <w:rsid w:val="00270A50"/>
    <w:rsid w:val="00270E54"/>
    <w:rsid w:val="00271F3D"/>
    <w:rsid w:val="00273681"/>
    <w:rsid w:val="002754B5"/>
    <w:rsid w:val="002764C5"/>
    <w:rsid w:val="002772AE"/>
    <w:rsid w:val="00280613"/>
    <w:rsid w:val="00282265"/>
    <w:rsid w:val="0028274D"/>
    <w:rsid w:val="00282B96"/>
    <w:rsid w:val="00282DBB"/>
    <w:rsid w:val="00282DFB"/>
    <w:rsid w:val="002833D6"/>
    <w:rsid w:val="00283F51"/>
    <w:rsid w:val="00285BCD"/>
    <w:rsid w:val="00286064"/>
    <w:rsid w:val="002867B1"/>
    <w:rsid w:val="00286A4F"/>
    <w:rsid w:val="00287BBB"/>
    <w:rsid w:val="00287E3B"/>
    <w:rsid w:val="00290638"/>
    <w:rsid w:val="00291763"/>
    <w:rsid w:val="00291D80"/>
    <w:rsid w:val="00293156"/>
    <w:rsid w:val="00293BE7"/>
    <w:rsid w:val="002946DC"/>
    <w:rsid w:val="00295318"/>
    <w:rsid w:val="002959FB"/>
    <w:rsid w:val="00296005"/>
    <w:rsid w:val="002967DD"/>
    <w:rsid w:val="00297443"/>
    <w:rsid w:val="002A0C82"/>
    <w:rsid w:val="002A0CD8"/>
    <w:rsid w:val="002A13EB"/>
    <w:rsid w:val="002A35EF"/>
    <w:rsid w:val="002A3DE0"/>
    <w:rsid w:val="002A40EA"/>
    <w:rsid w:val="002A46E8"/>
    <w:rsid w:val="002A491C"/>
    <w:rsid w:val="002B1FEF"/>
    <w:rsid w:val="002B2DF8"/>
    <w:rsid w:val="002B354F"/>
    <w:rsid w:val="002B3614"/>
    <w:rsid w:val="002B3692"/>
    <w:rsid w:val="002B45D1"/>
    <w:rsid w:val="002B4ED8"/>
    <w:rsid w:val="002B4FAA"/>
    <w:rsid w:val="002B52C2"/>
    <w:rsid w:val="002B7656"/>
    <w:rsid w:val="002C1492"/>
    <w:rsid w:val="002C1E8B"/>
    <w:rsid w:val="002C2EFE"/>
    <w:rsid w:val="002C4597"/>
    <w:rsid w:val="002C53AA"/>
    <w:rsid w:val="002C5B2D"/>
    <w:rsid w:val="002C5D28"/>
    <w:rsid w:val="002C6AF9"/>
    <w:rsid w:val="002C7DFC"/>
    <w:rsid w:val="002C7E9F"/>
    <w:rsid w:val="002D14F3"/>
    <w:rsid w:val="002D16E4"/>
    <w:rsid w:val="002D176C"/>
    <w:rsid w:val="002D2FEF"/>
    <w:rsid w:val="002D36C2"/>
    <w:rsid w:val="002D3FCB"/>
    <w:rsid w:val="002D4FEF"/>
    <w:rsid w:val="002D502D"/>
    <w:rsid w:val="002D63F5"/>
    <w:rsid w:val="002D6E1A"/>
    <w:rsid w:val="002E036D"/>
    <w:rsid w:val="002E1517"/>
    <w:rsid w:val="002E1B22"/>
    <w:rsid w:val="002E30BB"/>
    <w:rsid w:val="002E387F"/>
    <w:rsid w:val="002E4F86"/>
    <w:rsid w:val="002E5145"/>
    <w:rsid w:val="002E7113"/>
    <w:rsid w:val="002E7F4B"/>
    <w:rsid w:val="002E7FB3"/>
    <w:rsid w:val="002F0C91"/>
    <w:rsid w:val="002F0E3E"/>
    <w:rsid w:val="002F1B19"/>
    <w:rsid w:val="002F1FBF"/>
    <w:rsid w:val="002F210D"/>
    <w:rsid w:val="002F3E52"/>
    <w:rsid w:val="002F4139"/>
    <w:rsid w:val="00300624"/>
    <w:rsid w:val="003009A2"/>
    <w:rsid w:val="00300F56"/>
    <w:rsid w:val="00301006"/>
    <w:rsid w:val="00303565"/>
    <w:rsid w:val="00303DFF"/>
    <w:rsid w:val="00304A71"/>
    <w:rsid w:val="003066C8"/>
    <w:rsid w:val="0030739D"/>
    <w:rsid w:val="00307AFB"/>
    <w:rsid w:val="00311184"/>
    <w:rsid w:val="00312675"/>
    <w:rsid w:val="00314013"/>
    <w:rsid w:val="00314945"/>
    <w:rsid w:val="00314B8B"/>
    <w:rsid w:val="00314C4C"/>
    <w:rsid w:val="00315389"/>
    <w:rsid w:val="00315746"/>
    <w:rsid w:val="00315895"/>
    <w:rsid w:val="00315E96"/>
    <w:rsid w:val="00317FC8"/>
    <w:rsid w:val="00320B9B"/>
    <w:rsid w:val="003223D7"/>
    <w:rsid w:val="00323D9F"/>
    <w:rsid w:val="00324011"/>
    <w:rsid w:val="00324711"/>
    <w:rsid w:val="00324FDB"/>
    <w:rsid w:val="0032577F"/>
    <w:rsid w:val="00325F48"/>
    <w:rsid w:val="00327087"/>
    <w:rsid w:val="003273FE"/>
    <w:rsid w:val="0033194F"/>
    <w:rsid w:val="00332304"/>
    <w:rsid w:val="00332406"/>
    <w:rsid w:val="00332D8D"/>
    <w:rsid w:val="00336420"/>
    <w:rsid w:val="00336B56"/>
    <w:rsid w:val="00337A3F"/>
    <w:rsid w:val="00341B25"/>
    <w:rsid w:val="00341EC0"/>
    <w:rsid w:val="0034240C"/>
    <w:rsid w:val="00342905"/>
    <w:rsid w:val="0034391A"/>
    <w:rsid w:val="00344496"/>
    <w:rsid w:val="00345968"/>
    <w:rsid w:val="00347667"/>
    <w:rsid w:val="003507E2"/>
    <w:rsid w:val="00351DC6"/>
    <w:rsid w:val="003522B2"/>
    <w:rsid w:val="00353964"/>
    <w:rsid w:val="0035455E"/>
    <w:rsid w:val="00354A6F"/>
    <w:rsid w:val="00354B48"/>
    <w:rsid w:val="00355789"/>
    <w:rsid w:val="003557F4"/>
    <w:rsid w:val="00357C60"/>
    <w:rsid w:val="003609B6"/>
    <w:rsid w:val="00361119"/>
    <w:rsid w:val="0036262D"/>
    <w:rsid w:val="00363162"/>
    <w:rsid w:val="003650DC"/>
    <w:rsid w:val="0036538D"/>
    <w:rsid w:val="00365D12"/>
    <w:rsid w:val="00366825"/>
    <w:rsid w:val="0036711A"/>
    <w:rsid w:val="0037018D"/>
    <w:rsid w:val="00372299"/>
    <w:rsid w:val="00372ABA"/>
    <w:rsid w:val="00372F02"/>
    <w:rsid w:val="00373729"/>
    <w:rsid w:val="0037372F"/>
    <w:rsid w:val="00373C91"/>
    <w:rsid w:val="003748F0"/>
    <w:rsid w:val="003755C6"/>
    <w:rsid w:val="00375AEF"/>
    <w:rsid w:val="00376367"/>
    <w:rsid w:val="00376B02"/>
    <w:rsid w:val="0037733A"/>
    <w:rsid w:val="003776DC"/>
    <w:rsid w:val="003779C1"/>
    <w:rsid w:val="00377E6A"/>
    <w:rsid w:val="00380FEC"/>
    <w:rsid w:val="00381226"/>
    <w:rsid w:val="00381B1B"/>
    <w:rsid w:val="00381FDF"/>
    <w:rsid w:val="00381FF6"/>
    <w:rsid w:val="00383177"/>
    <w:rsid w:val="00383D29"/>
    <w:rsid w:val="00383D7D"/>
    <w:rsid w:val="00384CCE"/>
    <w:rsid w:val="00386155"/>
    <w:rsid w:val="003865E5"/>
    <w:rsid w:val="00386BB8"/>
    <w:rsid w:val="00386E09"/>
    <w:rsid w:val="003900AD"/>
    <w:rsid w:val="0039056F"/>
    <w:rsid w:val="00391785"/>
    <w:rsid w:val="003926C1"/>
    <w:rsid w:val="00392900"/>
    <w:rsid w:val="00393357"/>
    <w:rsid w:val="00394CE6"/>
    <w:rsid w:val="00395E7B"/>
    <w:rsid w:val="00395F4C"/>
    <w:rsid w:val="003A41DB"/>
    <w:rsid w:val="003A5DAC"/>
    <w:rsid w:val="003A6591"/>
    <w:rsid w:val="003A6E9A"/>
    <w:rsid w:val="003A79E3"/>
    <w:rsid w:val="003B00EE"/>
    <w:rsid w:val="003B08C8"/>
    <w:rsid w:val="003B1B9B"/>
    <w:rsid w:val="003B2567"/>
    <w:rsid w:val="003B381A"/>
    <w:rsid w:val="003B4976"/>
    <w:rsid w:val="003B4B3F"/>
    <w:rsid w:val="003B6258"/>
    <w:rsid w:val="003B6ABC"/>
    <w:rsid w:val="003B7A99"/>
    <w:rsid w:val="003C0343"/>
    <w:rsid w:val="003C0E87"/>
    <w:rsid w:val="003C143B"/>
    <w:rsid w:val="003C1C32"/>
    <w:rsid w:val="003C2C03"/>
    <w:rsid w:val="003C40DA"/>
    <w:rsid w:val="003C42BA"/>
    <w:rsid w:val="003C462F"/>
    <w:rsid w:val="003C4A02"/>
    <w:rsid w:val="003C4F05"/>
    <w:rsid w:val="003C5DB9"/>
    <w:rsid w:val="003C6191"/>
    <w:rsid w:val="003C6E49"/>
    <w:rsid w:val="003C74B0"/>
    <w:rsid w:val="003D0CBF"/>
    <w:rsid w:val="003D0DD6"/>
    <w:rsid w:val="003D481F"/>
    <w:rsid w:val="003D4B73"/>
    <w:rsid w:val="003D503B"/>
    <w:rsid w:val="003D605E"/>
    <w:rsid w:val="003D61D1"/>
    <w:rsid w:val="003D6780"/>
    <w:rsid w:val="003D6FCB"/>
    <w:rsid w:val="003E0AD1"/>
    <w:rsid w:val="003E0F84"/>
    <w:rsid w:val="003E170E"/>
    <w:rsid w:val="003E1FF3"/>
    <w:rsid w:val="003E3ACA"/>
    <w:rsid w:val="003E50EA"/>
    <w:rsid w:val="003E573C"/>
    <w:rsid w:val="003E68C7"/>
    <w:rsid w:val="003E701C"/>
    <w:rsid w:val="003E79B0"/>
    <w:rsid w:val="003F0403"/>
    <w:rsid w:val="003F06DA"/>
    <w:rsid w:val="003F1094"/>
    <w:rsid w:val="003F287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172F"/>
    <w:rsid w:val="00412253"/>
    <w:rsid w:val="004142ED"/>
    <w:rsid w:val="00415571"/>
    <w:rsid w:val="0041634D"/>
    <w:rsid w:val="00417EF7"/>
    <w:rsid w:val="004204C0"/>
    <w:rsid w:val="00422A7D"/>
    <w:rsid w:val="00422BFC"/>
    <w:rsid w:val="00424642"/>
    <w:rsid w:val="004255FF"/>
    <w:rsid w:val="00425ABB"/>
    <w:rsid w:val="00425BB6"/>
    <w:rsid w:val="004261A0"/>
    <w:rsid w:val="004263D3"/>
    <w:rsid w:val="004265AA"/>
    <w:rsid w:val="00426BC3"/>
    <w:rsid w:val="00426CE1"/>
    <w:rsid w:val="0042727F"/>
    <w:rsid w:val="00427D52"/>
    <w:rsid w:val="00430412"/>
    <w:rsid w:val="00430497"/>
    <w:rsid w:val="00430589"/>
    <w:rsid w:val="00431013"/>
    <w:rsid w:val="0043151B"/>
    <w:rsid w:val="0043173B"/>
    <w:rsid w:val="00432A91"/>
    <w:rsid w:val="004332A4"/>
    <w:rsid w:val="0043453F"/>
    <w:rsid w:val="004348BA"/>
    <w:rsid w:val="00434A74"/>
    <w:rsid w:val="00436A79"/>
    <w:rsid w:val="00437929"/>
    <w:rsid w:val="00437A4A"/>
    <w:rsid w:val="00440275"/>
    <w:rsid w:val="00440541"/>
    <w:rsid w:val="00440D2B"/>
    <w:rsid w:val="0044162D"/>
    <w:rsid w:val="0044277A"/>
    <w:rsid w:val="00443C7B"/>
    <w:rsid w:val="004456DC"/>
    <w:rsid w:val="00445848"/>
    <w:rsid w:val="00447FBE"/>
    <w:rsid w:val="0045035E"/>
    <w:rsid w:val="00451421"/>
    <w:rsid w:val="0045175A"/>
    <w:rsid w:val="00451ED9"/>
    <w:rsid w:val="00452180"/>
    <w:rsid w:val="004526F6"/>
    <w:rsid w:val="00453072"/>
    <w:rsid w:val="004539F8"/>
    <w:rsid w:val="00453F26"/>
    <w:rsid w:val="0045503F"/>
    <w:rsid w:val="00455273"/>
    <w:rsid w:val="00457604"/>
    <w:rsid w:val="00460905"/>
    <w:rsid w:val="00461631"/>
    <w:rsid w:val="00461E35"/>
    <w:rsid w:val="004621DB"/>
    <w:rsid w:val="0046247E"/>
    <w:rsid w:val="0046303F"/>
    <w:rsid w:val="004634A7"/>
    <w:rsid w:val="00463787"/>
    <w:rsid w:val="004641E9"/>
    <w:rsid w:val="00466926"/>
    <w:rsid w:val="00466D8C"/>
    <w:rsid w:val="00466FDA"/>
    <w:rsid w:val="004671D0"/>
    <w:rsid w:val="004674D1"/>
    <w:rsid w:val="00470531"/>
    <w:rsid w:val="00470773"/>
    <w:rsid w:val="00471FF9"/>
    <w:rsid w:val="00473E74"/>
    <w:rsid w:val="00473FEF"/>
    <w:rsid w:val="00474542"/>
    <w:rsid w:val="00475B8E"/>
    <w:rsid w:val="0048104E"/>
    <w:rsid w:val="004814BB"/>
    <w:rsid w:val="004815DA"/>
    <w:rsid w:val="00481F05"/>
    <w:rsid w:val="00482458"/>
    <w:rsid w:val="00482B90"/>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0E1C"/>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2EF6"/>
    <w:rsid w:val="004A357F"/>
    <w:rsid w:val="004A3DAD"/>
    <w:rsid w:val="004A4AC0"/>
    <w:rsid w:val="004A79F7"/>
    <w:rsid w:val="004B0335"/>
    <w:rsid w:val="004B0F1C"/>
    <w:rsid w:val="004B1887"/>
    <w:rsid w:val="004B1D0D"/>
    <w:rsid w:val="004B1E61"/>
    <w:rsid w:val="004B21AB"/>
    <w:rsid w:val="004B59E0"/>
    <w:rsid w:val="004B667B"/>
    <w:rsid w:val="004B6BBE"/>
    <w:rsid w:val="004B71C7"/>
    <w:rsid w:val="004C03AA"/>
    <w:rsid w:val="004C0B9A"/>
    <w:rsid w:val="004C14E7"/>
    <w:rsid w:val="004C1D89"/>
    <w:rsid w:val="004C2A94"/>
    <w:rsid w:val="004C3725"/>
    <w:rsid w:val="004C3737"/>
    <w:rsid w:val="004C3DAB"/>
    <w:rsid w:val="004C5766"/>
    <w:rsid w:val="004C5F54"/>
    <w:rsid w:val="004C6E76"/>
    <w:rsid w:val="004C77DD"/>
    <w:rsid w:val="004C7826"/>
    <w:rsid w:val="004C7B33"/>
    <w:rsid w:val="004D1410"/>
    <w:rsid w:val="004D1478"/>
    <w:rsid w:val="004D19EE"/>
    <w:rsid w:val="004D1CF2"/>
    <w:rsid w:val="004D2D3A"/>
    <w:rsid w:val="004D374D"/>
    <w:rsid w:val="004D3BD0"/>
    <w:rsid w:val="004D3DEC"/>
    <w:rsid w:val="004D42C8"/>
    <w:rsid w:val="004D4F57"/>
    <w:rsid w:val="004D50F6"/>
    <w:rsid w:val="004D53C4"/>
    <w:rsid w:val="004D5A0D"/>
    <w:rsid w:val="004D7910"/>
    <w:rsid w:val="004D7DEA"/>
    <w:rsid w:val="004E0A28"/>
    <w:rsid w:val="004E106F"/>
    <w:rsid w:val="004E1A0F"/>
    <w:rsid w:val="004E2E89"/>
    <w:rsid w:val="004E33C2"/>
    <w:rsid w:val="004E3B9A"/>
    <w:rsid w:val="004E4839"/>
    <w:rsid w:val="004E49B0"/>
    <w:rsid w:val="004E62DE"/>
    <w:rsid w:val="004E6637"/>
    <w:rsid w:val="004E6AE4"/>
    <w:rsid w:val="004E6B05"/>
    <w:rsid w:val="004E76A1"/>
    <w:rsid w:val="004F05DE"/>
    <w:rsid w:val="004F3379"/>
    <w:rsid w:val="004F3FB1"/>
    <w:rsid w:val="004F4A4E"/>
    <w:rsid w:val="004F52B8"/>
    <w:rsid w:val="004F581F"/>
    <w:rsid w:val="004F6376"/>
    <w:rsid w:val="004F6A93"/>
    <w:rsid w:val="004F6F14"/>
    <w:rsid w:val="004F76D9"/>
    <w:rsid w:val="004F79A6"/>
    <w:rsid w:val="00501BF5"/>
    <w:rsid w:val="00501D8B"/>
    <w:rsid w:val="00502CD9"/>
    <w:rsid w:val="00503A3E"/>
    <w:rsid w:val="00503F59"/>
    <w:rsid w:val="005049A7"/>
    <w:rsid w:val="00504ABA"/>
    <w:rsid w:val="005053B2"/>
    <w:rsid w:val="00506032"/>
    <w:rsid w:val="00506331"/>
    <w:rsid w:val="00507D11"/>
    <w:rsid w:val="00510662"/>
    <w:rsid w:val="005109B7"/>
    <w:rsid w:val="00510A19"/>
    <w:rsid w:val="00511AAB"/>
    <w:rsid w:val="00514CCF"/>
    <w:rsid w:val="00514D10"/>
    <w:rsid w:val="00516783"/>
    <w:rsid w:val="00517E9D"/>
    <w:rsid w:val="00517EF8"/>
    <w:rsid w:val="00520083"/>
    <w:rsid w:val="0052029E"/>
    <w:rsid w:val="0052076A"/>
    <w:rsid w:val="00520A2C"/>
    <w:rsid w:val="00520AA6"/>
    <w:rsid w:val="00520E25"/>
    <w:rsid w:val="0052183D"/>
    <w:rsid w:val="00522871"/>
    <w:rsid w:val="00522F44"/>
    <w:rsid w:val="0052360A"/>
    <w:rsid w:val="00523DDA"/>
    <w:rsid w:val="005242BA"/>
    <w:rsid w:val="005243B8"/>
    <w:rsid w:val="00524B1F"/>
    <w:rsid w:val="005252DD"/>
    <w:rsid w:val="00530393"/>
    <w:rsid w:val="00530A8D"/>
    <w:rsid w:val="00531C6D"/>
    <w:rsid w:val="00532EF4"/>
    <w:rsid w:val="005347CE"/>
    <w:rsid w:val="00535477"/>
    <w:rsid w:val="00535DEA"/>
    <w:rsid w:val="00536A86"/>
    <w:rsid w:val="0053723A"/>
    <w:rsid w:val="00537636"/>
    <w:rsid w:val="00537B1D"/>
    <w:rsid w:val="00540191"/>
    <w:rsid w:val="00540A2A"/>
    <w:rsid w:val="0054162C"/>
    <w:rsid w:val="00541F27"/>
    <w:rsid w:val="00542297"/>
    <w:rsid w:val="005424BC"/>
    <w:rsid w:val="00542A28"/>
    <w:rsid w:val="005441D1"/>
    <w:rsid w:val="005441D4"/>
    <w:rsid w:val="005450C3"/>
    <w:rsid w:val="0054672D"/>
    <w:rsid w:val="00547242"/>
    <w:rsid w:val="00550F4E"/>
    <w:rsid w:val="005532B5"/>
    <w:rsid w:val="00554775"/>
    <w:rsid w:val="0055481F"/>
    <w:rsid w:val="00554A05"/>
    <w:rsid w:val="00555849"/>
    <w:rsid w:val="005559A8"/>
    <w:rsid w:val="00557048"/>
    <w:rsid w:val="00557FB5"/>
    <w:rsid w:val="005601C7"/>
    <w:rsid w:val="00561AED"/>
    <w:rsid w:val="005648A8"/>
    <w:rsid w:val="00564DE3"/>
    <w:rsid w:val="00564E44"/>
    <w:rsid w:val="00565C78"/>
    <w:rsid w:val="00566394"/>
    <w:rsid w:val="00566C6A"/>
    <w:rsid w:val="00566CE5"/>
    <w:rsid w:val="00566D36"/>
    <w:rsid w:val="005708E2"/>
    <w:rsid w:val="00572D59"/>
    <w:rsid w:val="00573569"/>
    <w:rsid w:val="00573871"/>
    <w:rsid w:val="0057389E"/>
    <w:rsid w:val="005738DE"/>
    <w:rsid w:val="00573DA7"/>
    <w:rsid w:val="005762EC"/>
    <w:rsid w:val="005765C0"/>
    <w:rsid w:val="00576BA2"/>
    <w:rsid w:val="005778DE"/>
    <w:rsid w:val="00580B3F"/>
    <w:rsid w:val="005825F2"/>
    <w:rsid w:val="00582AAD"/>
    <w:rsid w:val="00583ACB"/>
    <w:rsid w:val="005860AF"/>
    <w:rsid w:val="00586A68"/>
    <w:rsid w:val="0058769E"/>
    <w:rsid w:val="005878D2"/>
    <w:rsid w:val="00587F1D"/>
    <w:rsid w:val="00590149"/>
    <w:rsid w:val="00590348"/>
    <w:rsid w:val="00591161"/>
    <w:rsid w:val="005918A3"/>
    <w:rsid w:val="00592318"/>
    <w:rsid w:val="00593133"/>
    <w:rsid w:val="0059390F"/>
    <w:rsid w:val="00594655"/>
    <w:rsid w:val="0059575D"/>
    <w:rsid w:val="00596825"/>
    <w:rsid w:val="005A150A"/>
    <w:rsid w:val="005A2B3E"/>
    <w:rsid w:val="005A3644"/>
    <w:rsid w:val="005A4087"/>
    <w:rsid w:val="005A4B18"/>
    <w:rsid w:val="005A537E"/>
    <w:rsid w:val="005A6F43"/>
    <w:rsid w:val="005A767D"/>
    <w:rsid w:val="005B00D2"/>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1715"/>
    <w:rsid w:val="005C24EF"/>
    <w:rsid w:val="005C2796"/>
    <w:rsid w:val="005C3C6C"/>
    <w:rsid w:val="005C3F4C"/>
    <w:rsid w:val="005C43AA"/>
    <w:rsid w:val="005C447A"/>
    <w:rsid w:val="005C48C8"/>
    <w:rsid w:val="005C4C08"/>
    <w:rsid w:val="005C4E0E"/>
    <w:rsid w:val="005C59C6"/>
    <w:rsid w:val="005C6485"/>
    <w:rsid w:val="005C663C"/>
    <w:rsid w:val="005C6FC7"/>
    <w:rsid w:val="005D0594"/>
    <w:rsid w:val="005D1023"/>
    <w:rsid w:val="005D148F"/>
    <w:rsid w:val="005D2AD2"/>
    <w:rsid w:val="005D4A86"/>
    <w:rsid w:val="005D54D9"/>
    <w:rsid w:val="005D5EB1"/>
    <w:rsid w:val="005D6A29"/>
    <w:rsid w:val="005E0481"/>
    <w:rsid w:val="005E0569"/>
    <w:rsid w:val="005E10BF"/>
    <w:rsid w:val="005E1834"/>
    <w:rsid w:val="005E1AB8"/>
    <w:rsid w:val="005E3260"/>
    <w:rsid w:val="005E49E5"/>
    <w:rsid w:val="005E5481"/>
    <w:rsid w:val="005E55E4"/>
    <w:rsid w:val="005E6C5F"/>
    <w:rsid w:val="005E7636"/>
    <w:rsid w:val="005F028E"/>
    <w:rsid w:val="005F04B4"/>
    <w:rsid w:val="005F11A4"/>
    <w:rsid w:val="005F19F8"/>
    <w:rsid w:val="005F3A40"/>
    <w:rsid w:val="005F3FB1"/>
    <w:rsid w:val="005F453B"/>
    <w:rsid w:val="005F4B88"/>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1662"/>
    <w:rsid w:val="00611D3E"/>
    <w:rsid w:val="0061263A"/>
    <w:rsid w:val="00612C41"/>
    <w:rsid w:val="00613CFB"/>
    <w:rsid w:val="006145DE"/>
    <w:rsid w:val="0061478E"/>
    <w:rsid w:val="00614F25"/>
    <w:rsid w:val="00616A11"/>
    <w:rsid w:val="00616B9B"/>
    <w:rsid w:val="006170B6"/>
    <w:rsid w:val="00617520"/>
    <w:rsid w:val="00617AD0"/>
    <w:rsid w:val="00620D7C"/>
    <w:rsid w:val="00620DA7"/>
    <w:rsid w:val="00621089"/>
    <w:rsid w:val="00621E1F"/>
    <w:rsid w:val="006228B2"/>
    <w:rsid w:val="006228E1"/>
    <w:rsid w:val="00622E32"/>
    <w:rsid w:val="00623688"/>
    <w:rsid w:val="006247BD"/>
    <w:rsid w:val="006247E0"/>
    <w:rsid w:val="00625F82"/>
    <w:rsid w:val="00627999"/>
    <w:rsid w:val="00630CD7"/>
    <w:rsid w:val="00630FD8"/>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176"/>
    <w:rsid w:val="00644F4D"/>
    <w:rsid w:val="00645960"/>
    <w:rsid w:val="006469B1"/>
    <w:rsid w:val="00646C0D"/>
    <w:rsid w:val="006476F7"/>
    <w:rsid w:val="0064779E"/>
    <w:rsid w:val="006501FA"/>
    <w:rsid w:val="006509B0"/>
    <w:rsid w:val="006521F3"/>
    <w:rsid w:val="006524D5"/>
    <w:rsid w:val="006525B6"/>
    <w:rsid w:val="00652B36"/>
    <w:rsid w:val="00652BBD"/>
    <w:rsid w:val="00653633"/>
    <w:rsid w:val="00653F69"/>
    <w:rsid w:val="00654113"/>
    <w:rsid w:val="00654936"/>
    <w:rsid w:val="00655485"/>
    <w:rsid w:val="006558B3"/>
    <w:rsid w:val="00656555"/>
    <w:rsid w:val="00657143"/>
    <w:rsid w:val="00660B0D"/>
    <w:rsid w:val="00660BF0"/>
    <w:rsid w:val="0066189C"/>
    <w:rsid w:val="006630CF"/>
    <w:rsid w:val="00663E50"/>
    <w:rsid w:val="00663EFF"/>
    <w:rsid w:val="00666F74"/>
    <w:rsid w:val="00667FEA"/>
    <w:rsid w:val="006710D2"/>
    <w:rsid w:val="006717AE"/>
    <w:rsid w:val="00671A8B"/>
    <w:rsid w:val="00671B14"/>
    <w:rsid w:val="00671F53"/>
    <w:rsid w:val="006725A0"/>
    <w:rsid w:val="00673B65"/>
    <w:rsid w:val="0067555E"/>
    <w:rsid w:val="006765B9"/>
    <w:rsid w:val="00677FAD"/>
    <w:rsid w:val="006802DE"/>
    <w:rsid w:val="0068032D"/>
    <w:rsid w:val="0068068C"/>
    <w:rsid w:val="006809FE"/>
    <w:rsid w:val="00680D05"/>
    <w:rsid w:val="00681115"/>
    <w:rsid w:val="00683920"/>
    <w:rsid w:val="00685147"/>
    <w:rsid w:val="00685653"/>
    <w:rsid w:val="0068590D"/>
    <w:rsid w:val="00685A89"/>
    <w:rsid w:val="006861B3"/>
    <w:rsid w:val="00686734"/>
    <w:rsid w:val="00686FA2"/>
    <w:rsid w:val="006870C5"/>
    <w:rsid w:val="00690F0E"/>
    <w:rsid w:val="006911C0"/>
    <w:rsid w:val="0069168B"/>
    <w:rsid w:val="00691B7C"/>
    <w:rsid w:val="006923F6"/>
    <w:rsid w:val="00692D2C"/>
    <w:rsid w:val="00694B73"/>
    <w:rsid w:val="00694DF2"/>
    <w:rsid w:val="00695F80"/>
    <w:rsid w:val="006966CD"/>
    <w:rsid w:val="00696735"/>
    <w:rsid w:val="006975D4"/>
    <w:rsid w:val="0069780E"/>
    <w:rsid w:val="00697D13"/>
    <w:rsid w:val="006A24D5"/>
    <w:rsid w:val="006A2CA2"/>
    <w:rsid w:val="006A3721"/>
    <w:rsid w:val="006A6F4A"/>
    <w:rsid w:val="006A7F0A"/>
    <w:rsid w:val="006B0E16"/>
    <w:rsid w:val="006B167B"/>
    <w:rsid w:val="006B2D40"/>
    <w:rsid w:val="006B34DF"/>
    <w:rsid w:val="006B39B2"/>
    <w:rsid w:val="006B3AF9"/>
    <w:rsid w:val="006B45A0"/>
    <w:rsid w:val="006B5668"/>
    <w:rsid w:val="006B5F71"/>
    <w:rsid w:val="006B6E44"/>
    <w:rsid w:val="006B7059"/>
    <w:rsid w:val="006B7287"/>
    <w:rsid w:val="006B7F2E"/>
    <w:rsid w:val="006C0BF8"/>
    <w:rsid w:val="006C11A4"/>
    <w:rsid w:val="006C2253"/>
    <w:rsid w:val="006C28F6"/>
    <w:rsid w:val="006C2B0E"/>
    <w:rsid w:val="006C2CCB"/>
    <w:rsid w:val="006C4334"/>
    <w:rsid w:val="006C4B0F"/>
    <w:rsid w:val="006C5CE6"/>
    <w:rsid w:val="006C5E96"/>
    <w:rsid w:val="006C6BF0"/>
    <w:rsid w:val="006D399F"/>
    <w:rsid w:val="006D4C11"/>
    <w:rsid w:val="006D4F0C"/>
    <w:rsid w:val="006D5645"/>
    <w:rsid w:val="006D6294"/>
    <w:rsid w:val="006D6BDD"/>
    <w:rsid w:val="006E0A4F"/>
    <w:rsid w:val="006E0C8A"/>
    <w:rsid w:val="006E1B77"/>
    <w:rsid w:val="006E1CB2"/>
    <w:rsid w:val="006E2A23"/>
    <w:rsid w:val="006E35E5"/>
    <w:rsid w:val="006E3C72"/>
    <w:rsid w:val="006E42A8"/>
    <w:rsid w:val="006E4F20"/>
    <w:rsid w:val="006E5E18"/>
    <w:rsid w:val="006E61DD"/>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1866"/>
    <w:rsid w:val="007021C2"/>
    <w:rsid w:val="00702502"/>
    <w:rsid w:val="007033A8"/>
    <w:rsid w:val="00703909"/>
    <w:rsid w:val="0070421B"/>
    <w:rsid w:val="007043F0"/>
    <w:rsid w:val="0070472D"/>
    <w:rsid w:val="0070482E"/>
    <w:rsid w:val="00704D25"/>
    <w:rsid w:val="00704EED"/>
    <w:rsid w:val="00710519"/>
    <w:rsid w:val="0071079A"/>
    <w:rsid w:val="00710F6E"/>
    <w:rsid w:val="00711663"/>
    <w:rsid w:val="007116B4"/>
    <w:rsid w:val="0071181E"/>
    <w:rsid w:val="00712580"/>
    <w:rsid w:val="007133E4"/>
    <w:rsid w:val="00713788"/>
    <w:rsid w:val="00713940"/>
    <w:rsid w:val="00714FC5"/>
    <w:rsid w:val="007151A2"/>
    <w:rsid w:val="00716774"/>
    <w:rsid w:val="00716C02"/>
    <w:rsid w:val="00716E67"/>
    <w:rsid w:val="007209DD"/>
    <w:rsid w:val="00722052"/>
    <w:rsid w:val="00722E49"/>
    <w:rsid w:val="00723A08"/>
    <w:rsid w:val="00723B5C"/>
    <w:rsid w:val="00724391"/>
    <w:rsid w:val="00724A2C"/>
    <w:rsid w:val="00724C18"/>
    <w:rsid w:val="00726630"/>
    <w:rsid w:val="00727F73"/>
    <w:rsid w:val="00730705"/>
    <w:rsid w:val="00730944"/>
    <w:rsid w:val="0073248E"/>
    <w:rsid w:val="00733EE9"/>
    <w:rsid w:val="007348B1"/>
    <w:rsid w:val="00734FD0"/>
    <w:rsid w:val="00735B8E"/>
    <w:rsid w:val="00735EE8"/>
    <w:rsid w:val="0073673C"/>
    <w:rsid w:val="00736935"/>
    <w:rsid w:val="0074134B"/>
    <w:rsid w:val="007431A6"/>
    <w:rsid w:val="007437FE"/>
    <w:rsid w:val="00743DE7"/>
    <w:rsid w:val="0074509E"/>
    <w:rsid w:val="00745B9F"/>
    <w:rsid w:val="007463AA"/>
    <w:rsid w:val="0074726F"/>
    <w:rsid w:val="0075015C"/>
    <w:rsid w:val="00750EB4"/>
    <w:rsid w:val="00752D4F"/>
    <w:rsid w:val="00752DC8"/>
    <w:rsid w:val="0075409F"/>
    <w:rsid w:val="007542F7"/>
    <w:rsid w:val="00754A9B"/>
    <w:rsid w:val="00754D93"/>
    <w:rsid w:val="0075525A"/>
    <w:rsid w:val="00755609"/>
    <w:rsid w:val="00755986"/>
    <w:rsid w:val="00755C86"/>
    <w:rsid w:val="00755D0D"/>
    <w:rsid w:val="00755E19"/>
    <w:rsid w:val="00755FCE"/>
    <w:rsid w:val="0075676E"/>
    <w:rsid w:val="00756BFF"/>
    <w:rsid w:val="00756D77"/>
    <w:rsid w:val="0075759C"/>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2BA7"/>
    <w:rsid w:val="00773B94"/>
    <w:rsid w:val="00773C65"/>
    <w:rsid w:val="00775937"/>
    <w:rsid w:val="00776B21"/>
    <w:rsid w:val="00777046"/>
    <w:rsid w:val="007770DA"/>
    <w:rsid w:val="007779C5"/>
    <w:rsid w:val="007805B9"/>
    <w:rsid w:val="00780C3A"/>
    <w:rsid w:val="00783350"/>
    <w:rsid w:val="007834A1"/>
    <w:rsid w:val="007839E0"/>
    <w:rsid w:val="00791EB4"/>
    <w:rsid w:val="0079274E"/>
    <w:rsid w:val="007928F1"/>
    <w:rsid w:val="0079357D"/>
    <w:rsid w:val="007937CC"/>
    <w:rsid w:val="00793A31"/>
    <w:rsid w:val="00794228"/>
    <w:rsid w:val="00794979"/>
    <w:rsid w:val="007956B7"/>
    <w:rsid w:val="00795DF5"/>
    <w:rsid w:val="00795F1A"/>
    <w:rsid w:val="00796EDE"/>
    <w:rsid w:val="00797297"/>
    <w:rsid w:val="007974B3"/>
    <w:rsid w:val="00797875"/>
    <w:rsid w:val="007A076C"/>
    <w:rsid w:val="007A2140"/>
    <w:rsid w:val="007A23E2"/>
    <w:rsid w:val="007A2F86"/>
    <w:rsid w:val="007A31A5"/>
    <w:rsid w:val="007A411B"/>
    <w:rsid w:val="007A45E6"/>
    <w:rsid w:val="007A4B28"/>
    <w:rsid w:val="007A5AE4"/>
    <w:rsid w:val="007A5C2C"/>
    <w:rsid w:val="007A6E41"/>
    <w:rsid w:val="007A6F4E"/>
    <w:rsid w:val="007A7678"/>
    <w:rsid w:val="007B0CD8"/>
    <w:rsid w:val="007B0DE0"/>
    <w:rsid w:val="007B1923"/>
    <w:rsid w:val="007B21DE"/>
    <w:rsid w:val="007B2BB9"/>
    <w:rsid w:val="007B2E4B"/>
    <w:rsid w:val="007B43E8"/>
    <w:rsid w:val="007B4740"/>
    <w:rsid w:val="007B502C"/>
    <w:rsid w:val="007B5F3B"/>
    <w:rsid w:val="007B640C"/>
    <w:rsid w:val="007B6BC4"/>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1CDF"/>
    <w:rsid w:val="007E3514"/>
    <w:rsid w:val="007E49CE"/>
    <w:rsid w:val="007E4AAA"/>
    <w:rsid w:val="007E4BD2"/>
    <w:rsid w:val="007E4C29"/>
    <w:rsid w:val="007E5E44"/>
    <w:rsid w:val="007E60A8"/>
    <w:rsid w:val="007E75F7"/>
    <w:rsid w:val="007F0DDA"/>
    <w:rsid w:val="007F170C"/>
    <w:rsid w:val="007F1939"/>
    <w:rsid w:val="007F2212"/>
    <w:rsid w:val="007F2A5A"/>
    <w:rsid w:val="007F2F53"/>
    <w:rsid w:val="007F365C"/>
    <w:rsid w:val="007F4A2A"/>
    <w:rsid w:val="007F5066"/>
    <w:rsid w:val="007F5427"/>
    <w:rsid w:val="007F621C"/>
    <w:rsid w:val="007F7155"/>
    <w:rsid w:val="007F7B93"/>
    <w:rsid w:val="00800C28"/>
    <w:rsid w:val="0080245E"/>
    <w:rsid w:val="00803480"/>
    <w:rsid w:val="0080359C"/>
    <w:rsid w:val="008037AE"/>
    <w:rsid w:val="008043BD"/>
    <w:rsid w:val="008043F4"/>
    <w:rsid w:val="00804BB4"/>
    <w:rsid w:val="00804E5D"/>
    <w:rsid w:val="00805BE8"/>
    <w:rsid w:val="00805D9F"/>
    <w:rsid w:val="00806D2B"/>
    <w:rsid w:val="008078C2"/>
    <w:rsid w:val="00807A4D"/>
    <w:rsid w:val="00807C30"/>
    <w:rsid w:val="00807F30"/>
    <w:rsid w:val="008103DC"/>
    <w:rsid w:val="0081119F"/>
    <w:rsid w:val="0081134D"/>
    <w:rsid w:val="00811EDA"/>
    <w:rsid w:val="00812403"/>
    <w:rsid w:val="00812FD7"/>
    <w:rsid w:val="00820623"/>
    <w:rsid w:val="00820CBA"/>
    <w:rsid w:val="00821747"/>
    <w:rsid w:val="008229A3"/>
    <w:rsid w:val="00822B1B"/>
    <w:rsid w:val="00822DFB"/>
    <w:rsid w:val="00822F64"/>
    <w:rsid w:val="00824EAF"/>
    <w:rsid w:val="008253A6"/>
    <w:rsid w:val="00825A6B"/>
    <w:rsid w:val="00825C50"/>
    <w:rsid w:val="00826577"/>
    <w:rsid w:val="00827439"/>
    <w:rsid w:val="00827C79"/>
    <w:rsid w:val="0083003F"/>
    <w:rsid w:val="00830339"/>
    <w:rsid w:val="00831077"/>
    <w:rsid w:val="00831A4A"/>
    <w:rsid w:val="00832134"/>
    <w:rsid w:val="0083219E"/>
    <w:rsid w:val="008322DD"/>
    <w:rsid w:val="0083497C"/>
    <w:rsid w:val="008352A6"/>
    <w:rsid w:val="00835B01"/>
    <w:rsid w:val="00835B5B"/>
    <w:rsid w:val="008367AE"/>
    <w:rsid w:val="00836E50"/>
    <w:rsid w:val="00840074"/>
    <w:rsid w:val="00840477"/>
    <w:rsid w:val="00840E21"/>
    <w:rsid w:val="0084121D"/>
    <w:rsid w:val="008419C1"/>
    <w:rsid w:val="00844515"/>
    <w:rsid w:val="0084465A"/>
    <w:rsid w:val="00844DFF"/>
    <w:rsid w:val="008451F8"/>
    <w:rsid w:val="00845D87"/>
    <w:rsid w:val="00846C3A"/>
    <w:rsid w:val="008477BF"/>
    <w:rsid w:val="008503DA"/>
    <w:rsid w:val="00850B68"/>
    <w:rsid w:val="00850E82"/>
    <w:rsid w:val="0085122D"/>
    <w:rsid w:val="008519E8"/>
    <w:rsid w:val="008525FF"/>
    <w:rsid w:val="00852C03"/>
    <w:rsid w:val="0085590C"/>
    <w:rsid w:val="00857500"/>
    <w:rsid w:val="008575EB"/>
    <w:rsid w:val="008576E4"/>
    <w:rsid w:val="00857AF0"/>
    <w:rsid w:val="00862DDD"/>
    <w:rsid w:val="0086326D"/>
    <w:rsid w:val="00863CC1"/>
    <w:rsid w:val="00864E55"/>
    <w:rsid w:val="008655B7"/>
    <w:rsid w:val="00865B01"/>
    <w:rsid w:val="00865D6A"/>
    <w:rsid w:val="00866D7A"/>
    <w:rsid w:val="00866E15"/>
    <w:rsid w:val="00866EE3"/>
    <w:rsid w:val="008701E5"/>
    <w:rsid w:val="008706C5"/>
    <w:rsid w:val="00871F04"/>
    <w:rsid w:val="008746C1"/>
    <w:rsid w:val="00880224"/>
    <w:rsid w:val="0088244C"/>
    <w:rsid w:val="00883367"/>
    <w:rsid w:val="00884151"/>
    <w:rsid w:val="00884C47"/>
    <w:rsid w:val="00884E92"/>
    <w:rsid w:val="00885E6F"/>
    <w:rsid w:val="008861AC"/>
    <w:rsid w:val="008868E4"/>
    <w:rsid w:val="00886A60"/>
    <w:rsid w:val="0088759B"/>
    <w:rsid w:val="00887F21"/>
    <w:rsid w:val="008909B4"/>
    <w:rsid w:val="008922E8"/>
    <w:rsid w:val="00893916"/>
    <w:rsid w:val="008941B9"/>
    <w:rsid w:val="0089442C"/>
    <w:rsid w:val="0089539D"/>
    <w:rsid w:val="00895818"/>
    <w:rsid w:val="00895B7D"/>
    <w:rsid w:val="008A0B5D"/>
    <w:rsid w:val="008A2585"/>
    <w:rsid w:val="008A2718"/>
    <w:rsid w:val="008A4CF6"/>
    <w:rsid w:val="008A4E42"/>
    <w:rsid w:val="008A5038"/>
    <w:rsid w:val="008A51AA"/>
    <w:rsid w:val="008A61B9"/>
    <w:rsid w:val="008A6A12"/>
    <w:rsid w:val="008A72CA"/>
    <w:rsid w:val="008A7E13"/>
    <w:rsid w:val="008B0DC6"/>
    <w:rsid w:val="008B2B9E"/>
    <w:rsid w:val="008B31F5"/>
    <w:rsid w:val="008B4C79"/>
    <w:rsid w:val="008B5D2D"/>
    <w:rsid w:val="008B6361"/>
    <w:rsid w:val="008C0320"/>
    <w:rsid w:val="008C2A81"/>
    <w:rsid w:val="008C2E70"/>
    <w:rsid w:val="008C31D6"/>
    <w:rsid w:val="008C3863"/>
    <w:rsid w:val="008C4BDC"/>
    <w:rsid w:val="008C4C23"/>
    <w:rsid w:val="008C50FF"/>
    <w:rsid w:val="008C5435"/>
    <w:rsid w:val="008C6BD1"/>
    <w:rsid w:val="008D2DB5"/>
    <w:rsid w:val="008D32E1"/>
    <w:rsid w:val="008D3F10"/>
    <w:rsid w:val="008D48B3"/>
    <w:rsid w:val="008D4D31"/>
    <w:rsid w:val="008D611D"/>
    <w:rsid w:val="008D6C72"/>
    <w:rsid w:val="008E1B6A"/>
    <w:rsid w:val="008E3054"/>
    <w:rsid w:val="008E32FF"/>
    <w:rsid w:val="008E5625"/>
    <w:rsid w:val="008E5C5B"/>
    <w:rsid w:val="008E6A37"/>
    <w:rsid w:val="008E6CBA"/>
    <w:rsid w:val="008F0354"/>
    <w:rsid w:val="008F082A"/>
    <w:rsid w:val="008F085A"/>
    <w:rsid w:val="008F1462"/>
    <w:rsid w:val="008F2413"/>
    <w:rsid w:val="008F248D"/>
    <w:rsid w:val="008F249E"/>
    <w:rsid w:val="008F348B"/>
    <w:rsid w:val="008F4B2C"/>
    <w:rsid w:val="008F4C08"/>
    <w:rsid w:val="008F65D5"/>
    <w:rsid w:val="008F6851"/>
    <w:rsid w:val="008F705F"/>
    <w:rsid w:val="008F77B7"/>
    <w:rsid w:val="008F7BC4"/>
    <w:rsid w:val="00900E7A"/>
    <w:rsid w:val="00901275"/>
    <w:rsid w:val="00903E11"/>
    <w:rsid w:val="00903EBE"/>
    <w:rsid w:val="009041DE"/>
    <w:rsid w:val="00904744"/>
    <w:rsid w:val="00905D59"/>
    <w:rsid w:val="009062CA"/>
    <w:rsid w:val="00907631"/>
    <w:rsid w:val="00907776"/>
    <w:rsid w:val="009110EA"/>
    <w:rsid w:val="00913401"/>
    <w:rsid w:val="00913567"/>
    <w:rsid w:val="0091377B"/>
    <w:rsid w:val="009137B6"/>
    <w:rsid w:val="00915EBA"/>
    <w:rsid w:val="00917011"/>
    <w:rsid w:val="00917093"/>
    <w:rsid w:val="009176E0"/>
    <w:rsid w:val="0092030E"/>
    <w:rsid w:val="009203D0"/>
    <w:rsid w:val="009206C2"/>
    <w:rsid w:val="009217B1"/>
    <w:rsid w:val="00921A42"/>
    <w:rsid w:val="009223BB"/>
    <w:rsid w:val="00922491"/>
    <w:rsid w:val="00923BCF"/>
    <w:rsid w:val="00924BAC"/>
    <w:rsid w:val="00925086"/>
    <w:rsid w:val="009252EC"/>
    <w:rsid w:val="00925689"/>
    <w:rsid w:val="00925AEC"/>
    <w:rsid w:val="0092686C"/>
    <w:rsid w:val="00926E31"/>
    <w:rsid w:val="0092751A"/>
    <w:rsid w:val="009304F8"/>
    <w:rsid w:val="009305C4"/>
    <w:rsid w:val="00930F70"/>
    <w:rsid w:val="00931690"/>
    <w:rsid w:val="00931C51"/>
    <w:rsid w:val="00931E46"/>
    <w:rsid w:val="00931FAF"/>
    <w:rsid w:val="00934F7B"/>
    <w:rsid w:val="009360F6"/>
    <w:rsid w:val="009371DC"/>
    <w:rsid w:val="0093759D"/>
    <w:rsid w:val="009378EF"/>
    <w:rsid w:val="00940239"/>
    <w:rsid w:val="00940280"/>
    <w:rsid w:val="00942BD6"/>
    <w:rsid w:val="00942DED"/>
    <w:rsid w:val="00944404"/>
    <w:rsid w:val="00944F7D"/>
    <w:rsid w:val="009452D7"/>
    <w:rsid w:val="00945518"/>
    <w:rsid w:val="00945FD1"/>
    <w:rsid w:val="00946CCC"/>
    <w:rsid w:val="00947A5F"/>
    <w:rsid w:val="009503E5"/>
    <w:rsid w:val="00950F71"/>
    <w:rsid w:val="00952F2C"/>
    <w:rsid w:val="009532E3"/>
    <w:rsid w:val="00953615"/>
    <w:rsid w:val="00954A15"/>
    <w:rsid w:val="00954BAF"/>
    <w:rsid w:val="00955F48"/>
    <w:rsid w:val="009560B3"/>
    <w:rsid w:val="00956926"/>
    <w:rsid w:val="0095745E"/>
    <w:rsid w:val="00957485"/>
    <w:rsid w:val="00957CE0"/>
    <w:rsid w:val="0096002E"/>
    <w:rsid w:val="0096039E"/>
    <w:rsid w:val="00960911"/>
    <w:rsid w:val="00962CEF"/>
    <w:rsid w:val="00963766"/>
    <w:rsid w:val="00963D60"/>
    <w:rsid w:val="00963FDF"/>
    <w:rsid w:val="009645B1"/>
    <w:rsid w:val="00964780"/>
    <w:rsid w:val="00964C32"/>
    <w:rsid w:val="0096528F"/>
    <w:rsid w:val="009653F2"/>
    <w:rsid w:val="009661DF"/>
    <w:rsid w:val="009667BD"/>
    <w:rsid w:val="00967674"/>
    <w:rsid w:val="00967CE2"/>
    <w:rsid w:val="00971DA3"/>
    <w:rsid w:val="00972161"/>
    <w:rsid w:val="0097261B"/>
    <w:rsid w:val="00974881"/>
    <w:rsid w:val="0097606C"/>
    <w:rsid w:val="009769B8"/>
    <w:rsid w:val="009771D1"/>
    <w:rsid w:val="0098012D"/>
    <w:rsid w:val="00980845"/>
    <w:rsid w:val="00981BD9"/>
    <w:rsid w:val="0098225F"/>
    <w:rsid w:val="00983A3C"/>
    <w:rsid w:val="00983EFA"/>
    <w:rsid w:val="00984C15"/>
    <w:rsid w:val="0098557A"/>
    <w:rsid w:val="00985B5C"/>
    <w:rsid w:val="00987829"/>
    <w:rsid w:val="00991276"/>
    <w:rsid w:val="009913BC"/>
    <w:rsid w:val="009923E7"/>
    <w:rsid w:val="00992697"/>
    <w:rsid w:val="00992D4E"/>
    <w:rsid w:val="00993D1B"/>
    <w:rsid w:val="00994621"/>
    <w:rsid w:val="009947FF"/>
    <w:rsid w:val="0099544B"/>
    <w:rsid w:val="00996770"/>
    <w:rsid w:val="009A053D"/>
    <w:rsid w:val="009A07A6"/>
    <w:rsid w:val="009A0D56"/>
    <w:rsid w:val="009A103C"/>
    <w:rsid w:val="009A3017"/>
    <w:rsid w:val="009A31B9"/>
    <w:rsid w:val="009A4D4F"/>
    <w:rsid w:val="009A53D8"/>
    <w:rsid w:val="009A597F"/>
    <w:rsid w:val="009A6097"/>
    <w:rsid w:val="009A7B72"/>
    <w:rsid w:val="009A7F49"/>
    <w:rsid w:val="009B03C4"/>
    <w:rsid w:val="009B0AA2"/>
    <w:rsid w:val="009B1666"/>
    <w:rsid w:val="009B1D02"/>
    <w:rsid w:val="009B7133"/>
    <w:rsid w:val="009B7658"/>
    <w:rsid w:val="009B7CD1"/>
    <w:rsid w:val="009B7E22"/>
    <w:rsid w:val="009B7E78"/>
    <w:rsid w:val="009C10FE"/>
    <w:rsid w:val="009C13BC"/>
    <w:rsid w:val="009C1CA4"/>
    <w:rsid w:val="009C2532"/>
    <w:rsid w:val="009C2BA4"/>
    <w:rsid w:val="009C30B6"/>
    <w:rsid w:val="009C3AC9"/>
    <w:rsid w:val="009C4426"/>
    <w:rsid w:val="009C6091"/>
    <w:rsid w:val="009C634F"/>
    <w:rsid w:val="009C67D7"/>
    <w:rsid w:val="009C6C20"/>
    <w:rsid w:val="009C7A67"/>
    <w:rsid w:val="009D0219"/>
    <w:rsid w:val="009D0800"/>
    <w:rsid w:val="009D0D55"/>
    <w:rsid w:val="009D2295"/>
    <w:rsid w:val="009D2511"/>
    <w:rsid w:val="009D291D"/>
    <w:rsid w:val="009D31EA"/>
    <w:rsid w:val="009D3E7C"/>
    <w:rsid w:val="009D5390"/>
    <w:rsid w:val="009D55CA"/>
    <w:rsid w:val="009D5748"/>
    <w:rsid w:val="009D5EF0"/>
    <w:rsid w:val="009D6401"/>
    <w:rsid w:val="009E0711"/>
    <w:rsid w:val="009E1917"/>
    <w:rsid w:val="009E218E"/>
    <w:rsid w:val="009E2FDB"/>
    <w:rsid w:val="009E3594"/>
    <w:rsid w:val="009E6751"/>
    <w:rsid w:val="009E6A2E"/>
    <w:rsid w:val="009E6B77"/>
    <w:rsid w:val="009E6EB8"/>
    <w:rsid w:val="009E7724"/>
    <w:rsid w:val="009E7D1F"/>
    <w:rsid w:val="009F086A"/>
    <w:rsid w:val="009F1BCA"/>
    <w:rsid w:val="009F1D82"/>
    <w:rsid w:val="009F24AC"/>
    <w:rsid w:val="009F37AA"/>
    <w:rsid w:val="009F544C"/>
    <w:rsid w:val="009F5731"/>
    <w:rsid w:val="009F6321"/>
    <w:rsid w:val="009F6378"/>
    <w:rsid w:val="009F7669"/>
    <w:rsid w:val="009F7B84"/>
    <w:rsid w:val="009F7CF0"/>
    <w:rsid w:val="009F7F45"/>
    <w:rsid w:val="009F7FD5"/>
    <w:rsid w:val="00A005D4"/>
    <w:rsid w:val="00A0083C"/>
    <w:rsid w:val="00A01A90"/>
    <w:rsid w:val="00A02370"/>
    <w:rsid w:val="00A03E21"/>
    <w:rsid w:val="00A0448D"/>
    <w:rsid w:val="00A04685"/>
    <w:rsid w:val="00A04C57"/>
    <w:rsid w:val="00A06340"/>
    <w:rsid w:val="00A0684F"/>
    <w:rsid w:val="00A06867"/>
    <w:rsid w:val="00A10148"/>
    <w:rsid w:val="00A103BB"/>
    <w:rsid w:val="00A104FE"/>
    <w:rsid w:val="00A10776"/>
    <w:rsid w:val="00A113FD"/>
    <w:rsid w:val="00A11DDE"/>
    <w:rsid w:val="00A127A7"/>
    <w:rsid w:val="00A129F4"/>
    <w:rsid w:val="00A136D6"/>
    <w:rsid w:val="00A136F4"/>
    <w:rsid w:val="00A150F7"/>
    <w:rsid w:val="00A160D3"/>
    <w:rsid w:val="00A16DC9"/>
    <w:rsid w:val="00A17814"/>
    <w:rsid w:val="00A17C01"/>
    <w:rsid w:val="00A20225"/>
    <w:rsid w:val="00A24269"/>
    <w:rsid w:val="00A243E4"/>
    <w:rsid w:val="00A25ED4"/>
    <w:rsid w:val="00A263DA"/>
    <w:rsid w:val="00A26C5C"/>
    <w:rsid w:val="00A30BDE"/>
    <w:rsid w:val="00A3131C"/>
    <w:rsid w:val="00A31F14"/>
    <w:rsid w:val="00A324DC"/>
    <w:rsid w:val="00A32B5A"/>
    <w:rsid w:val="00A32EDC"/>
    <w:rsid w:val="00A33CCC"/>
    <w:rsid w:val="00A33ECB"/>
    <w:rsid w:val="00A34DE0"/>
    <w:rsid w:val="00A34F56"/>
    <w:rsid w:val="00A35728"/>
    <w:rsid w:val="00A365A9"/>
    <w:rsid w:val="00A36EE3"/>
    <w:rsid w:val="00A37435"/>
    <w:rsid w:val="00A40DA9"/>
    <w:rsid w:val="00A4173D"/>
    <w:rsid w:val="00A41A95"/>
    <w:rsid w:val="00A4248B"/>
    <w:rsid w:val="00A4376E"/>
    <w:rsid w:val="00A44AD6"/>
    <w:rsid w:val="00A4572B"/>
    <w:rsid w:val="00A46246"/>
    <w:rsid w:val="00A46349"/>
    <w:rsid w:val="00A46D5E"/>
    <w:rsid w:val="00A50847"/>
    <w:rsid w:val="00A512C7"/>
    <w:rsid w:val="00A517ED"/>
    <w:rsid w:val="00A53314"/>
    <w:rsid w:val="00A54BFF"/>
    <w:rsid w:val="00A54C63"/>
    <w:rsid w:val="00A54FBB"/>
    <w:rsid w:val="00A55BB1"/>
    <w:rsid w:val="00A55FD6"/>
    <w:rsid w:val="00A5619C"/>
    <w:rsid w:val="00A564CD"/>
    <w:rsid w:val="00A564CE"/>
    <w:rsid w:val="00A5675F"/>
    <w:rsid w:val="00A57E72"/>
    <w:rsid w:val="00A60D6F"/>
    <w:rsid w:val="00A61009"/>
    <w:rsid w:val="00A61762"/>
    <w:rsid w:val="00A61938"/>
    <w:rsid w:val="00A61CFD"/>
    <w:rsid w:val="00A62B86"/>
    <w:rsid w:val="00A63C96"/>
    <w:rsid w:val="00A64D68"/>
    <w:rsid w:val="00A65805"/>
    <w:rsid w:val="00A66BEE"/>
    <w:rsid w:val="00A66E79"/>
    <w:rsid w:val="00A671C9"/>
    <w:rsid w:val="00A67DFD"/>
    <w:rsid w:val="00A70239"/>
    <w:rsid w:val="00A720BB"/>
    <w:rsid w:val="00A74F9F"/>
    <w:rsid w:val="00A750B3"/>
    <w:rsid w:val="00A75559"/>
    <w:rsid w:val="00A7623D"/>
    <w:rsid w:val="00A77621"/>
    <w:rsid w:val="00A81576"/>
    <w:rsid w:val="00A824A7"/>
    <w:rsid w:val="00A83644"/>
    <w:rsid w:val="00A83C07"/>
    <w:rsid w:val="00A83F40"/>
    <w:rsid w:val="00A84945"/>
    <w:rsid w:val="00A84E42"/>
    <w:rsid w:val="00A85226"/>
    <w:rsid w:val="00A85543"/>
    <w:rsid w:val="00A8728B"/>
    <w:rsid w:val="00A903D3"/>
    <w:rsid w:val="00A91674"/>
    <w:rsid w:val="00A91682"/>
    <w:rsid w:val="00A91E16"/>
    <w:rsid w:val="00A92E4A"/>
    <w:rsid w:val="00A958CA"/>
    <w:rsid w:val="00A966B6"/>
    <w:rsid w:val="00A96B46"/>
    <w:rsid w:val="00A96C55"/>
    <w:rsid w:val="00A97DDE"/>
    <w:rsid w:val="00AA003B"/>
    <w:rsid w:val="00AA016B"/>
    <w:rsid w:val="00AA0AAE"/>
    <w:rsid w:val="00AA15DD"/>
    <w:rsid w:val="00AA1C09"/>
    <w:rsid w:val="00AA2F67"/>
    <w:rsid w:val="00AA3569"/>
    <w:rsid w:val="00AA45CA"/>
    <w:rsid w:val="00AA509A"/>
    <w:rsid w:val="00AA52D0"/>
    <w:rsid w:val="00AA55F1"/>
    <w:rsid w:val="00AA5629"/>
    <w:rsid w:val="00AA5F4C"/>
    <w:rsid w:val="00AA615C"/>
    <w:rsid w:val="00AA6598"/>
    <w:rsid w:val="00AA6711"/>
    <w:rsid w:val="00AA7428"/>
    <w:rsid w:val="00AA78DE"/>
    <w:rsid w:val="00AB06D3"/>
    <w:rsid w:val="00AB1061"/>
    <w:rsid w:val="00AB2AEC"/>
    <w:rsid w:val="00AB2DC1"/>
    <w:rsid w:val="00AB3102"/>
    <w:rsid w:val="00AB3D9A"/>
    <w:rsid w:val="00AB4B1D"/>
    <w:rsid w:val="00AB6B5E"/>
    <w:rsid w:val="00AC0291"/>
    <w:rsid w:val="00AC047F"/>
    <w:rsid w:val="00AC1BAE"/>
    <w:rsid w:val="00AC32C7"/>
    <w:rsid w:val="00AC35CC"/>
    <w:rsid w:val="00AC3934"/>
    <w:rsid w:val="00AC3C3E"/>
    <w:rsid w:val="00AC50C8"/>
    <w:rsid w:val="00AC5581"/>
    <w:rsid w:val="00AC56AD"/>
    <w:rsid w:val="00AC61BD"/>
    <w:rsid w:val="00AC61BE"/>
    <w:rsid w:val="00AD09C9"/>
    <w:rsid w:val="00AD0CB4"/>
    <w:rsid w:val="00AD11E9"/>
    <w:rsid w:val="00AD1FF2"/>
    <w:rsid w:val="00AD2A21"/>
    <w:rsid w:val="00AD3B43"/>
    <w:rsid w:val="00AD3C47"/>
    <w:rsid w:val="00AD4FF2"/>
    <w:rsid w:val="00AD506C"/>
    <w:rsid w:val="00AD59A0"/>
    <w:rsid w:val="00AD6BE5"/>
    <w:rsid w:val="00AD7675"/>
    <w:rsid w:val="00AD783E"/>
    <w:rsid w:val="00AD7B5A"/>
    <w:rsid w:val="00AE0156"/>
    <w:rsid w:val="00AE1393"/>
    <w:rsid w:val="00AE3BC6"/>
    <w:rsid w:val="00AE3E2F"/>
    <w:rsid w:val="00AE4D4F"/>
    <w:rsid w:val="00AE627C"/>
    <w:rsid w:val="00AE62B0"/>
    <w:rsid w:val="00AE68A2"/>
    <w:rsid w:val="00AF0029"/>
    <w:rsid w:val="00AF0354"/>
    <w:rsid w:val="00AF1236"/>
    <w:rsid w:val="00AF2F0A"/>
    <w:rsid w:val="00AF38AF"/>
    <w:rsid w:val="00AF3C29"/>
    <w:rsid w:val="00AF4401"/>
    <w:rsid w:val="00AF4463"/>
    <w:rsid w:val="00AF53CB"/>
    <w:rsid w:val="00AF5B4B"/>
    <w:rsid w:val="00AF6256"/>
    <w:rsid w:val="00AF65C5"/>
    <w:rsid w:val="00AF6C2B"/>
    <w:rsid w:val="00AF724E"/>
    <w:rsid w:val="00B0230C"/>
    <w:rsid w:val="00B02F82"/>
    <w:rsid w:val="00B03CE2"/>
    <w:rsid w:val="00B04C8A"/>
    <w:rsid w:val="00B059A9"/>
    <w:rsid w:val="00B063CF"/>
    <w:rsid w:val="00B06544"/>
    <w:rsid w:val="00B105F2"/>
    <w:rsid w:val="00B10991"/>
    <w:rsid w:val="00B12128"/>
    <w:rsid w:val="00B12945"/>
    <w:rsid w:val="00B12C1E"/>
    <w:rsid w:val="00B1370F"/>
    <w:rsid w:val="00B155DF"/>
    <w:rsid w:val="00B156CF"/>
    <w:rsid w:val="00B1570E"/>
    <w:rsid w:val="00B16E7C"/>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BF5"/>
    <w:rsid w:val="00B26FD7"/>
    <w:rsid w:val="00B270AB"/>
    <w:rsid w:val="00B2725B"/>
    <w:rsid w:val="00B301FB"/>
    <w:rsid w:val="00B306FC"/>
    <w:rsid w:val="00B309D2"/>
    <w:rsid w:val="00B30E4F"/>
    <w:rsid w:val="00B3124F"/>
    <w:rsid w:val="00B327E9"/>
    <w:rsid w:val="00B33294"/>
    <w:rsid w:val="00B33657"/>
    <w:rsid w:val="00B34885"/>
    <w:rsid w:val="00B34BC5"/>
    <w:rsid w:val="00B34D68"/>
    <w:rsid w:val="00B35D4C"/>
    <w:rsid w:val="00B36117"/>
    <w:rsid w:val="00B362E3"/>
    <w:rsid w:val="00B373A7"/>
    <w:rsid w:val="00B37C73"/>
    <w:rsid w:val="00B4009B"/>
    <w:rsid w:val="00B400A1"/>
    <w:rsid w:val="00B407CB"/>
    <w:rsid w:val="00B40A2B"/>
    <w:rsid w:val="00B420CB"/>
    <w:rsid w:val="00B428D1"/>
    <w:rsid w:val="00B42D37"/>
    <w:rsid w:val="00B4401C"/>
    <w:rsid w:val="00B44802"/>
    <w:rsid w:val="00B4532E"/>
    <w:rsid w:val="00B453B4"/>
    <w:rsid w:val="00B455D1"/>
    <w:rsid w:val="00B46135"/>
    <w:rsid w:val="00B4688C"/>
    <w:rsid w:val="00B472AB"/>
    <w:rsid w:val="00B47CE4"/>
    <w:rsid w:val="00B503A8"/>
    <w:rsid w:val="00B50C04"/>
    <w:rsid w:val="00B5121D"/>
    <w:rsid w:val="00B525C0"/>
    <w:rsid w:val="00B52F48"/>
    <w:rsid w:val="00B52FAB"/>
    <w:rsid w:val="00B5319A"/>
    <w:rsid w:val="00B539F9"/>
    <w:rsid w:val="00B53E56"/>
    <w:rsid w:val="00B546C3"/>
    <w:rsid w:val="00B54BD9"/>
    <w:rsid w:val="00B5503C"/>
    <w:rsid w:val="00B55640"/>
    <w:rsid w:val="00B55C9C"/>
    <w:rsid w:val="00B57107"/>
    <w:rsid w:val="00B60C26"/>
    <w:rsid w:val="00B60D27"/>
    <w:rsid w:val="00B619E4"/>
    <w:rsid w:val="00B61D0B"/>
    <w:rsid w:val="00B620A4"/>
    <w:rsid w:val="00B6439A"/>
    <w:rsid w:val="00B6443B"/>
    <w:rsid w:val="00B6517B"/>
    <w:rsid w:val="00B65E71"/>
    <w:rsid w:val="00B66A57"/>
    <w:rsid w:val="00B66C26"/>
    <w:rsid w:val="00B705C4"/>
    <w:rsid w:val="00B713D9"/>
    <w:rsid w:val="00B714F1"/>
    <w:rsid w:val="00B71FB3"/>
    <w:rsid w:val="00B7219B"/>
    <w:rsid w:val="00B72FA4"/>
    <w:rsid w:val="00B73492"/>
    <w:rsid w:val="00B7512A"/>
    <w:rsid w:val="00B76548"/>
    <w:rsid w:val="00B76BED"/>
    <w:rsid w:val="00B806E6"/>
    <w:rsid w:val="00B82976"/>
    <w:rsid w:val="00B82DC1"/>
    <w:rsid w:val="00B835D5"/>
    <w:rsid w:val="00B84028"/>
    <w:rsid w:val="00B84307"/>
    <w:rsid w:val="00B8430D"/>
    <w:rsid w:val="00B85661"/>
    <w:rsid w:val="00B85C8A"/>
    <w:rsid w:val="00B86FBD"/>
    <w:rsid w:val="00B91B86"/>
    <w:rsid w:val="00B927CA"/>
    <w:rsid w:val="00B928AE"/>
    <w:rsid w:val="00B928C4"/>
    <w:rsid w:val="00B93CDA"/>
    <w:rsid w:val="00B942E9"/>
    <w:rsid w:val="00B9433A"/>
    <w:rsid w:val="00B948EE"/>
    <w:rsid w:val="00B94BF3"/>
    <w:rsid w:val="00B94E39"/>
    <w:rsid w:val="00B94F90"/>
    <w:rsid w:val="00B95DC5"/>
    <w:rsid w:val="00B96F06"/>
    <w:rsid w:val="00B97E34"/>
    <w:rsid w:val="00B97FEF"/>
    <w:rsid w:val="00BA1354"/>
    <w:rsid w:val="00BA24F8"/>
    <w:rsid w:val="00BA31AA"/>
    <w:rsid w:val="00BA3BA7"/>
    <w:rsid w:val="00BA45D8"/>
    <w:rsid w:val="00BA5828"/>
    <w:rsid w:val="00BA647A"/>
    <w:rsid w:val="00BA64B3"/>
    <w:rsid w:val="00BA754A"/>
    <w:rsid w:val="00BA7820"/>
    <w:rsid w:val="00BA794C"/>
    <w:rsid w:val="00BB09FB"/>
    <w:rsid w:val="00BB1617"/>
    <w:rsid w:val="00BB2026"/>
    <w:rsid w:val="00BB238D"/>
    <w:rsid w:val="00BB37CC"/>
    <w:rsid w:val="00BB48C4"/>
    <w:rsid w:val="00BB5C6F"/>
    <w:rsid w:val="00BB6907"/>
    <w:rsid w:val="00BB7A20"/>
    <w:rsid w:val="00BC15B1"/>
    <w:rsid w:val="00BC16E9"/>
    <w:rsid w:val="00BC1AFF"/>
    <w:rsid w:val="00BC2753"/>
    <w:rsid w:val="00BC2D57"/>
    <w:rsid w:val="00BC3068"/>
    <w:rsid w:val="00BC3A9B"/>
    <w:rsid w:val="00BC3C06"/>
    <w:rsid w:val="00BC4A6B"/>
    <w:rsid w:val="00BC4E8B"/>
    <w:rsid w:val="00BC4F1C"/>
    <w:rsid w:val="00BC5622"/>
    <w:rsid w:val="00BC6060"/>
    <w:rsid w:val="00BC6596"/>
    <w:rsid w:val="00BC737B"/>
    <w:rsid w:val="00BC7897"/>
    <w:rsid w:val="00BD0F35"/>
    <w:rsid w:val="00BD3C97"/>
    <w:rsid w:val="00BD45A4"/>
    <w:rsid w:val="00BD4A5F"/>
    <w:rsid w:val="00BD59AA"/>
    <w:rsid w:val="00BD65E6"/>
    <w:rsid w:val="00BD6AF7"/>
    <w:rsid w:val="00BE19EF"/>
    <w:rsid w:val="00BE425B"/>
    <w:rsid w:val="00BE4521"/>
    <w:rsid w:val="00BE51BB"/>
    <w:rsid w:val="00BE7595"/>
    <w:rsid w:val="00BE77D3"/>
    <w:rsid w:val="00BF0138"/>
    <w:rsid w:val="00BF114B"/>
    <w:rsid w:val="00BF1620"/>
    <w:rsid w:val="00BF1AC3"/>
    <w:rsid w:val="00BF26D4"/>
    <w:rsid w:val="00BF28DA"/>
    <w:rsid w:val="00BF373A"/>
    <w:rsid w:val="00BF557C"/>
    <w:rsid w:val="00BF5C7A"/>
    <w:rsid w:val="00BF62D2"/>
    <w:rsid w:val="00BF68B6"/>
    <w:rsid w:val="00BF6D9E"/>
    <w:rsid w:val="00BF6E17"/>
    <w:rsid w:val="00BF6E3E"/>
    <w:rsid w:val="00BF71BB"/>
    <w:rsid w:val="00BF76F7"/>
    <w:rsid w:val="00BF7C9F"/>
    <w:rsid w:val="00C00012"/>
    <w:rsid w:val="00C000A5"/>
    <w:rsid w:val="00C006B4"/>
    <w:rsid w:val="00C007D2"/>
    <w:rsid w:val="00C00938"/>
    <w:rsid w:val="00C00E2A"/>
    <w:rsid w:val="00C025B9"/>
    <w:rsid w:val="00C03A10"/>
    <w:rsid w:val="00C03EA2"/>
    <w:rsid w:val="00C044B4"/>
    <w:rsid w:val="00C045B0"/>
    <w:rsid w:val="00C05105"/>
    <w:rsid w:val="00C05A5D"/>
    <w:rsid w:val="00C0622F"/>
    <w:rsid w:val="00C0654A"/>
    <w:rsid w:val="00C06DE3"/>
    <w:rsid w:val="00C06F97"/>
    <w:rsid w:val="00C07B8A"/>
    <w:rsid w:val="00C10B11"/>
    <w:rsid w:val="00C10BE6"/>
    <w:rsid w:val="00C110D9"/>
    <w:rsid w:val="00C11296"/>
    <w:rsid w:val="00C11905"/>
    <w:rsid w:val="00C1234A"/>
    <w:rsid w:val="00C12661"/>
    <w:rsid w:val="00C126E3"/>
    <w:rsid w:val="00C1330F"/>
    <w:rsid w:val="00C13ED7"/>
    <w:rsid w:val="00C14615"/>
    <w:rsid w:val="00C14F48"/>
    <w:rsid w:val="00C15296"/>
    <w:rsid w:val="00C153B3"/>
    <w:rsid w:val="00C16FE8"/>
    <w:rsid w:val="00C1709C"/>
    <w:rsid w:val="00C17750"/>
    <w:rsid w:val="00C2094B"/>
    <w:rsid w:val="00C20DC5"/>
    <w:rsid w:val="00C22391"/>
    <w:rsid w:val="00C22749"/>
    <w:rsid w:val="00C2294E"/>
    <w:rsid w:val="00C22A5B"/>
    <w:rsid w:val="00C23412"/>
    <w:rsid w:val="00C24661"/>
    <w:rsid w:val="00C24E1B"/>
    <w:rsid w:val="00C264C7"/>
    <w:rsid w:val="00C271C4"/>
    <w:rsid w:val="00C274F3"/>
    <w:rsid w:val="00C30A54"/>
    <w:rsid w:val="00C30E13"/>
    <w:rsid w:val="00C316F7"/>
    <w:rsid w:val="00C31DF0"/>
    <w:rsid w:val="00C32578"/>
    <w:rsid w:val="00C33552"/>
    <w:rsid w:val="00C33916"/>
    <w:rsid w:val="00C33BCF"/>
    <w:rsid w:val="00C34D1D"/>
    <w:rsid w:val="00C353A0"/>
    <w:rsid w:val="00C368D7"/>
    <w:rsid w:val="00C36FD1"/>
    <w:rsid w:val="00C371A5"/>
    <w:rsid w:val="00C374F2"/>
    <w:rsid w:val="00C400B0"/>
    <w:rsid w:val="00C40F4E"/>
    <w:rsid w:val="00C413FC"/>
    <w:rsid w:val="00C422C5"/>
    <w:rsid w:val="00C42973"/>
    <w:rsid w:val="00C433F1"/>
    <w:rsid w:val="00C43D33"/>
    <w:rsid w:val="00C44407"/>
    <w:rsid w:val="00C44BDD"/>
    <w:rsid w:val="00C456E8"/>
    <w:rsid w:val="00C46630"/>
    <w:rsid w:val="00C47A2F"/>
    <w:rsid w:val="00C500A9"/>
    <w:rsid w:val="00C50D18"/>
    <w:rsid w:val="00C51179"/>
    <w:rsid w:val="00C5282C"/>
    <w:rsid w:val="00C52FBE"/>
    <w:rsid w:val="00C5355E"/>
    <w:rsid w:val="00C535E2"/>
    <w:rsid w:val="00C539FF"/>
    <w:rsid w:val="00C53FC1"/>
    <w:rsid w:val="00C54C94"/>
    <w:rsid w:val="00C55D3F"/>
    <w:rsid w:val="00C56438"/>
    <w:rsid w:val="00C570B3"/>
    <w:rsid w:val="00C57109"/>
    <w:rsid w:val="00C6009F"/>
    <w:rsid w:val="00C603A1"/>
    <w:rsid w:val="00C60417"/>
    <w:rsid w:val="00C6046F"/>
    <w:rsid w:val="00C638C2"/>
    <w:rsid w:val="00C64542"/>
    <w:rsid w:val="00C651D4"/>
    <w:rsid w:val="00C65685"/>
    <w:rsid w:val="00C6669E"/>
    <w:rsid w:val="00C672B0"/>
    <w:rsid w:val="00C729C7"/>
    <w:rsid w:val="00C72BB6"/>
    <w:rsid w:val="00C72C0E"/>
    <w:rsid w:val="00C75F71"/>
    <w:rsid w:val="00C761FA"/>
    <w:rsid w:val="00C777AD"/>
    <w:rsid w:val="00C80C53"/>
    <w:rsid w:val="00C81195"/>
    <w:rsid w:val="00C83B35"/>
    <w:rsid w:val="00C85387"/>
    <w:rsid w:val="00C85609"/>
    <w:rsid w:val="00C85C23"/>
    <w:rsid w:val="00C85E52"/>
    <w:rsid w:val="00C86471"/>
    <w:rsid w:val="00C8677B"/>
    <w:rsid w:val="00C86F96"/>
    <w:rsid w:val="00C8742F"/>
    <w:rsid w:val="00C87C66"/>
    <w:rsid w:val="00C909C6"/>
    <w:rsid w:val="00C923B7"/>
    <w:rsid w:val="00C94D4C"/>
    <w:rsid w:val="00C958C8"/>
    <w:rsid w:val="00C95F20"/>
    <w:rsid w:val="00CA012C"/>
    <w:rsid w:val="00CA0AA6"/>
    <w:rsid w:val="00CA0E9B"/>
    <w:rsid w:val="00CA2897"/>
    <w:rsid w:val="00CA30EF"/>
    <w:rsid w:val="00CA44F3"/>
    <w:rsid w:val="00CA51BA"/>
    <w:rsid w:val="00CA582C"/>
    <w:rsid w:val="00CA58A5"/>
    <w:rsid w:val="00CA6077"/>
    <w:rsid w:val="00CA6FA9"/>
    <w:rsid w:val="00CA715B"/>
    <w:rsid w:val="00CA74B0"/>
    <w:rsid w:val="00CA777F"/>
    <w:rsid w:val="00CA7988"/>
    <w:rsid w:val="00CA7BA2"/>
    <w:rsid w:val="00CB0B78"/>
    <w:rsid w:val="00CB12A5"/>
    <w:rsid w:val="00CB17FA"/>
    <w:rsid w:val="00CB23D8"/>
    <w:rsid w:val="00CB2E17"/>
    <w:rsid w:val="00CB2ED9"/>
    <w:rsid w:val="00CB36A5"/>
    <w:rsid w:val="00CB4C90"/>
    <w:rsid w:val="00CB56B4"/>
    <w:rsid w:val="00CB708B"/>
    <w:rsid w:val="00CB7286"/>
    <w:rsid w:val="00CB7947"/>
    <w:rsid w:val="00CB7FB4"/>
    <w:rsid w:val="00CC1783"/>
    <w:rsid w:val="00CC1883"/>
    <w:rsid w:val="00CC38E9"/>
    <w:rsid w:val="00CC3B46"/>
    <w:rsid w:val="00CC3D8B"/>
    <w:rsid w:val="00CC4E27"/>
    <w:rsid w:val="00CC570C"/>
    <w:rsid w:val="00CC62B6"/>
    <w:rsid w:val="00CC76AA"/>
    <w:rsid w:val="00CC7CD2"/>
    <w:rsid w:val="00CC7DF1"/>
    <w:rsid w:val="00CD05CF"/>
    <w:rsid w:val="00CD06AB"/>
    <w:rsid w:val="00CD1FAE"/>
    <w:rsid w:val="00CD232F"/>
    <w:rsid w:val="00CD279E"/>
    <w:rsid w:val="00CD2E02"/>
    <w:rsid w:val="00CD2F92"/>
    <w:rsid w:val="00CD4448"/>
    <w:rsid w:val="00CD4EB0"/>
    <w:rsid w:val="00CD512D"/>
    <w:rsid w:val="00CD5831"/>
    <w:rsid w:val="00CD6F6E"/>
    <w:rsid w:val="00CE08D1"/>
    <w:rsid w:val="00CE133A"/>
    <w:rsid w:val="00CE157F"/>
    <w:rsid w:val="00CE1966"/>
    <w:rsid w:val="00CE1ED4"/>
    <w:rsid w:val="00CE1EE6"/>
    <w:rsid w:val="00CE2216"/>
    <w:rsid w:val="00CE3014"/>
    <w:rsid w:val="00CE30E5"/>
    <w:rsid w:val="00CE6FC6"/>
    <w:rsid w:val="00CF2056"/>
    <w:rsid w:val="00CF409C"/>
    <w:rsid w:val="00CF4471"/>
    <w:rsid w:val="00CF51C0"/>
    <w:rsid w:val="00CF5B2A"/>
    <w:rsid w:val="00CF5F57"/>
    <w:rsid w:val="00CF64A7"/>
    <w:rsid w:val="00CF6730"/>
    <w:rsid w:val="00CF70E5"/>
    <w:rsid w:val="00CF7CEC"/>
    <w:rsid w:val="00CF7F24"/>
    <w:rsid w:val="00D00B0F"/>
    <w:rsid w:val="00D01913"/>
    <w:rsid w:val="00D01BF4"/>
    <w:rsid w:val="00D0272C"/>
    <w:rsid w:val="00D02D4A"/>
    <w:rsid w:val="00D045CE"/>
    <w:rsid w:val="00D049E7"/>
    <w:rsid w:val="00D05082"/>
    <w:rsid w:val="00D06163"/>
    <w:rsid w:val="00D07AFD"/>
    <w:rsid w:val="00D11749"/>
    <w:rsid w:val="00D12A7D"/>
    <w:rsid w:val="00D12B5A"/>
    <w:rsid w:val="00D1329D"/>
    <w:rsid w:val="00D13AB0"/>
    <w:rsid w:val="00D14EA1"/>
    <w:rsid w:val="00D1519E"/>
    <w:rsid w:val="00D152B7"/>
    <w:rsid w:val="00D16EDC"/>
    <w:rsid w:val="00D17FDE"/>
    <w:rsid w:val="00D201CB"/>
    <w:rsid w:val="00D22786"/>
    <w:rsid w:val="00D228B4"/>
    <w:rsid w:val="00D25AC4"/>
    <w:rsid w:val="00D305F6"/>
    <w:rsid w:val="00D30B25"/>
    <w:rsid w:val="00D3175A"/>
    <w:rsid w:val="00D31941"/>
    <w:rsid w:val="00D31A00"/>
    <w:rsid w:val="00D323E4"/>
    <w:rsid w:val="00D32871"/>
    <w:rsid w:val="00D33881"/>
    <w:rsid w:val="00D34282"/>
    <w:rsid w:val="00D34844"/>
    <w:rsid w:val="00D35321"/>
    <w:rsid w:val="00D366B1"/>
    <w:rsid w:val="00D37AE0"/>
    <w:rsid w:val="00D416A8"/>
    <w:rsid w:val="00D4217D"/>
    <w:rsid w:val="00D42286"/>
    <w:rsid w:val="00D4257C"/>
    <w:rsid w:val="00D425AC"/>
    <w:rsid w:val="00D42823"/>
    <w:rsid w:val="00D42D5E"/>
    <w:rsid w:val="00D43F14"/>
    <w:rsid w:val="00D44C18"/>
    <w:rsid w:val="00D4556D"/>
    <w:rsid w:val="00D47FB6"/>
    <w:rsid w:val="00D51103"/>
    <w:rsid w:val="00D511C6"/>
    <w:rsid w:val="00D5121D"/>
    <w:rsid w:val="00D516AC"/>
    <w:rsid w:val="00D51980"/>
    <w:rsid w:val="00D521BB"/>
    <w:rsid w:val="00D52875"/>
    <w:rsid w:val="00D54050"/>
    <w:rsid w:val="00D54BE4"/>
    <w:rsid w:val="00D56321"/>
    <w:rsid w:val="00D56AC0"/>
    <w:rsid w:val="00D6081B"/>
    <w:rsid w:val="00D61A37"/>
    <w:rsid w:val="00D6240A"/>
    <w:rsid w:val="00D63093"/>
    <w:rsid w:val="00D63599"/>
    <w:rsid w:val="00D63E8D"/>
    <w:rsid w:val="00D63EBD"/>
    <w:rsid w:val="00D646C2"/>
    <w:rsid w:val="00D64B69"/>
    <w:rsid w:val="00D67101"/>
    <w:rsid w:val="00D7072E"/>
    <w:rsid w:val="00D70A76"/>
    <w:rsid w:val="00D70B2E"/>
    <w:rsid w:val="00D7106D"/>
    <w:rsid w:val="00D71B45"/>
    <w:rsid w:val="00D71F8A"/>
    <w:rsid w:val="00D73EE2"/>
    <w:rsid w:val="00D75603"/>
    <w:rsid w:val="00D75FEE"/>
    <w:rsid w:val="00D76933"/>
    <w:rsid w:val="00D76D88"/>
    <w:rsid w:val="00D77CC9"/>
    <w:rsid w:val="00D80519"/>
    <w:rsid w:val="00D83D4B"/>
    <w:rsid w:val="00D871C6"/>
    <w:rsid w:val="00D91010"/>
    <w:rsid w:val="00D91186"/>
    <w:rsid w:val="00D9120E"/>
    <w:rsid w:val="00D96AA8"/>
    <w:rsid w:val="00DA0FA7"/>
    <w:rsid w:val="00DA12B0"/>
    <w:rsid w:val="00DA2BA0"/>
    <w:rsid w:val="00DA39AD"/>
    <w:rsid w:val="00DA5B13"/>
    <w:rsid w:val="00DA6224"/>
    <w:rsid w:val="00DA6917"/>
    <w:rsid w:val="00DA6926"/>
    <w:rsid w:val="00DB04E3"/>
    <w:rsid w:val="00DB0965"/>
    <w:rsid w:val="00DB0E47"/>
    <w:rsid w:val="00DB14DF"/>
    <w:rsid w:val="00DB1E96"/>
    <w:rsid w:val="00DB2427"/>
    <w:rsid w:val="00DB2BB7"/>
    <w:rsid w:val="00DB2BDD"/>
    <w:rsid w:val="00DB4121"/>
    <w:rsid w:val="00DB46C3"/>
    <w:rsid w:val="00DB5742"/>
    <w:rsid w:val="00DB5EDF"/>
    <w:rsid w:val="00DB6A25"/>
    <w:rsid w:val="00DB6C46"/>
    <w:rsid w:val="00DB72B8"/>
    <w:rsid w:val="00DB76ED"/>
    <w:rsid w:val="00DC16AF"/>
    <w:rsid w:val="00DC1B24"/>
    <w:rsid w:val="00DC1D61"/>
    <w:rsid w:val="00DC1E73"/>
    <w:rsid w:val="00DC2A9A"/>
    <w:rsid w:val="00DC2E2E"/>
    <w:rsid w:val="00DC3D93"/>
    <w:rsid w:val="00DC4AE9"/>
    <w:rsid w:val="00DC4D68"/>
    <w:rsid w:val="00DC6463"/>
    <w:rsid w:val="00DC7822"/>
    <w:rsid w:val="00DC7AF1"/>
    <w:rsid w:val="00DC7CD5"/>
    <w:rsid w:val="00DD2D92"/>
    <w:rsid w:val="00DD3026"/>
    <w:rsid w:val="00DD33DC"/>
    <w:rsid w:val="00DD3BB0"/>
    <w:rsid w:val="00DD4D1E"/>
    <w:rsid w:val="00DD61F5"/>
    <w:rsid w:val="00DD6FF8"/>
    <w:rsid w:val="00DE3223"/>
    <w:rsid w:val="00DE3A79"/>
    <w:rsid w:val="00DE578C"/>
    <w:rsid w:val="00DE64A6"/>
    <w:rsid w:val="00DE66EB"/>
    <w:rsid w:val="00DE7035"/>
    <w:rsid w:val="00DE7199"/>
    <w:rsid w:val="00DF12E3"/>
    <w:rsid w:val="00DF316D"/>
    <w:rsid w:val="00DF3F1D"/>
    <w:rsid w:val="00DF595C"/>
    <w:rsid w:val="00DF7EA7"/>
    <w:rsid w:val="00E038CD"/>
    <w:rsid w:val="00E04548"/>
    <w:rsid w:val="00E0484E"/>
    <w:rsid w:val="00E04C9B"/>
    <w:rsid w:val="00E05BC0"/>
    <w:rsid w:val="00E063F8"/>
    <w:rsid w:val="00E079AF"/>
    <w:rsid w:val="00E114D6"/>
    <w:rsid w:val="00E1166E"/>
    <w:rsid w:val="00E11DBD"/>
    <w:rsid w:val="00E13211"/>
    <w:rsid w:val="00E14111"/>
    <w:rsid w:val="00E16FB5"/>
    <w:rsid w:val="00E179D6"/>
    <w:rsid w:val="00E20800"/>
    <w:rsid w:val="00E21407"/>
    <w:rsid w:val="00E22668"/>
    <w:rsid w:val="00E227D3"/>
    <w:rsid w:val="00E22BFF"/>
    <w:rsid w:val="00E22CB0"/>
    <w:rsid w:val="00E2312D"/>
    <w:rsid w:val="00E23798"/>
    <w:rsid w:val="00E2585D"/>
    <w:rsid w:val="00E25DBD"/>
    <w:rsid w:val="00E25FA2"/>
    <w:rsid w:val="00E2723D"/>
    <w:rsid w:val="00E27C77"/>
    <w:rsid w:val="00E3179E"/>
    <w:rsid w:val="00E32AC9"/>
    <w:rsid w:val="00E3538A"/>
    <w:rsid w:val="00E354DA"/>
    <w:rsid w:val="00E354F5"/>
    <w:rsid w:val="00E3687E"/>
    <w:rsid w:val="00E372DD"/>
    <w:rsid w:val="00E40974"/>
    <w:rsid w:val="00E40A5C"/>
    <w:rsid w:val="00E40AAB"/>
    <w:rsid w:val="00E41205"/>
    <w:rsid w:val="00E41F32"/>
    <w:rsid w:val="00E42608"/>
    <w:rsid w:val="00E43536"/>
    <w:rsid w:val="00E43DA3"/>
    <w:rsid w:val="00E44B80"/>
    <w:rsid w:val="00E44EBF"/>
    <w:rsid w:val="00E47430"/>
    <w:rsid w:val="00E50FB7"/>
    <w:rsid w:val="00E5199F"/>
    <w:rsid w:val="00E526DF"/>
    <w:rsid w:val="00E53624"/>
    <w:rsid w:val="00E53A1E"/>
    <w:rsid w:val="00E53C15"/>
    <w:rsid w:val="00E54DC2"/>
    <w:rsid w:val="00E54EE6"/>
    <w:rsid w:val="00E56715"/>
    <w:rsid w:val="00E56C2C"/>
    <w:rsid w:val="00E575D3"/>
    <w:rsid w:val="00E57F8E"/>
    <w:rsid w:val="00E60479"/>
    <w:rsid w:val="00E60776"/>
    <w:rsid w:val="00E611C8"/>
    <w:rsid w:val="00E613EB"/>
    <w:rsid w:val="00E63256"/>
    <w:rsid w:val="00E6344A"/>
    <w:rsid w:val="00E64E69"/>
    <w:rsid w:val="00E64FB7"/>
    <w:rsid w:val="00E669A1"/>
    <w:rsid w:val="00E67914"/>
    <w:rsid w:val="00E679BA"/>
    <w:rsid w:val="00E70243"/>
    <w:rsid w:val="00E72087"/>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1098"/>
    <w:rsid w:val="00E927E2"/>
    <w:rsid w:val="00E928AF"/>
    <w:rsid w:val="00E92A82"/>
    <w:rsid w:val="00E92AA8"/>
    <w:rsid w:val="00E9344E"/>
    <w:rsid w:val="00E93E39"/>
    <w:rsid w:val="00E94391"/>
    <w:rsid w:val="00E972C4"/>
    <w:rsid w:val="00E972F3"/>
    <w:rsid w:val="00E97E2B"/>
    <w:rsid w:val="00EA08CA"/>
    <w:rsid w:val="00EA0C0C"/>
    <w:rsid w:val="00EA2AEA"/>
    <w:rsid w:val="00EA3248"/>
    <w:rsid w:val="00EA332B"/>
    <w:rsid w:val="00EA3721"/>
    <w:rsid w:val="00EA3D36"/>
    <w:rsid w:val="00EA40AA"/>
    <w:rsid w:val="00EA57E2"/>
    <w:rsid w:val="00EA7186"/>
    <w:rsid w:val="00EB018B"/>
    <w:rsid w:val="00EB1003"/>
    <w:rsid w:val="00EB1132"/>
    <w:rsid w:val="00EB167E"/>
    <w:rsid w:val="00EB24ED"/>
    <w:rsid w:val="00EB2A00"/>
    <w:rsid w:val="00EB2A3F"/>
    <w:rsid w:val="00EB309B"/>
    <w:rsid w:val="00EB3AA2"/>
    <w:rsid w:val="00EB3C4A"/>
    <w:rsid w:val="00EB4763"/>
    <w:rsid w:val="00EB590E"/>
    <w:rsid w:val="00EB5B17"/>
    <w:rsid w:val="00EB6C9C"/>
    <w:rsid w:val="00EB6CB7"/>
    <w:rsid w:val="00EB735B"/>
    <w:rsid w:val="00EC078B"/>
    <w:rsid w:val="00EC07A0"/>
    <w:rsid w:val="00EC08E4"/>
    <w:rsid w:val="00EC1154"/>
    <w:rsid w:val="00EC1A23"/>
    <w:rsid w:val="00EC3CB4"/>
    <w:rsid w:val="00EC443E"/>
    <w:rsid w:val="00EC4D83"/>
    <w:rsid w:val="00EC4EEE"/>
    <w:rsid w:val="00EC5B66"/>
    <w:rsid w:val="00EC634F"/>
    <w:rsid w:val="00EC7B97"/>
    <w:rsid w:val="00ED049C"/>
    <w:rsid w:val="00ED07B7"/>
    <w:rsid w:val="00ED19D7"/>
    <w:rsid w:val="00ED2167"/>
    <w:rsid w:val="00ED351E"/>
    <w:rsid w:val="00ED4063"/>
    <w:rsid w:val="00ED4B27"/>
    <w:rsid w:val="00ED543C"/>
    <w:rsid w:val="00ED6BA4"/>
    <w:rsid w:val="00ED7DA7"/>
    <w:rsid w:val="00EE0598"/>
    <w:rsid w:val="00EE1792"/>
    <w:rsid w:val="00EE311C"/>
    <w:rsid w:val="00EE56FF"/>
    <w:rsid w:val="00EE5886"/>
    <w:rsid w:val="00EE5FBF"/>
    <w:rsid w:val="00EE6472"/>
    <w:rsid w:val="00EE76F2"/>
    <w:rsid w:val="00EF0769"/>
    <w:rsid w:val="00EF0D7C"/>
    <w:rsid w:val="00EF11F3"/>
    <w:rsid w:val="00EF40E2"/>
    <w:rsid w:val="00EF5FB9"/>
    <w:rsid w:val="00EF61C1"/>
    <w:rsid w:val="00EF6E68"/>
    <w:rsid w:val="00EF76DB"/>
    <w:rsid w:val="00F005FD"/>
    <w:rsid w:val="00F024E2"/>
    <w:rsid w:val="00F02C04"/>
    <w:rsid w:val="00F03AF1"/>
    <w:rsid w:val="00F04BCD"/>
    <w:rsid w:val="00F05A8C"/>
    <w:rsid w:val="00F06211"/>
    <w:rsid w:val="00F0764C"/>
    <w:rsid w:val="00F10A54"/>
    <w:rsid w:val="00F118BB"/>
    <w:rsid w:val="00F123D0"/>
    <w:rsid w:val="00F123F4"/>
    <w:rsid w:val="00F13200"/>
    <w:rsid w:val="00F13411"/>
    <w:rsid w:val="00F143BA"/>
    <w:rsid w:val="00F14D98"/>
    <w:rsid w:val="00F14DE2"/>
    <w:rsid w:val="00F2081B"/>
    <w:rsid w:val="00F20A43"/>
    <w:rsid w:val="00F20C51"/>
    <w:rsid w:val="00F21049"/>
    <w:rsid w:val="00F214BB"/>
    <w:rsid w:val="00F218AE"/>
    <w:rsid w:val="00F22232"/>
    <w:rsid w:val="00F2228E"/>
    <w:rsid w:val="00F22D3C"/>
    <w:rsid w:val="00F233ED"/>
    <w:rsid w:val="00F23D66"/>
    <w:rsid w:val="00F24277"/>
    <w:rsid w:val="00F24E6F"/>
    <w:rsid w:val="00F25A06"/>
    <w:rsid w:val="00F26069"/>
    <w:rsid w:val="00F26B7E"/>
    <w:rsid w:val="00F2719B"/>
    <w:rsid w:val="00F27B6C"/>
    <w:rsid w:val="00F27D7D"/>
    <w:rsid w:val="00F3002B"/>
    <w:rsid w:val="00F30BC9"/>
    <w:rsid w:val="00F31E57"/>
    <w:rsid w:val="00F32462"/>
    <w:rsid w:val="00F32FDF"/>
    <w:rsid w:val="00F32FF7"/>
    <w:rsid w:val="00F33EDE"/>
    <w:rsid w:val="00F35004"/>
    <w:rsid w:val="00F3568B"/>
    <w:rsid w:val="00F377CD"/>
    <w:rsid w:val="00F40C3B"/>
    <w:rsid w:val="00F40CE0"/>
    <w:rsid w:val="00F41BDD"/>
    <w:rsid w:val="00F42DBC"/>
    <w:rsid w:val="00F4308D"/>
    <w:rsid w:val="00F44012"/>
    <w:rsid w:val="00F44947"/>
    <w:rsid w:val="00F44C8F"/>
    <w:rsid w:val="00F458EF"/>
    <w:rsid w:val="00F468C9"/>
    <w:rsid w:val="00F47121"/>
    <w:rsid w:val="00F4775D"/>
    <w:rsid w:val="00F504DD"/>
    <w:rsid w:val="00F50874"/>
    <w:rsid w:val="00F516C6"/>
    <w:rsid w:val="00F52221"/>
    <w:rsid w:val="00F52B28"/>
    <w:rsid w:val="00F536BB"/>
    <w:rsid w:val="00F53755"/>
    <w:rsid w:val="00F53AA9"/>
    <w:rsid w:val="00F53E59"/>
    <w:rsid w:val="00F5475B"/>
    <w:rsid w:val="00F551CC"/>
    <w:rsid w:val="00F57223"/>
    <w:rsid w:val="00F574D0"/>
    <w:rsid w:val="00F6031F"/>
    <w:rsid w:val="00F61664"/>
    <w:rsid w:val="00F61B99"/>
    <w:rsid w:val="00F61BA8"/>
    <w:rsid w:val="00F64C45"/>
    <w:rsid w:val="00F6502B"/>
    <w:rsid w:val="00F65093"/>
    <w:rsid w:val="00F65811"/>
    <w:rsid w:val="00F6612A"/>
    <w:rsid w:val="00F66724"/>
    <w:rsid w:val="00F67F04"/>
    <w:rsid w:val="00F70207"/>
    <w:rsid w:val="00F702CB"/>
    <w:rsid w:val="00F70F4A"/>
    <w:rsid w:val="00F71AC2"/>
    <w:rsid w:val="00F739D4"/>
    <w:rsid w:val="00F76646"/>
    <w:rsid w:val="00F77D43"/>
    <w:rsid w:val="00F80953"/>
    <w:rsid w:val="00F81312"/>
    <w:rsid w:val="00F81B90"/>
    <w:rsid w:val="00F81E6F"/>
    <w:rsid w:val="00F81F6D"/>
    <w:rsid w:val="00F8282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151"/>
    <w:rsid w:val="00F9580B"/>
    <w:rsid w:val="00F95F15"/>
    <w:rsid w:val="00F975CA"/>
    <w:rsid w:val="00FA0B60"/>
    <w:rsid w:val="00FA1D1A"/>
    <w:rsid w:val="00FA2528"/>
    <w:rsid w:val="00FA2E97"/>
    <w:rsid w:val="00FA42DC"/>
    <w:rsid w:val="00FA5535"/>
    <w:rsid w:val="00FA625B"/>
    <w:rsid w:val="00FA7206"/>
    <w:rsid w:val="00FA7494"/>
    <w:rsid w:val="00FA7EFB"/>
    <w:rsid w:val="00FB0816"/>
    <w:rsid w:val="00FB08C2"/>
    <w:rsid w:val="00FB128A"/>
    <w:rsid w:val="00FB3DD1"/>
    <w:rsid w:val="00FB51FD"/>
    <w:rsid w:val="00FB543F"/>
    <w:rsid w:val="00FB5667"/>
    <w:rsid w:val="00FB626A"/>
    <w:rsid w:val="00FB7A97"/>
    <w:rsid w:val="00FC1B9B"/>
    <w:rsid w:val="00FC1C27"/>
    <w:rsid w:val="00FC318D"/>
    <w:rsid w:val="00FC36CF"/>
    <w:rsid w:val="00FC3B90"/>
    <w:rsid w:val="00FC3C36"/>
    <w:rsid w:val="00FC40BC"/>
    <w:rsid w:val="00FC41FC"/>
    <w:rsid w:val="00FC4F6E"/>
    <w:rsid w:val="00FC4FCC"/>
    <w:rsid w:val="00FC506C"/>
    <w:rsid w:val="00FC578C"/>
    <w:rsid w:val="00FC5A37"/>
    <w:rsid w:val="00FC5C85"/>
    <w:rsid w:val="00FC7223"/>
    <w:rsid w:val="00FC7383"/>
    <w:rsid w:val="00FD0F60"/>
    <w:rsid w:val="00FD13EA"/>
    <w:rsid w:val="00FD232F"/>
    <w:rsid w:val="00FD45B4"/>
    <w:rsid w:val="00FD5EC4"/>
    <w:rsid w:val="00FD7858"/>
    <w:rsid w:val="00FD7A8D"/>
    <w:rsid w:val="00FE0B5F"/>
    <w:rsid w:val="00FE1330"/>
    <w:rsid w:val="00FE1CE5"/>
    <w:rsid w:val="00FE242D"/>
    <w:rsid w:val="00FE2832"/>
    <w:rsid w:val="00FE2D38"/>
    <w:rsid w:val="00FE3929"/>
    <w:rsid w:val="00FE4408"/>
    <w:rsid w:val="00FE5B69"/>
    <w:rsid w:val="00FF097B"/>
    <w:rsid w:val="00FF0B6E"/>
    <w:rsid w:val="00FF1C1B"/>
    <w:rsid w:val="00FF1F4B"/>
    <w:rsid w:val="00FF2067"/>
    <w:rsid w:val="00FF3984"/>
    <w:rsid w:val="00FF3BC4"/>
    <w:rsid w:val="00FF4B66"/>
    <w:rsid w:val="00FF5883"/>
    <w:rsid w:val="00FF688E"/>
    <w:rsid w:val="00FF7EC8"/>
    <w:rsid w:val="0FB24D6E"/>
    <w:rsid w:val="1416BE7D"/>
    <w:rsid w:val="358E2CC5"/>
    <w:rsid w:val="3670656A"/>
    <w:rsid w:val="38EA3756"/>
    <w:rsid w:val="40FD8E16"/>
    <w:rsid w:val="4EDF7734"/>
    <w:rsid w:val="4F66CB88"/>
    <w:rsid w:val="6937C8D7"/>
    <w:rsid w:val="6A14CB89"/>
    <w:rsid w:val="74F4C83B"/>
    <w:rsid w:val="7A4A8471"/>
    <w:rsid w:val="7AFB41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CB02B"/>
  <w15:docId w15:val="{64D8B307-D53C-4819-B238-1D795277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character" w:styleId="UnresolvedMention">
    <w:name w:val="Unresolved Mention"/>
    <w:basedOn w:val="DefaultParagraphFont"/>
    <w:uiPriority w:val="99"/>
    <w:semiHidden/>
    <w:unhideWhenUsed/>
    <w:rsid w:val="00365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77697093">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sma.europa.eu/press-news/consult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iopa.europa.eu/Pages/Links/Legal-notic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eb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fauk.org/media-centre/cfa-uk--proposes-new-value-for-money-framework"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5fde9a8-77a5-4a64-98dd-05fc48532437">
      <UserInfo>
        <DisplayName>Josina Kamerling</DisplayName>
        <AccountId>12</AccountId>
        <AccountType/>
      </UserInfo>
      <UserInfo>
        <DisplayName>Roberto Silvestri</DisplayName>
        <AccountId>13</AccountId>
        <AccountType/>
      </UserInfo>
      <UserInfo>
        <DisplayName>Iain McAra</DisplayName>
        <AccountId>39</AccountId>
        <AccountType/>
      </UserInfo>
      <UserInfo>
        <DisplayName>Olivier Fines</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CA98FF18F82F44BC5E55BA0F8B17EE" ma:contentTypeVersion="6" ma:contentTypeDescription="Create a new document." ma:contentTypeScope="" ma:versionID="2660aca497f7e98119df06923584bdfa">
  <xsd:schema xmlns:xsd="http://www.w3.org/2001/XMLSchema" xmlns:xs="http://www.w3.org/2001/XMLSchema" xmlns:p="http://schemas.microsoft.com/office/2006/metadata/properties" xmlns:ns2="e76465a8-f6a5-4202-b89d-5d0a3f938f12" xmlns:ns3="c5fde9a8-77a5-4a64-98dd-05fc48532437" targetNamespace="http://schemas.microsoft.com/office/2006/metadata/properties" ma:root="true" ma:fieldsID="2dc2d10e7fd68612864c1ad71feec173" ns2:_="" ns3:_="">
    <xsd:import namespace="e76465a8-f6a5-4202-b89d-5d0a3f938f12"/>
    <xsd:import namespace="c5fde9a8-77a5-4a64-98dd-05fc485324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465a8-f6a5-4202-b89d-5d0a3f938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fde9a8-77a5-4a64-98dd-05fc485324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c5fde9a8-77a5-4a64-98dd-05fc48532437"/>
  </ds:schemaRefs>
</ds:datastoreItem>
</file>

<file path=customXml/itemProps3.xml><?xml version="1.0" encoding="utf-8"?>
<ds:datastoreItem xmlns:ds="http://schemas.openxmlformats.org/officeDocument/2006/customXml" ds:itemID="{15D97BFF-1BA9-43CB-9741-90B955171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465a8-f6a5-4202-b89d-5d0a3f938f12"/>
    <ds:schemaRef ds:uri="c5fde9a8-77a5-4a64-98dd-05fc48532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45729-2698-4175-8DC1-66ACF00436A7}">
  <ds:schemaRefs>
    <ds:schemaRef ds:uri="http://schemas.openxmlformats.org/officeDocument/2006/bibliography"/>
  </ds:schemaRefs>
</ds:datastoreItem>
</file>

<file path=customXml/itemProps5.xml><?xml version="1.0" encoding="utf-8"?>
<ds:datastoreItem xmlns:ds="http://schemas.openxmlformats.org/officeDocument/2006/customXml" ds:itemID="{79117209-0B78-418E-A368-2CB07C28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9036</Words>
  <Characters>51510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Reply form for the TR portability CP under EMIR</vt:lpstr>
    </vt:vector>
  </TitlesOfParts>
  <Company>ESMA</Company>
  <LinksUpToDate>false</LinksUpToDate>
  <CharactersWithSpaces>60426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subject/>
  <dc:creator>ESMA</dc:creator>
  <cp:keywords/>
  <cp:lastModifiedBy>Roberto Silvestri</cp:lastModifiedBy>
  <cp:revision>2</cp:revision>
  <cp:lastPrinted>2015-02-18T03:01:00Z</cp:lastPrinted>
  <dcterms:created xsi:type="dcterms:W3CDTF">2020-01-13T17:41:00Z</dcterms:created>
  <dcterms:modified xsi:type="dcterms:W3CDTF">2020-01-13T17:41:00Z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0x0101002FCA98FF18F82F44BC5E55BA0F8B17EE</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