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9412"/>
      </w:tblGrid>
      <w:tr w:rsidR="00C2094B" w:rsidRPr="004E49B0" w14:paraId="6A3CB02C" w14:textId="77777777" w:rsidTr="00315E96">
        <w:trPr>
          <w:trHeight w:val="284"/>
        </w:trPr>
        <w:tc>
          <w:tcPr>
            <w:tcW w:w="9412" w:type="dxa"/>
          </w:tcPr>
          <w:p w14:paraId="6A3CB02B" w14:textId="0DA5782F" w:rsidR="00C2094B" w:rsidRPr="004E49B0" w:rsidRDefault="00197794" w:rsidP="00337A3F">
            <w:pPr>
              <w:pStyle w:val="00bDBInfo"/>
              <w:rPr>
                <w:rFonts w:cs="Arial"/>
              </w:rPr>
            </w:pPr>
            <w:r>
              <w:rPr>
                <w:rFonts w:cs="Arial"/>
              </w:rPr>
              <w:t xml:space="preserve">16 October </w:t>
            </w:r>
            <w:r w:rsidR="00EF5FB9">
              <w:rPr>
                <w:rFonts w:cs="Arial"/>
              </w:rPr>
              <w:t>201</w:t>
            </w:r>
            <w:r w:rsidR="002E4F86">
              <w:rPr>
                <w:rFonts w:cs="Arial"/>
              </w:rPr>
              <w:t>9</w:t>
            </w:r>
          </w:p>
        </w:tc>
      </w:tr>
    </w:tbl>
    <w:p w14:paraId="6A3CB02D" w14:textId="77777777" w:rsidR="00FD7A8D" w:rsidRPr="00616B9B" w:rsidRDefault="00FD7A8D" w:rsidP="00FD7A8D">
      <w:pPr>
        <w:rPr>
          <w:rFonts w:cs="Arial"/>
          <w:vanish/>
        </w:rPr>
      </w:pPr>
    </w:p>
    <w:tbl>
      <w:tblPr>
        <w:tblpPr w:leftFromText="8505" w:vertAnchor="page" w:horzAnchor="margin" w:tblpY="3801"/>
        <w:tblW w:w="10051" w:type="dxa"/>
        <w:tblLayout w:type="fixed"/>
        <w:tblCellMar>
          <w:left w:w="0" w:type="dxa"/>
          <w:right w:w="0" w:type="dxa"/>
        </w:tblCellMar>
        <w:tblLook w:val="01E0" w:firstRow="1" w:lastRow="1" w:firstColumn="1" w:lastColumn="1" w:noHBand="0" w:noVBand="0"/>
      </w:tblPr>
      <w:tblGrid>
        <w:gridCol w:w="10051"/>
      </w:tblGrid>
      <w:tr w:rsidR="006F4535" w:rsidRPr="00616B9B" w14:paraId="6A3CB02F" w14:textId="77777777" w:rsidTr="00210E59">
        <w:trPr>
          <w:trHeight w:hRule="exact" w:val="1620"/>
        </w:trPr>
        <w:tc>
          <w:tcPr>
            <w:tcW w:w="10051" w:type="dxa"/>
            <w:vAlign w:val="bottom"/>
          </w:tcPr>
          <w:p w14:paraId="0967745D" w14:textId="2F6EA2CC" w:rsidR="00EC1154" w:rsidRPr="00391CB0" w:rsidRDefault="006F4535" w:rsidP="00EC1154">
            <w:pPr>
              <w:pStyle w:val="01aDBTitle"/>
              <w:jc w:val="left"/>
              <w:rPr>
                <w:rFonts w:cs="Arial"/>
              </w:rPr>
            </w:pPr>
            <w:r w:rsidRPr="00EC1154">
              <w:rPr>
                <w:rFonts w:cs="Arial"/>
              </w:rPr>
              <w:t>Re</w:t>
            </w:r>
            <w:r w:rsidR="009A3017" w:rsidRPr="00EC1154">
              <w:rPr>
                <w:rFonts w:cs="Arial"/>
              </w:rPr>
              <w:t>sponse</w:t>
            </w:r>
            <w:r w:rsidRPr="00EC1154">
              <w:rPr>
                <w:rFonts w:cs="Arial"/>
              </w:rPr>
              <w:t xml:space="preserve"> form for </w:t>
            </w:r>
            <w:r w:rsidR="00AF38AF" w:rsidRPr="00EC1154">
              <w:rPr>
                <w:rFonts w:cs="Arial"/>
              </w:rPr>
              <w:t xml:space="preserve">the </w:t>
            </w:r>
            <w:r w:rsidR="00197794">
              <w:rPr>
                <w:rFonts w:cs="Arial"/>
              </w:rPr>
              <w:t xml:space="preserve">Joint </w:t>
            </w:r>
            <w:r w:rsidRPr="00EC1154">
              <w:rPr>
                <w:rFonts w:cs="Arial"/>
              </w:rPr>
              <w:t xml:space="preserve">Consultation Paper </w:t>
            </w:r>
            <w:r w:rsidR="00197794">
              <w:rPr>
                <w:rFonts w:cs="Arial"/>
              </w:rPr>
              <w:t>concerning amendments to the PRIIPs KID</w:t>
            </w:r>
          </w:p>
          <w:p w14:paraId="6A3CB02E" w14:textId="368D9A61" w:rsidR="006F4535" w:rsidRPr="009A053D" w:rsidRDefault="006F4535" w:rsidP="00210E59">
            <w:pPr>
              <w:pStyle w:val="01aDBTitle"/>
              <w:jc w:val="left"/>
              <w:rPr>
                <w:rFonts w:cs="Arial"/>
                <w:sz w:val="32"/>
              </w:rPr>
            </w:pPr>
          </w:p>
        </w:tc>
      </w:tr>
      <w:tr w:rsidR="006F4535" w:rsidRPr="00616B9B" w14:paraId="6A3CB031" w14:textId="77777777" w:rsidTr="00210E59">
        <w:trPr>
          <w:trHeight w:hRule="exact" w:val="809"/>
        </w:trPr>
        <w:tc>
          <w:tcPr>
            <w:tcW w:w="10051" w:type="dxa"/>
            <w:tcMar>
              <w:top w:w="142" w:type="dxa"/>
            </w:tcMar>
          </w:tcPr>
          <w:p w14:paraId="6A3CB030" w14:textId="77777777" w:rsidR="006F4535" w:rsidRPr="009A053D" w:rsidRDefault="006F4535" w:rsidP="006F4535">
            <w:pPr>
              <w:pStyle w:val="01bDBSubtitle"/>
              <w:rPr>
                <w:rFonts w:ascii="Arial" w:hAnsi="Arial" w:cs="Arial"/>
                <w:sz w:val="32"/>
              </w:rPr>
            </w:pPr>
            <w:r w:rsidRPr="009A053D">
              <w:rPr>
                <w:rFonts w:ascii="Arial" w:hAnsi="Arial" w:cs="Arial"/>
                <w:sz w:val="32"/>
              </w:rPr>
              <w:t xml:space="preserve"> </w:t>
            </w:r>
          </w:p>
        </w:tc>
      </w:tr>
    </w:tbl>
    <w:p w14:paraId="6A3CB032" w14:textId="77777777" w:rsidR="00620D7C" w:rsidRPr="00616B9B" w:rsidRDefault="00620D7C" w:rsidP="00C00012">
      <w:pPr>
        <w:pStyle w:val="05HeadlinenoIndex"/>
        <w:rPr>
          <w:rFonts w:cs="Arial"/>
        </w:rPr>
        <w:sectPr w:rsidR="00620D7C" w:rsidRPr="00616B9B" w:rsidSect="006E3C72">
          <w:headerReference w:type="even" r:id="rId13"/>
          <w:headerReference w:type="default" r:id="rId14"/>
          <w:footerReference w:type="even" r:id="rId15"/>
          <w:footerReference w:type="default" r:id="rId16"/>
          <w:headerReference w:type="first" r:id="rId17"/>
          <w:footerReference w:type="first" r:id="rId18"/>
          <w:pgSz w:w="11906" w:h="16838" w:code="9"/>
          <w:pgMar w:top="2835" w:right="1247" w:bottom="1361" w:left="1247" w:header="709" w:footer="709" w:gutter="0"/>
          <w:cols w:space="708"/>
          <w:titlePg/>
          <w:docGrid w:linePitch="360"/>
        </w:sectPr>
      </w:pPr>
    </w:p>
    <w:tbl>
      <w:tblPr>
        <w:tblpPr w:leftFromText="8505" w:bottomFromText="1134" w:vertAnchor="page" w:horzAnchor="page" w:tblpX="8279" w:tblpY="1475"/>
        <w:tblOverlap w:val="never"/>
        <w:tblW w:w="0" w:type="auto"/>
        <w:tblLayout w:type="fixed"/>
        <w:tblCellMar>
          <w:left w:w="0" w:type="dxa"/>
          <w:right w:w="0" w:type="dxa"/>
        </w:tblCellMar>
        <w:tblLook w:val="01E0" w:firstRow="1" w:lastRow="1" w:firstColumn="1" w:lastColumn="1" w:noHBand="0" w:noVBand="0"/>
      </w:tblPr>
      <w:tblGrid>
        <w:gridCol w:w="2325"/>
      </w:tblGrid>
      <w:tr w:rsidR="00620D7C" w:rsidRPr="00616B9B" w14:paraId="6A3CB034" w14:textId="77777777" w:rsidTr="00315E96">
        <w:trPr>
          <w:trHeight w:hRule="exact" w:val="964"/>
        </w:trPr>
        <w:tc>
          <w:tcPr>
            <w:tcW w:w="2325" w:type="dxa"/>
          </w:tcPr>
          <w:p w14:paraId="53603EB0" w14:textId="77777777" w:rsidR="00620D7C" w:rsidRDefault="00620D7C" w:rsidP="00337A3F">
            <w:pPr>
              <w:pStyle w:val="02Date"/>
              <w:rPr>
                <w:rFonts w:cs="Arial"/>
                <w:shd w:val="clear" w:color="auto" w:fill="FFFFFF" w:themeFill="background1"/>
              </w:rPr>
            </w:pPr>
            <w:r w:rsidRPr="004E49B0">
              <w:rPr>
                <w:rFonts w:cs="Arial"/>
              </w:rPr>
              <w:lastRenderedPageBreak/>
              <w:t xml:space="preserve">Date: </w:t>
            </w:r>
            <w:r w:rsidR="003E573C">
              <w:rPr>
                <w:rFonts w:cs="Arial"/>
              </w:rPr>
              <w:t xml:space="preserve">16 October </w:t>
            </w:r>
            <w:r w:rsidR="002E4F86">
              <w:rPr>
                <w:rFonts w:cs="Arial"/>
                <w:shd w:val="clear" w:color="auto" w:fill="FFFFFF" w:themeFill="background1"/>
              </w:rPr>
              <w:t>2019</w:t>
            </w:r>
          </w:p>
          <w:p w14:paraId="6A3CB033" w14:textId="70707496" w:rsidR="00704EED" w:rsidRPr="004E49B0" w:rsidRDefault="00704EED" w:rsidP="00337A3F">
            <w:pPr>
              <w:pStyle w:val="02Date"/>
              <w:rPr>
                <w:rFonts w:cs="Arial"/>
              </w:rPr>
            </w:pPr>
            <w:r>
              <w:rPr>
                <w:rFonts w:cs="Arial"/>
                <w:shd w:val="clear" w:color="auto" w:fill="FFFFFF" w:themeFill="background1"/>
              </w:rPr>
              <w:t>ESMA 30-201-535</w:t>
            </w:r>
          </w:p>
        </w:tc>
      </w:tr>
    </w:tbl>
    <w:p w14:paraId="6A3CB035" w14:textId="77777777" w:rsidR="00F574D0" w:rsidRPr="00616B9B" w:rsidRDefault="00F574D0" w:rsidP="00F574D0">
      <w:pPr>
        <w:pStyle w:val="05HeadlinenoIndex"/>
        <w:rPr>
          <w:rFonts w:cs="Arial"/>
        </w:rPr>
      </w:pPr>
      <w:bookmarkStart w:id="0" w:name="_Toc280628648"/>
      <w:r w:rsidRPr="00616B9B">
        <w:rPr>
          <w:rFonts w:cs="Arial"/>
        </w:rPr>
        <w:t xml:space="preserve">Responding to this paper </w:t>
      </w:r>
    </w:p>
    <w:p w14:paraId="31547968" w14:textId="77777777" w:rsidR="00197794" w:rsidRPr="00197794" w:rsidRDefault="00197794" w:rsidP="00197794">
      <w:pPr>
        <w:spacing w:after="240"/>
        <w:jc w:val="both"/>
        <w:rPr>
          <w:rStyle w:val="Svakutheving"/>
          <w:b w:val="0"/>
          <w:sz w:val="22"/>
        </w:rPr>
      </w:pPr>
      <w:r w:rsidRPr="00197794">
        <w:rPr>
          <w:rStyle w:val="Svakutheving"/>
          <w:b w:val="0"/>
          <w:sz w:val="22"/>
        </w:rPr>
        <w:t>The European Supervisory Authorities (ESAs) welcome comments on this consultation paper setting out proposed amendments to Commission Delegated Regulation (EU) 2017/653 of 8 March 2017</w:t>
      </w:r>
      <w:r w:rsidRPr="00197794">
        <w:rPr>
          <w:rStyle w:val="Svakutheving"/>
          <w:b w:val="0"/>
          <w:sz w:val="22"/>
        </w:rPr>
        <w:footnoteReference w:id="2"/>
      </w:r>
      <w:r w:rsidRPr="00197794">
        <w:rPr>
          <w:rStyle w:val="Svakutheving"/>
          <w:b w:val="0"/>
          <w:sz w:val="22"/>
        </w:rPr>
        <w:t xml:space="preserve"> (hereinafter “PRIIPs Delegated Regulation”).</w:t>
      </w:r>
    </w:p>
    <w:p w14:paraId="10C2617A" w14:textId="77777777" w:rsidR="00197794" w:rsidRPr="00197794" w:rsidRDefault="00197794" w:rsidP="00197794">
      <w:pPr>
        <w:jc w:val="both"/>
        <w:rPr>
          <w:rStyle w:val="Svakutheving"/>
          <w:b w:val="0"/>
          <w:sz w:val="22"/>
        </w:rPr>
      </w:pPr>
    </w:p>
    <w:p w14:paraId="0C223EDE" w14:textId="77777777" w:rsidR="00197794" w:rsidRPr="00197794" w:rsidRDefault="00197794" w:rsidP="00197794">
      <w:pPr>
        <w:jc w:val="both"/>
        <w:rPr>
          <w:rStyle w:val="Svakutheving"/>
          <w:b w:val="0"/>
          <w:sz w:val="22"/>
        </w:rPr>
      </w:pPr>
      <w:r w:rsidRPr="00197794">
        <w:rPr>
          <w:rStyle w:val="Svakutheving"/>
          <w:b w:val="0"/>
          <w:sz w:val="22"/>
        </w:rPr>
        <w:t xml:space="preserve">The consultation package includes: </w:t>
      </w:r>
    </w:p>
    <w:p w14:paraId="18D2914F" w14:textId="1F1755EE" w:rsidR="00197794" w:rsidRDefault="00197794" w:rsidP="00197794">
      <w:pPr>
        <w:jc w:val="both"/>
        <w:rPr>
          <w:rStyle w:val="Svakutheving"/>
          <w:b w:val="0"/>
          <w:sz w:val="22"/>
        </w:rPr>
      </w:pPr>
      <w:r w:rsidRPr="00197794">
        <w:rPr>
          <w:rStyle w:val="Svakutheving"/>
          <w:b w:val="0"/>
          <w:sz w:val="22"/>
        </w:rPr>
        <w:t>•</w:t>
      </w:r>
      <w:r w:rsidRPr="00197794">
        <w:rPr>
          <w:rStyle w:val="Svakutheving"/>
          <w:b w:val="0"/>
          <w:sz w:val="22"/>
        </w:rPr>
        <w:tab/>
        <w:t>The consultation paper</w:t>
      </w:r>
    </w:p>
    <w:p w14:paraId="10BDD12A" w14:textId="706C2321" w:rsidR="00197794" w:rsidRDefault="00197794" w:rsidP="00197794">
      <w:pPr>
        <w:jc w:val="both"/>
        <w:rPr>
          <w:rStyle w:val="Svakutheving"/>
          <w:b w:val="0"/>
          <w:sz w:val="22"/>
        </w:rPr>
      </w:pPr>
      <w:r w:rsidRPr="00197794">
        <w:rPr>
          <w:rStyle w:val="Svakutheving"/>
          <w:b w:val="0"/>
          <w:sz w:val="22"/>
        </w:rPr>
        <w:t>•</w:t>
      </w:r>
      <w:r w:rsidRPr="00197794">
        <w:rPr>
          <w:rStyle w:val="Svakutheving"/>
          <w:b w:val="0"/>
          <w:sz w:val="22"/>
        </w:rPr>
        <w:tab/>
      </w:r>
      <w:r>
        <w:rPr>
          <w:rStyle w:val="Svakutheving"/>
          <w:b w:val="0"/>
          <w:sz w:val="22"/>
        </w:rPr>
        <w:t>Template for comments</w:t>
      </w:r>
    </w:p>
    <w:p w14:paraId="52DEC790" w14:textId="77777777" w:rsidR="00197794" w:rsidRDefault="00197794" w:rsidP="00197794">
      <w:pPr>
        <w:jc w:val="both"/>
        <w:rPr>
          <w:rStyle w:val="Svakutheving"/>
          <w:b w:val="0"/>
          <w:sz w:val="22"/>
        </w:rPr>
      </w:pPr>
    </w:p>
    <w:p w14:paraId="0582E623" w14:textId="7F8CAD3C" w:rsidR="00197794" w:rsidRPr="00197794" w:rsidRDefault="00197794" w:rsidP="00197794">
      <w:pPr>
        <w:jc w:val="both"/>
        <w:rPr>
          <w:rStyle w:val="Svakutheving"/>
          <w:b w:val="0"/>
          <w:sz w:val="22"/>
        </w:rPr>
      </w:pPr>
      <w:r w:rsidRPr="00197794">
        <w:rPr>
          <w:rStyle w:val="Svakutheving"/>
          <w:b w:val="0"/>
          <w:sz w:val="22"/>
        </w:rPr>
        <w:t>The ESAs invite comments on any aspect of this paper. Comments are most helpful if they:</w:t>
      </w:r>
    </w:p>
    <w:p w14:paraId="09C3854A" w14:textId="77777777" w:rsidR="00197794" w:rsidRPr="00197794" w:rsidRDefault="00197794" w:rsidP="00197794">
      <w:pPr>
        <w:jc w:val="both"/>
        <w:rPr>
          <w:rStyle w:val="Svakutheving"/>
          <w:b w:val="0"/>
          <w:sz w:val="22"/>
        </w:rPr>
      </w:pPr>
      <w:r w:rsidRPr="00197794">
        <w:rPr>
          <w:rStyle w:val="Svakutheving"/>
          <w:b w:val="0"/>
          <w:sz w:val="22"/>
        </w:rPr>
        <w:t>•</w:t>
      </w:r>
      <w:r w:rsidRPr="00197794">
        <w:rPr>
          <w:rStyle w:val="Svakutheving"/>
          <w:b w:val="0"/>
          <w:sz w:val="22"/>
        </w:rPr>
        <w:tab/>
        <w:t>contain a clear rationale; and</w:t>
      </w:r>
    </w:p>
    <w:p w14:paraId="2CDD20AE" w14:textId="77777777" w:rsidR="00197794" w:rsidRPr="00197794" w:rsidRDefault="00197794" w:rsidP="00197794">
      <w:pPr>
        <w:jc w:val="both"/>
        <w:rPr>
          <w:rStyle w:val="Svakutheving"/>
          <w:b w:val="0"/>
          <w:sz w:val="22"/>
        </w:rPr>
      </w:pPr>
      <w:r w:rsidRPr="00197794">
        <w:rPr>
          <w:rStyle w:val="Svakutheving"/>
          <w:b w:val="0"/>
          <w:sz w:val="22"/>
        </w:rPr>
        <w:t>•</w:t>
      </w:r>
      <w:r w:rsidRPr="00197794">
        <w:rPr>
          <w:rStyle w:val="Svakutheving"/>
          <w:b w:val="0"/>
          <w:sz w:val="22"/>
        </w:rPr>
        <w:tab/>
        <w:t>describe any alternatives the ESAs should consider.</w:t>
      </w:r>
    </w:p>
    <w:p w14:paraId="6D344FFC" w14:textId="77777777" w:rsidR="00197794" w:rsidRDefault="00197794" w:rsidP="00197794">
      <w:pPr>
        <w:jc w:val="both"/>
        <w:rPr>
          <w:rStyle w:val="Svakutheving"/>
          <w:b w:val="0"/>
          <w:sz w:val="22"/>
        </w:rPr>
      </w:pPr>
    </w:p>
    <w:p w14:paraId="17CD5259" w14:textId="6C7A8583" w:rsidR="00197794" w:rsidRPr="00197794" w:rsidRDefault="00197794" w:rsidP="00197794">
      <w:pPr>
        <w:spacing w:after="240"/>
        <w:jc w:val="both"/>
        <w:rPr>
          <w:rStyle w:val="Svakutheving"/>
          <w:b w:val="0"/>
          <w:sz w:val="22"/>
        </w:rPr>
      </w:pPr>
      <w:r w:rsidRPr="00197794">
        <w:rPr>
          <w:rStyle w:val="Svakutheving"/>
          <w:b w:val="0"/>
          <w:sz w:val="22"/>
        </w:rPr>
        <w:t xml:space="preserve">When describing alternative approaches the ESAs encourage stakeholders to consider how </w:t>
      </w:r>
      <w:r w:rsidR="004B1D0D">
        <w:rPr>
          <w:rStyle w:val="Svakutheving"/>
          <w:b w:val="0"/>
          <w:sz w:val="22"/>
        </w:rPr>
        <w:t xml:space="preserve">the </w:t>
      </w:r>
      <w:r w:rsidRPr="00197794">
        <w:rPr>
          <w:rStyle w:val="Svakutheving"/>
          <w:b w:val="0"/>
          <w:sz w:val="22"/>
        </w:rPr>
        <w:t>approach would achieve the aims of Regulation (EU) No 1286/2014</w:t>
      </w:r>
      <w:r w:rsidRPr="00197794">
        <w:rPr>
          <w:rStyle w:val="Svakutheving"/>
          <w:b w:val="0"/>
          <w:sz w:val="22"/>
        </w:rPr>
        <w:footnoteReference w:id="3"/>
      </w:r>
      <w:r w:rsidRPr="00197794">
        <w:rPr>
          <w:rStyle w:val="Svakutheving"/>
          <w:b w:val="0"/>
          <w:sz w:val="22"/>
        </w:rPr>
        <w:t xml:space="preserve"> (hereinafter “PRIIPs Regulation”). </w:t>
      </w:r>
    </w:p>
    <w:p w14:paraId="62803BA4" w14:textId="77777777" w:rsidR="00EC1154" w:rsidRDefault="00EC1154" w:rsidP="00AF38AF">
      <w:pPr>
        <w:rPr>
          <w:rStyle w:val="Svakutheving"/>
          <w:b w:val="0"/>
          <w:sz w:val="22"/>
        </w:rPr>
      </w:pPr>
    </w:p>
    <w:p w14:paraId="6A3CB03F" w14:textId="77777777" w:rsidR="009A3017" w:rsidRPr="00E40A5C" w:rsidRDefault="009A3017" w:rsidP="009A3017">
      <w:pPr>
        <w:spacing w:after="120"/>
        <w:jc w:val="both"/>
        <w:rPr>
          <w:rStyle w:val="Svakutheving"/>
          <w:sz w:val="22"/>
        </w:rPr>
      </w:pPr>
      <w:r w:rsidRPr="00E40A5C">
        <w:rPr>
          <w:rStyle w:val="Svakutheving"/>
          <w:sz w:val="22"/>
        </w:rPr>
        <w:t>Instructions</w:t>
      </w:r>
    </w:p>
    <w:p w14:paraId="6A3CB040" w14:textId="77777777" w:rsidR="009A3017" w:rsidRPr="00E40A5C" w:rsidRDefault="009A3017" w:rsidP="009A3017">
      <w:pPr>
        <w:spacing w:after="240"/>
        <w:jc w:val="both"/>
        <w:rPr>
          <w:rStyle w:val="Svakutheving"/>
          <w:b w:val="0"/>
          <w:sz w:val="22"/>
        </w:rPr>
      </w:pPr>
      <w:r w:rsidRPr="00E40A5C">
        <w:rPr>
          <w:rStyle w:val="Svakutheving"/>
          <w:b w:val="0"/>
          <w:sz w:val="22"/>
        </w:rPr>
        <w:t>In order to facilitate analysis of responses to the Consultation Paper, respondents are requested to follow the below steps when preparing and submitting their response:</w:t>
      </w:r>
    </w:p>
    <w:p w14:paraId="6A3CB041" w14:textId="77777777" w:rsidR="009A3017" w:rsidRPr="00E40A5C" w:rsidRDefault="009A3017" w:rsidP="00967674">
      <w:pPr>
        <w:pStyle w:val="Listeavsnitt"/>
        <w:numPr>
          <w:ilvl w:val="0"/>
          <w:numId w:val="37"/>
        </w:numPr>
        <w:spacing w:after="240" w:line="276" w:lineRule="auto"/>
        <w:ind w:left="567" w:hanging="567"/>
        <w:contextualSpacing w:val="0"/>
        <w:jc w:val="both"/>
        <w:rPr>
          <w:rStyle w:val="Svakutheving"/>
          <w:b w:val="0"/>
          <w:sz w:val="22"/>
        </w:rPr>
      </w:pPr>
      <w:r w:rsidRPr="00E40A5C">
        <w:rPr>
          <w:rStyle w:val="Svakutheving"/>
          <w:b w:val="0"/>
          <w:sz w:val="22"/>
        </w:rPr>
        <w:t xml:space="preserve">Insert your responses to the questions in the Consultation Paper in </w:t>
      </w:r>
      <w:r w:rsidR="00963D60">
        <w:rPr>
          <w:rStyle w:val="Svakutheving"/>
          <w:b w:val="0"/>
          <w:sz w:val="22"/>
        </w:rPr>
        <w:t>the present</w:t>
      </w:r>
      <w:r w:rsidR="00963D60" w:rsidRPr="00E40A5C">
        <w:rPr>
          <w:rStyle w:val="Svakutheving"/>
          <w:b w:val="0"/>
          <w:sz w:val="22"/>
        </w:rPr>
        <w:t xml:space="preserve"> </w:t>
      </w:r>
      <w:r w:rsidR="00315895">
        <w:rPr>
          <w:rStyle w:val="Svakutheving"/>
          <w:b w:val="0"/>
          <w:sz w:val="22"/>
        </w:rPr>
        <w:t xml:space="preserve">response </w:t>
      </w:r>
      <w:r w:rsidRPr="00E40A5C">
        <w:rPr>
          <w:rStyle w:val="Svakutheving"/>
          <w:b w:val="0"/>
          <w:sz w:val="22"/>
        </w:rPr>
        <w:t>form</w:t>
      </w:r>
      <w:r w:rsidR="00963D60">
        <w:rPr>
          <w:rStyle w:val="Svakutheving"/>
          <w:b w:val="0"/>
          <w:sz w:val="22"/>
        </w:rPr>
        <w:t>.</w:t>
      </w:r>
      <w:r w:rsidRPr="00E40A5C">
        <w:rPr>
          <w:rStyle w:val="Svakutheving"/>
          <w:b w:val="0"/>
          <w:sz w:val="22"/>
        </w:rPr>
        <w:t xml:space="preserve"> </w:t>
      </w:r>
    </w:p>
    <w:p w14:paraId="6A3CB042" w14:textId="71534174" w:rsidR="009A3017" w:rsidRPr="00E40A5C" w:rsidRDefault="009A3017" w:rsidP="00967674">
      <w:pPr>
        <w:pStyle w:val="Listeavsnitt"/>
        <w:numPr>
          <w:ilvl w:val="0"/>
          <w:numId w:val="37"/>
        </w:numPr>
        <w:spacing w:after="240" w:line="276" w:lineRule="auto"/>
        <w:ind w:left="567" w:hanging="567"/>
        <w:contextualSpacing w:val="0"/>
        <w:jc w:val="both"/>
        <w:rPr>
          <w:rStyle w:val="Svakutheving"/>
          <w:b w:val="0"/>
          <w:sz w:val="22"/>
        </w:rPr>
      </w:pPr>
      <w:r w:rsidRPr="00E40A5C">
        <w:rPr>
          <w:rStyle w:val="Svakutheving"/>
          <w:b w:val="0"/>
          <w:sz w:val="22"/>
        </w:rPr>
        <w:t>Please do not remove tags of the type &lt;ESA_QUESTION_</w:t>
      </w:r>
      <w:r w:rsidR="00197794">
        <w:rPr>
          <w:rStyle w:val="Svakutheving"/>
          <w:b w:val="0"/>
          <w:sz w:val="22"/>
        </w:rPr>
        <w:t>PKID</w:t>
      </w:r>
      <w:r w:rsidRPr="00E40A5C">
        <w:rPr>
          <w:rStyle w:val="Svakutheving"/>
          <w:b w:val="0"/>
          <w:sz w:val="22"/>
        </w:rPr>
        <w:t>_1&gt;. Your response to each question has to be framed by the two tags corresponding to the question.</w:t>
      </w:r>
    </w:p>
    <w:p w14:paraId="6A3CB043" w14:textId="77777777" w:rsidR="009A3017" w:rsidRPr="00E40A5C" w:rsidRDefault="009A3017" w:rsidP="00967674">
      <w:pPr>
        <w:pStyle w:val="Listeavsnitt"/>
        <w:numPr>
          <w:ilvl w:val="0"/>
          <w:numId w:val="37"/>
        </w:numPr>
        <w:spacing w:after="240" w:line="276" w:lineRule="auto"/>
        <w:ind w:left="567" w:hanging="567"/>
        <w:contextualSpacing w:val="0"/>
        <w:jc w:val="both"/>
        <w:rPr>
          <w:rStyle w:val="Svakutheving"/>
          <w:b w:val="0"/>
          <w:sz w:val="22"/>
        </w:rPr>
      </w:pPr>
      <w:r w:rsidRPr="00E40A5C">
        <w:rPr>
          <w:rStyle w:val="Svakutheving"/>
          <w:b w:val="0"/>
          <w:sz w:val="22"/>
        </w:rPr>
        <w:t>If you do not wish to respond to a given question, please do not delete it but simply leave the text “TYPE YOUR TEXT HERE” between the tags.</w:t>
      </w:r>
    </w:p>
    <w:p w14:paraId="6A3CB044" w14:textId="2A1B96E3" w:rsidR="009A3017" w:rsidRPr="00E40A5C" w:rsidRDefault="009A3017" w:rsidP="00967674">
      <w:pPr>
        <w:pStyle w:val="Listeavsnitt"/>
        <w:numPr>
          <w:ilvl w:val="0"/>
          <w:numId w:val="37"/>
        </w:numPr>
        <w:spacing w:after="240" w:line="276" w:lineRule="auto"/>
        <w:ind w:left="567" w:hanging="567"/>
        <w:contextualSpacing w:val="0"/>
        <w:jc w:val="both"/>
        <w:rPr>
          <w:rStyle w:val="Svakutheving"/>
          <w:b w:val="0"/>
          <w:sz w:val="22"/>
        </w:rPr>
      </w:pPr>
      <w:r w:rsidRPr="00E40A5C">
        <w:rPr>
          <w:rStyle w:val="Svakutheving"/>
          <w:b w:val="0"/>
          <w:sz w:val="22"/>
        </w:rPr>
        <w:t>When you have drafted your response, name your response form according to the following convention: ESA_</w:t>
      </w:r>
      <w:r w:rsidR="00197794">
        <w:rPr>
          <w:rStyle w:val="Svakutheving"/>
          <w:b w:val="0"/>
          <w:sz w:val="22"/>
        </w:rPr>
        <w:t>PKID</w:t>
      </w:r>
      <w:r w:rsidRPr="00E40A5C">
        <w:rPr>
          <w:rStyle w:val="Svakutheving"/>
          <w:b w:val="0"/>
          <w:sz w:val="22"/>
        </w:rPr>
        <w:t>_nameofrespondent_RESPONSEFORM. For example, for a respondent named ABCD, the response form would be entitled ESA_</w:t>
      </w:r>
      <w:r w:rsidR="00197794">
        <w:rPr>
          <w:rStyle w:val="Svakutheving"/>
          <w:b w:val="0"/>
          <w:sz w:val="22"/>
        </w:rPr>
        <w:t>PKID</w:t>
      </w:r>
      <w:r w:rsidRPr="00E40A5C">
        <w:rPr>
          <w:rStyle w:val="Svakutheving"/>
          <w:b w:val="0"/>
          <w:sz w:val="22"/>
        </w:rPr>
        <w:t>_ABCD_RESPONSEFORM.</w:t>
      </w:r>
    </w:p>
    <w:p w14:paraId="180C2205" w14:textId="7763E035" w:rsidR="00197794" w:rsidRPr="00197794" w:rsidRDefault="00197794" w:rsidP="00197794">
      <w:pPr>
        <w:pStyle w:val="Listeavsnitt"/>
        <w:numPr>
          <w:ilvl w:val="0"/>
          <w:numId w:val="37"/>
        </w:numPr>
        <w:spacing w:after="240" w:line="276" w:lineRule="auto"/>
        <w:ind w:left="567" w:hanging="567"/>
        <w:contextualSpacing w:val="0"/>
        <w:jc w:val="both"/>
        <w:rPr>
          <w:rStyle w:val="Svakutheving"/>
          <w:b w:val="0"/>
          <w:sz w:val="22"/>
        </w:rPr>
      </w:pPr>
      <w:r w:rsidRPr="00197794">
        <w:rPr>
          <w:rStyle w:val="Svakutheving"/>
          <w:b w:val="0"/>
          <w:sz w:val="22"/>
        </w:rPr>
        <w:lastRenderedPageBreak/>
        <w:t>The consultation paper is available on the websites of the three ESAs</w:t>
      </w:r>
      <w:r w:rsidR="00764042">
        <w:rPr>
          <w:rStyle w:val="Svakutheving"/>
          <w:b w:val="0"/>
          <w:sz w:val="22"/>
        </w:rPr>
        <w:t xml:space="preserve"> and the Joint Committee</w:t>
      </w:r>
      <w:r w:rsidRPr="00197794">
        <w:rPr>
          <w:rStyle w:val="Svakutheving"/>
          <w:b w:val="0"/>
          <w:sz w:val="22"/>
        </w:rPr>
        <w:t xml:space="preserve">. Comments on this consultation paper can be sent using the response form, via the </w:t>
      </w:r>
      <w:hyperlink r:id="rId19" w:history="1">
        <w:r w:rsidRPr="00197794">
          <w:rPr>
            <w:rStyle w:val="Hyperkobling"/>
            <w:rFonts w:cs="Arial"/>
            <w:sz w:val="22"/>
          </w:rPr>
          <w:t>ESMA website</w:t>
        </w:r>
      </w:hyperlink>
      <w:r w:rsidRPr="00197794">
        <w:rPr>
          <w:rStyle w:val="Svakutheving"/>
          <w:b w:val="0"/>
          <w:sz w:val="24"/>
        </w:rPr>
        <w:t xml:space="preserve"> </w:t>
      </w:r>
      <w:r w:rsidRPr="00197794">
        <w:rPr>
          <w:rStyle w:val="Svakutheving"/>
          <w:b w:val="0"/>
          <w:sz w:val="22"/>
        </w:rPr>
        <w:t xml:space="preserve">under the heading ‘Your input - Consultations’ by </w:t>
      </w:r>
      <w:r w:rsidRPr="00197794">
        <w:rPr>
          <w:rStyle w:val="Svakutheving"/>
          <w:sz w:val="22"/>
        </w:rPr>
        <w:t>13 January 2020</w:t>
      </w:r>
      <w:r w:rsidRPr="00197794">
        <w:rPr>
          <w:rStyle w:val="Svakutheving"/>
          <w:b w:val="0"/>
          <w:sz w:val="22"/>
        </w:rPr>
        <w:t>.</w:t>
      </w:r>
    </w:p>
    <w:p w14:paraId="2481E1E6" w14:textId="67CDDA3F" w:rsidR="00197794" w:rsidRDefault="00197794" w:rsidP="00197794">
      <w:pPr>
        <w:pStyle w:val="Listeavsnitt"/>
        <w:numPr>
          <w:ilvl w:val="0"/>
          <w:numId w:val="37"/>
        </w:numPr>
        <w:spacing w:after="240" w:line="276" w:lineRule="auto"/>
        <w:ind w:left="567" w:hanging="567"/>
        <w:contextualSpacing w:val="0"/>
        <w:jc w:val="both"/>
        <w:rPr>
          <w:rStyle w:val="Svakutheving"/>
          <w:b w:val="0"/>
          <w:sz w:val="22"/>
        </w:rPr>
      </w:pPr>
      <w:r w:rsidRPr="00197794">
        <w:rPr>
          <w:rStyle w:val="Svakutheving"/>
          <w:b w:val="0"/>
          <w:sz w:val="22"/>
        </w:rPr>
        <w:t>Contributions not provided in the template for comments, or after the deadline will not be processed.</w:t>
      </w:r>
    </w:p>
    <w:p w14:paraId="5F3A7F1F" w14:textId="77777777" w:rsidR="00197794" w:rsidRPr="00197794" w:rsidRDefault="00197794" w:rsidP="00197794">
      <w:pPr>
        <w:spacing w:after="240" w:line="276" w:lineRule="auto"/>
        <w:jc w:val="both"/>
        <w:rPr>
          <w:rStyle w:val="Svakutheving"/>
          <w:b w:val="0"/>
          <w:sz w:val="22"/>
        </w:rPr>
      </w:pPr>
    </w:p>
    <w:p w14:paraId="6A3CB046" w14:textId="77777777" w:rsidR="00210E59" w:rsidRPr="00210E59" w:rsidRDefault="00210E59" w:rsidP="00210E59">
      <w:pPr>
        <w:spacing w:after="120"/>
        <w:jc w:val="both"/>
        <w:rPr>
          <w:rStyle w:val="Svakutheving"/>
          <w:sz w:val="22"/>
        </w:rPr>
      </w:pPr>
      <w:r w:rsidRPr="00210E59">
        <w:rPr>
          <w:rStyle w:val="Svakutheving"/>
          <w:sz w:val="22"/>
        </w:rPr>
        <w:t>Publication of responses</w:t>
      </w:r>
    </w:p>
    <w:p w14:paraId="0B308639" w14:textId="77777777" w:rsidR="00197794" w:rsidRPr="00197794" w:rsidRDefault="00197794" w:rsidP="00197794">
      <w:pPr>
        <w:rPr>
          <w:sz w:val="22"/>
          <w:szCs w:val="22"/>
        </w:rPr>
      </w:pPr>
      <w:r w:rsidRPr="00197794">
        <w:rPr>
          <w:sz w:val="22"/>
          <w:szCs w:val="22"/>
        </w:rPr>
        <w:t>All contributions received will be published following the close of the consultation, unless you request otherwise in the respective field in the template for comments. A standard confidentiality statement in an email message will not be treated as a request for non-disclosure. A confidential response may be requested from us in accordance with ESAs rules on public access to documents. We may consult you if we receive such a request. Any decision we make not to disclose the response is reviewable by ESAs Board of Appeal and the European Ombudsman.</w:t>
      </w:r>
    </w:p>
    <w:p w14:paraId="0D1FEFE7" w14:textId="77777777" w:rsidR="00197794" w:rsidRDefault="00197794" w:rsidP="004E6AE4">
      <w:pPr>
        <w:rPr>
          <w:rStyle w:val="Svakutheving"/>
          <w:sz w:val="22"/>
          <w:lang w:eastAsia="en-GB"/>
        </w:rPr>
      </w:pPr>
    </w:p>
    <w:p w14:paraId="3561D6A6" w14:textId="77777777" w:rsidR="00197794" w:rsidRDefault="00197794" w:rsidP="004E6AE4">
      <w:pPr>
        <w:rPr>
          <w:rStyle w:val="Svakutheving"/>
          <w:sz w:val="22"/>
          <w:lang w:eastAsia="en-GB"/>
        </w:rPr>
      </w:pPr>
    </w:p>
    <w:p w14:paraId="6A3CB048" w14:textId="1D432EA9" w:rsidR="009A3017" w:rsidRPr="00E40A5C" w:rsidRDefault="009A3017" w:rsidP="004E6AE4">
      <w:pPr>
        <w:rPr>
          <w:rStyle w:val="Svakutheving"/>
          <w:sz w:val="22"/>
          <w:lang w:eastAsia="en-GB"/>
        </w:rPr>
      </w:pPr>
      <w:r w:rsidRPr="00E40A5C">
        <w:rPr>
          <w:rStyle w:val="Svakutheving"/>
          <w:sz w:val="22"/>
          <w:lang w:eastAsia="en-GB"/>
        </w:rPr>
        <w:t>Data protection</w:t>
      </w:r>
    </w:p>
    <w:p w14:paraId="56AA910E" w14:textId="77777777" w:rsidR="00197794" w:rsidRDefault="00197794" w:rsidP="00210E59">
      <w:pPr>
        <w:rPr>
          <w:sz w:val="22"/>
        </w:rPr>
      </w:pPr>
    </w:p>
    <w:p w14:paraId="5054EF54" w14:textId="656E48F9" w:rsidR="00197794" w:rsidRPr="00197794" w:rsidRDefault="00197794" w:rsidP="00210E59">
      <w:pPr>
        <w:rPr>
          <w:rFonts w:cs="Arial"/>
          <w:sz w:val="24"/>
        </w:rPr>
      </w:pPr>
      <w:r w:rsidRPr="00197794">
        <w:rPr>
          <w:rFonts w:cs="Arial"/>
          <w:sz w:val="22"/>
        </w:rPr>
        <w:t>The protection of individuals with regard to the processing of personal data by the ESAs is based on Regulation (EU) 2018/1725</w:t>
      </w:r>
      <w:r w:rsidRPr="00197794">
        <w:rPr>
          <w:rStyle w:val="Fotnotereferanse"/>
          <w:rFonts w:cs="Arial"/>
          <w:sz w:val="22"/>
        </w:rPr>
        <w:footnoteReference w:id="4"/>
      </w:r>
      <w:r w:rsidRPr="00197794">
        <w:rPr>
          <w:rFonts w:cs="Arial"/>
          <w:sz w:val="22"/>
        </w:rPr>
        <w:t xml:space="preserve">. Further information on data protection can be found under the </w:t>
      </w:r>
      <w:hyperlink r:id="rId20" w:history="1">
        <w:r w:rsidRPr="00197794">
          <w:rPr>
            <w:rStyle w:val="Hyperkobling"/>
            <w:rFonts w:cs="Arial"/>
            <w:sz w:val="22"/>
          </w:rPr>
          <w:t>Legal notice</w:t>
        </w:r>
      </w:hyperlink>
      <w:r w:rsidRPr="00197794">
        <w:rPr>
          <w:rFonts w:cs="Arial"/>
          <w:sz w:val="22"/>
        </w:rPr>
        <w:t xml:space="preserve"> section of the EBA website and under the </w:t>
      </w:r>
      <w:hyperlink r:id="rId21" w:history="1">
        <w:r w:rsidRPr="00197794">
          <w:rPr>
            <w:rStyle w:val="Hyperkobling"/>
            <w:rFonts w:cs="Arial"/>
            <w:sz w:val="22"/>
          </w:rPr>
          <w:t>Legal notice</w:t>
        </w:r>
      </w:hyperlink>
      <w:r w:rsidRPr="00197794">
        <w:rPr>
          <w:rFonts w:cs="Arial"/>
          <w:sz w:val="22"/>
        </w:rPr>
        <w:t xml:space="preserve"> section of the EIOPA website and under the </w:t>
      </w:r>
      <w:hyperlink r:id="rId22" w:history="1">
        <w:r w:rsidRPr="00197794">
          <w:rPr>
            <w:rStyle w:val="Hyperkobling"/>
            <w:rFonts w:cs="Arial"/>
            <w:sz w:val="22"/>
          </w:rPr>
          <w:t>Legal notice</w:t>
        </w:r>
      </w:hyperlink>
      <w:r w:rsidRPr="00197794">
        <w:rPr>
          <w:rFonts w:cs="Arial"/>
          <w:sz w:val="22"/>
        </w:rPr>
        <w:t xml:space="preserve"> section of the ESMA website.</w:t>
      </w:r>
    </w:p>
    <w:p w14:paraId="6A3CB04A" w14:textId="77777777" w:rsidR="00210E59" w:rsidRDefault="00210E59" w:rsidP="009A3017">
      <w:pPr>
        <w:spacing w:after="120"/>
        <w:jc w:val="both"/>
        <w:rPr>
          <w:rStyle w:val="Svakutheving"/>
          <w:sz w:val="22"/>
          <w:lang w:eastAsia="en-GB"/>
        </w:rPr>
      </w:pPr>
    </w:p>
    <w:bookmarkEnd w:id="0"/>
    <w:p w14:paraId="04AFE464" w14:textId="77777777" w:rsidR="002E4F86" w:rsidRPr="00EC1154" w:rsidRDefault="002E4F86" w:rsidP="00EC1154">
      <w:pPr>
        <w:rPr>
          <w:sz w:val="22"/>
        </w:rPr>
      </w:pPr>
    </w:p>
    <w:p w14:paraId="6A3CB04D" w14:textId="77777777" w:rsidR="00332304" w:rsidRDefault="00332304" w:rsidP="004E6AE4">
      <w:pPr>
        <w:rPr>
          <w:rFonts w:cs="Arial"/>
          <w:b/>
          <w:bCs/>
          <w:kern w:val="32"/>
          <w:sz w:val="24"/>
          <w:szCs w:val="32"/>
        </w:rPr>
      </w:pPr>
      <w:r>
        <w:br w:type="page"/>
      </w:r>
    </w:p>
    <w:p w14:paraId="6A3CB04E" w14:textId="77777777" w:rsidR="00B327E9" w:rsidRPr="00AB6D88" w:rsidRDefault="00B327E9" w:rsidP="00B327E9">
      <w:pPr>
        <w:pStyle w:val="Overskrift1"/>
        <w:numPr>
          <w:ilvl w:val="0"/>
          <w:numId w:val="0"/>
        </w:numPr>
      </w:pPr>
      <w:r w:rsidRPr="00AB6D88">
        <w:lastRenderedPageBreak/>
        <w:t>General information about respondent</w:t>
      </w:r>
    </w:p>
    <w:p w14:paraId="6A3CB04F" w14:textId="77777777" w:rsidR="00B327E9" w:rsidRDefault="00B327E9" w:rsidP="00B327E9">
      <w:pPr>
        <w:spacing w:after="120" w:line="264" w:lineRule="auto"/>
      </w:pPr>
    </w:p>
    <w:tbl>
      <w:tblPr>
        <w:tblW w:w="9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9"/>
        <w:gridCol w:w="5595"/>
      </w:tblGrid>
      <w:tr w:rsidR="00B327E9" w:rsidRPr="00AB6D88" w14:paraId="6A3CB052" w14:textId="77777777" w:rsidTr="003F3475">
        <w:tc>
          <w:tcPr>
            <w:tcW w:w="3929" w:type="dxa"/>
            <w:shd w:val="clear" w:color="auto" w:fill="auto"/>
          </w:tcPr>
          <w:p w14:paraId="6A3CB050" w14:textId="77777777" w:rsidR="00B327E9" w:rsidRPr="00E40A5C" w:rsidRDefault="00B327E9" w:rsidP="003F3475">
            <w:pPr>
              <w:rPr>
                <w:rFonts w:cs="Arial"/>
                <w:sz w:val="22"/>
              </w:rPr>
            </w:pPr>
            <w:permStart w:id="233722365" w:edGrp="everyone" w:colFirst="1" w:colLast="1"/>
            <w:r w:rsidRPr="00E40A5C">
              <w:rPr>
                <w:rFonts w:cs="Arial"/>
                <w:sz w:val="22"/>
              </w:rPr>
              <w:t>Name of the company / organisation</w:t>
            </w:r>
          </w:p>
        </w:tc>
        <w:sdt>
          <w:sdtPr>
            <w:rPr>
              <w:rStyle w:val="Plassholdertekst"/>
              <w:rFonts w:cs="Arial"/>
            </w:rPr>
            <w:id w:val="-1905066999"/>
            <w:text/>
          </w:sdtPr>
          <w:sdtContent>
            <w:tc>
              <w:tcPr>
                <w:tcW w:w="5595" w:type="dxa"/>
                <w:shd w:val="clear" w:color="auto" w:fill="auto"/>
              </w:tcPr>
              <w:p w14:paraId="6A3CB051" w14:textId="0EB133EC" w:rsidR="00B327E9" w:rsidRPr="00AB6D88" w:rsidRDefault="0056594B" w:rsidP="0056594B">
                <w:pPr>
                  <w:rPr>
                    <w:rStyle w:val="Plassholdertekst"/>
                    <w:rFonts w:cs="Arial"/>
                  </w:rPr>
                </w:pPr>
                <w:r>
                  <w:rPr>
                    <w:rStyle w:val="Plassholdertekst"/>
                    <w:rFonts w:cs="Arial"/>
                  </w:rPr>
                  <w:t>Norwegian Consumer Council</w:t>
                </w:r>
              </w:p>
            </w:tc>
          </w:sdtContent>
        </w:sdt>
      </w:tr>
      <w:tr w:rsidR="00B327E9" w:rsidRPr="00AB6D88" w14:paraId="6A3CB055" w14:textId="77777777" w:rsidTr="003F3475">
        <w:tc>
          <w:tcPr>
            <w:tcW w:w="3929" w:type="dxa"/>
            <w:shd w:val="clear" w:color="auto" w:fill="auto"/>
          </w:tcPr>
          <w:p w14:paraId="6A3CB053" w14:textId="77777777" w:rsidR="00B327E9" w:rsidRPr="00E40A5C" w:rsidRDefault="00B327E9" w:rsidP="003F3475">
            <w:pPr>
              <w:rPr>
                <w:rFonts w:cs="Arial"/>
                <w:sz w:val="22"/>
              </w:rPr>
            </w:pPr>
            <w:permStart w:id="804592539" w:edGrp="everyone" w:colFirst="1" w:colLast="1"/>
            <w:permEnd w:id="233722365"/>
            <w:r w:rsidRPr="00E40A5C">
              <w:rPr>
                <w:rFonts w:cs="Arial"/>
                <w:sz w:val="22"/>
              </w:rPr>
              <w:t>Activity</w:t>
            </w:r>
          </w:p>
        </w:tc>
        <w:tc>
          <w:tcPr>
            <w:tcW w:w="5595" w:type="dxa"/>
            <w:shd w:val="clear" w:color="auto" w:fill="auto"/>
          </w:tcPr>
          <w:p w14:paraId="6A3CB054" w14:textId="0E76E5E2" w:rsidR="00B327E9" w:rsidRPr="00AB6D88" w:rsidRDefault="00F10C88" w:rsidP="003F3475">
            <w:pPr>
              <w:rPr>
                <w:rFonts w:cs="Arial"/>
              </w:rPr>
            </w:pPr>
            <w:sdt>
              <w:sdtPr>
                <w:rPr>
                  <w:rFonts w:cs="Arial"/>
                </w:rPr>
                <w:alias w:val="Activity"/>
                <w:tag w:val="Activity"/>
                <w:id w:val="-476845391"/>
                <w:comboBox>
                  <w:listItem w:value="Choose an item."/>
                  <w:listItem w:displayText="Audit/Legal/Individual" w:value="Audit/Legal/Individual"/>
                  <w:listItem w:displayText="Banking sector" w:value="Banking sector"/>
                  <w:listItem w:displayText="Central Counterparty" w:value="Central Counterparty"/>
                  <w:listItem w:displayText="Government, Regulatory and Enforcement" w:value="Government, Regulatory and Enforcement"/>
                  <w:listItem w:displayText="Insurance and Pension" w:value="Insurance and Pension"/>
                  <w:listItem w:displayText="Investment Services" w:value="Investment Services"/>
                  <w:listItem w:displayText="Non-financial counterparty" w:value="Non-financial counterparty"/>
                  <w:listItem w:displayText="Regulated markets/Exchanges/Trading Systems" w:value="Regulated markets/Exchanges/Trading Systems"/>
                  <w:listItem w:displayText="Other Financial service providers" w:value="Other Financial service providers"/>
                </w:comboBox>
              </w:sdtPr>
              <w:sdtContent>
                <w:r w:rsidR="001632FF">
                  <w:rPr>
                    <w:rFonts w:cs="Arial"/>
                  </w:rPr>
                  <w:t>Non-financial counterparty</w:t>
                </w:r>
              </w:sdtContent>
            </w:sdt>
          </w:p>
        </w:tc>
      </w:tr>
      <w:tr w:rsidR="00B327E9" w:rsidRPr="00AB6D88" w14:paraId="6A3CB058" w14:textId="77777777" w:rsidTr="003F3475">
        <w:tc>
          <w:tcPr>
            <w:tcW w:w="3929" w:type="dxa"/>
            <w:shd w:val="clear" w:color="auto" w:fill="auto"/>
          </w:tcPr>
          <w:p w14:paraId="6A3CB056" w14:textId="77777777" w:rsidR="00B327E9" w:rsidRPr="00E40A5C" w:rsidRDefault="00B327E9" w:rsidP="003F3475">
            <w:pPr>
              <w:rPr>
                <w:rFonts w:cs="Arial"/>
                <w:sz w:val="22"/>
              </w:rPr>
            </w:pPr>
            <w:permStart w:id="925831249" w:edGrp="everyone" w:colFirst="1" w:colLast="1"/>
            <w:permEnd w:id="804592539"/>
            <w:r w:rsidRPr="00E40A5C">
              <w:rPr>
                <w:rFonts w:cs="Arial"/>
                <w:sz w:val="22"/>
              </w:rPr>
              <w:t>Are you representing an association?</w:t>
            </w:r>
          </w:p>
        </w:tc>
        <w:sdt>
          <w:sdtPr>
            <w:rPr>
              <w:rFonts w:cs="Arial"/>
            </w:rPr>
            <w:id w:val="-242871467"/>
            <w14:checkbox>
              <w14:checked w14:val="1"/>
              <w14:checkedState w14:val="2612" w14:font="MS Gothic"/>
              <w14:uncheckedState w14:val="2610" w14:font="MS Gothic"/>
            </w14:checkbox>
          </w:sdtPr>
          <w:sdtContent>
            <w:tc>
              <w:tcPr>
                <w:tcW w:w="5595" w:type="dxa"/>
                <w:shd w:val="clear" w:color="auto" w:fill="auto"/>
              </w:tcPr>
              <w:p w14:paraId="6A3CB057" w14:textId="2060BC79" w:rsidR="00B327E9" w:rsidRPr="00AB6D88" w:rsidRDefault="0056594B" w:rsidP="003F3475">
                <w:pPr>
                  <w:rPr>
                    <w:rFonts w:cs="Arial"/>
                  </w:rPr>
                </w:pPr>
                <w:r>
                  <w:rPr>
                    <w:rFonts w:ascii="MS Gothic" w:eastAsia="MS Gothic" w:hAnsi="MS Gothic" w:cs="Arial" w:hint="eastAsia"/>
                  </w:rPr>
                  <w:t>☒</w:t>
                </w:r>
              </w:p>
            </w:tc>
          </w:sdtContent>
        </w:sdt>
      </w:tr>
      <w:tr w:rsidR="00B327E9" w:rsidRPr="00AB6D88" w14:paraId="6A3CB05B" w14:textId="77777777" w:rsidTr="003F3475">
        <w:tc>
          <w:tcPr>
            <w:tcW w:w="3929" w:type="dxa"/>
            <w:shd w:val="clear" w:color="auto" w:fill="auto"/>
          </w:tcPr>
          <w:p w14:paraId="6A3CB059" w14:textId="77777777" w:rsidR="00B327E9" w:rsidRPr="00E40A5C" w:rsidRDefault="00B327E9" w:rsidP="003F3475">
            <w:pPr>
              <w:rPr>
                <w:rFonts w:cs="Arial"/>
                <w:sz w:val="22"/>
              </w:rPr>
            </w:pPr>
            <w:permStart w:id="1842894382" w:edGrp="everyone" w:colFirst="1" w:colLast="1"/>
            <w:permEnd w:id="925831249"/>
            <w:r w:rsidRPr="00E40A5C">
              <w:rPr>
                <w:rFonts w:cs="Arial"/>
                <w:sz w:val="22"/>
              </w:rPr>
              <w:t>Country/Region</w:t>
            </w:r>
          </w:p>
        </w:tc>
        <w:sdt>
          <w:sdtPr>
            <w:rPr>
              <w:rFonts w:cs="Arial"/>
            </w:rPr>
            <w:alias w:val="Country"/>
            <w:tag w:val="Country"/>
            <w:id w:val="-403371040"/>
            <w:comboBox>
              <w:listItem w:value="Choose an item."/>
              <w:listItem w:displayText="Europe" w:value="Europe"/>
              <w:listItem w:displayText="Asia-Pacific" w:value="Asia-Pacific"/>
              <w:listItem w:displayText="North-America" w:value="North-America"/>
              <w:listItem w:displayText="International" w:value="International"/>
              <w:listItem w:displayText="Austria" w:value="Austria"/>
              <w:listItem w:displayText="Belgium" w:value="Belgium"/>
              <w:listItem w:displayText="Bulgaria" w:value="Bulgaria"/>
              <w:listItem w:displayText="Croatia" w:value="Croatia"/>
              <w:listItem w:displayText="Cyprus" w:value="Cyprus"/>
              <w:listItem w:displayText="Czech Republic" w:value="Czech Republic"/>
              <w:listItem w:displayText="Germany" w:value="Germany"/>
              <w:listItem w:displayText="Denmark" w:value="Denmark"/>
              <w:listItem w:displayText="Estonia" w:value="Estonia"/>
              <w:listItem w:displayText="Greece" w:value="Greece"/>
              <w:listItem w:displayText="Spain" w:value="Spain"/>
              <w:listItem w:displayText="Finland" w:value="Finland"/>
              <w:listItem w:displayText="France" w:value="France"/>
              <w:listItem w:displayText="Hungary" w:value="Hungary"/>
              <w:listItem w:displayText="Iceland" w:value="Iceland"/>
              <w:listItem w:displayText="Ireland" w:value="Ireland"/>
              <w:listItem w:displayText="Italy" w:value="Italy"/>
              <w:listItem w:displayText="Lichtenstein" w:value="Lichtenstein"/>
              <w:listItem w:displayText="Lithuania" w:value="Lithuania"/>
              <w:listItem w:displayText="Luxembourg" w:value="Luxembourg"/>
              <w:listItem w:displayText="Malta" w:value="Malta"/>
              <w:listItem w:displayText="Norway" w:value="Norway"/>
              <w:listItem w:displayText="Netherlands" w:value="Netherlands"/>
              <w:listItem w:displayText="Poland" w:value="Poland"/>
              <w:listItem w:displayText="Portugal" w:value="Portugal"/>
              <w:listItem w:displayText="Romania" w:value="Romania"/>
              <w:listItem w:displayText="Slovakia" w:value="Slovakia"/>
              <w:listItem w:displayText="Slovenia" w:value="Slovenia"/>
              <w:listItem w:displayText="Sweden" w:value="Sweden"/>
              <w:listItem w:displayText="Switzerland" w:value="Switzerland"/>
              <w:listItem w:displayText="UK" w:value="UK"/>
              <w:listItem w:displayText="Other" w:value="Other"/>
            </w:comboBox>
          </w:sdtPr>
          <w:sdtContent>
            <w:tc>
              <w:tcPr>
                <w:tcW w:w="5595" w:type="dxa"/>
                <w:shd w:val="clear" w:color="auto" w:fill="auto"/>
              </w:tcPr>
              <w:p w14:paraId="6A3CB05A" w14:textId="5453504C" w:rsidR="00B327E9" w:rsidRPr="00AB6D88" w:rsidRDefault="0056594B" w:rsidP="003F3475">
                <w:pPr>
                  <w:rPr>
                    <w:rFonts w:cs="Arial"/>
                  </w:rPr>
                </w:pPr>
                <w:r>
                  <w:rPr>
                    <w:rFonts w:cs="Arial"/>
                  </w:rPr>
                  <w:t>Norway</w:t>
                </w:r>
              </w:p>
            </w:tc>
          </w:sdtContent>
        </w:sdt>
      </w:tr>
      <w:permEnd w:id="1842894382"/>
    </w:tbl>
    <w:p w14:paraId="6A3CB05C" w14:textId="77777777" w:rsidR="00B327E9" w:rsidRDefault="00B327E9" w:rsidP="00B327E9">
      <w:pPr>
        <w:spacing w:after="120" w:line="264" w:lineRule="auto"/>
      </w:pPr>
    </w:p>
    <w:p w14:paraId="6A3CB05D" w14:textId="77777777" w:rsidR="00B327E9" w:rsidRDefault="00B327E9" w:rsidP="00B327E9">
      <w:pPr>
        <w:pStyle w:val="Overskrift1"/>
        <w:numPr>
          <w:ilvl w:val="0"/>
          <w:numId w:val="0"/>
        </w:numPr>
        <w:ind w:left="431" w:hanging="431"/>
      </w:pPr>
      <w:r>
        <w:t>Introduction</w:t>
      </w:r>
    </w:p>
    <w:p w14:paraId="6A3CB05E" w14:textId="77777777" w:rsidR="00B327E9" w:rsidRPr="00E40A5C" w:rsidRDefault="00B327E9" w:rsidP="00B327E9">
      <w:pPr>
        <w:rPr>
          <w:rStyle w:val="Sterkutheving"/>
          <w:sz w:val="22"/>
        </w:rPr>
      </w:pPr>
      <w:r w:rsidRPr="00E40A5C">
        <w:rPr>
          <w:rStyle w:val="Sterkutheving"/>
          <w:sz w:val="22"/>
        </w:rPr>
        <w:t>Please make your introductory comments below, if any:</w:t>
      </w:r>
    </w:p>
    <w:p w14:paraId="6A3CB05F" w14:textId="77777777" w:rsidR="00B327E9" w:rsidRPr="00BF28DA" w:rsidRDefault="00B327E9" w:rsidP="00B327E9"/>
    <w:p w14:paraId="6A3CB060" w14:textId="289956E2" w:rsidR="00B327E9" w:rsidRPr="006F4535" w:rsidRDefault="00B327E9" w:rsidP="00B327E9">
      <w:r w:rsidRPr="006F4535">
        <w:t>&lt;ESA_COMMENT_</w:t>
      </w:r>
      <w:r w:rsidR="00197794">
        <w:rPr>
          <w:rStyle w:val="Svakutheving"/>
          <w:b w:val="0"/>
          <w:sz w:val="22"/>
        </w:rPr>
        <w:t>PKID</w:t>
      </w:r>
      <w:r w:rsidRPr="006F4535">
        <w:t>_1&gt;</w:t>
      </w:r>
    </w:p>
    <w:p w14:paraId="172400AB" w14:textId="77777777" w:rsidR="00C80866" w:rsidRDefault="001632FF" w:rsidP="004E003D">
      <w:permStart w:id="411981036" w:edGrp="everyone"/>
      <w:r w:rsidRPr="001632FF">
        <w:t>The Norwegian Consumer Council</w:t>
      </w:r>
      <w:r>
        <w:t xml:space="preserve"> is an independent organization who has represented Norwegian </w:t>
      </w:r>
      <w:proofErr w:type="gramStart"/>
      <w:r>
        <w:t>consumers</w:t>
      </w:r>
      <w:proofErr w:type="gramEnd"/>
      <w:r>
        <w:t xml:space="preserve"> interest since 1952. The consumer council had a </w:t>
      </w:r>
      <w:r w:rsidRPr="001632FF">
        <w:t xml:space="preserve">crucial </w:t>
      </w:r>
      <w:r>
        <w:t xml:space="preserve">role in </w:t>
      </w:r>
      <w:r w:rsidR="00F86911">
        <w:t xml:space="preserve">the </w:t>
      </w:r>
      <w:r w:rsidR="00F86911" w:rsidRPr="00F86911">
        <w:t xml:space="preserve">clearance </w:t>
      </w:r>
      <w:r w:rsidR="00F86911">
        <w:t xml:space="preserve">work that followed a decade of </w:t>
      </w:r>
      <w:proofErr w:type="spellStart"/>
      <w:r w:rsidR="00F86911">
        <w:t>misselling</w:t>
      </w:r>
      <w:proofErr w:type="spellEnd"/>
      <w:r w:rsidR="00F86911">
        <w:t xml:space="preserve"> structural products in Norway by providing </w:t>
      </w:r>
      <w:r w:rsidR="00F86911" w:rsidRPr="00F86911">
        <w:t xml:space="preserve">judicial </w:t>
      </w:r>
      <w:r w:rsidR="00F86911">
        <w:t>clarity about the consumer rights in matters of complex package</w:t>
      </w:r>
      <w:r w:rsidR="00C80866">
        <w:t>d</w:t>
      </w:r>
      <w:r w:rsidR="00F86911">
        <w:t xml:space="preserve"> retail investment products by several legal proceedings. </w:t>
      </w:r>
    </w:p>
    <w:p w14:paraId="486F4FFF" w14:textId="77777777" w:rsidR="00C80866" w:rsidRDefault="00F86911" w:rsidP="004E003D">
      <w:r>
        <w:t xml:space="preserve">The supreme court in Norway </w:t>
      </w:r>
      <w:r w:rsidRPr="00F86911">
        <w:t>pronounce</w:t>
      </w:r>
      <w:r w:rsidR="00C80866">
        <w:t>d</w:t>
      </w:r>
      <w:r>
        <w:t xml:space="preserve"> the verdict in the </w:t>
      </w:r>
      <w:proofErr w:type="spellStart"/>
      <w:r>
        <w:t>Roeggen</w:t>
      </w:r>
      <w:proofErr w:type="spellEnd"/>
      <w:r>
        <w:t xml:space="preserve">-case in 2013 making it clear that DNB - the largest bank in Norway </w:t>
      </w:r>
      <w:r w:rsidR="004E003D">
        <w:t>–</w:t>
      </w:r>
      <w:r>
        <w:t xml:space="preserve"> </w:t>
      </w:r>
      <w:r w:rsidR="004E003D">
        <w:t>that “[125]</w:t>
      </w:r>
      <w:r w:rsidR="00C80866">
        <w:t>:</w:t>
      </w:r>
    </w:p>
    <w:p w14:paraId="22E5CE1E" w14:textId="0F64E9C1" w:rsidR="007D797E" w:rsidRDefault="004E003D" w:rsidP="004E003D">
      <w:r>
        <w:rPr>
          <w:i/>
        </w:rPr>
        <w:t>T</w:t>
      </w:r>
      <w:r w:rsidRPr="004E003D">
        <w:rPr>
          <w:i/>
        </w:rPr>
        <w:t xml:space="preserve">he bank's disclosure obligation </w:t>
      </w:r>
      <w:proofErr w:type="gramStart"/>
      <w:r w:rsidRPr="004E003D">
        <w:rPr>
          <w:i/>
        </w:rPr>
        <w:t>must […] be evaluated</w:t>
      </w:r>
      <w:proofErr w:type="gramEnd"/>
      <w:r w:rsidRPr="004E003D">
        <w:rPr>
          <w:i/>
        </w:rPr>
        <w:t xml:space="preserve"> strictly. It does not mean a requirement that all conceivable situations </w:t>
      </w:r>
      <w:proofErr w:type="gramStart"/>
      <w:r w:rsidRPr="004E003D">
        <w:rPr>
          <w:i/>
        </w:rPr>
        <w:t>must be described</w:t>
      </w:r>
      <w:proofErr w:type="gramEnd"/>
      <w:r w:rsidRPr="004E003D">
        <w:rPr>
          <w:i/>
        </w:rPr>
        <w:t>. But in the sale of risky and complex products to non-professional investors, the bank must assure itself that the customer understands the content of the transaction he is entering into, and not provide misleading or erroneous information about important circumstances of significance for the investment decision</w:t>
      </w:r>
      <w:r>
        <w:t>”. The verdict also states “[128]</w:t>
      </w:r>
      <w:r w:rsidR="002D5D0A">
        <w:t xml:space="preserve"> … </w:t>
      </w:r>
      <w:r w:rsidR="002D5D0A" w:rsidRPr="002D5D0A">
        <w:rPr>
          <w:i/>
        </w:rPr>
        <w:t>the bank has a responsibility to provide correct, level-headed and realistic information when it enters into agreements with small savers and inexperienced investors. The bank should have, as the professional party, emphasised to a greater degree that continued uninterrupted and strong growth in the stock market was an uncertain scenario, and not satisfied itself with noting this in small type in the prospectus. Moreover, the bank should have – in marketing complicated products such as this – explained the risk with the products and the consequences of debt-financing in a way that was suited to non-professional investors</w:t>
      </w:r>
      <w:r w:rsidR="002D5D0A" w:rsidRPr="002D5D0A">
        <w:t>.</w:t>
      </w:r>
      <w:r>
        <w:t>”</w:t>
      </w:r>
    </w:p>
    <w:p w14:paraId="2D6843B1" w14:textId="77777777" w:rsidR="00C80866" w:rsidRDefault="00C80866" w:rsidP="004E003D"/>
    <w:p w14:paraId="162EF232" w14:textId="1730E4B4" w:rsidR="00575622" w:rsidRDefault="002D5D0A" w:rsidP="00575622">
      <w:r>
        <w:t xml:space="preserve">We attach two </w:t>
      </w:r>
      <w:r w:rsidR="00C80866">
        <w:t xml:space="preserve">translated </w:t>
      </w:r>
      <w:r>
        <w:t xml:space="preserve">verdicts from the </w:t>
      </w:r>
      <w:proofErr w:type="spellStart"/>
      <w:r>
        <w:t>Roeggen</w:t>
      </w:r>
      <w:proofErr w:type="spellEnd"/>
      <w:r>
        <w:t>–case (Supreme Court and City Court) in our response to this hearing.</w:t>
      </w:r>
      <w:r w:rsidR="00C80866">
        <w:t xml:space="preserve"> They underscore the importance of not caving in to the demands of manufacturers of complex structured products to simplify disclosure requirements.</w:t>
      </w:r>
    </w:p>
    <w:p w14:paraId="49C295D9" w14:textId="77777777" w:rsidR="00C80866" w:rsidRDefault="00C80866" w:rsidP="00575622"/>
    <w:p w14:paraId="04A9CCED" w14:textId="36600F29" w:rsidR="00466DA4" w:rsidRDefault="00466DA4" w:rsidP="00575622">
      <w:r>
        <w:t xml:space="preserve">The </w:t>
      </w:r>
      <w:proofErr w:type="gramStart"/>
      <w:r w:rsidR="00CD541B">
        <w:t>wide-spread</w:t>
      </w:r>
      <w:proofErr w:type="gramEnd"/>
      <w:r w:rsidR="00CD541B">
        <w:t xml:space="preserve"> </w:t>
      </w:r>
      <w:proofErr w:type="spellStart"/>
      <w:r>
        <w:t>mis</w:t>
      </w:r>
      <w:proofErr w:type="spellEnd"/>
      <w:r>
        <w:t>-sell</w:t>
      </w:r>
      <w:r w:rsidR="00CD541B">
        <w:t>ing</w:t>
      </w:r>
      <w:r>
        <w:t xml:space="preserve"> scandals of structured products in Norway in mid two-thousands </w:t>
      </w:r>
      <w:r w:rsidR="00CD541B">
        <w:t xml:space="preserve">also </w:t>
      </w:r>
      <w:r>
        <w:t xml:space="preserve">resulted in a national detailed regulation </w:t>
      </w:r>
      <w:r w:rsidR="00CD541B">
        <w:t>on</w:t>
      </w:r>
      <w:r>
        <w:t xml:space="preserve"> structured products. Th</w:t>
      </w:r>
      <w:r w:rsidR="00CD541B">
        <w:t xml:space="preserve">e </w:t>
      </w:r>
      <w:r>
        <w:t xml:space="preserve">regulation </w:t>
      </w:r>
      <w:proofErr w:type="gramStart"/>
      <w:r>
        <w:t>was made</w:t>
      </w:r>
      <w:proofErr w:type="gramEnd"/>
      <w:r>
        <w:t xml:space="preserve"> </w:t>
      </w:r>
      <w:r w:rsidR="00CD541B">
        <w:t>in fellowship of the ministry of finance and consumer advocat</w:t>
      </w:r>
      <w:r w:rsidR="00A65227">
        <w:t>e</w:t>
      </w:r>
      <w:r w:rsidR="00CD541B">
        <w:t xml:space="preserve">s in NCC and is available at </w:t>
      </w:r>
      <w:hyperlink r:id="rId23" w:history="1">
        <w:r w:rsidR="00CD541B" w:rsidRPr="00B26773">
          <w:rPr>
            <w:rStyle w:val="Hyperkobling"/>
          </w:rPr>
          <w:t>https://lovdata.no/</w:t>
        </w:r>
        <w:proofErr w:type="spellStart"/>
        <w:r w:rsidR="00CD541B" w:rsidRPr="00B26773">
          <w:rPr>
            <w:rStyle w:val="Hyperkobling"/>
          </w:rPr>
          <w:t>forskrift</w:t>
        </w:r>
        <w:proofErr w:type="spellEnd"/>
        <w:r w:rsidR="00CD541B" w:rsidRPr="00B26773">
          <w:rPr>
            <w:rStyle w:val="Hyperkobling"/>
          </w:rPr>
          <w:t>/2016-12-09-1502/§16-2</w:t>
        </w:r>
      </w:hyperlink>
      <w:r w:rsidR="00CD541B">
        <w:t xml:space="preserve"> (Norwegian only). </w:t>
      </w:r>
    </w:p>
    <w:p w14:paraId="53E0CE13" w14:textId="77777777" w:rsidR="00A65227" w:rsidRDefault="00A65227" w:rsidP="00575622"/>
    <w:p w14:paraId="44DDD9F8" w14:textId="6376F286" w:rsidR="00A65227" w:rsidRPr="00575622" w:rsidRDefault="00A65227" w:rsidP="00575622">
      <w:r>
        <w:t xml:space="preserve">The regulation and the </w:t>
      </w:r>
      <w:proofErr w:type="spellStart"/>
      <w:r>
        <w:t>Roeggen</w:t>
      </w:r>
      <w:proofErr w:type="spellEnd"/>
      <w:r>
        <w:t xml:space="preserve">-verdict together has </w:t>
      </w:r>
      <w:r w:rsidRPr="00A65227">
        <w:t>effectively</w:t>
      </w:r>
      <w:r>
        <w:t xml:space="preserve"> prevented further </w:t>
      </w:r>
      <w:proofErr w:type="spellStart"/>
      <w:r>
        <w:t>misselling</w:t>
      </w:r>
      <w:proofErr w:type="spellEnd"/>
      <w:r>
        <w:t xml:space="preserve"> of structured products in Norway but also many other complex investment products. The coming </w:t>
      </w:r>
      <w:r w:rsidR="00C80866">
        <w:t xml:space="preserve">changes of the European PRIIPs and KID </w:t>
      </w:r>
      <w:r>
        <w:t xml:space="preserve">regulation must not </w:t>
      </w:r>
      <w:r w:rsidR="00C80866">
        <w:t>undermine</w:t>
      </w:r>
      <w:r>
        <w:t xml:space="preserve"> the </w:t>
      </w:r>
      <w:r w:rsidR="00C80866">
        <w:t xml:space="preserve">hard fought improvements in </w:t>
      </w:r>
      <w:proofErr w:type="gramStart"/>
      <w:r w:rsidR="00C80866">
        <w:t>investors</w:t>
      </w:r>
      <w:proofErr w:type="gramEnd"/>
      <w:r w:rsidR="00C80866">
        <w:t xml:space="preserve"> protections from often needlessly complex financial products.</w:t>
      </w:r>
      <w:r>
        <w:t xml:space="preserve">  </w:t>
      </w:r>
    </w:p>
    <w:p w14:paraId="220E204A" w14:textId="77777777" w:rsidR="00575622" w:rsidRDefault="00575622" w:rsidP="00575622"/>
    <w:p w14:paraId="4CE3A19F" w14:textId="77777777" w:rsidR="00CC606D" w:rsidRPr="00575622" w:rsidRDefault="00CC606D" w:rsidP="00CC606D">
      <w:r w:rsidRPr="00575622">
        <w:rPr>
          <w:iCs/>
        </w:rPr>
        <w:t xml:space="preserve">After reading through </w:t>
      </w:r>
      <w:proofErr w:type="gramStart"/>
      <w:r w:rsidRPr="00575622">
        <w:rPr>
          <w:iCs/>
        </w:rPr>
        <w:t>the  proposal</w:t>
      </w:r>
      <w:proofErr w:type="gramEnd"/>
      <w:r w:rsidRPr="00575622">
        <w:rPr>
          <w:iCs/>
        </w:rPr>
        <w:t xml:space="preserve"> we get an impression that the manufacturers of complex structured products find it difficult to compute the various mandated scenarios. A number of questions therefor ask whether to simplify the disclosure for these types of investment products. We believe this may lead the KID down a slippery slope.</w:t>
      </w:r>
    </w:p>
    <w:p w14:paraId="53BC3191" w14:textId="77777777" w:rsidR="00CC606D" w:rsidRPr="00575622" w:rsidRDefault="00CC606D" w:rsidP="00CC606D"/>
    <w:p w14:paraId="75C67B96" w14:textId="77777777" w:rsidR="00CC606D" w:rsidRPr="00575622" w:rsidRDefault="00CC606D" w:rsidP="00CC606D">
      <w:r w:rsidRPr="00575622">
        <w:rPr>
          <w:iCs/>
        </w:rPr>
        <w:t xml:space="preserve">Firstly, </w:t>
      </w:r>
      <w:proofErr w:type="gramStart"/>
      <w:r w:rsidRPr="00575622">
        <w:rPr>
          <w:iCs/>
        </w:rPr>
        <w:t>it’s the manufacturers themselves who</w:t>
      </w:r>
      <w:proofErr w:type="gramEnd"/>
      <w:r w:rsidRPr="00575622">
        <w:rPr>
          <w:iCs/>
        </w:rPr>
        <w:t xml:space="preserve"> create these products and present them as useful investment tools for investors. Compared to typical UCITS funds that are relatively straightforward to understand, structured products tend to be opaque and difficult to understand </w:t>
      </w:r>
      <w:proofErr w:type="gramStart"/>
      <w:r w:rsidRPr="00575622">
        <w:rPr>
          <w:iCs/>
        </w:rPr>
        <w:t>both with regard to</w:t>
      </w:r>
      <w:proofErr w:type="gramEnd"/>
      <w:r w:rsidRPr="00575622">
        <w:rPr>
          <w:iCs/>
        </w:rPr>
        <w:t xml:space="preserve"> implicit cost elements, expected return and variability of outcomes. </w:t>
      </w:r>
    </w:p>
    <w:p w14:paraId="5A80299E" w14:textId="77777777" w:rsidR="00CC606D" w:rsidRPr="00575622" w:rsidRDefault="00CC606D" w:rsidP="00CC606D"/>
    <w:p w14:paraId="01C9839F" w14:textId="77777777" w:rsidR="00CC606D" w:rsidRPr="00575622" w:rsidRDefault="00CC606D" w:rsidP="00CC606D">
      <w:r w:rsidRPr="00575622">
        <w:rPr>
          <w:iCs/>
        </w:rPr>
        <w:lastRenderedPageBreak/>
        <w:t xml:space="preserve">Secondly, if the manufacturers themselves are unable to model various scenarios we can only begin to imagine how hard it is for retail investors to understand the products. </w:t>
      </w:r>
      <w:proofErr w:type="gramStart"/>
      <w:r w:rsidRPr="00575622">
        <w:rPr>
          <w:iCs/>
        </w:rPr>
        <w:t>Thus</w:t>
      </w:r>
      <w:proofErr w:type="gramEnd"/>
      <w:r w:rsidRPr="00575622">
        <w:rPr>
          <w:iCs/>
        </w:rPr>
        <w:t xml:space="preserve"> the impetus should not be to simplify the manufacturing process for these products to make life simpler for the suppliers. The point is to make the products understandable for retail investors. If the manufacturers are unable to model the required KID </w:t>
      </w:r>
      <w:proofErr w:type="gramStart"/>
      <w:r w:rsidRPr="00575622">
        <w:rPr>
          <w:iCs/>
        </w:rPr>
        <w:t>scenarios</w:t>
      </w:r>
      <w:proofErr w:type="gramEnd"/>
      <w:r w:rsidRPr="00575622">
        <w:rPr>
          <w:iCs/>
        </w:rPr>
        <w:t xml:space="preserve"> they should not sell these products in the first place. </w:t>
      </w:r>
    </w:p>
    <w:p w14:paraId="2ACB097C" w14:textId="77777777" w:rsidR="00CC606D" w:rsidRPr="00575622" w:rsidRDefault="00CC606D" w:rsidP="00CC606D"/>
    <w:p w14:paraId="4A379FA8" w14:textId="77777777" w:rsidR="00CC606D" w:rsidRPr="00575622" w:rsidRDefault="00CC606D" w:rsidP="00CC606D">
      <w:r w:rsidRPr="00575622">
        <w:rPr>
          <w:iCs/>
        </w:rPr>
        <w:t xml:space="preserve">Therefore, the Norwegian Consumer Council would like to point out that it is important to conduct a thorough consumer testing study, in order to get valuable insight from non-professional retail financial consumers on how the information in the KID </w:t>
      </w:r>
      <w:proofErr w:type="gramStart"/>
      <w:r w:rsidRPr="00575622">
        <w:rPr>
          <w:iCs/>
        </w:rPr>
        <w:t>should be presented</w:t>
      </w:r>
      <w:proofErr w:type="gramEnd"/>
      <w:r w:rsidRPr="00575622">
        <w:rPr>
          <w:iCs/>
        </w:rPr>
        <w:t xml:space="preserve">. </w:t>
      </w:r>
    </w:p>
    <w:p w14:paraId="52F4D70F" w14:textId="77777777" w:rsidR="00CC606D" w:rsidRPr="00575622" w:rsidRDefault="00CC606D" w:rsidP="00CC606D"/>
    <w:p w14:paraId="15EB2AED" w14:textId="77777777" w:rsidR="00CC606D" w:rsidRPr="00575622" w:rsidRDefault="00CC606D" w:rsidP="00CC606D">
      <w:r w:rsidRPr="00575622">
        <w:rPr>
          <w:iCs/>
        </w:rPr>
        <w:t xml:space="preserve">A reduction in supply of structured financial products does not equate to a loss for humanity. If history gives pointers to the future a disconcertingly high share of these products </w:t>
      </w:r>
      <w:proofErr w:type="gramStart"/>
      <w:r w:rsidRPr="00575622">
        <w:rPr>
          <w:iCs/>
        </w:rPr>
        <w:t>are deliberately created</w:t>
      </w:r>
      <w:proofErr w:type="gramEnd"/>
      <w:r w:rsidRPr="00575622">
        <w:rPr>
          <w:iCs/>
        </w:rPr>
        <w:t xml:space="preserve"> in order to obfuscate the true cost and return properties for retail investors. To its </w:t>
      </w:r>
      <w:proofErr w:type="gramStart"/>
      <w:r w:rsidRPr="00575622">
        <w:rPr>
          <w:iCs/>
        </w:rPr>
        <w:t>credit</w:t>
      </w:r>
      <w:proofErr w:type="gramEnd"/>
      <w:r w:rsidRPr="00575622">
        <w:rPr>
          <w:iCs/>
        </w:rPr>
        <w:t xml:space="preserve"> the PRIIPs KID regulation has put the real return characteristics of these products on display. We expect the result is either a reduction in demand or improvements in terms to the benefit of the investors. It would be paradoxical to loosen the disclosure requirement just because they are working as intended.</w:t>
      </w:r>
    </w:p>
    <w:p w14:paraId="4AE4F6FA" w14:textId="77777777" w:rsidR="00CC606D" w:rsidRPr="00575622" w:rsidRDefault="00CC606D" w:rsidP="00575622"/>
    <w:p w14:paraId="12F96C3C" w14:textId="4DEF88A4" w:rsidR="00575622" w:rsidRPr="00575622" w:rsidRDefault="00CC606D" w:rsidP="00575622">
      <w:r>
        <w:rPr>
          <w:iCs/>
        </w:rPr>
        <w:t>Overall, t</w:t>
      </w:r>
      <w:r w:rsidR="00575622" w:rsidRPr="00575622">
        <w:rPr>
          <w:iCs/>
        </w:rPr>
        <w:t xml:space="preserve">he aim of the PRIIPs Key Information Document (KID) must be to ensure that retail financial consumers receive relevant information in an understandable and standardised form about the financial product, including clear and appropriate guidance and risk warnings associated with the investment, so that consumers are able to make informed investment decisions. The PRIIPs KID is important in order to understand the specific investment product, but also in order to compare various investments. It is important that the total cost (price) that retail financial consumers can expect to pay </w:t>
      </w:r>
      <w:proofErr w:type="gramStart"/>
      <w:r w:rsidR="00575622" w:rsidRPr="00575622">
        <w:rPr>
          <w:iCs/>
        </w:rPr>
        <w:t>must be very clearly stated</w:t>
      </w:r>
      <w:proofErr w:type="gramEnd"/>
      <w:r w:rsidR="00575622" w:rsidRPr="00575622">
        <w:rPr>
          <w:iCs/>
        </w:rPr>
        <w:t xml:space="preserve"> in the KID. </w:t>
      </w:r>
    </w:p>
    <w:p w14:paraId="05B9F9DD" w14:textId="77777777" w:rsidR="00575622" w:rsidRPr="00575622" w:rsidRDefault="00575622" w:rsidP="00575622"/>
    <w:p w14:paraId="4AB35260" w14:textId="77777777" w:rsidR="00575622" w:rsidRPr="00575622" w:rsidRDefault="00575622" w:rsidP="00575622">
      <w:r w:rsidRPr="00575622">
        <w:rPr>
          <w:iCs/>
        </w:rPr>
        <w:t>The proposed regulation involves imposing important requirements for investment product manufacturers to prepare a mandatory KID in a standardised format. Any KID must explain, in clear and simple language:</w:t>
      </w:r>
    </w:p>
    <w:p w14:paraId="5C6C0477" w14:textId="77777777" w:rsidR="00575622" w:rsidRPr="00575622" w:rsidRDefault="00575622" w:rsidP="00575622">
      <w:r w:rsidRPr="00575622">
        <w:rPr>
          <w:iCs/>
        </w:rPr>
        <w:t>•</w:t>
      </w:r>
      <w:r w:rsidRPr="00575622">
        <w:rPr>
          <w:iCs/>
        </w:rPr>
        <w:tab/>
        <w:t>What the investment product is</w:t>
      </w:r>
    </w:p>
    <w:p w14:paraId="36F43008" w14:textId="77777777" w:rsidR="00575622" w:rsidRPr="00575622" w:rsidRDefault="00575622" w:rsidP="00575622">
      <w:r w:rsidRPr="00575622">
        <w:rPr>
          <w:iCs/>
        </w:rPr>
        <w:t>•</w:t>
      </w:r>
      <w:r w:rsidRPr="00575622">
        <w:rPr>
          <w:iCs/>
        </w:rPr>
        <w:tab/>
        <w:t xml:space="preserve">The total costs, including fees and kickbacks, of the investment product </w:t>
      </w:r>
    </w:p>
    <w:p w14:paraId="50E384D6" w14:textId="77777777" w:rsidR="00575622" w:rsidRPr="00575622" w:rsidRDefault="00575622" w:rsidP="00575622">
      <w:r w:rsidRPr="00575622">
        <w:rPr>
          <w:iCs/>
        </w:rPr>
        <w:t>•</w:t>
      </w:r>
      <w:r w:rsidRPr="00575622">
        <w:rPr>
          <w:iCs/>
        </w:rPr>
        <w:tab/>
        <w:t xml:space="preserve">The historical performance of the investment product </w:t>
      </w:r>
    </w:p>
    <w:p w14:paraId="436BEF17" w14:textId="77777777" w:rsidR="00575622" w:rsidRPr="00575622" w:rsidRDefault="00575622" w:rsidP="00575622">
      <w:r w:rsidRPr="00575622">
        <w:rPr>
          <w:iCs/>
        </w:rPr>
        <w:t>•</w:t>
      </w:r>
      <w:r w:rsidRPr="00575622">
        <w:rPr>
          <w:iCs/>
        </w:rPr>
        <w:tab/>
        <w:t>The risks and potential rewards of the investment product</w:t>
      </w:r>
    </w:p>
    <w:p w14:paraId="1EC02E08" w14:textId="77777777" w:rsidR="00575622" w:rsidRPr="00575622" w:rsidRDefault="00575622" w:rsidP="00575622"/>
    <w:p w14:paraId="4DB2B93B" w14:textId="77777777" w:rsidR="00575622" w:rsidRPr="00575622" w:rsidRDefault="00575622" w:rsidP="00575622">
      <w:r w:rsidRPr="00575622">
        <w:rPr>
          <w:iCs/>
        </w:rPr>
        <w:t xml:space="preserve">It is important to stress that the KID should include </w:t>
      </w:r>
      <w:proofErr w:type="gramStart"/>
      <w:r w:rsidRPr="00575622">
        <w:rPr>
          <w:iCs/>
        </w:rPr>
        <w:t>calculations on all annual costs, including fees and kickbacks, and what the aggregated costs will be in 5 and 10 years from now</w:t>
      </w:r>
      <w:proofErr w:type="gramEnd"/>
      <w:r w:rsidRPr="00575622">
        <w:rPr>
          <w:iCs/>
        </w:rPr>
        <w:t xml:space="preserve">. Such information </w:t>
      </w:r>
      <w:proofErr w:type="gramStart"/>
      <w:r w:rsidRPr="00575622">
        <w:rPr>
          <w:iCs/>
        </w:rPr>
        <w:t>should be disclosed</w:t>
      </w:r>
      <w:proofErr w:type="gramEnd"/>
      <w:r w:rsidRPr="00575622">
        <w:rPr>
          <w:iCs/>
        </w:rPr>
        <w:t xml:space="preserve"> in percentages as well as in monetary value for a standardized amount; possible such default amount limits, depending on the product, may be € 5,000, € 10,000, € 25,000 or € 100.000. </w:t>
      </w:r>
    </w:p>
    <w:p w14:paraId="5C78DB7B" w14:textId="77777777" w:rsidR="00575622" w:rsidRPr="00575622" w:rsidRDefault="00575622" w:rsidP="00575622"/>
    <w:p w14:paraId="437C1ED0" w14:textId="77777777" w:rsidR="00575622" w:rsidRPr="00575622" w:rsidRDefault="00575622" w:rsidP="00575622"/>
    <w:p w14:paraId="0BB6EF87" w14:textId="77777777" w:rsidR="00575622" w:rsidRPr="00575622" w:rsidRDefault="00575622" w:rsidP="00575622">
      <w:r w:rsidRPr="00575622">
        <w:rPr>
          <w:iCs/>
        </w:rPr>
        <w:t xml:space="preserve">The Norwegian Consumer Council support many of the proposals that </w:t>
      </w:r>
      <w:proofErr w:type="gramStart"/>
      <w:r w:rsidRPr="00575622">
        <w:rPr>
          <w:iCs/>
        </w:rPr>
        <w:t>are submitted</w:t>
      </w:r>
      <w:proofErr w:type="gramEnd"/>
      <w:r w:rsidRPr="00575622">
        <w:rPr>
          <w:iCs/>
        </w:rPr>
        <w:t xml:space="preserve"> in the joint consultation paper from the ESAs on improvements, however with some exceptions and clarifications. See our answers on the following pages, Q1 - Q57.</w:t>
      </w:r>
    </w:p>
    <w:p w14:paraId="27E0011B" w14:textId="77777777" w:rsidR="007D797E" w:rsidRDefault="007D797E" w:rsidP="00B327E9"/>
    <w:permEnd w:id="411981036"/>
    <w:p w14:paraId="6A3CB062" w14:textId="1DA6EC94" w:rsidR="00B327E9" w:rsidRPr="00BF28DA" w:rsidRDefault="00B327E9" w:rsidP="00B327E9">
      <w:r w:rsidRPr="00BF28DA">
        <w:t>&lt;ESA_COMMENT_</w:t>
      </w:r>
      <w:r w:rsidR="00197794">
        <w:rPr>
          <w:rStyle w:val="Svakutheving"/>
          <w:b w:val="0"/>
          <w:sz w:val="22"/>
        </w:rPr>
        <w:t>PKID</w:t>
      </w:r>
      <w:r w:rsidR="000A58BE">
        <w:t>_</w:t>
      </w:r>
      <w:r w:rsidRPr="00BF28DA">
        <w:t>1&gt;</w:t>
      </w:r>
    </w:p>
    <w:p w14:paraId="6A3CB063" w14:textId="77777777" w:rsidR="00F31E57" w:rsidRPr="00BF28DA" w:rsidRDefault="00F31E57" w:rsidP="00D34282"/>
    <w:p w14:paraId="741317CF" w14:textId="77777777" w:rsidR="003E573C" w:rsidRDefault="00F31E57" w:rsidP="003E573C">
      <w:pPr>
        <w:pStyle w:val="Questionstyle"/>
        <w:numPr>
          <w:ilvl w:val="0"/>
          <w:numId w:val="39"/>
        </w:numPr>
      </w:pPr>
      <w:r w:rsidRPr="0075015C">
        <w:br w:type="page"/>
      </w:r>
      <w:r w:rsidR="003E573C">
        <w:lastRenderedPageBreak/>
        <w:t xml:space="preserve">: </w:t>
      </w:r>
      <w:r w:rsidR="003E573C" w:rsidRPr="00763760">
        <w:t>Are there provisions in the PRIIPs Regulation or Delegated Regulation that hinder the use of digital solutions for the KID?</w:t>
      </w:r>
    </w:p>
    <w:p w14:paraId="1B855191" w14:textId="63A29E6F" w:rsidR="003E573C" w:rsidRDefault="003E573C" w:rsidP="003E573C">
      <w:pPr>
        <w:rPr>
          <w:rFonts w:cs="Arial"/>
        </w:rPr>
      </w:pPr>
      <w:r>
        <w:rPr>
          <w:rFonts w:cs="Arial"/>
        </w:rPr>
        <w:t>&lt;ESA_QUESTION_PKID_1&gt;</w:t>
      </w:r>
    </w:p>
    <w:p w14:paraId="6496FAC5" w14:textId="615C1F97" w:rsidR="003E573C" w:rsidRDefault="0056594B" w:rsidP="003E573C">
      <w:pPr>
        <w:rPr>
          <w:rFonts w:cs="Arial"/>
        </w:rPr>
      </w:pPr>
      <w:permStart w:id="1221819945" w:edGrp="everyone"/>
      <w:r w:rsidRPr="009B738E">
        <w:rPr>
          <w:rFonts w:cs="Arial"/>
          <w:highlight w:val="green"/>
        </w:rPr>
        <w:t xml:space="preserve">Not that we are aware </w:t>
      </w:r>
      <w:proofErr w:type="gramStart"/>
      <w:r w:rsidRPr="009B738E">
        <w:rPr>
          <w:rFonts w:cs="Arial"/>
          <w:highlight w:val="green"/>
        </w:rPr>
        <w:t>of</w:t>
      </w:r>
      <w:proofErr w:type="gramEnd"/>
      <w:r w:rsidR="003F07D2">
        <w:rPr>
          <w:rFonts w:cs="Arial"/>
        </w:rPr>
        <w:t>.</w:t>
      </w:r>
    </w:p>
    <w:permEnd w:id="1221819945"/>
    <w:p w14:paraId="0F1F4245" w14:textId="05F47857" w:rsidR="003E573C" w:rsidRDefault="003E573C" w:rsidP="003E573C">
      <w:pPr>
        <w:rPr>
          <w:rFonts w:cs="Arial"/>
        </w:rPr>
      </w:pPr>
      <w:r>
        <w:rPr>
          <w:rFonts w:cs="Arial"/>
        </w:rPr>
        <w:t>&lt;ESA_QUESTION_PKID_1&gt;</w:t>
      </w:r>
    </w:p>
    <w:p w14:paraId="3D3DF75B" w14:textId="77777777" w:rsidR="003E573C" w:rsidRDefault="003E573C" w:rsidP="003E573C">
      <w:pPr>
        <w:rPr>
          <w:rFonts w:cs="Arial"/>
        </w:rPr>
      </w:pPr>
    </w:p>
    <w:p w14:paraId="0D4730EF" w14:textId="77777777" w:rsidR="003E573C" w:rsidRDefault="003E573C" w:rsidP="003E573C">
      <w:pPr>
        <w:pStyle w:val="Questionstyle"/>
        <w:numPr>
          <w:ilvl w:val="0"/>
          <w:numId w:val="39"/>
        </w:numPr>
      </w:pPr>
      <w:r>
        <w:t xml:space="preserve">: </w:t>
      </w:r>
      <w:r w:rsidRPr="00763760">
        <w:t>Do you agree that it would be helpful if KIDs were published in a form that would allow for the information to be readily extracted using an IT tool?</w:t>
      </w:r>
    </w:p>
    <w:p w14:paraId="7F2CF040" w14:textId="7701D84C" w:rsidR="003E573C" w:rsidRDefault="003E573C" w:rsidP="003E573C">
      <w:pPr>
        <w:rPr>
          <w:rFonts w:cs="Arial"/>
        </w:rPr>
      </w:pPr>
      <w:r>
        <w:rPr>
          <w:rFonts w:cs="Arial"/>
        </w:rPr>
        <w:t>&lt;ESA_QUESTION_PKID_2&gt;</w:t>
      </w:r>
    </w:p>
    <w:p w14:paraId="7A09C6A0" w14:textId="3B126034" w:rsidR="003E573C" w:rsidRDefault="0056594B" w:rsidP="003E573C">
      <w:pPr>
        <w:rPr>
          <w:rFonts w:cs="Arial"/>
        </w:rPr>
      </w:pPr>
      <w:permStart w:id="729947415" w:edGrp="everyone"/>
      <w:r>
        <w:rPr>
          <w:rFonts w:cs="Arial"/>
        </w:rPr>
        <w:t>Yes, especially for purposes of analysis where we want to compare or analyse a larger selection of KIDs. Being able to extract data easily will lower the threshold for this kind of analysis.</w:t>
      </w:r>
      <w:r w:rsidR="00EA1AA3">
        <w:rPr>
          <w:rFonts w:cs="Arial"/>
        </w:rPr>
        <w:t xml:space="preserve"> For price comparing sites, such as our own Finansportalen.no it would be of great importance. A regulation that </w:t>
      </w:r>
      <w:proofErr w:type="gramStart"/>
      <w:r w:rsidR="00EA1AA3">
        <w:rPr>
          <w:rFonts w:cs="Arial"/>
        </w:rPr>
        <w:t>don’t</w:t>
      </w:r>
      <w:proofErr w:type="gramEnd"/>
      <w:r w:rsidR="00EA1AA3">
        <w:rPr>
          <w:rFonts w:cs="Arial"/>
        </w:rPr>
        <w:t xml:space="preserve"> allow information to be readily extracted </w:t>
      </w:r>
      <w:r w:rsidR="000C4E82">
        <w:rPr>
          <w:rFonts w:cs="Arial"/>
        </w:rPr>
        <w:t xml:space="preserve">by an IT tool would be obviously </w:t>
      </w:r>
      <w:r w:rsidR="000C4E82" w:rsidRPr="000C4E82">
        <w:rPr>
          <w:rFonts w:cs="Arial"/>
        </w:rPr>
        <w:t>outdated</w:t>
      </w:r>
      <w:r w:rsidR="000C4E82">
        <w:rPr>
          <w:rFonts w:cs="Arial"/>
        </w:rPr>
        <w:t>.</w:t>
      </w:r>
    </w:p>
    <w:permEnd w:id="729947415"/>
    <w:p w14:paraId="6415E03C" w14:textId="06934D17" w:rsidR="003E573C" w:rsidRDefault="003E573C" w:rsidP="003E573C">
      <w:pPr>
        <w:rPr>
          <w:rFonts w:cs="Arial"/>
        </w:rPr>
      </w:pPr>
      <w:r>
        <w:rPr>
          <w:rFonts w:cs="Arial"/>
        </w:rPr>
        <w:t>&lt;ESA_QUESTION_PKID_2&gt;</w:t>
      </w:r>
    </w:p>
    <w:p w14:paraId="36483E3B" w14:textId="77777777" w:rsidR="003E573C" w:rsidRDefault="003E573C" w:rsidP="003E573C">
      <w:pPr>
        <w:rPr>
          <w:rFonts w:cs="Arial"/>
        </w:rPr>
      </w:pPr>
    </w:p>
    <w:p w14:paraId="0C882E82" w14:textId="77777777" w:rsidR="003E573C" w:rsidRDefault="003E573C" w:rsidP="003E573C">
      <w:pPr>
        <w:pStyle w:val="Questionstyle"/>
        <w:numPr>
          <w:ilvl w:val="0"/>
          <w:numId w:val="39"/>
        </w:numPr>
      </w:pPr>
      <w:r>
        <w:t xml:space="preserve">: </w:t>
      </w:r>
      <w:r w:rsidRPr="00763760">
        <w:t xml:space="preserve">Do you think that the amendments proposed in the consultation paper should be implemented for existing PRIIPs as soon as possible before the end of 2021, or only at the beginning of 2022? </w:t>
      </w:r>
    </w:p>
    <w:p w14:paraId="5F6CF93B" w14:textId="30F78F57" w:rsidR="003E573C" w:rsidRDefault="003E573C" w:rsidP="003E573C">
      <w:pPr>
        <w:rPr>
          <w:rFonts w:cs="Arial"/>
        </w:rPr>
      </w:pPr>
      <w:r>
        <w:rPr>
          <w:rFonts w:cs="Arial"/>
        </w:rPr>
        <w:t>&lt;ESA_QUESTION_PKID_3&gt;</w:t>
      </w:r>
    </w:p>
    <w:p w14:paraId="5DB41950" w14:textId="55630D87" w:rsidR="009B738E" w:rsidRDefault="003F07D2" w:rsidP="003E573C">
      <w:pPr>
        <w:rPr>
          <w:rFonts w:cs="Arial"/>
        </w:rPr>
      </w:pPr>
      <w:permStart w:id="677205538" w:edGrp="everyone"/>
      <w:proofErr w:type="gramStart"/>
      <w:r>
        <w:rPr>
          <w:rFonts w:cs="Arial"/>
        </w:rPr>
        <w:t>I</w:t>
      </w:r>
      <w:r w:rsidR="009B738E">
        <w:rPr>
          <w:rFonts w:cs="Arial"/>
        </w:rPr>
        <w:t>deally</w:t>
      </w:r>
      <w:proofErr w:type="gramEnd"/>
      <w:r w:rsidR="009B738E">
        <w:rPr>
          <w:rFonts w:cs="Arial"/>
        </w:rPr>
        <w:t xml:space="preserve"> we think that the whole package should be implemented at the same time</w:t>
      </w:r>
      <w:r>
        <w:rPr>
          <w:rFonts w:cs="Arial"/>
        </w:rPr>
        <w:t>.</w:t>
      </w:r>
    </w:p>
    <w:permEnd w:id="677205538"/>
    <w:p w14:paraId="54D6583E" w14:textId="613BF2F1" w:rsidR="003E573C" w:rsidRDefault="003E573C" w:rsidP="003E573C">
      <w:pPr>
        <w:rPr>
          <w:rFonts w:cs="Arial"/>
        </w:rPr>
      </w:pPr>
      <w:r>
        <w:rPr>
          <w:rFonts w:cs="Arial"/>
        </w:rPr>
        <w:t>&lt;ESA_QUESTION_PKID_3&gt;</w:t>
      </w:r>
    </w:p>
    <w:p w14:paraId="3E042AC0" w14:textId="77777777" w:rsidR="003E573C" w:rsidRDefault="003E573C" w:rsidP="003E573C">
      <w:pPr>
        <w:rPr>
          <w:rFonts w:cs="Arial"/>
        </w:rPr>
      </w:pPr>
    </w:p>
    <w:p w14:paraId="40E8D4A0" w14:textId="77777777" w:rsidR="003E573C" w:rsidRDefault="003E573C" w:rsidP="003E573C">
      <w:pPr>
        <w:pStyle w:val="Questionstyle"/>
        <w:numPr>
          <w:ilvl w:val="0"/>
          <w:numId w:val="39"/>
        </w:numPr>
      </w:pPr>
      <w:r>
        <w:t xml:space="preserve">: </w:t>
      </w:r>
      <w:r w:rsidRPr="00763760">
        <w:t>Do you think that a graduated approach should be considered, whereby some of the requirements would be applied in a first step, followed by a second step at the beginning of 2022?</w:t>
      </w:r>
    </w:p>
    <w:p w14:paraId="3F31E5E7" w14:textId="08DD1816" w:rsidR="003E573C" w:rsidRDefault="003E573C" w:rsidP="003E573C">
      <w:pPr>
        <w:rPr>
          <w:rFonts w:cs="Arial"/>
        </w:rPr>
      </w:pPr>
      <w:r>
        <w:rPr>
          <w:rFonts w:cs="Arial"/>
        </w:rPr>
        <w:t>&lt;ESA_QUESTION_PKID_4&gt;</w:t>
      </w:r>
    </w:p>
    <w:p w14:paraId="4281EB93" w14:textId="77777777" w:rsidR="009B738E" w:rsidRDefault="009B738E" w:rsidP="003E573C">
      <w:pPr>
        <w:rPr>
          <w:rFonts w:cs="Arial"/>
        </w:rPr>
      </w:pPr>
      <w:permStart w:id="1220688604" w:edGrp="everyone"/>
      <w:proofErr w:type="gramStart"/>
      <w:r>
        <w:rPr>
          <w:rFonts w:cs="Arial"/>
        </w:rPr>
        <w:t>Ideally</w:t>
      </w:r>
      <w:proofErr w:type="gramEnd"/>
      <w:r>
        <w:rPr>
          <w:rFonts w:cs="Arial"/>
        </w:rPr>
        <w:t xml:space="preserve"> we think that the whole package should be implemented at the same time, unless there are some amendments with a complexity of implementation that risks holding up the bulk of the amendments for an inordinate amount of time.</w:t>
      </w:r>
    </w:p>
    <w:permEnd w:id="1220688604"/>
    <w:p w14:paraId="53DA6878" w14:textId="0D3738E7" w:rsidR="003E573C" w:rsidRDefault="003E573C" w:rsidP="003E573C">
      <w:pPr>
        <w:rPr>
          <w:rFonts w:cs="Arial"/>
        </w:rPr>
      </w:pPr>
      <w:r>
        <w:rPr>
          <w:rFonts w:cs="Arial"/>
        </w:rPr>
        <w:t>&lt;ESA_QUESTION_PKID_4&gt;</w:t>
      </w:r>
    </w:p>
    <w:p w14:paraId="7CE6B136" w14:textId="77777777" w:rsidR="003E573C" w:rsidRDefault="003E573C" w:rsidP="003E573C">
      <w:pPr>
        <w:rPr>
          <w:rFonts w:cs="Arial"/>
        </w:rPr>
      </w:pPr>
    </w:p>
    <w:p w14:paraId="39295ADB" w14:textId="77777777" w:rsidR="003E573C" w:rsidRDefault="003E573C" w:rsidP="003E573C">
      <w:pPr>
        <w:pStyle w:val="Questionstyle"/>
        <w:numPr>
          <w:ilvl w:val="0"/>
          <w:numId w:val="39"/>
        </w:numPr>
      </w:pPr>
      <w:r>
        <w:t xml:space="preserve">: </w:t>
      </w:r>
      <w:r w:rsidRPr="00763760">
        <w:t>Are there material issues that are not addressed in this consultation paper that you think should be part of this review of the PRIIPs Delegated Regulation? If so, please explain the issue and how it should be addressed.</w:t>
      </w:r>
    </w:p>
    <w:p w14:paraId="028F4F51" w14:textId="599B49CB" w:rsidR="003E573C" w:rsidRDefault="003E573C" w:rsidP="003E573C">
      <w:pPr>
        <w:rPr>
          <w:rFonts w:cs="Arial"/>
        </w:rPr>
      </w:pPr>
      <w:r>
        <w:rPr>
          <w:rFonts w:cs="Arial"/>
        </w:rPr>
        <w:t>&lt;ESA_QUESTION_PKID_5&gt;</w:t>
      </w:r>
    </w:p>
    <w:p w14:paraId="0BEE47D0" w14:textId="77777777" w:rsidR="0080504F" w:rsidRPr="0080504F" w:rsidRDefault="0080504F" w:rsidP="0080504F">
      <w:pPr>
        <w:rPr>
          <w:rFonts w:cs="Arial"/>
        </w:rPr>
      </w:pPr>
      <w:permStart w:id="209390932" w:edGrp="everyone"/>
      <w:r w:rsidRPr="0080504F">
        <w:rPr>
          <w:rFonts w:cs="Arial"/>
        </w:rPr>
        <w:t>The consultation paper lacks wider context on certain important topics, as there are no reference to the wider implications of investment decision making and climate risk (i.e. COP21, SDGs) and the role investors play in shaping the world we live in (issues such as climate change, employment practices, etc.)</w:t>
      </w:r>
    </w:p>
    <w:p w14:paraId="4F45B474" w14:textId="77777777" w:rsidR="0080504F" w:rsidRPr="0080504F" w:rsidRDefault="0080504F" w:rsidP="0080504F">
      <w:pPr>
        <w:rPr>
          <w:rFonts w:cs="Arial"/>
        </w:rPr>
      </w:pPr>
    </w:p>
    <w:p w14:paraId="4028A154" w14:textId="77777777" w:rsidR="0080504F" w:rsidRPr="0080504F" w:rsidRDefault="0080504F" w:rsidP="0080504F">
      <w:pPr>
        <w:rPr>
          <w:rFonts w:cs="Arial"/>
        </w:rPr>
      </w:pPr>
      <w:r w:rsidRPr="0080504F">
        <w:rPr>
          <w:rFonts w:cs="Arial"/>
        </w:rPr>
        <w:t xml:space="preserve">All relevant retail investment products should highlight the main features regarding their environmental and social objectives in their KIDs in an understandable way. Such information need to </w:t>
      </w:r>
      <w:proofErr w:type="gramStart"/>
      <w:r w:rsidRPr="0080504F">
        <w:rPr>
          <w:rFonts w:cs="Arial"/>
        </w:rPr>
        <w:t>be presented</w:t>
      </w:r>
      <w:proofErr w:type="gramEnd"/>
      <w:r w:rsidRPr="0080504F">
        <w:rPr>
          <w:rFonts w:cs="Arial"/>
        </w:rPr>
        <w:t xml:space="preserve"> in a way that is clear to both consumers and institutional investors. One possibility could be to build upon a type of colour rating system with a scale similar to the already well-known EU energy label, where a solid green A is the most energy efficient and a deep red G the least efficient. </w:t>
      </w:r>
    </w:p>
    <w:p w14:paraId="71C1EF86" w14:textId="77777777" w:rsidR="0080504F" w:rsidRPr="0080504F" w:rsidRDefault="0080504F" w:rsidP="0080504F">
      <w:pPr>
        <w:rPr>
          <w:rFonts w:cs="Arial"/>
        </w:rPr>
      </w:pPr>
    </w:p>
    <w:p w14:paraId="380EE9FB" w14:textId="3D5E0AB7" w:rsidR="0080504F" w:rsidRPr="0080504F" w:rsidRDefault="0080504F" w:rsidP="0080504F">
      <w:pPr>
        <w:rPr>
          <w:rFonts w:cs="Arial"/>
        </w:rPr>
      </w:pPr>
      <w:r w:rsidRPr="0080504F">
        <w:rPr>
          <w:rFonts w:cs="Arial"/>
        </w:rPr>
        <w:t xml:space="preserve">In order to ensure that a rating give the correct expression of the sustainability of a financial product, an independent third party should carry out such classification. This would also provide non-professional investors with valuable </w:t>
      </w:r>
      <w:r w:rsidR="003F07D2">
        <w:rPr>
          <w:rFonts w:cs="Arial"/>
        </w:rPr>
        <w:t xml:space="preserve">and trustworthy </w:t>
      </w:r>
      <w:r w:rsidRPr="0080504F">
        <w:rPr>
          <w:rFonts w:cs="Arial"/>
        </w:rPr>
        <w:t xml:space="preserve">information prior to a transaction, and </w:t>
      </w:r>
      <w:proofErr w:type="gramStart"/>
      <w:r w:rsidRPr="0080504F">
        <w:rPr>
          <w:rFonts w:cs="Arial"/>
        </w:rPr>
        <w:t>might be used</w:t>
      </w:r>
      <w:proofErr w:type="gramEnd"/>
      <w:r w:rsidRPr="0080504F">
        <w:rPr>
          <w:rFonts w:cs="Arial"/>
        </w:rPr>
        <w:t xml:space="preserve"> as a potential differentiator between funds.</w:t>
      </w:r>
    </w:p>
    <w:p w14:paraId="2F33173B" w14:textId="77777777" w:rsidR="0080504F" w:rsidRPr="0080504F" w:rsidRDefault="0080504F" w:rsidP="0080504F">
      <w:pPr>
        <w:rPr>
          <w:rFonts w:cs="Arial"/>
        </w:rPr>
      </w:pPr>
    </w:p>
    <w:p w14:paraId="15858296" w14:textId="77777777" w:rsidR="0080504F" w:rsidRDefault="0080504F" w:rsidP="003E573C">
      <w:pPr>
        <w:rPr>
          <w:rFonts w:cs="Arial"/>
        </w:rPr>
      </w:pPr>
      <w:r w:rsidRPr="0080504F">
        <w:rPr>
          <w:rFonts w:cs="Arial"/>
        </w:rPr>
        <w:t xml:space="preserve">Adding ESG criteria to the PRIIPs KID would also be in line with the proposals from the European Commission and the Council of the European Union for a regulation on EU climate transition benchmarks and EU Paris-aligned benchmarks. Providing investors with relevant information about the sustainability of an investment would also follow up on the 2016 Paris Agreement on Climate Change and the United Nations 2030 Agenda for Sustainable Development, and would support in transforming Europe’s economy into a greener, more resilient and circular system. </w:t>
      </w:r>
    </w:p>
    <w:p w14:paraId="4B01869A" w14:textId="77777777" w:rsidR="000C4E82" w:rsidRDefault="000C4E82" w:rsidP="003E573C">
      <w:pPr>
        <w:rPr>
          <w:rFonts w:cs="Arial"/>
        </w:rPr>
      </w:pPr>
    </w:p>
    <w:p w14:paraId="1E0DA8D3" w14:textId="08B296DE" w:rsidR="000C4E82" w:rsidRDefault="000C4E82" w:rsidP="003E573C">
      <w:pPr>
        <w:rPr>
          <w:rFonts w:cs="Arial"/>
        </w:rPr>
      </w:pPr>
      <w:r>
        <w:rPr>
          <w:rFonts w:cs="Arial"/>
        </w:rPr>
        <w:t xml:space="preserve">We experienced attempts of </w:t>
      </w:r>
      <w:r w:rsidRPr="000C4E82">
        <w:rPr>
          <w:rFonts w:cs="Arial"/>
        </w:rPr>
        <w:t>exclusion</w:t>
      </w:r>
      <w:r>
        <w:rPr>
          <w:rFonts w:cs="Arial"/>
        </w:rPr>
        <w:t xml:space="preserve"> of liability in providing </w:t>
      </w:r>
      <w:r w:rsidRPr="000C4E82">
        <w:rPr>
          <w:rFonts w:cs="Arial"/>
        </w:rPr>
        <w:t>credible</w:t>
      </w:r>
      <w:r>
        <w:rPr>
          <w:rFonts w:cs="Arial"/>
        </w:rPr>
        <w:t xml:space="preserve"> product information to consumers in our national </w:t>
      </w:r>
      <w:proofErr w:type="spellStart"/>
      <w:r>
        <w:rPr>
          <w:rFonts w:cs="Arial"/>
        </w:rPr>
        <w:t>mis</w:t>
      </w:r>
      <w:proofErr w:type="spellEnd"/>
      <w:r>
        <w:rPr>
          <w:rFonts w:cs="Arial"/>
        </w:rPr>
        <w:t xml:space="preserve">-selling scandals of structured products and other complex investment products. This came typically in complex business models including parties defining themselves as </w:t>
      </w:r>
      <w:r w:rsidRPr="000C4E82">
        <w:rPr>
          <w:rFonts w:cs="Arial"/>
        </w:rPr>
        <w:t>facilitator</w:t>
      </w:r>
      <w:r>
        <w:rPr>
          <w:rFonts w:cs="Arial"/>
        </w:rPr>
        <w:t xml:space="preserve">s, </w:t>
      </w:r>
      <w:r w:rsidRPr="000C4E82">
        <w:rPr>
          <w:rFonts w:cs="Arial"/>
        </w:rPr>
        <w:t>mediator</w:t>
      </w:r>
      <w:r>
        <w:rPr>
          <w:rFonts w:cs="Arial"/>
        </w:rPr>
        <w:t xml:space="preserve">s or </w:t>
      </w:r>
      <w:r w:rsidRPr="000C4E82">
        <w:rPr>
          <w:rFonts w:cs="Arial"/>
        </w:rPr>
        <w:t>arranger</w:t>
      </w:r>
      <w:r>
        <w:rPr>
          <w:rFonts w:cs="Arial"/>
        </w:rPr>
        <w:t>s</w:t>
      </w:r>
      <w:r w:rsidR="00606152">
        <w:rPr>
          <w:rFonts w:cs="Arial"/>
        </w:rPr>
        <w:t xml:space="preserve"> - which is </w:t>
      </w:r>
      <w:r w:rsidR="00606152" w:rsidRPr="00606152">
        <w:rPr>
          <w:rFonts w:cs="Arial"/>
        </w:rPr>
        <w:t>diffuse</w:t>
      </w:r>
      <w:r w:rsidR="00606152">
        <w:rPr>
          <w:rFonts w:cs="Arial"/>
        </w:rPr>
        <w:t xml:space="preserve"> for the average consumer</w:t>
      </w:r>
      <w:r>
        <w:rPr>
          <w:rFonts w:cs="Arial"/>
        </w:rPr>
        <w:t>.</w:t>
      </w:r>
      <w:r w:rsidR="00606152">
        <w:rPr>
          <w:rFonts w:cs="Arial"/>
        </w:rPr>
        <w:t xml:space="preserve"> </w:t>
      </w:r>
      <w:proofErr w:type="gramStart"/>
      <w:r w:rsidR="00606152">
        <w:rPr>
          <w:rFonts w:cs="Arial"/>
        </w:rPr>
        <w:t xml:space="preserve">It must be clear part in a complex business model that has the </w:t>
      </w:r>
      <w:proofErr w:type="spellStart"/>
      <w:r w:rsidR="00606152">
        <w:rPr>
          <w:rFonts w:cs="Arial"/>
        </w:rPr>
        <w:t>responability</w:t>
      </w:r>
      <w:proofErr w:type="spellEnd"/>
      <w:r w:rsidR="00606152">
        <w:rPr>
          <w:rFonts w:cs="Arial"/>
        </w:rPr>
        <w:t xml:space="preserve"> to provide </w:t>
      </w:r>
      <w:r w:rsidR="00606152" w:rsidRPr="000C4E82">
        <w:rPr>
          <w:rFonts w:cs="Arial"/>
        </w:rPr>
        <w:t>credible</w:t>
      </w:r>
      <w:r w:rsidR="00606152">
        <w:rPr>
          <w:rFonts w:cs="Arial"/>
        </w:rPr>
        <w:t xml:space="preserve"> product information to consumers.</w:t>
      </w:r>
      <w:proofErr w:type="gramEnd"/>
    </w:p>
    <w:permEnd w:id="209390932"/>
    <w:p w14:paraId="61BD6C84" w14:textId="0D1276FB" w:rsidR="003E573C" w:rsidRDefault="003E573C" w:rsidP="003E573C">
      <w:pPr>
        <w:rPr>
          <w:rFonts w:cs="Arial"/>
        </w:rPr>
      </w:pPr>
      <w:r>
        <w:rPr>
          <w:rFonts w:cs="Arial"/>
        </w:rPr>
        <w:t>&lt;ESA_QUESTION_PKID_5&gt;</w:t>
      </w:r>
    </w:p>
    <w:p w14:paraId="3AF8EF7A" w14:textId="77777777" w:rsidR="003E573C" w:rsidRDefault="003E573C" w:rsidP="003E573C">
      <w:pPr>
        <w:rPr>
          <w:rFonts w:cs="Arial"/>
        </w:rPr>
      </w:pPr>
    </w:p>
    <w:p w14:paraId="7B07E7E5" w14:textId="77777777" w:rsidR="003E573C" w:rsidRDefault="003E573C" w:rsidP="003E573C">
      <w:pPr>
        <w:pStyle w:val="Questionstyle"/>
        <w:numPr>
          <w:ilvl w:val="0"/>
          <w:numId w:val="39"/>
        </w:numPr>
      </w:pPr>
      <w:r>
        <w:t xml:space="preserve">: </w:t>
      </w:r>
      <w:r w:rsidRPr="009A68ED">
        <w:t xml:space="preserve">Do you have comments on the modifications to the presentation of future performance scenarios being considered? Should other factors </w:t>
      </w:r>
      <w:r>
        <w:t xml:space="preserve">or changes </w:t>
      </w:r>
      <w:r w:rsidRPr="009A68ED">
        <w:t>be considered?</w:t>
      </w:r>
    </w:p>
    <w:p w14:paraId="79582E74" w14:textId="0D283C17" w:rsidR="003E573C" w:rsidRDefault="003E573C" w:rsidP="003E573C">
      <w:pPr>
        <w:rPr>
          <w:rFonts w:cs="Arial"/>
        </w:rPr>
      </w:pPr>
      <w:r>
        <w:rPr>
          <w:rFonts w:cs="Arial"/>
        </w:rPr>
        <w:t>&lt;ESA_QUESTION_PKID_6&gt;</w:t>
      </w:r>
    </w:p>
    <w:p w14:paraId="46FB187E" w14:textId="151EBB3B" w:rsidR="003E573C" w:rsidRDefault="00F6683D" w:rsidP="003E573C">
      <w:pPr>
        <w:rPr>
          <w:rFonts w:cs="Arial"/>
        </w:rPr>
      </w:pPr>
      <w:permStart w:id="418122716" w:edGrp="everyone"/>
      <w:r>
        <w:rPr>
          <w:rFonts w:cs="Arial"/>
        </w:rPr>
        <w:t>NA</w:t>
      </w:r>
    </w:p>
    <w:permEnd w:id="418122716"/>
    <w:p w14:paraId="29E77975" w14:textId="24B88F8A" w:rsidR="003E573C" w:rsidRDefault="003E573C" w:rsidP="003E573C">
      <w:pPr>
        <w:rPr>
          <w:rFonts w:cs="Arial"/>
        </w:rPr>
      </w:pPr>
      <w:r>
        <w:rPr>
          <w:rFonts w:cs="Arial"/>
        </w:rPr>
        <w:t>&lt;ESA_QUESTION_PKID_6&gt;</w:t>
      </w:r>
    </w:p>
    <w:p w14:paraId="302B559F" w14:textId="77777777" w:rsidR="003E573C" w:rsidRDefault="003E573C" w:rsidP="003E573C">
      <w:pPr>
        <w:rPr>
          <w:rFonts w:cs="Arial"/>
        </w:rPr>
      </w:pPr>
    </w:p>
    <w:p w14:paraId="09807F9E" w14:textId="77777777" w:rsidR="003E573C" w:rsidRDefault="003E573C" w:rsidP="003E573C">
      <w:pPr>
        <w:pStyle w:val="Questionstyle"/>
        <w:numPr>
          <w:ilvl w:val="0"/>
          <w:numId w:val="39"/>
        </w:numPr>
      </w:pPr>
      <w:r>
        <w:t xml:space="preserve">: </w:t>
      </w:r>
      <w:r w:rsidRPr="009A68ED">
        <w:t>If intermediate scenarios are to be included, how should they be calculated for Category 3 PRIIPs (e.g. structured products)?</w:t>
      </w:r>
      <w:r w:rsidRPr="009F48F1">
        <w:t xml:space="preserve"> </w:t>
      </w:r>
      <w:r>
        <w:t>If intermediate scenarios are not shown in the performance section, which performance assumption should be used for the ‘What are the costs?’ section?</w:t>
      </w:r>
    </w:p>
    <w:p w14:paraId="21AC957C" w14:textId="37B49654" w:rsidR="003E573C" w:rsidRDefault="003E573C" w:rsidP="003E573C">
      <w:pPr>
        <w:rPr>
          <w:rFonts w:cs="Arial"/>
        </w:rPr>
      </w:pPr>
      <w:r>
        <w:rPr>
          <w:rFonts w:cs="Arial"/>
        </w:rPr>
        <w:t>&lt;ESA_QUESTION_PKID_7&gt;</w:t>
      </w:r>
    </w:p>
    <w:p w14:paraId="702AF854" w14:textId="244BC8C6" w:rsidR="00454597" w:rsidRDefault="00454597" w:rsidP="00454597">
      <w:pPr>
        <w:autoSpaceDE w:val="0"/>
        <w:autoSpaceDN w:val="0"/>
        <w:adjustRightInd w:val="0"/>
        <w:rPr>
          <w:rFonts w:cs="Arial"/>
          <w:color w:val="000000"/>
          <w:szCs w:val="20"/>
          <w:lang w:eastAsia="en-GB"/>
        </w:rPr>
      </w:pPr>
      <w:permStart w:id="569465455" w:edGrp="everyone"/>
      <w:r>
        <w:rPr>
          <w:rFonts w:cs="Arial"/>
        </w:rPr>
        <w:t xml:space="preserve">While we do not have an alternative way of calculating intermediate </w:t>
      </w:r>
      <w:proofErr w:type="gramStart"/>
      <w:r>
        <w:rPr>
          <w:rFonts w:cs="Arial"/>
        </w:rPr>
        <w:t>scenarios</w:t>
      </w:r>
      <w:proofErr w:type="gramEnd"/>
      <w:r>
        <w:rPr>
          <w:rFonts w:cs="Arial"/>
        </w:rPr>
        <w:t xml:space="preserve"> we think that they provide valuable and relevant insight for the retail investor. </w:t>
      </w:r>
      <w:r w:rsidRPr="00454597">
        <w:rPr>
          <w:rFonts w:cs="Arial"/>
          <w:color w:val="000000"/>
          <w:szCs w:val="20"/>
          <w:lang w:eastAsia="en-GB"/>
        </w:rPr>
        <w:t>Some structured product</w:t>
      </w:r>
      <w:r w:rsidR="003F07D2">
        <w:rPr>
          <w:rFonts w:cs="Arial"/>
          <w:color w:val="000000"/>
          <w:szCs w:val="20"/>
          <w:lang w:eastAsia="en-GB"/>
        </w:rPr>
        <w:t>s</w:t>
      </w:r>
      <w:r w:rsidRPr="00454597">
        <w:rPr>
          <w:rFonts w:cs="Arial"/>
          <w:color w:val="000000"/>
          <w:szCs w:val="20"/>
          <w:lang w:eastAsia="en-GB"/>
        </w:rPr>
        <w:t xml:space="preserve"> do indee</w:t>
      </w:r>
      <w:r w:rsidR="003F07D2">
        <w:rPr>
          <w:rFonts w:cs="Arial"/>
          <w:color w:val="000000"/>
          <w:szCs w:val="20"/>
          <w:lang w:eastAsia="en-GB"/>
        </w:rPr>
        <w:t>d include provisi</w:t>
      </w:r>
      <w:r w:rsidRPr="00454597">
        <w:rPr>
          <w:rFonts w:cs="Arial"/>
          <w:color w:val="000000"/>
          <w:szCs w:val="20"/>
          <w:lang w:eastAsia="en-GB"/>
        </w:rPr>
        <w:t xml:space="preserve">ons for an early end if certain events occur. This need to </w:t>
      </w:r>
      <w:proofErr w:type="gramStart"/>
      <w:r w:rsidRPr="00454597">
        <w:rPr>
          <w:rFonts w:cs="Arial"/>
          <w:color w:val="000000"/>
          <w:szCs w:val="20"/>
          <w:lang w:eastAsia="en-GB"/>
        </w:rPr>
        <w:t>be presented</w:t>
      </w:r>
      <w:proofErr w:type="gramEnd"/>
      <w:r w:rsidRPr="00454597">
        <w:rPr>
          <w:rFonts w:cs="Arial"/>
          <w:color w:val="000000"/>
          <w:szCs w:val="20"/>
          <w:lang w:eastAsia="en-GB"/>
        </w:rPr>
        <w:t xml:space="preserve"> to the retail investor.</w:t>
      </w:r>
      <w:r>
        <w:rPr>
          <w:rFonts w:cs="Arial"/>
          <w:color w:val="000000"/>
          <w:szCs w:val="20"/>
          <w:lang w:eastAsia="en-GB"/>
        </w:rPr>
        <w:t xml:space="preserve"> With a number of structured products</w:t>
      </w:r>
      <w:r w:rsidR="00CC606D">
        <w:rPr>
          <w:rFonts w:cs="Arial"/>
          <w:color w:val="000000"/>
          <w:szCs w:val="20"/>
          <w:lang w:eastAsia="en-GB"/>
        </w:rPr>
        <w:t>,</w:t>
      </w:r>
      <w:r>
        <w:rPr>
          <w:rFonts w:cs="Arial"/>
          <w:color w:val="000000"/>
          <w:szCs w:val="20"/>
          <w:lang w:eastAsia="en-GB"/>
        </w:rPr>
        <w:t xml:space="preserve"> such as </w:t>
      </w:r>
      <w:proofErr w:type="spellStart"/>
      <w:r>
        <w:rPr>
          <w:rFonts w:cs="Arial"/>
          <w:color w:val="000000"/>
          <w:szCs w:val="20"/>
          <w:lang w:eastAsia="en-GB"/>
        </w:rPr>
        <w:t>autocalls</w:t>
      </w:r>
      <w:proofErr w:type="spellEnd"/>
      <w:r>
        <w:rPr>
          <w:rFonts w:cs="Arial"/>
          <w:color w:val="000000"/>
          <w:szCs w:val="20"/>
          <w:lang w:eastAsia="en-GB"/>
        </w:rPr>
        <w:t xml:space="preserve"> (which in our opinion are highly unsuitable products for retail investors)</w:t>
      </w:r>
      <w:r w:rsidR="00CC606D">
        <w:rPr>
          <w:rFonts w:cs="Arial"/>
          <w:color w:val="000000"/>
          <w:szCs w:val="20"/>
          <w:lang w:eastAsia="en-GB"/>
        </w:rPr>
        <w:t>,</w:t>
      </w:r>
      <w:r>
        <w:rPr>
          <w:rFonts w:cs="Arial"/>
          <w:color w:val="000000"/>
          <w:szCs w:val="20"/>
          <w:lang w:eastAsia="en-GB"/>
        </w:rPr>
        <w:t xml:space="preserve"> there are provisions for automatic redemptions which will prevent them from reaching maturity. The investors are in effect issuing call or put options. To only </w:t>
      </w:r>
      <w:proofErr w:type="gramStart"/>
      <w:r>
        <w:rPr>
          <w:rFonts w:cs="Arial"/>
          <w:color w:val="000000"/>
          <w:szCs w:val="20"/>
          <w:lang w:eastAsia="en-GB"/>
        </w:rPr>
        <w:t>show</w:t>
      </w:r>
      <w:proofErr w:type="gramEnd"/>
      <w:r>
        <w:rPr>
          <w:rFonts w:cs="Arial"/>
          <w:color w:val="000000"/>
          <w:szCs w:val="20"/>
          <w:lang w:eastAsia="en-GB"/>
        </w:rPr>
        <w:t xml:space="preserve"> expected yield at maturity would be a disservice to the retail investors.</w:t>
      </w:r>
    </w:p>
    <w:p w14:paraId="5F40AC3E" w14:textId="77777777" w:rsidR="00454597" w:rsidRDefault="00454597" w:rsidP="00454597">
      <w:pPr>
        <w:autoSpaceDE w:val="0"/>
        <w:autoSpaceDN w:val="0"/>
        <w:adjustRightInd w:val="0"/>
        <w:rPr>
          <w:rFonts w:cs="Arial"/>
          <w:color w:val="000000"/>
          <w:szCs w:val="20"/>
          <w:lang w:eastAsia="en-GB"/>
        </w:rPr>
      </w:pPr>
    </w:p>
    <w:p w14:paraId="48FE95E8" w14:textId="291E7507" w:rsidR="00454597" w:rsidRDefault="00454597" w:rsidP="00454597">
      <w:pPr>
        <w:autoSpaceDE w:val="0"/>
        <w:autoSpaceDN w:val="0"/>
        <w:adjustRightInd w:val="0"/>
        <w:rPr>
          <w:rFonts w:cs="Arial"/>
          <w:color w:val="000000"/>
          <w:szCs w:val="20"/>
          <w:lang w:eastAsia="en-GB"/>
        </w:rPr>
      </w:pPr>
      <w:r>
        <w:rPr>
          <w:rFonts w:cs="Arial"/>
          <w:color w:val="000000"/>
          <w:szCs w:val="20"/>
          <w:lang w:eastAsia="en-GB"/>
        </w:rPr>
        <w:t xml:space="preserve">If it is too hard for the issuers to calculate intermediate scenarios we can only imagine how </w:t>
      </w:r>
      <w:proofErr w:type="gramStart"/>
      <w:r>
        <w:rPr>
          <w:rFonts w:cs="Arial"/>
          <w:color w:val="000000"/>
          <w:szCs w:val="20"/>
          <w:lang w:eastAsia="en-GB"/>
        </w:rPr>
        <w:t>hard</w:t>
      </w:r>
      <w:proofErr w:type="gramEnd"/>
      <w:r>
        <w:rPr>
          <w:rFonts w:cs="Arial"/>
          <w:color w:val="000000"/>
          <w:szCs w:val="20"/>
          <w:lang w:eastAsia="en-GB"/>
        </w:rPr>
        <w:t xml:space="preserve"> it is for the retail investors to understand what they are buying.</w:t>
      </w:r>
      <w:r w:rsidR="00B73808">
        <w:rPr>
          <w:rFonts w:cs="Arial"/>
          <w:color w:val="000000"/>
          <w:szCs w:val="20"/>
          <w:lang w:eastAsia="en-GB"/>
        </w:rPr>
        <w:t xml:space="preserve"> </w:t>
      </w:r>
      <w:r w:rsidR="003F07D2">
        <w:rPr>
          <w:rFonts w:cs="Arial"/>
          <w:color w:val="000000"/>
          <w:szCs w:val="20"/>
          <w:lang w:eastAsia="en-GB"/>
        </w:rPr>
        <w:t>The Norwegian Consumer Council</w:t>
      </w:r>
      <w:r w:rsidR="00B73808">
        <w:rPr>
          <w:rFonts w:cs="Arial"/>
          <w:color w:val="000000"/>
          <w:szCs w:val="20"/>
          <w:lang w:eastAsia="en-GB"/>
        </w:rPr>
        <w:t xml:space="preserve"> experience</w:t>
      </w:r>
      <w:r w:rsidR="003F07D2">
        <w:rPr>
          <w:rFonts w:cs="Arial"/>
          <w:color w:val="000000"/>
          <w:szCs w:val="20"/>
          <w:lang w:eastAsia="en-GB"/>
        </w:rPr>
        <w:t xml:space="preserve"> that</w:t>
      </w:r>
      <w:r w:rsidR="00B73808">
        <w:rPr>
          <w:rFonts w:cs="Arial"/>
          <w:color w:val="000000"/>
          <w:szCs w:val="20"/>
          <w:lang w:eastAsia="en-GB"/>
        </w:rPr>
        <w:t xml:space="preserve"> most structured products are unsuited for retail investors in the first place. If the issuers are unable to model relevant </w:t>
      </w:r>
      <w:proofErr w:type="gramStart"/>
      <w:r w:rsidR="00B73808">
        <w:rPr>
          <w:rFonts w:cs="Arial"/>
          <w:color w:val="000000"/>
          <w:szCs w:val="20"/>
          <w:lang w:eastAsia="en-GB"/>
        </w:rPr>
        <w:t>scenarios</w:t>
      </w:r>
      <w:proofErr w:type="gramEnd"/>
      <w:r w:rsidR="00B73808">
        <w:rPr>
          <w:rFonts w:cs="Arial"/>
          <w:color w:val="000000"/>
          <w:szCs w:val="20"/>
          <w:lang w:eastAsia="en-GB"/>
        </w:rPr>
        <w:t xml:space="preserve"> they should probably not be selling these products at all.</w:t>
      </w:r>
    </w:p>
    <w:p w14:paraId="51CF6957" w14:textId="77777777" w:rsidR="00B73808" w:rsidRDefault="00B73808" w:rsidP="00454597">
      <w:pPr>
        <w:autoSpaceDE w:val="0"/>
        <w:autoSpaceDN w:val="0"/>
        <w:adjustRightInd w:val="0"/>
        <w:rPr>
          <w:rFonts w:cs="Arial"/>
          <w:color w:val="000000"/>
          <w:szCs w:val="20"/>
          <w:lang w:eastAsia="en-GB"/>
        </w:rPr>
      </w:pPr>
    </w:p>
    <w:p w14:paraId="7EA70E4E" w14:textId="6F74FEEC" w:rsidR="00B73808" w:rsidRPr="00454597" w:rsidRDefault="00B73808" w:rsidP="00454597">
      <w:pPr>
        <w:autoSpaceDE w:val="0"/>
        <w:autoSpaceDN w:val="0"/>
        <w:adjustRightInd w:val="0"/>
        <w:rPr>
          <w:rFonts w:cs="Arial"/>
          <w:color w:val="000000"/>
          <w:szCs w:val="20"/>
          <w:lang w:eastAsia="en-GB"/>
        </w:rPr>
      </w:pPr>
      <w:r>
        <w:rPr>
          <w:rFonts w:cs="Arial"/>
          <w:color w:val="000000"/>
          <w:szCs w:val="20"/>
          <w:lang w:eastAsia="en-GB"/>
        </w:rPr>
        <w:t>Below is a screenshot of a KID for an auto call issued by Danske Bank. It illustrates how automatic redemptions can have severely negative impact on expected yield. It also shows that only one out of 12 modelled outcomes results in a positive return. This information would be lost without intermediate scenarios</w:t>
      </w:r>
      <w:r w:rsidR="00CC606D">
        <w:rPr>
          <w:rFonts w:cs="Arial"/>
          <w:color w:val="000000"/>
          <w:szCs w:val="20"/>
          <w:lang w:eastAsia="en-GB"/>
        </w:rPr>
        <w:t xml:space="preserve"> and we can understand why the manufacturers would rather not disclose this.</w:t>
      </w:r>
    </w:p>
    <w:p w14:paraId="58E5E418" w14:textId="77777777" w:rsidR="00454597" w:rsidRPr="00454597" w:rsidRDefault="00454597" w:rsidP="00454597">
      <w:pPr>
        <w:autoSpaceDE w:val="0"/>
        <w:autoSpaceDN w:val="0"/>
        <w:adjustRightInd w:val="0"/>
        <w:rPr>
          <w:rFonts w:cs="Arial"/>
          <w:color w:val="000000"/>
          <w:szCs w:val="20"/>
          <w:lang w:eastAsia="en-GB"/>
        </w:rPr>
      </w:pPr>
    </w:p>
    <w:p w14:paraId="14B7371B" w14:textId="76C361C3" w:rsidR="00454597" w:rsidRPr="00B73808" w:rsidRDefault="00F10C88" w:rsidP="00454597">
      <w:pPr>
        <w:autoSpaceDE w:val="0"/>
        <w:autoSpaceDN w:val="0"/>
        <w:adjustRightInd w:val="0"/>
        <w:rPr>
          <w:rFonts w:cs="Arial"/>
          <w:color w:val="000000"/>
          <w:sz w:val="16"/>
          <w:szCs w:val="16"/>
          <w:lang w:eastAsia="en-GB"/>
        </w:rPr>
      </w:pPr>
      <w:hyperlink r:id="rId24" w:history="1">
        <w:r w:rsidR="00B73808" w:rsidRPr="00B73808">
          <w:rPr>
            <w:rStyle w:val="Hyperkobling"/>
            <w:sz w:val="16"/>
            <w:szCs w:val="16"/>
          </w:rPr>
          <w:t>https://priips.danskebank.com/w/show_priips.priips_dok?id=STN_Autocallable_FI4000375506_English&amp;lang=en</w:t>
        </w:r>
      </w:hyperlink>
    </w:p>
    <w:p w14:paraId="74EF7BA7" w14:textId="52C602FA" w:rsidR="003E573C" w:rsidRPr="00BF6F47" w:rsidRDefault="00454597" w:rsidP="00BF6F47">
      <w:pPr>
        <w:autoSpaceDE w:val="0"/>
        <w:autoSpaceDN w:val="0"/>
        <w:adjustRightInd w:val="0"/>
        <w:rPr>
          <w:rFonts w:cs="Arial"/>
          <w:color w:val="000000"/>
          <w:szCs w:val="20"/>
          <w:lang w:val="nb-NO" w:eastAsia="en-GB"/>
        </w:rPr>
      </w:pPr>
      <w:r>
        <w:rPr>
          <w:noProof/>
          <w:lang w:val="nb-NO" w:eastAsia="nb-NO"/>
        </w:rPr>
        <w:lastRenderedPageBreak/>
        <w:drawing>
          <wp:inline distT="0" distB="0" distL="0" distR="0" wp14:anchorId="7F99C708" wp14:editId="652B8E79">
            <wp:extent cx="5976620" cy="1365250"/>
            <wp:effectExtent l="0" t="0" r="5080" b="635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76620" cy="1365250"/>
                    </a:xfrm>
                    <a:prstGeom prst="rect">
                      <a:avLst/>
                    </a:prstGeom>
                  </pic:spPr>
                </pic:pic>
              </a:graphicData>
            </a:graphic>
          </wp:inline>
        </w:drawing>
      </w:r>
    </w:p>
    <w:permEnd w:id="569465455"/>
    <w:p w14:paraId="2267AC0F" w14:textId="326ED704" w:rsidR="003E573C" w:rsidRDefault="003E573C" w:rsidP="003E573C">
      <w:pPr>
        <w:rPr>
          <w:rFonts w:cs="Arial"/>
        </w:rPr>
      </w:pPr>
      <w:r>
        <w:rPr>
          <w:rFonts w:cs="Arial"/>
        </w:rPr>
        <w:t>&lt;ESA_QUESTION_PKID_7&gt;</w:t>
      </w:r>
    </w:p>
    <w:p w14:paraId="7E406E9F" w14:textId="77777777" w:rsidR="003E573C" w:rsidRDefault="003E573C" w:rsidP="003E573C">
      <w:pPr>
        <w:rPr>
          <w:rFonts w:cs="Arial"/>
        </w:rPr>
      </w:pPr>
    </w:p>
    <w:p w14:paraId="08E0CC4A" w14:textId="77777777" w:rsidR="003E573C" w:rsidRDefault="003E573C" w:rsidP="003E573C">
      <w:pPr>
        <w:pStyle w:val="Questionstyle"/>
        <w:numPr>
          <w:ilvl w:val="0"/>
          <w:numId w:val="39"/>
        </w:numPr>
      </w:pPr>
      <w:r>
        <w:t xml:space="preserve">: </w:t>
      </w:r>
      <w:r w:rsidRPr="009A68ED">
        <w:t>If a stress scenario is included in the presentation of future performance scenarios, should the methodology be modified?  If so, how?</w:t>
      </w:r>
    </w:p>
    <w:p w14:paraId="3309F68B" w14:textId="45EB381D" w:rsidR="003E573C" w:rsidRDefault="003E573C" w:rsidP="003E573C">
      <w:pPr>
        <w:rPr>
          <w:rFonts w:cs="Arial"/>
        </w:rPr>
      </w:pPr>
      <w:r>
        <w:rPr>
          <w:rFonts w:cs="Arial"/>
        </w:rPr>
        <w:t>&lt;ESA_QUESTION_PKID_8&gt;</w:t>
      </w:r>
    </w:p>
    <w:p w14:paraId="20440D29" w14:textId="15036981" w:rsidR="003E573C" w:rsidRDefault="00BF6F47" w:rsidP="003E573C">
      <w:pPr>
        <w:rPr>
          <w:rFonts w:cs="Arial"/>
        </w:rPr>
      </w:pPr>
      <w:permStart w:id="1713528049" w:edGrp="everyone"/>
      <w:r>
        <w:rPr>
          <w:rFonts w:cs="Arial"/>
        </w:rPr>
        <w:t xml:space="preserve">We understand that the current low interest rates and recent volatility has been abnormally low. However, a </w:t>
      </w:r>
      <w:proofErr w:type="gramStart"/>
      <w:r>
        <w:rPr>
          <w:rFonts w:cs="Arial"/>
        </w:rPr>
        <w:t>five year</w:t>
      </w:r>
      <w:proofErr w:type="gramEnd"/>
      <w:r>
        <w:rPr>
          <w:rFonts w:cs="Arial"/>
        </w:rPr>
        <w:t xml:space="preserve"> historic period is very short in the greater scheme of things. In comparison</w:t>
      </w:r>
      <w:r w:rsidR="003F07D2">
        <w:rPr>
          <w:rFonts w:cs="Arial"/>
        </w:rPr>
        <w:t>,</w:t>
      </w:r>
      <w:r>
        <w:rPr>
          <w:rFonts w:cs="Arial"/>
        </w:rPr>
        <w:t xml:space="preserve"> the US equity premium </w:t>
      </w:r>
      <w:proofErr w:type="gramStart"/>
      <w:r>
        <w:rPr>
          <w:rFonts w:cs="Arial"/>
        </w:rPr>
        <w:t>is calculated</w:t>
      </w:r>
      <w:proofErr w:type="gramEnd"/>
      <w:r>
        <w:rPr>
          <w:rFonts w:cs="Arial"/>
        </w:rPr>
        <w:t xml:space="preserve"> using a period of over 100 years. If we could suggest an alternative approach for calculating </w:t>
      </w:r>
      <w:proofErr w:type="gramStart"/>
      <w:r>
        <w:rPr>
          <w:rFonts w:cs="Arial"/>
        </w:rPr>
        <w:t>volatility</w:t>
      </w:r>
      <w:proofErr w:type="gramEnd"/>
      <w:r>
        <w:rPr>
          <w:rFonts w:cs="Arial"/>
        </w:rPr>
        <w:t xml:space="preserve"> we would extend the length over a much longer period of time. Prior to the financial crisis in </w:t>
      </w:r>
      <w:proofErr w:type="gramStart"/>
      <w:r>
        <w:rPr>
          <w:rFonts w:cs="Arial"/>
        </w:rPr>
        <w:t>2008</w:t>
      </w:r>
      <w:proofErr w:type="gramEnd"/>
      <w:r>
        <w:rPr>
          <w:rFonts w:cs="Arial"/>
        </w:rPr>
        <w:t xml:space="preserve"> the observed volatility was also abnormally low (if we recall correctly). In retrospect</w:t>
      </w:r>
      <w:r w:rsidR="003F07D2">
        <w:rPr>
          <w:rFonts w:cs="Arial"/>
        </w:rPr>
        <w:t>,</w:t>
      </w:r>
      <w:r w:rsidR="00327AAC">
        <w:rPr>
          <w:rFonts w:cs="Arial"/>
        </w:rPr>
        <w:t xml:space="preserve"> the short-term </w:t>
      </w:r>
      <w:r>
        <w:rPr>
          <w:rFonts w:cs="Arial"/>
        </w:rPr>
        <w:t>volatility was calm before the storm and turned out to have little predictive value of what happened next.</w:t>
      </w:r>
    </w:p>
    <w:p w14:paraId="5BDE3646" w14:textId="77777777" w:rsidR="00BF6F47" w:rsidRDefault="00BF6F47" w:rsidP="003E573C">
      <w:pPr>
        <w:rPr>
          <w:rFonts w:cs="Arial"/>
        </w:rPr>
      </w:pPr>
    </w:p>
    <w:p w14:paraId="3DC45B3F" w14:textId="0C9BEF41" w:rsidR="00BF6F47" w:rsidRDefault="00BF6F47" w:rsidP="003E573C">
      <w:pPr>
        <w:rPr>
          <w:rFonts w:cs="Arial"/>
        </w:rPr>
      </w:pPr>
      <w:r>
        <w:rPr>
          <w:rFonts w:cs="Arial"/>
        </w:rPr>
        <w:t>Finans Norge (Finance Norway</w:t>
      </w:r>
      <w:r w:rsidR="00327AAC">
        <w:rPr>
          <w:rFonts w:cs="Arial"/>
        </w:rPr>
        <w:t>)</w:t>
      </w:r>
      <w:r>
        <w:rPr>
          <w:rFonts w:cs="Arial"/>
        </w:rPr>
        <w:t xml:space="preserve">, </w:t>
      </w:r>
      <w:r w:rsidR="00327AAC">
        <w:rPr>
          <w:rFonts w:cs="Arial"/>
        </w:rPr>
        <w:t xml:space="preserve">which is </w:t>
      </w:r>
      <w:r>
        <w:rPr>
          <w:rFonts w:cs="Arial"/>
        </w:rPr>
        <w:t xml:space="preserve">an interest organization for </w:t>
      </w:r>
      <w:r w:rsidR="00327AAC">
        <w:rPr>
          <w:rFonts w:cs="Arial"/>
        </w:rPr>
        <w:t>f</w:t>
      </w:r>
      <w:r>
        <w:rPr>
          <w:rFonts w:cs="Arial"/>
        </w:rPr>
        <w:t xml:space="preserve">inancial </w:t>
      </w:r>
      <w:r w:rsidR="00327AAC">
        <w:rPr>
          <w:rFonts w:cs="Arial"/>
        </w:rPr>
        <w:t>c</w:t>
      </w:r>
      <w:r>
        <w:rPr>
          <w:rFonts w:cs="Arial"/>
        </w:rPr>
        <w:t>ompanies</w:t>
      </w:r>
      <w:r w:rsidR="00327AAC">
        <w:rPr>
          <w:rFonts w:cs="Arial"/>
        </w:rPr>
        <w:t xml:space="preserve"> in Norway,</w:t>
      </w:r>
      <w:r w:rsidR="00727C8D">
        <w:rPr>
          <w:rFonts w:cs="Arial"/>
        </w:rPr>
        <w:t xml:space="preserve"> have issued standard rates for the equity risk premium, equity volatility and interest rate risk premiums which the industry use in their forward looking performance scenarios. By using the same </w:t>
      </w:r>
      <w:proofErr w:type="gramStart"/>
      <w:r w:rsidR="00727C8D">
        <w:rPr>
          <w:rFonts w:cs="Arial"/>
        </w:rPr>
        <w:t>assumptions</w:t>
      </w:r>
      <w:proofErr w:type="gramEnd"/>
      <w:r w:rsidR="00727C8D">
        <w:rPr>
          <w:rFonts w:cs="Arial"/>
        </w:rPr>
        <w:t xml:space="preserve"> the industry avoids an unrealistic rat race where the winner is the </w:t>
      </w:r>
      <w:r w:rsidR="00CC606D">
        <w:rPr>
          <w:rFonts w:cs="Arial"/>
        </w:rPr>
        <w:t xml:space="preserve">most fanciful </w:t>
      </w:r>
      <w:r w:rsidR="00727C8D">
        <w:rPr>
          <w:rFonts w:cs="Arial"/>
        </w:rPr>
        <w:t xml:space="preserve">issuer who projects the highest expected return. This may be an alternative approach to </w:t>
      </w:r>
      <w:r w:rsidR="00CC606D">
        <w:rPr>
          <w:rFonts w:cs="Arial"/>
        </w:rPr>
        <w:t xml:space="preserve">only </w:t>
      </w:r>
      <w:r w:rsidR="00727C8D">
        <w:rPr>
          <w:rFonts w:cs="Arial"/>
        </w:rPr>
        <w:t>using five years historical data (noise) to predict the future.</w:t>
      </w:r>
    </w:p>
    <w:p w14:paraId="531F84C8" w14:textId="77777777" w:rsidR="00727C8D" w:rsidRDefault="00727C8D" w:rsidP="003E573C">
      <w:pPr>
        <w:rPr>
          <w:rFonts w:cs="Arial"/>
        </w:rPr>
      </w:pPr>
    </w:p>
    <w:p w14:paraId="5DD1954A" w14:textId="77777777" w:rsidR="00852288" w:rsidRDefault="00727C8D" w:rsidP="003E573C">
      <w:pPr>
        <w:rPr>
          <w:rFonts w:cs="Arial"/>
        </w:rPr>
      </w:pPr>
      <w:r>
        <w:rPr>
          <w:rFonts w:cs="Arial"/>
        </w:rPr>
        <w:t>This approach may not work on negative interest rates, but if the models does not permit negative growth rates maybe one could use zero growth as default under this circumstance.</w:t>
      </w:r>
    </w:p>
    <w:permEnd w:id="1713528049"/>
    <w:p w14:paraId="6DB9AF7D" w14:textId="4C59134B" w:rsidR="003E573C" w:rsidRDefault="003E573C" w:rsidP="003E573C">
      <w:pPr>
        <w:rPr>
          <w:rFonts w:cs="Arial"/>
        </w:rPr>
      </w:pPr>
      <w:r>
        <w:rPr>
          <w:rFonts w:cs="Arial"/>
        </w:rPr>
        <w:t>&lt;ESA_QUESTION_PKID_8&gt;</w:t>
      </w:r>
    </w:p>
    <w:p w14:paraId="078E4733" w14:textId="77777777" w:rsidR="003E573C" w:rsidRDefault="003E573C" w:rsidP="003E573C">
      <w:pPr>
        <w:rPr>
          <w:rFonts w:cs="Arial"/>
        </w:rPr>
      </w:pPr>
    </w:p>
    <w:p w14:paraId="784E1B82" w14:textId="77777777" w:rsidR="003E573C" w:rsidRDefault="003E573C" w:rsidP="003E573C">
      <w:pPr>
        <w:pStyle w:val="Questionstyle"/>
        <w:numPr>
          <w:ilvl w:val="0"/>
          <w:numId w:val="39"/>
        </w:numPr>
      </w:pPr>
      <w:r>
        <w:t xml:space="preserve">: </w:t>
      </w:r>
      <w:r w:rsidRPr="00763760">
        <w:t>Do you agree with how the reference rate is specified? If not, how should it be specified?</w:t>
      </w:r>
    </w:p>
    <w:p w14:paraId="67823BF7" w14:textId="5F86840C" w:rsidR="003E573C" w:rsidRDefault="003E573C" w:rsidP="003E573C">
      <w:pPr>
        <w:rPr>
          <w:rFonts w:cs="Arial"/>
        </w:rPr>
      </w:pPr>
      <w:r>
        <w:rPr>
          <w:rFonts w:cs="Arial"/>
        </w:rPr>
        <w:t>&lt;ESA_QUESTION_PKID_9&gt;</w:t>
      </w:r>
    </w:p>
    <w:p w14:paraId="5170A619" w14:textId="55363B65" w:rsidR="00DB37C5" w:rsidRDefault="00DB37C5" w:rsidP="003E573C">
      <w:pPr>
        <w:rPr>
          <w:rFonts w:cs="Arial"/>
        </w:rPr>
      </w:pPr>
      <w:permStart w:id="221670941" w:edGrp="everyone"/>
      <w:r>
        <w:rPr>
          <w:rFonts w:cs="Arial"/>
        </w:rPr>
        <w:t xml:space="preserve">We agree that reference rates based on academic consensus </w:t>
      </w:r>
      <w:r w:rsidR="00327AAC">
        <w:rPr>
          <w:rFonts w:cs="Arial"/>
        </w:rPr>
        <w:t>and risk premiums based on long-</w:t>
      </w:r>
      <w:r>
        <w:rPr>
          <w:rFonts w:cs="Arial"/>
        </w:rPr>
        <w:t>term data</w:t>
      </w:r>
      <w:r w:rsidR="00327AAC">
        <w:rPr>
          <w:rFonts w:cs="Arial"/>
        </w:rPr>
        <w:t xml:space="preserve"> </w:t>
      </w:r>
      <w:r>
        <w:rPr>
          <w:rFonts w:cs="Arial"/>
        </w:rPr>
        <w:t xml:space="preserve">series represent a reasonable approach. We may be more sceptical </w:t>
      </w:r>
      <w:r w:rsidR="00327AAC">
        <w:rPr>
          <w:rFonts w:cs="Arial"/>
        </w:rPr>
        <w:t>about using only five-</w:t>
      </w:r>
      <w:r>
        <w:rPr>
          <w:rFonts w:cs="Arial"/>
        </w:rPr>
        <w:t xml:space="preserve">year </w:t>
      </w:r>
      <w:proofErr w:type="gramStart"/>
      <w:r>
        <w:rPr>
          <w:rFonts w:cs="Arial"/>
        </w:rPr>
        <w:t>time frames</w:t>
      </w:r>
      <w:proofErr w:type="gramEnd"/>
      <w:r>
        <w:rPr>
          <w:rFonts w:cs="Arial"/>
        </w:rPr>
        <w:t xml:space="preserve"> for variance, skew and excess kurtosis of the return distribution. This </w:t>
      </w:r>
      <w:proofErr w:type="gramStart"/>
      <w:r>
        <w:rPr>
          <w:rFonts w:cs="Arial"/>
        </w:rPr>
        <w:t>time period</w:t>
      </w:r>
      <w:proofErr w:type="gramEnd"/>
      <w:r>
        <w:rPr>
          <w:rFonts w:cs="Arial"/>
        </w:rPr>
        <w:t xml:space="preserve"> seems too short to capture high volatility market conditions which in the past seems to occur with </w:t>
      </w:r>
      <w:r w:rsidR="00CC606D">
        <w:rPr>
          <w:rFonts w:cs="Arial"/>
        </w:rPr>
        <w:t xml:space="preserve">roughly </w:t>
      </w:r>
      <w:r>
        <w:rPr>
          <w:rFonts w:cs="Arial"/>
        </w:rPr>
        <w:t xml:space="preserve">10 +/- year intervals. </w:t>
      </w:r>
    </w:p>
    <w:p w14:paraId="6771C854" w14:textId="77777777" w:rsidR="002035ED" w:rsidRDefault="002035ED" w:rsidP="003E573C">
      <w:pPr>
        <w:rPr>
          <w:rFonts w:cs="Arial"/>
        </w:rPr>
      </w:pPr>
    </w:p>
    <w:p w14:paraId="0C25EEC5" w14:textId="4E6229FA" w:rsidR="002035ED" w:rsidRDefault="002035ED" w:rsidP="003E573C">
      <w:pPr>
        <w:rPr>
          <w:rFonts w:cs="Arial"/>
        </w:rPr>
      </w:pPr>
      <w:r>
        <w:rPr>
          <w:rFonts w:cs="Arial"/>
        </w:rPr>
        <w:t xml:space="preserve">To illustrate our point we enclose two volatility charts from </w:t>
      </w:r>
      <w:r w:rsidR="00DA51AB">
        <w:rPr>
          <w:rFonts w:cs="Arial"/>
        </w:rPr>
        <w:t xml:space="preserve">two academic papers on </w:t>
      </w:r>
      <w:proofErr w:type="gramStart"/>
      <w:r w:rsidR="00DA51AB">
        <w:rPr>
          <w:rFonts w:cs="Arial"/>
        </w:rPr>
        <w:t>volatility which</w:t>
      </w:r>
      <w:proofErr w:type="gramEnd"/>
      <w:r w:rsidR="00DA51AB">
        <w:rPr>
          <w:rFonts w:cs="Arial"/>
        </w:rPr>
        <w:t xml:space="preserve"> illustrates how relatively long periods of low volatility erupts in sudden bursts of high volatility. In our </w:t>
      </w:r>
      <w:proofErr w:type="gramStart"/>
      <w:r w:rsidR="00DA51AB">
        <w:rPr>
          <w:rFonts w:cs="Arial"/>
        </w:rPr>
        <w:t>opinion</w:t>
      </w:r>
      <w:proofErr w:type="gramEnd"/>
      <w:r w:rsidR="00DA51AB">
        <w:rPr>
          <w:rFonts w:cs="Arial"/>
        </w:rPr>
        <w:t xml:space="preserve"> it may thus be worthwhile to use longer time series also for volatility measures.</w:t>
      </w:r>
    </w:p>
    <w:p w14:paraId="14AC5060" w14:textId="77777777" w:rsidR="00DA51AB" w:rsidRDefault="00DA51AB" w:rsidP="003E573C">
      <w:pPr>
        <w:rPr>
          <w:rFonts w:cs="Arial"/>
        </w:rPr>
      </w:pPr>
    </w:p>
    <w:p w14:paraId="31943EC7" w14:textId="567BEE20" w:rsidR="00DA51AB" w:rsidRPr="00DA51AB" w:rsidRDefault="00F10C88" w:rsidP="003E573C">
      <w:pPr>
        <w:rPr>
          <w:rFonts w:cs="Arial"/>
          <w:sz w:val="16"/>
          <w:szCs w:val="16"/>
        </w:rPr>
      </w:pPr>
      <w:hyperlink r:id="rId26" w:history="1">
        <w:r w:rsidR="00DA51AB" w:rsidRPr="00DA51AB">
          <w:rPr>
            <w:rStyle w:val="Hyperkobling"/>
            <w:sz w:val="16"/>
            <w:szCs w:val="16"/>
          </w:rPr>
          <w:t>https://www.policyuncertainty.com/media/Policy%20News%20and%20Stock%20Market%20Volatility.pdf</w:t>
        </w:r>
      </w:hyperlink>
    </w:p>
    <w:p w14:paraId="122380E3" w14:textId="77777777" w:rsidR="002035ED" w:rsidRDefault="002035ED" w:rsidP="003E573C">
      <w:pPr>
        <w:rPr>
          <w:rFonts w:cs="Arial"/>
        </w:rPr>
      </w:pPr>
    </w:p>
    <w:p w14:paraId="40A951D5" w14:textId="79D699A4" w:rsidR="002035ED" w:rsidRDefault="002035ED" w:rsidP="003E573C">
      <w:pPr>
        <w:rPr>
          <w:rFonts w:cs="Arial"/>
        </w:rPr>
      </w:pPr>
      <w:r>
        <w:rPr>
          <w:noProof/>
          <w:lang w:val="nb-NO" w:eastAsia="nb-NO"/>
        </w:rPr>
        <w:lastRenderedPageBreak/>
        <w:drawing>
          <wp:inline distT="0" distB="0" distL="0" distR="0" wp14:anchorId="38D11A05" wp14:editId="5451F6B1">
            <wp:extent cx="5976620" cy="4476115"/>
            <wp:effectExtent l="0" t="0" r="5080" b="635"/>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76620" cy="4476115"/>
                    </a:xfrm>
                    <a:prstGeom prst="rect">
                      <a:avLst/>
                    </a:prstGeom>
                  </pic:spPr>
                </pic:pic>
              </a:graphicData>
            </a:graphic>
          </wp:inline>
        </w:drawing>
      </w:r>
    </w:p>
    <w:p w14:paraId="527BF5E6" w14:textId="77777777" w:rsidR="00DA51AB" w:rsidRDefault="00DA51AB" w:rsidP="003E573C">
      <w:pPr>
        <w:rPr>
          <w:rFonts w:cs="Arial"/>
        </w:rPr>
      </w:pPr>
    </w:p>
    <w:p w14:paraId="24DDD2DA" w14:textId="0743C827" w:rsidR="00DA51AB" w:rsidRDefault="00F10C88" w:rsidP="003E573C">
      <w:pPr>
        <w:rPr>
          <w:rFonts w:cs="Arial"/>
        </w:rPr>
      </w:pPr>
      <w:hyperlink r:id="rId28" w:history="1">
        <w:r w:rsidR="00DA51AB">
          <w:rPr>
            <w:rStyle w:val="Hyperkobling"/>
          </w:rPr>
          <w:t>https://www.nber.org/papers/w16976.pdf</w:t>
        </w:r>
      </w:hyperlink>
    </w:p>
    <w:p w14:paraId="64CB1D10" w14:textId="1B175A40" w:rsidR="00DA51AB" w:rsidRDefault="00DA51AB" w:rsidP="003E573C">
      <w:pPr>
        <w:rPr>
          <w:rFonts w:cs="Arial"/>
        </w:rPr>
      </w:pPr>
      <w:r>
        <w:rPr>
          <w:noProof/>
          <w:lang w:val="nb-NO" w:eastAsia="nb-NO"/>
        </w:rPr>
        <w:lastRenderedPageBreak/>
        <w:drawing>
          <wp:inline distT="0" distB="0" distL="0" distR="0" wp14:anchorId="69EDF8C1" wp14:editId="6141E1FE">
            <wp:extent cx="5976620" cy="4167505"/>
            <wp:effectExtent l="0" t="0" r="5080" b="4445"/>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976620" cy="4167505"/>
                    </a:xfrm>
                    <a:prstGeom prst="rect">
                      <a:avLst/>
                    </a:prstGeom>
                  </pic:spPr>
                </pic:pic>
              </a:graphicData>
            </a:graphic>
          </wp:inline>
        </w:drawing>
      </w:r>
    </w:p>
    <w:p w14:paraId="5F26EA11" w14:textId="77777777" w:rsidR="00DA51AB" w:rsidRDefault="00DA51AB" w:rsidP="003E573C">
      <w:pPr>
        <w:rPr>
          <w:rFonts w:cs="Arial"/>
        </w:rPr>
      </w:pPr>
    </w:p>
    <w:p w14:paraId="72EE86A8" w14:textId="77777777" w:rsidR="00DA51AB" w:rsidRDefault="00DA51AB" w:rsidP="003E573C">
      <w:pPr>
        <w:rPr>
          <w:rFonts w:cs="Arial"/>
        </w:rPr>
      </w:pPr>
    </w:p>
    <w:p w14:paraId="43B0DE3B" w14:textId="77777777" w:rsidR="00DA51AB" w:rsidRDefault="00DA51AB" w:rsidP="003E573C">
      <w:pPr>
        <w:rPr>
          <w:rFonts w:cs="Arial"/>
        </w:rPr>
      </w:pPr>
    </w:p>
    <w:permEnd w:id="221670941"/>
    <w:p w14:paraId="57161E15" w14:textId="69A0F288" w:rsidR="003E573C" w:rsidRDefault="003E573C" w:rsidP="003E573C">
      <w:pPr>
        <w:rPr>
          <w:rFonts w:cs="Arial"/>
        </w:rPr>
      </w:pPr>
      <w:r>
        <w:rPr>
          <w:rFonts w:cs="Arial"/>
        </w:rPr>
        <w:t>&lt;ESA_QUESTION_PKID_9&gt;</w:t>
      </w:r>
    </w:p>
    <w:p w14:paraId="068CFC66" w14:textId="77777777" w:rsidR="003E573C" w:rsidRDefault="003E573C" w:rsidP="003E573C">
      <w:pPr>
        <w:rPr>
          <w:rFonts w:cs="Arial"/>
        </w:rPr>
      </w:pPr>
    </w:p>
    <w:p w14:paraId="69BB96B1" w14:textId="77777777" w:rsidR="003E573C" w:rsidRDefault="003E573C" w:rsidP="003E573C">
      <w:pPr>
        <w:pStyle w:val="Questionstyle"/>
        <w:numPr>
          <w:ilvl w:val="0"/>
          <w:numId w:val="39"/>
        </w:numPr>
      </w:pPr>
      <w:bookmarkStart w:id="2" w:name="_Hlk18829484"/>
      <w:r>
        <w:t xml:space="preserve">: </w:t>
      </w:r>
      <w:r w:rsidRPr="00763760">
        <w:t xml:space="preserve">The revised methodology specifies that the risk premium is determined by future expected yields. The methodology further specifies that future expected yields should be determined by the composition of the PRIIP decomposed by asset class, country and sector or rating. Do you agree with this approach? If not, what approach would you favour? </w:t>
      </w:r>
      <w:bookmarkEnd w:id="2"/>
    </w:p>
    <w:p w14:paraId="5C90E2A2" w14:textId="3A274DAD" w:rsidR="003E573C" w:rsidRDefault="003E573C" w:rsidP="003E573C">
      <w:pPr>
        <w:rPr>
          <w:rFonts w:cs="Arial"/>
        </w:rPr>
      </w:pPr>
      <w:r>
        <w:rPr>
          <w:rFonts w:cs="Arial"/>
        </w:rPr>
        <w:t>&lt;ESA_QUESTION_PKID_10&gt;</w:t>
      </w:r>
    </w:p>
    <w:p w14:paraId="3D5354FE" w14:textId="19CF3088" w:rsidR="003E573C" w:rsidRDefault="00DA51AB" w:rsidP="003E573C">
      <w:pPr>
        <w:rPr>
          <w:rFonts w:cs="Arial"/>
        </w:rPr>
      </w:pPr>
      <w:permStart w:id="610013876" w:edGrp="everyone"/>
      <w:proofErr w:type="gramStart"/>
      <w:r>
        <w:rPr>
          <w:rFonts w:cs="Arial"/>
        </w:rPr>
        <w:t>Overall</w:t>
      </w:r>
      <w:proofErr w:type="gramEnd"/>
      <w:r>
        <w:rPr>
          <w:rFonts w:cs="Arial"/>
        </w:rPr>
        <w:t xml:space="preserve"> we agree with the revised methodology. It may be wise not </w:t>
      </w:r>
      <w:r w:rsidR="00327AAC">
        <w:rPr>
          <w:rFonts w:cs="Arial"/>
        </w:rPr>
        <w:t xml:space="preserve">to </w:t>
      </w:r>
      <w:r>
        <w:rPr>
          <w:rFonts w:cs="Arial"/>
        </w:rPr>
        <w:t xml:space="preserve">create a proliferation of different rates by creating too many sub segments. </w:t>
      </w:r>
      <w:r w:rsidR="002B0B1F">
        <w:rPr>
          <w:rFonts w:cs="Arial"/>
        </w:rPr>
        <w:t xml:space="preserve">We may for instance question the need to break the rates into different sectors. One sector with an historical high yield need not deliver superior future yields to a sector with historic low yields. </w:t>
      </w:r>
      <w:r w:rsidR="00CC606D">
        <w:rPr>
          <w:rFonts w:cs="Arial"/>
        </w:rPr>
        <w:t>Rather the opposite tends to happen with mean reversion.</w:t>
      </w:r>
    </w:p>
    <w:permEnd w:id="610013876"/>
    <w:p w14:paraId="40F05C94" w14:textId="5772AA56" w:rsidR="003E573C" w:rsidRDefault="003E573C" w:rsidP="003E573C">
      <w:pPr>
        <w:rPr>
          <w:rFonts w:cs="Arial"/>
        </w:rPr>
      </w:pPr>
      <w:r>
        <w:rPr>
          <w:rFonts w:cs="Arial"/>
        </w:rPr>
        <w:t>&lt;ESA_QUESTION_PKID_10&gt;</w:t>
      </w:r>
    </w:p>
    <w:p w14:paraId="601C7E78" w14:textId="77777777" w:rsidR="003E573C" w:rsidRDefault="003E573C" w:rsidP="003E573C">
      <w:pPr>
        <w:rPr>
          <w:rFonts w:cs="Arial"/>
        </w:rPr>
      </w:pPr>
    </w:p>
    <w:p w14:paraId="402CA03A" w14:textId="77777777" w:rsidR="003E573C" w:rsidRDefault="003E573C" w:rsidP="003E573C">
      <w:pPr>
        <w:pStyle w:val="Questionstyle"/>
        <w:numPr>
          <w:ilvl w:val="0"/>
          <w:numId w:val="39"/>
        </w:numPr>
      </w:pPr>
      <w:r>
        <w:t xml:space="preserve">: </w:t>
      </w:r>
      <w:r w:rsidRPr="00763760">
        <w:t>The ESAs are aware that historical dividend rates can be averaged over different time spans or that expected dividend rates can be read from market data providers or obtained from analyst reports. How should the expected dividend rates be determined?</w:t>
      </w:r>
    </w:p>
    <w:p w14:paraId="0B0BBAB9" w14:textId="6C34D7F8" w:rsidR="003E573C" w:rsidRDefault="003E573C" w:rsidP="003E573C">
      <w:pPr>
        <w:rPr>
          <w:rFonts w:cs="Arial"/>
        </w:rPr>
      </w:pPr>
      <w:r>
        <w:rPr>
          <w:rFonts w:cs="Arial"/>
        </w:rPr>
        <w:t>&lt;ESA_QUESTION_PKID_11&gt;</w:t>
      </w:r>
    </w:p>
    <w:p w14:paraId="527A4C9E" w14:textId="1B5F295B" w:rsidR="002B0B1F" w:rsidRDefault="002B0B1F" w:rsidP="003E573C">
      <w:pPr>
        <w:rPr>
          <w:rFonts w:cs="Arial"/>
        </w:rPr>
      </w:pPr>
      <w:permStart w:id="790175202" w:edGrp="everyone"/>
      <w:r>
        <w:rPr>
          <w:rFonts w:cs="Arial"/>
        </w:rPr>
        <w:t>In general</w:t>
      </w:r>
      <w:r w:rsidR="00327AAC">
        <w:rPr>
          <w:rFonts w:cs="Arial"/>
        </w:rPr>
        <w:t>,</w:t>
      </w:r>
      <w:r>
        <w:rPr>
          <w:rFonts w:cs="Arial"/>
        </w:rPr>
        <w:t xml:space="preserve"> the longer the time series</w:t>
      </w:r>
      <w:r w:rsidR="00327AAC">
        <w:rPr>
          <w:rFonts w:cs="Arial"/>
        </w:rPr>
        <w:t>,</w:t>
      </w:r>
      <w:r>
        <w:rPr>
          <w:rFonts w:cs="Arial"/>
        </w:rPr>
        <w:t xml:space="preserve"> the better.</w:t>
      </w:r>
    </w:p>
    <w:permEnd w:id="790175202"/>
    <w:p w14:paraId="140C09C0" w14:textId="38DA2509" w:rsidR="003E573C" w:rsidRDefault="003E573C" w:rsidP="003E573C">
      <w:pPr>
        <w:rPr>
          <w:rFonts w:cs="Arial"/>
        </w:rPr>
      </w:pPr>
      <w:r>
        <w:rPr>
          <w:rFonts w:cs="Arial"/>
        </w:rPr>
        <w:t>&lt;ESA_QUESTION_PKID_11&gt;</w:t>
      </w:r>
    </w:p>
    <w:p w14:paraId="2CDEB4F0" w14:textId="77777777" w:rsidR="003E573C" w:rsidRDefault="003E573C" w:rsidP="003E573C">
      <w:pPr>
        <w:rPr>
          <w:rFonts w:cs="Arial"/>
        </w:rPr>
      </w:pPr>
    </w:p>
    <w:p w14:paraId="76D018C7" w14:textId="77777777" w:rsidR="003E573C" w:rsidRDefault="003E573C" w:rsidP="003E573C">
      <w:pPr>
        <w:pStyle w:val="Questionstyle"/>
        <w:numPr>
          <w:ilvl w:val="0"/>
          <w:numId w:val="39"/>
        </w:numPr>
      </w:pPr>
      <w:r>
        <w:lastRenderedPageBreak/>
        <w:t xml:space="preserve">: </w:t>
      </w:r>
      <w:r w:rsidRPr="00763760">
        <w:t>How should share buyback rates be estimated?</w:t>
      </w:r>
    </w:p>
    <w:p w14:paraId="28536FF9" w14:textId="401B25A7" w:rsidR="003E573C" w:rsidRDefault="003E573C" w:rsidP="003E573C">
      <w:pPr>
        <w:rPr>
          <w:rFonts w:cs="Arial"/>
        </w:rPr>
      </w:pPr>
      <w:r>
        <w:rPr>
          <w:rFonts w:cs="Arial"/>
        </w:rPr>
        <w:t>&lt;ESA_QUESTION_PKID_12&gt;</w:t>
      </w:r>
    </w:p>
    <w:p w14:paraId="23FB69AB" w14:textId="146618A9" w:rsidR="003E573C" w:rsidRDefault="002B0B1F" w:rsidP="003E573C">
      <w:pPr>
        <w:rPr>
          <w:rFonts w:cs="Arial"/>
        </w:rPr>
      </w:pPr>
      <w:permStart w:id="800330460" w:edGrp="everyone"/>
      <w:r>
        <w:rPr>
          <w:rFonts w:cs="Arial"/>
        </w:rPr>
        <w:t>NA</w:t>
      </w:r>
    </w:p>
    <w:permEnd w:id="800330460"/>
    <w:p w14:paraId="7F118029" w14:textId="1230F4FD" w:rsidR="003E573C" w:rsidRDefault="003E573C" w:rsidP="003E573C">
      <w:pPr>
        <w:rPr>
          <w:rFonts w:cs="Arial"/>
        </w:rPr>
      </w:pPr>
      <w:r>
        <w:rPr>
          <w:rFonts w:cs="Arial"/>
        </w:rPr>
        <w:t>&lt;ESA_QUESTION_PKID_12&gt;</w:t>
      </w:r>
    </w:p>
    <w:p w14:paraId="5D6EAA31" w14:textId="77777777" w:rsidR="003E573C" w:rsidRDefault="003E573C" w:rsidP="003E573C">
      <w:pPr>
        <w:rPr>
          <w:rFonts w:cs="Arial"/>
        </w:rPr>
      </w:pPr>
    </w:p>
    <w:p w14:paraId="7983F908" w14:textId="77777777" w:rsidR="003E573C" w:rsidRDefault="003E573C" w:rsidP="003E573C">
      <w:pPr>
        <w:pStyle w:val="Questionstyle"/>
        <w:numPr>
          <w:ilvl w:val="0"/>
          <w:numId w:val="39"/>
        </w:numPr>
      </w:pPr>
      <w:r>
        <w:t xml:space="preserve">: </w:t>
      </w:r>
      <w:r w:rsidRPr="00763760">
        <w:t>Do you agree with the approach for money-market funds?  Are there other assets which may require a similar specific provisions?</w:t>
      </w:r>
    </w:p>
    <w:p w14:paraId="56F5A2F0" w14:textId="77D64AD7" w:rsidR="003E573C" w:rsidRDefault="003E573C" w:rsidP="003E573C">
      <w:pPr>
        <w:rPr>
          <w:rFonts w:cs="Arial"/>
        </w:rPr>
      </w:pPr>
      <w:r>
        <w:rPr>
          <w:rFonts w:cs="Arial"/>
        </w:rPr>
        <w:t>&lt;ESA_QUESTION_PKID_13&gt;</w:t>
      </w:r>
    </w:p>
    <w:p w14:paraId="7E245CCA" w14:textId="7503AE1B" w:rsidR="00726E6C" w:rsidRDefault="00726E6C" w:rsidP="003E573C">
      <w:pPr>
        <w:rPr>
          <w:rFonts w:cs="Arial"/>
        </w:rPr>
      </w:pPr>
      <w:permStart w:id="1179406826" w:edGrp="everyone"/>
      <w:r>
        <w:rPr>
          <w:rFonts w:cs="Arial"/>
        </w:rPr>
        <w:t xml:space="preserve">We believe the probabilistic method represents a good approach for equity based products and options. Once we introduce interest rate based </w:t>
      </w:r>
      <w:proofErr w:type="gramStart"/>
      <w:r>
        <w:rPr>
          <w:rFonts w:cs="Arial"/>
        </w:rPr>
        <w:t>products</w:t>
      </w:r>
      <w:proofErr w:type="gramEnd"/>
      <w:r>
        <w:rPr>
          <w:rFonts w:cs="Arial"/>
        </w:rPr>
        <w:t xml:space="preserve"> it becomes trickier as we do not believe we can identify an empirical growth rate for the level of interest rates.</w:t>
      </w:r>
    </w:p>
    <w:p w14:paraId="293B3D71" w14:textId="77777777" w:rsidR="00726E6C" w:rsidRDefault="00726E6C" w:rsidP="003E573C">
      <w:pPr>
        <w:rPr>
          <w:rFonts w:cs="Arial"/>
        </w:rPr>
      </w:pPr>
    </w:p>
    <w:p w14:paraId="0EE4956C" w14:textId="166580DE" w:rsidR="00B113F5" w:rsidRDefault="00726E6C" w:rsidP="003E573C">
      <w:pPr>
        <w:rPr>
          <w:rFonts w:cs="Arial"/>
        </w:rPr>
      </w:pPr>
      <w:r>
        <w:rPr>
          <w:rFonts w:cs="Arial"/>
        </w:rPr>
        <w:t>This also applies for h</w:t>
      </w:r>
      <w:r w:rsidR="00B113F5">
        <w:rPr>
          <w:rFonts w:cs="Arial"/>
        </w:rPr>
        <w:t xml:space="preserve">ybrid </w:t>
      </w:r>
      <w:proofErr w:type="gramStart"/>
      <w:r w:rsidR="00B113F5">
        <w:rPr>
          <w:rFonts w:cs="Arial"/>
        </w:rPr>
        <w:t xml:space="preserve">funds </w:t>
      </w:r>
      <w:r>
        <w:rPr>
          <w:rFonts w:cs="Arial"/>
        </w:rPr>
        <w:t>which</w:t>
      </w:r>
      <w:proofErr w:type="gramEnd"/>
      <w:r>
        <w:rPr>
          <w:rFonts w:cs="Arial"/>
        </w:rPr>
        <w:t xml:space="preserve"> </w:t>
      </w:r>
      <w:r w:rsidR="00B113F5">
        <w:rPr>
          <w:rFonts w:cs="Arial"/>
        </w:rPr>
        <w:t>has gained much popularity among Norwegian consumers - particularly as an asset class in pension scheme</w:t>
      </w:r>
      <w:r w:rsidR="00F10C88">
        <w:rPr>
          <w:rFonts w:cs="Arial"/>
        </w:rPr>
        <w:t>s</w:t>
      </w:r>
      <w:r w:rsidR="00B113F5">
        <w:rPr>
          <w:rFonts w:cs="Arial"/>
        </w:rPr>
        <w:t xml:space="preserve">. </w:t>
      </w:r>
    </w:p>
    <w:p w14:paraId="5D97E42F" w14:textId="77777777" w:rsidR="00B113F5" w:rsidRDefault="00B113F5" w:rsidP="003E573C">
      <w:pPr>
        <w:rPr>
          <w:rFonts w:cs="Arial"/>
        </w:rPr>
      </w:pPr>
    </w:p>
    <w:p w14:paraId="539B398A" w14:textId="76BA198C" w:rsidR="00565D32" w:rsidRDefault="00606152" w:rsidP="003E573C">
      <w:pPr>
        <w:rPr>
          <w:rFonts w:cs="Arial"/>
        </w:rPr>
      </w:pPr>
      <w:r>
        <w:rPr>
          <w:rFonts w:cs="Arial"/>
        </w:rPr>
        <w:t xml:space="preserve">The national experience on hybrid funds (UCITS fund combining stock and money-market funds) is that several </w:t>
      </w:r>
      <w:r w:rsidR="00565D32">
        <w:rPr>
          <w:rFonts w:cs="Arial"/>
        </w:rPr>
        <w:t xml:space="preserve">of these funds are </w:t>
      </w:r>
      <w:r w:rsidR="00F10C88">
        <w:rPr>
          <w:rFonts w:cs="Arial"/>
        </w:rPr>
        <w:t xml:space="preserve">marketed with government bond </w:t>
      </w:r>
      <w:proofErr w:type="gramStart"/>
      <w:r w:rsidR="00F10C88">
        <w:rPr>
          <w:rFonts w:cs="Arial"/>
        </w:rPr>
        <w:t>benchmarks which</w:t>
      </w:r>
      <w:proofErr w:type="gramEnd"/>
      <w:r w:rsidR="00F10C88">
        <w:rPr>
          <w:rFonts w:cs="Arial"/>
        </w:rPr>
        <w:t xml:space="preserve"> do not reflect the actual credit or duration risk of the actual fund portfolios. As a </w:t>
      </w:r>
      <w:proofErr w:type="gramStart"/>
      <w:r w:rsidR="00F10C88">
        <w:rPr>
          <w:rFonts w:cs="Arial"/>
        </w:rPr>
        <w:t>result</w:t>
      </w:r>
      <w:proofErr w:type="gramEnd"/>
      <w:r w:rsidR="00F10C88">
        <w:rPr>
          <w:rFonts w:cs="Arial"/>
        </w:rPr>
        <w:t xml:space="preserve"> these funds typically show an over-performance which would vanish with a m</w:t>
      </w:r>
      <w:r w:rsidR="00726E6C">
        <w:rPr>
          <w:rFonts w:cs="Arial"/>
        </w:rPr>
        <w:t xml:space="preserve">ore representative benchmark. The inherent deficiency of the indexes </w:t>
      </w:r>
      <w:proofErr w:type="gramStart"/>
      <w:r w:rsidR="00726E6C">
        <w:rPr>
          <w:rFonts w:cs="Arial"/>
        </w:rPr>
        <w:t>are typically not communicated</w:t>
      </w:r>
      <w:proofErr w:type="gramEnd"/>
      <w:r w:rsidR="00726E6C">
        <w:rPr>
          <w:rFonts w:cs="Arial"/>
        </w:rPr>
        <w:t xml:space="preserve"> to the consumers.</w:t>
      </w:r>
      <w:r>
        <w:rPr>
          <w:rFonts w:cs="Arial"/>
        </w:rPr>
        <w:t xml:space="preserve"> </w:t>
      </w:r>
      <w:proofErr w:type="gramStart"/>
      <w:r>
        <w:rPr>
          <w:rFonts w:cs="Arial"/>
        </w:rPr>
        <w:t xml:space="preserve">This has </w:t>
      </w:r>
      <w:r w:rsidR="00726E6C">
        <w:rPr>
          <w:rFonts w:cs="Arial"/>
        </w:rPr>
        <w:t xml:space="preserve">been </w:t>
      </w:r>
      <w:r>
        <w:rPr>
          <w:rFonts w:cs="Arial"/>
        </w:rPr>
        <w:t xml:space="preserve">pointed out </w:t>
      </w:r>
      <w:r w:rsidR="00726E6C">
        <w:rPr>
          <w:rFonts w:cs="Arial"/>
        </w:rPr>
        <w:t xml:space="preserve">by </w:t>
      </w:r>
      <w:r>
        <w:rPr>
          <w:rFonts w:cs="Arial"/>
        </w:rPr>
        <w:t>the Norwegian FSA</w:t>
      </w:r>
      <w:proofErr w:type="gramEnd"/>
      <w:r>
        <w:rPr>
          <w:rFonts w:cs="Arial"/>
        </w:rPr>
        <w:t>, but hybrid fund providers</w:t>
      </w:r>
      <w:r w:rsidR="00726E6C">
        <w:rPr>
          <w:rFonts w:cs="Arial"/>
        </w:rPr>
        <w:t xml:space="preserve"> have in general not changed their approach.</w:t>
      </w:r>
      <w:r>
        <w:rPr>
          <w:rFonts w:cs="Arial"/>
        </w:rPr>
        <w:t xml:space="preserve"> </w:t>
      </w:r>
    </w:p>
    <w:p w14:paraId="37D471CF" w14:textId="77777777" w:rsidR="00565D32" w:rsidRDefault="00565D32" w:rsidP="003E573C">
      <w:pPr>
        <w:rPr>
          <w:rFonts w:cs="Arial"/>
        </w:rPr>
      </w:pPr>
    </w:p>
    <w:p w14:paraId="2878B4EB" w14:textId="483B49C3" w:rsidR="003E573C" w:rsidRDefault="00565D32" w:rsidP="003E573C">
      <w:pPr>
        <w:rPr>
          <w:rFonts w:cs="Arial"/>
        </w:rPr>
      </w:pPr>
      <w:r>
        <w:rPr>
          <w:rFonts w:cs="Arial"/>
        </w:rPr>
        <w:t xml:space="preserve">In </w:t>
      </w:r>
      <w:proofErr w:type="gramStart"/>
      <w:r>
        <w:rPr>
          <w:rFonts w:cs="Arial"/>
        </w:rPr>
        <w:t>2019</w:t>
      </w:r>
      <w:proofErr w:type="gramEnd"/>
      <w:r>
        <w:rPr>
          <w:rFonts w:cs="Arial"/>
        </w:rPr>
        <w:t xml:space="preserve"> </w:t>
      </w:r>
      <w:r w:rsidR="00726E6C">
        <w:rPr>
          <w:rFonts w:cs="Arial"/>
        </w:rPr>
        <w:t xml:space="preserve">the NCC has </w:t>
      </w:r>
      <w:r w:rsidR="00606152">
        <w:rPr>
          <w:rFonts w:cs="Arial"/>
        </w:rPr>
        <w:t xml:space="preserve">identified </w:t>
      </w:r>
      <w:r w:rsidR="00726E6C">
        <w:rPr>
          <w:rFonts w:cs="Arial"/>
        </w:rPr>
        <w:t xml:space="preserve">that there is still </w:t>
      </w:r>
      <w:r w:rsidR="00606152">
        <w:rPr>
          <w:rFonts w:cs="Arial"/>
        </w:rPr>
        <w:t xml:space="preserve">lack of </w:t>
      </w:r>
      <w:r w:rsidR="00606152" w:rsidRPr="00606152">
        <w:rPr>
          <w:rFonts w:cs="Arial"/>
        </w:rPr>
        <w:t>compliance</w:t>
      </w:r>
      <w:r w:rsidR="00606152">
        <w:rPr>
          <w:rFonts w:cs="Arial"/>
        </w:rPr>
        <w:t xml:space="preserve"> </w:t>
      </w:r>
      <w:r>
        <w:rPr>
          <w:rFonts w:cs="Arial"/>
        </w:rPr>
        <w:t xml:space="preserve">on this matter </w:t>
      </w:r>
      <w:r w:rsidR="00606152">
        <w:rPr>
          <w:rFonts w:cs="Arial"/>
        </w:rPr>
        <w:t xml:space="preserve">and published our results in </w:t>
      </w:r>
      <w:hyperlink r:id="rId30" w:history="1">
        <w:r w:rsidR="00606152">
          <w:rPr>
            <w:rStyle w:val="Hyperkobling"/>
          </w:rPr>
          <w:t>https://fil.forbrukerradet.no/wp-content/uploads/2019/10/rapport-kombinasjonsfond-og-fondsprofiler.pdf</w:t>
        </w:r>
      </w:hyperlink>
      <w:r w:rsidR="00606152">
        <w:t xml:space="preserve"> (Norwegian only). </w:t>
      </w:r>
    </w:p>
    <w:permEnd w:id="1179406826"/>
    <w:p w14:paraId="39C16C25" w14:textId="3392909E" w:rsidR="003E573C" w:rsidRDefault="003E573C" w:rsidP="003E573C">
      <w:pPr>
        <w:rPr>
          <w:rFonts w:cs="Arial"/>
        </w:rPr>
      </w:pPr>
      <w:r>
        <w:rPr>
          <w:rFonts w:cs="Arial"/>
        </w:rPr>
        <w:t>&lt;ESA_QUESTION_PKID_13&gt;</w:t>
      </w:r>
    </w:p>
    <w:p w14:paraId="4C5E99F0" w14:textId="77777777" w:rsidR="003E573C" w:rsidRDefault="003E573C" w:rsidP="003E573C">
      <w:pPr>
        <w:rPr>
          <w:rFonts w:cs="Arial"/>
        </w:rPr>
      </w:pPr>
    </w:p>
    <w:p w14:paraId="64446580" w14:textId="77777777" w:rsidR="003E573C" w:rsidRDefault="003E573C" w:rsidP="003E573C">
      <w:pPr>
        <w:pStyle w:val="Questionstyle"/>
        <w:numPr>
          <w:ilvl w:val="0"/>
          <w:numId w:val="39"/>
        </w:numPr>
      </w:pPr>
      <w:r>
        <w:t xml:space="preserve">: </w:t>
      </w:r>
      <w:r w:rsidRPr="00763760">
        <w:t>The methodology proposes that the future variance be estimated from the 5-year history of daily returns. Should the volatility implied by option prices be used instead?  If so, what estimate should be used if option prices are not available for a particular asset (equities namely)?</w:t>
      </w:r>
    </w:p>
    <w:p w14:paraId="2EF6CD1F" w14:textId="05D39052" w:rsidR="003E573C" w:rsidRDefault="003E573C" w:rsidP="003E573C">
      <w:pPr>
        <w:rPr>
          <w:rFonts w:cs="Arial"/>
        </w:rPr>
      </w:pPr>
      <w:r>
        <w:rPr>
          <w:rFonts w:cs="Arial"/>
        </w:rPr>
        <w:t>&lt;ESA_QUESTION_PKID_14&gt;</w:t>
      </w:r>
    </w:p>
    <w:p w14:paraId="4D27EE23" w14:textId="28246352" w:rsidR="003E573C" w:rsidRDefault="006441AC" w:rsidP="003E573C">
      <w:pPr>
        <w:rPr>
          <w:rFonts w:cs="Arial"/>
        </w:rPr>
      </w:pPr>
      <w:permStart w:id="1646396141" w:edGrp="everyone"/>
      <w:r>
        <w:rPr>
          <w:rFonts w:cs="Arial"/>
        </w:rPr>
        <w:t>See our answer on Q8</w:t>
      </w:r>
      <w:r w:rsidR="007B54DE">
        <w:rPr>
          <w:rFonts w:cs="Arial"/>
        </w:rPr>
        <w:t xml:space="preserve">. We believe </w:t>
      </w:r>
      <w:r w:rsidR="00327AAC">
        <w:rPr>
          <w:rFonts w:cs="Arial"/>
        </w:rPr>
        <w:t>th</w:t>
      </w:r>
      <w:r w:rsidR="007B54DE">
        <w:rPr>
          <w:rFonts w:cs="Arial"/>
        </w:rPr>
        <w:t>a</w:t>
      </w:r>
      <w:r w:rsidR="00327AAC">
        <w:rPr>
          <w:rFonts w:cs="Arial"/>
        </w:rPr>
        <w:t>t five-</w:t>
      </w:r>
      <w:r w:rsidR="007B54DE">
        <w:rPr>
          <w:rFonts w:cs="Arial"/>
        </w:rPr>
        <w:t xml:space="preserve">year time series </w:t>
      </w:r>
      <w:r w:rsidR="00327AAC">
        <w:rPr>
          <w:rFonts w:cs="Arial"/>
        </w:rPr>
        <w:t>are</w:t>
      </w:r>
      <w:r w:rsidR="007B54DE">
        <w:rPr>
          <w:rFonts w:cs="Arial"/>
        </w:rPr>
        <w:t xml:space="preserve"> too short to capture expected average volatility. </w:t>
      </w:r>
      <w:proofErr w:type="gramStart"/>
      <w:r w:rsidR="007B54DE">
        <w:rPr>
          <w:rFonts w:cs="Arial"/>
        </w:rPr>
        <w:t>Otherwise</w:t>
      </w:r>
      <w:proofErr w:type="gramEnd"/>
      <w:r w:rsidR="007B54DE">
        <w:rPr>
          <w:rFonts w:cs="Arial"/>
        </w:rPr>
        <w:t xml:space="preserve"> we </w:t>
      </w:r>
      <w:r>
        <w:rPr>
          <w:rFonts w:cs="Arial"/>
        </w:rPr>
        <w:t xml:space="preserve">have no opinion on </w:t>
      </w:r>
      <w:r w:rsidR="007B54DE">
        <w:rPr>
          <w:rFonts w:cs="Arial"/>
        </w:rPr>
        <w:t xml:space="preserve">what is the best alternative of </w:t>
      </w:r>
      <w:r>
        <w:rPr>
          <w:rFonts w:cs="Arial"/>
        </w:rPr>
        <w:t>implied option price volatility or historic daily returns.</w:t>
      </w:r>
    </w:p>
    <w:permEnd w:id="1646396141"/>
    <w:p w14:paraId="0FE78052" w14:textId="5A9B589A" w:rsidR="003E573C" w:rsidRDefault="003E573C" w:rsidP="003E573C">
      <w:pPr>
        <w:rPr>
          <w:rFonts w:cs="Arial"/>
        </w:rPr>
      </w:pPr>
      <w:r>
        <w:rPr>
          <w:rFonts w:cs="Arial"/>
        </w:rPr>
        <w:t>&lt;ESA_QUESTION_PKID_14&gt;</w:t>
      </w:r>
    </w:p>
    <w:p w14:paraId="3F3287D4" w14:textId="77777777" w:rsidR="003E573C" w:rsidRDefault="003E573C" w:rsidP="003E573C">
      <w:pPr>
        <w:rPr>
          <w:rFonts w:cs="Arial"/>
        </w:rPr>
      </w:pPr>
    </w:p>
    <w:p w14:paraId="1091B925" w14:textId="77777777" w:rsidR="003E573C" w:rsidRDefault="003E573C" w:rsidP="003E573C">
      <w:pPr>
        <w:pStyle w:val="Questionstyle"/>
        <w:numPr>
          <w:ilvl w:val="0"/>
          <w:numId w:val="39"/>
        </w:numPr>
      </w:pPr>
      <w:r>
        <w:t xml:space="preserve">: </w:t>
      </w:r>
      <w:r w:rsidRPr="00763760">
        <w:t>Do you think compensatory mechanisms for unforeseen methodological faults are needed?  If yes, please explain why.</w:t>
      </w:r>
    </w:p>
    <w:p w14:paraId="41786DD9" w14:textId="49DD101A" w:rsidR="003E573C" w:rsidRDefault="003E573C" w:rsidP="003E573C">
      <w:pPr>
        <w:rPr>
          <w:rFonts w:cs="Arial"/>
        </w:rPr>
      </w:pPr>
      <w:r>
        <w:rPr>
          <w:rFonts w:cs="Arial"/>
        </w:rPr>
        <w:t>&lt;ESA_QUESTION_PKID_15&gt;</w:t>
      </w:r>
    </w:p>
    <w:p w14:paraId="441AFA85" w14:textId="5194E260" w:rsidR="003E573C" w:rsidRDefault="000122DF" w:rsidP="003E573C">
      <w:pPr>
        <w:rPr>
          <w:rFonts w:cs="Arial"/>
        </w:rPr>
      </w:pPr>
      <w:permStart w:id="1271138379" w:edGrp="everyone"/>
      <w:r>
        <w:rPr>
          <w:rFonts w:cs="Arial"/>
        </w:rPr>
        <w:t xml:space="preserve">We are sceptical </w:t>
      </w:r>
      <w:r w:rsidR="00327AAC">
        <w:rPr>
          <w:rFonts w:cs="Arial"/>
        </w:rPr>
        <w:t>about</w:t>
      </w:r>
      <w:r>
        <w:rPr>
          <w:rFonts w:cs="Arial"/>
        </w:rPr>
        <w:t xml:space="preserve"> accepting too much leeway for the suppliers to use other methods if they are unhappy with the forecast. The recent past has shown that a significant number of structured products sold to retail investors indeed have a negative expected return profile. If issuers can claim methodological faults and create alternative forecasting methods for their particular products</w:t>
      </w:r>
      <w:r w:rsidR="00327AAC">
        <w:rPr>
          <w:rFonts w:cs="Arial"/>
        </w:rPr>
        <w:t>,</w:t>
      </w:r>
      <w:r>
        <w:rPr>
          <w:rFonts w:cs="Arial"/>
        </w:rPr>
        <w:t xml:space="preserve"> they will do so </w:t>
      </w:r>
      <w:r w:rsidR="00327AAC">
        <w:rPr>
          <w:rFonts w:cs="Arial"/>
        </w:rPr>
        <w:t>at</w:t>
      </w:r>
      <w:r>
        <w:rPr>
          <w:rFonts w:cs="Arial"/>
        </w:rPr>
        <w:t xml:space="preserve"> the typical detriment of the retail investor. If there are methodological faults</w:t>
      </w:r>
      <w:r w:rsidR="00327AAC">
        <w:rPr>
          <w:rFonts w:cs="Arial"/>
        </w:rPr>
        <w:t>,</w:t>
      </w:r>
      <w:r>
        <w:rPr>
          <w:rFonts w:cs="Arial"/>
        </w:rPr>
        <w:t xml:space="preserve"> this needs to </w:t>
      </w:r>
      <w:proofErr w:type="gramStart"/>
      <w:r>
        <w:rPr>
          <w:rFonts w:cs="Arial"/>
        </w:rPr>
        <w:t>be fixed</w:t>
      </w:r>
      <w:proofErr w:type="gramEnd"/>
      <w:r>
        <w:rPr>
          <w:rFonts w:cs="Arial"/>
        </w:rPr>
        <w:t xml:space="preserve"> by the regulator and not be left to the discretion of the suppliers.</w:t>
      </w:r>
    </w:p>
    <w:p w14:paraId="57BD52E5" w14:textId="77777777" w:rsidR="00327AAC" w:rsidRDefault="00327AAC" w:rsidP="003E573C">
      <w:pPr>
        <w:rPr>
          <w:rFonts w:cs="Arial"/>
        </w:rPr>
      </w:pPr>
    </w:p>
    <w:p w14:paraId="1D43E12F" w14:textId="31BF2100" w:rsidR="00E84390" w:rsidRDefault="00E84390" w:rsidP="003E573C">
      <w:pPr>
        <w:rPr>
          <w:rFonts w:cs="Arial"/>
        </w:rPr>
      </w:pPr>
      <w:r>
        <w:rPr>
          <w:rFonts w:cs="Arial"/>
        </w:rPr>
        <w:t xml:space="preserve">Two of the proposals for compensatory mechanisms </w:t>
      </w:r>
      <w:proofErr w:type="gramStart"/>
      <w:r>
        <w:rPr>
          <w:rFonts w:cs="Arial"/>
        </w:rPr>
        <w:t>were based</w:t>
      </w:r>
      <w:proofErr w:type="gramEnd"/>
      <w:r>
        <w:rPr>
          <w:rFonts w:cs="Arial"/>
        </w:rPr>
        <w:t xml:space="preserve"> on adjusting expected returns if projected returns did not match </w:t>
      </w:r>
      <w:r w:rsidR="00002CB1">
        <w:rPr>
          <w:rFonts w:cs="Arial"/>
        </w:rPr>
        <w:t xml:space="preserve">minimum or maximum past returns. The efficacy of this approach depends on </w:t>
      </w:r>
      <w:r w:rsidR="00002CB1">
        <w:rPr>
          <w:rFonts w:cs="Arial"/>
        </w:rPr>
        <w:lastRenderedPageBreak/>
        <w:t xml:space="preserve">the definition of “past.” If the time series </w:t>
      </w:r>
      <w:r w:rsidR="00327AAC">
        <w:rPr>
          <w:rFonts w:cs="Arial"/>
        </w:rPr>
        <w:t>are</w:t>
      </w:r>
      <w:r w:rsidR="00002CB1">
        <w:rPr>
          <w:rFonts w:cs="Arial"/>
        </w:rPr>
        <w:t xml:space="preserve"> sufficiently long</w:t>
      </w:r>
      <w:r w:rsidR="00327AAC">
        <w:rPr>
          <w:rFonts w:cs="Arial"/>
        </w:rPr>
        <w:t>,</w:t>
      </w:r>
      <w:r w:rsidR="00002CB1">
        <w:rPr>
          <w:rFonts w:cs="Arial"/>
        </w:rPr>
        <w:t xml:space="preserve"> we believe there will be observations of both extreme highs and extreme lows for most products. </w:t>
      </w:r>
    </w:p>
    <w:permEnd w:id="1271138379"/>
    <w:p w14:paraId="5A098E3E" w14:textId="12165C1B" w:rsidR="003E573C" w:rsidRDefault="003E573C" w:rsidP="003E573C">
      <w:pPr>
        <w:rPr>
          <w:rFonts w:cs="Arial"/>
        </w:rPr>
      </w:pPr>
      <w:r>
        <w:rPr>
          <w:rFonts w:cs="Arial"/>
        </w:rPr>
        <w:t>&lt;ESA_QUESTION_PKID_15&gt;</w:t>
      </w:r>
    </w:p>
    <w:p w14:paraId="3BA2B6C4" w14:textId="77777777" w:rsidR="003E573C" w:rsidRDefault="003E573C" w:rsidP="003E573C">
      <w:pPr>
        <w:rPr>
          <w:rFonts w:cs="Arial"/>
        </w:rPr>
      </w:pPr>
    </w:p>
    <w:p w14:paraId="6C4A59AA" w14:textId="77777777" w:rsidR="003E573C" w:rsidRDefault="003E573C" w:rsidP="003E573C">
      <w:pPr>
        <w:pStyle w:val="Questionstyle"/>
        <w:numPr>
          <w:ilvl w:val="0"/>
          <w:numId w:val="39"/>
        </w:numPr>
      </w:pPr>
      <w:r>
        <w:t xml:space="preserve">: </w:t>
      </w:r>
      <w:r w:rsidRPr="00763760">
        <w:t>Do you favour any of the options above?  If so, which ones?  How would you ensure that the information in the KID remains comparable for all products?</w:t>
      </w:r>
    </w:p>
    <w:p w14:paraId="7B5EAE23" w14:textId="46DBD75D" w:rsidR="003E573C" w:rsidRDefault="003E573C" w:rsidP="003E573C">
      <w:pPr>
        <w:rPr>
          <w:rFonts w:cs="Arial"/>
        </w:rPr>
      </w:pPr>
      <w:r>
        <w:rPr>
          <w:rFonts w:cs="Arial"/>
        </w:rPr>
        <w:t>&lt;ESA_QUESTION_PKID_16&gt;</w:t>
      </w:r>
    </w:p>
    <w:p w14:paraId="557034F1" w14:textId="7C018E09" w:rsidR="009619C5" w:rsidRDefault="00E84390" w:rsidP="003E573C">
      <w:pPr>
        <w:rPr>
          <w:rFonts w:cs="Arial"/>
        </w:rPr>
      </w:pPr>
      <w:permStart w:id="739535953" w:edGrp="everyone"/>
      <w:r>
        <w:rPr>
          <w:rFonts w:cs="Arial"/>
        </w:rPr>
        <w:t xml:space="preserve">We are uncertain whether it </w:t>
      </w:r>
      <w:r w:rsidR="00002CB1">
        <w:rPr>
          <w:rFonts w:cs="Arial"/>
        </w:rPr>
        <w:t xml:space="preserve">should be an absolute aim to maintain a 100 percent comparability between products. The return characteristics between </w:t>
      </w:r>
      <w:r w:rsidR="00327AAC">
        <w:rPr>
          <w:rFonts w:cs="Arial"/>
        </w:rPr>
        <w:t>a UCITS</w:t>
      </w:r>
      <w:r w:rsidR="00002CB1">
        <w:rPr>
          <w:rFonts w:cs="Arial"/>
        </w:rPr>
        <w:t xml:space="preserve"> equity fund and an exotic structured product can be vast. While it can be sufficient to </w:t>
      </w:r>
      <w:r w:rsidR="009619C5">
        <w:rPr>
          <w:rFonts w:cs="Arial"/>
        </w:rPr>
        <w:t xml:space="preserve">apply </w:t>
      </w:r>
      <w:r w:rsidR="00002CB1">
        <w:rPr>
          <w:rFonts w:cs="Arial"/>
        </w:rPr>
        <w:t>the MiFID II methodology for UCITS funds</w:t>
      </w:r>
      <w:r w:rsidR="00327AAC">
        <w:rPr>
          <w:rFonts w:cs="Arial"/>
        </w:rPr>
        <w:t>,</w:t>
      </w:r>
      <w:r w:rsidR="009619C5">
        <w:rPr>
          <w:rFonts w:cs="Arial"/>
        </w:rPr>
        <w:t xml:space="preserve"> a different approach is required for </w:t>
      </w:r>
      <w:r w:rsidR="00327AAC">
        <w:rPr>
          <w:rFonts w:cs="Arial"/>
        </w:rPr>
        <w:t>struct</w:t>
      </w:r>
      <w:r w:rsidR="009619C5">
        <w:rPr>
          <w:rFonts w:cs="Arial"/>
        </w:rPr>
        <w:t>ured product</w:t>
      </w:r>
      <w:r w:rsidR="00327AAC">
        <w:rPr>
          <w:rFonts w:cs="Arial"/>
        </w:rPr>
        <w:t>s</w:t>
      </w:r>
      <w:r w:rsidR="009619C5">
        <w:rPr>
          <w:rFonts w:cs="Arial"/>
        </w:rPr>
        <w:t xml:space="preserve"> with automatic redemptions such as </w:t>
      </w:r>
      <w:proofErr w:type="spellStart"/>
      <w:r w:rsidR="009619C5">
        <w:rPr>
          <w:rFonts w:cs="Arial"/>
        </w:rPr>
        <w:t>autocalls</w:t>
      </w:r>
      <w:proofErr w:type="spellEnd"/>
      <w:r w:rsidR="009619C5">
        <w:rPr>
          <w:rFonts w:cs="Arial"/>
        </w:rPr>
        <w:t xml:space="preserve">. </w:t>
      </w:r>
    </w:p>
    <w:p w14:paraId="7817DC7B" w14:textId="77777777" w:rsidR="009619C5" w:rsidRDefault="009619C5" w:rsidP="003E573C">
      <w:pPr>
        <w:rPr>
          <w:rFonts w:cs="Arial"/>
        </w:rPr>
      </w:pPr>
    </w:p>
    <w:p w14:paraId="467249F4" w14:textId="18D4C9C4" w:rsidR="009619C5" w:rsidRDefault="009619C5" w:rsidP="003E573C">
      <w:pPr>
        <w:rPr>
          <w:rFonts w:cs="Arial"/>
        </w:rPr>
      </w:pPr>
      <w:r>
        <w:rPr>
          <w:rFonts w:cs="Arial"/>
        </w:rPr>
        <w:t>In general</w:t>
      </w:r>
      <w:r w:rsidR="00327AAC">
        <w:rPr>
          <w:rFonts w:cs="Arial"/>
        </w:rPr>
        <w:t>,</w:t>
      </w:r>
      <w:r>
        <w:rPr>
          <w:rFonts w:cs="Arial"/>
        </w:rPr>
        <w:t xml:space="preserve"> we think the proposed methodology </w:t>
      </w:r>
      <w:r w:rsidR="00DE41AC">
        <w:rPr>
          <w:rFonts w:cs="Arial"/>
        </w:rPr>
        <w:t>would be</w:t>
      </w:r>
      <w:r>
        <w:rPr>
          <w:rFonts w:cs="Arial"/>
        </w:rPr>
        <w:t xml:space="preserve"> a significant improvement over the current and pro-cyclical method. If the past is to be used as a prediction for the future</w:t>
      </w:r>
      <w:r w:rsidR="00DE41AC">
        <w:rPr>
          <w:rFonts w:cs="Arial"/>
        </w:rPr>
        <w:t>, then the time-series need</w:t>
      </w:r>
      <w:r>
        <w:rPr>
          <w:rFonts w:cs="Arial"/>
        </w:rPr>
        <w:t xml:space="preserve"> to be long enough to capture both </w:t>
      </w:r>
      <w:proofErr w:type="gramStart"/>
      <w:r>
        <w:rPr>
          <w:rFonts w:cs="Arial"/>
        </w:rPr>
        <w:t>ups and downs</w:t>
      </w:r>
      <w:proofErr w:type="gramEnd"/>
      <w:r>
        <w:rPr>
          <w:rFonts w:cs="Arial"/>
        </w:rPr>
        <w:t xml:space="preserve"> in the market. </w:t>
      </w:r>
    </w:p>
    <w:permEnd w:id="739535953"/>
    <w:p w14:paraId="3D245DDC" w14:textId="4CABDBB0" w:rsidR="003E573C" w:rsidRDefault="003E573C" w:rsidP="003E573C">
      <w:pPr>
        <w:rPr>
          <w:rFonts w:cs="Arial"/>
        </w:rPr>
      </w:pPr>
      <w:r>
        <w:rPr>
          <w:rFonts w:cs="Arial"/>
        </w:rPr>
        <w:t>&lt;ESA_QUESTION_PKID_16&gt;</w:t>
      </w:r>
    </w:p>
    <w:p w14:paraId="3731876E" w14:textId="77777777" w:rsidR="003E573C" w:rsidRDefault="003E573C" w:rsidP="003E573C">
      <w:pPr>
        <w:rPr>
          <w:rFonts w:cs="Arial"/>
        </w:rPr>
      </w:pPr>
    </w:p>
    <w:p w14:paraId="02255DE2" w14:textId="77777777" w:rsidR="003E573C" w:rsidRDefault="003E573C" w:rsidP="003E573C">
      <w:pPr>
        <w:pStyle w:val="Questionstyle"/>
        <w:numPr>
          <w:ilvl w:val="0"/>
          <w:numId w:val="39"/>
        </w:numPr>
      </w:pPr>
      <w:r>
        <w:t xml:space="preserve">: </w:t>
      </w:r>
      <w:r w:rsidRPr="00763760">
        <w:t>Are there any other compensatory mechanisms that could address unforeseen methodological faults? If yes, please explain the mechanism; explain how it ensures that scenario information in the KID allows investors to compare PRIIPs, and explain how the information for similar products from different manufacturers remains sufficiently consistent.</w:t>
      </w:r>
    </w:p>
    <w:p w14:paraId="6E8F4F30" w14:textId="04DDE0A1" w:rsidR="003E573C" w:rsidRDefault="003E573C" w:rsidP="003E573C">
      <w:pPr>
        <w:rPr>
          <w:rFonts w:cs="Arial"/>
        </w:rPr>
      </w:pPr>
      <w:r>
        <w:rPr>
          <w:rFonts w:cs="Arial"/>
        </w:rPr>
        <w:t>&lt;ESA_QUESTION_PKID_17&gt;</w:t>
      </w:r>
    </w:p>
    <w:p w14:paraId="0ADDC51A" w14:textId="44659A68" w:rsidR="003E573C" w:rsidRDefault="009619C5" w:rsidP="003E573C">
      <w:pPr>
        <w:rPr>
          <w:rFonts w:cs="Arial"/>
        </w:rPr>
      </w:pPr>
      <w:permStart w:id="225396737" w:edGrp="everyone"/>
      <w:r>
        <w:rPr>
          <w:rFonts w:cs="Arial"/>
        </w:rPr>
        <w:t>NA</w:t>
      </w:r>
    </w:p>
    <w:permEnd w:id="225396737"/>
    <w:p w14:paraId="78DF26C5" w14:textId="2C93BDC5" w:rsidR="003E573C" w:rsidRDefault="003E573C" w:rsidP="003E573C">
      <w:pPr>
        <w:rPr>
          <w:rFonts w:cs="Arial"/>
        </w:rPr>
      </w:pPr>
      <w:r>
        <w:rPr>
          <w:rFonts w:cs="Arial"/>
        </w:rPr>
        <w:t>&lt;ESA_QUESTION_PKID_17&gt;</w:t>
      </w:r>
    </w:p>
    <w:p w14:paraId="23DF59D7" w14:textId="77777777" w:rsidR="003E573C" w:rsidRDefault="003E573C" w:rsidP="003E573C">
      <w:pPr>
        <w:rPr>
          <w:rFonts w:cs="Arial"/>
        </w:rPr>
      </w:pPr>
    </w:p>
    <w:p w14:paraId="4A8653C3" w14:textId="77777777" w:rsidR="003E573C" w:rsidRDefault="003E573C" w:rsidP="003E573C">
      <w:pPr>
        <w:pStyle w:val="Questionstyle"/>
        <w:numPr>
          <w:ilvl w:val="0"/>
          <w:numId w:val="39"/>
        </w:numPr>
      </w:pPr>
      <w:r>
        <w:t xml:space="preserve">: </w:t>
      </w:r>
      <w:r w:rsidRPr="00763760">
        <w:t xml:space="preserve">What are your views on the use of a simplified approach such as the one detailed above, instead of the use of probabilistic methodologies with more granular asset specific requirements? </w:t>
      </w:r>
    </w:p>
    <w:p w14:paraId="1E4844B2" w14:textId="576E631C" w:rsidR="003E573C" w:rsidRDefault="003E573C" w:rsidP="003E573C">
      <w:pPr>
        <w:rPr>
          <w:rFonts w:cs="Arial"/>
        </w:rPr>
      </w:pPr>
      <w:r>
        <w:rPr>
          <w:rFonts w:cs="Arial"/>
        </w:rPr>
        <w:t>&lt;ESA_QUESTION_PKID_18&gt;</w:t>
      </w:r>
    </w:p>
    <w:p w14:paraId="558026DF" w14:textId="6FFD0974" w:rsidR="003E573C" w:rsidRDefault="00621B65" w:rsidP="003E573C">
      <w:pPr>
        <w:rPr>
          <w:rFonts w:cs="Arial"/>
        </w:rPr>
      </w:pPr>
      <w:permStart w:id="1687822303" w:edGrp="everyone"/>
      <w:r>
        <w:rPr>
          <w:rFonts w:cs="Arial"/>
        </w:rPr>
        <w:t>We are open to a more simplified approach</w:t>
      </w:r>
      <w:r w:rsidR="00DE41AC">
        <w:rPr>
          <w:rFonts w:cs="Arial"/>
        </w:rPr>
        <w:t>,</w:t>
      </w:r>
      <w:r>
        <w:rPr>
          <w:rFonts w:cs="Arial"/>
        </w:rPr>
        <w:t xml:space="preserve"> as we also mentioned in Q10. Fewer sector or regional rates will simplify the comparison across bord</w:t>
      </w:r>
      <w:r w:rsidR="00DE41AC">
        <w:rPr>
          <w:rFonts w:cs="Arial"/>
        </w:rPr>
        <w:t>ers and sectors and avoid a pro-</w:t>
      </w:r>
      <w:r>
        <w:rPr>
          <w:rFonts w:cs="Arial"/>
        </w:rPr>
        <w:t>cyclical focus on products that ha</w:t>
      </w:r>
      <w:r w:rsidR="00DE41AC">
        <w:rPr>
          <w:rFonts w:cs="Arial"/>
        </w:rPr>
        <w:t>ve</w:t>
      </w:r>
      <w:r>
        <w:rPr>
          <w:rFonts w:cs="Arial"/>
        </w:rPr>
        <w:t xml:space="preserve"> done well in the recent past</w:t>
      </w:r>
      <w:r w:rsidR="00DE41AC">
        <w:rPr>
          <w:rFonts w:cs="Arial"/>
        </w:rPr>
        <w:t>,</w:t>
      </w:r>
      <w:r>
        <w:rPr>
          <w:rFonts w:cs="Arial"/>
        </w:rPr>
        <w:t xml:space="preserve"> which is not usually a good predictor of the future</w:t>
      </w:r>
      <w:r w:rsidR="007111B6">
        <w:rPr>
          <w:rFonts w:cs="Arial"/>
        </w:rPr>
        <w:t>.</w:t>
      </w:r>
    </w:p>
    <w:p w14:paraId="5960AB03" w14:textId="77777777" w:rsidR="00DE41AC" w:rsidRDefault="00DE41AC" w:rsidP="003E573C">
      <w:pPr>
        <w:rPr>
          <w:rFonts w:cs="Arial"/>
        </w:rPr>
      </w:pPr>
    </w:p>
    <w:p w14:paraId="307067C4" w14:textId="148447D1" w:rsidR="007111B6" w:rsidRDefault="007111B6" w:rsidP="003E573C">
      <w:pPr>
        <w:rPr>
          <w:rFonts w:cs="Arial"/>
        </w:rPr>
      </w:pPr>
      <w:r>
        <w:rPr>
          <w:rFonts w:cs="Arial"/>
        </w:rPr>
        <w:t>On the other hand</w:t>
      </w:r>
      <w:r w:rsidR="00DE41AC">
        <w:rPr>
          <w:rFonts w:cs="Arial"/>
        </w:rPr>
        <w:t>,</w:t>
      </w:r>
      <w:r>
        <w:rPr>
          <w:rFonts w:cs="Arial"/>
        </w:rPr>
        <w:t xml:space="preserve"> there are probably already a number of countries with universally accepted rates </w:t>
      </w:r>
      <w:proofErr w:type="gramStart"/>
      <w:r>
        <w:rPr>
          <w:rFonts w:cs="Arial"/>
        </w:rPr>
        <w:t>being applied</w:t>
      </w:r>
      <w:proofErr w:type="gramEnd"/>
      <w:r>
        <w:rPr>
          <w:rFonts w:cs="Arial"/>
        </w:rPr>
        <w:t xml:space="preserve"> across the industry. As mentioned</w:t>
      </w:r>
      <w:r w:rsidR="00DE41AC">
        <w:rPr>
          <w:rFonts w:cs="Arial"/>
        </w:rPr>
        <w:t>,</w:t>
      </w:r>
      <w:r>
        <w:rPr>
          <w:rFonts w:cs="Arial"/>
        </w:rPr>
        <w:t xml:space="preserve"> Finance Norway has established rates that </w:t>
      </w:r>
      <w:proofErr w:type="gramStart"/>
      <w:r>
        <w:rPr>
          <w:rFonts w:cs="Arial"/>
        </w:rPr>
        <w:t>are loyally being used</w:t>
      </w:r>
      <w:proofErr w:type="gramEnd"/>
      <w:r>
        <w:rPr>
          <w:rFonts w:cs="Arial"/>
        </w:rPr>
        <w:t xml:space="preserve"> by asset managers when making return projections. A simplified approach with one European rate to rule them all may not be an improvement on what </w:t>
      </w:r>
      <w:proofErr w:type="gramStart"/>
      <w:r>
        <w:rPr>
          <w:rFonts w:cs="Arial"/>
        </w:rPr>
        <w:t>is already being done</w:t>
      </w:r>
      <w:proofErr w:type="gramEnd"/>
      <w:r>
        <w:rPr>
          <w:rFonts w:cs="Arial"/>
        </w:rPr>
        <w:t xml:space="preserve"> in Norway.</w:t>
      </w:r>
    </w:p>
    <w:permEnd w:id="1687822303"/>
    <w:p w14:paraId="30601A6B" w14:textId="7B9B06CF" w:rsidR="003E573C" w:rsidRDefault="003E573C" w:rsidP="003E573C">
      <w:pPr>
        <w:rPr>
          <w:rFonts w:cs="Arial"/>
        </w:rPr>
      </w:pPr>
      <w:r>
        <w:rPr>
          <w:rFonts w:cs="Arial"/>
        </w:rPr>
        <w:t>&lt;ESA_QUESTION_PKID_18&gt;</w:t>
      </w:r>
    </w:p>
    <w:p w14:paraId="71E259CD" w14:textId="77777777" w:rsidR="003E573C" w:rsidRDefault="003E573C" w:rsidP="003E573C">
      <w:pPr>
        <w:rPr>
          <w:rFonts w:cs="Arial"/>
        </w:rPr>
      </w:pPr>
    </w:p>
    <w:p w14:paraId="139C12FF" w14:textId="77777777" w:rsidR="003E573C" w:rsidRDefault="003E573C" w:rsidP="003E573C">
      <w:pPr>
        <w:pStyle w:val="Questionstyle"/>
        <w:numPr>
          <w:ilvl w:val="0"/>
          <w:numId w:val="39"/>
        </w:numPr>
      </w:pPr>
      <w:r>
        <w:t xml:space="preserve">: </w:t>
      </w:r>
      <w:r w:rsidRPr="00763760">
        <w:t>Do you consider the use of a single table of growth rates appropriate? If no, how should the methodology be amended?</w:t>
      </w:r>
    </w:p>
    <w:p w14:paraId="65918E7C" w14:textId="7A9C6394" w:rsidR="003E573C" w:rsidRDefault="003E573C" w:rsidP="003E573C">
      <w:pPr>
        <w:rPr>
          <w:rFonts w:cs="Arial"/>
        </w:rPr>
      </w:pPr>
      <w:r>
        <w:rPr>
          <w:rFonts w:cs="Arial"/>
        </w:rPr>
        <w:t>&lt;ESA_QUESTION_PKID_19&gt;</w:t>
      </w:r>
    </w:p>
    <w:p w14:paraId="02577434" w14:textId="31C3D799" w:rsidR="000C080B" w:rsidRDefault="00621B65" w:rsidP="003E573C">
      <w:pPr>
        <w:rPr>
          <w:rFonts w:cs="Arial"/>
        </w:rPr>
      </w:pPr>
      <w:permStart w:id="669663577" w:edGrp="everyone"/>
      <w:r>
        <w:rPr>
          <w:rFonts w:cs="Arial"/>
        </w:rPr>
        <w:t>It makes sense to have one shared maximum growth rate for equities across countries. We assume the maximum growth rate will in effect also become the minimum growth rate for the issuers. The maximum rate should thus reflect the expecte</w:t>
      </w:r>
      <w:r w:rsidR="000C080B">
        <w:rPr>
          <w:rFonts w:cs="Arial"/>
        </w:rPr>
        <w:t>d growth rate. The same also goes for property.</w:t>
      </w:r>
    </w:p>
    <w:p w14:paraId="70BF741D" w14:textId="77777777" w:rsidR="000C080B" w:rsidRDefault="000C080B" w:rsidP="003E573C">
      <w:pPr>
        <w:rPr>
          <w:rFonts w:cs="Arial"/>
        </w:rPr>
      </w:pPr>
    </w:p>
    <w:p w14:paraId="1C1420B0" w14:textId="6EBBA735" w:rsidR="003E573C" w:rsidRDefault="000C080B" w:rsidP="003E573C">
      <w:pPr>
        <w:rPr>
          <w:rFonts w:cs="Arial"/>
        </w:rPr>
      </w:pPr>
      <w:r>
        <w:rPr>
          <w:rFonts w:cs="Arial"/>
        </w:rPr>
        <w:t xml:space="preserve">We are unsure how a maximum growth rate would apply to bonds and money market instruments with a predetermined interest rate. </w:t>
      </w:r>
      <w:proofErr w:type="gramStart"/>
      <w:r>
        <w:rPr>
          <w:rFonts w:cs="Arial"/>
        </w:rPr>
        <w:t xml:space="preserve">A plain vanilla bond typically has a fixed coupon rate and will not pay out </w:t>
      </w:r>
      <w:r>
        <w:rPr>
          <w:rFonts w:cs="Arial"/>
        </w:rPr>
        <w:lastRenderedPageBreak/>
        <w:t>more than the coupon and the invested amount if held until maturity.</w:t>
      </w:r>
      <w:proofErr w:type="gramEnd"/>
      <w:r>
        <w:rPr>
          <w:rFonts w:cs="Arial"/>
        </w:rPr>
        <w:t xml:space="preserve"> If anything</w:t>
      </w:r>
      <w:r w:rsidR="00DE41AC">
        <w:rPr>
          <w:rFonts w:cs="Arial"/>
        </w:rPr>
        <w:t>,</w:t>
      </w:r>
      <w:r>
        <w:rPr>
          <w:rFonts w:cs="Arial"/>
        </w:rPr>
        <w:t xml:space="preserve"> it will pay out less in case of a default. The same goes for money market</w:t>
      </w:r>
      <w:r w:rsidR="007111B6">
        <w:rPr>
          <w:rFonts w:cs="Arial"/>
        </w:rPr>
        <w:t xml:space="preserve"> funds. </w:t>
      </w:r>
      <w:proofErr w:type="gramStart"/>
      <w:r w:rsidR="007111B6">
        <w:rPr>
          <w:rFonts w:cs="Arial"/>
        </w:rPr>
        <w:t xml:space="preserve">The interest rate is what it is and </w:t>
      </w:r>
      <w:r w:rsidR="007C76B7">
        <w:rPr>
          <w:rFonts w:cs="Arial"/>
        </w:rPr>
        <w:t>will most likel</w:t>
      </w:r>
      <w:r w:rsidR="00DE41AC">
        <w:rPr>
          <w:rFonts w:cs="Arial"/>
        </w:rPr>
        <w:t>y follow a random walk pattern.</w:t>
      </w:r>
      <w:proofErr w:type="gramEnd"/>
      <w:r w:rsidR="00621B65">
        <w:rPr>
          <w:rFonts w:cs="Arial"/>
        </w:rPr>
        <w:t xml:space="preserve"> </w:t>
      </w:r>
    </w:p>
    <w:permEnd w:id="669663577"/>
    <w:p w14:paraId="4B36BA28" w14:textId="4634B3AA" w:rsidR="003E573C" w:rsidRDefault="003E573C" w:rsidP="003E573C">
      <w:pPr>
        <w:rPr>
          <w:rFonts w:cs="Arial"/>
        </w:rPr>
      </w:pPr>
      <w:r>
        <w:rPr>
          <w:rFonts w:cs="Arial"/>
        </w:rPr>
        <w:t>&lt;ESA_QUESTION_PKID_19&gt;</w:t>
      </w:r>
    </w:p>
    <w:p w14:paraId="0D906F8B" w14:textId="77777777" w:rsidR="003E573C" w:rsidRDefault="003E573C" w:rsidP="003E573C">
      <w:pPr>
        <w:rPr>
          <w:rFonts w:cs="Arial"/>
        </w:rPr>
      </w:pPr>
    </w:p>
    <w:p w14:paraId="7913E742" w14:textId="77777777" w:rsidR="003E573C" w:rsidRDefault="003E573C" w:rsidP="003E573C">
      <w:pPr>
        <w:pStyle w:val="Questionstyle"/>
        <w:numPr>
          <w:ilvl w:val="0"/>
          <w:numId w:val="39"/>
        </w:numPr>
      </w:pPr>
      <w:r>
        <w:t xml:space="preserve">: </w:t>
      </w:r>
      <w:r w:rsidRPr="00763760">
        <w:t>More generally, do your views about the use of a probabilistic methodology vary depending on the type of product (e.g. structured products vs non-structured products, short-term vs long-term products)? For which type of products do you see more challenges to define a probabilistic methodology and to present the results to investors?</w:t>
      </w:r>
    </w:p>
    <w:p w14:paraId="0B9BBEEC" w14:textId="3F987258" w:rsidR="003E573C" w:rsidRDefault="003E573C" w:rsidP="003E573C">
      <w:pPr>
        <w:rPr>
          <w:rFonts w:cs="Arial"/>
        </w:rPr>
      </w:pPr>
      <w:r>
        <w:rPr>
          <w:rFonts w:cs="Arial"/>
        </w:rPr>
        <w:t>&lt;ESA_QUESTION_PKID_20&gt;</w:t>
      </w:r>
    </w:p>
    <w:p w14:paraId="70F82598" w14:textId="352F23F1" w:rsidR="003E573C" w:rsidRDefault="007C76B7" w:rsidP="003E573C">
      <w:pPr>
        <w:rPr>
          <w:rFonts w:cs="Arial"/>
        </w:rPr>
      </w:pPr>
      <w:permStart w:id="806708611" w:edGrp="everyone"/>
      <w:r>
        <w:rPr>
          <w:rFonts w:cs="Arial"/>
        </w:rPr>
        <w:t>The probabilistic m</w:t>
      </w:r>
      <w:r w:rsidR="00DE41AC">
        <w:rPr>
          <w:rFonts w:cs="Arial"/>
        </w:rPr>
        <w:t>ethod is best suited for equity-</w:t>
      </w:r>
      <w:r>
        <w:rPr>
          <w:rFonts w:cs="Arial"/>
        </w:rPr>
        <w:t xml:space="preserve">based products where it is possible to </w:t>
      </w:r>
      <w:r w:rsidR="00DE41AC">
        <w:rPr>
          <w:rFonts w:cs="Arial"/>
        </w:rPr>
        <w:t>distil an equity-</w:t>
      </w:r>
      <w:r>
        <w:rPr>
          <w:rFonts w:cs="Arial"/>
        </w:rPr>
        <w:t>risk premium</w:t>
      </w:r>
      <w:r w:rsidR="00DE41AC">
        <w:rPr>
          <w:rFonts w:cs="Arial"/>
        </w:rPr>
        <w:t xml:space="preserve"> based on long time-</w:t>
      </w:r>
      <w:r w:rsidR="00460E0C">
        <w:rPr>
          <w:rFonts w:cs="Arial"/>
        </w:rPr>
        <w:t xml:space="preserve">series. Property too, but probably to a lesser extent. </w:t>
      </w:r>
    </w:p>
    <w:p w14:paraId="2CCF23A9" w14:textId="77777777" w:rsidR="00460E0C" w:rsidRDefault="00460E0C" w:rsidP="003E573C">
      <w:pPr>
        <w:rPr>
          <w:rFonts w:cs="Arial"/>
        </w:rPr>
      </w:pPr>
    </w:p>
    <w:p w14:paraId="177E71EB" w14:textId="6C5D8484" w:rsidR="00460E0C" w:rsidRDefault="00460E0C" w:rsidP="003E573C">
      <w:pPr>
        <w:rPr>
          <w:rFonts w:cs="Arial"/>
        </w:rPr>
      </w:pPr>
      <w:r>
        <w:rPr>
          <w:rFonts w:cs="Arial"/>
        </w:rPr>
        <w:t>When it comes to bonds and money</w:t>
      </w:r>
      <w:r w:rsidR="00DE41AC">
        <w:rPr>
          <w:rFonts w:cs="Arial"/>
        </w:rPr>
        <w:t xml:space="preserve"> </w:t>
      </w:r>
      <w:r>
        <w:rPr>
          <w:rFonts w:cs="Arial"/>
        </w:rPr>
        <w:t xml:space="preserve">market </w:t>
      </w:r>
      <w:proofErr w:type="gramStart"/>
      <w:r>
        <w:rPr>
          <w:rFonts w:cs="Arial"/>
        </w:rPr>
        <w:t>funds</w:t>
      </w:r>
      <w:proofErr w:type="gramEnd"/>
      <w:r>
        <w:rPr>
          <w:rFonts w:cs="Arial"/>
        </w:rPr>
        <w:t xml:space="preserve"> we are not convinced that the proba</w:t>
      </w:r>
      <w:r w:rsidR="00DE41AC">
        <w:rPr>
          <w:rFonts w:cs="Arial"/>
        </w:rPr>
        <w:t>bi</w:t>
      </w:r>
      <w:r>
        <w:rPr>
          <w:rFonts w:cs="Arial"/>
        </w:rPr>
        <w:t xml:space="preserve">listic method is appropriate. The expected nominal yields </w:t>
      </w:r>
      <w:proofErr w:type="gramStart"/>
      <w:r>
        <w:rPr>
          <w:rFonts w:cs="Arial"/>
        </w:rPr>
        <w:t>will be defined</w:t>
      </w:r>
      <w:proofErr w:type="gramEnd"/>
      <w:r>
        <w:rPr>
          <w:rFonts w:cs="Arial"/>
        </w:rPr>
        <w:t xml:space="preserve"> by the coupon rates and default risk.</w:t>
      </w:r>
    </w:p>
    <w:p w14:paraId="2D247398" w14:textId="5AB1A5FA" w:rsidR="00460E0C" w:rsidRDefault="00460E0C" w:rsidP="003E573C">
      <w:pPr>
        <w:rPr>
          <w:rFonts w:cs="Arial"/>
        </w:rPr>
      </w:pPr>
      <w:r>
        <w:rPr>
          <w:rFonts w:cs="Arial"/>
        </w:rPr>
        <w:t xml:space="preserve">Structured products are difficult to pin down, but in our </w:t>
      </w:r>
      <w:proofErr w:type="gramStart"/>
      <w:r>
        <w:rPr>
          <w:rFonts w:cs="Arial"/>
        </w:rPr>
        <w:t>opinion</w:t>
      </w:r>
      <w:proofErr w:type="gramEnd"/>
      <w:r>
        <w:rPr>
          <w:rFonts w:cs="Arial"/>
        </w:rPr>
        <w:t xml:space="preserve"> they are often constructed in opaque ways in order to hide costs and obscure the actual payoff. However, the expected return </w:t>
      </w:r>
      <w:proofErr w:type="gramStart"/>
      <w:r>
        <w:rPr>
          <w:rFonts w:cs="Arial"/>
        </w:rPr>
        <w:t>can be modelled and predicted for various scenarios</w:t>
      </w:r>
      <w:proofErr w:type="gramEnd"/>
      <w:r>
        <w:rPr>
          <w:rFonts w:cs="Arial"/>
        </w:rPr>
        <w:t xml:space="preserve"> and the probabilistic method should work well. If the issuers complain about the complexity of modelling various outcomes</w:t>
      </w:r>
      <w:r w:rsidR="00DE41AC">
        <w:rPr>
          <w:rFonts w:cs="Arial"/>
        </w:rPr>
        <w:t>, then</w:t>
      </w:r>
      <w:r>
        <w:rPr>
          <w:rFonts w:cs="Arial"/>
        </w:rPr>
        <w:t xml:space="preserve"> they should probably not sell them to retail investors in the first place.</w:t>
      </w:r>
    </w:p>
    <w:permEnd w:id="806708611"/>
    <w:p w14:paraId="7AC72B75" w14:textId="5BA448EB" w:rsidR="003E573C" w:rsidRDefault="003E573C" w:rsidP="003E573C">
      <w:pPr>
        <w:rPr>
          <w:rFonts w:cs="Arial"/>
        </w:rPr>
      </w:pPr>
      <w:r>
        <w:rPr>
          <w:rFonts w:cs="Arial"/>
        </w:rPr>
        <w:t>&lt;ESA_QUESTION_PKID_20&gt;</w:t>
      </w:r>
    </w:p>
    <w:p w14:paraId="45DB0F6E" w14:textId="77777777" w:rsidR="003E573C" w:rsidRDefault="003E573C" w:rsidP="003E573C">
      <w:pPr>
        <w:rPr>
          <w:rFonts w:cs="Arial"/>
        </w:rPr>
      </w:pPr>
    </w:p>
    <w:p w14:paraId="7FEBC666" w14:textId="77777777" w:rsidR="003E573C" w:rsidRDefault="003E573C" w:rsidP="003E573C">
      <w:pPr>
        <w:pStyle w:val="Questionstyle"/>
        <w:numPr>
          <w:ilvl w:val="0"/>
          <w:numId w:val="39"/>
        </w:numPr>
      </w:pPr>
      <w:r>
        <w:t xml:space="preserve">: </w:t>
      </w:r>
      <w:r w:rsidRPr="00763760">
        <w:t>Do you think these alternative approaches should be further assessed? If yes, what evidence can you provide to support these approaches or aspects of them?</w:t>
      </w:r>
    </w:p>
    <w:p w14:paraId="13273649" w14:textId="1693F77E" w:rsidR="003E573C" w:rsidRDefault="003E573C" w:rsidP="003E573C">
      <w:pPr>
        <w:rPr>
          <w:rFonts w:cs="Arial"/>
        </w:rPr>
      </w:pPr>
      <w:r>
        <w:rPr>
          <w:rFonts w:cs="Arial"/>
        </w:rPr>
        <w:t>&lt;ESA_QUESTION_PKID_21&gt;</w:t>
      </w:r>
    </w:p>
    <w:p w14:paraId="625A527A" w14:textId="4D93EF1B" w:rsidR="003E573C" w:rsidRDefault="00460E0C" w:rsidP="003E573C">
      <w:pPr>
        <w:rPr>
          <w:rFonts w:cs="Arial"/>
        </w:rPr>
      </w:pPr>
      <w:permStart w:id="2245015" w:edGrp="everyone"/>
      <w:r>
        <w:rPr>
          <w:rFonts w:cs="Arial"/>
        </w:rPr>
        <w:t xml:space="preserve">We think </w:t>
      </w:r>
      <w:r w:rsidR="003F3475">
        <w:rPr>
          <w:rFonts w:cs="Arial"/>
        </w:rPr>
        <w:t xml:space="preserve">option C can be a viable approach for equities. It is the method deployed in Norway and </w:t>
      </w:r>
      <w:proofErr w:type="gramStart"/>
      <w:r w:rsidR="003F3475">
        <w:rPr>
          <w:rFonts w:cs="Arial"/>
        </w:rPr>
        <w:t>is followed</w:t>
      </w:r>
      <w:proofErr w:type="gramEnd"/>
      <w:r w:rsidR="003F3475">
        <w:rPr>
          <w:rFonts w:cs="Arial"/>
        </w:rPr>
        <w:t xml:space="preserve"> by the industry when making projections.</w:t>
      </w:r>
    </w:p>
    <w:p w14:paraId="557D9397" w14:textId="77777777" w:rsidR="003F3475" w:rsidRDefault="003F3475" w:rsidP="003E573C">
      <w:pPr>
        <w:rPr>
          <w:rFonts w:cs="Arial"/>
        </w:rPr>
      </w:pPr>
    </w:p>
    <w:p w14:paraId="017F670D" w14:textId="417F0573" w:rsidR="003F3475" w:rsidRDefault="003F3475" w:rsidP="003E573C">
      <w:pPr>
        <w:rPr>
          <w:rFonts w:cs="Arial"/>
        </w:rPr>
      </w:pPr>
      <w:r>
        <w:rPr>
          <w:rFonts w:cs="Arial"/>
        </w:rPr>
        <w:t xml:space="preserve">Empirical research does not show a significant correlation between beta and expected return. Since the beta does not have a proven impact on expected </w:t>
      </w:r>
      <w:proofErr w:type="gramStart"/>
      <w:r>
        <w:rPr>
          <w:rFonts w:cs="Arial"/>
        </w:rPr>
        <w:t>returns</w:t>
      </w:r>
      <w:proofErr w:type="gramEnd"/>
      <w:r>
        <w:rPr>
          <w:rFonts w:cs="Arial"/>
        </w:rPr>
        <w:t xml:space="preserve"> </w:t>
      </w:r>
      <w:r w:rsidR="00D40B5C">
        <w:rPr>
          <w:rFonts w:cs="Arial"/>
        </w:rPr>
        <w:t xml:space="preserve">it would not be appropriate to include it in the KID methodology.  </w:t>
      </w:r>
    </w:p>
    <w:permEnd w:id="2245015"/>
    <w:p w14:paraId="3E1B08DB" w14:textId="6A96867C" w:rsidR="003E573C" w:rsidRDefault="003E573C" w:rsidP="003E573C">
      <w:pPr>
        <w:rPr>
          <w:rFonts w:cs="Arial"/>
        </w:rPr>
      </w:pPr>
      <w:r>
        <w:rPr>
          <w:rFonts w:cs="Arial"/>
        </w:rPr>
        <w:t>&lt;ESA_QUESTION_PKID_21&gt;</w:t>
      </w:r>
    </w:p>
    <w:p w14:paraId="2E2FA109" w14:textId="77777777" w:rsidR="003E573C" w:rsidRDefault="003E573C" w:rsidP="003E573C">
      <w:pPr>
        <w:rPr>
          <w:rFonts w:cs="Arial"/>
        </w:rPr>
      </w:pPr>
    </w:p>
    <w:p w14:paraId="7441AA30" w14:textId="77777777" w:rsidR="003E573C" w:rsidRDefault="003E573C" w:rsidP="003E573C">
      <w:pPr>
        <w:pStyle w:val="Questionstyle"/>
        <w:numPr>
          <w:ilvl w:val="0"/>
          <w:numId w:val="39"/>
        </w:numPr>
      </w:pPr>
      <w:r>
        <w:t xml:space="preserve">: </w:t>
      </w:r>
      <w:r w:rsidRPr="00763760">
        <w:t>Are there any other approaches that should be considered?  What evidence are you able to provide to support these other approaches?</w:t>
      </w:r>
    </w:p>
    <w:p w14:paraId="162ADE10" w14:textId="6B94FBED" w:rsidR="003E573C" w:rsidRDefault="003E573C" w:rsidP="003E573C">
      <w:pPr>
        <w:rPr>
          <w:rFonts w:cs="Arial"/>
        </w:rPr>
      </w:pPr>
      <w:r>
        <w:rPr>
          <w:rFonts w:cs="Arial"/>
        </w:rPr>
        <w:t>&lt;ESA_QUESTION_PKID_22&gt;</w:t>
      </w:r>
    </w:p>
    <w:p w14:paraId="0595D193" w14:textId="7D296768" w:rsidR="003E573C" w:rsidRDefault="003F3475" w:rsidP="003E573C">
      <w:pPr>
        <w:rPr>
          <w:rFonts w:cs="Arial"/>
        </w:rPr>
      </w:pPr>
      <w:permStart w:id="1182486711" w:edGrp="everyone"/>
      <w:r>
        <w:rPr>
          <w:rFonts w:cs="Arial"/>
        </w:rPr>
        <w:t>NA</w:t>
      </w:r>
    </w:p>
    <w:permEnd w:id="1182486711"/>
    <w:p w14:paraId="5F95ABFF" w14:textId="68A12DD7" w:rsidR="003E573C" w:rsidRDefault="003E573C" w:rsidP="003E573C">
      <w:pPr>
        <w:rPr>
          <w:rFonts w:cs="Arial"/>
        </w:rPr>
      </w:pPr>
      <w:r>
        <w:rPr>
          <w:rFonts w:cs="Arial"/>
        </w:rPr>
        <w:t>&lt;ESA_QUESTION_PKID_22&gt;</w:t>
      </w:r>
    </w:p>
    <w:p w14:paraId="0BF44D4D" w14:textId="77777777" w:rsidR="003E573C" w:rsidRDefault="003E573C" w:rsidP="003E573C">
      <w:pPr>
        <w:rPr>
          <w:rFonts w:cs="Arial"/>
        </w:rPr>
      </w:pPr>
    </w:p>
    <w:p w14:paraId="36463985" w14:textId="77777777" w:rsidR="003E573C" w:rsidRDefault="003E573C" w:rsidP="003E573C">
      <w:pPr>
        <w:pStyle w:val="Questionstyle"/>
        <w:numPr>
          <w:ilvl w:val="0"/>
          <w:numId w:val="39"/>
        </w:numPr>
      </w:pPr>
      <w:r>
        <w:t xml:space="preserve">: </w:t>
      </w:r>
      <w:r w:rsidRPr="00763760">
        <w:t>Do you think illustrative scenarios should be included in the KID as well as probabilistic scenarios for structured products?</w:t>
      </w:r>
    </w:p>
    <w:p w14:paraId="3F198626" w14:textId="65345C8E" w:rsidR="003E573C" w:rsidRDefault="003E573C" w:rsidP="003E573C">
      <w:pPr>
        <w:rPr>
          <w:rFonts w:cs="Arial"/>
        </w:rPr>
      </w:pPr>
      <w:r>
        <w:rPr>
          <w:rFonts w:cs="Arial"/>
        </w:rPr>
        <w:t>&lt;ESA_QUESTION_PKID_23&gt;</w:t>
      </w:r>
    </w:p>
    <w:p w14:paraId="513C29AF" w14:textId="2719BFCF" w:rsidR="003E573C" w:rsidRDefault="00705ECF" w:rsidP="003E573C">
      <w:pPr>
        <w:rPr>
          <w:rFonts w:cs="Arial"/>
        </w:rPr>
      </w:pPr>
      <w:permStart w:id="1634935588" w:edGrp="everyone"/>
      <w:r>
        <w:rPr>
          <w:rFonts w:cs="Arial"/>
        </w:rPr>
        <w:t>We agree that the main disadvantage of an illustrative scenario is that</w:t>
      </w:r>
      <w:r w:rsidR="00DE41AC">
        <w:rPr>
          <w:rFonts w:cs="Arial"/>
        </w:rPr>
        <w:t xml:space="preserve"> it</w:t>
      </w:r>
      <w:r>
        <w:rPr>
          <w:rFonts w:cs="Arial"/>
        </w:rPr>
        <w:t xml:space="preserve"> </w:t>
      </w:r>
      <w:proofErr w:type="gramStart"/>
      <w:r>
        <w:rPr>
          <w:rFonts w:cs="Arial"/>
        </w:rPr>
        <w:t>is left</w:t>
      </w:r>
      <w:proofErr w:type="gramEnd"/>
      <w:r>
        <w:rPr>
          <w:rFonts w:cs="Arial"/>
        </w:rPr>
        <w:t xml:space="preserve"> to the discretion of the </w:t>
      </w:r>
      <w:r w:rsidR="00BB2A69">
        <w:rPr>
          <w:rFonts w:cs="Arial"/>
        </w:rPr>
        <w:t xml:space="preserve">manufacturer to </w:t>
      </w:r>
      <w:r>
        <w:rPr>
          <w:rFonts w:cs="Arial"/>
        </w:rPr>
        <w:t>select the scenarios. If history is a guide to the future</w:t>
      </w:r>
      <w:r w:rsidR="00DE41AC">
        <w:rPr>
          <w:rFonts w:cs="Arial"/>
        </w:rPr>
        <w:t>, most</w:t>
      </w:r>
      <w:r>
        <w:rPr>
          <w:rFonts w:cs="Arial"/>
        </w:rPr>
        <w:t xml:space="preserve"> manufacturer will predominantly choose scenarios that make the products look more appealing than they really are. In our experience</w:t>
      </w:r>
      <w:r w:rsidR="00DE41AC">
        <w:rPr>
          <w:rFonts w:cs="Arial"/>
        </w:rPr>
        <w:t>,</w:t>
      </w:r>
      <w:r>
        <w:rPr>
          <w:rFonts w:cs="Arial"/>
        </w:rPr>
        <w:t xml:space="preserve"> this kind of investment products are neither well understood nor particularly profitable for retail investors. It is hard to understand how the various cost elements in these financial constructions</w:t>
      </w:r>
      <w:r w:rsidR="00EA2453">
        <w:rPr>
          <w:rFonts w:cs="Arial"/>
        </w:rPr>
        <w:t xml:space="preserve"> add up</w:t>
      </w:r>
      <w:r>
        <w:rPr>
          <w:rFonts w:cs="Arial"/>
        </w:rPr>
        <w:t>. By developing a robust probabi</w:t>
      </w:r>
      <w:r w:rsidR="00A52BF6">
        <w:rPr>
          <w:rFonts w:cs="Arial"/>
        </w:rPr>
        <w:t xml:space="preserve">listic framework and presenting it in a meaningful </w:t>
      </w:r>
      <w:proofErr w:type="gramStart"/>
      <w:r w:rsidR="00A52BF6">
        <w:rPr>
          <w:rFonts w:cs="Arial"/>
        </w:rPr>
        <w:t>way</w:t>
      </w:r>
      <w:proofErr w:type="gramEnd"/>
      <w:r w:rsidR="00A52BF6">
        <w:rPr>
          <w:rFonts w:cs="Arial"/>
        </w:rPr>
        <w:t xml:space="preserve"> it will be more difficult for manufacturers to market products with a negative or low expected return to retail investors.</w:t>
      </w:r>
    </w:p>
    <w:p w14:paraId="2ECBED06" w14:textId="77777777" w:rsidR="00B8560B" w:rsidRDefault="00B8560B" w:rsidP="003E573C">
      <w:pPr>
        <w:rPr>
          <w:rFonts w:cs="Arial"/>
        </w:rPr>
      </w:pPr>
    </w:p>
    <w:p w14:paraId="21E02EC9" w14:textId="530B23CE" w:rsidR="00B113F5" w:rsidRDefault="00B113F5" w:rsidP="003E573C">
      <w:pPr>
        <w:rPr>
          <w:rFonts w:cs="Arial"/>
        </w:rPr>
      </w:pPr>
      <w:r>
        <w:rPr>
          <w:rFonts w:cs="Arial"/>
        </w:rPr>
        <w:t xml:space="preserve">Yet our experience is also that providers of packaged retail investment products </w:t>
      </w:r>
      <w:r w:rsidR="002A6DF4">
        <w:rPr>
          <w:rFonts w:cs="Arial"/>
        </w:rPr>
        <w:t xml:space="preserve">to a large degree </w:t>
      </w:r>
      <w:r>
        <w:rPr>
          <w:rFonts w:cs="Arial"/>
        </w:rPr>
        <w:t>use</w:t>
      </w:r>
      <w:r w:rsidR="002A6DF4">
        <w:rPr>
          <w:rFonts w:cs="Arial"/>
        </w:rPr>
        <w:t xml:space="preserve"> </w:t>
      </w:r>
      <w:r w:rsidRPr="00763760">
        <w:t>illustrative scenarios</w:t>
      </w:r>
      <w:r>
        <w:t xml:space="preserve"> in their general marketing and sales efforts </w:t>
      </w:r>
      <w:r w:rsidR="002A6DF4">
        <w:t xml:space="preserve">in order to </w:t>
      </w:r>
      <w:r>
        <w:t>mak</w:t>
      </w:r>
      <w:r w:rsidR="002A6DF4">
        <w:t>e</w:t>
      </w:r>
      <w:r>
        <w:t xml:space="preserve"> </w:t>
      </w:r>
      <w:r>
        <w:rPr>
          <w:rFonts w:cs="Arial"/>
        </w:rPr>
        <w:t xml:space="preserve">the products look more appealing. That </w:t>
      </w:r>
      <w:r w:rsidR="002A6DF4">
        <w:rPr>
          <w:rFonts w:cs="Arial"/>
        </w:rPr>
        <w:t xml:space="preserve">suggest that the selection of illustrative scenarios should not be left to the discretion of the issuer, but needs </w:t>
      </w:r>
      <w:r w:rsidR="00D00B66">
        <w:rPr>
          <w:rFonts w:cs="Arial"/>
        </w:rPr>
        <w:t>to be subject to r</w:t>
      </w:r>
      <w:r w:rsidR="00146497">
        <w:t>egulat</w:t>
      </w:r>
      <w:r w:rsidR="00D00B66">
        <w:t>ion in the</w:t>
      </w:r>
      <w:r w:rsidR="00146497">
        <w:t xml:space="preserve"> KID*</w:t>
      </w:r>
    </w:p>
    <w:permEnd w:id="1634935588"/>
    <w:p w14:paraId="0C17FC2A" w14:textId="4C87DCB4" w:rsidR="003E573C" w:rsidRDefault="003E573C" w:rsidP="003E573C">
      <w:pPr>
        <w:rPr>
          <w:rFonts w:cs="Arial"/>
        </w:rPr>
      </w:pPr>
      <w:r>
        <w:rPr>
          <w:rFonts w:cs="Arial"/>
        </w:rPr>
        <w:t>&lt;ESA_QUESTION_PKID_23&gt;</w:t>
      </w:r>
    </w:p>
    <w:p w14:paraId="0F3185B7" w14:textId="77777777" w:rsidR="003E573C" w:rsidRDefault="003E573C" w:rsidP="003E573C">
      <w:pPr>
        <w:rPr>
          <w:rFonts w:cs="Arial"/>
        </w:rPr>
      </w:pPr>
    </w:p>
    <w:p w14:paraId="79E388A1" w14:textId="77777777" w:rsidR="003E573C" w:rsidRDefault="003E573C" w:rsidP="003E573C">
      <w:pPr>
        <w:pStyle w:val="Questionstyle"/>
        <w:numPr>
          <w:ilvl w:val="0"/>
          <w:numId w:val="39"/>
        </w:numPr>
      </w:pPr>
      <w:r>
        <w:t xml:space="preserve">: </w:t>
      </w:r>
      <w:r w:rsidRPr="00763760">
        <w:t xml:space="preserve">If not, do you think illustrative scenarios should replace probabilistic scenarios for structured products? </w:t>
      </w:r>
    </w:p>
    <w:p w14:paraId="28FD8FCF" w14:textId="6C894E7D" w:rsidR="003E573C" w:rsidRDefault="003E573C" w:rsidP="003E573C">
      <w:pPr>
        <w:rPr>
          <w:rFonts w:cs="Arial"/>
        </w:rPr>
      </w:pPr>
      <w:r>
        <w:rPr>
          <w:rFonts w:cs="Arial"/>
        </w:rPr>
        <w:t>&lt;ESA_QUESTION_PKID_24&gt;</w:t>
      </w:r>
    </w:p>
    <w:p w14:paraId="2282D3D7" w14:textId="26EF06A7" w:rsidR="003E573C" w:rsidRDefault="00A52BF6" w:rsidP="003E573C">
      <w:pPr>
        <w:rPr>
          <w:rFonts w:cs="Arial"/>
        </w:rPr>
      </w:pPr>
      <w:permStart w:id="872961277" w:edGrp="everyone"/>
      <w:r>
        <w:rPr>
          <w:rFonts w:cs="Arial"/>
        </w:rPr>
        <w:t>No</w:t>
      </w:r>
      <w:r w:rsidR="00BB2A69">
        <w:rPr>
          <w:rFonts w:cs="Arial"/>
        </w:rPr>
        <w:t xml:space="preserve">, this would likely become an exploitable loophole to </w:t>
      </w:r>
      <w:r w:rsidR="00782C72">
        <w:rPr>
          <w:rFonts w:cs="Arial"/>
        </w:rPr>
        <w:t>cherry</w:t>
      </w:r>
      <w:r w:rsidR="00DE41AC">
        <w:rPr>
          <w:rFonts w:cs="Arial"/>
        </w:rPr>
        <w:t>-</w:t>
      </w:r>
      <w:r w:rsidR="00782C72">
        <w:rPr>
          <w:rFonts w:cs="Arial"/>
        </w:rPr>
        <w:t>pick outcomes.</w:t>
      </w:r>
    </w:p>
    <w:permEnd w:id="872961277"/>
    <w:p w14:paraId="10059834" w14:textId="704DCE55" w:rsidR="003E573C" w:rsidRDefault="003E573C" w:rsidP="003E573C">
      <w:pPr>
        <w:rPr>
          <w:rFonts w:cs="Arial"/>
        </w:rPr>
      </w:pPr>
      <w:r>
        <w:rPr>
          <w:rFonts w:cs="Arial"/>
        </w:rPr>
        <w:t>&lt;ESA_QUESTION_PKID_24&gt;</w:t>
      </w:r>
    </w:p>
    <w:p w14:paraId="41ACC61A" w14:textId="77777777" w:rsidR="003E573C" w:rsidRDefault="003E573C" w:rsidP="003E573C">
      <w:pPr>
        <w:rPr>
          <w:rFonts w:cs="Arial"/>
        </w:rPr>
      </w:pPr>
    </w:p>
    <w:p w14:paraId="1C38AAAA" w14:textId="77777777" w:rsidR="003E573C" w:rsidRDefault="003E573C" w:rsidP="003E573C">
      <w:pPr>
        <w:pStyle w:val="Questionstyle"/>
        <w:numPr>
          <w:ilvl w:val="0"/>
          <w:numId w:val="39"/>
        </w:numPr>
      </w:pPr>
      <w:r>
        <w:t xml:space="preserve">: </w:t>
      </w:r>
      <w:r w:rsidRPr="00763760">
        <w:t xml:space="preserve">Do you agree with this approach to define PRIIPs which would show illustrative performance scenarios using the existing definition of Category 3 PRIIPs? If not, why not? Where relevant, please explain why this approach would not be appropriate for certain types of Category 3 PRIIPs? </w:t>
      </w:r>
    </w:p>
    <w:p w14:paraId="44F7FFB8" w14:textId="157F0023" w:rsidR="003E573C" w:rsidRDefault="003E573C" w:rsidP="003E573C">
      <w:pPr>
        <w:rPr>
          <w:rFonts w:cs="Arial"/>
        </w:rPr>
      </w:pPr>
      <w:r>
        <w:rPr>
          <w:rFonts w:cs="Arial"/>
        </w:rPr>
        <w:t>&lt;ESA_QUESTION_PKID_25&gt;</w:t>
      </w:r>
    </w:p>
    <w:p w14:paraId="791A0604" w14:textId="2AF3BAF6" w:rsidR="003E573C" w:rsidRDefault="00EA2453" w:rsidP="003E573C">
      <w:pPr>
        <w:rPr>
          <w:rFonts w:cs="Arial"/>
        </w:rPr>
      </w:pPr>
      <w:permStart w:id="374105505" w:edGrp="everyone"/>
      <w:r>
        <w:rPr>
          <w:rFonts w:cs="Arial"/>
        </w:rPr>
        <w:t xml:space="preserve">As mentioned </w:t>
      </w:r>
      <w:r w:rsidR="00DE41AC">
        <w:rPr>
          <w:rFonts w:cs="Arial"/>
        </w:rPr>
        <w:t xml:space="preserve">earlier, </w:t>
      </w:r>
      <w:r>
        <w:rPr>
          <w:rFonts w:cs="Arial"/>
        </w:rPr>
        <w:t>we do not think that illustrative scenarios should replace probabilistic ones for Category III products. In the event that illustrative s</w:t>
      </w:r>
      <w:r w:rsidR="00DE41AC">
        <w:rPr>
          <w:rFonts w:cs="Arial"/>
        </w:rPr>
        <w:t>cenarios are included as an add-</w:t>
      </w:r>
      <w:r>
        <w:rPr>
          <w:rFonts w:cs="Arial"/>
        </w:rPr>
        <w:t>on option</w:t>
      </w:r>
      <w:r w:rsidR="00DE41AC">
        <w:rPr>
          <w:rFonts w:cs="Arial"/>
        </w:rPr>
        <w:t>,</w:t>
      </w:r>
      <w:r>
        <w:rPr>
          <w:rFonts w:cs="Arial"/>
        </w:rPr>
        <w:t xml:space="preserve"> it would be appropriate to limit this to category III products. </w:t>
      </w:r>
    </w:p>
    <w:permEnd w:id="374105505"/>
    <w:p w14:paraId="7665AEED" w14:textId="3CCC2407" w:rsidR="003E573C" w:rsidRDefault="003E573C" w:rsidP="003E573C">
      <w:pPr>
        <w:rPr>
          <w:rFonts w:cs="Arial"/>
        </w:rPr>
      </w:pPr>
      <w:r>
        <w:rPr>
          <w:rFonts w:cs="Arial"/>
        </w:rPr>
        <w:t>&lt;ESA_QUESTION_PKID_25&gt;</w:t>
      </w:r>
    </w:p>
    <w:p w14:paraId="35F4B475" w14:textId="77777777" w:rsidR="003E573C" w:rsidRDefault="003E573C" w:rsidP="003E573C">
      <w:pPr>
        <w:rPr>
          <w:rFonts w:cs="Arial"/>
        </w:rPr>
      </w:pPr>
    </w:p>
    <w:p w14:paraId="07BBB7D0" w14:textId="77777777" w:rsidR="003E573C" w:rsidRDefault="003E573C" w:rsidP="003E573C">
      <w:pPr>
        <w:pStyle w:val="Questionstyle"/>
        <w:numPr>
          <w:ilvl w:val="0"/>
          <w:numId w:val="39"/>
        </w:numPr>
      </w:pPr>
      <w:r>
        <w:t xml:space="preserve">: </w:t>
      </w:r>
      <w:r w:rsidRPr="00763760">
        <w:t>Would you be in favour of including information on past performance in the KID?</w:t>
      </w:r>
    </w:p>
    <w:p w14:paraId="478748BB" w14:textId="4CA7249A" w:rsidR="003E573C" w:rsidRDefault="003E573C" w:rsidP="003E573C">
      <w:pPr>
        <w:rPr>
          <w:rFonts w:cs="Arial"/>
        </w:rPr>
      </w:pPr>
      <w:r>
        <w:rPr>
          <w:rFonts w:cs="Arial"/>
        </w:rPr>
        <w:t>&lt;ESA_QUESTION_PKID_26&gt;</w:t>
      </w:r>
    </w:p>
    <w:p w14:paraId="37723A7A" w14:textId="4233480A" w:rsidR="00295833" w:rsidRDefault="00EA2453" w:rsidP="003E573C">
      <w:pPr>
        <w:rPr>
          <w:rFonts w:cs="Arial"/>
        </w:rPr>
      </w:pPr>
      <w:permStart w:id="624894902" w:edGrp="everyone"/>
      <w:r>
        <w:rPr>
          <w:rFonts w:cs="Arial"/>
        </w:rPr>
        <w:t xml:space="preserve">We strongly believe past performance information </w:t>
      </w:r>
      <w:r w:rsidR="009B40AD">
        <w:rPr>
          <w:rFonts w:cs="Arial"/>
        </w:rPr>
        <w:t xml:space="preserve">should be a </w:t>
      </w:r>
      <w:r>
        <w:rPr>
          <w:rFonts w:cs="Arial"/>
        </w:rPr>
        <w:t xml:space="preserve">crucial part of every KID. </w:t>
      </w:r>
      <w:r w:rsidR="009B40AD">
        <w:rPr>
          <w:rFonts w:cs="Arial"/>
        </w:rPr>
        <w:t xml:space="preserve">However, it is vital that the historical performance comes with a relevant </w:t>
      </w:r>
      <w:proofErr w:type="gramStart"/>
      <w:r w:rsidR="009B40AD">
        <w:rPr>
          <w:rFonts w:cs="Arial"/>
        </w:rPr>
        <w:t>benchmark which</w:t>
      </w:r>
      <w:proofErr w:type="gramEnd"/>
      <w:r w:rsidR="009B40AD">
        <w:rPr>
          <w:rFonts w:cs="Arial"/>
        </w:rPr>
        <w:t xml:space="preserve"> shows relative performance after costs. We see no reason to do this differently for UCITS funds than what </w:t>
      </w:r>
      <w:proofErr w:type="gramStart"/>
      <w:r w:rsidR="009B40AD">
        <w:rPr>
          <w:rFonts w:cs="Arial"/>
        </w:rPr>
        <w:t>is mandated</w:t>
      </w:r>
      <w:proofErr w:type="gramEnd"/>
      <w:r w:rsidR="009B40AD">
        <w:rPr>
          <w:rFonts w:cs="Arial"/>
        </w:rPr>
        <w:t xml:space="preserve"> for KIIDs</w:t>
      </w:r>
      <w:r w:rsidR="00295833">
        <w:rPr>
          <w:rFonts w:cs="Arial"/>
        </w:rPr>
        <w:t xml:space="preserve"> in UCITS</w:t>
      </w:r>
      <w:r w:rsidR="009B40AD">
        <w:rPr>
          <w:rFonts w:cs="Arial"/>
        </w:rPr>
        <w:t>.</w:t>
      </w:r>
      <w:r w:rsidR="00295833">
        <w:rPr>
          <w:rFonts w:cs="Arial"/>
        </w:rPr>
        <w:t xml:space="preserve"> </w:t>
      </w:r>
    </w:p>
    <w:p w14:paraId="3F29D55F" w14:textId="77777777" w:rsidR="00295833" w:rsidRPr="00295833" w:rsidRDefault="00295833" w:rsidP="00295833">
      <w:pPr>
        <w:rPr>
          <w:rFonts w:cs="Arial"/>
        </w:rPr>
      </w:pPr>
      <w:r>
        <w:rPr>
          <w:rFonts w:cs="Arial"/>
        </w:rPr>
        <w:t>We agree with Better Finance’s position paper “</w:t>
      </w:r>
      <w:r w:rsidRPr="00295833">
        <w:rPr>
          <w:rFonts w:cs="Arial"/>
        </w:rPr>
        <w:t>ON CALCULATION AND PRESENTATION OF</w:t>
      </w:r>
    </w:p>
    <w:p w14:paraId="1AC4920E" w14:textId="635836C6" w:rsidR="00295833" w:rsidRDefault="00295833" w:rsidP="00295833">
      <w:pPr>
        <w:rPr>
          <w:rFonts w:cs="Arial"/>
        </w:rPr>
      </w:pPr>
      <w:r w:rsidRPr="00295833">
        <w:rPr>
          <w:rFonts w:cs="Arial"/>
        </w:rPr>
        <w:t>COSTS AND PERFORM</w:t>
      </w:r>
      <w:r>
        <w:rPr>
          <w:rFonts w:cs="Arial"/>
        </w:rPr>
        <w:t>ANCE SCENARIOS IN THE PRIIPs KI</w:t>
      </w:r>
      <w:r w:rsidR="00DE41AC">
        <w:rPr>
          <w:rFonts w:cs="Arial"/>
        </w:rPr>
        <w:t>D</w:t>
      </w:r>
      <w:r>
        <w:rPr>
          <w:rFonts w:cs="Arial"/>
        </w:rPr>
        <w:t>” on this subject.</w:t>
      </w:r>
    </w:p>
    <w:p w14:paraId="026F8811" w14:textId="77777777" w:rsidR="00771AF3" w:rsidRDefault="00771AF3" w:rsidP="00295833">
      <w:pPr>
        <w:rPr>
          <w:rFonts w:cs="Arial"/>
        </w:rPr>
      </w:pPr>
    </w:p>
    <w:p w14:paraId="0BC3B0DF" w14:textId="1D201A60" w:rsidR="00771AF3" w:rsidRDefault="00771AF3" w:rsidP="00295833">
      <w:pPr>
        <w:rPr>
          <w:rFonts w:cs="Arial"/>
        </w:rPr>
      </w:pPr>
      <w:r>
        <w:rPr>
          <w:noProof/>
          <w:lang w:val="nb-NO" w:eastAsia="nb-NO"/>
        </w:rPr>
        <w:drawing>
          <wp:inline distT="0" distB="0" distL="0" distR="0" wp14:anchorId="73A0A186" wp14:editId="6525898E">
            <wp:extent cx="4309184" cy="2797398"/>
            <wp:effectExtent l="0" t="0" r="0" b="3175"/>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323160" cy="2806471"/>
                    </a:xfrm>
                    <a:prstGeom prst="rect">
                      <a:avLst/>
                    </a:prstGeom>
                  </pic:spPr>
                </pic:pic>
              </a:graphicData>
            </a:graphic>
          </wp:inline>
        </w:drawing>
      </w:r>
    </w:p>
    <w:p w14:paraId="6D65136F" w14:textId="77777777" w:rsidR="00771AF3" w:rsidRDefault="00771AF3" w:rsidP="00295833">
      <w:pPr>
        <w:rPr>
          <w:rFonts w:cs="Arial"/>
        </w:rPr>
      </w:pPr>
    </w:p>
    <w:p w14:paraId="52AC4CEA" w14:textId="4033DA70" w:rsidR="00295833" w:rsidRPr="00295833" w:rsidRDefault="00F10C88" w:rsidP="00295833">
      <w:pPr>
        <w:rPr>
          <w:rFonts w:cs="Arial"/>
          <w:sz w:val="16"/>
          <w:szCs w:val="16"/>
        </w:rPr>
      </w:pPr>
      <w:hyperlink r:id="rId32" w:history="1">
        <w:r w:rsidR="00295833" w:rsidRPr="00295833">
          <w:rPr>
            <w:rStyle w:val="Hyperkobling"/>
            <w:sz w:val="16"/>
            <w:szCs w:val="16"/>
          </w:rPr>
          <w:t>https://betterfinance.eu/publication/better-finance-position-paper-on-calculation-and-presentation-of-costs-and-performance-scenarios-in-the-priips-kid/</w:t>
        </w:r>
      </w:hyperlink>
    </w:p>
    <w:p w14:paraId="35DF4D7C" w14:textId="77777777" w:rsidR="00295833" w:rsidRDefault="00295833" w:rsidP="00295833">
      <w:pPr>
        <w:rPr>
          <w:rFonts w:cs="Arial"/>
        </w:rPr>
      </w:pPr>
    </w:p>
    <w:p w14:paraId="4EA3271C" w14:textId="6D697884" w:rsidR="00295833" w:rsidRDefault="00295833" w:rsidP="00295833">
      <w:pPr>
        <w:rPr>
          <w:rFonts w:cs="Arial"/>
        </w:rPr>
      </w:pPr>
      <w:r>
        <w:rPr>
          <w:rFonts w:cs="Arial"/>
        </w:rPr>
        <w:t xml:space="preserve">We would also want inclusion of past performance information for Category I and III products. </w:t>
      </w:r>
      <w:r w:rsidR="00621EF7">
        <w:rPr>
          <w:rFonts w:cs="Arial"/>
        </w:rPr>
        <w:t>While we understand that this can be difficult</w:t>
      </w:r>
      <w:r w:rsidR="00393412">
        <w:rPr>
          <w:rFonts w:cs="Arial"/>
        </w:rPr>
        <w:t>,</w:t>
      </w:r>
      <w:r w:rsidR="00621EF7">
        <w:rPr>
          <w:rFonts w:cs="Arial"/>
        </w:rPr>
        <w:t xml:space="preserve"> we </w:t>
      </w:r>
      <w:r w:rsidR="00393412">
        <w:rPr>
          <w:rFonts w:cs="Arial"/>
        </w:rPr>
        <w:t xml:space="preserve">strongly </w:t>
      </w:r>
      <w:r w:rsidR="00621EF7">
        <w:rPr>
          <w:rFonts w:cs="Arial"/>
        </w:rPr>
        <w:t xml:space="preserve">believe that </w:t>
      </w:r>
      <w:proofErr w:type="gramStart"/>
      <w:r w:rsidR="00621EF7">
        <w:rPr>
          <w:rFonts w:cs="Arial"/>
        </w:rPr>
        <w:t>this burden of proof should be carried by the manufacturers that choose to market these products to retail investors</w:t>
      </w:r>
      <w:proofErr w:type="gramEnd"/>
      <w:r w:rsidR="00621EF7">
        <w:rPr>
          <w:rFonts w:cs="Arial"/>
        </w:rPr>
        <w:t xml:space="preserve">. As we believe </w:t>
      </w:r>
      <w:proofErr w:type="gramStart"/>
      <w:r w:rsidR="00621EF7">
        <w:rPr>
          <w:rFonts w:cs="Arial"/>
        </w:rPr>
        <w:t>that</w:t>
      </w:r>
      <w:proofErr w:type="gramEnd"/>
      <w:r w:rsidR="00621EF7">
        <w:rPr>
          <w:rFonts w:cs="Arial"/>
        </w:rPr>
        <w:t xml:space="preserve"> many structured financial products are deliberately opaque and designed to conceal the true implicit and indirect costs. A retrospective look at how these products would have fared</w:t>
      </w:r>
      <w:r w:rsidR="00393412">
        <w:rPr>
          <w:rFonts w:cs="Arial"/>
        </w:rPr>
        <w:t>,</w:t>
      </w:r>
      <w:r w:rsidR="00621EF7">
        <w:rPr>
          <w:rFonts w:cs="Arial"/>
        </w:rPr>
        <w:t xml:space="preserve"> </w:t>
      </w:r>
      <w:proofErr w:type="gramStart"/>
      <w:r w:rsidR="00621EF7">
        <w:rPr>
          <w:rFonts w:cs="Arial"/>
        </w:rPr>
        <w:t>had they been purchased</w:t>
      </w:r>
      <w:proofErr w:type="gramEnd"/>
      <w:r w:rsidR="00621EF7">
        <w:rPr>
          <w:rFonts w:cs="Arial"/>
        </w:rPr>
        <w:t xml:space="preserve"> five </w:t>
      </w:r>
      <w:r w:rsidR="00D00B66">
        <w:rPr>
          <w:rFonts w:cs="Arial"/>
        </w:rPr>
        <w:t xml:space="preserve">or ten </w:t>
      </w:r>
      <w:r w:rsidR="00621EF7">
        <w:rPr>
          <w:rFonts w:cs="Arial"/>
        </w:rPr>
        <w:t xml:space="preserve">years </w:t>
      </w:r>
      <w:r w:rsidR="00393412">
        <w:rPr>
          <w:rFonts w:cs="Arial"/>
        </w:rPr>
        <w:t>earlier,</w:t>
      </w:r>
      <w:r w:rsidR="00621EF7">
        <w:rPr>
          <w:rFonts w:cs="Arial"/>
        </w:rPr>
        <w:t xml:space="preserve"> </w:t>
      </w:r>
      <w:r w:rsidR="00787325">
        <w:rPr>
          <w:rFonts w:cs="Arial"/>
        </w:rPr>
        <w:t xml:space="preserve">would probably have a disciplinary effect on the issuers. </w:t>
      </w:r>
    </w:p>
    <w:p w14:paraId="4EDF5DF8" w14:textId="77777777" w:rsidR="00787325" w:rsidRDefault="00787325" w:rsidP="00295833">
      <w:pPr>
        <w:rPr>
          <w:rFonts w:cs="Arial"/>
        </w:rPr>
      </w:pPr>
    </w:p>
    <w:p w14:paraId="6A24D566" w14:textId="5B5157E8" w:rsidR="00787325" w:rsidRDefault="00787325" w:rsidP="00295833">
      <w:pPr>
        <w:rPr>
          <w:rFonts w:cs="Arial"/>
        </w:rPr>
      </w:pPr>
      <w:r>
        <w:rPr>
          <w:rFonts w:cs="Arial"/>
        </w:rPr>
        <w:t xml:space="preserve">The consultation paper states that it may create an “adverse incentive to design products that would have more favourable simulated past performance” (Page 32). </w:t>
      </w:r>
      <w:r w:rsidR="00771AF3">
        <w:rPr>
          <w:rFonts w:cs="Arial"/>
        </w:rPr>
        <w:t>We assume this</w:t>
      </w:r>
      <w:r w:rsidR="00D00B66">
        <w:rPr>
          <w:rFonts w:cs="Arial"/>
        </w:rPr>
        <w:t xml:space="preserve"> is an objection raised by the suppliers</w:t>
      </w:r>
      <w:r w:rsidR="00771AF3">
        <w:rPr>
          <w:rFonts w:cs="Arial"/>
        </w:rPr>
        <w:t xml:space="preserve"> It is illustrative </w:t>
      </w:r>
      <w:r w:rsidR="007C666E">
        <w:rPr>
          <w:rFonts w:cs="Arial"/>
        </w:rPr>
        <w:t xml:space="preserve">of the kind of cynicism that permeates a number of manufacturers in the asset management sector. </w:t>
      </w:r>
      <w:r w:rsidR="00686C49">
        <w:rPr>
          <w:rFonts w:cs="Arial"/>
        </w:rPr>
        <w:t xml:space="preserve">This is effectively a way of saying that if we </w:t>
      </w:r>
      <w:proofErr w:type="gramStart"/>
      <w:r w:rsidR="00686C49">
        <w:rPr>
          <w:rFonts w:cs="Arial"/>
        </w:rPr>
        <w:t>are forced</w:t>
      </w:r>
      <w:proofErr w:type="gramEnd"/>
      <w:r w:rsidR="00686C49">
        <w:rPr>
          <w:rFonts w:cs="Arial"/>
        </w:rPr>
        <w:t xml:space="preserve"> to show our products true performance we will stop selling them. We believe that most retails investors </w:t>
      </w:r>
      <w:proofErr w:type="gramStart"/>
      <w:r w:rsidR="00686C49">
        <w:rPr>
          <w:rFonts w:cs="Arial"/>
        </w:rPr>
        <w:t>are not well served</w:t>
      </w:r>
      <w:proofErr w:type="gramEnd"/>
      <w:r w:rsidR="00686C49">
        <w:rPr>
          <w:rFonts w:cs="Arial"/>
        </w:rPr>
        <w:t xml:space="preserve"> by the structured products on offer. If the manufacturers stop producing a large portion of them because of bad historical optics</w:t>
      </w:r>
      <w:r w:rsidR="00393412">
        <w:rPr>
          <w:rFonts w:cs="Arial"/>
        </w:rPr>
        <w:t>,</w:t>
      </w:r>
      <w:r w:rsidR="00686C49">
        <w:rPr>
          <w:rFonts w:cs="Arial"/>
        </w:rPr>
        <w:t xml:space="preserve"> this can be counted as a major victory for the KID and not </w:t>
      </w:r>
      <w:proofErr w:type="gramStart"/>
      <w:r w:rsidR="00686C49">
        <w:rPr>
          <w:rFonts w:cs="Arial"/>
        </w:rPr>
        <w:t>something</w:t>
      </w:r>
      <w:proofErr w:type="gramEnd"/>
      <w:r w:rsidR="00686C49">
        <w:rPr>
          <w:rFonts w:cs="Arial"/>
        </w:rPr>
        <w:t xml:space="preserve"> </w:t>
      </w:r>
      <w:r w:rsidR="00393412">
        <w:rPr>
          <w:rFonts w:cs="Arial"/>
        </w:rPr>
        <w:t>that needs to</w:t>
      </w:r>
      <w:r w:rsidR="00686C49">
        <w:rPr>
          <w:rFonts w:cs="Arial"/>
        </w:rPr>
        <w:t xml:space="preserve"> be corrected.</w:t>
      </w:r>
      <w:r w:rsidR="00393412">
        <w:rPr>
          <w:rFonts w:cs="Arial"/>
        </w:rPr>
        <w:t xml:space="preserve"> </w:t>
      </w:r>
      <w:r w:rsidR="007C666E">
        <w:rPr>
          <w:rFonts w:cs="Arial"/>
        </w:rPr>
        <w:t>However, even if the industry elects to tilt its product portfolio to</w:t>
      </w:r>
      <w:r w:rsidR="00D00B66">
        <w:rPr>
          <w:rFonts w:cs="Arial"/>
        </w:rPr>
        <w:t>wards</w:t>
      </w:r>
      <w:r w:rsidR="007C666E">
        <w:rPr>
          <w:rFonts w:cs="Arial"/>
        </w:rPr>
        <w:t xml:space="preserve"> structured products with a positive historical record, the obligatory probabilistic projection </w:t>
      </w:r>
      <w:r w:rsidR="00686C49">
        <w:rPr>
          <w:rFonts w:cs="Arial"/>
        </w:rPr>
        <w:t>will expose expensive and unsuited products</w:t>
      </w:r>
      <w:r w:rsidR="009D1A64">
        <w:rPr>
          <w:rFonts w:cs="Arial"/>
        </w:rPr>
        <w:t xml:space="preserve">. This </w:t>
      </w:r>
      <w:r w:rsidR="00686C49">
        <w:rPr>
          <w:rFonts w:cs="Arial"/>
        </w:rPr>
        <w:t>will create an uphill</w:t>
      </w:r>
      <w:r w:rsidR="00406826">
        <w:rPr>
          <w:rFonts w:cs="Arial"/>
        </w:rPr>
        <w:t xml:space="preserve"> marketing battle </w:t>
      </w:r>
      <w:r w:rsidR="00D00B66">
        <w:rPr>
          <w:rFonts w:cs="Arial"/>
        </w:rPr>
        <w:t xml:space="preserve">for the suppliers </w:t>
      </w:r>
      <w:r w:rsidR="00406826">
        <w:rPr>
          <w:rFonts w:cs="Arial"/>
        </w:rPr>
        <w:t xml:space="preserve">even if the structured combination of products happened to deliver positive past return. </w:t>
      </w:r>
      <w:r w:rsidR="009D1A64">
        <w:rPr>
          <w:rFonts w:cs="Arial"/>
        </w:rPr>
        <w:t xml:space="preserve">If the combination of past returns </w:t>
      </w:r>
      <w:r w:rsidR="00D00B66">
        <w:rPr>
          <w:rFonts w:cs="Arial"/>
        </w:rPr>
        <w:t>and</w:t>
      </w:r>
      <w:r w:rsidR="009D1A64">
        <w:rPr>
          <w:rFonts w:cs="Arial"/>
        </w:rPr>
        <w:t xml:space="preserve"> future projections result in fewer structured products being marketed to retail investors this should be considered </w:t>
      </w:r>
      <w:proofErr w:type="gramStart"/>
      <w:r w:rsidR="00393412">
        <w:rPr>
          <w:rFonts w:cs="Arial"/>
        </w:rPr>
        <w:t>to be</w:t>
      </w:r>
      <w:r w:rsidR="009D1A64">
        <w:rPr>
          <w:rFonts w:cs="Arial"/>
        </w:rPr>
        <w:t xml:space="preserve"> </w:t>
      </w:r>
      <w:r w:rsidR="00D00B66">
        <w:rPr>
          <w:rFonts w:cs="Arial"/>
        </w:rPr>
        <w:t>a</w:t>
      </w:r>
      <w:proofErr w:type="gramEnd"/>
      <w:r w:rsidR="00D00B66">
        <w:rPr>
          <w:rFonts w:cs="Arial"/>
        </w:rPr>
        <w:t xml:space="preserve"> </w:t>
      </w:r>
      <w:r w:rsidR="009D1A64">
        <w:rPr>
          <w:rFonts w:cs="Arial"/>
        </w:rPr>
        <w:t xml:space="preserve">positive rather than </w:t>
      </w:r>
      <w:r w:rsidR="00D00B66">
        <w:rPr>
          <w:rFonts w:cs="Arial"/>
        </w:rPr>
        <w:t xml:space="preserve">a </w:t>
      </w:r>
      <w:r w:rsidR="009D1A64">
        <w:rPr>
          <w:rFonts w:cs="Arial"/>
        </w:rPr>
        <w:t>negative.</w:t>
      </w:r>
    </w:p>
    <w:p w14:paraId="4B1A8CB1" w14:textId="77777777" w:rsidR="00406826" w:rsidRDefault="00406826" w:rsidP="00295833">
      <w:pPr>
        <w:rPr>
          <w:rFonts w:cs="Arial"/>
        </w:rPr>
      </w:pPr>
    </w:p>
    <w:p w14:paraId="27DAB45F" w14:textId="5AA6446F" w:rsidR="00EA2453" w:rsidRDefault="00406826" w:rsidP="00295833">
      <w:pPr>
        <w:rPr>
          <w:rFonts w:cs="Arial"/>
        </w:rPr>
      </w:pPr>
      <w:r>
        <w:rPr>
          <w:rFonts w:cs="Arial"/>
        </w:rPr>
        <w:t>In conclusion</w:t>
      </w:r>
      <w:r w:rsidR="00393412">
        <w:rPr>
          <w:rFonts w:cs="Arial"/>
        </w:rPr>
        <w:t>,</w:t>
      </w:r>
      <w:r>
        <w:rPr>
          <w:rFonts w:cs="Arial"/>
        </w:rPr>
        <w:t xml:space="preserve"> we do not think Category I and III should get exemption from showing past results.</w:t>
      </w:r>
      <w:r w:rsidR="00393412">
        <w:rPr>
          <w:rFonts w:cs="Arial"/>
        </w:rPr>
        <w:t xml:space="preserve"> </w:t>
      </w:r>
      <w:r w:rsidR="00C46CD7">
        <w:rPr>
          <w:rFonts w:cs="Arial"/>
        </w:rPr>
        <w:t xml:space="preserve">We also think that the past results section should be prolonged to 10 years </w:t>
      </w:r>
      <w:r w:rsidR="00D00B66">
        <w:rPr>
          <w:rFonts w:cs="Arial"/>
        </w:rPr>
        <w:t>(or at least the duration of the product</w:t>
      </w:r>
      <w:proofErr w:type="gramStart"/>
      <w:r w:rsidR="00D00B66">
        <w:rPr>
          <w:rFonts w:cs="Arial"/>
        </w:rPr>
        <w:t>)</w:t>
      </w:r>
      <w:r w:rsidR="00C46CD7">
        <w:rPr>
          <w:rFonts w:cs="Arial"/>
        </w:rPr>
        <w:t>in</w:t>
      </w:r>
      <w:proofErr w:type="gramEnd"/>
      <w:r w:rsidR="00C46CD7">
        <w:rPr>
          <w:rFonts w:cs="Arial"/>
        </w:rPr>
        <w:t xml:space="preserve"> order to factor in a typical length of a business cycle.</w:t>
      </w:r>
      <w:r w:rsidR="002058AD">
        <w:rPr>
          <w:rFonts w:cs="Arial"/>
        </w:rPr>
        <w:t xml:space="preserve"> If the investment product has a shorter history than 10 years</w:t>
      </w:r>
      <w:r w:rsidR="00393412">
        <w:rPr>
          <w:rFonts w:cs="Arial"/>
        </w:rPr>
        <w:t>, then</w:t>
      </w:r>
      <w:r w:rsidR="002058AD">
        <w:rPr>
          <w:rFonts w:cs="Arial"/>
        </w:rPr>
        <w:t xml:space="preserve"> the past performance disclosure should start from the inception.</w:t>
      </w:r>
      <w:r w:rsidR="009B40AD">
        <w:rPr>
          <w:rFonts w:cs="Arial"/>
        </w:rPr>
        <w:t xml:space="preserve">  </w:t>
      </w:r>
    </w:p>
    <w:permEnd w:id="624894902"/>
    <w:p w14:paraId="4A8013FB" w14:textId="0C467183" w:rsidR="003E573C" w:rsidRDefault="003E573C" w:rsidP="003E573C">
      <w:pPr>
        <w:rPr>
          <w:rFonts w:cs="Arial"/>
        </w:rPr>
      </w:pPr>
      <w:r>
        <w:rPr>
          <w:rFonts w:cs="Arial"/>
        </w:rPr>
        <w:t>&lt;ESA_QUESTION_PKID_26&gt;</w:t>
      </w:r>
    </w:p>
    <w:p w14:paraId="2E8B6EF5" w14:textId="77777777" w:rsidR="003E573C" w:rsidRDefault="003E573C" w:rsidP="003E573C">
      <w:pPr>
        <w:rPr>
          <w:rFonts w:cs="Arial"/>
        </w:rPr>
      </w:pPr>
    </w:p>
    <w:p w14:paraId="362C80A0" w14:textId="77777777" w:rsidR="003E573C" w:rsidRDefault="003E573C" w:rsidP="003E573C">
      <w:pPr>
        <w:pStyle w:val="Questionstyle"/>
        <w:numPr>
          <w:ilvl w:val="0"/>
          <w:numId w:val="39"/>
        </w:numPr>
      </w:pPr>
      <w:r>
        <w:t xml:space="preserve">: </w:t>
      </w:r>
      <w:r w:rsidRPr="00763760">
        <w:t xml:space="preserve">Would your answer to the previous question be different if it were possible to amend Article 6(4) of the PRIIPs Regulation? </w:t>
      </w:r>
    </w:p>
    <w:p w14:paraId="644F48DF" w14:textId="32AEB445" w:rsidR="003E573C" w:rsidRDefault="003E573C" w:rsidP="003E573C">
      <w:pPr>
        <w:rPr>
          <w:rFonts w:cs="Arial"/>
        </w:rPr>
      </w:pPr>
      <w:r>
        <w:rPr>
          <w:rFonts w:cs="Arial"/>
        </w:rPr>
        <w:t>&lt;ESA_QUESTION_PKID_27&gt;</w:t>
      </w:r>
    </w:p>
    <w:p w14:paraId="50AB8F8B" w14:textId="201B337B" w:rsidR="003E573C" w:rsidRDefault="00406826" w:rsidP="003E573C">
      <w:pPr>
        <w:rPr>
          <w:rFonts w:cs="Arial"/>
        </w:rPr>
      </w:pPr>
      <w:permStart w:id="1007688109" w:edGrp="everyone"/>
      <w:r>
        <w:rPr>
          <w:rFonts w:cs="Arial"/>
        </w:rPr>
        <w:t>NA</w:t>
      </w:r>
    </w:p>
    <w:permEnd w:id="1007688109"/>
    <w:p w14:paraId="60AE9CFD" w14:textId="73BA71BF" w:rsidR="003E573C" w:rsidRDefault="003E573C" w:rsidP="003E573C">
      <w:pPr>
        <w:rPr>
          <w:rFonts w:cs="Arial"/>
        </w:rPr>
      </w:pPr>
      <w:r>
        <w:rPr>
          <w:rFonts w:cs="Arial"/>
        </w:rPr>
        <w:t>&lt;ESA_QUESTION_PKID_27&gt;</w:t>
      </w:r>
    </w:p>
    <w:p w14:paraId="25C9796B" w14:textId="77777777" w:rsidR="003E573C" w:rsidRDefault="003E573C" w:rsidP="003E573C">
      <w:pPr>
        <w:rPr>
          <w:rFonts w:cs="Arial"/>
        </w:rPr>
      </w:pPr>
    </w:p>
    <w:p w14:paraId="3D43B9BD" w14:textId="77777777" w:rsidR="003E573C" w:rsidRDefault="003E573C" w:rsidP="003E573C">
      <w:pPr>
        <w:pStyle w:val="Questionstyle"/>
        <w:numPr>
          <w:ilvl w:val="0"/>
          <w:numId w:val="39"/>
        </w:numPr>
      </w:pPr>
      <w:r>
        <w:t xml:space="preserve">: </w:t>
      </w:r>
      <w:r w:rsidRPr="009A68ED">
        <w:t>Do you think that it can be more appropriate to show past performance in the form of an average (as shown in the ESA proposal for consumer testing) for certain types of PRIIPs? If so, for exactly which types of PRIIPs?</w:t>
      </w:r>
    </w:p>
    <w:p w14:paraId="6A396684" w14:textId="77477EA3" w:rsidR="003E573C" w:rsidRDefault="003E573C" w:rsidP="003E573C">
      <w:pPr>
        <w:rPr>
          <w:rFonts w:cs="Arial"/>
        </w:rPr>
      </w:pPr>
      <w:r>
        <w:rPr>
          <w:rFonts w:cs="Arial"/>
        </w:rPr>
        <w:t>&lt;ESA_QUESTION_PKID_28&gt;</w:t>
      </w:r>
    </w:p>
    <w:p w14:paraId="371ED482" w14:textId="16F9ED69" w:rsidR="003E573C" w:rsidRDefault="002058AD" w:rsidP="003E573C">
      <w:pPr>
        <w:rPr>
          <w:rFonts w:cs="Arial"/>
        </w:rPr>
      </w:pPr>
      <w:permStart w:id="1152679739" w:edGrp="everyone"/>
      <w:r>
        <w:rPr>
          <w:rFonts w:cs="Arial"/>
        </w:rPr>
        <w:t xml:space="preserve">We believe an average can be useful, but </w:t>
      </w:r>
      <w:proofErr w:type="gramStart"/>
      <w:r>
        <w:rPr>
          <w:rFonts w:cs="Arial"/>
        </w:rPr>
        <w:t>should be supplemented</w:t>
      </w:r>
      <w:proofErr w:type="gramEnd"/>
      <w:r>
        <w:rPr>
          <w:rFonts w:cs="Arial"/>
        </w:rPr>
        <w:t xml:space="preserve"> by showing yearly returns compared to a relevant benchmark. This level of detail gives a valuable and informative overview of the products volatili</w:t>
      </w:r>
      <w:r w:rsidR="00E94212">
        <w:rPr>
          <w:rFonts w:cs="Arial"/>
        </w:rPr>
        <w:t>ty and consistency vs. the benchmark.</w:t>
      </w:r>
    </w:p>
    <w:p w14:paraId="78835A38" w14:textId="77777777" w:rsidR="00A2046A" w:rsidRDefault="00A2046A" w:rsidP="003E573C">
      <w:pPr>
        <w:rPr>
          <w:rFonts w:cs="Arial"/>
        </w:rPr>
      </w:pPr>
    </w:p>
    <w:p w14:paraId="67B92BE3" w14:textId="4874B0E9" w:rsidR="00207028" w:rsidRDefault="00A2046A" w:rsidP="003E573C">
      <w:pPr>
        <w:rPr>
          <w:rFonts w:cs="Arial"/>
        </w:rPr>
      </w:pPr>
      <w:r>
        <w:rPr>
          <w:rFonts w:cs="Arial"/>
        </w:rPr>
        <w:t xml:space="preserve">The average </w:t>
      </w:r>
      <w:proofErr w:type="gramStart"/>
      <w:r>
        <w:rPr>
          <w:rFonts w:cs="Arial"/>
        </w:rPr>
        <w:t>could be displayed</w:t>
      </w:r>
      <w:proofErr w:type="gramEnd"/>
      <w:r>
        <w:rPr>
          <w:rFonts w:cs="Arial"/>
        </w:rPr>
        <w:t xml:space="preserve"> as we have tried to illustrate below. The return </w:t>
      </w:r>
      <w:proofErr w:type="gramStart"/>
      <w:r>
        <w:rPr>
          <w:rFonts w:cs="Arial"/>
        </w:rPr>
        <w:t>can also be shown</w:t>
      </w:r>
      <w:proofErr w:type="gramEnd"/>
      <w:r>
        <w:rPr>
          <w:rFonts w:cs="Arial"/>
        </w:rPr>
        <w:t xml:space="preserve"> both gross and net</w:t>
      </w:r>
      <w:r w:rsidR="00393412">
        <w:rPr>
          <w:rFonts w:cs="Arial"/>
        </w:rPr>
        <w:t>,</w:t>
      </w:r>
      <w:r>
        <w:rPr>
          <w:rFonts w:cs="Arial"/>
        </w:rPr>
        <w:t xml:space="preserve"> as</w:t>
      </w:r>
      <w:r w:rsidR="00393412">
        <w:rPr>
          <w:rFonts w:cs="Arial"/>
        </w:rPr>
        <w:t xml:space="preserve"> shown</w:t>
      </w:r>
      <w:r>
        <w:rPr>
          <w:rFonts w:cs="Arial"/>
        </w:rPr>
        <w:t xml:space="preserve"> in the Ex1 below. It would have looked less cluttered if we had managed to stack the annual cost on top of the net return with another colour, but Excel did not have this option. However, by stacking them</w:t>
      </w:r>
      <w:r w:rsidR="00393412">
        <w:rPr>
          <w:rFonts w:cs="Arial"/>
        </w:rPr>
        <w:t>,</w:t>
      </w:r>
      <w:r>
        <w:rPr>
          <w:rFonts w:cs="Arial"/>
        </w:rPr>
        <w:t xml:space="preserve"> the retail investor </w:t>
      </w:r>
      <w:r w:rsidR="00207028">
        <w:rPr>
          <w:rFonts w:cs="Arial"/>
        </w:rPr>
        <w:t>may confuse net with gross return or the colour scheme could become blurred if printed in black and white.</w:t>
      </w:r>
    </w:p>
    <w:p w14:paraId="2F900D52" w14:textId="77777777" w:rsidR="00207028" w:rsidRDefault="00207028" w:rsidP="003E573C">
      <w:pPr>
        <w:rPr>
          <w:rFonts w:cs="Arial"/>
        </w:rPr>
      </w:pPr>
    </w:p>
    <w:p w14:paraId="11B90ED9" w14:textId="3FB3AB0B" w:rsidR="00207028" w:rsidRDefault="00207028" w:rsidP="003E573C">
      <w:pPr>
        <w:rPr>
          <w:rFonts w:cs="Arial"/>
        </w:rPr>
      </w:pPr>
      <w:r>
        <w:rPr>
          <w:rFonts w:cs="Arial"/>
        </w:rPr>
        <w:t>We therefor</w:t>
      </w:r>
      <w:r w:rsidR="00393412">
        <w:rPr>
          <w:rFonts w:cs="Arial"/>
        </w:rPr>
        <w:t>e</w:t>
      </w:r>
      <w:r>
        <w:rPr>
          <w:rFonts w:cs="Arial"/>
        </w:rPr>
        <w:t xml:space="preserve"> recommend keeping the cost information out of the historical performance chart and go for Ex2.</w:t>
      </w:r>
    </w:p>
    <w:p w14:paraId="2B94E897" w14:textId="77777777" w:rsidR="00207028" w:rsidRDefault="00207028" w:rsidP="003E573C">
      <w:pPr>
        <w:rPr>
          <w:rFonts w:cs="Arial"/>
        </w:rPr>
      </w:pPr>
    </w:p>
    <w:p w14:paraId="5FF7938A" w14:textId="5408B002" w:rsidR="00A2046A" w:rsidRDefault="00393412" w:rsidP="003E573C">
      <w:pPr>
        <w:rPr>
          <w:rFonts w:cs="Arial"/>
        </w:rPr>
      </w:pPr>
      <w:r>
        <w:rPr>
          <w:rFonts w:cs="Arial"/>
        </w:rPr>
        <w:lastRenderedPageBreak/>
        <w:t>We believe that this set-</w:t>
      </w:r>
      <w:r w:rsidR="00207028">
        <w:rPr>
          <w:rFonts w:cs="Arial"/>
        </w:rPr>
        <w:t xml:space="preserve">up </w:t>
      </w:r>
      <w:proofErr w:type="gramStart"/>
      <w:r w:rsidR="00207028">
        <w:rPr>
          <w:rFonts w:cs="Arial"/>
        </w:rPr>
        <w:t>should be used</w:t>
      </w:r>
      <w:proofErr w:type="gramEnd"/>
      <w:r w:rsidR="00207028">
        <w:rPr>
          <w:rFonts w:cs="Arial"/>
        </w:rPr>
        <w:t xml:space="preserve"> for as many </w:t>
      </w:r>
      <w:r w:rsidR="006B7C67">
        <w:rPr>
          <w:rFonts w:cs="Arial"/>
        </w:rPr>
        <w:t>types of PRIIPs as possible.</w:t>
      </w:r>
      <w:r w:rsidR="00A2046A">
        <w:rPr>
          <w:rFonts w:cs="Arial"/>
        </w:rPr>
        <w:t xml:space="preserve"> </w:t>
      </w:r>
    </w:p>
    <w:p w14:paraId="37E40587" w14:textId="77777777" w:rsidR="00A2046A" w:rsidRDefault="00A2046A" w:rsidP="003E573C">
      <w:pPr>
        <w:rPr>
          <w:rFonts w:cs="Arial"/>
        </w:rPr>
      </w:pPr>
    </w:p>
    <w:p w14:paraId="41B4D134" w14:textId="404ADA69" w:rsidR="00A2046A" w:rsidRDefault="00A2046A" w:rsidP="003E573C">
      <w:pPr>
        <w:rPr>
          <w:rFonts w:cs="Arial"/>
        </w:rPr>
      </w:pPr>
      <w:r>
        <w:rPr>
          <w:noProof/>
          <w:lang w:val="nb-NO" w:eastAsia="nb-NO"/>
        </w:rPr>
        <w:drawing>
          <wp:inline distT="0" distB="0" distL="0" distR="0" wp14:anchorId="5CACA779" wp14:editId="18EE3894">
            <wp:extent cx="2942985" cy="2650490"/>
            <wp:effectExtent l="0" t="0" r="10160" b="16510"/>
            <wp:docPr id="9" name="Diagram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Pr>
          <w:rFonts w:cs="Arial"/>
        </w:rPr>
        <w:t xml:space="preserve">   </w:t>
      </w:r>
      <w:r>
        <w:rPr>
          <w:noProof/>
          <w:lang w:val="nb-NO" w:eastAsia="nb-NO"/>
        </w:rPr>
        <w:drawing>
          <wp:inline distT="0" distB="0" distL="0" distR="0" wp14:anchorId="1966D90E" wp14:editId="4A0DE1D4">
            <wp:extent cx="2873375" cy="2658622"/>
            <wp:effectExtent l="0" t="0" r="3175" b="8890"/>
            <wp:docPr id="10" name="Diagram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50CA8477" w14:textId="77777777" w:rsidR="00A2046A" w:rsidRDefault="00A2046A" w:rsidP="003E573C">
      <w:pPr>
        <w:rPr>
          <w:rFonts w:cs="Arial"/>
        </w:rPr>
      </w:pPr>
    </w:p>
    <w:permEnd w:id="1152679739"/>
    <w:p w14:paraId="34CB510D" w14:textId="741D2372" w:rsidR="003E573C" w:rsidRDefault="003E573C" w:rsidP="003E573C">
      <w:pPr>
        <w:rPr>
          <w:rFonts w:cs="Arial"/>
        </w:rPr>
      </w:pPr>
      <w:r>
        <w:rPr>
          <w:rFonts w:cs="Arial"/>
        </w:rPr>
        <w:t>&lt;ESA_QUESTION_PKID_28&gt;</w:t>
      </w:r>
    </w:p>
    <w:p w14:paraId="76F120AF" w14:textId="77777777" w:rsidR="003E573C" w:rsidRDefault="003E573C" w:rsidP="003E573C">
      <w:pPr>
        <w:rPr>
          <w:rFonts w:cs="Arial"/>
        </w:rPr>
      </w:pPr>
    </w:p>
    <w:p w14:paraId="1B7FC5EC" w14:textId="77777777" w:rsidR="003E573C" w:rsidRDefault="003E573C" w:rsidP="003E573C">
      <w:pPr>
        <w:pStyle w:val="Questionstyle"/>
        <w:numPr>
          <w:ilvl w:val="0"/>
          <w:numId w:val="39"/>
        </w:numPr>
      </w:pPr>
      <w:r>
        <w:t xml:space="preserve">: </w:t>
      </w:r>
      <w:r w:rsidRPr="00763760">
        <w:t>Do you have any comments on the statement that would supplement the display of past performance (e.g. with regard to the presentation of costs which are not included in the net asset value (NAV))?</w:t>
      </w:r>
    </w:p>
    <w:p w14:paraId="0FD8BB64" w14:textId="3363E3B3" w:rsidR="003E573C" w:rsidRDefault="003E573C" w:rsidP="003E573C">
      <w:pPr>
        <w:rPr>
          <w:rFonts w:cs="Arial"/>
        </w:rPr>
      </w:pPr>
      <w:r>
        <w:rPr>
          <w:rFonts w:cs="Arial"/>
        </w:rPr>
        <w:t>&lt;ESA_QUESTION_PKID_29&gt;</w:t>
      </w:r>
    </w:p>
    <w:p w14:paraId="089997D7" w14:textId="30CB569E" w:rsidR="003E573C" w:rsidRDefault="00E94212" w:rsidP="003E573C">
      <w:pPr>
        <w:rPr>
          <w:rFonts w:cs="Arial"/>
        </w:rPr>
      </w:pPr>
      <w:permStart w:id="419824169" w:edGrp="everyone"/>
      <w:r>
        <w:rPr>
          <w:rFonts w:cs="Arial"/>
        </w:rPr>
        <w:t xml:space="preserve">The performance </w:t>
      </w:r>
      <w:proofErr w:type="gramStart"/>
      <w:r>
        <w:rPr>
          <w:rFonts w:cs="Arial"/>
        </w:rPr>
        <w:t>should be measured</w:t>
      </w:r>
      <w:proofErr w:type="gramEnd"/>
      <w:r>
        <w:rPr>
          <w:rFonts w:cs="Arial"/>
        </w:rPr>
        <w:t xml:space="preserve"> net of costs. </w:t>
      </w:r>
    </w:p>
    <w:permEnd w:id="419824169"/>
    <w:p w14:paraId="0762C28A" w14:textId="50FE6F00" w:rsidR="003E573C" w:rsidRDefault="003E573C" w:rsidP="003E573C">
      <w:pPr>
        <w:rPr>
          <w:rFonts w:cs="Arial"/>
        </w:rPr>
      </w:pPr>
      <w:r>
        <w:rPr>
          <w:rFonts w:cs="Arial"/>
        </w:rPr>
        <w:t>&lt;ESA_QUESTION_PKID_29&gt;</w:t>
      </w:r>
    </w:p>
    <w:p w14:paraId="72CDDAC8" w14:textId="77777777" w:rsidR="003E573C" w:rsidRDefault="003E573C" w:rsidP="003E573C">
      <w:pPr>
        <w:rPr>
          <w:rFonts w:cs="Arial"/>
        </w:rPr>
      </w:pPr>
    </w:p>
    <w:p w14:paraId="5E4F22C4" w14:textId="77777777" w:rsidR="003E573C" w:rsidRDefault="003E573C" w:rsidP="003E573C">
      <w:pPr>
        <w:pStyle w:val="Questionstyle"/>
        <w:numPr>
          <w:ilvl w:val="0"/>
          <w:numId w:val="39"/>
        </w:numPr>
      </w:pPr>
      <w:r>
        <w:t xml:space="preserve">: </w:t>
      </w:r>
      <w:r w:rsidRPr="00763760">
        <w:t>Are you of the opinion that an additional narrative is required to explain the relationship between past performance and future performance scenarios?</w:t>
      </w:r>
    </w:p>
    <w:p w14:paraId="1CF599A3" w14:textId="19FC4C4E" w:rsidR="003E573C" w:rsidRDefault="003E573C" w:rsidP="003E573C">
      <w:pPr>
        <w:rPr>
          <w:rFonts w:cs="Arial"/>
        </w:rPr>
      </w:pPr>
      <w:r>
        <w:rPr>
          <w:rFonts w:cs="Arial"/>
        </w:rPr>
        <w:t>&lt;ESA_QUESTION_PKID_30&gt;</w:t>
      </w:r>
    </w:p>
    <w:p w14:paraId="1513D34A" w14:textId="31786108" w:rsidR="003E573C" w:rsidRDefault="00406826" w:rsidP="003E573C">
      <w:pPr>
        <w:rPr>
          <w:rFonts w:cs="Arial"/>
        </w:rPr>
      </w:pPr>
      <w:permStart w:id="503522783" w:edGrp="everyone"/>
      <w:r>
        <w:rPr>
          <w:rFonts w:cs="Arial"/>
        </w:rPr>
        <w:t>NA</w:t>
      </w:r>
    </w:p>
    <w:permEnd w:id="503522783"/>
    <w:p w14:paraId="349D85E4" w14:textId="6FEDCBBE" w:rsidR="003E573C" w:rsidRDefault="003E573C" w:rsidP="003E573C">
      <w:pPr>
        <w:rPr>
          <w:rFonts w:cs="Arial"/>
        </w:rPr>
      </w:pPr>
      <w:r>
        <w:rPr>
          <w:rFonts w:cs="Arial"/>
        </w:rPr>
        <w:t>&lt;ESA_QUESTION_PKID_30&gt;</w:t>
      </w:r>
    </w:p>
    <w:p w14:paraId="1A2644A9" w14:textId="77777777" w:rsidR="003E573C" w:rsidRDefault="003E573C" w:rsidP="003E573C">
      <w:pPr>
        <w:rPr>
          <w:rFonts w:cs="Arial"/>
        </w:rPr>
      </w:pPr>
    </w:p>
    <w:p w14:paraId="4924D026" w14:textId="77777777" w:rsidR="003E573C" w:rsidRDefault="003E573C" w:rsidP="003E573C">
      <w:pPr>
        <w:pStyle w:val="Questionstyle"/>
        <w:numPr>
          <w:ilvl w:val="0"/>
          <w:numId w:val="39"/>
        </w:numPr>
        <w:rPr>
          <w:rFonts w:cstheme="minorHAnsi"/>
          <w:iCs/>
          <w:color w:val="000000"/>
        </w:rPr>
      </w:pPr>
      <w:r>
        <w:t xml:space="preserve">: </w:t>
      </w:r>
      <w:r w:rsidRPr="00763760">
        <w:t>Do you see merit in further specifying the cases where the UCITS/AIF should be</w:t>
      </w:r>
      <w:r w:rsidRPr="00424904">
        <w:rPr>
          <w:rFonts w:cstheme="minorHAnsi"/>
          <w:iCs/>
        </w:rPr>
        <w:t xml:space="preserve"> considered as being managed in reference to a benchmark, taking into account the provisions of the ESMA Questions and Answers on the application of the UCITS Directive</w:t>
      </w:r>
      <w:r w:rsidRPr="00463618">
        <w:rPr>
          <w:rStyle w:val="Fotnotereferanse"/>
          <w:rFonts w:cstheme="minorHAnsi"/>
          <w:iCs/>
          <w:szCs w:val="24"/>
        </w:rPr>
        <w:footnoteReference w:id="5"/>
      </w:r>
      <w:r w:rsidRPr="00424904">
        <w:rPr>
          <w:rFonts w:cstheme="minorHAnsi"/>
          <w:iCs/>
          <w:color w:val="000000"/>
        </w:rPr>
        <w:t>?</w:t>
      </w:r>
    </w:p>
    <w:p w14:paraId="245229F5" w14:textId="041AB891" w:rsidR="003E573C" w:rsidRDefault="003E573C" w:rsidP="003E573C">
      <w:pPr>
        <w:rPr>
          <w:rFonts w:cs="Arial"/>
        </w:rPr>
      </w:pPr>
      <w:r>
        <w:rPr>
          <w:rFonts w:cs="Arial"/>
        </w:rPr>
        <w:t>&lt;ESA_QUESTION_PKID_31&gt;</w:t>
      </w:r>
    </w:p>
    <w:p w14:paraId="2BE50BC6" w14:textId="379C3868" w:rsidR="00146497" w:rsidRDefault="00146497" w:rsidP="00146497">
      <w:pPr>
        <w:rPr>
          <w:rFonts w:cs="Arial"/>
        </w:rPr>
      </w:pPr>
      <w:permStart w:id="1708064826" w:edGrp="everyone"/>
      <w:r>
        <w:rPr>
          <w:rFonts w:cs="Arial"/>
        </w:rPr>
        <w:t>As mention in Q13: Hybrid funds has gained much popularity among Norwegian consumers - particularly as an asset class in pension scheme</w:t>
      </w:r>
      <w:r w:rsidR="00D00B66">
        <w:rPr>
          <w:rFonts w:cs="Arial"/>
        </w:rPr>
        <w:t>s</w:t>
      </w:r>
      <w:r>
        <w:rPr>
          <w:rFonts w:cs="Arial"/>
        </w:rPr>
        <w:t xml:space="preserve">. </w:t>
      </w:r>
    </w:p>
    <w:p w14:paraId="0D017BEE" w14:textId="77777777" w:rsidR="00146497" w:rsidRDefault="00146497" w:rsidP="00146497">
      <w:pPr>
        <w:rPr>
          <w:rFonts w:cs="Arial"/>
        </w:rPr>
      </w:pPr>
    </w:p>
    <w:p w14:paraId="12ABA76B" w14:textId="77777777" w:rsidR="00565D32" w:rsidRDefault="00146497" w:rsidP="003E573C">
      <w:pPr>
        <w:rPr>
          <w:rFonts w:cs="Arial"/>
        </w:rPr>
      </w:pPr>
      <w:r>
        <w:rPr>
          <w:rFonts w:cs="Arial"/>
        </w:rPr>
        <w:t xml:space="preserve">The national experience on hybrid funds is </w:t>
      </w:r>
      <w:r w:rsidR="00565D32">
        <w:rPr>
          <w:rFonts w:cs="Arial"/>
        </w:rPr>
        <w:t xml:space="preserve">one where </w:t>
      </w:r>
      <w:r>
        <w:rPr>
          <w:rFonts w:cs="Arial"/>
        </w:rPr>
        <w:t xml:space="preserve">several for the hybrid funds </w:t>
      </w:r>
      <w:proofErr w:type="gramStart"/>
      <w:r w:rsidR="00565D32">
        <w:rPr>
          <w:rFonts w:cs="Arial"/>
        </w:rPr>
        <w:t xml:space="preserve">are </w:t>
      </w:r>
      <w:r>
        <w:rPr>
          <w:rFonts w:cs="Arial"/>
        </w:rPr>
        <w:t>sold</w:t>
      </w:r>
      <w:proofErr w:type="gramEnd"/>
      <w:r>
        <w:rPr>
          <w:rFonts w:cs="Arial"/>
        </w:rPr>
        <w:t xml:space="preserve"> to consumers</w:t>
      </w:r>
      <w:r w:rsidR="00565D32">
        <w:rPr>
          <w:rFonts w:cs="Arial"/>
        </w:rPr>
        <w:t xml:space="preserve"> lacking </w:t>
      </w:r>
      <w:r>
        <w:rPr>
          <w:rFonts w:cs="Arial"/>
        </w:rPr>
        <w:t xml:space="preserve">a relevant reference index or </w:t>
      </w:r>
      <w:r w:rsidR="00565D32">
        <w:rPr>
          <w:rFonts w:cs="Arial"/>
        </w:rPr>
        <w:t xml:space="preserve">lacking </w:t>
      </w:r>
      <w:r w:rsidRPr="00146497">
        <w:rPr>
          <w:rFonts w:cs="Arial"/>
        </w:rPr>
        <w:t>necessary</w:t>
      </w:r>
      <w:r w:rsidR="00565D32">
        <w:rPr>
          <w:rFonts w:cs="Arial"/>
        </w:rPr>
        <w:t>,</w:t>
      </w:r>
      <w:r w:rsidRPr="00146497">
        <w:rPr>
          <w:rFonts w:cs="Arial"/>
        </w:rPr>
        <w:t xml:space="preserve"> </w:t>
      </w:r>
      <w:r>
        <w:rPr>
          <w:rFonts w:cs="Arial"/>
        </w:rPr>
        <w:t xml:space="preserve">easy to understand </w:t>
      </w:r>
      <w:r w:rsidRPr="00146497">
        <w:rPr>
          <w:rFonts w:cs="Arial"/>
        </w:rPr>
        <w:t xml:space="preserve">information about the </w:t>
      </w:r>
      <w:r>
        <w:rPr>
          <w:rFonts w:cs="Arial"/>
        </w:rPr>
        <w:t xml:space="preserve">meaning of a proxy reference index or </w:t>
      </w:r>
      <w:r w:rsidR="00565D32">
        <w:rPr>
          <w:rFonts w:cs="Arial"/>
        </w:rPr>
        <w:t xml:space="preserve">the consequences of comparing performance to an improper </w:t>
      </w:r>
      <w:r>
        <w:rPr>
          <w:rFonts w:cs="Arial"/>
        </w:rPr>
        <w:t xml:space="preserve">reference </w:t>
      </w:r>
      <w:r>
        <w:rPr>
          <w:rFonts w:cs="Arial"/>
        </w:rPr>
        <w:lastRenderedPageBreak/>
        <w:t xml:space="preserve">index. This has been pointed out of the Norwegian FSA, </w:t>
      </w:r>
      <w:proofErr w:type="gramStart"/>
      <w:r>
        <w:rPr>
          <w:rFonts w:cs="Arial"/>
        </w:rPr>
        <w:t>but yet</w:t>
      </w:r>
      <w:proofErr w:type="gramEnd"/>
      <w:r>
        <w:rPr>
          <w:rFonts w:cs="Arial"/>
        </w:rPr>
        <w:t xml:space="preserve"> hybrid fund providers does not live up to the instruction of the F</w:t>
      </w:r>
      <w:r w:rsidR="00565D32">
        <w:rPr>
          <w:rFonts w:cs="Arial"/>
        </w:rPr>
        <w:t>SA</w:t>
      </w:r>
      <w:r>
        <w:rPr>
          <w:rFonts w:cs="Arial"/>
        </w:rPr>
        <w:t xml:space="preserve">. </w:t>
      </w:r>
    </w:p>
    <w:p w14:paraId="5644A26B" w14:textId="5E427342" w:rsidR="00146497" w:rsidRDefault="00146497" w:rsidP="003E573C">
      <w:pPr>
        <w:rPr>
          <w:rFonts w:cs="Arial"/>
        </w:rPr>
      </w:pPr>
      <w:r>
        <w:rPr>
          <w:rFonts w:cs="Arial"/>
        </w:rPr>
        <w:t xml:space="preserve">We identified lack of </w:t>
      </w:r>
      <w:r w:rsidRPr="00606152">
        <w:rPr>
          <w:rFonts w:cs="Arial"/>
        </w:rPr>
        <w:t>compliance</w:t>
      </w:r>
      <w:r>
        <w:rPr>
          <w:rFonts w:cs="Arial"/>
        </w:rPr>
        <w:t xml:space="preserve"> </w:t>
      </w:r>
      <w:r w:rsidR="00565D32">
        <w:rPr>
          <w:rFonts w:cs="Arial"/>
        </w:rPr>
        <w:t xml:space="preserve">as late as </w:t>
      </w:r>
      <w:r>
        <w:rPr>
          <w:rFonts w:cs="Arial"/>
        </w:rPr>
        <w:t xml:space="preserve">in 2019 and published our results in </w:t>
      </w:r>
      <w:hyperlink r:id="rId35" w:history="1">
        <w:r>
          <w:rPr>
            <w:rStyle w:val="Hyperkobling"/>
          </w:rPr>
          <w:t>https://fil.forbrukerradet.no/wp-content/uploads/2019/10/rapport-kombinasjonsfond-og-fondsprofiler.pdf</w:t>
        </w:r>
      </w:hyperlink>
      <w:r>
        <w:t xml:space="preserve"> (Norwegian only). </w:t>
      </w:r>
    </w:p>
    <w:permEnd w:id="1708064826"/>
    <w:p w14:paraId="1859138B" w14:textId="4D05FFFD" w:rsidR="003E573C" w:rsidRDefault="003E573C" w:rsidP="003E573C">
      <w:pPr>
        <w:rPr>
          <w:rFonts w:cs="Arial"/>
        </w:rPr>
      </w:pPr>
      <w:r>
        <w:rPr>
          <w:rFonts w:cs="Arial"/>
        </w:rPr>
        <w:t>&lt;ESA_QUESTION_PKID_31&gt;</w:t>
      </w:r>
    </w:p>
    <w:p w14:paraId="2C4F848D" w14:textId="77777777" w:rsidR="003E573C" w:rsidRDefault="003E573C" w:rsidP="003E573C">
      <w:pPr>
        <w:rPr>
          <w:rFonts w:cs="Arial"/>
        </w:rPr>
      </w:pPr>
    </w:p>
    <w:p w14:paraId="019CF2E3" w14:textId="77777777" w:rsidR="003E573C" w:rsidRDefault="003E573C" w:rsidP="003E573C">
      <w:pPr>
        <w:pStyle w:val="Questionstyle"/>
        <w:numPr>
          <w:ilvl w:val="0"/>
          <w:numId w:val="39"/>
        </w:numPr>
      </w:pPr>
      <w:r>
        <w:t xml:space="preserve">: </w:t>
      </w:r>
      <w:r w:rsidRPr="00763760">
        <w:t xml:space="preserve">Do you see the need to add additional provisions for linear unit-linked insurance-based investment products or linear internal funds? </w:t>
      </w:r>
    </w:p>
    <w:p w14:paraId="7D1EA3E3" w14:textId="2C1D5597" w:rsidR="003E573C" w:rsidRDefault="003E573C" w:rsidP="003E573C">
      <w:pPr>
        <w:rPr>
          <w:rFonts w:cs="Arial"/>
        </w:rPr>
      </w:pPr>
      <w:r>
        <w:rPr>
          <w:rFonts w:cs="Arial"/>
        </w:rPr>
        <w:t>&lt;ESA_QUESTION_PKID_32&gt;</w:t>
      </w:r>
    </w:p>
    <w:p w14:paraId="1B8228DD" w14:textId="3E4251D8" w:rsidR="003E573C" w:rsidRDefault="0080504F" w:rsidP="003E573C">
      <w:pPr>
        <w:rPr>
          <w:rFonts w:cs="Arial"/>
        </w:rPr>
      </w:pPr>
      <w:permStart w:id="320603426" w:edGrp="everyone"/>
      <w:r>
        <w:rPr>
          <w:rFonts w:cs="Arial"/>
        </w:rPr>
        <w:t>NA</w:t>
      </w:r>
    </w:p>
    <w:permEnd w:id="320603426"/>
    <w:p w14:paraId="6B666CCA" w14:textId="6D96F3DF" w:rsidR="003E573C" w:rsidRDefault="003E573C" w:rsidP="003E573C">
      <w:pPr>
        <w:rPr>
          <w:rFonts w:cs="Arial"/>
        </w:rPr>
      </w:pPr>
      <w:r>
        <w:rPr>
          <w:rFonts w:cs="Arial"/>
        </w:rPr>
        <w:t>&lt;ESA_QUESTION_PKID_32&gt;</w:t>
      </w:r>
    </w:p>
    <w:p w14:paraId="53687EA9" w14:textId="77777777" w:rsidR="003E573C" w:rsidRDefault="003E573C" w:rsidP="003E573C">
      <w:pPr>
        <w:rPr>
          <w:rFonts w:cs="Arial"/>
        </w:rPr>
      </w:pPr>
    </w:p>
    <w:p w14:paraId="6AD00E35" w14:textId="77777777" w:rsidR="003E573C" w:rsidRDefault="003E573C" w:rsidP="003E573C">
      <w:pPr>
        <w:pStyle w:val="Questionstyle"/>
        <w:numPr>
          <w:ilvl w:val="0"/>
          <w:numId w:val="39"/>
        </w:numPr>
      </w:pPr>
      <w:r>
        <w:t xml:space="preserve">: </w:t>
      </w:r>
      <w:r w:rsidRPr="00763760">
        <w:t>Do you agree that a fixed intermediate time period / exit point should be used instead of the current half the recommended holding period to better facilitate comparability?</w:t>
      </w:r>
    </w:p>
    <w:p w14:paraId="4ABDE7E9" w14:textId="28BFB9BB" w:rsidR="003E573C" w:rsidRDefault="003E573C" w:rsidP="003E573C">
      <w:pPr>
        <w:rPr>
          <w:rFonts w:cs="Arial"/>
        </w:rPr>
      </w:pPr>
      <w:r>
        <w:rPr>
          <w:rFonts w:cs="Arial"/>
        </w:rPr>
        <w:t>&lt;ESA_QUESTION_PKID_33&gt;</w:t>
      </w:r>
    </w:p>
    <w:p w14:paraId="7276BBC5" w14:textId="48E8B32D" w:rsidR="003E573C" w:rsidRDefault="009D1A64" w:rsidP="003E573C">
      <w:pPr>
        <w:rPr>
          <w:rFonts w:cs="Arial"/>
        </w:rPr>
      </w:pPr>
      <w:permStart w:id="1802452064" w:edGrp="everyone"/>
      <w:r>
        <w:rPr>
          <w:rFonts w:cs="Arial"/>
        </w:rPr>
        <w:t>Yes</w:t>
      </w:r>
      <w:r w:rsidR="00B578CA">
        <w:rPr>
          <w:rFonts w:cs="Arial"/>
        </w:rPr>
        <w:t xml:space="preserve">. </w:t>
      </w:r>
      <w:proofErr w:type="gramStart"/>
      <w:r w:rsidR="00B578CA">
        <w:rPr>
          <w:rFonts w:cs="Arial"/>
        </w:rPr>
        <w:t>It would provide less alternative ways of presenting in a product in a favourable manner and makes it easier to compare equal products</w:t>
      </w:r>
      <w:proofErr w:type="gramEnd"/>
      <w:r w:rsidR="00B578CA">
        <w:rPr>
          <w:rFonts w:cs="Arial"/>
        </w:rPr>
        <w:t xml:space="preserve"> </w:t>
      </w:r>
    </w:p>
    <w:permEnd w:id="1802452064"/>
    <w:p w14:paraId="500E6482" w14:textId="16751891" w:rsidR="003E573C" w:rsidRDefault="003E573C" w:rsidP="003E573C">
      <w:pPr>
        <w:rPr>
          <w:rFonts w:cs="Arial"/>
        </w:rPr>
      </w:pPr>
      <w:r>
        <w:rPr>
          <w:rFonts w:cs="Arial"/>
        </w:rPr>
        <w:t>&lt;ESA_QUESTION_PKID_33&gt;</w:t>
      </w:r>
    </w:p>
    <w:p w14:paraId="5332B773" w14:textId="77777777" w:rsidR="003E573C" w:rsidRDefault="003E573C" w:rsidP="003E573C">
      <w:pPr>
        <w:rPr>
          <w:rFonts w:cs="Arial"/>
        </w:rPr>
      </w:pPr>
    </w:p>
    <w:p w14:paraId="5BB4AA04" w14:textId="77777777" w:rsidR="003E573C" w:rsidRPr="00763760" w:rsidRDefault="003E573C" w:rsidP="003E573C">
      <w:pPr>
        <w:pStyle w:val="Questionstyle"/>
        <w:numPr>
          <w:ilvl w:val="0"/>
          <w:numId w:val="39"/>
        </w:numPr>
      </w:pPr>
      <w:r>
        <w:t xml:space="preserve">: </w:t>
      </w:r>
      <w:r w:rsidRPr="00763760">
        <w:t>In this case (of a fixed intermediate time period), do you agree to show costs if the investor would exit after 5 years for all PRIIPs with a recommended holding period of at least 8 years? Or do you prefer a different approach such as:</w:t>
      </w:r>
    </w:p>
    <w:p w14:paraId="3CEB433B" w14:textId="13422D4B" w:rsidR="003E573C" w:rsidRDefault="003E573C" w:rsidP="003E573C">
      <w:pPr>
        <w:rPr>
          <w:rFonts w:cs="Arial"/>
        </w:rPr>
      </w:pPr>
      <w:r>
        <w:rPr>
          <w:rFonts w:cs="Arial"/>
        </w:rPr>
        <w:t>&lt;ESA_QUESTION_PKID_34&gt;</w:t>
      </w:r>
    </w:p>
    <w:p w14:paraId="287EF7DD" w14:textId="6FE4DA76" w:rsidR="003E573C" w:rsidRDefault="007D797E" w:rsidP="003E573C">
      <w:pPr>
        <w:rPr>
          <w:rFonts w:cs="Arial"/>
        </w:rPr>
      </w:pPr>
      <w:permStart w:id="1498437863" w:edGrp="everyone"/>
      <w:r>
        <w:rPr>
          <w:rFonts w:cs="Arial"/>
        </w:rPr>
        <w:t>NA</w:t>
      </w:r>
    </w:p>
    <w:permEnd w:id="1498437863"/>
    <w:p w14:paraId="29F7B36D" w14:textId="11608513" w:rsidR="003E573C" w:rsidRDefault="003E573C" w:rsidP="003E573C">
      <w:pPr>
        <w:rPr>
          <w:rFonts w:cs="Arial"/>
        </w:rPr>
      </w:pPr>
      <w:r>
        <w:rPr>
          <w:rFonts w:cs="Arial"/>
        </w:rPr>
        <w:t>&lt;ESA_QUESTION_PKID_34&gt;</w:t>
      </w:r>
    </w:p>
    <w:p w14:paraId="1EAB23C8" w14:textId="77777777" w:rsidR="003E573C" w:rsidRDefault="003E573C" w:rsidP="003E573C">
      <w:pPr>
        <w:rPr>
          <w:rFonts w:cs="Arial"/>
        </w:rPr>
      </w:pPr>
    </w:p>
    <w:p w14:paraId="26887890" w14:textId="77777777" w:rsidR="003E573C" w:rsidRDefault="003E573C" w:rsidP="003E573C">
      <w:pPr>
        <w:pStyle w:val="Questionstyle"/>
        <w:numPr>
          <w:ilvl w:val="0"/>
          <w:numId w:val="39"/>
        </w:numPr>
      </w:pPr>
      <w:r>
        <w:t xml:space="preserve">: </w:t>
      </w:r>
      <w:r w:rsidRPr="00763760">
        <w:t>Do you think it would be relevant to either (i) use an annual average cost figure at the recommended holding period, or (ii) to present both an annual average cost figure and a total (accumulated) costs figure?</w:t>
      </w:r>
    </w:p>
    <w:p w14:paraId="5C85FC09" w14:textId="6300C733" w:rsidR="003E573C" w:rsidRDefault="003E573C" w:rsidP="003E573C">
      <w:pPr>
        <w:rPr>
          <w:rFonts w:cs="Arial"/>
        </w:rPr>
      </w:pPr>
      <w:r>
        <w:rPr>
          <w:rFonts w:cs="Arial"/>
        </w:rPr>
        <w:t>&lt;ESA_QUESTION_PKID_35&gt;</w:t>
      </w:r>
    </w:p>
    <w:p w14:paraId="1B22C94D" w14:textId="5CBDDB47" w:rsidR="003E573C" w:rsidRDefault="007D797E" w:rsidP="003E573C">
      <w:pPr>
        <w:rPr>
          <w:rFonts w:cs="Arial"/>
        </w:rPr>
      </w:pPr>
      <w:permStart w:id="621350576" w:edGrp="everyone"/>
      <w:r>
        <w:rPr>
          <w:rFonts w:cs="Arial"/>
        </w:rPr>
        <w:t xml:space="preserve">We believe that both an average cost figure and a total accumulated </w:t>
      </w:r>
      <w:proofErr w:type="gramStart"/>
      <w:r>
        <w:rPr>
          <w:rFonts w:cs="Arial"/>
        </w:rPr>
        <w:t>should be presented</w:t>
      </w:r>
      <w:proofErr w:type="gramEnd"/>
      <w:r>
        <w:rPr>
          <w:rFonts w:cs="Arial"/>
        </w:rPr>
        <w:t>.</w:t>
      </w:r>
    </w:p>
    <w:permEnd w:id="621350576"/>
    <w:p w14:paraId="20915542" w14:textId="4496E382" w:rsidR="003E573C" w:rsidRDefault="003E573C" w:rsidP="003E573C">
      <w:pPr>
        <w:rPr>
          <w:rFonts w:cs="Arial"/>
        </w:rPr>
      </w:pPr>
      <w:r>
        <w:rPr>
          <w:rFonts w:cs="Arial"/>
        </w:rPr>
        <w:t>&lt;ESA_QUESTION_PKID_35&gt;</w:t>
      </w:r>
    </w:p>
    <w:p w14:paraId="028086FE" w14:textId="77777777" w:rsidR="003E573C" w:rsidRDefault="003E573C" w:rsidP="003E573C">
      <w:pPr>
        <w:rPr>
          <w:rFonts w:cs="Arial"/>
        </w:rPr>
      </w:pPr>
    </w:p>
    <w:p w14:paraId="17C772BA" w14:textId="77777777" w:rsidR="003E573C" w:rsidRDefault="003E573C" w:rsidP="003E573C">
      <w:pPr>
        <w:pStyle w:val="Questionstyle"/>
        <w:numPr>
          <w:ilvl w:val="0"/>
          <w:numId w:val="39"/>
        </w:numPr>
      </w:pPr>
      <w:r>
        <w:t xml:space="preserve">: </w:t>
      </w:r>
      <w:r w:rsidRPr="00763760">
        <w:t>Do you think that it would be helpful, in particular for MiFID products, to also include the total costs as a percentage of the investment amount?</w:t>
      </w:r>
    </w:p>
    <w:p w14:paraId="598902BE" w14:textId="60F12909" w:rsidR="003E573C" w:rsidRDefault="003E573C" w:rsidP="003E573C">
      <w:pPr>
        <w:rPr>
          <w:rFonts w:cs="Arial"/>
        </w:rPr>
      </w:pPr>
      <w:r>
        <w:rPr>
          <w:rFonts w:cs="Arial"/>
        </w:rPr>
        <w:t>&lt;ESA_QUESTION_PKID_36&gt;</w:t>
      </w:r>
    </w:p>
    <w:p w14:paraId="26FAD8B8" w14:textId="17A63D1B" w:rsidR="00552350" w:rsidRDefault="00552350" w:rsidP="003E573C">
      <w:pPr>
        <w:rPr>
          <w:rFonts w:ascii="Segoe UI" w:hAnsi="Segoe UI" w:cs="Segoe UI"/>
          <w:color w:val="000000"/>
          <w:szCs w:val="20"/>
          <w:lang w:eastAsia="en-GB"/>
        </w:rPr>
      </w:pPr>
      <w:permStart w:id="354879508" w:edGrp="everyone"/>
      <w:r w:rsidRPr="00552350">
        <w:rPr>
          <w:rFonts w:ascii="Segoe UI" w:hAnsi="Segoe UI" w:cs="Segoe UI"/>
          <w:color w:val="000000"/>
          <w:szCs w:val="20"/>
          <w:lang w:eastAsia="en-GB"/>
        </w:rPr>
        <w:t>We agree that a higher degree of cost detail is beneficial to understand the underlying cost structure of the product</w:t>
      </w:r>
      <w:r>
        <w:rPr>
          <w:rFonts w:ascii="Segoe UI" w:hAnsi="Segoe UI" w:cs="Segoe UI"/>
          <w:color w:val="000000"/>
          <w:szCs w:val="20"/>
          <w:lang w:eastAsia="en-GB"/>
        </w:rPr>
        <w:t>. A percentage cost of the investment should be obligatory.</w:t>
      </w:r>
    </w:p>
    <w:permEnd w:id="354879508"/>
    <w:p w14:paraId="0D82FF49" w14:textId="0058C12C" w:rsidR="003E573C" w:rsidRDefault="003E573C" w:rsidP="003E573C">
      <w:pPr>
        <w:rPr>
          <w:rFonts w:cs="Arial"/>
        </w:rPr>
      </w:pPr>
      <w:r>
        <w:rPr>
          <w:rFonts w:cs="Arial"/>
        </w:rPr>
        <w:t>&lt;ESA_QUESTION_PKID_36&gt;</w:t>
      </w:r>
    </w:p>
    <w:p w14:paraId="758858AD" w14:textId="77777777" w:rsidR="003E573C" w:rsidRDefault="003E573C" w:rsidP="003E573C">
      <w:pPr>
        <w:rPr>
          <w:rFonts w:cs="Arial"/>
        </w:rPr>
      </w:pPr>
    </w:p>
    <w:p w14:paraId="0ABED7CB" w14:textId="77777777" w:rsidR="003E573C" w:rsidRDefault="003E573C" w:rsidP="003E573C">
      <w:pPr>
        <w:pStyle w:val="Questionstyle"/>
        <w:numPr>
          <w:ilvl w:val="0"/>
          <w:numId w:val="39"/>
        </w:numPr>
      </w:pPr>
      <w:r>
        <w:t xml:space="preserve">: </w:t>
      </w:r>
      <w:r w:rsidRPr="00763760">
        <w:t>In this context, are there PRIIPs for which both performance fees and carried interests are applied?</w:t>
      </w:r>
    </w:p>
    <w:p w14:paraId="56692C6F" w14:textId="596B5694" w:rsidR="003E573C" w:rsidRDefault="003E573C" w:rsidP="003E573C">
      <w:pPr>
        <w:rPr>
          <w:rFonts w:cs="Arial"/>
        </w:rPr>
      </w:pPr>
      <w:r>
        <w:rPr>
          <w:rFonts w:cs="Arial"/>
        </w:rPr>
        <w:t>&lt;ESA_QUESTION_PKID_37&gt;</w:t>
      </w:r>
    </w:p>
    <w:p w14:paraId="1BDA862D" w14:textId="7380B061" w:rsidR="003E573C" w:rsidRDefault="00AE71A7" w:rsidP="003E573C">
      <w:pPr>
        <w:rPr>
          <w:rFonts w:cs="Arial"/>
        </w:rPr>
      </w:pPr>
      <w:permStart w:id="80752736" w:edGrp="everyone"/>
      <w:r>
        <w:rPr>
          <w:rFonts w:cs="Arial"/>
        </w:rPr>
        <w:lastRenderedPageBreak/>
        <w:t xml:space="preserve">Since “carried interest” really is </w:t>
      </w:r>
      <w:r w:rsidR="00B578CA">
        <w:rPr>
          <w:rFonts w:cs="Arial"/>
        </w:rPr>
        <w:t xml:space="preserve">just </w:t>
      </w:r>
      <w:r>
        <w:rPr>
          <w:rFonts w:cs="Arial"/>
        </w:rPr>
        <w:t>a form of performance fee it does not make a lot of sense to separate them into two different entries in the cost table. Not many retail investors will understand the concept of carried interest anyway. A performance fee is more universally recognized.</w:t>
      </w:r>
    </w:p>
    <w:p w14:paraId="085F9E33" w14:textId="77777777" w:rsidR="00AE71A7" w:rsidRDefault="00AE71A7" w:rsidP="003E573C">
      <w:pPr>
        <w:rPr>
          <w:rFonts w:cs="Arial"/>
        </w:rPr>
      </w:pPr>
    </w:p>
    <w:p w14:paraId="28B173CB" w14:textId="4E5A2DB9" w:rsidR="00AE71A7" w:rsidRDefault="00AE71A7" w:rsidP="003E573C">
      <w:pPr>
        <w:rPr>
          <w:rFonts w:cs="Arial"/>
        </w:rPr>
      </w:pPr>
      <w:r>
        <w:rPr>
          <w:rFonts w:cs="Arial"/>
        </w:rPr>
        <w:t xml:space="preserve">It would be better </w:t>
      </w:r>
      <w:proofErr w:type="gramStart"/>
      <w:r>
        <w:rPr>
          <w:rFonts w:cs="Arial"/>
        </w:rPr>
        <w:t>to instead include</w:t>
      </w:r>
      <w:proofErr w:type="gramEnd"/>
      <w:r>
        <w:rPr>
          <w:rFonts w:cs="Arial"/>
        </w:rPr>
        <w:t xml:space="preserve"> a box for implicit costs such as over- or understated volatility figures in option</w:t>
      </w:r>
      <w:r w:rsidR="00393412">
        <w:rPr>
          <w:rFonts w:cs="Arial"/>
        </w:rPr>
        <w:t>-</w:t>
      </w:r>
      <w:r>
        <w:rPr>
          <w:rFonts w:cs="Arial"/>
        </w:rPr>
        <w:t xml:space="preserve">based investment products. </w:t>
      </w:r>
      <w:r w:rsidR="00393412">
        <w:rPr>
          <w:rFonts w:cs="Arial"/>
        </w:rPr>
        <w:t>M</w:t>
      </w:r>
      <w:r>
        <w:rPr>
          <w:rFonts w:cs="Arial"/>
        </w:rPr>
        <w:t xml:space="preserve">anufacturers </w:t>
      </w:r>
      <w:proofErr w:type="gramStart"/>
      <w:r w:rsidR="00393412">
        <w:rPr>
          <w:rFonts w:cs="Arial"/>
        </w:rPr>
        <w:t>must not be given</w:t>
      </w:r>
      <w:proofErr w:type="gramEnd"/>
      <w:r w:rsidR="00393412">
        <w:rPr>
          <w:rFonts w:cs="Arial"/>
        </w:rPr>
        <w:t xml:space="preserve"> the possibility to</w:t>
      </w:r>
      <w:r>
        <w:rPr>
          <w:rFonts w:cs="Arial"/>
        </w:rPr>
        <w:t xml:space="preserve"> hide the true cost of the option</w:t>
      </w:r>
      <w:r w:rsidR="00393412">
        <w:rPr>
          <w:rFonts w:cs="Arial"/>
        </w:rPr>
        <w:t>.</w:t>
      </w:r>
    </w:p>
    <w:permEnd w:id="80752736"/>
    <w:p w14:paraId="295A3CBF" w14:textId="4ABA0544" w:rsidR="003E573C" w:rsidRDefault="003E573C" w:rsidP="003E573C">
      <w:pPr>
        <w:rPr>
          <w:rFonts w:cs="Arial"/>
        </w:rPr>
      </w:pPr>
      <w:r>
        <w:rPr>
          <w:rFonts w:cs="Arial"/>
        </w:rPr>
        <w:t>&lt;ESA_QUESTION_PKID_37&gt;</w:t>
      </w:r>
    </w:p>
    <w:p w14:paraId="05D94169" w14:textId="77777777" w:rsidR="003E573C" w:rsidRDefault="003E573C" w:rsidP="003E573C">
      <w:pPr>
        <w:rPr>
          <w:rFonts w:cs="Arial"/>
        </w:rPr>
      </w:pPr>
    </w:p>
    <w:p w14:paraId="7AAEFA56" w14:textId="77777777" w:rsidR="003E573C" w:rsidRPr="00763760" w:rsidRDefault="003E573C" w:rsidP="003E573C">
      <w:pPr>
        <w:pStyle w:val="Questionstyle"/>
        <w:numPr>
          <w:ilvl w:val="0"/>
          <w:numId w:val="39"/>
        </w:numPr>
      </w:pPr>
      <w:r>
        <w:t xml:space="preserve">: </w:t>
      </w:r>
      <w:r w:rsidRPr="00763760">
        <w:t>Do you agree with this analysis from the ESAs? If yes, what are your views on the extent to which fees related to the management of the underlying real estate assets, i.e. the properties themselves, should be taken into account in the calculation of the cost indicators?</w:t>
      </w:r>
    </w:p>
    <w:p w14:paraId="25C6A0FE" w14:textId="1DF4300E" w:rsidR="003E573C" w:rsidRDefault="003E573C" w:rsidP="003E573C">
      <w:pPr>
        <w:rPr>
          <w:rFonts w:cs="Arial"/>
        </w:rPr>
      </w:pPr>
      <w:r>
        <w:rPr>
          <w:rFonts w:cs="Arial"/>
        </w:rPr>
        <w:t>&lt;ESA_QUESTION_PKID_38&gt;</w:t>
      </w:r>
    </w:p>
    <w:p w14:paraId="501AEB8B" w14:textId="3142FEA8" w:rsidR="003E573C" w:rsidRDefault="00B926DB" w:rsidP="003E573C">
      <w:pPr>
        <w:rPr>
          <w:rFonts w:cs="Arial"/>
        </w:rPr>
      </w:pPr>
      <w:permStart w:id="2047886229" w:edGrp="everyone"/>
      <w:r>
        <w:rPr>
          <w:rFonts w:cs="Arial"/>
        </w:rPr>
        <w:t xml:space="preserve">We agree that this would give a </w:t>
      </w:r>
      <w:r w:rsidR="00393412">
        <w:rPr>
          <w:rFonts w:cs="Arial"/>
        </w:rPr>
        <w:t>better</w:t>
      </w:r>
      <w:r>
        <w:rPr>
          <w:rFonts w:cs="Arial"/>
        </w:rPr>
        <w:t xml:space="preserve"> picture of the true costs of private equity and real estate investment products. To our knowledge</w:t>
      </w:r>
      <w:r w:rsidR="00393412">
        <w:rPr>
          <w:rFonts w:cs="Arial"/>
        </w:rPr>
        <w:t>,</w:t>
      </w:r>
      <w:r>
        <w:rPr>
          <w:rFonts w:cs="Arial"/>
        </w:rPr>
        <w:t xml:space="preserve"> it is </w:t>
      </w:r>
      <w:proofErr w:type="gramStart"/>
      <w:r>
        <w:rPr>
          <w:rFonts w:cs="Arial"/>
        </w:rPr>
        <w:t>not uncommon</w:t>
      </w:r>
      <w:proofErr w:type="gramEnd"/>
      <w:r>
        <w:rPr>
          <w:rFonts w:cs="Arial"/>
        </w:rPr>
        <w:t xml:space="preserve"> for PE managers to charge portfolio companies for management services and where the income does not flow into the fund, but to the management partnership. These types of costs should obviously be included in the cost indicators.</w:t>
      </w:r>
    </w:p>
    <w:p w14:paraId="17907C79" w14:textId="77777777" w:rsidR="00B926DB" w:rsidRDefault="00B926DB" w:rsidP="003E573C">
      <w:pPr>
        <w:rPr>
          <w:rFonts w:cs="Arial"/>
        </w:rPr>
      </w:pPr>
    </w:p>
    <w:p w14:paraId="312C2613" w14:textId="432F995A" w:rsidR="00B926DB" w:rsidRDefault="00B926DB" w:rsidP="003E573C">
      <w:pPr>
        <w:rPr>
          <w:rFonts w:cs="Arial"/>
        </w:rPr>
      </w:pPr>
      <w:r>
        <w:rPr>
          <w:rFonts w:cs="Arial"/>
        </w:rPr>
        <w:t>This is probably not easy to control, but the mere requirements to disclose them will probably incentivise the manufacturers to create more transparent fee structures or risk litigation if it turns out they did not disclose these types of fees.</w:t>
      </w:r>
    </w:p>
    <w:p w14:paraId="01195070" w14:textId="77777777" w:rsidR="00B926DB" w:rsidRDefault="00B926DB" w:rsidP="003E573C">
      <w:pPr>
        <w:rPr>
          <w:rFonts w:cs="Arial"/>
        </w:rPr>
      </w:pPr>
    </w:p>
    <w:p w14:paraId="1C73FD34" w14:textId="3A57A217" w:rsidR="00B926DB" w:rsidRDefault="00B926DB" w:rsidP="003E573C">
      <w:pPr>
        <w:rPr>
          <w:rFonts w:cs="Arial"/>
        </w:rPr>
      </w:pPr>
      <w:r>
        <w:rPr>
          <w:rFonts w:cs="Arial"/>
        </w:rPr>
        <w:t>However, it may be hard to distinguish between pure operational expenses in the portfolio companies/properties and cost of portfolio management.</w:t>
      </w:r>
    </w:p>
    <w:permEnd w:id="2047886229"/>
    <w:p w14:paraId="33CB00F9" w14:textId="3EDD0782" w:rsidR="003E573C" w:rsidRDefault="003E573C" w:rsidP="003E573C">
      <w:pPr>
        <w:rPr>
          <w:rFonts w:cs="Arial"/>
        </w:rPr>
      </w:pPr>
      <w:r>
        <w:rPr>
          <w:rFonts w:cs="Arial"/>
        </w:rPr>
        <w:t>&lt;ESA_QUESTION_PKID_38&gt;</w:t>
      </w:r>
    </w:p>
    <w:p w14:paraId="0DF12342" w14:textId="77777777" w:rsidR="003E573C" w:rsidRDefault="003E573C" w:rsidP="003E573C">
      <w:pPr>
        <w:rPr>
          <w:rFonts w:cs="Arial"/>
        </w:rPr>
      </w:pPr>
    </w:p>
    <w:p w14:paraId="76E2436F" w14:textId="77777777" w:rsidR="003E573C" w:rsidRDefault="003E573C" w:rsidP="003E573C">
      <w:pPr>
        <w:pStyle w:val="Questionstyle"/>
        <w:numPr>
          <w:ilvl w:val="0"/>
          <w:numId w:val="39"/>
        </w:numPr>
      </w:pPr>
      <w:r>
        <w:t xml:space="preserve">: </w:t>
      </w:r>
      <w:r w:rsidRPr="00763760">
        <w:t>Do you agree with the ESAs’ preferred option 3 to revise the cost tables?</w:t>
      </w:r>
    </w:p>
    <w:p w14:paraId="6141FCD2" w14:textId="06C84AD7" w:rsidR="003E573C" w:rsidRDefault="003E573C" w:rsidP="003E573C">
      <w:pPr>
        <w:rPr>
          <w:rFonts w:cs="Arial"/>
        </w:rPr>
      </w:pPr>
      <w:r>
        <w:rPr>
          <w:rFonts w:cs="Arial"/>
        </w:rPr>
        <w:t>&lt;ESA_QUESTION_PKID_39&gt;</w:t>
      </w:r>
    </w:p>
    <w:p w14:paraId="3B8CFC1A" w14:textId="3C3E7D39" w:rsidR="003E573C" w:rsidRDefault="00A64816" w:rsidP="003E573C">
      <w:pPr>
        <w:rPr>
          <w:rFonts w:cs="Arial"/>
        </w:rPr>
      </w:pPr>
      <w:permStart w:id="777852593" w:edGrp="everyone"/>
      <w:r>
        <w:rPr>
          <w:rFonts w:cs="Arial"/>
        </w:rPr>
        <w:t xml:space="preserve">We agree that option 3 is the best of the alternatives. We think simplifying Table 1 to only include RIY percentage figures will give the retail investor a relatively clutter free overview. </w:t>
      </w:r>
    </w:p>
    <w:permEnd w:id="777852593"/>
    <w:p w14:paraId="2AB035EE" w14:textId="0E5CF1BE" w:rsidR="003E573C" w:rsidRDefault="003E573C" w:rsidP="003E573C">
      <w:pPr>
        <w:rPr>
          <w:rFonts w:cs="Arial"/>
        </w:rPr>
      </w:pPr>
      <w:r>
        <w:rPr>
          <w:rFonts w:cs="Arial"/>
        </w:rPr>
        <w:t>&lt;ESA_QUESTION_PKID_39&gt;</w:t>
      </w:r>
    </w:p>
    <w:p w14:paraId="4511C60D" w14:textId="77777777" w:rsidR="003E573C" w:rsidRDefault="003E573C" w:rsidP="003E573C">
      <w:pPr>
        <w:rPr>
          <w:rFonts w:cs="Arial"/>
        </w:rPr>
      </w:pPr>
    </w:p>
    <w:p w14:paraId="55E7AB5A" w14:textId="77777777" w:rsidR="003E573C" w:rsidRDefault="003E573C" w:rsidP="003E573C">
      <w:pPr>
        <w:pStyle w:val="Questionstyle"/>
        <w:numPr>
          <w:ilvl w:val="0"/>
          <w:numId w:val="39"/>
        </w:numPr>
      </w:pPr>
      <w:r>
        <w:t xml:space="preserve">: </w:t>
      </w:r>
      <w:r w:rsidRPr="00763760">
        <w:t>If not, which option do you prefer, and why?</w:t>
      </w:r>
    </w:p>
    <w:p w14:paraId="33A5723D" w14:textId="4A4F4BFD" w:rsidR="003E573C" w:rsidRDefault="003E573C" w:rsidP="003E573C">
      <w:pPr>
        <w:rPr>
          <w:rFonts w:cs="Arial"/>
        </w:rPr>
      </w:pPr>
      <w:r>
        <w:rPr>
          <w:rFonts w:cs="Arial"/>
        </w:rPr>
        <w:t>&lt;ESA_QUESTION_PKID_40&gt;</w:t>
      </w:r>
    </w:p>
    <w:p w14:paraId="6D1C6021" w14:textId="0FF4415F" w:rsidR="003E573C" w:rsidRDefault="00A64816" w:rsidP="003E573C">
      <w:pPr>
        <w:rPr>
          <w:rFonts w:cs="Arial"/>
        </w:rPr>
      </w:pPr>
      <w:permStart w:id="1928422042" w:edGrp="everyone"/>
      <w:r>
        <w:rPr>
          <w:rFonts w:cs="Arial"/>
        </w:rPr>
        <w:t>NA</w:t>
      </w:r>
    </w:p>
    <w:permEnd w:id="1928422042"/>
    <w:p w14:paraId="74A0C740" w14:textId="5F41197F" w:rsidR="003E573C" w:rsidRDefault="003E573C" w:rsidP="003E573C">
      <w:pPr>
        <w:rPr>
          <w:rFonts w:cs="Arial"/>
        </w:rPr>
      </w:pPr>
      <w:r>
        <w:rPr>
          <w:rFonts w:cs="Arial"/>
        </w:rPr>
        <w:t>&lt;ESA_QUESTION_PKID_40&gt;</w:t>
      </w:r>
    </w:p>
    <w:p w14:paraId="5708C66E" w14:textId="77777777" w:rsidR="003E573C" w:rsidRDefault="003E573C" w:rsidP="003E573C">
      <w:pPr>
        <w:rPr>
          <w:rFonts w:cs="Arial"/>
        </w:rPr>
      </w:pPr>
    </w:p>
    <w:p w14:paraId="06B13E42" w14:textId="77777777" w:rsidR="003E573C" w:rsidRDefault="003E573C" w:rsidP="003E573C">
      <w:pPr>
        <w:pStyle w:val="Questionstyle"/>
        <w:numPr>
          <w:ilvl w:val="0"/>
          <w:numId w:val="39"/>
        </w:numPr>
      </w:pPr>
      <w:r>
        <w:t xml:space="preserve">: </w:t>
      </w:r>
      <w:r w:rsidRPr="00763760">
        <w:t>In particular, do you think that the proposed changes to the presentation of the impact of costs on the return in percentage terms (i.e. including reduction in return before and after costs) is an improvement on the current presentation?</w:t>
      </w:r>
    </w:p>
    <w:p w14:paraId="58AE2AB7" w14:textId="32683EDD" w:rsidR="003E573C" w:rsidRDefault="003E573C" w:rsidP="003E573C">
      <w:pPr>
        <w:rPr>
          <w:rFonts w:cs="Arial"/>
        </w:rPr>
      </w:pPr>
      <w:r>
        <w:rPr>
          <w:rFonts w:cs="Arial"/>
        </w:rPr>
        <w:t>&lt;ESA_QUESTION_PKID_41&gt;</w:t>
      </w:r>
    </w:p>
    <w:p w14:paraId="2CA985EC" w14:textId="3E061D77" w:rsidR="003E573C" w:rsidRDefault="00A64816" w:rsidP="003E573C">
      <w:pPr>
        <w:rPr>
          <w:rFonts w:cs="Arial"/>
        </w:rPr>
      </w:pPr>
      <w:permStart w:id="855140723" w:edGrp="everyone"/>
      <w:r>
        <w:rPr>
          <w:rFonts w:cs="Arial"/>
        </w:rPr>
        <w:t>Yes, we think the removal of the monetary figures to Table 2 will make the disclosure of the percentage terms more impactful.</w:t>
      </w:r>
    </w:p>
    <w:permEnd w:id="855140723"/>
    <w:p w14:paraId="7E838799" w14:textId="1730DA73" w:rsidR="003E573C" w:rsidRDefault="003E573C" w:rsidP="003E573C">
      <w:pPr>
        <w:rPr>
          <w:rFonts w:cs="Arial"/>
        </w:rPr>
      </w:pPr>
      <w:r>
        <w:rPr>
          <w:rFonts w:cs="Arial"/>
        </w:rPr>
        <w:t>&lt;ESA_QUESTION_PKID_41&gt;</w:t>
      </w:r>
    </w:p>
    <w:p w14:paraId="16F5E2C2" w14:textId="77777777" w:rsidR="003E573C" w:rsidRDefault="003E573C" w:rsidP="003E573C">
      <w:pPr>
        <w:rPr>
          <w:rFonts w:cs="Arial"/>
        </w:rPr>
      </w:pPr>
    </w:p>
    <w:p w14:paraId="7208EEC9" w14:textId="77777777" w:rsidR="003E573C" w:rsidRDefault="003E573C" w:rsidP="003E573C">
      <w:pPr>
        <w:pStyle w:val="Questionstyle"/>
        <w:numPr>
          <w:ilvl w:val="0"/>
          <w:numId w:val="39"/>
        </w:numPr>
      </w:pPr>
      <w:r>
        <w:t xml:space="preserve">: </w:t>
      </w:r>
      <w:r w:rsidRPr="00763760">
        <w:t>Do you have other comments on the proposed changes to the cost tables?</w:t>
      </w:r>
    </w:p>
    <w:p w14:paraId="5BBD8BB4" w14:textId="53FC9DEE" w:rsidR="003E573C" w:rsidRDefault="003E573C" w:rsidP="003E573C">
      <w:pPr>
        <w:rPr>
          <w:rFonts w:cs="Arial"/>
        </w:rPr>
      </w:pPr>
      <w:r>
        <w:rPr>
          <w:rFonts w:cs="Arial"/>
        </w:rPr>
        <w:t>&lt;ESA_QUESTION_PKID_42&gt;</w:t>
      </w:r>
    </w:p>
    <w:p w14:paraId="11A56DCE" w14:textId="20D14F18" w:rsidR="003E573C" w:rsidRDefault="00A64816" w:rsidP="003E573C">
      <w:pPr>
        <w:rPr>
          <w:rFonts w:cs="Arial"/>
        </w:rPr>
      </w:pPr>
      <w:permStart w:id="1223957116" w:edGrp="everyone"/>
      <w:r>
        <w:rPr>
          <w:rFonts w:cs="Arial"/>
        </w:rPr>
        <w:t>NA</w:t>
      </w:r>
    </w:p>
    <w:permEnd w:id="1223957116"/>
    <w:p w14:paraId="12724384" w14:textId="43EF7060" w:rsidR="003E573C" w:rsidRDefault="003E573C" w:rsidP="003E573C">
      <w:pPr>
        <w:rPr>
          <w:rFonts w:cs="Arial"/>
        </w:rPr>
      </w:pPr>
      <w:r>
        <w:rPr>
          <w:rFonts w:cs="Arial"/>
        </w:rPr>
        <w:lastRenderedPageBreak/>
        <w:t>&lt;ESA_QUESTION_PKID_42&gt;</w:t>
      </w:r>
    </w:p>
    <w:p w14:paraId="4494E3F6" w14:textId="77777777" w:rsidR="003E573C" w:rsidRDefault="003E573C" w:rsidP="003E573C">
      <w:pPr>
        <w:rPr>
          <w:rFonts w:cs="Arial"/>
        </w:rPr>
      </w:pPr>
    </w:p>
    <w:p w14:paraId="1EFA395F" w14:textId="77777777" w:rsidR="003E573C" w:rsidRDefault="003E573C" w:rsidP="003E573C">
      <w:pPr>
        <w:pStyle w:val="Questionstyle"/>
        <w:numPr>
          <w:ilvl w:val="0"/>
          <w:numId w:val="39"/>
        </w:numPr>
      </w:pPr>
      <w:r>
        <w:t>: What are your views on</w:t>
      </w:r>
      <w:r w:rsidRPr="005E4BE5">
        <w:t xml:space="preserve"> the appropriate levels of these thresholds</w:t>
      </w:r>
      <w:r>
        <w:t>? Please provide a justification for your response.</w:t>
      </w:r>
    </w:p>
    <w:p w14:paraId="0077C5A9" w14:textId="2E307CCC" w:rsidR="003E573C" w:rsidRDefault="003E573C" w:rsidP="003E573C">
      <w:pPr>
        <w:rPr>
          <w:rFonts w:cs="Arial"/>
        </w:rPr>
      </w:pPr>
      <w:r>
        <w:rPr>
          <w:rFonts w:cs="Arial"/>
        </w:rPr>
        <w:t>&lt;ESA_QUESTION_PKID_43&gt;</w:t>
      </w:r>
    </w:p>
    <w:p w14:paraId="0DE69733" w14:textId="1537FE24" w:rsidR="003E573C" w:rsidRDefault="00140447" w:rsidP="003E573C">
      <w:pPr>
        <w:rPr>
          <w:rFonts w:cs="Arial"/>
        </w:rPr>
      </w:pPr>
      <w:permStart w:id="1305246923" w:edGrp="everyone"/>
      <w:r>
        <w:rPr>
          <w:rFonts w:cs="Arial"/>
        </w:rPr>
        <w:t xml:space="preserve">We do not have sufficient knowledge to provide a meaningful answer to this question. However, we agree with ESA that it is important to include the impact of transactions costs in the overall cost figure. For active UCITS </w:t>
      </w:r>
      <w:proofErr w:type="gramStart"/>
      <w:r>
        <w:rPr>
          <w:rFonts w:cs="Arial"/>
        </w:rPr>
        <w:t>funds</w:t>
      </w:r>
      <w:proofErr w:type="gramEnd"/>
      <w:r>
        <w:rPr>
          <w:rFonts w:cs="Arial"/>
        </w:rPr>
        <w:t xml:space="preserve"> annual transaction costs can represent</w:t>
      </w:r>
      <w:r w:rsidR="00EA103F">
        <w:rPr>
          <w:rFonts w:cs="Arial"/>
        </w:rPr>
        <w:t xml:space="preserve"> a siz</w:t>
      </w:r>
      <w:r w:rsidR="00016F8F">
        <w:rPr>
          <w:rFonts w:cs="Arial"/>
        </w:rPr>
        <w:t>e</w:t>
      </w:r>
      <w:r w:rsidR="00EA103F">
        <w:rPr>
          <w:rFonts w:cs="Arial"/>
        </w:rPr>
        <w:t>able chunk compared to the annual fees.</w:t>
      </w:r>
    </w:p>
    <w:p w14:paraId="178EE80C" w14:textId="6CA62AF3" w:rsidR="00EA103F" w:rsidRDefault="00EA103F" w:rsidP="003E573C">
      <w:pPr>
        <w:rPr>
          <w:rFonts w:cs="Arial"/>
        </w:rPr>
      </w:pPr>
      <w:r>
        <w:rPr>
          <w:rFonts w:cs="Arial"/>
        </w:rPr>
        <w:t>The below table is cut from an FT-article (</w:t>
      </w:r>
      <w:hyperlink r:id="rId36" w:history="1">
        <w:r w:rsidRPr="00E115EF">
          <w:rPr>
            <w:rStyle w:val="Hyperkobling"/>
            <w:rFonts w:cs="Arial"/>
          </w:rPr>
          <w:t>https://www.ft.com/content/78918c88-fd13-11e7-a492-2c9be7f3120a</w:t>
        </w:r>
      </w:hyperlink>
      <w:r>
        <w:rPr>
          <w:rFonts w:cs="Arial"/>
        </w:rPr>
        <w:t>) and shows how transaction costs add to the total cost of ownership.</w:t>
      </w:r>
    </w:p>
    <w:p w14:paraId="3DCA975A" w14:textId="77777777" w:rsidR="00EA103F" w:rsidRDefault="00EA103F" w:rsidP="003E573C">
      <w:pPr>
        <w:rPr>
          <w:rFonts w:cs="Arial"/>
        </w:rPr>
      </w:pPr>
    </w:p>
    <w:p w14:paraId="201D20E7" w14:textId="685EC14B" w:rsidR="00EA103F" w:rsidRDefault="00EA103F" w:rsidP="003E573C">
      <w:pPr>
        <w:rPr>
          <w:rFonts w:cs="Arial"/>
        </w:rPr>
      </w:pPr>
      <w:r>
        <w:rPr>
          <w:rFonts w:cs="Arial"/>
        </w:rPr>
        <w:t xml:space="preserve">The issue with the correctness of the slippage method is bigger </w:t>
      </w:r>
      <w:proofErr w:type="gramStart"/>
      <w:r>
        <w:rPr>
          <w:rFonts w:cs="Arial"/>
        </w:rPr>
        <w:t>than the KID</w:t>
      </w:r>
      <w:proofErr w:type="gramEnd"/>
      <w:r>
        <w:rPr>
          <w:rFonts w:cs="Arial"/>
        </w:rPr>
        <w:t xml:space="preserve">. The MiFID II requires that fund providers disclose transactions costs, but partly due to different methodologies permitted it is difficult to compare. Once this larger issue is </w:t>
      </w:r>
      <w:proofErr w:type="gramStart"/>
      <w:r>
        <w:rPr>
          <w:rFonts w:cs="Arial"/>
        </w:rPr>
        <w:t>solved</w:t>
      </w:r>
      <w:proofErr w:type="gramEnd"/>
      <w:r>
        <w:rPr>
          <w:rFonts w:cs="Arial"/>
        </w:rPr>
        <w:t xml:space="preserve"> we assume the KID rules can be harmonized with the MiFID methodology, but in the meantime we agree with ESAs approach for the KID.</w:t>
      </w:r>
    </w:p>
    <w:p w14:paraId="4DBEA9B5" w14:textId="77777777" w:rsidR="00EA103F" w:rsidRDefault="00EA103F" w:rsidP="003E573C">
      <w:pPr>
        <w:rPr>
          <w:rFonts w:cs="Arial"/>
        </w:rPr>
      </w:pPr>
    </w:p>
    <w:p w14:paraId="5F1FB66C" w14:textId="77777777" w:rsidR="00EA103F" w:rsidRDefault="00EA103F" w:rsidP="003E573C">
      <w:pPr>
        <w:rPr>
          <w:rFonts w:cs="Arial"/>
        </w:rPr>
      </w:pPr>
    </w:p>
    <w:p w14:paraId="0087B292" w14:textId="0915C498" w:rsidR="00EA103F" w:rsidRDefault="00EA103F" w:rsidP="003E573C">
      <w:pPr>
        <w:rPr>
          <w:rFonts w:cs="Arial"/>
        </w:rPr>
      </w:pPr>
      <w:r>
        <w:rPr>
          <w:noProof/>
          <w:lang w:val="nb-NO" w:eastAsia="nb-NO"/>
        </w:rPr>
        <w:drawing>
          <wp:inline distT="0" distB="0" distL="0" distR="0" wp14:anchorId="2323A3FB" wp14:editId="57273E53">
            <wp:extent cx="5976620" cy="3546475"/>
            <wp:effectExtent l="0" t="0" r="5080" b="0"/>
            <wp:docPr id="11"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976620" cy="3546475"/>
                    </a:xfrm>
                    <a:prstGeom prst="rect">
                      <a:avLst/>
                    </a:prstGeom>
                  </pic:spPr>
                </pic:pic>
              </a:graphicData>
            </a:graphic>
          </wp:inline>
        </w:drawing>
      </w:r>
    </w:p>
    <w:p w14:paraId="201D57F6" w14:textId="77777777" w:rsidR="00016F8F" w:rsidRDefault="00016F8F" w:rsidP="003E573C">
      <w:pPr>
        <w:rPr>
          <w:rFonts w:cs="Arial"/>
        </w:rPr>
      </w:pPr>
    </w:p>
    <w:permEnd w:id="1305246923"/>
    <w:p w14:paraId="624338D9" w14:textId="7D2EF133" w:rsidR="003E573C" w:rsidRDefault="003E573C" w:rsidP="003E573C">
      <w:pPr>
        <w:rPr>
          <w:rFonts w:cs="Arial"/>
        </w:rPr>
      </w:pPr>
      <w:r>
        <w:rPr>
          <w:rFonts w:cs="Arial"/>
        </w:rPr>
        <w:t>&lt;ESA_QUESTION_PKID_43&gt;</w:t>
      </w:r>
    </w:p>
    <w:p w14:paraId="47E8C073" w14:textId="77777777" w:rsidR="003E573C" w:rsidRDefault="003E573C" w:rsidP="003E573C">
      <w:pPr>
        <w:rPr>
          <w:rFonts w:cs="Arial"/>
        </w:rPr>
      </w:pPr>
    </w:p>
    <w:p w14:paraId="472BD53E" w14:textId="77777777" w:rsidR="003E573C" w:rsidRDefault="003E573C" w:rsidP="003E573C">
      <w:pPr>
        <w:pStyle w:val="Questionstyle"/>
        <w:numPr>
          <w:ilvl w:val="0"/>
          <w:numId w:val="39"/>
        </w:numPr>
      </w:pPr>
      <w:r>
        <w:t xml:space="preserve">: </w:t>
      </w:r>
      <w:r w:rsidRPr="00763760">
        <w:t xml:space="preserve">If UCITS would fall in the scope of the PRIIPs Regulation, do you agree that the coexistence of the UCITS KII (provided to professional investors under the UCITS Directive) and the PRIIPs KID (provided to retail investors under the PRIIPs Regulation) would be a negative outcome in terms of overall clarity and understandability of the EU disclosure requirements? Are you of the view that the co-legislators should therefore reconsider the need for professional investors to receive a UCITS KII, as the coexistence of a PRIIPs KID together with a UCITS KII (even if not targeted to the same types of investors) would indeed be confusing, given the differences </w:t>
      </w:r>
      <w:r w:rsidRPr="00763760">
        <w:lastRenderedPageBreak/>
        <w:t>in the way information on costs, risks and performance are presented in the documents? Alternatively, are you of the view that professional investors under the UCITS Directive should receive a PRIIPs KID (if UCITS would fall in the scope of the PRIIPs Regulation)?</w:t>
      </w:r>
    </w:p>
    <w:p w14:paraId="77A080B7" w14:textId="419AD256" w:rsidR="003E573C" w:rsidRDefault="003E573C" w:rsidP="003E573C">
      <w:pPr>
        <w:rPr>
          <w:rFonts w:cs="Arial"/>
        </w:rPr>
      </w:pPr>
      <w:r>
        <w:rPr>
          <w:rFonts w:cs="Arial"/>
        </w:rPr>
        <w:t>&lt;ESA_QUESTION_PKID_44&gt;</w:t>
      </w:r>
    </w:p>
    <w:p w14:paraId="6376DA79" w14:textId="1D9FA59D" w:rsidR="003E573C" w:rsidRDefault="00EA103F" w:rsidP="003E573C">
      <w:pPr>
        <w:rPr>
          <w:rFonts w:cs="Arial"/>
        </w:rPr>
      </w:pPr>
      <w:permStart w:id="700270871" w:edGrp="everyone"/>
      <w:r>
        <w:rPr>
          <w:rFonts w:cs="Arial"/>
        </w:rPr>
        <w:t>NA</w:t>
      </w:r>
    </w:p>
    <w:permEnd w:id="700270871"/>
    <w:p w14:paraId="61A846AC" w14:textId="40F13ABE" w:rsidR="003E573C" w:rsidRDefault="003E573C" w:rsidP="003E573C">
      <w:pPr>
        <w:rPr>
          <w:rFonts w:cs="Arial"/>
        </w:rPr>
      </w:pPr>
      <w:r>
        <w:rPr>
          <w:rFonts w:cs="Arial"/>
        </w:rPr>
        <w:t>&lt;ESA_QUESTION_PKID_44&gt;</w:t>
      </w:r>
    </w:p>
    <w:p w14:paraId="0FAC11D9" w14:textId="77777777" w:rsidR="003E573C" w:rsidRDefault="003E573C" w:rsidP="003E573C">
      <w:pPr>
        <w:rPr>
          <w:rFonts w:cs="Arial"/>
        </w:rPr>
      </w:pPr>
    </w:p>
    <w:p w14:paraId="573571BF" w14:textId="77777777" w:rsidR="003E573C" w:rsidRDefault="003E573C" w:rsidP="003E573C">
      <w:pPr>
        <w:pStyle w:val="Questionstyle"/>
        <w:numPr>
          <w:ilvl w:val="0"/>
          <w:numId w:val="39"/>
        </w:numPr>
      </w:pPr>
      <w:r>
        <w:t xml:space="preserve">: </w:t>
      </w:r>
      <w:r w:rsidRPr="00763760">
        <w:t>What are your views on the issue mentioned above for regular savings plans and the potential ways to address this issue?</w:t>
      </w:r>
    </w:p>
    <w:p w14:paraId="385983E7" w14:textId="7844708E" w:rsidR="003E573C" w:rsidRDefault="003E573C" w:rsidP="003E573C">
      <w:pPr>
        <w:rPr>
          <w:rFonts w:cs="Arial"/>
        </w:rPr>
      </w:pPr>
      <w:r>
        <w:rPr>
          <w:rFonts w:cs="Arial"/>
        </w:rPr>
        <w:t>&lt;ESA_QUESTION_PKID_45&gt;</w:t>
      </w:r>
    </w:p>
    <w:p w14:paraId="5D2614C0" w14:textId="07C0381F" w:rsidR="003E573C" w:rsidRDefault="008144C0" w:rsidP="003E573C">
      <w:pPr>
        <w:rPr>
          <w:rFonts w:cs="Arial"/>
        </w:rPr>
      </w:pPr>
      <w:permStart w:id="649920829" w:edGrp="everyone"/>
      <w:r>
        <w:rPr>
          <w:rFonts w:cs="Arial"/>
        </w:rPr>
        <w:t>NA</w:t>
      </w:r>
    </w:p>
    <w:permEnd w:id="649920829"/>
    <w:p w14:paraId="18F6EFCE" w14:textId="10DCE5F3" w:rsidR="003E573C" w:rsidRDefault="003E573C" w:rsidP="003E573C">
      <w:pPr>
        <w:rPr>
          <w:rFonts w:cs="Arial"/>
        </w:rPr>
      </w:pPr>
      <w:r>
        <w:rPr>
          <w:rFonts w:cs="Arial"/>
        </w:rPr>
        <w:t>&lt;ESA_QUESTION_PKID_45&gt;</w:t>
      </w:r>
    </w:p>
    <w:p w14:paraId="545A7472" w14:textId="77777777" w:rsidR="003E573C" w:rsidRDefault="003E573C" w:rsidP="003E573C">
      <w:pPr>
        <w:rPr>
          <w:rFonts w:cs="Arial"/>
        </w:rPr>
      </w:pPr>
    </w:p>
    <w:p w14:paraId="2D32259D" w14:textId="77777777" w:rsidR="003E573C" w:rsidRDefault="003E573C" w:rsidP="003E573C">
      <w:pPr>
        <w:pStyle w:val="Questionstyle"/>
        <w:numPr>
          <w:ilvl w:val="0"/>
          <w:numId w:val="39"/>
        </w:numPr>
      </w:pPr>
      <w:r>
        <w:t xml:space="preserve">: </w:t>
      </w:r>
      <w:r w:rsidRPr="00FB784C">
        <w:t>Do you agree that these</w:t>
      </w:r>
      <w:r w:rsidRPr="00127275">
        <w:t xml:space="preserve"> requirement</w:t>
      </w:r>
      <w:r>
        <w:t>s from Article 4 should be extend</w:t>
      </w:r>
      <w:r w:rsidRPr="00127275">
        <w:t>ed to all types of PRIIPs, or would you consider that it should be restricted to Management Company of UCITS or AIF</w:t>
      </w:r>
      <w:r>
        <w:t>s</w:t>
      </w:r>
      <w:r w:rsidRPr="00127275">
        <w:t>?</w:t>
      </w:r>
    </w:p>
    <w:p w14:paraId="77D9B699" w14:textId="73ECD27D" w:rsidR="003E573C" w:rsidRDefault="003E573C" w:rsidP="003E573C">
      <w:pPr>
        <w:rPr>
          <w:rFonts w:cs="Arial"/>
        </w:rPr>
      </w:pPr>
      <w:r>
        <w:rPr>
          <w:rFonts w:cs="Arial"/>
        </w:rPr>
        <w:t>&lt;ESA_QUESTION_PKID_46&gt;</w:t>
      </w:r>
    </w:p>
    <w:p w14:paraId="763EFF1E" w14:textId="106D350D" w:rsidR="003E573C" w:rsidRDefault="008144C0" w:rsidP="003E573C">
      <w:pPr>
        <w:rPr>
          <w:rFonts w:cs="Arial"/>
        </w:rPr>
      </w:pPr>
      <w:permStart w:id="803234900" w:edGrp="everyone"/>
      <w:r>
        <w:rPr>
          <w:rFonts w:cs="Arial"/>
        </w:rPr>
        <w:t>NA</w:t>
      </w:r>
    </w:p>
    <w:permEnd w:id="803234900"/>
    <w:p w14:paraId="69CE25B2" w14:textId="34E9AF79" w:rsidR="003E573C" w:rsidRDefault="003E573C" w:rsidP="003E573C">
      <w:pPr>
        <w:rPr>
          <w:rFonts w:cs="Arial"/>
        </w:rPr>
      </w:pPr>
      <w:r>
        <w:rPr>
          <w:rFonts w:cs="Arial"/>
        </w:rPr>
        <w:t>&lt;ESA_QUESTION_PKID_46&gt;</w:t>
      </w:r>
    </w:p>
    <w:p w14:paraId="24890AFD" w14:textId="77777777" w:rsidR="003E573C" w:rsidRDefault="003E573C" w:rsidP="003E573C">
      <w:pPr>
        <w:rPr>
          <w:rFonts w:cs="Arial"/>
        </w:rPr>
      </w:pPr>
    </w:p>
    <w:p w14:paraId="38773FE9" w14:textId="77777777" w:rsidR="003E573C" w:rsidRDefault="003E573C" w:rsidP="003E573C">
      <w:pPr>
        <w:pStyle w:val="Questionstyle"/>
        <w:numPr>
          <w:ilvl w:val="0"/>
          <w:numId w:val="39"/>
        </w:numPr>
      </w:pPr>
      <w:r>
        <w:t xml:space="preserve">: </w:t>
      </w:r>
      <w:r w:rsidRPr="009A6D14">
        <w:t>Do you agree that this requirement should be extended to all types of PRIIPs, or would you consider that it should be restricted to Management Company of UCITS or AIF?</w:t>
      </w:r>
    </w:p>
    <w:p w14:paraId="51DBA9BB" w14:textId="30C3A0A3" w:rsidR="003E573C" w:rsidRDefault="003E573C" w:rsidP="003E573C">
      <w:pPr>
        <w:rPr>
          <w:rFonts w:cs="Arial"/>
        </w:rPr>
      </w:pPr>
      <w:r>
        <w:rPr>
          <w:rFonts w:cs="Arial"/>
        </w:rPr>
        <w:t>&lt;ESA_QUESTION_PKID_47&gt;</w:t>
      </w:r>
    </w:p>
    <w:p w14:paraId="730B4DD6" w14:textId="0E207D48" w:rsidR="003E573C" w:rsidRDefault="00D27D88" w:rsidP="003E573C">
      <w:pPr>
        <w:rPr>
          <w:rFonts w:cs="Arial"/>
        </w:rPr>
      </w:pPr>
      <w:permStart w:id="2127781944" w:edGrp="everyone"/>
      <w:r>
        <w:rPr>
          <w:rFonts w:cs="Arial"/>
        </w:rPr>
        <w:t xml:space="preserve">In general NCC prefer a minimum of different standards or regulations for different types of providers of products on that appear to serve the purpose for consumers. It would </w:t>
      </w:r>
      <w:r w:rsidRPr="00D27D88">
        <w:rPr>
          <w:rFonts w:cs="Arial"/>
        </w:rPr>
        <w:t>simplify</w:t>
      </w:r>
      <w:r>
        <w:rPr>
          <w:rFonts w:cs="Arial"/>
        </w:rPr>
        <w:t xml:space="preserve"> the process of comparing products with many similar features for consumers </w:t>
      </w:r>
    </w:p>
    <w:permEnd w:id="2127781944"/>
    <w:p w14:paraId="13B601F5" w14:textId="1507CAD7" w:rsidR="003E573C" w:rsidRDefault="003E573C" w:rsidP="003E573C">
      <w:pPr>
        <w:rPr>
          <w:rFonts w:cs="Arial"/>
        </w:rPr>
      </w:pPr>
      <w:r>
        <w:rPr>
          <w:rFonts w:cs="Arial"/>
        </w:rPr>
        <w:t>&lt;ESA_QUESTION_PKID_47&gt;</w:t>
      </w:r>
    </w:p>
    <w:p w14:paraId="4875C72E" w14:textId="77777777" w:rsidR="003E573C" w:rsidRDefault="003E573C" w:rsidP="003E573C">
      <w:pPr>
        <w:rPr>
          <w:rFonts w:cs="Arial"/>
        </w:rPr>
      </w:pPr>
    </w:p>
    <w:p w14:paraId="69670BDF" w14:textId="77777777" w:rsidR="003E573C" w:rsidRDefault="003E573C" w:rsidP="003E573C">
      <w:pPr>
        <w:pStyle w:val="Questionstyle"/>
        <w:numPr>
          <w:ilvl w:val="0"/>
          <w:numId w:val="39"/>
        </w:numPr>
      </w:pPr>
      <w:r>
        <w:t xml:space="preserve">: </w:t>
      </w:r>
      <w:r w:rsidRPr="00763760">
        <w:t>Do you agree that these requirements should be extended to all types of PRIIPs, or would you consider that they should be restricted to the Management Company of the UCITS or AIF?</w:t>
      </w:r>
    </w:p>
    <w:p w14:paraId="313F53E3" w14:textId="21731DD3" w:rsidR="003E573C" w:rsidRDefault="003E573C" w:rsidP="003E573C">
      <w:pPr>
        <w:rPr>
          <w:rFonts w:cs="Arial"/>
        </w:rPr>
      </w:pPr>
      <w:r>
        <w:rPr>
          <w:rFonts w:cs="Arial"/>
        </w:rPr>
        <w:t>&lt;ESA_QUESTION_PKID_48&gt;</w:t>
      </w:r>
    </w:p>
    <w:p w14:paraId="6581F830" w14:textId="3F269BB1" w:rsidR="003E573C" w:rsidRDefault="008144C0" w:rsidP="003E573C">
      <w:pPr>
        <w:rPr>
          <w:rFonts w:cs="Arial"/>
        </w:rPr>
      </w:pPr>
      <w:permStart w:id="1746749030" w:edGrp="everyone"/>
      <w:r>
        <w:rPr>
          <w:rFonts w:cs="Arial"/>
        </w:rPr>
        <w:t>NA</w:t>
      </w:r>
    </w:p>
    <w:permEnd w:id="1746749030"/>
    <w:p w14:paraId="461B49A4" w14:textId="748F0B36" w:rsidR="003E573C" w:rsidRDefault="003E573C" w:rsidP="003E573C">
      <w:pPr>
        <w:rPr>
          <w:rFonts w:cs="Arial"/>
        </w:rPr>
      </w:pPr>
      <w:r>
        <w:rPr>
          <w:rFonts w:cs="Arial"/>
        </w:rPr>
        <w:t>&lt;ESA_QUESTION_PKID_48&gt;</w:t>
      </w:r>
    </w:p>
    <w:p w14:paraId="1FE4EA41" w14:textId="77777777" w:rsidR="003E573C" w:rsidRDefault="003E573C" w:rsidP="003E573C">
      <w:pPr>
        <w:rPr>
          <w:rFonts w:cs="Arial"/>
        </w:rPr>
      </w:pPr>
    </w:p>
    <w:p w14:paraId="2BFB72A4" w14:textId="77777777" w:rsidR="003E573C" w:rsidRDefault="003E573C" w:rsidP="003E573C">
      <w:pPr>
        <w:pStyle w:val="Questionstyle"/>
        <w:numPr>
          <w:ilvl w:val="0"/>
          <w:numId w:val="39"/>
        </w:numPr>
      </w:pPr>
      <w:r>
        <w:t xml:space="preserve">: </w:t>
      </w:r>
      <w:r w:rsidRPr="009A68ED">
        <w:t>Do you have any comments on the proposed approaches in relation to the analysis and proposals in this Section, and in particular on the extent to which some of the abovementioned requirements should be extended to other types of PRIIPs?</w:t>
      </w:r>
    </w:p>
    <w:p w14:paraId="6869CBCD" w14:textId="68F8D93C" w:rsidR="003E573C" w:rsidRDefault="003E573C" w:rsidP="003E573C">
      <w:pPr>
        <w:rPr>
          <w:rFonts w:cs="Arial"/>
        </w:rPr>
      </w:pPr>
      <w:r>
        <w:rPr>
          <w:rFonts w:cs="Arial"/>
        </w:rPr>
        <w:t>&lt;ESA_QUESTION_PKID_49&gt;</w:t>
      </w:r>
    </w:p>
    <w:p w14:paraId="3DBC6997" w14:textId="26B13B5E" w:rsidR="003E573C" w:rsidRDefault="008144C0" w:rsidP="003E573C">
      <w:pPr>
        <w:rPr>
          <w:rFonts w:cs="Arial"/>
        </w:rPr>
      </w:pPr>
      <w:permStart w:id="479034423" w:edGrp="everyone"/>
      <w:r>
        <w:rPr>
          <w:rFonts w:cs="Arial"/>
        </w:rPr>
        <w:t>No</w:t>
      </w:r>
    </w:p>
    <w:permEnd w:id="479034423"/>
    <w:p w14:paraId="002B91D6" w14:textId="405298CD" w:rsidR="003E573C" w:rsidRDefault="003E573C" w:rsidP="003E573C">
      <w:pPr>
        <w:rPr>
          <w:rFonts w:cs="Arial"/>
        </w:rPr>
      </w:pPr>
      <w:r>
        <w:rPr>
          <w:rFonts w:cs="Arial"/>
        </w:rPr>
        <w:t>&lt;ESA_QUESTION_PKID_49&gt;</w:t>
      </w:r>
    </w:p>
    <w:p w14:paraId="22867943" w14:textId="77777777" w:rsidR="003E573C" w:rsidRDefault="003E573C" w:rsidP="003E573C">
      <w:pPr>
        <w:rPr>
          <w:rFonts w:cs="Arial"/>
        </w:rPr>
      </w:pPr>
    </w:p>
    <w:p w14:paraId="1BE6D3DD" w14:textId="77777777" w:rsidR="003E573C" w:rsidRDefault="003E573C" w:rsidP="003E573C">
      <w:pPr>
        <w:pStyle w:val="Questionstyle"/>
        <w:numPr>
          <w:ilvl w:val="0"/>
          <w:numId w:val="39"/>
        </w:numPr>
      </w:pPr>
      <w:r>
        <w:t xml:space="preserve">: </w:t>
      </w:r>
      <w:r w:rsidRPr="00B44C44">
        <w:t>Do you think this proposal would be an improvement on the current approach?</w:t>
      </w:r>
    </w:p>
    <w:p w14:paraId="015A82F5" w14:textId="55370A65" w:rsidR="003E573C" w:rsidRDefault="003E573C" w:rsidP="003E573C">
      <w:pPr>
        <w:rPr>
          <w:rFonts w:cs="Arial"/>
        </w:rPr>
      </w:pPr>
      <w:r>
        <w:rPr>
          <w:rFonts w:cs="Arial"/>
        </w:rPr>
        <w:lastRenderedPageBreak/>
        <w:t>&lt;ESA_QUESTION_PKID_50&gt;</w:t>
      </w:r>
    </w:p>
    <w:p w14:paraId="085E90ED" w14:textId="626733F4" w:rsidR="003E573C" w:rsidRDefault="0030214D" w:rsidP="003E573C">
      <w:pPr>
        <w:rPr>
          <w:rFonts w:cs="Arial"/>
        </w:rPr>
      </w:pPr>
      <w:permStart w:id="1857164361" w:edGrp="everyone"/>
      <w:r>
        <w:rPr>
          <w:rFonts w:cs="Arial"/>
        </w:rPr>
        <w:t xml:space="preserve">We agree that KIDs with a large cost range does not provide particularly useful information to the retail investor. We would advise to create PRIIP KIDs for each investment product. We also need to consider that this type of products typically </w:t>
      </w:r>
      <w:r w:rsidR="00016F8F">
        <w:rPr>
          <w:rFonts w:cs="Arial"/>
        </w:rPr>
        <w:t>are</w:t>
      </w:r>
      <w:r>
        <w:rPr>
          <w:rFonts w:cs="Arial"/>
        </w:rPr>
        <w:t xml:space="preserve"> spe</w:t>
      </w:r>
      <w:r w:rsidR="00016F8F">
        <w:rPr>
          <w:rFonts w:cs="Arial"/>
        </w:rPr>
        <w:t xml:space="preserve">culative in nature and not </w:t>
      </w:r>
      <w:proofErr w:type="gramStart"/>
      <w:r w:rsidR="00016F8F">
        <w:rPr>
          <w:rFonts w:cs="Arial"/>
        </w:rPr>
        <w:t>well-suited</w:t>
      </w:r>
      <w:proofErr w:type="gramEnd"/>
      <w:r w:rsidR="00016F8F">
        <w:rPr>
          <w:rFonts w:cs="Arial"/>
        </w:rPr>
        <w:t xml:space="preserve"> for long-</w:t>
      </w:r>
      <w:r>
        <w:rPr>
          <w:rFonts w:cs="Arial"/>
        </w:rPr>
        <w:t>term saving purposes.</w:t>
      </w:r>
    </w:p>
    <w:p w14:paraId="72A4373B" w14:textId="77777777" w:rsidR="0030214D" w:rsidRDefault="0030214D" w:rsidP="003E573C">
      <w:pPr>
        <w:rPr>
          <w:rFonts w:cs="Arial"/>
        </w:rPr>
      </w:pPr>
    </w:p>
    <w:p w14:paraId="3B2CCDFF" w14:textId="54823613" w:rsidR="0030214D" w:rsidRDefault="0030214D" w:rsidP="003E573C">
      <w:pPr>
        <w:rPr>
          <w:rFonts w:cs="Arial"/>
        </w:rPr>
      </w:pPr>
      <w:r>
        <w:rPr>
          <w:rFonts w:cs="Arial"/>
        </w:rPr>
        <w:t>While it may be cumbersome for manufacturers to create KIDs for these types of products</w:t>
      </w:r>
      <w:r w:rsidR="00016F8F">
        <w:rPr>
          <w:rFonts w:cs="Arial"/>
        </w:rPr>
        <w:t>,</w:t>
      </w:r>
      <w:r>
        <w:rPr>
          <w:rFonts w:cs="Arial"/>
        </w:rPr>
        <w:t xml:space="preserve"> we also think that transparency and specificity is especially important for these types of financial products. We believe that </w:t>
      </w:r>
      <w:r w:rsidR="009B3CD2">
        <w:rPr>
          <w:rFonts w:cs="Arial"/>
        </w:rPr>
        <w:t xml:space="preserve">products such as baskets of CFDs or </w:t>
      </w:r>
      <w:r w:rsidR="00016F8F">
        <w:rPr>
          <w:rFonts w:cs="Arial"/>
        </w:rPr>
        <w:t xml:space="preserve">binary </w:t>
      </w:r>
      <w:r w:rsidR="009B3CD2">
        <w:rPr>
          <w:rFonts w:cs="Arial"/>
        </w:rPr>
        <w:t xml:space="preserve">options or </w:t>
      </w:r>
      <w:proofErr w:type="spellStart"/>
      <w:r w:rsidR="009B3CD2">
        <w:rPr>
          <w:rFonts w:cs="Arial"/>
        </w:rPr>
        <w:t>autocalls</w:t>
      </w:r>
      <w:proofErr w:type="spellEnd"/>
      <w:r w:rsidR="009B3CD2">
        <w:rPr>
          <w:rFonts w:cs="Arial"/>
        </w:rPr>
        <w:t xml:space="preserve"> especially requires specific disclosure and do not believe that making the lives of the manufacturers of these products easier is the right way forward.</w:t>
      </w:r>
    </w:p>
    <w:p w14:paraId="0FB34C6B" w14:textId="77777777" w:rsidR="0030214D" w:rsidRDefault="0030214D" w:rsidP="003E573C">
      <w:pPr>
        <w:rPr>
          <w:rFonts w:cs="Arial"/>
        </w:rPr>
      </w:pPr>
    </w:p>
    <w:p w14:paraId="2EB0F677" w14:textId="77777777" w:rsidR="0030214D" w:rsidRDefault="0030214D" w:rsidP="003E573C">
      <w:pPr>
        <w:rPr>
          <w:rFonts w:cs="Arial"/>
        </w:rPr>
      </w:pPr>
    </w:p>
    <w:permEnd w:id="1857164361"/>
    <w:p w14:paraId="2EEA961D" w14:textId="2077091A" w:rsidR="003E573C" w:rsidRDefault="003E573C" w:rsidP="003E573C">
      <w:pPr>
        <w:rPr>
          <w:rFonts w:cs="Arial"/>
        </w:rPr>
      </w:pPr>
      <w:r>
        <w:rPr>
          <w:rFonts w:cs="Arial"/>
        </w:rPr>
        <w:t>&lt;ESA_QUESTION_PKID_50&gt;</w:t>
      </w:r>
    </w:p>
    <w:p w14:paraId="788D967C" w14:textId="77777777" w:rsidR="003E573C" w:rsidRDefault="003E573C" w:rsidP="003E573C">
      <w:pPr>
        <w:rPr>
          <w:rFonts w:cs="Arial"/>
        </w:rPr>
      </w:pPr>
    </w:p>
    <w:p w14:paraId="6AD3013A" w14:textId="77777777" w:rsidR="003E573C" w:rsidRDefault="003E573C" w:rsidP="003E573C">
      <w:pPr>
        <w:pStyle w:val="Questionstyle"/>
        <w:numPr>
          <w:ilvl w:val="0"/>
          <w:numId w:val="39"/>
        </w:numPr>
      </w:pPr>
      <w:r>
        <w:t>: Do you envisage significant practical challenges to apply this approach, for example for products which allow the investor to choose between a wide range or large number of options?</w:t>
      </w:r>
    </w:p>
    <w:p w14:paraId="3BE2FF23" w14:textId="7DA8CF7B" w:rsidR="003E573C" w:rsidRDefault="003E573C" w:rsidP="003E573C">
      <w:pPr>
        <w:rPr>
          <w:rFonts w:cs="Arial"/>
        </w:rPr>
      </w:pPr>
      <w:r>
        <w:rPr>
          <w:rFonts w:cs="Arial"/>
        </w:rPr>
        <w:t>&lt;ESA_QUESTION_PKID_51&gt;</w:t>
      </w:r>
    </w:p>
    <w:p w14:paraId="0E62BF4E" w14:textId="33C0DEF4" w:rsidR="003E573C" w:rsidRDefault="009B3CD2" w:rsidP="003E573C">
      <w:pPr>
        <w:rPr>
          <w:rFonts w:cs="Arial"/>
        </w:rPr>
      </w:pPr>
      <w:permStart w:id="1989770724" w:edGrp="everyone"/>
      <w:proofErr w:type="spellStart"/>
      <w:r>
        <w:rPr>
          <w:rFonts w:cs="Arial"/>
        </w:rPr>
        <w:t>Se</w:t>
      </w:r>
      <w:proofErr w:type="spellEnd"/>
      <w:r>
        <w:rPr>
          <w:rFonts w:cs="Arial"/>
        </w:rPr>
        <w:t xml:space="preserve"> our answer on Q50</w:t>
      </w:r>
    </w:p>
    <w:permEnd w:id="1989770724"/>
    <w:p w14:paraId="7D51C1CA" w14:textId="58DB8F59" w:rsidR="003E573C" w:rsidRDefault="003E573C" w:rsidP="003E573C">
      <w:pPr>
        <w:rPr>
          <w:rFonts w:cs="Arial"/>
        </w:rPr>
      </w:pPr>
      <w:r>
        <w:rPr>
          <w:rFonts w:cs="Arial"/>
        </w:rPr>
        <w:t>&lt;ESA_QUESTION_PKID_51&gt;</w:t>
      </w:r>
    </w:p>
    <w:p w14:paraId="448453E6" w14:textId="77777777" w:rsidR="003E573C" w:rsidRDefault="003E573C" w:rsidP="003E573C">
      <w:pPr>
        <w:rPr>
          <w:rFonts w:cs="Arial"/>
        </w:rPr>
      </w:pPr>
    </w:p>
    <w:p w14:paraId="23937F97" w14:textId="77777777" w:rsidR="003E573C" w:rsidRDefault="003E573C" w:rsidP="003E573C">
      <w:pPr>
        <w:pStyle w:val="Questionstyle"/>
        <w:numPr>
          <w:ilvl w:val="0"/>
          <w:numId w:val="39"/>
        </w:numPr>
      </w:pPr>
      <w:r>
        <w:t xml:space="preserve">: </w:t>
      </w:r>
      <w:r w:rsidRPr="00763760">
        <w:t>Do you see any risks or issues arising from this approach in relation to consumer understanding, for instance whether the consumer will understand that other combinations of investment options are also possible?</w:t>
      </w:r>
    </w:p>
    <w:p w14:paraId="6C927FF2" w14:textId="687B94D0" w:rsidR="003E573C" w:rsidRDefault="003E573C" w:rsidP="003E573C">
      <w:pPr>
        <w:rPr>
          <w:rFonts w:cs="Arial"/>
        </w:rPr>
      </w:pPr>
      <w:r>
        <w:rPr>
          <w:rFonts w:cs="Arial"/>
        </w:rPr>
        <w:t>&lt;ESA_QUESTION_PKID_52&gt;</w:t>
      </w:r>
    </w:p>
    <w:p w14:paraId="4B435AAE" w14:textId="7CC7EBD7" w:rsidR="003E573C" w:rsidRDefault="009B3CD2" w:rsidP="003E573C">
      <w:pPr>
        <w:rPr>
          <w:rFonts w:cs="Arial"/>
        </w:rPr>
      </w:pPr>
      <w:permStart w:id="1417153881" w:edGrp="everyone"/>
      <w:r>
        <w:rPr>
          <w:rFonts w:cs="Arial"/>
        </w:rPr>
        <w:t>We see the risk of a manufactur</w:t>
      </w:r>
      <w:r w:rsidR="00B421F7">
        <w:rPr>
          <w:rFonts w:cs="Arial"/>
        </w:rPr>
        <w:t xml:space="preserve">er making a relatively investor-friendly generic auto </w:t>
      </w:r>
      <w:r>
        <w:rPr>
          <w:rFonts w:cs="Arial"/>
        </w:rPr>
        <w:t xml:space="preserve">call product KID </w:t>
      </w:r>
      <w:proofErr w:type="gramStart"/>
      <w:r>
        <w:rPr>
          <w:rFonts w:cs="Arial"/>
        </w:rPr>
        <w:t>which</w:t>
      </w:r>
      <w:proofErr w:type="gramEnd"/>
      <w:r>
        <w:rPr>
          <w:rFonts w:cs="Arial"/>
        </w:rPr>
        <w:t xml:space="preserve"> will not be marketed. Then they create o</w:t>
      </w:r>
      <w:r w:rsidR="00B421F7">
        <w:rPr>
          <w:rFonts w:cs="Arial"/>
        </w:rPr>
        <w:t>ther bundles with less investor-</w:t>
      </w:r>
      <w:r>
        <w:rPr>
          <w:rFonts w:cs="Arial"/>
        </w:rPr>
        <w:t xml:space="preserve">friendly characteristics and market them instead. The consumer may understand or not understand that other combinations are possible, but we believe that the distinction </w:t>
      </w:r>
      <w:proofErr w:type="gramStart"/>
      <w:r>
        <w:rPr>
          <w:rFonts w:cs="Arial"/>
        </w:rPr>
        <w:t>will be easily obfuscated</w:t>
      </w:r>
      <w:proofErr w:type="gramEnd"/>
      <w:r>
        <w:rPr>
          <w:rFonts w:cs="Arial"/>
        </w:rPr>
        <w:t xml:space="preserve"> in the fog of the sale.</w:t>
      </w:r>
    </w:p>
    <w:permEnd w:id="1417153881"/>
    <w:p w14:paraId="71FA911C" w14:textId="37706012" w:rsidR="003E573C" w:rsidRDefault="003E573C" w:rsidP="003E573C">
      <w:pPr>
        <w:rPr>
          <w:rFonts w:cs="Arial"/>
        </w:rPr>
      </w:pPr>
      <w:r>
        <w:rPr>
          <w:rFonts w:cs="Arial"/>
        </w:rPr>
        <w:t>&lt;ESA_QUESTION_PKID_52&gt;</w:t>
      </w:r>
    </w:p>
    <w:p w14:paraId="349DDF73" w14:textId="77777777" w:rsidR="003E573C" w:rsidRDefault="003E573C" w:rsidP="003E573C">
      <w:pPr>
        <w:rPr>
          <w:rFonts w:cs="Arial"/>
        </w:rPr>
      </w:pPr>
    </w:p>
    <w:p w14:paraId="2792176B" w14:textId="77777777" w:rsidR="003E573C" w:rsidRDefault="003E573C" w:rsidP="003E573C">
      <w:pPr>
        <w:pStyle w:val="Questionstyle"/>
        <w:numPr>
          <w:ilvl w:val="0"/>
          <w:numId w:val="39"/>
        </w:numPr>
      </w:pPr>
      <w:r>
        <w:t xml:space="preserve">: </w:t>
      </w:r>
      <w:r w:rsidRPr="00B44C44">
        <w:t>Do you think this proposal would be an improvement on the current approach?</w:t>
      </w:r>
    </w:p>
    <w:p w14:paraId="2A993924" w14:textId="593ABE39" w:rsidR="003E573C" w:rsidRDefault="003E573C" w:rsidP="003E573C">
      <w:pPr>
        <w:rPr>
          <w:rFonts w:cs="Arial"/>
        </w:rPr>
      </w:pPr>
      <w:r>
        <w:rPr>
          <w:rFonts w:cs="Arial"/>
        </w:rPr>
        <w:t>&lt;ESA_QUESTION_PKID_53&gt;</w:t>
      </w:r>
    </w:p>
    <w:p w14:paraId="5331E8AD" w14:textId="7FE5F8E9" w:rsidR="003E573C" w:rsidRDefault="00860FF4" w:rsidP="003E573C">
      <w:pPr>
        <w:rPr>
          <w:rFonts w:cs="Arial"/>
        </w:rPr>
      </w:pPr>
      <w:permStart w:id="481841044" w:edGrp="everyone"/>
      <w:r>
        <w:rPr>
          <w:rFonts w:cs="Arial"/>
        </w:rPr>
        <w:t>NA</w:t>
      </w:r>
    </w:p>
    <w:permEnd w:id="481841044"/>
    <w:p w14:paraId="3CB82371" w14:textId="51DEA398" w:rsidR="003E573C" w:rsidRDefault="003E573C" w:rsidP="003E573C">
      <w:pPr>
        <w:rPr>
          <w:rFonts w:cs="Arial"/>
        </w:rPr>
      </w:pPr>
      <w:r>
        <w:rPr>
          <w:rFonts w:cs="Arial"/>
        </w:rPr>
        <w:t>&lt;ESA_QUESTION_PKID_53&gt;</w:t>
      </w:r>
    </w:p>
    <w:p w14:paraId="7F3483C8" w14:textId="77777777" w:rsidR="003E573C" w:rsidRDefault="003E573C" w:rsidP="003E573C">
      <w:pPr>
        <w:rPr>
          <w:rFonts w:cs="Arial"/>
        </w:rPr>
      </w:pPr>
    </w:p>
    <w:p w14:paraId="1CB098C7" w14:textId="77777777" w:rsidR="003E573C" w:rsidRDefault="003E573C" w:rsidP="003E573C">
      <w:pPr>
        <w:pStyle w:val="Questionstyle"/>
        <w:numPr>
          <w:ilvl w:val="0"/>
          <w:numId w:val="39"/>
        </w:numPr>
      </w:pPr>
      <w:r>
        <w:t>: Are there other approaches or revisions to the requirements for MOPs that should be considered?</w:t>
      </w:r>
    </w:p>
    <w:p w14:paraId="3DE1CD5B" w14:textId="6D4AC460" w:rsidR="003E573C" w:rsidRDefault="003E573C" w:rsidP="003E573C">
      <w:pPr>
        <w:rPr>
          <w:rFonts w:cs="Arial"/>
        </w:rPr>
      </w:pPr>
      <w:r>
        <w:rPr>
          <w:rFonts w:cs="Arial"/>
        </w:rPr>
        <w:t>&lt;ESA_QUESTION_PKID_54&gt;</w:t>
      </w:r>
    </w:p>
    <w:p w14:paraId="1A8FE557" w14:textId="67EC0059" w:rsidR="003E573C" w:rsidRDefault="00860FF4" w:rsidP="003E573C">
      <w:pPr>
        <w:rPr>
          <w:rFonts w:cs="Arial"/>
        </w:rPr>
      </w:pPr>
      <w:permStart w:id="1862034741" w:edGrp="everyone"/>
      <w:r>
        <w:rPr>
          <w:rFonts w:cs="Arial"/>
        </w:rPr>
        <w:t>NA</w:t>
      </w:r>
    </w:p>
    <w:permEnd w:id="1862034741"/>
    <w:p w14:paraId="1D5E06CF" w14:textId="40FD6488" w:rsidR="003E573C" w:rsidRDefault="003E573C" w:rsidP="003E573C">
      <w:pPr>
        <w:rPr>
          <w:rFonts w:cs="Arial"/>
        </w:rPr>
      </w:pPr>
      <w:r>
        <w:rPr>
          <w:rFonts w:cs="Arial"/>
        </w:rPr>
        <w:t>&lt;ESA_QUESTION_PKID_54&gt;</w:t>
      </w:r>
    </w:p>
    <w:p w14:paraId="3B3802A0" w14:textId="77777777" w:rsidR="003E573C" w:rsidRDefault="003E573C" w:rsidP="003E573C">
      <w:pPr>
        <w:rPr>
          <w:rFonts w:cs="Arial"/>
        </w:rPr>
      </w:pPr>
    </w:p>
    <w:p w14:paraId="6EC97C47" w14:textId="77777777" w:rsidR="003E573C" w:rsidRDefault="003E573C" w:rsidP="003E573C">
      <w:pPr>
        <w:pStyle w:val="Questionstyle"/>
        <w:numPr>
          <w:ilvl w:val="0"/>
          <w:numId w:val="39"/>
        </w:numPr>
      </w:pPr>
      <w:r>
        <w:t xml:space="preserve">: </w:t>
      </w:r>
      <w:r w:rsidRPr="000F73B1">
        <w:t xml:space="preserve">Do you have any comments on the preliminary assessment of costs </w:t>
      </w:r>
      <w:r>
        <w:t>and</w:t>
      </w:r>
      <w:r w:rsidRPr="000F73B1">
        <w:t xml:space="preserve"> benefits?</w:t>
      </w:r>
    </w:p>
    <w:p w14:paraId="42B1ACEC" w14:textId="18B56C74" w:rsidR="003E573C" w:rsidRDefault="003E573C" w:rsidP="003E573C">
      <w:pPr>
        <w:rPr>
          <w:rFonts w:cs="Arial"/>
        </w:rPr>
      </w:pPr>
      <w:r>
        <w:rPr>
          <w:rFonts w:cs="Arial"/>
        </w:rPr>
        <w:t>&lt;ESA_QUESTION_PKID_55&gt;</w:t>
      </w:r>
    </w:p>
    <w:p w14:paraId="3543C0C3" w14:textId="1E2DCCD0" w:rsidR="003E573C" w:rsidRDefault="00860FF4" w:rsidP="003E573C">
      <w:pPr>
        <w:rPr>
          <w:rFonts w:cs="Arial"/>
        </w:rPr>
      </w:pPr>
      <w:permStart w:id="250878080" w:edGrp="everyone"/>
      <w:r>
        <w:rPr>
          <w:rFonts w:cs="Arial"/>
        </w:rPr>
        <w:t xml:space="preserve">We disagree with the proposal not to include past performance in the KID. We believe there is an important place for both past performance (10 years) and future projections in the document. In the event that past performance tells a positive </w:t>
      </w:r>
      <w:proofErr w:type="gramStart"/>
      <w:r>
        <w:rPr>
          <w:rFonts w:cs="Arial"/>
        </w:rPr>
        <w:t>story</w:t>
      </w:r>
      <w:proofErr w:type="gramEnd"/>
      <w:r>
        <w:rPr>
          <w:rFonts w:cs="Arial"/>
        </w:rPr>
        <w:t xml:space="preserve"> we are convinced that the manufacturers will provide this information in the marketing material even if it is not disclosed in the KID.</w:t>
      </w:r>
    </w:p>
    <w:p w14:paraId="2D1BCA54" w14:textId="77777777" w:rsidR="00860FF4" w:rsidRDefault="00860FF4" w:rsidP="003E573C">
      <w:pPr>
        <w:rPr>
          <w:rFonts w:cs="Arial"/>
        </w:rPr>
      </w:pPr>
    </w:p>
    <w:p w14:paraId="2FE7D2EB" w14:textId="0FDB8C5C" w:rsidR="00860FF4" w:rsidRDefault="005C46AD" w:rsidP="003E573C">
      <w:pPr>
        <w:rPr>
          <w:rFonts w:cs="Arial"/>
        </w:rPr>
      </w:pPr>
      <w:r>
        <w:rPr>
          <w:rFonts w:cs="Arial"/>
        </w:rPr>
        <w:t xml:space="preserve">For illustrative </w:t>
      </w:r>
      <w:proofErr w:type="gramStart"/>
      <w:r>
        <w:rPr>
          <w:rFonts w:cs="Arial"/>
        </w:rPr>
        <w:t>scenarios</w:t>
      </w:r>
      <w:proofErr w:type="gramEnd"/>
      <w:r>
        <w:rPr>
          <w:rFonts w:cs="Arial"/>
        </w:rPr>
        <w:t xml:space="preserve"> we believe there is a significant risk of manufacturers </w:t>
      </w:r>
      <w:r w:rsidR="00B421F7">
        <w:rPr>
          <w:rFonts w:cs="Arial"/>
        </w:rPr>
        <w:t>cherry-picking</w:t>
      </w:r>
      <w:r>
        <w:rPr>
          <w:rFonts w:cs="Arial"/>
        </w:rPr>
        <w:t xml:space="preserve"> the examples to make the investment proposals more enticing. The KID needs to stay neutral and comparable.</w:t>
      </w:r>
    </w:p>
    <w:permEnd w:id="250878080"/>
    <w:p w14:paraId="0346C951" w14:textId="5760CBF1" w:rsidR="003E573C" w:rsidRDefault="003E573C" w:rsidP="003E573C">
      <w:pPr>
        <w:rPr>
          <w:rFonts w:cs="Arial"/>
        </w:rPr>
      </w:pPr>
      <w:r>
        <w:rPr>
          <w:rFonts w:cs="Arial"/>
        </w:rPr>
        <w:t>&lt;ESA_QUESTION_PKID_55&gt;</w:t>
      </w:r>
    </w:p>
    <w:p w14:paraId="4DA5DF0C" w14:textId="77777777" w:rsidR="003E573C" w:rsidRDefault="003E573C" w:rsidP="003E573C">
      <w:pPr>
        <w:rPr>
          <w:rFonts w:cs="Arial"/>
        </w:rPr>
      </w:pPr>
    </w:p>
    <w:p w14:paraId="6F6AB928" w14:textId="77777777" w:rsidR="003E573C" w:rsidRDefault="003E573C" w:rsidP="003E573C">
      <w:pPr>
        <w:pStyle w:val="Questionstyle"/>
        <w:numPr>
          <w:ilvl w:val="0"/>
          <w:numId w:val="39"/>
        </w:numPr>
      </w:pPr>
      <w:r>
        <w:t xml:space="preserve">: </w:t>
      </w:r>
      <w:r w:rsidRPr="000F73B1">
        <w:t>Are you able to p</w:t>
      </w:r>
      <w:r>
        <w:t xml:space="preserve">rovide information on the implementation costs of the proposed changes, in particular regarding, </w:t>
      </w:r>
      <w:r w:rsidRPr="00F06487">
        <w:t xml:space="preserve">(1) </w:t>
      </w:r>
      <w:r w:rsidRPr="00F253C3">
        <w:t>the proposed revised methodology for performance scenarios (using a reference rate and asset specific risk premia)</w:t>
      </w:r>
      <w:r>
        <w:t>, and (2) the overall changes to the KID template</w:t>
      </w:r>
      <w:r w:rsidRPr="00F253C3">
        <w:t>?</w:t>
      </w:r>
    </w:p>
    <w:p w14:paraId="6C4E36A7" w14:textId="45BEAAE4" w:rsidR="003E573C" w:rsidRDefault="003E573C" w:rsidP="003E573C">
      <w:pPr>
        <w:rPr>
          <w:rFonts w:cs="Arial"/>
        </w:rPr>
      </w:pPr>
      <w:r>
        <w:rPr>
          <w:rFonts w:cs="Arial"/>
        </w:rPr>
        <w:t>&lt;ESA_QUESTION_PKID_56&gt;</w:t>
      </w:r>
    </w:p>
    <w:p w14:paraId="193088D0" w14:textId="77777777" w:rsidR="00A641CD" w:rsidRDefault="00813F7F" w:rsidP="003E573C">
      <w:permStart w:id="1410489078" w:edGrp="everyone"/>
      <w:r>
        <w:rPr>
          <w:rFonts w:cs="Arial"/>
        </w:rPr>
        <w:t xml:space="preserve">Consumers cost on </w:t>
      </w:r>
      <w:proofErr w:type="spellStart"/>
      <w:r>
        <w:rPr>
          <w:rFonts w:cs="Arial"/>
        </w:rPr>
        <w:t>mis</w:t>
      </w:r>
      <w:proofErr w:type="spellEnd"/>
      <w:r>
        <w:rPr>
          <w:rFonts w:cs="Arial"/>
        </w:rPr>
        <w:t xml:space="preserve">-selling practices should ideally be held up against those </w:t>
      </w:r>
      <w:r>
        <w:t>implementation costs that falls on providers. The European consumer</w:t>
      </w:r>
      <w:r w:rsidR="00EC38B1">
        <w:t xml:space="preserve"> – BEUC- has provided a map on such cost on </w:t>
      </w:r>
      <w:hyperlink r:id="rId38" w:history="1">
        <w:r w:rsidR="00EC38B1">
          <w:rPr>
            <w:rStyle w:val="Hyperkobling"/>
          </w:rPr>
          <w:t>https://www.beuc.eu/press-media/news-events/price-bad-advice-launches</w:t>
        </w:r>
      </w:hyperlink>
      <w:r w:rsidR="00EC38B1">
        <w:t xml:space="preserve">. </w:t>
      </w:r>
    </w:p>
    <w:p w14:paraId="13611C5D" w14:textId="77777777" w:rsidR="00A641CD" w:rsidRDefault="00A641CD" w:rsidP="003E573C"/>
    <w:p w14:paraId="0F93A014" w14:textId="5E33437E" w:rsidR="003E573C" w:rsidRDefault="00EC38B1" w:rsidP="003E573C">
      <w:pPr>
        <w:rPr>
          <w:rFonts w:cs="Arial"/>
        </w:rPr>
      </w:pPr>
      <w:r>
        <w:t xml:space="preserve">This overview lacks costs regarding the </w:t>
      </w:r>
      <w:proofErr w:type="spellStart"/>
      <w:r>
        <w:t>Roeggen</w:t>
      </w:r>
      <w:proofErr w:type="spellEnd"/>
      <w:r>
        <w:t xml:space="preserve">-case which represented the </w:t>
      </w:r>
      <w:r w:rsidRPr="00EC38B1">
        <w:t>settlement</w:t>
      </w:r>
      <w:r>
        <w:t xml:space="preserve"> of the </w:t>
      </w:r>
      <w:r w:rsidR="00A641CD">
        <w:t xml:space="preserve">before mentioned </w:t>
      </w:r>
      <w:proofErr w:type="spellStart"/>
      <w:r>
        <w:t>mis</w:t>
      </w:r>
      <w:proofErr w:type="spellEnd"/>
      <w:r>
        <w:t xml:space="preserve">-selling of structured products done by DNB in Norway. </w:t>
      </w:r>
      <w:r w:rsidR="00434197">
        <w:t xml:space="preserve">Through media </w:t>
      </w:r>
      <w:proofErr w:type="gramStart"/>
      <w:r w:rsidR="00434197">
        <w:t>coverage</w:t>
      </w:r>
      <w:proofErr w:type="gramEnd"/>
      <w:r w:rsidR="00434197">
        <w:t xml:space="preserve"> </w:t>
      </w:r>
      <w:r>
        <w:t xml:space="preserve">we have learned that </w:t>
      </w:r>
      <w:r w:rsidR="00434197">
        <w:t xml:space="preserve">the </w:t>
      </w:r>
      <w:r>
        <w:t xml:space="preserve">cost </w:t>
      </w:r>
      <w:r w:rsidR="00434197">
        <w:t>of</w:t>
      </w:r>
      <w:r>
        <w:t xml:space="preserve"> the settlements </w:t>
      </w:r>
      <w:r w:rsidR="00434197">
        <w:t xml:space="preserve">in </w:t>
      </w:r>
      <w:r>
        <w:t xml:space="preserve">DNB alone amounted to </w:t>
      </w:r>
      <w:r w:rsidR="00434197">
        <w:t xml:space="preserve">roughly </w:t>
      </w:r>
      <w:r>
        <w:t>€ 50 million. DNB had an estimated market share of 25% for the market for structured products I 2013 in Norway. As sales of complex structured products came to a halt in Norway, DNB continued its sales of the same products abroad e.g. Lithuania</w:t>
      </w:r>
      <w:r w:rsidR="00A641CD">
        <w:t xml:space="preserve"> </w:t>
      </w:r>
      <w:r w:rsidR="00434197">
        <w:t xml:space="preserve">resulting in a </w:t>
      </w:r>
      <w:hyperlink r:id="rId39" w:history="1">
        <w:r w:rsidR="00434197">
          <w:rPr>
            <w:rStyle w:val="Hyperkobling"/>
          </w:rPr>
          <w:t xml:space="preserve">similar </w:t>
        </w:r>
        <w:r w:rsidR="00A641CD" w:rsidRPr="00A641CD">
          <w:rPr>
            <w:rStyle w:val="Hyperkobling"/>
          </w:rPr>
          <w:t>scandal there</w:t>
        </w:r>
      </w:hyperlink>
      <w:r w:rsidR="00A641CD">
        <w:t>.</w:t>
      </w:r>
      <w:r>
        <w:t xml:space="preserve"> </w:t>
      </w:r>
    </w:p>
    <w:permEnd w:id="1410489078"/>
    <w:p w14:paraId="2D70D909" w14:textId="53C8CB9E" w:rsidR="003E573C" w:rsidRDefault="003E573C" w:rsidP="003E573C">
      <w:pPr>
        <w:rPr>
          <w:rFonts w:cs="Arial"/>
        </w:rPr>
      </w:pPr>
      <w:r>
        <w:rPr>
          <w:rFonts w:cs="Arial"/>
        </w:rPr>
        <w:t>&lt;ESA_QUESTION_PKID_56&gt;</w:t>
      </w:r>
    </w:p>
    <w:p w14:paraId="5D4309D5" w14:textId="77777777" w:rsidR="003E573C" w:rsidRDefault="003E573C" w:rsidP="003E573C">
      <w:pPr>
        <w:rPr>
          <w:rFonts w:cs="Arial"/>
        </w:rPr>
      </w:pPr>
    </w:p>
    <w:p w14:paraId="6FDD08DE" w14:textId="77777777" w:rsidR="003E573C" w:rsidRPr="00763760" w:rsidRDefault="003E573C" w:rsidP="003E573C">
      <w:pPr>
        <w:pStyle w:val="Questionstyle"/>
        <w:numPr>
          <w:ilvl w:val="0"/>
          <w:numId w:val="39"/>
        </w:numPr>
      </w:pPr>
      <w:r>
        <w:t xml:space="preserve">: </w:t>
      </w:r>
      <w:r w:rsidRPr="000F73B1">
        <w:t>Are there significant benefits or costs you are aware of that have not been addressed?</w:t>
      </w:r>
    </w:p>
    <w:p w14:paraId="0DAA1A59" w14:textId="603E9492" w:rsidR="003E573C" w:rsidRDefault="003E573C" w:rsidP="003E573C">
      <w:pPr>
        <w:rPr>
          <w:rFonts w:cs="Arial"/>
        </w:rPr>
      </w:pPr>
      <w:r>
        <w:rPr>
          <w:rFonts w:cs="Arial"/>
        </w:rPr>
        <w:t>&lt;ESA_QUESTION_PKID_57&gt;</w:t>
      </w:r>
    </w:p>
    <w:p w14:paraId="51C178CF" w14:textId="68C61B02" w:rsidR="003E573C" w:rsidRDefault="005C46AD" w:rsidP="003E573C">
      <w:pPr>
        <w:rPr>
          <w:rFonts w:cs="Arial"/>
        </w:rPr>
      </w:pPr>
      <w:permStart w:id="264046412" w:edGrp="everyone"/>
      <w:r>
        <w:rPr>
          <w:rFonts w:cs="Arial"/>
        </w:rPr>
        <w:t>When it comes to option</w:t>
      </w:r>
      <w:r w:rsidR="00E72BF3">
        <w:rPr>
          <w:rFonts w:cs="Arial"/>
        </w:rPr>
        <w:t xml:space="preserve"> </w:t>
      </w:r>
      <w:proofErr w:type="gramStart"/>
      <w:r>
        <w:rPr>
          <w:rFonts w:cs="Arial"/>
        </w:rPr>
        <w:t>pricing</w:t>
      </w:r>
      <w:proofErr w:type="gramEnd"/>
      <w:r>
        <w:rPr>
          <w:rFonts w:cs="Arial"/>
        </w:rPr>
        <w:t xml:space="preserve"> we have not seen attempts to identify unrealistic assumptions for volatility as a cost element. </w:t>
      </w:r>
      <w:r w:rsidRPr="005C46AD">
        <w:rPr>
          <w:rFonts w:cs="Arial"/>
        </w:rPr>
        <w:t xml:space="preserve">For </w:t>
      </w:r>
      <w:r>
        <w:rPr>
          <w:rFonts w:cs="Arial"/>
        </w:rPr>
        <w:t xml:space="preserve">a </w:t>
      </w:r>
      <w:r w:rsidRPr="005C46AD">
        <w:rPr>
          <w:rFonts w:cs="Arial"/>
        </w:rPr>
        <w:t>vertically integrated compan</w:t>
      </w:r>
      <w:r>
        <w:rPr>
          <w:rFonts w:cs="Arial"/>
        </w:rPr>
        <w:t xml:space="preserve">y that for instance sit on both sides of option trades </w:t>
      </w:r>
      <w:r w:rsidRPr="005C46AD">
        <w:rPr>
          <w:rFonts w:cs="Arial"/>
        </w:rPr>
        <w:t>there may be opportunities to hide costs</w:t>
      </w:r>
      <w:r w:rsidR="00B421F7">
        <w:rPr>
          <w:rFonts w:cs="Arial"/>
        </w:rPr>
        <w:t>,</w:t>
      </w:r>
      <w:r w:rsidRPr="005C46AD">
        <w:rPr>
          <w:rFonts w:cs="Arial"/>
        </w:rPr>
        <w:t xml:space="preserve"> for instance </w:t>
      </w:r>
      <w:r>
        <w:rPr>
          <w:rFonts w:cs="Arial"/>
        </w:rPr>
        <w:t xml:space="preserve">by </w:t>
      </w:r>
      <w:r w:rsidRPr="005C46AD">
        <w:rPr>
          <w:rFonts w:cs="Arial"/>
        </w:rPr>
        <w:t xml:space="preserve">assuming unrealistically high volatility </w:t>
      </w:r>
      <w:r>
        <w:rPr>
          <w:rFonts w:cs="Arial"/>
        </w:rPr>
        <w:t>when pricing the options. One legal entity in the company can manufacture and sell the options at a high price to another legal entity</w:t>
      </w:r>
      <w:r w:rsidR="00B421F7">
        <w:rPr>
          <w:rFonts w:cs="Arial"/>
        </w:rPr>
        <w:t>,</w:t>
      </w:r>
      <w:r>
        <w:rPr>
          <w:rFonts w:cs="Arial"/>
        </w:rPr>
        <w:t xml:space="preserve"> which </w:t>
      </w:r>
      <w:r w:rsidR="00B421F7">
        <w:rPr>
          <w:rFonts w:cs="Arial"/>
        </w:rPr>
        <w:t xml:space="preserve">then </w:t>
      </w:r>
      <w:r>
        <w:rPr>
          <w:rFonts w:cs="Arial"/>
        </w:rPr>
        <w:t xml:space="preserve">distributes either single options or baskets of them to retail investors. While </w:t>
      </w:r>
      <w:r w:rsidR="00D07E35">
        <w:rPr>
          <w:rFonts w:cs="Arial"/>
        </w:rPr>
        <w:t>the distributing entity charges the cost specified in the KID</w:t>
      </w:r>
      <w:r w:rsidR="00B421F7">
        <w:rPr>
          <w:rFonts w:cs="Arial"/>
        </w:rPr>
        <w:t>,</w:t>
      </w:r>
      <w:r w:rsidR="00D07E35">
        <w:rPr>
          <w:rFonts w:cs="Arial"/>
        </w:rPr>
        <w:t xml:space="preserve"> the other part of the cost equation </w:t>
      </w:r>
      <w:proofErr w:type="gramStart"/>
      <w:r w:rsidR="00B421F7">
        <w:rPr>
          <w:rFonts w:cs="Arial"/>
        </w:rPr>
        <w:t>may be</w:t>
      </w:r>
      <w:r w:rsidR="00D07E35">
        <w:rPr>
          <w:rFonts w:cs="Arial"/>
        </w:rPr>
        <w:t xml:space="preserve"> hidden</w:t>
      </w:r>
      <w:proofErr w:type="gramEnd"/>
      <w:r w:rsidR="00D07E35">
        <w:rPr>
          <w:rFonts w:cs="Arial"/>
        </w:rPr>
        <w:t xml:space="preserve"> for retail </w:t>
      </w:r>
      <w:r w:rsidR="00B421F7">
        <w:rPr>
          <w:rFonts w:cs="Arial"/>
        </w:rPr>
        <w:t>inve</w:t>
      </w:r>
      <w:r w:rsidR="00D07E35">
        <w:rPr>
          <w:rFonts w:cs="Arial"/>
        </w:rPr>
        <w:t>stor</w:t>
      </w:r>
      <w:r w:rsidR="00B421F7">
        <w:rPr>
          <w:rFonts w:cs="Arial"/>
        </w:rPr>
        <w:t>s</w:t>
      </w:r>
      <w:r w:rsidR="00D07E35">
        <w:rPr>
          <w:rFonts w:cs="Arial"/>
        </w:rPr>
        <w:t xml:space="preserve">. </w:t>
      </w:r>
    </w:p>
    <w:permEnd w:id="264046412"/>
    <w:p w14:paraId="06448B0C" w14:textId="509A3AB8" w:rsidR="003E573C" w:rsidRDefault="003E573C" w:rsidP="003E573C">
      <w:pPr>
        <w:rPr>
          <w:rFonts w:cs="Arial"/>
        </w:rPr>
      </w:pPr>
      <w:r>
        <w:rPr>
          <w:rFonts w:cs="Arial"/>
        </w:rPr>
        <w:t>&lt;ESA_QUESTION_PKID_57&gt;</w:t>
      </w:r>
    </w:p>
    <w:p w14:paraId="0E9709C7" w14:textId="77777777" w:rsidR="003E573C" w:rsidRDefault="003E573C" w:rsidP="003E573C">
      <w:pPr>
        <w:rPr>
          <w:rFonts w:cs="Arial"/>
        </w:rPr>
      </w:pPr>
    </w:p>
    <w:p w14:paraId="535ED688" w14:textId="77777777" w:rsidR="003E573C" w:rsidRDefault="003E573C" w:rsidP="003E573C">
      <w:pPr>
        <w:rPr>
          <w:rFonts w:cs="Arial"/>
        </w:rPr>
      </w:pPr>
    </w:p>
    <w:p w14:paraId="785904EE" w14:textId="77777777" w:rsidR="003E573C" w:rsidRPr="007B52B2" w:rsidRDefault="003E573C" w:rsidP="003E573C">
      <w:pPr>
        <w:rPr>
          <w:rFonts w:cs="Arial"/>
        </w:rPr>
      </w:pPr>
    </w:p>
    <w:p w14:paraId="6A3CB0E1" w14:textId="3A94EBE7" w:rsidR="00820CBA" w:rsidRPr="00820CBA" w:rsidRDefault="00820CBA" w:rsidP="003E573C">
      <w:pPr>
        <w:pStyle w:val="Questionstyle"/>
        <w:ind w:left="720"/>
      </w:pPr>
    </w:p>
    <w:sectPr w:rsidR="00820CBA" w:rsidRPr="00820CBA" w:rsidSect="00A8728B">
      <w:headerReference w:type="even" r:id="rId40"/>
      <w:headerReference w:type="first" r:id="rId41"/>
      <w:footerReference w:type="first" r:id="rId42"/>
      <w:pgSz w:w="11906" w:h="16838" w:code="9"/>
      <w:pgMar w:top="2410" w:right="1247" w:bottom="1135" w:left="124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C80568" w14:textId="77777777" w:rsidR="00F10C88" w:rsidRDefault="00F10C88">
      <w:r>
        <w:separator/>
      </w:r>
    </w:p>
    <w:p w14:paraId="0B84493E" w14:textId="77777777" w:rsidR="00F10C88" w:rsidRDefault="00F10C88"/>
  </w:endnote>
  <w:endnote w:type="continuationSeparator" w:id="0">
    <w:p w14:paraId="5FA33E23" w14:textId="77777777" w:rsidR="00F10C88" w:rsidRDefault="00F10C88">
      <w:r>
        <w:continuationSeparator/>
      </w:r>
    </w:p>
    <w:p w14:paraId="1493BE07" w14:textId="77777777" w:rsidR="00F10C88" w:rsidRDefault="00F10C88"/>
  </w:endnote>
  <w:endnote w:type="continuationNotice" w:id="1">
    <w:p w14:paraId="77429A71" w14:textId="77777777" w:rsidR="00F10C88" w:rsidRDefault="00F10C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Arial Unicode MS"/>
    <w:charset w:val="00"/>
    <w:family w:val="auto"/>
    <w:pitch w:val="variable"/>
    <w:sig w:usb0="00000000" w:usb1="5000A1FF" w:usb2="00000000" w:usb3="00000000" w:csb0="000001BF" w:csb1="00000000"/>
  </w:font>
  <w:font w:name="EUAlbertina">
    <w:altName w:val="Calibri"/>
    <w:charset w:val="00"/>
    <w:family w:val="auto"/>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eleste">
    <w:altName w:val="Times New Roman"/>
    <w:panose1 w:val="00000000000000000000"/>
    <w:charset w:val="00"/>
    <w:family w:val="swiss"/>
    <w:notTrueType/>
    <w:pitch w:val="variable"/>
    <w:sig w:usb0="00000003" w:usb1="00000000" w:usb2="00000000" w:usb3="00000000" w:csb0="00000001" w:csb1="00000000"/>
  </w:font>
  <w:font w:name="Century Schoolbook">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Liberation Serif">
    <w:altName w:val="Times New Roman"/>
    <w:charset w:val="00"/>
    <w:family w:val="roman"/>
    <w:pitch w:val="variable"/>
  </w:font>
  <w:font w:name="Myriad Pro Light">
    <w:altName w:val="Corbel"/>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780E59" w14:textId="77777777" w:rsidR="00F10C88" w:rsidRDefault="00F10C88">
    <w:pPr>
      <w:pStyle w:val="Bunn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8460"/>
      <w:gridCol w:w="952"/>
    </w:tblGrid>
    <w:tr w:rsidR="00F10C88" w:rsidRPr="00616B9B" w14:paraId="6A3CB0EF" w14:textId="77777777" w:rsidTr="00315E96">
      <w:trPr>
        <w:trHeight w:val="284"/>
      </w:trPr>
      <w:tc>
        <w:tcPr>
          <w:tcW w:w="8460" w:type="dxa"/>
        </w:tcPr>
        <w:p w14:paraId="6A3CB0ED" w14:textId="77777777" w:rsidR="00F10C88" w:rsidRPr="00315E96" w:rsidRDefault="00F10C88" w:rsidP="00315E96">
          <w:pPr>
            <w:pStyle w:val="00Footer"/>
            <w:rPr>
              <w:lang w:val="fr-FR"/>
            </w:rPr>
          </w:pPr>
        </w:p>
      </w:tc>
      <w:tc>
        <w:tcPr>
          <w:tcW w:w="952" w:type="dxa"/>
        </w:tcPr>
        <w:p w14:paraId="6A3CB0EE" w14:textId="23180CB7" w:rsidR="00F10C88" w:rsidRPr="00616B9B" w:rsidRDefault="00F10C88" w:rsidP="002C5B2D">
          <w:pPr>
            <w:pStyle w:val="00aPagenumber"/>
            <w:rPr>
              <w:rFonts w:cs="Arial"/>
              <w:sz w:val="22"/>
              <w:szCs w:val="22"/>
            </w:rPr>
          </w:pPr>
          <w:r w:rsidRPr="00616B9B">
            <w:rPr>
              <w:rFonts w:cs="Arial"/>
              <w:sz w:val="22"/>
              <w:szCs w:val="22"/>
            </w:rPr>
            <w:fldChar w:fldCharType="begin"/>
          </w:r>
          <w:r w:rsidRPr="00616B9B">
            <w:rPr>
              <w:rFonts w:cs="Arial"/>
              <w:sz w:val="22"/>
              <w:szCs w:val="22"/>
            </w:rPr>
            <w:instrText xml:space="preserve"> PAGE </w:instrText>
          </w:r>
          <w:r w:rsidRPr="00616B9B">
            <w:rPr>
              <w:rFonts w:cs="Arial"/>
              <w:sz w:val="22"/>
              <w:szCs w:val="22"/>
            </w:rPr>
            <w:fldChar w:fldCharType="separate"/>
          </w:r>
          <w:r w:rsidR="00406C07">
            <w:rPr>
              <w:rFonts w:cs="Arial"/>
              <w:noProof/>
              <w:sz w:val="22"/>
              <w:szCs w:val="22"/>
            </w:rPr>
            <w:t>3</w:t>
          </w:r>
          <w:r w:rsidRPr="00616B9B">
            <w:rPr>
              <w:rFonts w:cs="Arial"/>
              <w:noProof/>
              <w:sz w:val="22"/>
              <w:szCs w:val="22"/>
            </w:rPr>
            <w:fldChar w:fldCharType="end"/>
          </w:r>
        </w:p>
      </w:tc>
    </w:tr>
  </w:tbl>
  <w:p w14:paraId="6A3CB0F0" w14:textId="77777777" w:rsidR="00F10C88" w:rsidRDefault="00F10C88">
    <w:pPr>
      <w:pStyle w:val="Bunn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7AD7D7" w14:textId="77777777" w:rsidR="00F10C88" w:rsidRDefault="00F10C88">
    <w:pPr>
      <w:pStyle w:val="Bunn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3CB100" w14:textId="77777777" w:rsidR="00F10C88" w:rsidRDefault="00F10C88">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587627" w14:textId="77777777" w:rsidR="00F10C88" w:rsidRDefault="00F10C88">
      <w:r>
        <w:separator/>
      </w:r>
    </w:p>
    <w:p w14:paraId="54B9A30A" w14:textId="77777777" w:rsidR="00F10C88" w:rsidRDefault="00F10C88"/>
  </w:footnote>
  <w:footnote w:type="continuationSeparator" w:id="0">
    <w:p w14:paraId="403328AC" w14:textId="77777777" w:rsidR="00F10C88" w:rsidRDefault="00F10C88">
      <w:r>
        <w:continuationSeparator/>
      </w:r>
    </w:p>
    <w:p w14:paraId="05AC2F38" w14:textId="77777777" w:rsidR="00F10C88" w:rsidRDefault="00F10C88"/>
  </w:footnote>
  <w:footnote w:type="continuationNotice" w:id="1">
    <w:p w14:paraId="3A008AFC" w14:textId="77777777" w:rsidR="00F10C88" w:rsidRDefault="00F10C88"/>
  </w:footnote>
  <w:footnote w:id="2">
    <w:p w14:paraId="3ADCE2CB" w14:textId="77777777" w:rsidR="00F10C88" w:rsidRPr="009E1A8D" w:rsidRDefault="00F10C88" w:rsidP="00197794">
      <w:pPr>
        <w:pStyle w:val="Fotnotetekst"/>
      </w:pPr>
      <w:r>
        <w:rPr>
          <w:rStyle w:val="Fotnotereferanse"/>
        </w:rPr>
        <w:footnoteRef/>
      </w:r>
      <w:r>
        <w:t xml:space="preserve"> </w:t>
      </w:r>
      <w:r w:rsidRPr="008C3274">
        <w:t>COMMISSION DELEGATED REGULATION (EU) 2017/653 of 8 March 2017 supplementing Regulation (EU) No 1286/2014 of the European Parliament and of the Council on key information documents for packaged retail and insurance-based investment products (PRIIPs) by laying down regulatory technical standards with regard to the presentation, content, review and revision of key information documents and the conditions for fulfilling the requirement to provide such documents</w:t>
      </w:r>
    </w:p>
  </w:footnote>
  <w:footnote w:id="3">
    <w:p w14:paraId="46F56401" w14:textId="77777777" w:rsidR="00F10C88" w:rsidRDefault="00F10C88" w:rsidP="00197794">
      <w:pPr>
        <w:pStyle w:val="Fotnotetekst"/>
      </w:pPr>
      <w:r>
        <w:rPr>
          <w:rStyle w:val="Fotnotereferanse"/>
        </w:rPr>
        <w:footnoteRef/>
      </w:r>
      <w:r>
        <w:t xml:space="preserve"> </w:t>
      </w:r>
      <w:r w:rsidRPr="00010A39">
        <w:t>Regulation (EU) No 1286/2014 of the European Parliament and of the Council of 26 November 2014 on key information documents for packaged retai</w:t>
      </w:r>
      <w:bookmarkStart w:id="1" w:name="_GoBack"/>
      <w:bookmarkEnd w:id="1"/>
      <w:r w:rsidRPr="00010A39">
        <w:t>l and insurance-based investment products (PRIIPs), OJ L 352, 9.12.2014, p. 1.</w:t>
      </w:r>
    </w:p>
  </w:footnote>
  <w:footnote w:id="4">
    <w:p w14:paraId="52F26208" w14:textId="77777777" w:rsidR="00F10C88" w:rsidRDefault="00F10C88" w:rsidP="00197794">
      <w:pPr>
        <w:pStyle w:val="Fotnotetekst"/>
      </w:pPr>
      <w:r>
        <w:rPr>
          <w:rStyle w:val="Fotnotereferanse"/>
        </w:rPr>
        <w:footnoteRef/>
      </w:r>
      <w:r>
        <w:t xml:space="preserve"> </w:t>
      </w:r>
      <w:r w:rsidRPr="00010A39">
        <w:t>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w:t>
      </w:r>
    </w:p>
  </w:footnote>
  <w:footnote w:id="5">
    <w:p w14:paraId="0A1F2363" w14:textId="77777777" w:rsidR="00F10C88" w:rsidRPr="00653F3B" w:rsidRDefault="00F10C88" w:rsidP="003E573C">
      <w:pPr>
        <w:pStyle w:val="Fotnotetekst"/>
      </w:pPr>
      <w:r>
        <w:rPr>
          <w:rStyle w:val="Fotnotereferanse"/>
        </w:rPr>
        <w:footnoteRef/>
      </w:r>
      <w:r>
        <w:t xml:space="preserve"> </w:t>
      </w:r>
      <w:r w:rsidRPr="00653F3B">
        <w:t>See “Section II – Key Investor Information Document (KIID) for UCITS” (in particular, Q&amp;A 8) of the Q&amp;A document available at: https://www.esma.europa.eu/sites/default/files/library/esma34-43-392_qa_ucits_directive.pdf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A5DCD1" w14:textId="77777777" w:rsidR="00F10C88" w:rsidRDefault="00F10C88">
    <w:pPr>
      <w:pStyle w:val="Top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3CB0EC" w14:textId="0B1FCCA2" w:rsidR="00F10C88" w:rsidRDefault="00F10C88">
    <w:pPr>
      <w:pStyle w:val="Topptekst"/>
    </w:pPr>
    <w:r>
      <w:rPr>
        <w:noProof/>
        <w:lang w:val="nb-NO" w:eastAsia="nb-NO"/>
      </w:rPr>
      <w:drawing>
        <wp:inline distT="0" distB="0" distL="0" distR="0" wp14:anchorId="5DFA0AC9" wp14:editId="5C7CBA1A">
          <wp:extent cx="5575935" cy="5480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arto="http://schemas.microsoft.com/office/word/2006/arto"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inline>
      </w:drawing>
    </w:r>
    <w:r>
      <w:rPr>
        <w:noProof/>
        <w:lang w:val="nb-NO" w:eastAsia="nb-NO"/>
      </w:rPr>
      <mc:AlternateContent>
        <mc:Choice Requires="wps">
          <w:drawing>
            <wp:anchor distT="0" distB="0" distL="114295" distR="114295" simplePos="0" relativeHeight="251656192" behindDoc="0" locked="0" layoutInCell="1" allowOverlap="1" wp14:anchorId="6A3CB103" wp14:editId="50E56350">
              <wp:simplePos x="0" y="0"/>
              <wp:positionH relativeFrom="page">
                <wp:posOffset>1548129</wp:posOffset>
              </wp:positionH>
              <wp:positionV relativeFrom="page">
                <wp:posOffset>612140</wp:posOffset>
              </wp:positionV>
              <wp:extent cx="0" cy="558165"/>
              <wp:effectExtent l="0" t="0" r="19050" b="13335"/>
              <wp:wrapNone/>
              <wp:docPr id="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8165"/>
                      </a:xfrm>
                      <a:prstGeom prst="line">
                        <a:avLst/>
                      </a:prstGeom>
                      <a:noFill/>
                      <a:ln w="12700">
                        <a:solidFill>
                          <a:srgbClr val="28358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924EC07" id="Line 16" o:spid="_x0000_s1026" style="position:absolute;z-index:251656192;visibility:visible;mso-wrap-style:square;mso-width-percent:0;mso-height-percent:0;mso-wrap-distance-left:3.17486mm;mso-wrap-distance-top:0;mso-wrap-distance-right:3.17486mm;mso-wrap-distance-bottom:0;mso-position-horizontal:absolute;mso-position-horizontal-relative:page;mso-position-vertical:absolute;mso-position-vertical-relative:page;mso-width-percent:0;mso-height-percent:0;mso-width-relative:page;mso-height-relative:page" from="121.9pt,48.2pt" to="121.9pt,9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" strokecolor="#283583" strokeweight="1pt">
              <w10:wrap anchorx="page" anchory="page"/>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3CB0F1" w14:textId="57FA93C8" w:rsidR="00F10C88" w:rsidRDefault="00F10C88" w:rsidP="00013CCE">
    <w:pPr>
      <w:pStyle w:val="Topptekst"/>
      <w:jc w:val="right"/>
    </w:pPr>
    <w:r>
      <w:rPr>
        <w:noProof/>
        <w:lang w:val="nb-NO" w:eastAsia="nb-NO"/>
      </w:rPr>
      <w:drawing>
        <wp:inline distT="0" distB="0" distL="0" distR="0" wp14:anchorId="43043680" wp14:editId="13AB93FC">
          <wp:extent cx="5575935" cy="54800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arto="http://schemas.microsoft.com/office/word/2006/arto"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inline>
      </w:drawing>
    </w:r>
    <w:r>
      <w:rPr>
        <w:noProof/>
        <w:lang w:val="nb-NO" w:eastAsia="nb-NO"/>
      </w:rPr>
      <w:drawing>
        <wp:anchor distT="0" distB="0" distL="114300" distR="114300" simplePos="0" relativeHeight="251655168" behindDoc="1" locked="0" layoutInCell="1" allowOverlap="1" wp14:anchorId="6A3CB107" wp14:editId="1326F10F">
          <wp:simplePos x="0" y="0"/>
          <wp:positionH relativeFrom="page">
            <wp:posOffset>0</wp:posOffset>
          </wp:positionH>
          <wp:positionV relativeFrom="page">
            <wp:posOffset>3895725</wp:posOffset>
          </wp:positionV>
          <wp:extent cx="7560310" cy="6800850"/>
          <wp:effectExtent l="0" t="0" r="2540" b="0"/>
          <wp:wrapNone/>
          <wp:docPr id="3" name="Picture 21" descr="report_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eport_d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0310" cy="68008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3CB0F2" w14:textId="77777777" w:rsidR="00F10C88" w:rsidRDefault="00F10C88"/>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8460"/>
      <w:gridCol w:w="952"/>
    </w:tblGrid>
    <w:tr w:rsidR="00F10C88" w:rsidRPr="002F4496" w14:paraId="6A3CB0F5" w14:textId="77777777" w:rsidTr="000C06C9">
      <w:trPr>
        <w:trHeight w:val="284"/>
      </w:trPr>
      <w:tc>
        <w:tcPr>
          <w:tcW w:w="8460" w:type="dxa"/>
        </w:tcPr>
        <w:p w14:paraId="6A3CB0F3" w14:textId="77777777" w:rsidR="00F10C88" w:rsidRPr="000C3B6D" w:rsidRDefault="00F10C88" w:rsidP="000C06C9">
          <w:pPr>
            <w:pStyle w:val="00Footer"/>
            <w:rPr>
              <w:lang w:val="fr-FR"/>
            </w:rPr>
          </w:pPr>
        </w:p>
      </w:tc>
      <w:tc>
        <w:tcPr>
          <w:tcW w:w="952" w:type="dxa"/>
        </w:tcPr>
        <w:p w14:paraId="6A3CB0F4" w14:textId="77777777" w:rsidR="00F10C88" w:rsidRPr="00146B34" w:rsidRDefault="00F10C88" w:rsidP="000C06C9">
          <w:pPr>
            <w:pStyle w:val="00aPagenumber"/>
            <w:rPr>
              <w:lang w:val="fr-FR"/>
            </w:rPr>
          </w:pPr>
        </w:p>
      </w:tc>
    </w:tr>
  </w:tbl>
  <w:p w14:paraId="6A3CB0F6" w14:textId="77777777" w:rsidR="00F10C88" w:rsidRPr="00DB46C3" w:rsidRDefault="00F10C88">
    <w:pPr>
      <w:rPr>
        <w:lang w:val="fr-FR"/>
      </w:rPr>
    </w:pPr>
  </w:p>
  <w:p w14:paraId="6A3CB0F7" w14:textId="77777777" w:rsidR="00F10C88" w:rsidRPr="002F4496" w:rsidRDefault="00F10C88">
    <w:pPr>
      <w:pStyle w:val="Topptekst"/>
      <w:rPr>
        <w:lang w:val="fr-FR"/>
      </w:rPr>
    </w:pPr>
  </w:p>
  <w:p w14:paraId="6A3CB0F8" w14:textId="77777777" w:rsidR="00F10C88" w:rsidRPr="002F4496" w:rsidRDefault="00F10C88" w:rsidP="000C06C9">
    <w:pPr>
      <w:pStyle w:val="Topptekst"/>
      <w:tabs>
        <w:tab w:val="clear" w:pos="4536"/>
        <w:tab w:val="clear" w:pos="9072"/>
        <w:tab w:val="left" w:pos="8227"/>
      </w:tabs>
      <w:rPr>
        <w:lang w:val="fr-FR"/>
      </w:rPr>
    </w:pPr>
  </w:p>
  <w:p w14:paraId="6A3CB0F9" w14:textId="77777777" w:rsidR="00F10C88" w:rsidRPr="002F4496" w:rsidRDefault="00F10C88" w:rsidP="000C06C9">
    <w:pPr>
      <w:pStyle w:val="Topptekst"/>
      <w:tabs>
        <w:tab w:val="clear" w:pos="4536"/>
        <w:tab w:val="clear" w:pos="9072"/>
        <w:tab w:val="left" w:pos="8227"/>
      </w:tabs>
      <w:rPr>
        <w:lang w:val="fr-FR"/>
      </w:rPr>
    </w:pPr>
  </w:p>
  <w:p w14:paraId="6A3CB0FA" w14:textId="77777777" w:rsidR="00F10C88" w:rsidRPr="002F4496" w:rsidRDefault="00F10C88">
    <w:pPr>
      <w:pStyle w:val="Topptekst"/>
      <w:rPr>
        <w:lang w:val="fr-FR"/>
      </w:rPr>
    </w:pPr>
  </w:p>
  <w:p w14:paraId="6A3CB0FB" w14:textId="77777777" w:rsidR="00F10C88" w:rsidRPr="002F4496" w:rsidRDefault="00F10C88">
    <w:pPr>
      <w:pStyle w:val="Topptekst"/>
      <w:rPr>
        <w:lang w:val="fr-FR"/>
      </w:rPr>
    </w:pPr>
  </w:p>
  <w:p w14:paraId="6A3CB0FC" w14:textId="77777777" w:rsidR="00F10C88" w:rsidRPr="002F4496" w:rsidRDefault="00F10C88">
    <w:pPr>
      <w:pStyle w:val="Topptekst"/>
      <w:rPr>
        <w:lang w:val="fr-FR"/>
      </w:rPr>
    </w:pPr>
  </w:p>
  <w:p w14:paraId="6A3CB0FD" w14:textId="77777777" w:rsidR="00F10C88" w:rsidRPr="002F4496" w:rsidRDefault="00F10C88">
    <w:pPr>
      <w:pStyle w:val="Topptekst"/>
      <w:rPr>
        <w:lang w:val="fr-FR"/>
      </w:rPr>
    </w:pPr>
  </w:p>
  <w:p w14:paraId="6A3CB0FE" w14:textId="77777777" w:rsidR="00F10C88" w:rsidRPr="002F4496" w:rsidRDefault="00F10C88">
    <w:pPr>
      <w:pStyle w:val="Topptekst"/>
      <w:rPr>
        <w:highlight w:val="yellow"/>
        <w:lang w:val="fr-FR"/>
      </w:rPr>
    </w:pPr>
  </w:p>
  <w:p w14:paraId="6A3CB0FF" w14:textId="05D5FF53" w:rsidR="00F10C88" w:rsidRDefault="00F10C88">
    <w:pPr>
      <w:pStyle w:val="Topptekst"/>
    </w:pPr>
    <w:r>
      <w:rPr>
        <w:noProof/>
        <w:lang w:val="nb-NO" w:eastAsia="nb-NO"/>
      </w:rPr>
      <mc:AlternateContent>
        <mc:Choice Requires="wps">
          <w:drawing>
            <wp:anchor distT="0" distB="0" distL="114299" distR="114299" simplePos="0" relativeHeight="251660288" behindDoc="0" locked="0" layoutInCell="1" allowOverlap="1" wp14:anchorId="6A3CB109" wp14:editId="6A3CB10A">
              <wp:simplePos x="0" y="0"/>
              <wp:positionH relativeFrom="page">
                <wp:posOffset>5040629</wp:posOffset>
              </wp:positionH>
              <wp:positionV relativeFrom="page">
                <wp:posOffset>612140</wp:posOffset>
              </wp:positionV>
              <wp:extent cx="0" cy="899795"/>
              <wp:effectExtent l="0" t="0" r="19050" b="14605"/>
              <wp:wrapNone/>
              <wp:docPr id="138" name="Straight Connector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9795"/>
                      </a:xfrm>
                      <a:prstGeom prst="line">
                        <a:avLst/>
                      </a:prstGeom>
                      <a:noFill/>
                      <a:ln w="12700">
                        <a:solidFill>
                          <a:srgbClr val="28358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2577586" id="Straight Connector 138" o:spid="_x0000_s1026" style="position:absolute;z-index:25166028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96.9pt,48.2pt" to="396.9pt,1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" strokecolor="#283583" strokeweight="1pt">
              <w10:wrap anchorx="page" anchory="page"/>
            </v:line>
          </w:pict>
        </mc:Fallback>
      </mc:AlternateContent>
    </w:r>
    <w:r>
      <w:rPr>
        <w:noProof/>
        <w:lang w:val="nb-NO" w:eastAsia="nb-NO"/>
      </w:rPr>
      <w:drawing>
        <wp:inline distT="0" distB="0" distL="0" distR="0" wp14:anchorId="7DB0CF77" wp14:editId="031410E7">
          <wp:extent cx="5575935" cy="5480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arto="http://schemas.microsoft.com/office/word/2006/arto"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C56CD"/>
    <w:multiLevelType w:val="hybridMultilevel"/>
    <w:tmpl w:val="E5847DAC"/>
    <w:lvl w:ilvl="0" w:tplc="C016A2D6">
      <w:start w:val="1"/>
      <w:numFmt w:val="decimal"/>
      <w:pStyle w:val="DPpara"/>
      <w:lvlText w:val="%1."/>
      <w:lvlJc w:val="left"/>
      <w:pPr>
        <w:ind w:left="473" w:hanging="360"/>
      </w:pPr>
      <w:rPr>
        <w:rFonts w:cs="Times New Roman" w:hint="default"/>
        <w:b w:val="0"/>
      </w:rPr>
    </w:lvl>
    <w:lvl w:ilvl="1" w:tplc="BF0CD940">
      <w:start w:val="1"/>
      <w:numFmt w:val="lowerLetter"/>
      <w:lvlText w:val="%2."/>
      <w:lvlJc w:val="left"/>
      <w:pPr>
        <w:ind w:left="1193" w:hanging="360"/>
      </w:pPr>
      <w:rPr>
        <w:rFonts w:cs="Times New Roman"/>
        <w:b w:val="0"/>
      </w:rPr>
    </w:lvl>
    <w:lvl w:ilvl="2" w:tplc="040C001B">
      <w:start w:val="1"/>
      <w:numFmt w:val="lowerRoman"/>
      <w:lvlText w:val="%3."/>
      <w:lvlJc w:val="right"/>
      <w:pPr>
        <w:ind w:left="1913" w:hanging="180"/>
      </w:pPr>
      <w:rPr>
        <w:rFonts w:cs="Times New Roman"/>
      </w:rPr>
    </w:lvl>
    <w:lvl w:ilvl="3" w:tplc="040C000F">
      <w:start w:val="1"/>
      <w:numFmt w:val="decimal"/>
      <w:lvlText w:val="%4."/>
      <w:lvlJc w:val="left"/>
      <w:pPr>
        <w:ind w:left="2633" w:hanging="360"/>
      </w:pPr>
      <w:rPr>
        <w:rFonts w:cs="Times New Roman"/>
      </w:rPr>
    </w:lvl>
    <w:lvl w:ilvl="4" w:tplc="040C0019" w:tentative="1">
      <w:start w:val="1"/>
      <w:numFmt w:val="lowerLetter"/>
      <w:lvlText w:val="%5."/>
      <w:lvlJc w:val="left"/>
      <w:pPr>
        <w:ind w:left="3353" w:hanging="360"/>
      </w:pPr>
      <w:rPr>
        <w:rFonts w:cs="Times New Roman"/>
      </w:rPr>
    </w:lvl>
    <w:lvl w:ilvl="5" w:tplc="040C001B" w:tentative="1">
      <w:start w:val="1"/>
      <w:numFmt w:val="lowerRoman"/>
      <w:lvlText w:val="%6."/>
      <w:lvlJc w:val="right"/>
      <w:pPr>
        <w:ind w:left="4073" w:hanging="180"/>
      </w:pPr>
      <w:rPr>
        <w:rFonts w:cs="Times New Roman"/>
      </w:rPr>
    </w:lvl>
    <w:lvl w:ilvl="6" w:tplc="040C000F" w:tentative="1">
      <w:start w:val="1"/>
      <w:numFmt w:val="decimal"/>
      <w:lvlText w:val="%7."/>
      <w:lvlJc w:val="left"/>
      <w:pPr>
        <w:ind w:left="4793" w:hanging="360"/>
      </w:pPr>
      <w:rPr>
        <w:rFonts w:cs="Times New Roman"/>
      </w:rPr>
    </w:lvl>
    <w:lvl w:ilvl="7" w:tplc="040C0019" w:tentative="1">
      <w:start w:val="1"/>
      <w:numFmt w:val="lowerLetter"/>
      <w:lvlText w:val="%8."/>
      <w:lvlJc w:val="left"/>
      <w:pPr>
        <w:ind w:left="5513" w:hanging="360"/>
      </w:pPr>
      <w:rPr>
        <w:rFonts w:cs="Times New Roman"/>
      </w:rPr>
    </w:lvl>
    <w:lvl w:ilvl="8" w:tplc="040C001B" w:tentative="1">
      <w:start w:val="1"/>
      <w:numFmt w:val="lowerRoman"/>
      <w:lvlText w:val="%9."/>
      <w:lvlJc w:val="right"/>
      <w:pPr>
        <w:ind w:left="6233" w:hanging="180"/>
      </w:pPr>
      <w:rPr>
        <w:rFonts w:cs="Times New Roman"/>
      </w:rPr>
    </w:lvl>
  </w:abstractNum>
  <w:abstractNum w:abstractNumId="1" w15:restartNumberingAfterBreak="0">
    <w:nsid w:val="027D1BC5"/>
    <w:multiLevelType w:val="hybridMultilevel"/>
    <w:tmpl w:val="00D89C44"/>
    <w:lvl w:ilvl="0" w:tplc="08090001">
      <w:start w:val="1"/>
      <w:numFmt w:val="bullet"/>
      <w:pStyle w:val="Punktliste3"/>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5447AC8"/>
    <w:multiLevelType w:val="multilevel"/>
    <w:tmpl w:val="053ABE1A"/>
    <w:lvl w:ilvl="0">
      <w:start w:val="1"/>
      <w:numFmt w:val="decimal"/>
      <w:pStyle w:val="NEW-Level0"/>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NEW-Level1"/>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B8E5258"/>
    <w:multiLevelType w:val="hybridMultilevel"/>
    <w:tmpl w:val="BDCA68A2"/>
    <w:lvl w:ilvl="0" w:tplc="E0140FB4">
      <w:start w:val="1"/>
      <w:numFmt w:val="lowerRoman"/>
      <w:pStyle w:val="aNEW-Questions"/>
      <w:lvlText w:val="%1."/>
      <w:lvlJc w:val="left"/>
      <w:pPr>
        <w:tabs>
          <w:tab w:val="num" w:pos="851"/>
        </w:tabs>
        <w:ind w:left="851" w:hanging="341"/>
      </w:pPr>
      <w:rPr>
        <w:rFonts w:hint="default"/>
        <w:lang w:val="en-GB"/>
      </w:rPr>
    </w:lvl>
    <w:lvl w:ilvl="1" w:tplc="6D76C376">
      <w:numFmt w:val="bullet"/>
      <w:lvlText w:val="-"/>
      <w:lvlJc w:val="left"/>
      <w:pPr>
        <w:ind w:left="1791" w:hanging="360"/>
      </w:pPr>
      <w:rPr>
        <w:rFonts w:ascii="Georgia" w:eastAsia="Times New Roman" w:hAnsi="Georgia" w:hint="default"/>
      </w:rPr>
    </w:lvl>
    <w:lvl w:ilvl="2" w:tplc="08090005">
      <w:start w:val="1"/>
      <w:numFmt w:val="bullet"/>
      <w:lvlText w:val=""/>
      <w:lvlJc w:val="left"/>
      <w:pPr>
        <w:ind w:left="2511" w:hanging="360"/>
      </w:pPr>
      <w:rPr>
        <w:rFonts w:ascii="Wingdings" w:hAnsi="Wingdings" w:hint="default"/>
      </w:rPr>
    </w:lvl>
    <w:lvl w:ilvl="3" w:tplc="08090001" w:tentative="1">
      <w:start w:val="1"/>
      <w:numFmt w:val="bullet"/>
      <w:lvlText w:val=""/>
      <w:lvlJc w:val="left"/>
      <w:pPr>
        <w:ind w:left="3231" w:hanging="360"/>
      </w:pPr>
      <w:rPr>
        <w:rFonts w:ascii="Symbol" w:hAnsi="Symbol" w:hint="default"/>
      </w:rPr>
    </w:lvl>
    <w:lvl w:ilvl="4" w:tplc="08090003" w:tentative="1">
      <w:start w:val="1"/>
      <w:numFmt w:val="bullet"/>
      <w:lvlText w:val="o"/>
      <w:lvlJc w:val="left"/>
      <w:pPr>
        <w:ind w:left="3951" w:hanging="360"/>
      </w:pPr>
      <w:rPr>
        <w:rFonts w:ascii="Courier New" w:hAnsi="Courier New" w:hint="default"/>
      </w:rPr>
    </w:lvl>
    <w:lvl w:ilvl="5" w:tplc="08090005" w:tentative="1">
      <w:start w:val="1"/>
      <w:numFmt w:val="bullet"/>
      <w:lvlText w:val=""/>
      <w:lvlJc w:val="left"/>
      <w:pPr>
        <w:ind w:left="4671" w:hanging="360"/>
      </w:pPr>
      <w:rPr>
        <w:rFonts w:ascii="Wingdings" w:hAnsi="Wingdings" w:hint="default"/>
      </w:rPr>
    </w:lvl>
    <w:lvl w:ilvl="6" w:tplc="08090001" w:tentative="1">
      <w:start w:val="1"/>
      <w:numFmt w:val="bullet"/>
      <w:lvlText w:val=""/>
      <w:lvlJc w:val="left"/>
      <w:pPr>
        <w:ind w:left="5391" w:hanging="360"/>
      </w:pPr>
      <w:rPr>
        <w:rFonts w:ascii="Symbol" w:hAnsi="Symbol" w:hint="default"/>
      </w:rPr>
    </w:lvl>
    <w:lvl w:ilvl="7" w:tplc="08090003" w:tentative="1">
      <w:start w:val="1"/>
      <w:numFmt w:val="bullet"/>
      <w:lvlText w:val="o"/>
      <w:lvlJc w:val="left"/>
      <w:pPr>
        <w:ind w:left="6111" w:hanging="360"/>
      </w:pPr>
      <w:rPr>
        <w:rFonts w:ascii="Courier New" w:hAnsi="Courier New" w:hint="default"/>
      </w:rPr>
    </w:lvl>
    <w:lvl w:ilvl="8" w:tplc="08090005" w:tentative="1">
      <w:start w:val="1"/>
      <w:numFmt w:val="bullet"/>
      <w:lvlText w:val=""/>
      <w:lvlJc w:val="left"/>
      <w:pPr>
        <w:ind w:left="6831" w:hanging="360"/>
      </w:pPr>
      <w:rPr>
        <w:rFonts w:ascii="Wingdings" w:hAnsi="Wingdings" w:hint="default"/>
      </w:rPr>
    </w:lvl>
  </w:abstractNum>
  <w:abstractNum w:abstractNumId="4" w15:restartNumberingAfterBreak="0">
    <w:nsid w:val="1DAE53C8"/>
    <w:multiLevelType w:val="multilevel"/>
    <w:tmpl w:val="ACFA87A8"/>
    <w:lvl w:ilvl="0">
      <w:start w:val="1"/>
      <w:numFmt w:val="decimal"/>
      <w:pStyle w:val="Brdtekst"/>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25B267EC"/>
    <w:multiLevelType w:val="hybridMultilevel"/>
    <w:tmpl w:val="7562AA54"/>
    <w:lvl w:ilvl="0" w:tplc="E24E6B0C">
      <w:start w:val="1"/>
      <w:numFmt w:val="lowerLetter"/>
      <w:pStyle w:val="aStyle1"/>
      <w:lvlText w:val="%1."/>
      <w:lvlJc w:val="left"/>
      <w:pPr>
        <w:ind w:left="1778" w:hanging="360"/>
      </w:p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6" w15:restartNumberingAfterBreak="0">
    <w:nsid w:val="25B95E1B"/>
    <w:multiLevelType w:val="hybridMultilevel"/>
    <w:tmpl w:val="085619C2"/>
    <w:lvl w:ilvl="0" w:tplc="A09C2658">
      <w:start w:val="1"/>
      <w:numFmt w:val="lowerLetter"/>
      <w:pStyle w:val="Bullet"/>
      <w:lvlText w:val="%1."/>
      <w:lvlJc w:val="left"/>
      <w:pPr>
        <w:ind w:left="1193"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29084AAD"/>
    <w:multiLevelType w:val="hybridMultilevel"/>
    <w:tmpl w:val="4C76B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F76E7A"/>
    <w:multiLevelType w:val="singleLevel"/>
    <w:tmpl w:val="C74C5A32"/>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9" w15:restartNumberingAfterBreak="0">
    <w:nsid w:val="2B2B3A92"/>
    <w:multiLevelType w:val="multilevel"/>
    <w:tmpl w:val="5B8C61E0"/>
    <w:lvl w:ilvl="0">
      <w:start w:val="1"/>
      <w:numFmt w:val="decimal"/>
      <w:lvlRestart w:val="0"/>
      <w:pStyle w:val="Considrant"/>
      <w:lvlText w:val="(%1)"/>
      <w:lvlJc w:val="left"/>
      <w:pPr>
        <w:tabs>
          <w:tab w:val="num" w:pos="851"/>
        </w:tabs>
        <w:ind w:left="851" w:hanging="709"/>
      </w:pPr>
      <w:rPr>
        <w:rFonts w:cs="Times New Roman"/>
        <w:i w:val="0"/>
      </w:rPr>
    </w:lvl>
    <w:lvl w:ilvl="1" w:tentative="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0" w15:restartNumberingAfterBreak="0">
    <w:nsid w:val="2EAF387C"/>
    <w:multiLevelType w:val="hybridMultilevel"/>
    <w:tmpl w:val="92F09644"/>
    <w:lvl w:ilvl="0" w:tplc="1FCC56D4">
      <w:start w:val="1"/>
      <w:numFmt w:val="decimal"/>
      <w:pStyle w:val="QuestionsFORM"/>
      <w:lvlText w:val="Q%1:"/>
      <w:lvlJc w:val="left"/>
      <w:pPr>
        <w:ind w:left="644" w:hanging="360"/>
      </w:pPr>
      <w:rPr>
        <w:rFonts w:asciiTheme="minorHAnsi" w:hAnsiTheme="minorHAnsi" w:cstheme="minorHAnsi" w:hint="default"/>
        <w:b/>
        <w:sz w:val="22"/>
        <w:szCs w:val="22"/>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1" w15:restartNumberingAfterBreak="0">
    <w:nsid w:val="335E66E3"/>
    <w:multiLevelType w:val="hybridMultilevel"/>
    <w:tmpl w:val="E332A2FA"/>
    <w:lvl w:ilvl="0" w:tplc="F13C2DE2">
      <w:start w:val="1"/>
      <w:numFmt w:val="decimal"/>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5792E13"/>
    <w:multiLevelType w:val="hybridMultilevel"/>
    <w:tmpl w:val="AB44C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5C6A9A"/>
    <w:multiLevelType w:val="hybridMultilevel"/>
    <w:tmpl w:val="A8704D4A"/>
    <w:lvl w:ilvl="0" w:tplc="5CB870D2">
      <w:start w:val="1"/>
      <w:numFmt w:val="bullet"/>
      <w:pStyle w:val="04bList"/>
      <w:lvlText w:val="─"/>
      <w:lvlJc w:val="left"/>
      <w:pPr>
        <w:tabs>
          <w:tab w:val="num" w:pos="568"/>
        </w:tabs>
        <w:ind w:left="568" w:hanging="284"/>
      </w:pPr>
      <w:rPr>
        <w:rFonts w:ascii="Georgia" w:hAnsi="Georgia" w:hint="default"/>
        <w:color w:val="00000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A52232B"/>
    <w:multiLevelType w:val="hybridMultilevel"/>
    <w:tmpl w:val="E332A2FA"/>
    <w:lvl w:ilvl="0" w:tplc="F13C2DE2">
      <w:start w:val="1"/>
      <w:numFmt w:val="decimal"/>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A5459E8"/>
    <w:multiLevelType w:val="singleLevel"/>
    <w:tmpl w:val="2188C922"/>
    <w:name w:val="Tiret 1"/>
    <w:lvl w:ilvl="0">
      <w:start w:val="1"/>
      <w:numFmt w:val="bullet"/>
      <w:lvlRestart w:val="0"/>
      <w:lvlText w:val="–"/>
      <w:lvlJc w:val="left"/>
      <w:pPr>
        <w:tabs>
          <w:tab w:val="num" w:pos="1417"/>
        </w:tabs>
        <w:ind w:left="1417" w:hanging="567"/>
      </w:pPr>
    </w:lvl>
  </w:abstractNum>
  <w:abstractNum w:abstractNumId="16" w15:restartNumberingAfterBreak="0">
    <w:nsid w:val="3A841364"/>
    <w:multiLevelType w:val="hybridMultilevel"/>
    <w:tmpl w:val="21CCF614"/>
    <w:lvl w:ilvl="0" w:tplc="08090017">
      <w:start w:val="1"/>
      <w:numFmt w:val="lowerLetter"/>
      <w:pStyle w:val="Punktliste4"/>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BA736C9"/>
    <w:multiLevelType w:val="singleLevel"/>
    <w:tmpl w:val="F00A6C0C"/>
    <w:lvl w:ilvl="0">
      <w:start w:val="1"/>
      <w:numFmt w:val="bullet"/>
      <w:lvlRestart w:val="0"/>
      <w:pStyle w:val="Tiret0"/>
      <w:lvlText w:val="–"/>
      <w:lvlJc w:val="left"/>
      <w:pPr>
        <w:tabs>
          <w:tab w:val="num" w:pos="850"/>
        </w:tabs>
        <w:ind w:left="850" w:hanging="850"/>
      </w:pPr>
    </w:lvl>
  </w:abstractNum>
  <w:abstractNum w:abstractNumId="18" w15:restartNumberingAfterBreak="0">
    <w:nsid w:val="3C890EB4"/>
    <w:multiLevelType w:val="hybridMultilevel"/>
    <w:tmpl w:val="D00E6092"/>
    <w:lvl w:ilvl="0" w:tplc="565C7802">
      <w:start w:val="1"/>
      <w:numFmt w:val="upperRoman"/>
      <w:pStyle w:val="05dHeadline1blue"/>
      <w:lvlText w:val="%1."/>
      <w:lvlJc w:val="left"/>
      <w:pPr>
        <w:tabs>
          <w:tab w:val="num" w:pos="284"/>
        </w:tabs>
        <w:ind w:left="284" w:hanging="284"/>
      </w:pPr>
      <w:rPr>
        <w:rFonts w:ascii="Georgia" w:hAnsi="Georgia" w:hint="default"/>
        <w:b/>
        <w:i w:val="0"/>
        <w:sz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15:restartNumberingAfterBreak="0">
    <w:nsid w:val="3C90278F"/>
    <w:multiLevelType w:val="singleLevel"/>
    <w:tmpl w:val="0FE08974"/>
    <w:name w:val="Tiret 0"/>
    <w:lvl w:ilvl="0">
      <w:start w:val="1"/>
      <w:numFmt w:val="bullet"/>
      <w:lvlRestart w:val="0"/>
      <w:pStyle w:val="Tiret3"/>
      <w:lvlText w:val="–"/>
      <w:lvlJc w:val="left"/>
      <w:pPr>
        <w:tabs>
          <w:tab w:val="num" w:pos="2551"/>
        </w:tabs>
        <w:ind w:left="2551" w:hanging="567"/>
      </w:pPr>
    </w:lvl>
  </w:abstractNum>
  <w:abstractNum w:abstractNumId="20" w15:restartNumberingAfterBreak="0">
    <w:nsid w:val="40CC0918"/>
    <w:multiLevelType w:val="hybridMultilevel"/>
    <w:tmpl w:val="44FAB874"/>
    <w:lvl w:ilvl="0" w:tplc="FA9CE296">
      <w:start w:val="27"/>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261A85"/>
    <w:multiLevelType w:val="hybridMultilevel"/>
    <w:tmpl w:val="475889F8"/>
    <w:lvl w:ilvl="0" w:tplc="B8A4E8DA">
      <w:start w:val="1"/>
      <w:numFmt w:val="decimal"/>
      <w:pStyle w:val="aNEW-Paragraph"/>
      <w:lvlText w:val="%1."/>
      <w:lvlJc w:val="left"/>
      <w:pPr>
        <w:tabs>
          <w:tab w:val="num" w:pos="851"/>
        </w:tabs>
        <w:ind w:left="851" w:hanging="284"/>
      </w:pPr>
      <w:rPr>
        <w:rFonts w:ascii="Georgia" w:hAnsi="Georgia" w:hint="default"/>
        <w:b w:val="0"/>
        <w:sz w:val="20"/>
        <w:lang w:val="en-GB"/>
      </w:rPr>
    </w:lvl>
    <w:lvl w:ilvl="1" w:tplc="76C853DA">
      <w:start w:val="1"/>
      <w:numFmt w:val="lowerRoman"/>
      <w:pStyle w:val="NEW-Paragraph-level2"/>
      <w:lvlText w:val="%2."/>
      <w:lvlJc w:val="left"/>
      <w:pPr>
        <w:tabs>
          <w:tab w:val="num" w:pos="1361"/>
        </w:tabs>
        <w:ind w:left="1361" w:hanging="45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tplc="A71A21D6">
      <w:start w:val="1"/>
      <w:numFmt w:val="lowerRoman"/>
      <w:lvlText w:val="%3."/>
      <w:lvlJc w:val="left"/>
      <w:pPr>
        <w:tabs>
          <w:tab w:val="num" w:pos="2727"/>
        </w:tabs>
        <w:ind w:left="2835" w:hanging="288"/>
      </w:pPr>
      <w:rPr>
        <w:rFonts w:hint="default"/>
      </w:rPr>
    </w:lvl>
    <w:lvl w:ilvl="3" w:tplc="0407000F">
      <w:start w:val="1"/>
      <w:numFmt w:val="decimal"/>
      <w:lvlText w:val="%4."/>
      <w:lvlJc w:val="left"/>
      <w:pPr>
        <w:tabs>
          <w:tab w:val="num" w:pos="3447"/>
        </w:tabs>
        <w:ind w:left="3447" w:hanging="360"/>
      </w:pPr>
    </w:lvl>
    <w:lvl w:ilvl="4" w:tplc="04070019" w:tentative="1">
      <w:start w:val="1"/>
      <w:numFmt w:val="lowerLetter"/>
      <w:lvlText w:val="%5."/>
      <w:lvlJc w:val="left"/>
      <w:pPr>
        <w:tabs>
          <w:tab w:val="num" w:pos="4167"/>
        </w:tabs>
        <w:ind w:left="4167" w:hanging="360"/>
      </w:pPr>
    </w:lvl>
    <w:lvl w:ilvl="5" w:tplc="0407001B" w:tentative="1">
      <w:start w:val="1"/>
      <w:numFmt w:val="lowerRoman"/>
      <w:lvlText w:val="%6."/>
      <w:lvlJc w:val="right"/>
      <w:pPr>
        <w:tabs>
          <w:tab w:val="num" w:pos="4887"/>
        </w:tabs>
        <w:ind w:left="4887" w:hanging="180"/>
      </w:pPr>
    </w:lvl>
    <w:lvl w:ilvl="6" w:tplc="0407000F" w:tentative="1">
      <w:start w:val="1"/>
      <w:numFmt w:val="decimal"/>
      <w:lvlText w:val="%7."/>
      <w:lvlJc w:val="left"/>
      <w:pPr>
        <w:tabs>
          <w:tab w:val="num" w:pos="5607"/>
        </w:tabs>
        <w:ind w:left="5607" w:hanging="360"/>
      </w:pPr>
    </w:lvl>
    <w:lvl w:ilvl="7" w:tplc="04070019" w:tentative="1">
      <w:start w:val="1"/>
      <w:numFmt w:val="lowerLetter"/>
      <w:lvlText w:val="%8."/>
      <w:lvlJc w:val="left"/>
      <w:pPr>
        <w:tabs>
          <w:tab w:val="num" w:pos="6327"/>
        </w:tabs>
        <w:ind w:left="6327" w:hanging="360"/>
      </w:pPr>
    </w:lvl>
    <w:lvl w:ilvl="8" w:tplc="0407001B" w:tentative="1">
      <w:start w:val="1"/>
      <w:numFmt w:val="lowerRoman"/>
      <w:lvlText w:val="%9."/>
      <w:lvlJc w:val="right"/>
      <w:pPr>
        <w:tabs>
          <w:tab w:val="num" w:pos="7047"/>
        </w:tabs>
        <w:ind w:left="7047" w:hanging="180"/>
      </w:pPr>
    </w:lvl>
  </w:abstractNum>
  <w:abstractNum w:abstractNumId="22" w15:restartNumberingAfterBreak="0">
    <w:nsid w:val="48842C30"/>
    <w:multiLevelType w:val="singleLevel"/>
    <w:tmpl w:val="4FA60B90"/>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3" w15:restartNumberingAfterBreak="0">
    <w:nsid w:val="4A8501C1"/>
    <w:multiLevelType w:val="hybridMultilevel"/>
    <w:tmpl w:val="BF34BB12"/>
    <w:lvl w:ilvl="0" w:tplc="37900E30">
      <w:start w:val="1"/>
      <w:numFmt w:val="decimal"/>
      <w:pStyle w:val="CPQuestions"/>
      <w:lvlText w:val="Q%1."/>
      <w:lvlJc w:val="right"/>
      <w:pPr>
        <w:ind w:left="720" w:hanging="36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AE2256"/>
    <w:multiLevelType w:val="hybridMultilevel"/>
    <w:tmpl w:val="13D402CA"/>
    <w:lvl w:ilvl="0" w:tplc="BEB48E84">
      <w:start w:val="1"/>
      <w:numFmt w:val="decimal"/>
      <w:lvlText w:val="%1."/>
      <w:lvlJc w:val="left"/>
      <w:pPr>
        <w:tabs>
          <w:tab w:val="num" w:pos="284"/>
        </w:tabs>
        <w:ind w:left="284" w:hanging="284"/>
      </w:pPr>
      <w:rPr>
        <w:rFonts w:ascii="Georgia" w:hAnsi="Georgia" w:hint="default"/>
        <w:b w:val="0"/>
        <w:i w:val="0"/>
        <w:sz w:val="20"/>
        <w:lang w:val="en-GB"/>
      </w:rPr>
    </w:lvl>
    <w:lvl w:ilvl="1" w:tplc="6726A2CE">
      <w:start w:val="1"/>
      <w:numFmt w:val="lowerRoman"/>
      <w:lvlText w:val="%2."/>
      <w:lvlJc w:val="left"/>
      <w:pPr>
        <w:tabs>
          <w:tab w:val="num" w:pos="1440"/>
        </w:tabs>
        <w:ind w:left="1440" w:hanging="360"/>
      </w:pPr>
      <w:rPr>
        <w:rFonts w:hint="default"/>
        <w:b w:val="0"/>
        <w:lang w:val="en-GB"/>
      </w:rPr>
    </w:lvl>
    <w:lvl w:ilvl="2" w:tplc="4C12BD96">
      <w:start w:val="1"/>
      <w:numFmt w:val="lowerLetter"/>
      <w:pStyle w:val="NEW-Paragraph-level3"/>
      <w:lvlText w:val="%3."/>
      <w:lvlJc w:val="left"/>
      <w:pPr>
        <w:tabs>
          <w:tab w:val="num" w:pos="1031"/>
        </w:tabs>
        <w:ind w:left="1139" w:hanging="288"/>
      </w:pPr>
    </w:lvl>
    <w:lvl w:ilvl="3" w:tplc="0407000F">
      <w:start w:val="1"/>
      <w:numFmt w:val="decimal"/>
      <w:lvlText w:val="%4."/>
      <w:lvlJc w:val="left"/>
      <w:pPr>
        <w:tabs>
          <w:tab w:val="num" w:pos="2880"/>
        </w:tabs>
        <w:ind w:left="2880" w:hanging="360"/>
      </w:pPr>
    </w:lvl>
    <w:lvl w:ilvl="4" w:tplc="F4C2529A">
      <w:start w:val="1"/>
      <w:numFmt w:val="lowerLetter"/>
      <w:lvlText w:val="%5)"/>
      <w:lvlJc w:val="left"/>
      <w:pPr>
        <w:ind w:left="3600" w:hanging="360"/>
      </w:pPr>
    </w:lvl>
    <w:lvl w:ilvl="5" w:tplc="FD041300">
      <w:start w:val="8"/>
      <w:numFmt w:val="bullet"/>
      <w:lvlText w:val="-"/>
      <w:lvlJc w:val="left"/>
      <w:pPr>
        <w:ind w:left="4500" w:hanging="360"/>
      </w:pPr>
      <w:rPr>
        <w:rFonts w:ascii="Georgia" w:eastAsia="Times New Roman" w:hAnsi="Georgia" w:cs="Times New Roman" w:hint="default"/>
      </w:rPr>
    </w:lvl>
    <w:lvl w:ilvl="6" w:tplc="30B61B3A">
      <w:start w:val="1"/>
      <w:numFmt w:val="lowerRoman"/>
      <w:lvlText w:val="(%7)"/>
      <w:lvlJc w:val="left"/>
      <w:pPr>
        <w:ind w:left="1004" w:hanging="72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25" w15:restartNumberingAfterBreak="0">
    <w:nsid w:val="4C7151D2"/>
    <w:multiLevelType w:val="hybridMultilevel"/>
    <w:tmpl w:val="DE90C632"/>
    <w:lvl w:ilvl="0" w:tplc="08090001">
      <w:start w:val="1"/>
      <w:numFmt w:val="bullet"/>
      <w:pStyle w:val="Punktliste"/>
      <w:lvlText w:val=""/>
      <w:lvlJc w:val="left"/>
      <w:pPr>
        <w:tabs>
          <w:tab w:val="num" w:pos="735"/>
        </w:tabs>
        <w:ind w:left="735" w:hanging="375"/>
      </w:pPr>
      <w:rPr>
        <w:rFonts w:ascii="Symbol" w:hAnsi="Symbol" w:hint="default"/>
      </w:rPr>
    </w:lvl>
    <w:lvl w:ilvl="1" w:tplc="99749D40">
      <w:start w:val="1"/>
      <w:numFmt w:val="bullet"/>
      <w:lvlText w:val=""/>
      <w:lvlJc w:val="left"/>
      <w:pPr>
        <w:tabs>
          <w:tab w:val="num" w:pos="1515"/>
        </w:tabs>
        <w:ind w:left="1515" w:hanging="435"/>
      </w:pPr>
      <w:rPr>
        <w:rFonts w:ascii="Symbol" w:hAnsi="Symbol" w:hint="default"/>
      </w:rPr>
    </w:lvl>
    <w:lvl w:ilvl="2" w:tplc="D6283A10">
      <w:numFmt w:val="bullet"/>
      <w:lvlText w:val="-"/>
      <w:lvlJc w:val="left"/>
      <w:pPr>
        <w:ind w:left="2340" w:hanging="360"/>
      </w:pPr>
      <w:rPr>
        <w:rFonts w:ascii="Georgia" w:eastAsia="Times New Roman" w:hAnsi="Georgia" w:cs="Times New Roman" w:hint="default"/>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4CE0756A"/>
    <w:multiLevelType w:val="hybridMultilevel"/>
    <w:tmpl w:val="E332A2FA"/>
    <w:lvl w:ilvl="0" w:tplc="F13C2DE2">
      <w:start w:val="1"/>
      <w:numFmt w:val="decimal"/>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EB823C0"/>
    <w:multiLevelType w:val="hybridMultilevel"/>
    <w:tmpl w:val="DA06D4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3260F13"/>
    <w:multiLevelType w:val="multilevel"/>
    <w:tmpl w:val="CCD817B6"/>
    <w:lvl w:ilvl="0">
      <w:start w:val="1"/>
      <w:numFmt w:val="upperRoman"/>
      <w:pStyle w:val="05cHeadline1"/>
      <w:lvlText w:val="%1."/>
      <w:lvlJc w:val="left"/>
      <w:pPr>
        <w:tabs>
          <w:tab w:val="num" w:pos="567"/>
        </w:tabs>
        <w:ind w:left="567" w:hanging="567"/>
      </w:pPr>
      <w:rPr>
        <w:rFonts w:ascii="Georgia" w:hAnsi="Georgia" w:hint="default"/>
        <w:b/>
        <w:i w:val="0"/>
        <w:sz w:val="20"/>
      </w:rPr>
    </w:lvl>
    <w:lvl w:ilvl="1">
      <w:start w:val="1"/>
      <w:numFmt w:val="upperRoman"/>
      <w:pStyle w:val="05eHeadline2"/>
      <w:lvlText w:val="%1.%2."/>
      <w:lvlJc w:val="left"/>
      <w:pPr>
        <w:tabs>
          <w:tab w:val="num" w:pos="567"/>
        </w:tabs>
        <w:ind w:left="567" w:hanging="283"/>
      </w:pPr>
      <w:rPr>
        <w:rFonts w:ascii="Georgia" w:hAnsi="Georgia" w:hint="default"/>
        <w:b w:val="0"/>
        <w:i w:val="0"/>
        <w:sz w:val="20"/>
      </w:rPr>
    </w:lvl>
    <w:lvl w:ilvl="2">
      <w:start w:val="2"/>
      <w:numFmt w:val="upperRoman"/>
      <w:lvlText w:val="%3.%2"/>
      <w:lvlJc w:val="left"/>
      <w:pPr>
        <w:tabs>
          <w:tab w:val="num" w:pos="567"/>
        </w:tabs>
        <w:ind w:left="567" w:hanging="283"/>
      </w:pPr>
      <w:rPr>
        <w:rFonts w:ascii="Georgia" w:hAnsi="Georgia" w:hint="default"/>
        <w:sz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Overskrift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pStyle w:val="Overskrift8"/>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542A1A9F"/>
    <w:multiLevelType w:val="hybridMultilevel"/>
    <w:tmpl w:val="40E616FE"/>
    <w:lvl w:ilvl="0" w:tplc="3EEE88B2">
      <w:start w:val="1"/>
      <w:numFmt w:val="decimal"/>
      <w:pStyle w:val="QStyle"/>
      <w:lvlText w:val="Q%1"/>
      <w:lvlJc w:val="left"/>
      <w:pPr>
        <w:ind w:left="5127" w:hanging="360"/>
      </w:pPr>
      <w:rPr>
        <w:rFonts w:hint="default"/>
        <w:b/>
        <w:i w:val="0"/>
      </w:rPr>
    </w:lvl>
    <w:lvl w:ilvl="1" w:tplc="08090019">
      <w:start w:val="1"/>
      <w:numFmt w:val="lowerLetter"/>
      <w:lvlText w:val="%2."/>
      <w:lvlJc w:val="left"/>
      <w:pPr>
        <w:ind w:left="5847" w:hanging="360"/>
      </w:pPr>
    </w:lvl>
    <w:lvl w:ilvl="2" w:tplc="0809001B" w:tentative="1">
      <w:start w:val="1"/>
      <w:numFmt w:val="lowerRoman"/>
      <w:lvlText w:val="%3."/>
      <w:lvlJc w:val="right"/>
      <w:pPr>
        <w:ind w:left="6567" w:hanging="180"/>
      </w:pPr>
    </w:lvl>
    <w:lvl w:ilvl="3" w:tplc="0809000F" w:tentative="1">
      <w:start w:val="1"/>
      <w:numFmt w:val="decimal"/>
      <w:lvlText w:val="%4."/>
      <w:lvlJc w:val="left"/>
      <w:pPr>
        <w:ind w:left="7287" w:hanging="360"/>
      </w:pPr>
    </w:lvl>
    <w:lvl w:ilvl="4" w:tplc="08090019" w:tentative="1">
      <w:start w:val="1"/>
      <w:numFmt w:val="lowerLetter"/>
      <w:lvlText w:val="%5."/>
      <w:lvlJc w:val="left"/>
      <w:pPr>
        <w:ind w:left="8007" w:hanging="360"/>
      </w:pPr>
    </w:lvl>
    <w:lvl w:ilvl="5" w:tplc="0809001B" w:tentative="1">
      <w:start w:val="1"/>
      <w:numFmt w:val="lowerRoman"/>
      <w:lvlText w:val="%6."/>
      <w:lvlJc w:val="right"/>
      <w:pPr>
        <w:ind w:left="8727" w:hanging="180"/>
      </w:pPr>
    </w:lvl>
    <w:lvl w:ilvl="6" w:tplc="0809000F" w:tentative="1">
      <w:start w:val="1"/>
      <w:numFmt w:val="decimal"/>
      <w:lvlText w:val="%7."/>
      <w:lvlJc w:val="left"/>
      <w:pPr>
        <w:ind w:left="9447" w:hanging="360"/>
      </w:pPr>
    </w:lvl>
    <w:lvl w:ilvl="7" w:tplc="08090019" w:tentative="1">
      <w:start w:val="1"/>
      <w:numFmt w:val="lowerLetter"/>
      <w:lvlText w:val="%8."/>
      <w:lvlJc w:val="left"/>
      <w:pPr>
        <w:ind w:left="10167" w:hanging="360"/>
      </w:pPr>
    </w:lvl>
    <w:lvl w:ilvl="8" w:tplc="0809001B" w:tentative="1">
      <w:start w:val="1"/>
      <w:numFmt w:val="lowerRoman"/>
      <w:lvlText w:val="%9."/>
      <w:lvlJc w:val="right"/>
      <w:pPr>
        <w:ind w:left="10887" w:hanging="180"/>
      </w:pPr>
    </w:lvl>
  </w:abstractNum>
  <w:abstractNum w:abstractNumId="30" w15:restartNumberingAfterBreak="0">
    <w:nsid w:val="54593082"/>
    <w:multiLevelType w:val="singleLevel"/>
    <w:tmpl w:val="EDE069AC"/>
    <w:name w:val="Default"/>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31" w15:restartNumberingAfterBreak="0">
    <w:nsid w:val="55DE60E9"/>
    <w:multiLevelType w:val="hybridMultilevel"/>
    <w:tmpl w:val="1084069A"/>
    <w:lvl w:ilvl="0" w:tplc="B532C018">
      <w:start w:val="2"/>
      <w:numFmt w:val="upperRoman"/>
      <w:pStyle w:val="Overskrift1"/>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568864DC"/>
    <w:multiLevelType w:val="singleLevel"/>
    <w:tmpl w:val="485EBDAC"/>
    <w:lvl w:ilvl="0">
      <w:start w:val="1"/>
      <w:numFmt w:val="bullet"/>
      <w:lvlRestart w:val="0"/>
      <w:pStyle w:val="Tiret4"/>
      <w:lvlText w:val="–"/>
      <w:lvlJc w:val="left"/>
      <w:pPr>
        <w:tabs>
          <w:tab w:val="num" w:pos="3118"/>
        </w:tabs>
        <w:ind w:left="3118" w:hanging="567"/>
      </w:pPr>
    </w:lvl>
  </w:abstractNum>
  <w:abstractNum w:abstractNumId="33" w15:restartNumberingAfterBreak="0">
    <w:nsid w:val="56890A73"/>
    <w:multiLevelType w:val="hybridMultilevel"/>
    <w:tmpl w:val="21088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9F0103B"/>
    <w:multiLevelType w:val="hybridMultilevel"/>
    <w:tmpl w:val="9E10363A"/>
    <w:lvl w:ilvl="0" w:tplc="1C5E9BF6">
      <w:start w:val="1"/>
      <w:numFmt w:val="decimal"/>
      <w:lvlText w:val="%1."/>
      <w:lvlJc w:val="left"/>
      <w:pPr>
        <w:tabs>
          <w:tab w:val="num" w:pos="284"/>
        </w:tabs>
        <w:ind w:left="284" w:hanging="284"/>
      </w:pPr>
      <w:rPr>
        <w:rFonts w:ascii="Georgia" w:hAnsi="Georgia" w:hint="default"/>
        <w:sz w:val="20"/>
      </w:rPr>
    </w:lvl>
    <w:lvl w:ilvl="1" w:tplc="D85CD5A2">
      <w:start w:val="1"/>
      <w:numFmt w:val="lowerLetter"/>
      <w:pStyle w:val="aStyle"/>
      <w:lvlText w:val="%2)"/>
      <w:lvlJc w:val="left"/>
      <w:pPr>
        <w:tabs>
          <w:tab w:val="num" w:pos="1440"/>
        </w:tabs>
        <w:ind w:left="1440" w:hanging="360"/>
      </w:pPr>
      <w:rPr>
        <w:rFonts w:hint="default"/>
        <w:color w:val="auto"/>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5" w15:restartNumberingAfterBreak="0">
    <w:nsid w:val="5F342530"/>
    <w:multiLevelType w:val="singleLevel"/>
    <w:tmpl w:val="D5444702"/>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36" w15:restartNumberingAfterBreak="0">
    <w:nsid w:val="5F9C40AA"/>
    <w:multiLevelType w:val="singleLevel"/>
    <w:tmpl w:val="B89CB5A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37" w15:restartNumberingAfterBreak="0">
    <w:nsid w:val="605735B9"/>
    <w:multiLevelType w:val="hybridMultilevel"/>
    <w:tmpl w:val="AD1C76E8"/>
    <w:lvl w:ilvl="0" w:tplc="6658B948">
      <w:start w:val="1"/>
      <w:numFmt w:val="decimal"/>
      <w:pStyle w:val="Overskrift5"/>
      <w:lvlText w:val="Q%1:"/>
      <w:lvlJc w:val="left"/>
      <w:pPr>
        <w:ind w:left="360" w:hanging="360"/>
      </w:pPr>
      <w:rPr>
        <w:rFonts w:hint="default"/>
        <w:b/>
        <w:i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2970F71"/>
    <w:multiLevelType w:val="singleLevel"/>
    <w:tmpl w:val="A8CADBFA"/>
    <w:name w:val="Bullet 0"/>
    <w:lvl w:ilvl="0">
      <w:start w:val="1"/>
      <w:numFmt w:val="bullet"/>
      <w:pStyle w:val="Nummerertliste"/>
      <w:lvlText w:val="–"/>
      <w:lvlJc w:val="left"/>
      <w:pPr>
        <w:tabs>
          <w:tab w:val="num" w:pos="1417"/>
        </w:tabs>
        <w:ind w:left="1417" w:hanging="567"/>
      </w:pPr>
    </w:lvl>
  </w:abstractNum>
  <w:abstractNum w:abstractNumId="39" w15:restartNumberingAfterBreak="0">
    <w:nsid w:val="66ED52AD"/>
    <w:multiLevelType w:val="hybridMultilevel"/>
    <w:tmpl w:val="0AE8CD54"/>
    <w:lvl w:ilvl="0" w:tplc="B186FD68">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92F0EC0"/>
    <w:multiLevelType w:val="multilevel"/>
    <w:tmpl w:val="51EEA844"/>
    <w:styleLink w:val="Formatvorlage1"/>
    <w:lvl w:ilvl="0">
      <w:start w:val="1"/>
      <w:numFmt w:val="bullet"/>
      <w:lvlText w:val=""/>
      <w:lvlJc w:val="left"/>
      <w:pPr>
        <w:tabs>
          <w:tab w:val="num" w:pos="360"/>
        </w:tabs>
        <w:ind w:left="360" w:hanging="360"/>
      </w:pPr>
      <w:rPr>
        <w:rFonts w:ascii="Symbol" w:hAnsi="Symbol" w:hint="default"/>
        <w:sz w:val="28"/>
        <w:szCs w:val="28"/>
      </w:rPr>
    </w:lvl>
    <w:lvl w:ilvl="1">
      <w:start w:val="1"/>
      <w:numFmt w:val="bullet"/>
      <w:lvlText w:val=""/>
      <w:lvlJc w:val="left"/>
      <w:pPr>
        <w:tabs>
          <w:tab w:val="num" w:pos="720"/>
        </w:tabs>
        <w:ind w:left="720" w:hanging="360"/>
      </w:pPr>
      <w:rPr>
        <w:rFonts w:ascii="Symbol" w:hAnsi="Symbol" w:hint="default"/>
        <w:sz w:val="28"/>
        <w:szCs w:val="24"/>
      </w:rPr>
    </w:lvl>
    <w:lvl w:ilvl="2">
      <w:start w:val="1"/>
      <w:numFmt w:val="bullet"/>
      <w:lvlText w:val=""/>
      <w:lvlJc w:val="left"/>
      <w:pPr>
        <w:tabs>
          <w:tab w:val="num" w:pos="1072"/>
        </w:tabs>
        <w:ind w:left="1072" w:hanging="358"/>
      </w:pPr>
      <w:rPr>
        <w:rFonts w:ascii="Symbol" w:hAnsi="Symbol" w:hint="default"/>
        <w:sz w:val="28"/>
        <w:szCs w:val="22"/>
      </w:rPr>
    </w:lvl>
    <w:lvl w:ilvl="3">
      <w:start w:val="1"/>
      <w:numFmt w:val="bullet"/>
      <w:lvlText w:val=""/>
      <w:lvlJc w:val="left"/>
      <w:pPr>
        <w:tabs>
          <w:tab w:val="num" w:pos="1429"/>
        </w:tabs>
        <w:ind w:left="1429" w:hanging="357"/>
      </w:pPr>
      <w:rPr>
        <w:rFonts w:ascii="Symbol" w:hAnsi="Symbol" w:hint="default"/>
        <w:sz w:val="28"/>
      </w:rPr>
    </w:lvl>
    <w:lvl w:ilvl="4">
      <w:start w:val="1"/>
      <w:numFmt w:val="bullet"/>
      <w:lvlText w:val=""/>
      <w:lvlJc w:val="left"/>
      <w:pPr>
        <w:tabs>
          <w:tab w:val="num" w:pos="1786"/>
        </w:tabs>
        <w:ind w:left="1786" w:hanging="357"/>
      </w:pPr>
      <w:rPr>
        <w:rFonts w:ascii="Symbol" w:hAnsi="Symbol" w:hint="default"/>
        <w:sz w:val="28"/>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1" w15:restartNumberingAfterBreak="0">
    <w:nsid w:val="6E271A2D"/>
    <w:multiLevelType w:val="multilevel"/>
    <w:tmpl w:val="7E924272"/>
    <w:lvl w:ilvl="0">
      <w:start w:val="2"/>
      <w:numFmt w:val="decimal"/>
      <w:pStyle w:val="CPTitle1"/>
      <w:lvlText w:val="%1."/>
      <w:lvlJc w:val="left"/>
      <w:pPr>
        <w:tabs>
          <w:tab w:val="num" w:pos="567"/>
        </w:tabs>
        <w:ind w:left="0" w:firstLine="0"/>
      </w:pPr>
      <w:rPr>
        <w:rFonts w:ascii="Arial" w:hAnsi="Arial" w:cs="Times New Roman" w:hint="default"/>
        <w:b/>
        <w:i w:val="0"/>
        <w:sz w:val="32"/>
      </w:rPr>
    </w:lvl>
    <w:lvl w:ilvl="1">
      <w:start w:val="1"/>
      <w:numFmt w:val="none"/>
      <w:lvlRestart w:val="0"/>
      <w:suff w:val="nothing"/>
      <w:lvlText w:val="%2"/>
      <w:lvlJc w:val="left"/>
      <w:pPr>
        <w:ind w:left="0" w:firstLine="0"/>
      </w:pPr>
    </w:lvl>
    <w:lvl w:ilvl="2">
      <w:start w:val="1"/>
      <w:numFmt w:val="decimal"/>
      <w:lvlRestart w:val="1"/>
      <w:pStyle w:val="CPTitle3"/>
      <w:lvlText w:val="%1.%3."/>
      <w:lvlJc w:val="left"/>
      <w:pPr>
        <w:tabs>
          <w:tab w:val="num" w:pos="567"/>
        </w:tabs>
        <w:ind w:left="0" w:firstLine="0"/>
      </w:pPr>
      <w:rPr>
        <w:rFonts w:ascii="Arial" w:hAnsi="Arial" w:cs="Times New Roman" w:hint="default"/>
        <w:b/>
        <w:i w:val="0"/>
        <w:sz w:val="28"/>
      </w:rPr>
    </w:lvl>
    <w:lvl w:ilvl="3">
      <w:start w:val="1"/>
      <w:numFmt w:val="none"/>
      <w:lvlRestart w:val="0"/>
      <w:pStyle w:val="CPTitle4"/>
      <w:suff w:val="nothing"/>
      <w:lvlText w:val=""/>
      <w:lvlJc w:val="left"/>
      <w:pPr>
        <w:ind w:left="0" w:firstLine="0"/>
      </w:pPr>
    </w:lvl>
    <w:lvl w:ilvl="4">
      <w:start w:val="1"/>
      <w:numFmt w:val="none"/>
      <w:lvlRestart w:val="0"/>
      <w:pStyle w:val="CPTitle5"/>
      <w:suff w:val="nothing"/>
      <w:lvlText w:val=""/>
      <w:lvlJc w:val="left"/>
      <w:pPr>
        <w:ind w:left="0" w:firstLine="0"/>
      </w:pPr>
    </w:lvl>
    <w:lvl w:ilvl="5">
      <w:start w:val="1"/>
      <w:numFmt w:val="none"/>
      <w:lvlRestart w:val="0"/>
      <w:pStyle w:val="CPTitle6"/>
      <w:suff w:val="nothing"/>
      <w:lvlText w:val=""/>
      <w:lvlJc w:val="left"/>
      <w:pPr>
        <w:ind w:left="0" w:firstLine="0"/>
      </w:pPr>
      <w:rPr>
        <w:rFonts w:ascii="Arial" w:hAnsi="Arial" w:cs="Times New Roman" w:hint="default"/>
        <w:sz w:val="22"/>
      </w:rPr>
    </w:lvl>
    <w:lvl w:ilvl="6">
      <w:start w:val="1"/>
      <w:numFmt w:val="decimal"/>
      <w:lvlRestart w:val="3"/>
      <w:pStyle w:val="CPNumPar"/>
      <w:lvlText w:val="%7."/>
      <w:lvlJc w:val="left"/>
      <w:pPr>
        <w:ind w:left="425" w:hanging="425"/>
      </w:pPr>
      <w:rPr>
        <w:rFonts w:ascii="Arial" w:hAnsi="Arial" w:cs="Times New Roman" w:hint="default"/>
        <w:sz w:val="22"/>
      </w:rPr>
    </w:lvl>
    <w:lvl w:ilvl="7">
      <w:start w:val="1"/>
      <w:numFmt w:val="lowerRoman"/>
      <w:pStyle w:val="CPisubtitles"/>
      <w:lvlText w:val="%8."/>
      <w:lvlJc w:val="left"/>
      <w:pPr>
        <w:ind w:left="851" w:hanging="426"/>
      </w:pPr>
      <w:rPr>
        <w:rFonts w:ascii="Arial" w:hAnsi="Arial" w:cs="Times New Roman" w:hint="default"/>
        <w:sz w:val="22"/>
      </w:rPr>
    </w:lvl>
    <w:lvl w:ilvl="8">
      <w:start w:val="1"/>
      <w:numFmt w:val="lowerLetter"/>
      <w:pStyle w:val="CPasubtitles"/>
      <w:lvlText w:val="%9."/>
      <w:lvlJc w:val="left"/>
      <w:pPr>
        <w:ind w:left="1276" w:hanging="425"/>
      </w:pPr>
      <w:rPr>
        <w:rFonts w:ascii="Arial" w:hAnsi="Arial" w:cs="Times New Roman" w:hint="default"/>
        <w:sz w:val="22"/>
      </w:rPr>
    </w:lvl>
  </w:abstractNum>
  <w:abstractNum w:abstractNumId="42" w15:restartNumberingAfterBreak="0">
    <w:nsid w:val="6E285623"/>
    <w:multiLevelType w:val="hybridMultilevel"/>
    <w:tmpl w:val="D6B6B45A"/>
    <w:lvl w:ilvl="0" w:tplc="5C48B45C">
      <w:start w:val="1"/>
      <w:numFmt w:val="decimal"/>
      <w:pStyle w:val="CPQuest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11167E2"/>
    <w:multiLevelType w:val="multilevel"/>
    <w:tmpl w:val="C3843A7A"/>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4" w15:restartNumberingAfterBreak="0">
    <w:nsid w:val="78D24FE2"/>
    <w:multiLevelType w:val="hybridMultilevel"/>
    <w:tmpl w:val="8DCC5F14"/>
    <w:lvl w:ilvl="0" w:tplc="0C0A000F">
      <w:start w:val="1"/>
      <w:numFmt w:val="decimal"/>
      <w:pStyle w:val="Tiret1"/>
      <w:lvlText w:val="%1."/>
      <w:lvlJc w:val="left"/>
      <w:pPr>
        <w:ind w:left="1776" w:hanging="360"/>
      </w:pPr>
    </w:lvl>
    <w:lvl w:ilvl="1" w:tplc="0C0A0019">
      <w:start w:val="1"/>
      <w:numFmt w:val="lowerLetter"/>
      <w:lvlText w:val="%2."/>
      <w:lvlJc w:val="left"/>
      <w:pPr>
        <w:ind w:left="2496" w:hanging="360"/>
      </w:pPr>
    </w:lvl>
    <w:lvl w:ilvl="2" w:tplc="0C0A001B">
      <w:start w:val="1"/>
      <w:numFmt w:val="lowerRoman"/>
      <w:lvlText w:val="%3."/>
      <w:lvlJc w:val="right"/>
      <w:pPr>
        <w:ind w:left="3216" w:hanging="180"/>
      </w:pPr>
    </w:lvl>
    <w:lvl w:ilvl="3" w:tplc="0C0A000F">
      <w:start w:val="1"/>
      <w:numFmt w:val="decimal"/>
      <w:lvlText w:val="%4."/>
      <w:lvlJc w:val="left"/>
      <w:pPr>
        <w:ind w:left="3936" w:hanging="360"/>
      </w:pPr>
    </w:lvl>
    <w:lvl w:ilvl="4" w:tplc="0C0A0019">
      <w:start w:val="1"/>
      <w:numFmt w:val="lowerLetter"/>
      <w:lvlText w:val="%5."/>
      <w:lvlJc w:val="left"/>
      <w:pPr>
        <w:ind w:left="4656" w:hanging="360"/>
      </w:pPr>
    </w:lvl>
    <w:lvl w:ilvl="5" w:tplc="0C0A001B">
      <w:start w:val="1"/>
      <w:numFmt w:val="lowerRoman"/>
      <w:lvlText w:val="%6."/>
      <w:lvlJc w:val="right"/>
      <w:pPr>
        <w:ind w:left="5376" w:hanging="180"/>
      </w:pPr>
    </w:lvl>
    <w:lvl w:ilvl="6" w:tplc="0C0A000F">
      <w:start w:val="1"/>
      <w:numFmt w:val="decimal"/>
      <w:lvlText w:val="%7."/>
      <w:lvlJc w:val="left"/>
      <w:pPr>
        <w:ind w:left="6096" w:hanging="360"/>
      </w:pPr>
    </w:lvl>
    <w:lvl w:ilvl="7" w:tplc="0C0A0019">
      <w:start w:val="1"/>
      <w:numFmt w:val="lowerLetter"/>
      <w:lvlText w:val="%8."/>
      <w:lvlJc w:val="left"/>
      <w:pPr>
        <w:ind w:left="6816" w:hanging="360"/>
      </w:pPr>
    </w:lvl>
    <w:lvl w:ilvl="8" w:tplc="0C0A001B">
      <w:start w:val="1"/>
      <w:numFmt w:val="lowerRoman"/>
      <w:lvlText w:val="%9."/>
      <w:lvlJc w:val="right"/>
      <w:pPr>
        <w:ind w:left="7536" w:hanging="180"/>
      </w:pPr>
    </w:lvl>
  </w:abstractNum>
  <w:abstractNum w:abstractNumId="45" w15:restartNumberingAfterBreak="0">
    <w:nsid w:val="7BE95D7F"/>
    <w:multiLevelType w:val="multilevel"/>
    <w:tmpl w:val="F126F780"/>
    <w:lvl w:ilvl="0">
      <w:start w:val="1"/>
      <w:numFmt w:val="decimal"/>
      <w:lvlRestart w:val="0"/>
      <w:pStyle w:val="Point0number"/>
      <w:lvlText w:val="(%1)"/>
      <w:lvlJc w:val="left"/>
      <w:pPr>
        <w:tabs>
          <w:tab w:val="num" w:pos="850"/>
        </w:tabs>
        <w:ind w:left="850" w:hanging="850"/>
      </w:pPr>
      <w:rPr>
        <w:rFonts w:cs="Times New Roman"/>
      </w:rPr>
    </w:lvl>
    <w:lvl w:ilvl="1">
      <w:start w:val="1"/>
      <w:numFmt w:val="lowerLetter"/>
      <w:pStyle w:val="Point0letter"/>
      <w:lvlText w:val="(%2)"/>
      <w:lvlJc w:val="left"/>
      <w:pPr>
        <w:tabs>
          <w:tab w:val="num" w:pos="850"/>
        </w:tabs>
        <w:ind w:left="850" w:hanging="850"/>
      </w:pPr>
      <w:rPr>
        <w:rFonts w:cs="Times New Roman"/>
      </w:rPr>
    </w:lvl>
    <w:lvl w:ilvl="2">
      <w:start w:val="1"/>
      <w:numFmt w:val="decimal"/>
      <w:pStyle w:val="Point1number"/>
      <w:lvlText w:val="(%3)"/>
      <w:lvlJc w:val="left"/>
      <w:pPr>
        <w:tabs>
          <w:tab w:val="num" w:pos="1417"/>
        </w:tabs>
        <w:ind w:left="1417" w:hanging="567"/>
      </w:pPr>
      <w:rPr>
        <w:rFonts w:cs="Times New Roman"/>
      </w:rPr>
    </w:lvl>
    <w:lvl w:ilvl="3">
      <w:start w:val="1"/>
      <w:numFmt w:val="lowerLetter"/>
      <w:pStyle w:val="Point1letter"/>
      <w:lvlText w:val="(%4)"/>
      <w:lvlJc w:val="left"/>
      <w:pPr>
        <w:tabs>
          <w:tab w:val="num" w:pos="1417"/>
        </w:tabs>
        <w:ind w:left="1417" w:hanging="567"/>
      </w:pPr>
      <w:rPr>
        <w:rFonts w:cs="Times New Roman"/>
      </w:rPr>
    </w:lvl>
    <w:lvl w:ilvl="4">
      <w:start w:val="1"/>
      <w:numFmt w:val="decimal"/>
      <w:pStyle w:val="Point2number"/>
      <w:lvlText w:val="(%5)"/>
      <w:lvlJc w:val="left"/>
      <w:pPr>
        <w:tabs>
          <w:tab w:val="num" w:pos="1984"/>
        </w:tabs>
        <w:ind w:left="1984" w:hanging="567"/>
      </w:pPr>
      <w:rPr>
        <w:rFonts w:cs="Times New Roman"/>
      </w:rPr>
    </w:lvl>
    <w:lvl w:ilvl="5">
      <w:start w:val="1"/>
      <w:numFmt w:val="lowerLetter"/>
      <w:pStyle w:val="Point2letter"/>
      <w:lvlText w:val="(%6)"/>
      <w:lvlJc w:val="left"/>
      <w:pPr>
        <w:tabs>
          <w:tab w:val="num" w:pos="1984"/>
        </w:tabs>
        <w:ind w:left="1984" w:hanging="567"/>
      </w:pPr>
      <w:rPr>
        <w:rFonts w:cs="Times New Roman"/>
      </w:rPr>
    </w:lvl>
    <w:lvl w:ilvl="6">
      <w:start w:val="1"/>
      <w:numFmt w:val="decimal"/>
      <w:pStyle w:val="Point3number"/>
      <w:lvlText w:val="(%7)"/>
      <w:lvlJc w:val="left"/>
      <w:pPr>
        <w:tabs>
          <w:tab w:val="num" w:pos="2551"/>
        </w:tabs>
        <w:ind w:left="2551" w:hanging="567"/>
      </w:pPr>
      <w:rPr>
        <w:rFonts w:cs="Times New Roman"/>
      </w:rPr>
    </w:lvl>
    <w:lvl w:ilvl="7">
      <w:start w:val="1"/>
      <w:numFmt w:val="lowerLetter"/>
      <w:pStyle w:val="Point3letter"/>
      <w:lvlText w:val="(%8)"/>
      <w:lvlJc w:val="left"/>
      <w:pPr>
        <w:tabs>
          <w:tab w:val="num" w:pos="2551"/>
        </w:tabs>
        <w:ind w:left="2551" w:hanging="567"/>
      </w:pPr>
      <w:rPr>
        <w:rFonts w:cs="Times New Roman"/>
      </w:rPr>
    </w:lvl>
    <w:lvl w:ilvl="8">
      <w:start w:val="1"/>
      <w:numFmt w:val="lowerLetter"/>
      <w:pStyle w:val="Point4letter"/>
      <w:lvlText w:val="(%9)"/>
      <w:lvlJc w:val="left"/>
      <w:pPr>
        <w:tabs>
          <w:tab w:val="num" w:pos="3118"/>
        </w:tabs>
        <w:ind w:left="3118" w:hanging="567"/>
      </w:pPr>
      <w:rPr>
        <w:rFonts w:cs="Times New Roman"/>
      </w:rPr>
    </w:lvl>
  </w:abstractNum>
  <w:num w:numId="1">
    <w:abstractNumId w:val="18"/>
  </w:num>
  <w:num w:numId="2">
    <w:abstractNumId w:val="21"/>
  </w:num>
  <w:num w:numId="3">
    <w:abstractNumId w:val="13"/>
  </w:num>
  <w:num w:numId="4">
    <w:abstractNumId w:val="28"/>
  </w:num>
  <w:num w:numId="5">
    <w:abstractNumId w:val="31"/>
  </w:num>
  <w:num w:numId="6">
    <w:abstractNumId w:val="0"/>
  </w:num>
  <w:num w:numId="7">
    <w:abstractNumId w:val="3"/>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8"/>
  </w:num>
  <w:num w:numId="1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4"/>
  </w:num>
  <w:num w:numId="13">
    <w:abstractNumId w:val="37"/>
  </w:num>
  <w:num w:numId="14">
    <w:abstractNumId w:val="25"/>
  </w:num>
  <w:num w:numId="15">
    <w:abstractNumId w:val="9"/>
  </w:num>
  <w:num w:numId="16">
    <w:abstractNumId w:val="1"/>
  </w:num>
  <w:num w:numId="17">
    <w:abstractNumId w:val="16"/>
  </w:num>
  <w:num w:numId="18">
    <w:abstractNumId w:val="17"/>
  </w:num>
  <w:num w:numId="19">
    <w:abstractNumId w:val="19"/>
  </w:num>
  <w:num w:numId="20">
    <w:abstractNumId w:val="32"/>
  </w:num>
  <w:num w:numId="21">
    <w:abstractNumId w:val="43"/>
  </w:num>
  <w:num w:numId="22">
    <w:abstractNumId w:val="30"/>
  </w:num>
  <w:num w:numId="23">
    <w:abstractNumId w:val="8"/>
  </w:num>
  <w:num w:numId="24">
    <w:abstractNumId w:val="36"/>
  </w:num>
  <w:num w:numId="25">
    <w:abstractNumId w:val="35"/>
  </w:num>
  <w:num w:numId="26">
    <w:abstractNumId w:val="22"/>
  </w:num>
  <w:num w:numId="27">
    <w:abstractNumId w:val="40"/>
  </w:num>
  <w:num w:numId="28">
    <w:abstractNumId w:val="45"/>
  </w:num>
  <w:num w:numId="29">
    <w:abstractNumId w:val="5"/>
  </w:num>
  <w:num w:numId="30">
    <w:abstractNumId w:val="2"/>
  </w:num>
  <w:num w:numId="31">
    <w:abstractNumId w:val="24"/>
  </w:num>
  <w:num w:numId="32">
    <w:abstractNumId w:val="23"/>
  </w:num>
  <w:num w:numId="33">
    <w:abstractNumId w:val="42"/>
  </w:num>
  <w:num w:numId="34">
    <w:abstractNumId w:val="41"/>
  </w:num>
  <w:num w:numId="35">
    <w:abstractNumId w:val="10"/>
  </w:num>
  <w:num w:numId="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num>
  <w:num w:numId="38">
    <w:abstractNumId w:val="26"/>
  </w:num>
  <w:num w:numId="39">
    <w:abstractNumId w:val="14"/>
  </w:num>
  <w:num w:numId="40">
    <w:abstractNumId w:val="11"/>
  </w:num>
  <w:num w:numId="41">
    <w:abstractNumId w:val="20"/>
  </w:num>
  <w:num w:numId="42">
    <w:abstractNumId w:val="39"/>
  </w:num>
  <w:num w:numId="43">
    <w:abstractNumId w:val="29"/>
  </w:num>
  <w:num w:numId="44">
    <w:abstractNumId w:val="29"/>
    <w:lvlOverride w:ilvl="0">
      <w:startOverride w:val="1"/>
    </w:lvlOverride>
  </w:num>
  <w:num w:numId="45">
    <w:abstractNumId w:val="27"/>
  </w:num>
  <w:num w:numId="46">
    <w:abstractNumId w:val="7"/>
  </w:num>
  <w:num w:numId="47">
    <w:abstractNumId w:val="3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hideGrammaticalErrors/>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ocumentProtection w:edit="readOnly" w:enforcement="1" w:cryptProviderType="rsaAES" w:cryptAlgorithmClass="hash" w:cryptAlgorithmType="typeAny" w:cryptAlgorithmSid="14" w:cryptSpinCount="100000" w:hash="diXcY7mbD7rvWFKdyhkvXS/dtTcp+H5pYs/EeAGNvbKqclbsT1azzyTViuMg9RN3B62FyFWQJCfaHV9g/Q/lKw==" w:salt="QhUBWA0QzS6Vr4vkFs1LcA=="/>
  <w:defaultTabStop w:val="709"/>
  <w:autoHyphenation/>
  <w:hyphenationZone w:val="567"/>
  <w:characterSpacingControl w:val="doNotCompress"/>
  <w:hdrShapeDefaults>
    <o:shapedefaults v:ext="edit" spidmax="28673">
      <o:colormru v:ext="edit" colors="#2d4491,#283583"/>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370"/>
    <w:rsid w:val="000006AD"/>
    <w:rsid w:val="00001490"/>
    <w:rsid w:val="00002232"/>
    <w:rsid w:val="00002491"/>
    <w:rsid w:val="00002CB1"/>
    <w:rsid w:val="0000378E"/>
    <w:rsid w:val="00003AEB"/>
    <w:rsid w:val="00005BBA"/>
    <w:rsid w:val="00005D8C"/>
    <w:rsid w:val="00006C2B"/>
    <w:rsid w:val="00007014"/>
    <w:rsid w:val="00007968"/>
    <w:rsid w:val="0001067A"/>
    <w:rsid w:val="000122DF"/>
    <w:rsid w:val="00013CCE"/>
    <w:rsid w:val="000140D5"/>
    <w:rsid w:val="0001410B"/>
    <w:rsid w:val="000141D6"/>
    <w:rsid w:val="00014A95"/>
    <w:rsid w:val="00015B5E"/>
    <w:rsid w:val="00015F1D"/>
    <w:rsid w:val="00016F8F"/>
    <w:rsid w:val="0001774B"/>
    <w:rsid w:val="00020D0F"/>
    <w:rsid w:val="000215EB"/>
    <w:rsid w:val="00021E83"/>
    <w:rsid w:val="00023713"/>
    <w:rsid w:val="00023C4D"/>
    <w:rsid w:val="00025E71"/>
    <w:rsid w:val="00026035"/>
    <w:rsid w:val="00026269"/>
    <w:rsid w:val="00027154"/>
    <w:rsid w:val="00027ECF"/>
    <w:rsid w:val="000303BE"/>
    <w:rsid w:val="000321C9"/>
    <w:rsid w:val="000344D6"/>
    <w:rsid w:val="00034960"/>
    <w:rsid w:val="00036FAE"/>
    <w:rsid w:val="00041858"/>
    <w:rsid w:val="0004389E"/>
    <w:rsid w:val="000439D8"/>
    <w:rsid w:val="000463A6"/>
    <w:rsid w:val="00046CC9"/>
    <w:rsid w:val="00046E91"/>
    <w:rsid w:val="000502FE"/>
    <w:rsid w:val="0005126D"/>
    <w:rsid w:val="00051992"/>
    <w:rsid w:val="00051DFE"/>
    <w:rsid w:val="00051E9A"/>
    <w:rsid w:val="000521A7"/>
    <w:rsid w:val="00052F47"/>
    <w:rsid w:val="0005399B"/>
    <w:rsid w:val="00054DE6"/>
    <w:rsid w:val="000569D7"/>
    <w:rsid w:val="000576D7"/>
    <w:rsid w:val="00060F72"/>
    <w:rsid w:val="00062592"/>
    <w:rsid w:val="000636A1"/>
    <w:rsid w:val="000649D9"/>
    <w:rsid w:val="000652BE"/>
    <w:rsid w:val="00066479"/>
    <w:rsid w:val="00066F6B"/>
    <w:rsid w:val="0006723C"/>
    <w:rsid w:val="00070376"/>
    <w:rsid w:val="00070974"/>
    <w:rsid w:val="00071EAD"/>
    <w:rsid w:val="00071F4E"/>
    <w:rsid w:val="00072271"/>
    <w:rsid w:val="00072B54"/>
    <w:rsid w:val="000744C3"/>
    <w:rsid w:val="0007463D"/>
    <w:rsid w:val="000749F0"/>
    <w:rsid w:val="0007609D"/>
    <w:rsid w:val="00077C67"/>
    <w:rsid w:val="00080976"/>
    <w:rsid w:val="00081148"/>
    <w:rsid w:val="00081CEB"/>
    <w:rsid w:val="00081E60"/>
    <w:rsid w:val="00082626"/>
    <w:rsid w:val="00082D8E"/>
    <w:rsid w:val="00082E31"/>
    <w:rsid w:val="00083AA3"/>
    <w:rsid w:val="00085947"/>
    <w:rsid w:val="000868FE"/>
    <w:rsid w:val="000878D1"/>
    <w:rsid w:val="000921AE"/>
    <w:rsid w:val="000921D7"/>
    <w:rsid w:val="000925FF"/>
    <w:rsid w:val="000932E0"/>
    <w:rsid w:val="00094C4C"/>
    <w:rsid w:val="00096762"/>
    <w:rsid w:val="000969C8"/>
    <w:rsid w:val="0009752D"/>
    <w:rsid w:val="00097AEE"/>
    <w:rsid w:val="000A014A"/>
    <w:rsid w:val="000A04B6"/>
    <w:rsid w:val="000A0E36"/>
    <w:rsid w:val="000A1BD2"/>
    <w:rsid w:val="000A2127"/>
    <w:rsid w:val="000A358F"/>
    <w:rsid w:val="000A43CC"/>
    <w:rsid w:val="000A58BE"/>
    <w:rsid w:val="000A7314"/>
    <w:rsid w:val="000A7B53"/>
    <w:rsid w:val="000A7B64"/>
    <w:rsid w:val="000A7D5F"/>
    <w:rsid w:val="000B145F"/>
    <w:rsid w:val="000B275C"/>
    <w:rsid w:val="000B2C3D"/>
    <w:rsid w:val="000B55C0"/>
    <w:rsid w:val="000B5DF2"/>
    <w:rsid w:val="000C06C9"/>
    <w:rsid w:val="000C080B"/>
    <w:rsid w:val="000C1DCC"/>
    <w:rsid w:val="000C1FBC"/>
    <w:rsid w:val="000C2B6A"/>
    <w:rsid w:val="000C2F88"/>
    <w:rsid w:val="000C4E82"/>
    <w:rsid w:val="000C55C8"/>
    <w:rsid w:val="000C57C4"/>
    <w:rsid w:val="000C5FD3"/>
    <w:rsid w:val="000C701D"/>
    <w:rsid w:val="000C7C4A"/>
    <w:rsid w:val="000D17AA"/>
    <w:rsid w:val="000D2D0B"/>
    <w:rsid w:val="000D340A"/>
    <w:rsid w:val="000D4660"/>
    <w:rsid w:val="000D5D1A"/>
    <w:rsid w:val="000D705D"/>
    <w:rsid w:val="000D7EB9"/>
    <w:rsid w:val="000E0223"/>
    <w:rsid w:val="000E0CF3"/>
    <w:rsid w:val="000E18A8"/>
    <w:rsid w:val="000E1AEC"/>
    <w:rsid w:val="000E3937"/>
    <w:rsid w:val="000E4926"/>
    <w:rsid w:val="000E5F7F"/>
    <w:rsid w:val="000E667A"/>
    <w:rsid w:val="000E7086"/>
    <w:rsid w:val="000E7C65"/>
    <w:rsid w:val="000F04D2"/>
    <w:rsid w:val="000F55B7"/>
    <w:rsid w:val="000F604F"/>
    <w:rsid w:val="000F7399"/>
    <w:rsid w:val="001027F1"/>
    <w:rsid w:val="00104F2E"/>
    <w:rsid w:val="001072DD"/>
    <w:rsid w:val="00110D7A"/>
    <w:rsid w:val="00111464"/>
    <w:rsid w:val="0011167D"/>
    <w:rsid w:val="00112892"/>
    <w:rsid w:val="00112E48"/>
    <w:rsid w:val="001130EA"/>
    <w:rsid w:val="00114259"/>
    <w:rsid w:val="001148DD"/>
    <w:rsid w:val="001168B2"/>
    <w:rsid w:val="00117C20"/>
    <w:rsid w:val="00120F0E"/>
    <w:rsid w:val="00121BED"/>
    <w:rsid w:val="00123D39"/>
    <w:rsid w:val="001244CD"/>
    <w:rsid w:val="0012566F"/>
    <w:rsid w:val="001262B1"/>
    <w:rsid w:val="00130F41"/>
    <w:rsid w:val="00130FAF"/>
    <w:rsid w:val="00135F2B"/>
    <w:rsid w:val="001372DD"/>
    <w:rsid w:val="00140447"/>
    <w:rsid w:val="001405BA"/>
    <w:rsid w:val="00141497"/>
    <w:rsid w:val="0014253A"/>
    <w:rsid w:val="001425C8"/>
    <w:rsid w:val="001431AE"/>
    <w:rsid w:val="00143B87"/>
    <w:rsid w:val="001459E3"/>
    <w:rsid w:val="00146497"/>
    <w:rsid w:val="00146A0B"/>
    <w:rsid w:val="0014761E"/>
    <w:rsid w:val="00151907"/>
    <w:rsid w:val="001544C8"/>
    <w:rsid w:val="00155FAB"/>
    <w:rsid w:val="001567A1"/>
    <w:rsid w:val="00156857"/>
    <w:rsid w:val="00157E79"/>
    <w:rsid w:val="00157EED"/>
    <w:rsid w:val="0016087A"/>
    <w:rsid w:val="00160A5C"/>
    <w:rsid w:val="001613EC"/>
    <w:rsid w:val="001632FF"/>
    <w:rsid w:val="0016358A"/>
    <w:rsid w:val="001638D4"/>
    <w:rsid w:val="00164664"/>
    <w:rsid w:val="00164F15"/>
    <w:rsid w:val="001651A4"/>
    <w:rsid w:val="0016552B"/>
    <w:rsid w:val="00166B04"/>
    <w:rsid w:val="001670A6"/>
    <w:rsid w:val="001701FA"/>
    <w:rsid w:val="001707B9"/>
    <w:rsid w:val="00170D44"/>
    <w:rsid w:val="00171183"/>
    <w:rsid w:val="001725A5"/>
    <w:rsid w:val="00172681"/>
    <w:rsid w:val="00173AC7"/>
    <w:rsid w:val="001745D7"/>
    <w:rsid w:val="00175754"/>
    <w:rsid w:val="00176982"/>
    <w:rsid w:val="0017701C"/>
    <w:rsid w:val="00181264"/>
    <w:rsid w:val="001817D7"/>
    <w:rsid w:val="00181BD1"/>
    <w:rsid w:val="0018204A"/>
    <w:rsid w:val="00182AFE"/>
    <w:rsid w:val="00182F7C"/>
    <w:rsid w:val="001843B5"/>
    <w:rsid w:val="00186829"/>
    <w:rsid w:val="001868CA"/>
    <w:rsid w:val="00187304"/>
    <w:rsid w:val="001875BE"/>
    <w:rsid w:val="0019017A"/>
    <w:rsid w:val="00190B8C"/>
    <w:rsid w:val="00190FF8"/>
    <w:rsid w:val="0019311A"/>
    <w:rsid w:val="0019508A"/>
    <w:rsid w:val="00195BFF"/>
    <w:rsid w:val="001960D8"/>
    <w:rsid w:val="00197794"/>
    <w:rsid w:val="001A1642"/>
    <w:rsid w:val="001A371B"/>
    <w:rsid w:val="001A4766"/>
    <w:rsid w:val="001A5E5C"/>
    <w:rsid w:val="001A6A0D"/>
    <w:rsid w:val="001A6C51"/>
    <w:rsid w:val="001A6FAA"/>
    <w:rsid w:val="001A7D73"/>
    <w:rsid w:val="001B0363"/>
    <w:rsid w:val="001B1355"/>
    <w:rsid w:val="001B3138"/>
    <w:rsid w:val="001B38DE"/>
    <w:rsid w:val="001B4E4B"/>
    <w:rsid w:val="001B50AC"/>
    <w:rsid w:val="001B55FB"/>
    <w:rsid w:val="001B5E05"/>
    <w:rsid w:val="001B6D68"/>
    <w:rsid w:val="001B6F2E"/>
    <w:rsid w:val="001C0344"/>
    <w:rsid w:val="001C0F2A"/>
    <w:rsid w:val="001C16BA"/>
    <w:rsid w:val="001C1A59"/>
    <w:rsid w:val="001C270F"/>
    <w:rsid w:val="001C4679"/>
    <w:rsid w:val="001C5770"/>
    <w:rsid w:val="001C6195"/>
    <w:rsid w:val="001C6363"/>
    <w:rsid w:val="001D000A"/>
    <w:rsid w:val="001D0883"/>
    <w:rsid w:val="001D2205"/>
    <w:rsid w:val="001D3A1F"/>
    <w:rsid w:val="001D3FB6"/>
    <w:rsid w:val="001D4550"/>
    <w:rsid w:val="001D5360"/>
    <w:rsid w:val="001D5498"/>
    <w:rsid w:val="001D5BAF"/>
    <w:rsid w:val="001D6401"/>
    <w:rsid w:val="001D66C9"/>
    <w:rsid w:val="001D722A"/>
    <w:rsid w:val="001E04FC"/>
    <w:rsid w:val="001E407D"/>
    <w:rsid w:val="001E40FB"/>
    <w:rsid w:val="001E66EC"/>
    <w:rsid w:val="001E68C5"/>
    <w:rsid w:val="001F0F63"/>
    <w:rsid w:val="001F3996"/>
    <w:rsid w:val="001F44A4"/>
    <w:rsid w:val="001F579D"/>
    <w:rsid w:val="001F65EF"/>
    <w:rsid w:val="001F697B"/>
    <w:rsid w:val="002005A6"/>
    <w:rsid w:val="002035ED"/>
    <w:rsid w:val="00204CBC"/>
    <w:rsid w:val="002051F1"/>
    <w:rsid w:val="002058AD"/>
    <w:rsid w:val="002067BA"/>
    <w:rsid w:val="00207028"/>
    <w:rsid w:val="0021058D"/>
    <w:rsid w:val="00210E59"/>
    <w:rsid w:val="00211E2F"/>
    <w:rsid w:val="00211E9E"/>
    <w:rsid w:val="00214FB4"/>
    <w:rsid w:val="00215940"/>
    <w:rsid w:val="00217C23"/>
    <w:rsid w:val="00220561"/>
    <w:rsid w:val="00220CE4"/>
    <w:rsid w:val="00222D9B"/>
    <w:rsid w:val="00223788"/>
    <w:rsid w:val="00223D11"/>
    <w:rsid w:val="002242D3"/>
    <w:rsid w:val="002301E6"/>
    <w:rsid w:val="00232F90"/>
    <w:rsid w:val="00233B08"/>
    <w:rsid w:val="00233C3B"/>
    <w:rsid w:val="0023499C"/>
    <w:rsid w:val="00235CE3"/>
    <w:rsid w:val="0023636A"/>
    <w:rsid w:val="00236F34"/>
    <w:rsid w:val="002372F7"/>
    <w:rsid w:val="00240651"/>
    <w:rsid w:val="00240803"/>
    <w:rsid w:val="0024426D"/>
    <w:rsid w:val="00244F1D"/>
    <w:rsid w:val="00245004"/>
    <w:rsid w:val="00245FB4"/>
    <w:rsid w:val="00250898"/>
    <w:rsid w:val="00251EA9"/>
    <w:rsid w:val="00252843"/>
    <w:rsid w:val="002543F8"/>
    <w:rsid w:val="002551A4"/>
    <w:rsid w:val="002559F3"/>
    <w:rsid w:val="00256DFE"/>
    <w:rsid w:val="00261D56"/>
    <w:rsid w:val="00261FD3"/>
    <w:rsid w:val="00264077"/>
    <w:rsid w:val="00266B9A"/>
    <w:rsid w:val="00270E54"/>
    <w:rsid w:val="00273681"/>
    <w:rsid w:val="002754B5"/>
    <w:rsid w:val="002764C5"/>
    <w:rsid w:val="002772AE"/>
    <w:rsid w:val="00280613"/>
    <w:rsid w:val="0028274D"/>
    <w:rsid w:val="00282B96"/>
    <w:rsid w:val="00282DFB"/>
    <w:rsid w:val="002833D6"/>
    <w:rsid w:val="00283F51"/>
    <w:rsid w:val="00286064"/>
    <w:rsid w:val="002867B1"/>
    <w:rsid w:val="00287BBB"/>
    <w:rsid w:val="00287E3B"/>
    <w:rsid w:val="00290638"/>
    <w:rsid w:val="00291763"/>
    <w:rsid w:val="00291D80"/>
    <w:rsid w:val="00293156"/>
    <w:rsid w:val="00293BE7"/>
    <w:rsid w:val="002946DC"/>
    <w:rsid w:val="00295833"/>
    <w:rsid w:val="00296005"/>
    <w:rsid w:val="002A0C82"/>
    <w:rsid w:val="002A0CD8"/>
    <w:rsid w:val="002A13EB"/>
    <w:rsid w:val="002A35EF"/>
    <w:rsid w:val="002A3DE0"/>
    <w:rsid w:val="002A40EA"/>
    <w:rsid w:val="002A46E8"/>
    <w:rsid w:val="002A491C"/>
    <w:rsid w:val="002A6DF4"/>
    <w:rsid w:val="002B0B1F"/>
    <w:rsid w:val="002B1FEF"/>
    <w:rsid w:val="002B2DF8"/>
    <w:rsid w:val="002B354F"/>
    <w:rsid w:val="002B3614"/>
    <w:rsid w:val="002B45D1"/>
    <w:rsid w:val="002B4ED8"/>
    <w:rsid w:val="002B4FAA"/>
    <w:rsid w:val="002B52C2"/>
    <w:rsid w:val="002B7656"/>
    <w:rsid w:val="002C1492"/>
    <w:rsid w:val="002C19D3"/>
    <w:rsid w:val="002C1E8B"/>
    <w:rsid w:val="002C2EFE"/>
    <w:rsid w:val="002C53AA"/>
    <w:rsid w:val="002C5B2D"/>
    <w:rsid w:val="002C6AF9"/>
    <w:rsid w:val="002C7DFC"/>
    <w:rsid w:val="002D14F3"/>
    <w:rsid w:val="002D16E4"/>
    <w:rsid w:val="002D2FEF"/>
    <w:rsid w:val="002D36C2"/>
    <w:rsid w:val="002D3FCB"/>
    <w:rsid w:val="002D4FEF"/>
    <w:rsid w:val="002D502D"/>
    <w:rsid w:val="002D5D0A"/>
    <w:rsid w:val="002D63F5"/>
    <w:rsid w:val="002D6E1A"/>
    <w:rsid w:val="002E036D"/>
    <w:rsid w:val="002E1517"/>
    <w:rsid w:val="002E1B22"/>
    <w:rsid w:val="002E30BB"/>
    <w:rsid w:val="002E387F"/>
    <w:rsid w:val="002E4F86"/>
    <w:rsid w:val="002E7113"/>
    <w:rsid w:val="002E7F4B"/>
    <w:rsid w:val="002E7FB3"/>
    <w:rsid w:val="002F0C91"/>
    <w:rsid w:val="002F0E3E"/>
    <w:rsid w:val="002F1B19"/>
    <w:rsid w:val="002F1FBF"/>
    <w:rsid w:val="002F4139"/>
    <w:rsid w:val="00300624"/>
    <w:rsid w:val="00300F56"/>
    <w:rsid w:val="00301006"/>
    <w:rsid w:val="0030214D"/>
    <w:rsid w:val="00303565"/>
    <w:rsid w:val="00304A71"/>
    <w:rsid w:val="003066C8"/>
    <w:rsid w:val="0030739D"/>
    <w:rsid w:val="00307AFB"/>
    <w:rsid w:val="00311184"/>
    <w:rsid w:val="00312675"/>
    <w:rsid w:val="00314013"/>
    <w:rsid w:val="00314945"/>
    <w:rsid w:val="00315389"/>
    <w:rsid w:val="00315746"/>
    <w:rsid w:val="00315895"/>
    <w:rsid w:val="00315E96"/>
    <w:rsid w:val="00317FC8"/>
    <w:rsid w:val="00320B9B"/>
    <w:rsid w:val="003223D7"/>
    <w:rsid w:val="00323D9F"/>
    <w:rsid w:val="00324011"/>
    <w:rsid w:val="00324FDB"/>
    <w:rsid w:val="00325F48"/>
    <w:rsid w:val="003273FE"/>
    <w:rsid w:val="00327AAC"/>
    <w:rsid w:val="0033194F"/>
    <w:rsid w:val="00332304"/>
    <w:rsid w:val="00332406"/>
    <w:rsid w:val="00332D8D"/>
    <w:rsid w:val="00336420"/>
    <w:rsid w:val="00336B56"/>
    <w:rsid w:val="00337A3F"/>
    <w:rsid w:val="00341B25"/>
    <w:rsid w:val="00341EC0"/>
    <w:rsid w:val="0034240C"/>
    <w:rsid w:val="00344496"/>
    <w:rsid w:val="00345968"/>
    <w:rsid w:val="00347667"/>
    <w:rsid w:val="003507E2"/>
    <w:rsid w:val="003522B2"/>
    <w:rsid w:val="0035455E"/>
    <w:rsid w:val="00354A6F"/>
    <w:rsid w:val="00354B48"/>
    <w:rsid w:val="00355789"/>
    <w:rsid w:val="003557F4"/>
    <w:rsid w:val="00357C60"/>
    <w:rsid w:val="003609B6"/>
    <w:rsid w:val="00361119"/>
    <w:rsid w:val="0036538D"/>
    <w:rsid w:val="00365D12"/>
    <w:rsid w:val="0037018D"/>
    <w:rsid w:val="00372299"/>
    <w:rsid w:val="00372F02"/>
    <w:rsid w:val="00373729"/>
    <w:rsid w:val="00373C91"/>
    <w:rsid w:val="003748F0"/>
    <w:rsid w:val="003755C6"/>
    <w:rsid w:val="00375AEF"/>
    <w:rsid w:val="00376367"/>
    <w:rsid w:val="00376B02"/>
    <w:rsid w:val="0037733A"/>
    <w:rsid w:val="003776DC"/>
    <w:rsid w:val="003779C1"/>
    <w:rsid w:val="00380FEC"/>
    <w:rsid w:val="00381226"/>
    <w:rsid w:val="00381B1B"/>
    <w:rsid w:val="00381FF6"/>
    <w:rsid w:val="00383D7D"/>
    <w:rsid w:val="00384CCE"/>
    <w:rsid w:val="003865E5"/>
    <w:rsid w:val="00386BB8"/>
    <w:rsid w:val="0039056F"/>
    <w:rsid w:val="003926C1"/>
    <w:rsid w:val="00392900"/>
    <w:rsid w:val="00393357"/>
    <w:rsid w:val="00393412"/>
    <w:rsid w:val="00394CE6"/>
    <w:rsid w:val="00395E7B"/>
    <w:rsid w:val="00395F4C"/>
    <w:rsid w:val="003A5DAC"/>
    <w:rsid w:val="003A6591"/>
    <w:rsid w:val="003A6E9A"/>
    <w:rsid w:val="003B08C8"/>
    <w:rsid w:val="003B2567"/>
    <w:rsid w:val="003B381A"/>
    <w:rsid w:val="003B4976"/>
    <w:rsid w:val="003B4B3F"/>
    <w:rsid w:val="003B6258"/>
    <w:rsid w:val="003B7A99"/>
    <w:rsid w:val="003C0343"/>
    <w:rsid w:val="003C0E87"/>
    <w:rsid w:val="003C1C32"/>
    <w:rsid w:val="003C40DA"/>
    <w:rsid w:val="003C42BA"/>
    <w:rsid w:val="003C462F"/>
    <w:rsid w:val="003C4A02"/>
    <w:rsid w:val="003C4F05"/>
    <w:rsid w:val="003C6191"/>
    <w:rsid w:val="003C6E49"/>
    <w:rsid w:val="003C74B0"/>
    <w:rsid w:val="003D0CBF"/>
    <w:rsid w:val="003D0DD6"/>
    <w:rsid w:val="003D4B73"/>
    <w:rsid w:val="003D503B"/>
    <w:rsid w:val="003D605E"/>
    <w:rsid w:val="003D61D1"/>
    <w:rsid w:val="003D6780"/>
    <w:rsid w:val="003D6FCB"/>
    <w:rsid w:val="003E0F84"/>
    <w:rsid w:val="003E1FF3"/>
    <w:rsid w:val="003E3ACA"/>
    <w:rsid w:val="003E50EA"/>
    <w:rsid w:val="003E573C"/>
    <w:rsid w:val="003E68C7"/>
    <w:rsid w:val="003E79B0"/>
    <w:rsid w:val="003F0403"/>
    <w:rsid w:val="003F07D2"/>
    <w:rsid w:val="003F1094"/>
    <w:rsid w:val="003F29B4"/>
    <w:rsid w:val="003F2E45"/>
    <w:rsid w:val="003F3475"/>
    <w:rsid w:val="003F3EFE"/>
    <w:rsid w:val="003F40B8"/>
    <w:rsid w:val="003F5C06"/>
    <w:rsid w:val="00400195"/>
    <w:rsid w:val="0040075B"/>
    <w:rsid w:val="0040254B"/>
    <w:rsid w:val="00403086"/>
    <w:rsid w:val="00403460"/>
    <w:rsid w:val="004040FF"/>
    <w:rsid w:val="00404284"/>
    <w:rsid w:val="004042C4"/>
    <w:rsid w:val="00406826"/>
    <w:rsid w:val="00406C07"/>
    <w:rsid w:val="00406E90"/>
    <w:rsid w:val="00407232"/>
    <w:rsid w:val="00410240"/>
    <w:rsid w:val="00412253"/>
    <w:rsid w:val="004142ED"/>
    <w:rsid w:val="0041634D"/>
    <w:rsid w:val="00417EF7"/>
    <w:rsid w:val="00422A7D"/>
    <w:rsid w:val="00422BFC"/>
    <w:rsid w:val="00424642"/>
    <w:rsid w:val="00425ABB"/>
    <w:rsid w:val="00425BB6"/>
    <w:rsid w:val="004261A0"/>
    <w:rsid w:val="004265AA"/>
    <w:rsid w:val="00426BC3"/>
    <w:rsid w:val="00426CE1"/>
    <w:rsid w:val="00427D52"/>
    <w:rsid w:val="00430412"/>
    <w:rsid w:val="00430497"/>
    <w:rsid w:val="0043173B"/>
    <w:rsid w:val="00432A91"/>
    <w:rsid w:val="004332A4"/>
    <w:rsid w:val="00434197"/>
    <w:rsid w:val="0043453F"/>
    <w:rsid w:val="00434A74"/>
    <w:rsid w:val="00436A79"/>
    <w:rsid w:val="00437929"/>
    <w:rsid w:val="00437A4A"/>
    <w:rsid w:val="00440541"/>
    <w:rsid w:val="0044162D"/>
    <w:rsid w:val="0044277A"/>
    <w:rsid w:val="004456DC"/>
    <w:rsid w:val="00447FBE"/>
    <w:rsid w:val="0045035E"/>
    <w:rsid w:val="0045175A"/>
    <w:rsid w:val="00451ED9"/>
    <w:rsid w:val="00452180"/>
    <w:rsid w:val="00453072"/>
    <w:rsid w:val="004539F8"/>
    <w:rsid w:val="00453F26"/>
    <w:rsid w:val="00454597"/>
    <w:rsid w:val="0045503F"/>
    <w:rsid w:val="00455273"/>
    <w:rsid w:val="00460905"/>
    <w:rsid w:val="00460E0C"/>
    <w:rsid w:val="00461E35"/>
    <w:rsid w:val="004621DB"/>
    <w:rsid w:val="0046247E"/>
    <w:rsid w:val="004634A7"/>
    <w:rsid w:val="00463787"/>
    <w:rsid w:val="00466926"/>
    <w:rsid w:val="00466DA4"/>
    <w:rsid w:val="00466FDA"/>
    <w:rsid w:val="004671D0"/>
    <w:rsid w:val="004674D1"/>
    <w:rsid w:val="00470773"/>
    <w:rsid w:val="00471FF9"/>
    <w:rsid w:val="00473E74"/>
    <w:rsid w:val="00473FEF"/>
    <w:rsid w:val="00475B8E"/>
    <w:rsid w:val="0048104E"/>
    <w:rsid w:val="004814BB"/>
    <w:rsid w:val="004815DA"/>
    <w:rsid w:val="00482458"/>
    <w:rsid w:val="004837ED"/>
    <w:rsid w:val="00483942"/>
    <w:rsid w:val="004843CE"/>
    <w:rsid w:val="00485142"/>
    <w:rsid w:val="004852A7"/>
    <w:rsid w:val="00486C17"/>
    <w:rsid w:val="00486DE2"/>
    <w:rsid w:val="00487117"/>
    <w:rsid w:val="00487A32"/>
    <w:rsid w:val="00487A91"/>
    <w:rsid w:val="004901E5"/>
    <w:rsid w:val="0049027D"/>
    <w:rsid w:val="004903D4"/>
    <w:rsid w:val="0049052B"/>
    <w:rsid w:val="00492457"/>
    <w:rsid w:val="004924A8"/>
    <w:rsid w:val="004934E9"/>
    <w:rsid w:val="00494737"/>
    <w:rsid w:val="00494D5C"/>
    <w:rsid w:val="00495A6A"/>
    <w:rsid w:val="004964F6"/>
    <w:rsid w:val="00496821"/>
    <w:rsid w:val="00497750"/>
    <w:rsid w:val="00497B44"/>
    <w:rsid w:val="004A00E5"/>
    <w:rsid w:val="004A01A7"/>
    <w:rsid w:val="004A03FB"/>
    <w:rsid w:val="004A0D09"/>
    <w:rsid w:val="004A116E"/>
    <w:rsid w:val="004A357F"/>
    <w:rsid w:val="004A3DAD"/>
    <w:rsid w:val="004A4AC0"/>
    <w:rsid w:val="004B0335"/>
    <w:rsid w:val="004B0F1C"/>
    <w:rsid w:val="004B1D0D"/>
    <w:rsid w:val="004B1E61"/>
    <w:rsid w:val="004B21AB"/>
    <w:rsid w:val="004B3B2E"/>
    <w:rsid w:val="004B59E0"/>
    <w:rsid w:val="004B667B"/>
    <w:rsid w:val="004B71C7"/>
    <w:rsid w:val="004C03AA"/>
    <w:rsid w:val="004C0B9A"/>
    <w:rsid w:val="004C14E7"/>
    <w:rsid w:val="004C1D89"/>
    <w:rsid w:val="004C2A94"/>
    <w:rsid w:val="004C2EA1"/>
    <w:rsid w:val="004C3DAB"/>
    <w:rsid w:val="004C5766"/>
    <w:rsid w:val="004C5F54"/>
    <w:rsid w:val="004C6E76"/>
    <w:rsid w:val="004C77DD"/>
    <w:rsid w:val="004C7826"/>
    <w:rsid w:val="004C7B33"/>
    <w:rsid w:val="004D1410"/>
    <w:rsid w:val="004D1478"/>
    <w:rsid w:val="004D19EE"/>
    <w:rsid w:val="004D1CF2"/>
    <w:rsid w:val="004D2D3A"/>
    <w:rsid w:val="004D374D"/>
    <w:rsid w:val="004D3DEC"/>
    <w:rsid w:val="004D42C8"/>
    <w:rsid w:val="004D4F57"/>
    <w:rsid w:val="004D50F6"/>
    <w:rsid w:val="004D5A0D"/>
    <w:rsid w:val="004D7910"/>
    <w:rsid w:val="004D7DEA"/>
    <w:rsid w:val="004E003D"/>
    <w:rsid w:val="004E0A28"/>
    <w:rsid w:val="004E1A0F"/>
    <w:rsid w:val="004E2E89"/>
    <w:rsid w:val="004E33C2"/>
    <w:rsid w:val="004E3B9A"/>
    <w:rsid w:val="004E49B0"/>
    <w:rsid w:val="004E62DE"/>
    <w:rsid w:val="004E6AE4"/>
    <w:rsid w:val="004E6B05"/>
    <w:rsid w:val="004E76A1"/>
    <w:rsid w:val="004F05DE"/>
    <w:rsid w:val="004F6376"/>
    <w:rsid w:val="004F6A93"/>
    <w:rsid w:val="004F6F14"/>
    <w:rsid w:val="004F76D9"/>
    <w:rsid w:val="004F79A6"/>
    <w:rsid w:val="00501BF5"/>
    <w:rsid w:val="00501D8B"/>
    <w:rsid w:val="00503A3E"/>
    <w:rsid w:val="00503F59"/>
    <w:rsid w:val="005049A7"/>
    <w:rsid w:val="005053B2"/>
    <w:rsid w:val="00506331"/>
    <w:rsid w:val="00507D11"/>
    <w:rsid w:val="00510662"/>
    <w:rsid w:val="005109B7"/>
    <w:rsid w:val="00510A19"/>
    <w:rsid w:val="00511AAB"/>
    <w:rsid w:val="00514D10"/>
    <w:rsid w:val="00516783"/>
    <w:rsid w:val="00517EF8"/>
    <w:rsid w:val="00520083"/>
    <w:rsid w:val="0052029E"/>
    <w:rsid w:val="0052076A"/>
    <w:rsid w:val="00520A2C"/>
    <w:rsid w:val="00520E25"/>
    <w:rsid w:val="0052183D"/>
    <w:rsid w:val="00522F44"/>
    <w:rsid w:val="0052360A"/>
    <w:rsid w:val="005242BA"/>
    <w:rsid w:val="005243B8"/>
    <w:rsid w:val="00524B1F"/>
    <w:rsid w:val="005252DD"/>
    <w:rsid w:val="00530A8D"/>
    <w:rsid w:val="00531C6D"/>
    <w:rsid w:val="00532EF4"/>
    <w:rsid w:val="005347CE"/>
    <w:rsid w:val="00535477"/>
    <w:rsid w:val="00535DEA"/>
    <w:rsid w:val="0053723A"/>
    <w:rsid w:val="00537636"/>
    <w:rsid w:val="00537B1D"/>
    <w:rsid w:val="00540191"/>
    <w:rsid w:val="00540A2A"/>
    <w:rsid w:val="00541F27"/>
    <w:rsid w:val="00542297"/>
    <w:rsid w:val="005424BC"/>
    <w:rsid w:val="00542A28"/>
    <w:rsid w:val="005441D4"/>
    <w:rsid w:val="005450C3"/>
    <w:rsid w:val="0054672D"/>
    <w:rsid w:val="00550F4E"/>
    <w:rsid w:val="00552350"/>
    <w:rsid w:val="005532B5"/>
    <w:rsid w:val="00554A05"/>
    <w:rsid w:val="00555849"/>
    <w:rsid w:val="005559A8"/>
    <w:rsid w:val="00557048"/>
    <w:rsid w:val="00557FB5"/>
    <w:rsid w:val="00561AED"/>
    <w:rsid w:val="005648A8"/>
    <w:rsid w:val="00564DE3"/>
    <w:rsid w:val="00564E44"/>
    <w:rsid w:val="0056594B"/>
    <w:rsid w:val="00565D32"/>
    <w:rsid w:val="00566394"/>
    <w:rsid w:val="00566C6A"/>
    <w:rsid w:val="00566CE5"/>
    <w:rsid w:val="00566D36"/>
    <w:rsid w:val="00573569"/>
    <w:rsid w:val="00573871"/>
    <w:rsid w:val="0057389E"/>
    <w:rsid w:val="005738DE"/>
    <w:rsid w:val="00575622"/>
    <w:rsid w:val="005762EC"/>
    <w:rsid w:val="005765C0"/>
    <w:rsid w:val="005778DE"/>
    <w:rsid w:val="00580B3F"/>
    <w:rsid w:val="005825F2"/>
    <w:rsid w:val="00582AAD"/>
    <w:rsid w:val="005860AF"/>
    <w:rsid w:val="00587F1D"/>
    <w:rsid w:val="00590348"/>
    <w:rsid w:val="00591161"/>
    <w:rsid w:val="00592318"/>
    <w:rsid w:val="00593133"/>
    <w:rsid w:val="0059575D"/>
    <w:rsid w:val="00596825"/>
    <w:rsid w:val="005A150A"/>
    <w:rsid w:val="005A2B3E"/>
    <w:rsid w:val="005A3644"/>
    <w:rsid w:val="005A4087"/>
    <w:rsid w:val="005A4B18"/>
    <w:rsid w:val="005A537E"/>
    <w:rsid w:val="005A6F43"/>
    <w:rsid w:val="005A767D"/>
    <w:rsid w:val="005B00F1"/>
    <w:rsid w:val="005B0CE7"/>
    <w:rsid w:val="005B10E2"/>
    <w:rsid w:val="005B1803"/>
    <w:rsid w:val="005B4079"/>
    <w:rsid w:val="005B428E"/>
    <w:rsid w:val="005B5B3C"/>
    <w:rsid w:val="005B64CB"/>
    <w:rsid w:val="005B65C0"/>
    <w:rsid w:val="005B6AAA"/>
    <w:rsid w:val="005B7554"/>
    <w:rsid w:val="005B7C78"/>
    <w:rsid w:val="005C0FB2"/>
    <w:rsid w:val="005C1169"/>
    <w:rsid w:val="005C16E2"/>
    <w:rsid w:val="005C24EF"/>
    <w:rsid w:val="005C2796"/>
    <w:rsid w:val="005C3C6C"/>
    <w:rsid w:val="005C3F4C"/>
    <w:rsid w:val="005C43AA"/>
    <w:rsid w:val="005C46AD"/>
    <w:rsid w:val="005C48C8"/>
    <w:rsid w:val="005C4E0E"/>
    <w:rsid w:val="005C6485"/>
    <w:rsid w:val="005C663C"/>
    <w:rsid w:val="005D0594"/>
    <w:rsid w:val="005D1023"/>
    <w:rsid w:val="005D148F"/>
    <w:rsid w:val="005D2AD2"/>
    <w:rsid w:val="005D4A86"/>
    <w:rsid w:val="005D5EB1"/>
    <w:rsid w:val="005D6A29"/>
    <w:rsid w:val="005E0481"/>
    <w:rsid w:val="005E10BF"/>
    <w:rsid w:val="005E1834"/>
    <w:rsid w:val="005E49E5"/>
    <w:rsid w:val="005E5481"/>
    <w:rsid w:val="005E55E4"/>
    <w:rsid w:val="005E6C5F"/>
    <w:rsid w:val="005E7636"/>
    <w:rsid w:val="005F028E"/>
    <w:rsid w:val="005F04B4"/>
    <w:rsid w:val="005F11A4"/>
    <w:rsid w:val="005F19F8"/>
    <w:rsid w:val="005F3A40"/>
    <w:rsid w:val="005F3FB1"/>
    <w:rsid w:val="005F5ACF"/>
    <w:rsid w:val="005F60DC"/>
    <w:rsid w:val="006000DD"/>
    <w:rsid w:val="00600F63"/>
    <w:rsid w:val="006012E1"/>
    <w:rsid w:val="00602253"/>
    <w:rsid w:val="006023E1"/>
    <w:rsid w:val="006036BB"/>
    <w:rsid w:val="00605531"/>
    <w:rsid w:val="00606152"/>
    <w:rsid w:val="00606240"/>
    <w:rsid w:val="0060674A"/>
    <w:rsid w:val="00607832"/>
    <w:rsid w:val="0060784B"/>
    <w:rsid w:val="00610254"/>
    <w:rsid w:val="006105FB"/>
    <w:rsid w:val="00610F94"/>
    <w:rsid w:val="00611293"/>
    <w:rsid w:val="0061135E"/>
    <w:rsid w:val="0061263A"/>
    <w:rsid w:val="00612C41"/>
    <w:rsid w:val="006145DE"/>
    <w:rsid w:val="0061478E"/>
    <w:rsid w:val="00614F25"/>
    <w:rsid w:val="00616A11"/>
    <w:rsid w:val="00616B9B"/>
    <w:rsid w:val="00617520"/>
    <w:rsid w:val="00617AD0"/>
    <w:rsid w:val="00620D7C"/>
    <w:rsid w:val="00621089"/>
    <w:rsid w:val="00621B65"/>
    <w:rsid w:val="00621E1F"/>
    <w:rsid w:val="00621EF7"/>
    <w:rsid w:val="006228B2"/>
    <w:rsid w:val="006228E1"/>
    <w:rsid w:val="00622E32"/>
    <w:rsid w:val="00623688"/>
    <w:rsid w:val="006247E0"/>
    <w:rsid w:val="00625F82"/>
    <w:rsid w:val="00627999"/>
    <w:rsid w:val="00630CD7"/>
    <w:rsid w:val="00630FF7"/>
    <w:rsid w:val="00633433"/>
    <w:rsid w:val="006341B5"/>
    <w:rsid w:val="006346C9"/>
    <w:rsid w:val="00634727"/>
    <w:rsid w:val="00634B64"/>
    <w:rsid w:val="0063578C"/>
    <w:rsid w:val="00636069"/>
    <w:rsid w:val="0063642C"/>
    <w:rsid w:val="0063681E"/>
    <w:rsid w:val="00636FF9"/>
    <w:rsid w:val="00640DCD"/>
    <w:rsid w:val="00641DC3"/>
    <w:rsid w:val="0064208D"/>
    <w:rsid w:val="00642972"/>
    <w:rsid w:val="006441AC"/>
    <w:rsid w:val="00644F4D"/>
    <w:rsid w:val="006469B1"/>
    <w:rsid w:val="00646C0D"/>
    <w:rsid w:val="006476F7"/>
    <w:rsid w:val="0064779E"/>
    <w:rsid w:val="006501FA"/>
    <w:rsid w:val="006509B0"/>
    <w:rsid w:val="006521F3"/>
    <w:rsid w:val="006524D5"/>
    <w:rsid w:val="00652BBD"/>
    <w:rsid w:val="00653633"/>
    <w:rsid w:val="00653F69"/>
    <w:rsid w:val="00654936"/>
    <w:rsid w:val="00655485"/>
    <w:rsid w:val="006558B3"/>
    <w:rsid w:val="00660B0D"/>
    <w:rsid w:val="00660BF0"/>
    <w:rsid w:val="0066189C"/>
    <w:rsid w:val="006630CF"/>
    <w:rsid w:val="00663EFF"/>
    <w:rsid w:val="00666F74"/>
    <w:rsid w:val="00667FEA"/>
    <w:rsid w:val="006710D2"/>
    <w:rsid w:val="00671A8B"/>
    <w:rsid w:val="00671F53"/>
    <w:rsid w:val="006725A0"/>
    <w:rsid w:val="0067555E"/>
    <w:rsid w:val="00677FAD"/>
    <w:rsid w:val="006802DE"/>
    <w:rsid w:val="0068032D"/>
    <w:rsid w:val="0068068C"/>
    <w:rsid w:val="00681115"/>
    <w:rsid w:val="00683920"/>
    <w:rsid w:val="00685147"/>
    <w:rsid w:val="00685653"/>
    <w:rsid w:val="0068590D"/>
    <w:rsid w:val="00685A89"/>
    <w:rsid w:val="006861B3"/>
    <w:rsid w:val="00686C49"/>
    <w:rsid w:val="00686FA2"/>
    <w:rsid w:val="006870C5"/>
    <w:rsid w:val="00690F0E"/>
    <w:rsid w:val="006911C0"/>
    <w:rsid w:val="00691B7C"/>
    <w:rsid w:val="00694B73"/>
    <w:rsid w:val="00694DF2"/>
    <w:rsid w:val="00695F80"/>
    <w:rsid w:val="006966CD"/>
    <w:rsid w:val="00696735"/>
    <w:rsid w:val="006975D4"/>
    <w:rsid w:val="0069780E"/>
    <w:rsid w:val="00697D13"/>
    <w:rsid w:val="006A24D5"/>
    <w:rsid w:val="006A2CA2"/>
    <w:rsid w:val="006B2D40"/>
    <w:rsid w:val="006B34DF"/>
    <w:rsid w:val="006B39B2"/>
    <w:rsid w:val="006B3AF9"/>
    <w:rsid w:val="006B45A0"/>
    <w:rsid w:val="006B5668"/>
    <w:rsid w:val="006B5F71"/>
    <w:rsid w:val="006B6E44"/>
    <w:rsid w:val="006B7059"/>
    <w:rsid w:val="006B7287"/>
    <w:rsid w:val="006B7C67"/>
    <w:rsid w:val="006B7F2E"/>
    <w:rsid w:val="006C0BF8"/>
    <w:rsid w:val="006C2253"/>
    <w:rsid w:val="006C2CCB"/>
    <w:rsid w:val="006C4334"/>
    <w:rsid w:val="006C4B0F"/>
    <w:rsid w:val="006C5CE6"/>
    <w:rsid w:val="006C5E96"/>
    <w:rsid w:val="006D399F"/>
    <w:rsid w:val="006D4F0C"/>
    <w:rsid w:val="006D5645"/>
    <w:rsid w:val="006E0A4F"/>
    <w:rsid w:val="006E0C8A"/>
    <w:rsid w:val="006E2A23"/>
    <w:rsid w:val="006E35E5"/>
    <w:rsid w:val="006E3C72"/>
    <w:rsid w:val="006E4F20"/>
    <w:rsid w:val="006E649A"/>
    <w:rsid w:val="006F08DC"/>
    <w:rsid w:val="006F1D42"/>
    <w:rsid w:val="006F3948"/>
    <w:rsid w:val="006F4403"/>
    <w:rsid w:val="006F4535"/>
    <w:rsid w:val="006F45EC"/>
    <w:rsid w:val="006F47B8"/>
    <w:rsid w:val="006F47D2"/>
    <w:rsid w:val="006F4B04"/>
    <w:rsid w:val="006F5456"/>
    <w:rsid w:val="006F57F2"/>
    <w:rsid w:val="006F6468"/>
    <w:rsid w:val="00700247"/>
    <w:rsid w:val="00701051"/>
    <w:rsid w:val="007021C2"/>
    <w:rsid w:val="00702502"/>
    <w:rsid w:val="007033A8"/>
    <w:rsid w:val="0070421B"/>
    <w:rsid w:val="007043F0"/>
    <w:rsid w:val="0070482E"/>
    <w:rsid w:val="00704D25"/>
    <w:rsid w:val="00704EED"/>
    <w:rsid w:val="00705ECF"/>
    <w:rsid w:val="00710519"/>
    <w:rsid w:val="00710F6E"/>
    <w:rsid w:val="007111B6"/>
    <w:rsid w:val="00711663"/>
    <w:rsid w:val="007116B4"/>
    <w:rsid w:val="00712580"/>
    <w:rsid w:val="007133E4"/>
    <w:rsid w:val="00713788"/>
    <w:rsid w:val="00713940"/>
    <w:rsid w:val="007151A2"/>
    <w:rsid w:val="00716774"/>
    <w:rsid w:val="007209DD"/>
    <w:rsid w:val="00722E49"/>
    <w:rsid w:val="00723A08"/>
    <w:rsid w:val="00723B5C"/>
    <w:rsid w:val="00724391"/>
    <w:rsid w:val="00724C18"/>
    <w:rsid w:val="00726630"/>
    <w:rsid w:val="00726E6C"/>
    <w:rsid w:val="00727C8D"/>
    <w:rsid w:val="00727F73"/>
    <w:rsid w:val="00730705"/>
    <w:rsid w:val="00730944"/>
    <w:rsid w:val="0073248E"/>
    <w:rsid w:val="00733EE9"/>
    <w:rsid w:val="00735B8E"/>
    <w:rsid w:val="0073673C"/>
    <w:rsid w:val="00736935"/>
    <w:rsid w:val="00743DE7"/>
    <w:rsid w:val="0074509E"/>
    <w:rsid w:val="00745B9F"/>
    <w:rsid w:val="0074726F"/>
    <w:rsid w:val="0075015C"/>
    <w:rsid w:val="00752D4F"/>
    <w:rsid w:val="00752DC8"/>
    <w:rsid w:val="0075409F"/>
    <w:rsid w:val="00754A9B"/>
    <w:rsid w:val="0075525A"/>
    <w:rsid w:val="00755609"/>
    <w:rsid w:val="00755986"/>
    <w:rsid w:val="00755C86"/>
    <w:rsid w:val="00755E19"/>
    <w:rsid w:val="00756BFF"/>
    <w:rsid w:val="00756D77"/>
    <w:rsid w:val="00760041"/>
    <w:rsid w:val="007605C7"/>
    <w:rsid w:val="00760B08"/>
    <w:rsid w:val="00760EDA"/>
    <w:rsid w:val="00761F4E"/>
    <w:rsid w:val="00762150"/>
    <w:rsid w:val="00762621"/>
    <w:rsid w:val="00763F36"/>
    <w:rsid w:val="00764042"/>
    <w:rsid w:val="007648A0"/>
    <w:rsid w:val="00765431"/>
    <w:rsid w:val="00766CD6"/>
    <w:rsid w:val="00766F4D"/>
    <w:rsid w:val="00770268"/>
    <w:rsid w:val="007706B9"/>
    <w:rsid w:val="007707ED"/>
    <w:rsid w:val="00771AF3"/>
    <w:rsid w:val="00771C3B"/>
    <w:rsid w:val="007726F9"/>
    <w:rsid w:val="00773B94"/>
    <w:rsid w:val="00773C65"/>
    <w:rsid w:val="00775937"/>
    <w:rsid w:val="00777046"/>
    <w:rsid w:val="007770DA"/>
    <w:rsid w:val="007805B9"/>
    <w:rsid w:val="00780C3A"/>
    <w:rsid w:val="00782C72"/>
    <w:rsid w:val="007834A1"/>
    <w:rsid w:val="00787325"/>
    <w:rsid w:val="00791EB4"/>
    <w:rsid w:val="007928F1"/>
    <w:rsid w:val="0079357D"/>
    <w:rsid w:val="007937CC"/>
    <w:rsid w:val="00793A31"/>
    <w:rsid w:val="00794979"/>
    <w:rsid w:val="007956B7"/>
    <w:rsid w:val="00795F1A"/>
    <w:rsid w:val="00796EDE"/>
    <w:rsid w:val="00797297"/>
    <w:rsid w:val="007974B3"/>
    <w:rsid w:val="00797875"/>
    <w:rsid w:val="007A076C"/>
    <w:rsid w:val="007A2140"/>
    <w:rsid w:val="007A23E2"/>
    <w:rsid w:val="007A28AC"/>
    <w:rsid w:val="007A2F86"/>
    <w:rsid w:val="007A31A5"/>
    <w:rsid w:val="007A411B"/>
    <w:rsid w:val="007A45E6"/>
    <w:rsid w:val="007A4B28"/>
    <w:rsid w:val="007A5C2C"/>
    <w:rsid w:val="007A6F4E"/>
    <w:rsid w:val="007A7678"/>
    <w:rsid w:val="007B0CD8"/>
    <w:rsid w:val="007B0DE0"/>
    <w:rsid w:val="007B21DE"/>
    <w:rsid w:val="007B2BB9"/>
    <w:rsid w:val="007B43E8"/>
    <w:rsid w:val="007B4740"/>
    <w:rsid w:val="007B502C"/>
    <w:rsid w:val="007B54DE"/>
    <w:rsid w:val="007B5F3B"/>
    <w:rsid w:val="007C02B0"/>
    <w:rsid w:val="007C063E"/>
    <w:rsid w:val="007C1901"/>
    <w:rsid w:val="007C49C0"/>
    <w:rsid w:val="007C55C1"/>
    <w:rsid w:val="007C5738"/>
    <w:rsid w:val="007C5772"/>
    <w:rsid w:val="007C5AC3"/>
    <w:rsid w:val="007C666E"/>
    <w:rsid w:val="007C7233"/>
    <w:rsid w:val="007C76B7"/>
    <w:rsid w:val="007D10EE"/>
    <w:rsid w:val="007D1193"/>
    <w:rsid w:val="007D21D5"/>
    <w:rsid w:val="007D3E8D"/>
    <w:rsid w:val="007D5519"/>
    <w:rsid w:val="007D5915"/>
    <w:rsid w:val="007D5B4F"/>
    <w:rsid w:val="007D5C30"/>
    <w:rsid w:val="007D797E"/>
    <w:rsid w:val="007E0660"/>
    <w:rsid w:val="007E1411"/>
    <w:rsid w:val="007E1882"/>
    <w:rsid w:val="007E1BB4"/>
    <w:rsid w:val="007E3514"/>
    <w:rsid w:val="007E4AAA"/>
    <w:rsid w:val="007E4BD2"/>
    <w:rsid w:val="007E4C29"/>
    <w:rsid w:val="007E5C9A"/>
    <w:rsid w:val="007E5E44"/>
    <w:rsid w:val="007F0DDA"/>
    <w:rsid w:val="007F170C"/>
    <w:rsid w:val="007F1939"/>
    <w:rsid w:val="007F365C"/>
    <w:rsid w:val="007F4A2A"/>
    <w:rsid w:val="007F5066"/>
    <w:rsid w:val="007F621C"/>
    <w:rsid w:val="007F7155"/>
    <w:rsid w:val="007F7B93"/>
    <w:rsid w:val="00800C28"/>
    <w:rsid w:val="0080245E"/>
    <w:rsid w:val="00803480"/>
    <w:rsid w:val="0080359C"/>
    <w:rsid w:val="008037AE"/>
    <w:rsid w:val="008043F4"/>
    <w:rsid w:val="00804BB4"/>
    <w:rsid w:val="0080504F"/>
    <w:rsid w:val="00805BE8"/>
    <w:rsid w:val="00805D9F"/>
    <w:rsid w:val="00807A4D"/>
    <w:rsid w:val="00807F30"/>
    <w:rsid w:val="008103DC"/>
    <w:rsid w:val="0081119F"/>
    <w:rsid w:val="0081134D"/>
    <w:rsid w:val="00811EDA"/>
    <w:rsid w:val="00812403"/>
    <w:rsid w:val="00812FD7"/>
    <w:rsid w:val="00813F7F"/>
    <w:rsid w:val="008144C0"/>
    <w:rsid w:val="00820623"/>
    <w:rsid w:val="00820CBA"/>
    <w:rsid w:val="00821747"/>
    <w:rsid w:val="008229A3"/>
    <w:rsid w:val="00822DFB"/>
    <w:rsid w:val="00822F64"/>
    <w:rsid w:val="00824EAF"/>
    <w:rsid w:val="008253A6"/>
    <w:rsid w:val="00825A6B"/>
    <w:rsid w:val="00825C50"/>
    <w:rsid w:val="00826577"/>
    <w:rsid w:val="00827439"/>
    <w:rsid w:val="00827C79"/>
    <w:rsid w:val="0083003F"/>
    <w:rsid w:val="00831077"/>
    <w:rsid w:val="00831A4A"/>
    <w:rsid w:val="00832134"/>
    <w:rsid w:val="0083219E"/>
    <w:rsid w:val="0083497C"/>
    <w:rsid w:val="008352A6"/>
    <w:rsid w:val="00835B01"/>
    <w:rsid w:val="00835B5B"/>
    <w:rsid w:val="008367AE"/>
    <w:rsid w:val="00836E50"/>
    <w:rsid w:val="00840477"/>
    <w:rsid w:val="0084121D"/>
    <w:rsid w:val="008419C1"/>
    <w:rsid w:val="00844515"/>
    <w:rsid w:val="0084465A"/>
    <w:rsid w:val="00844DFF"/>
    <w:rsid w:val="00845D87"/>
    <w:rsid w:val="00846C3A"/>
    <w:rsid w:val="008477BF"/>
    <w:rsid w:val="008503DA"/>
    <w:rsid w:val="00850B68"/>
    <w:rsid w:val="00850E82"/>
    <w:rsid w:val="0085122D"/>
    <w:rsid w:val="008519E8"/>
    <w:rsid w:val="00852288"/>
    <w:rsid w:val="008525FF"/>
    <w:rsid w:val="00852C03"/>
    <w:rsid w:val="0085590C"/>
    <w:rsid w:val="008575EB"/>
    <w:rsid w:val="00860FF4"/>
    <w:rsid w:val="00862DDD"/>
    <w:rsid w:val="0086326D"/>
    <w:rsid w:val="00863CC1"/>
    <w:rsid w:val="00865B01"/>
    <w:rsid w:val="00866D7A"/>
    <w:rsid w:val="00866EE3"/>
    <w:rsid w:val="008701E5"/>
    <w:rsid w:val="008706C5"/>
    <w:rsid w:val="00871F04"/>
    <w:rsid w:val="008746C1"/>
    <w:rsid w:val="00880224"/>
    <w:rsid w:val="0088244C"/>
    <w:rsid w:val="00883367"/>
    <w:rsid w:val="00884C47"/>
    <w:rsid w:val="00884E92"/>
    <w:rsid w:val="00885E6F"/>
    <w:rsid w:val="008861AC"/>
    <w:rsid w:val="008868E4"/>
    <w:rsid w:val="00886A60"/>
    <w:rsid w:val="0088759B"/>
    <w:rsid w:val="008909B4"/>
    <w:rsid w:val="008922E8"/>
    <w:rsid w:val="00893916"/>
    <w:rsid w:val="008941B9"/>
    <w:rsid w:val="0089442C"/>
    <w:rsid w:val="00895818"/>
    <w:rsid w:val="008A2585"/>
    <w:rsid w:val="008A2718"/>
    <w:rsid w:val="008A4CF6"/>
    <w:rsid w:val="008A4E42"/>
    <w:rsid w:val="008A51AA"/>
    <w:rsid w:val="008A6A12"/>
    <w:rsid w:val="008B0DC6"/>
    <w:rsid w:val="008B2B9E"/>
    <w:rsid w:val="008B31F5"/>
    <w:rsid w:val="008B4C79"/>
    <w:rsid w:val="008B5D2D"/>
    <w:rsid w:val="008B6361"/>
    <w:rsid w:val="008C0320"/>
    <w:rsid w:val="008C2A81"/>
    <w:rsid w:val="008C3863"/>
    <w:rsid w:val="008C4BDC"/>
    <w:rsid w:val="008C50FF"/>
    <w:rsid w:val="008C5435"/>
    <w:rsid w:val="008C6BD1"/>
    <w:rsid w:val="008D2DB5"/>
    <w:rsid w:val="008D3F10"/>
    <w:rsid w:val="008D611D"/>
    <w:rsid w:val="008E1B6A"/>
    <w:rsid w:val="008E3054"/>
    <w:rsid w:val="008E32FF"/>
    <w:rsid w:val="008E5625"/>
    <w:rsid w:val="008E5C5B"/>
    <w:rsid w:val="008E6A37"/>
    <w:rsid w:val="008F0354"/>
    <w:rsid w:val="008F085A"/>
    <w:rsid w:val="008F1462"/>
    <w:rsid w:val="008F2413"/>
    <w:rsid w:val="008F248D"/>
    <w:rsid w:val="008F4B2C"/>
    <w:rsid w:val="008F4C08"/>
    <w:rsid w:val="008F65D5"/>
    <w:rsid w:val="008F6851"/>
    <w:rsid w:val="008F7BC4"/>
    <w:rsid w:val="00900E7A"/>
    <w:rsid w:val="00903E11"/>
    <w:rsid w:val="00903EBE"/>
    <w:rsid w:val="009041DE"/>
    <w:rsid w:val="00905D59"/>
    <w:rsid w:val="009062CA"/>
    <w:rsid w:val="00907631"/>
    <w:rsid w:val="00907776"/>
    <w:rsid w:val="00913401"/>
    <w:rsid w:val="00913567"/>
    <w:rsid w:val="009137B6"/>
    <w:rsid w:val="00915EBA"/>
    <w:rsid w:val="00917093"/>
    <w:rsid w:val="0092030E"/>
    <w:rsid w:val="009203D0"/>
    <w:rsid w:val="009217B1"/>
    <w:rsid w:val="00921A42"/>
    <w:rsid w:val="009223BB"/>
    <w:rsid w:val="00922491"/>
    <w:rsid w:val="00923BCF"/>
    <w:rsid w:val="009252EC"/>
    <w:rsid w:val="00925AEC"/>
    <w:rsid w:val="0092751A"/>
    <w:rsid w:val="009305C4"/>
    <w:rsid w:val="00931FAF"/>
    <w:rsid w:val="009360F6"/>
    <w:rsid w:val="009371DC"/>
    <w:rsid w:val="0093759D"/>
    <w:rsid w:val="00940239"/>
    <w:rsid w:val="00942BD6"/>
    <w:rsid w:val="00942DED"/>
    <w:rsid w:val="00944404"/>
    <w:rsid w:val="009452D7"/>
    <w:rsid w:val="00945FD1"/>
    <w:rsid w:val="00946CCC"/>
    <w:rsid w:val="00947A5F"/>
    <w:rsid w:val="009503E5"/>
    <w:rsid w:val="00950F71"/>
    <w:rsid w:val="00952F2C"/>
    <w:rsid w:val="009532E3"/>
    <w:rsid w:val="00953615"/>
    <w:rsid w:val="00954A15"/>
    <w:rsid w:val="00954BAF"/>
    <w:rsid w:val="00955F48"/>
    <w:rsid w:val="009560B3"/>
    <w:rsid w:val="0095745E"/>
    <w:rsid w:val="00957CE0"/>
    <w:rsid w:val="0096002E"/>
    <w:rsid w:val="0096039E"/>
    <w:rsid w:val="009619C5"/>
    <w:rsid w:val="00962CEF"/>
    <w:rsid w:val="00963766"/>
    <w:rsid w:val="00963D60"/>
    <w:rsid w:val="00963FDF"/>
    <w:rsid w:val="00964780"/>
    <w:rsid w:val="00964C32"/>
    <w:rsid w:val="0096528F"/>
    <w:rsid w:val="009653F2"/>
    <w:rsid w:val="009661DF"/>
    <w:rsid w:val="009667BD"/>
    <w:rsid w:val="00967674"/>
    <w:rsid w:val="00967CE2"/>
    <w:rsid w:val="00971DA3"/>
    <w:rsid w:val="00972161"/>
    <w:rsid w:val="0097261B"/>
    <w:rsid w:val="00974881"/>
    <w:rsid w:val="0097606C"/>
    <w:rsid w:val="009771D1"/>
    <w:rsid w:val="0098012D"/>
    <w:rsid w:val="00980845"/>
    <w:rsid w:val="00981BD9"/>
    <w:rsid w:val="0098225F"/>
    <w:rsid w:val="00983A3C"/>
    <w:rsid w:val="00983EFA"/>
    <w:rsid w:val="00984C15"/>
    <w:rsid w:val="00987829"/>
    <w:rsid w:val="00991276"/>
    <w:rsid w:val="009923E7"/>
    <w:rsid w:val="00992697"/>
    <w:rsid w:val="00992D4E"/>
    <w:rsid w:val="00993D1B"/>
    <w:rsid w:val="00994621"/>
    <w:rsid w:val="009947FF"/>
    <w:rsid w:val="0099544B"/>
    <w:rsid w:val="00996770"/>
    <w:rsid w:val="009A053D"/>
    <w:rsid w:val="009A07A6"/>
    <w:rsid w:val="009A0D56"/>
    <w:rsid w:val="009A3017"/>
    <w:rsid w:val="009A31B9"/>
    <w:rsid w:val="009A4D4F"/>
    <w:rsid w:val="009A53D8"/>
    <w:rsid w:val="009A597F"/>
    <w:rsid w:val="009A7B72"/>
    <w:rsid w:val="009A7F49"/>
    <w:rsid w:val="009B03C4"/>
    <w:rsid w:val="009B0AA2"/>
    <w:rsid w:val="009B1D02"/>
    <w:rsid w:val="009B3CD2"/>
    <w:rsid w:val="009B40AD"/>
    <w:rsid w:val="009B7133"/>
    <w:rsid w:val="009B738E"/>
    <w:rsid w:val="009B7658"/>
    <w:rsid w:val="009B7CD1"/>
    <w:rsid w:val="009B7E22"/>
    <w:rsid w:val="009B7E78"/>
    <w:rsid w:val="009C10FE"/>
    <w:rsid w:val="009C13BC"/>
    <w:rsid w:val="009C1CA4"/>
    <w:rsid w:val="009C2532"/>
    <w:rsid w:val="009C2BA4"/>
    <w:rsid w:val="009C6091"/>
    <w:rsid w:val="009C634F"/>
    <w:rsid w:val="009C6C20"/>
    <w:rsid w:val="009D0219"/>
    <w:rsid w:val="009D0D55"/>
    <w:rsid w:val="009D1A64"/>
    <w:rsid w:val="009D2295"/>
    <w:rsid w:val="009D2511"/>
    <w:rsid w:val="009D291D"/>
    <w:rsid w:val="009D3E7C"/>
    <w:rsid w:val="009D55CA"/>
    <w:rsid w:val="009D5EF0"/>
    <w:rsid w:val="009D6401"/>
    <w:rsid w:val="009E0711"/>
    <w:rsid w:val="009E1917"/>
    <w:rsid w:val="009E2FDB"/>
    <w:rsid w:val="009E3594"/>
    <w:rsid w:val="009E6B77"/>
    <w:rsid w:val="009E7724"/>
    <w:rsid w:val="009E7D1F"/>
    <w:rsid w:val="009F1D82"/>
    <w:rsid w:val="009F37AA"/>
    <w:rsid w:val="009F544C"/>
    <w:rsid w:val="009F5731"/>
    <w:rsid w:val="009F6321"/>
    <w:rsid w:val="009F6378"/>
    <w:rsid w:val="009F7669"/>
    <w:rsid w:val="009F7CF0"/>
    <w:rsid w:val="009F7F45"/>
    <w:rsid w:val="009F7FD5"/>
    <w:rsid w:val="00A005D4"/>
    <w:rsid w:val="00A0083C"/>
    <w:rsid w:val="00A01A90"/>
    <w:rsid w:val="00A02370"/>
    <w:rsid w:val="00A04685"/>
    <w:rsid w:val="00A04C57"/>
    <w:rsid w:val="00A06340"/>
    <w:rsid w:val="00A0684F"/>
    <w:rsid w:val="00A06867"/>
    <w:rsid w:val="00A10148"/>
    <w:rsid w:val="00A104FE"/>
    <w:rsid w:val="00A10776"/>
    <w:rsid w:val="00A113FD"/>
    <w:rsid w:val="00A11DDE"/>
    <w:rsid w:val="00A127A7"/>
    <w:rsid w:val="00A129F4"/>
    <w:rsid w:val="00A136F4"/>
    <w:rsid w:val="00A150F7"/>
    <w:rsid w:val="00A160D3"/>
    <w:rsid w:val="00A16DC9"/>
    <w:rsid w:val="00A20225"/>
    <w:rsid w:val="00A2046A"/>
    <w:rsid w:val="00A20898"/>
    <w:rsid w:val="00A24269"/>
    <w:rsid w:val="00A243E4"/>
    <w:rsid w:val="00A25ED4"/>
    <w:rsid w:val="00A263DA"/>
    <w:rsid w:val="00A26C5C"/>
    <w:rsid w:val="00A30BDE"/>
    <w:rsid w:val="00A3131C"/>
    <w:rsid w:val="00A31F14"/>
    <w:rsid w:val="00A324DC"/>
    <w:rsid w:val="00A32B5A"/>
    <w:rsid w:val="00A33CCC"/>
    <w:rsid w:val="00A33ECB"/>
    <w:rsid w:val="00A34DE0"/>
    <w:rsid w:val="00A35728"/>
    <w:rsid w:val="00A36EE3"/>
    <w:rsid w:val="00A37435"/>
    <w:rsid w:val="00A40DA9"/>
    <w:rsid w:val="00A4173D"/>
    <w:rsid w:val="00A41A95"/>
    <w:rsid w:val="00A4248B"/>
    <w:rsid w:val="00A4376E"/>
    <w:rsid w:val="00A4572B"/>
    <w:rsid w:val="00A46246"/>
    <w:rsid w:val="00A46349"/>
    <w:rsid w:val="00A46D5E"/>
    <w:rsid w:val="00A50847"/>
    <w:rsid w:val="00A512C7"/>
    <w:rsid w:val="00A52BF6"/>
    <w:rsid w:val="00A54BFF"/>
    <w:rsid w:val="00A54C63"/>
    <w:rsid w:val="00A54FBB"/>
    <w:rsid w:val="00A55BB1"/>
    <w:rsid w:val="00A55FD6"/>
    <w:rsid w:val="00A5619C"/>
    <w:rsid w:val="00A564CD"/>
    <w:rsid w:val="00A564CE"/>
    <w:rsid w:val="00A5675F"/>
    <w:rsid w:val="00A60D6F"/>
    <w:rsid w:val="00A61009"/>
    <w:rsid w:val="00A61762"/>
    <w:rsid w:val="00A61938"/>
    <w:rsid w:val="00A61CFD"/>
    <w:rsid w:val="00A62B86"/>
    <w:rsid w:val="00A63C96"/>
    <w:rsid w:val="00A641CD"/>
    <w:rsid w:val="00A64816"/>
    <w:rsid w:val="00A65227"/>
    <w:rsid w:val="00A65805"/>
    <w:rsid w:val="00A66BEE"/>
    <w:rsid w:val="00A671C9"/>
    <w:rsid w:val="00A67DFD"/>
    <w:rsid w:val="00A74F9F"/>
    <w:rsid w:val="00A750B3"/>
    <w:rsid w:val="00A75559"/>
    <w:rsid w:val="00A7623D"/>
    <w:rsid w:val="00A824A7"/>
    <w:rsid w:val="00A83644"/>
    <w:rsid w:val="00A83C07"/>
    <w:rsid w:val="00A83F40"/>
    <w:rsid w:val="00A84945"/>
    <w:rsid w:val="00A85226"/>
    <w:rsid w:val="00A85543"/>
    <w:rsid w:val="00A8728B"/>
    <w:rsid w:val="00A903D3"/>
    <w:rsid w:val="00A91682"/>
    <w:rsid w:val="00A91E16"/>
    <w:rsid w:val="00A92E4A"/>
    <w:rsid w:val="00A958CA"/>
    <w:rsid w:val="00A966B6"/>
    <w:rsid w:val="00A96B46"/>
    <w:rsid w:val="00A96C55"/>
    <w:rsid w:val="00AA003B"/>
    <w:rsid w:val="00AA016B"/>
    <w:rsid w:val="00AA15DD"/>
    <w:rsid w:val="00AA1C09"/>
    <w:rsid w:val="00AA2F67"/>
    <w:rsid w:val="00AA3569"/>
    <w:rsid w:val="00AA5F4C"/>
    <w:rsid w:val="00AA615C"/>
    <w:rsid w:val="00AA6711"/>
    <w:rsid w:val="00AB2AEC"/>
    <w:rsid w:val="00AB2DC1"/>
    <w:rsid w:val="00AB3102"/>
    <w:rsid w:val="00AB3D9A"/>
    <w:rsid w:val="00AB4B1D"/>
    <w:rsid w:val="00AB6B5E"/>
    <w:rsid w:val="00AC047F"/>
    <w:rsid w:val="00AC3934"/>
    <w:rsid w:val="00AC50C8"/>
    <w:rsid w:val="00AC5581"/>
    <w:rsid w:val="00AC56AD"/>
    <w:rsid w:val="00AC61BD"/>
    <w:rsid w:val="00AC61BE"/>
    <w:rsid w:val="00AD0CB4"/>
    <w:rsid w:val="00AD11E9"/>
    <w:rsid w:val="00AD1FF2"/>
    <w:rsid w:val="00AD2A21"/>
    <w:rsid w:val="00AD3B43"/>
    <w:rsid w:val="00AD4FF2"/>
    <w:rsid w:val="00AD506C"/>
    <w:rsid w:val="00AD6BE5"/>
    <w:rsid w:val="00AD7675"/>
    <w:rsid w:val="00AD783E"/>
    <w:rsid w:val="00AE1393"/>
    <w:rsid w:val="00AE3BC6"/>
    <w:rsid w:val="00AE3E2F"/>
    <w:rsid w:val="00AE4D4F"/>
    <w:rsid w:val="00AE627C"/>
    <w:rsid w:val="00AE62B0"/>
    <w:rsid w:val="00AE68A2"/>
    <w:rsid w:val="00AE71A7"/>
    <w:rsid w:val="00AF0029"/>
    <w:rsid w:val="00AF0354"/>
    <w:rsid w:val="00AF1236"/>
    <w:rsid w:val="00AF38AF"/>
    <w:rsid w:val="00AF3C29"/>
    <w:rsid w:val="00AF4401"/>
    <w:rsid w:val="00AF4463"/>
    <w:rsid w:val="00AF53CB"/>
    <w:rsid w:val="00AF65C5"/>
    <w:rsid w:val="00B03CE2"/>
    <w:rsid w:val="00B059A9"/>
    <w:rsid w:val="00B063CF"/>
    <w:rsid w:val="00B06544"/>
    <w:rsid w:val="00B105F2"/>
    <w:rsid w:val="00B10991"/>
    <w:rsid w:val="00B113F5"/>
    <w:rsid w:val="00B12128"/>
    <w:rsid w:val="00B12945"/>
    <w:rsid w:val="00B12C1E"/>
    <w:rsid w:val="00B155DF"/>
    <w:rsid w:val="00B156CF"/>
    <w:rsid w:val="00B1570E"/>
    <w:rsid w:val="00B176B9"/>
    <w:rsid w:val="00B17AD5"/>
    <w:rsid w:val="00B17DC8"/>
    <w:rsid w:val="00B17E1E"/>
    <w:rsid w:val="00B207F1"/>
    <w:rsid w:val="00B208EE"/>
    <w:rsid w:val="00B20A42"/>
    <w:rsid w:val="00B20BDE"/>
    <w:rsid w:val="00B20C41"/>
    <w:rsid w:val="00B2138D"/>
    <w:rsid w:val="00B21768"/>
    <w:rsid w:val="00B23F86"/>
    <w:rsid w:val="00B248A0"/>
    <w:rsid w:val="00B24B42"/>
    <w:rsid w:val="00B24DC6"/>
    <w:rsid w:val="00B24E30"/>
    <w:rsid w:val="00B258F3"/>
    <w:rsid w:val="00B2659C"/>
    <w:rsid w:val="00B26B13"/>
    <w:rsid w:val="00B26BD2"/>
    <w:rsid w:val="00B26FD7"/>
    <w:rsid w:val="00B270AB"/>
    <w:rsid w:val="00B2725B"/>
    <w:rsid w:val="00B27B6A"/>
    <w:rsid w:val="00B306FC"/>
    <w:rsid w:val="00B309D2"/>
    <w:rsid w:val="00B30E4F"/>
    <w:rsid w:val="00B3124F"/>
    <w:rsid w:val="00B327E9"/>
    <w:rsid w:val="00B33294"/>
    <w:rsid w:val="00B33657"/>
    <w:rsid w:val="00B34885"/>
    <w:rsid w:val="00B34D68"/>
    <w:rsid w:val="00B36117"/>
    <w:rsid w:val="00B362E3"/>
    <w:rsid w:val="00B37C73"/>
    <w:rsid w:val="00B4009B"/>
    <w:rsid w:val="00B400A1"/>
    <w:rsid w:val="00B40A2B"/>
    <w:rsid w:val="00B420CB"/>
    <w:rsid w:val="00B421F7"/>
    <w:rsid w:val="00B428D1"/>
    <w:rsid w:val="00B4401C"/>
    <w:rsid w:val="00B44802"/>
    <w:rsid w:val="00B455D1"/>
    <w:rsid w:val="00B46135"/>
    <w:rsid w:val="00B472AB"/>
    <w:rsid w:val="00B47CE4"/>
    <w:rsid w:val="00B503A8"/>
    <w:rsid w:val="00B5121D"/>
    <w:rsid w:val="00B525C0"/>
    <w:rsid w:val="00B52F48"/>
    <w:rsid w:val="00B52FAB"/>
    <w:rsid w:val="00B5319A"/>
    <w:rsid w:val="00B539F9"/>
    <w:rsid w:val="00B53E56"/>
    <w:rsid w:val="00B546C3"/>
    <w:rsid w:val="00B54BD9"/>
    <w:rsid w:val="00B5503C"/>
    <w:rsid w:val="00B55640"/>
    <w:rsid w:val="00B57107"/>
    <w:rsid w:val="00B578CA"/>
    <w:rsid w:val="00B60D27"/>
    <w:rsid w:val="00B619E4"/>
    <w:rsid w:val="00B61D0B"/>
    <w:rsid w:val="00B6439A"/>
    <w:rsid w:val="00B6443B"/>
    <w:rsid w:val="00B6517B"/>
    <w:rsid w:val="00B65E71"/>
    <w:rsid w:val="00B66C26"/>
    <w:rsid w:val="00B705C4"/>
    <w:rsid w:val="00B71FB3"/>
    <w:rsid w:val="00B73492"/>
    <w:rsid w:val="00B73808"/>
    <w:rsid w:val="00B7512A"/>
    <w:rsid w:val="00B76548"/>
    <w:rsid w:val="00B76BED"/>
    <w:rsid w:val="00B806E6"/>
    <w:rsid w:val="00B82DC1"/>
    <w:rsid w:val="00B835D5"/>
    <w:rsid w:val="00B84028"/>
    <w:rsid w:val="00B84307"/>
    <w:rsid w:val="00B8430D"/>
    <w:rsid w:val="00B8560B"/>
    <w:rsid w:val="00B85661"/>
    <w:rsid w:val="00B85C8A"/>
    <w:rsid w:val="00B86FBD"/>
    <w:rsid w:val="00B91B86"/>
    <w:rsid w:val="00B926DB"/>
    <w:rsid w:val="00B927CA"/>
    <w:rsid w:val="00B928AE"/>
    <w:rsid w:val="00B93CDA"/>
    <w:rsid w:val="00B942E9"/>
    <w:rsid w:val="00B9433A"/>
    <w:rsid w:val="00B948EE"/>
    <w:rsid w:val="00B94BF3"/>
    <w:rsid w:val="00B94F90"/>
    <w:rsid w:val="00B95DC5"/>
    <w:rsid w:val="00B97E34"/>
    <w:rsid w:val="00B97FEF"/>
    <w:rsid w:val="00BA1354"/>
    <w:rsid w:val="00BA24F8"/>
    <w:rsid w:val="00BA31AA"/>
    <w:rsid w:val="00BA45D8"/>
    <w:rsid w:val="00BA5828"/>
    <w:rsid w:val="00BA647A"/>
    <w:rsid w:val="00BA64B3"/>
    <w:rsid w:val="00BA754A"/>
    <w:rsid w:val="00BA7820"/>
    <w:rsid w:val="00BA794C"/>
    <w:rsid w:val="00BB09FB"/>
    <w:rsid w:val="00BB1617"/>
    <w:rsid w:val="00BB238D"/>
    <w:rsid w:val="00BB2A69"/>
    <w:rsid w:val="00BB37CC"/>
    <w:rsid w:val="00BB48C4"/>
    <w:rsid w:val="00BB5C6F"/>
    <w:rsid w:val="00BB6907"/>
    <w:rsid w:val="00BB7A20"/>
    <w:rsid w:val="00BC15B1"/>
    <w:rsid w:val="00BC16E9"/>
    <w:rsid w:val="00BC3C06"/>
    <w:rsid w:val="00BC4E8B"/>
    <w:rsid w:val="00BC5622"/>
    <w:rsid w:val="00BC6060"/>
    <w:rsid w:val="00BC6596"/>
    <w:rsid w:val="00BC7897"/>
    <w:rsid w:val="00BD0F35"/>
    <w:rsid w:val="00BD3C97"/>
    <w:rsid w:val="00BD45A4"/>
    <w:rsid w:val="00BD4A5F"/>
    <w:rsid w:val="00BD59AA"/>
    <w:rsid w:val="00BD65E6"/>
    <w:rsid w:val="00BD6AF7"/>
    <w:rsid w:val="00BE19EF"/>
    <w:rsid w:val="00BE425B"/>
    <w:rsid w:val="00BE51BB"/>
    <w:rsid w:val="00BE7595"/>
    <w:rsid w:val="00BE77D3"/>
    <w:rsid w:val="00BF0138"/>
    <w:rsid w:val="00BF114B"/>
    <w:rsid w:val="00BF1620"/>
    <w:rsid w:val="00BF1AC3"/>
    <w:rsid w:val="00BF28DA"/>
    <w:rsid w:val="00BF373A"/>
    <w:rsid w:val="00BF557C"/>
    <w:rsid w:val="00BF62D2"/>
    <w:rsid w:val="00BF6D9E"/>
    <w:rsid w:val="00BF6E3E"/>
    <w:rsid w:val="00BF6F47"/>
    <w:rsid w:val="00BF71BB"/>
    <w:rsid w:val="00BF76F7"/>
    <w:rsid w:val="00BF7C9F"/>
    <w:rsid w:val="00C00012"/>
    <w:rsid w:val="00C000A5"/>
    <w:rsid w:val="00C006B4"/>
    <w:rsid w:val="00C00938"/>
    <w:rsid w:val="00C00E2A"/>
    <w:rsid w:val="00C025B9"/>
    <w:rsid w:val="00C03EA2"/>
    <w:rsid w:val="00C044B4"/>
    <w:rsid w:val="00C05105"/>
    <w:rsid w:val="00C05A5D"/>
    <w:rsid w:val="00C0622F"/>
    <w:rsid w:val="00C0654A"/>
    <w:rsid w:val="00C06A59"/>
    <w:rsid w:val="00C06DE3"/>
    <w:rsid w:val="00C06F97"/>
    <w:rsid w:val="00C10B11"/>
    <w:rsid w:val="00C10BE6"/>
    <w:rsid w:val="00C11296"/>
    <w:rsid w:val="00C11905"/>
    <w:rsid w:val="00C1234A"/>
    <w:rsid w:val="00C12661"/>
    <w:rsid w:val="00C126E3"/>
    <w:rsid w:val="00C1330F"/>
    <w:rsid w:val="00C13ED7"/>
    <w:rsid w:val="00C14615"/>
    <w:rsid w:val="00C14F48"/>
    <w:rsid w:val="00C15296"/>
    <w:rsid w:val="00C17750"/>
    <w:rsid w:val="00C2094B"/>
    <w:rsid w:val="00C20DC5"/>
    <w:rsid w:val="00C2294E"/>
    <w:rsid w:val="00C22A5B"/>
    <w:rsid w:val="00C23412"/>
    <w:rsid w:val="00C264C7"/>
    <w:rsid w:val="00C271C4"/>
    <w:rsid w:val="00C274F3"/>
    <w:rsid w:val="00C30A54"/>
    <w:rsid w:val="00C316F7"/>
    <w:rsid w:val="00C31DF0"/>
    <w:rsid w:val="00C32578"/>
    <w:rsid w:val="00C33916"/>
    <w:rsid w:val="00C33BCF"/>
    <w:rsid w:val="00C34D1D"/>
    <w:rsid w:val="00C353A0"/>
    <w:rsid w:val="00C368D7"/>
    <w:rsid w:val="00C36FD1"/>
    <w:rsid w:val="00C371A5"/>
    <w:rsid w:val="00C400B0"/>
    <w:rsid w:val="00C40F4E"/>
    <w:rsid w:val="00C413FC"/>
    <w:rsid w:val="00C422C5"/>
    <w:rsid w:val="00C43D33"/>
    <w:rsid w:val="00C44407"/>
    <w:rsid w:val="00C456E8"/>
    <w:rsid w:val="00C46630"/>
    <w:rsid w:val="00C46CD7"/>
    <w:rsid w:val="00C47A2F"/>
    <w:rsid w:val="00C50D18"/>
    <w:rsid w:val="00C51179"/>
    <w:rsid w:val="00C5282C"/>
    <w:rsid w:val="00C52FBE"/>
    <w:rsid w:val="00C5355E"/>
    <w:rsid w:val="00C535E2"/>
    <w:rsid w:val="00C539FF"/>
    <w:rsid w:val="00C53FC1"/>
    <w:rsid w:val="00C56438"/>
    <w:rsid w:val="00C570B3"/>
    <w:rsid w:val="00C6009F"/>
    <w:rsid w:val="00C60417"/>
    <w:rsid w:val="00C6046F"/>
    <w:rsid w:val="00C638C2"/>
    <w:rsid w:val="00C651D4"/>
    <w:rsid w:val="00C6669E"/>
    <w:rsid w:val="00C672B0"/>
    <w:rsid w:val="00C729C7"/>
    <w:rsid w:val="00C761FA"/>
    <w:rsid w:val="00C777AD"/>
    <w:rsid w:val="00C80866"/>
    <w:rsid w:val="00C80C53"/>
    <w:rsid w:val="00C81195"/>
    <w:rsid w:val="00C85387"/>
    <w:rsid w:val="00C85AA1"/>
    <w:rsid w:val="00C85E52"/>
    <w:rsid w:val="00C86471"/>
    <w:rsid w:val="00C8677B"/>
    <w:rsid w:val="00C86F96"/>
    <w:rsid w:val="00C909C6"/>
    <w:rsid w:val="00C923B7"/>
    <w:rsid w:val="00C94D4C"/>
    <w:rsid w:val="00CA012C"/>
    <w:rsid w:val="00CA0AA6"/>
    <w:rsid w:val="00CA2897"/>
    <w:rsid w:val="00CA44F3"/>
    <w:rsid w:val="00CA51BA"/>
    <w:rsid w:val="00CA582C"/>
    <w:rsid w:val="00CA6077"/>
    <w:rsid w:val="00CA715B"/>
    <w:rsid w:val="00CA74B0"/>
    <w:rsid w:val="00CA7988"/>
    <w:rsid w:val="00CA7BA2"/>
    <w:rsid w:val="00CB0B78"/>
    <w:rsid w:val="00CB12A5"/>
    <w:rsid w:val="00CB17FA"/>
    <w:rsid w:val="00CB23D8"/>
    <w:rsid w:val="00CB2ED9"/>
    <w:rsid w:val="00CB36A5"/>
    <w:rsid w:val="00CB56B4"/>
    <w:rsid w:val="00CB7286"/>
    <w:rsid w:val="00CB7947"/>
    <w:rsid w:val="00CC1783"/>
    <w:rsid w:val="00CC1883"/>
    <w:rsid w:val="00CC38E9"/>
    <w:rsid w:val="00CC3B46"/>
    <w:rsid w:val="00CC3D8B"/>
    <w:rsid w:val="00CC4E27"/>
    <w:rsid w:val="00CC570C"/>
    <w:rsid w:val="00CC606D"/>
    <w:rsid w:val="00CC62B6"/>
    <w:rsid w:val="00CC76AA"/>
    <w:rsid w:val="00CC7CD2"/>
    <w:rsid w:val="00CD05CF"/>
    <w:rsid w:val="00CD06AB"/>
    <w:rsid w:val="00CD1FAE"/>
    <w:rsid w:val="00CD232F"/>
    <w:rsid w:val="00CD279E"/>
    <w:rsid w:val="00CD2F92"/>
    <w:rsid w:val="00CD4EB0"/>
    <w:rsid w:val="00CD512D"/>
    <w:rsid w:val="00CD541B"/>
    <w:rsid w:val="00CD5831"/>
    <w:rsid w:val="00CD6F6E"/>
    <w:rsid w:val="00CE08D1"/>
    <w:rsid w:val="00CE157F"/>
    <w:rsid w:val="00CE1966"/>
    <w:rsid w:val="00CE1ED4"/>
    <w:rsid w:val="00CE2216"/>
    <w:rsid w:val="00CE3014"/>
    <w:rsid w:val="00CE30E5"/>
    <w:rsid w:val="00CE6FC6"/>
    <w:rsid w:val="00CF2056"/>
    <w:rsid w:val="00CF4471"/>
    <w:rsid w:val="00CF51C0"/>
    <w:rsid w:val="00CF5B2A"/>
    <w:rsid w:val="00CF5F57"/>
    <w:rsid w:val="00CF64A7"/>
    <w:rsid w:val="00CF6730"/>
    <w:rsid w:val="00CF70E5"/>
    <w:rsid w:val="00CF7CEC"/>
    <w:rsid w:val="00D00B0F"/>
    <w:rsid w:val="00D00B66"/>
    <w:rsid w:val="00D01BF4"/>
    <w:rsid w:val="00D0272C"/>
    <w:rsid w:val="00D045CE"/>
    <w:rsid w:val="00D05082"/>
    <w:rsid w:val="00D06163"/>
    <w:rsid w:val="00D07AFD"/>
    <w:rsid w:val="00D07E35"/>
    <w:rsid w:val="00D11749"/>
    <w:rsid w:val="00D12A7D"/>
    <w:rsid w:val="00D13AB0"/>
    <w:rsid w:val="00D1519E"/>
    <w:rsid w:val="00D152B7"/>
    <w:rsid w:val="00D16EDC"/>
    <w:rsid w:val="00D17FDE"/>
    <w:rsid w:val="00D201CB"/>
    <w:rsid w:val="00D22786"/>
    <w:rsid w:val="00D228B4"/>
    <w:rsid w:val="00D25AC4"/>
    <w:rsid w:val="00D27D88"/>
    <w:rsid w:val="00D305F6"/>
    <w:rsid w:val="00D30B25"/>
    <w:rsid w:val="00D3175A"/>
    <w:rsid w:val="00D31A00"/>
    <w:rsid w:val="00D323E4"/>
    <w:rsid w:val="00D32871"/>
    <w:rsid w:val="00D33881"/>
    <w:rsid w:val="00D34282"/>
    <w:rsid w:val="00D366B1"/>
    <w:rsid w:val="00D37AE0"/>
    <w:rsid w:val="00D40B5C"/>
    <w:rsid w:val="00D416A8"/>
    <w:rsid w:val="00D4217D"/>
    <w:rsid w:val="00D4257C"/>
    <w:rsid w:val="00D425AC"/>
    <w:rsid w:val="00D42823"/>
    <w:rsid w:val="00D42D5E"/>
    <w:rsid w:val="00D43F14"/>
    <w:rsid w:val="00D44C18"/>
    <w:rsid w:val="00D4556D"/>
    <w:rsid w:val="00D511C6"/>
    <w:rsid w:val="00D5121D"/>
    <w:rsid w:val="00D516AC"/>
    <w:rsid w:val="00D521BB"/>
    <w:rsid w:val="00D52875"/>
    <w:rsid w:val="00D54050"/>
    <w:rsid w:val="00D56321"/>
    <w:rsid w:val="00D56AC0"/>
    <w:rsid w:val="00D6081B"/>
    <w:rsid w:val="00D61A37"/>
    <w:rsid w:val="00D6240A"/>
    <w:rsid w:val="00D63093"/>
    <w:rsid w:val="00D63599"/>
    <w:rsid w:val="00D63EBD"/>
    <w:rsid w:val="00D64B69"/>
    <w:rsid w:val="00D67101"/>
    <w:rsid w:val="00D7106D"/>
    <w:rsid w:val="00D71B45"/>
    <w:rsid w:val="00D71F8A"/>
    <w:rsid w:val="00D73BEB"/>
    <w:rsid w:val="00D75603"/>
    <w:rsid w:val="00D75FEE"/>
    <w:rsid w:val="00D76933"/>
    <w:rsid w:val="00D76D88"/>
    <w:rsid w:val="00D77CC9"/>
    <w:rsid w:val="00D83D4B"/>
    <w:rsid w:val="00D871C6"/>
    <w:rsid w:val="00D91010"/>
    <w:rsid w:val="00D9120E"/>
    <w:rsid w:val="00DA0FA7"/>
    <w:rsid w:val="00DA12B0"/>
    <w:rsid w:val="00DA2BA0"/>
    <w:rsid w:val="00DA39AD"/>
    <w:rsid w:val="00DA51AB"/>
    <w:rsid w:val="00DA5B13"/>
    <w:rsid w:val="00DA6917"/>
    <w:rsid w:val="00DA6926"/>
    <w:rsid w:val="00DB0965"/>
    <w:rsid w:val="00DB0E47"/>
    <w:rsid w:val="00DB2BDD"/>
    <w:rsid w:val="00DB37C5"/>
    <w:rsid w:val="00DB4121"/>
    <w:rsid w:val="00DB46C3"/>
    <w:rsid w:val="00DB5742"/>
    <w:rsid w:val="00DB5EDF"/>
    <w:rsid w:val="00DB6C46"/>
    <w:rsid w:val="00DB72B8"/>
    <w:rsid w:val="00DC16AF"/>
    <w:rsid w:val="00DC2A9A"/>
    <w:rsid w:val="00DC2E2E"/>
    <w:rsid w:val="00DC4D68"/>
    <w:rsid w:val="00DC6463"/>
    <w:rsid w:val="00DC7822"/>
    <w:rsid w:val="00DC7AF1"/>
    <w:rsid w:val="00DD2D92"/>
    <w:rsid w:val="00DD3026"/>
    <w:rsid w:val="00DD33DC"/>
    <w:rsid w:val="00DD3BB0"/>
    <w:rsid w:val="00DD61F5"/>
    <w:rsid w:val="00DE3223"/>
    <w:rsid w:val="00DE41AC"/>
    <w:rsid w:val="00DE64A6"/>
    <w:rsid w:val="00DE66EB"/>
    <w:rsid w:val="00DE7035"/>
    <w:rsid w:val="00DF12E3"/>
    <w:rsid w:val="00DF3F1D"/>
    <w:rsid w:val="00DF595C"/>
    <w:rsid w:val="00DF7EA7"/>
    <w:rsid w:val="00E04548"/>
    <w:rsid w:val="00E0484E"/>
    <w:rsid w:val="00E063F8"/>
    <w:rsid w:val="00E079AF"/>
    <w:rsid w:val="00E114D6"/>
    <w:rsid w:val="00E1166E"/>
    <w:rsid w:val="00E11DBD"/>
    <w:rsid w:val="00E13211"/>
    <w:rsid w:val="00E16FB5"/>
    <w:rsid w:val="00E179D6"/>
    <w:rsid w:val="00E21407"/>
    <w:rsid w:val="00E22668"/>
    <w:rsid w:val="00E227D3"/>
    <w:rsid w:val="00E22BFF"/>
    <w:rsid w:val="00E22CB0"/>
    <w:rsid w:val="00E23798"/>
    <w:rsid w:val="00E2585D"/>
    <w:rsid w:val="00E25DBD"/>
    <w:rsid w:val="00E25FA2"/>
    <w:rsid w:val="00E2723D"/>
    <w:rsid w:val="00E27C77"/>
    <w:rsid w:val="00E3179E"/>
    <w:rsid w:val="00E32AC9"/>
    <w:rsid w:val="00E354DA"/>
    <w:rsid w:val="00E354F5"/>
    <w:rsid w:val="00E3687E"/>
    <w:rsid w:val="00E372DD"/>
    <w:rsid w:val="00E40974"/>
    <w:rsid w:val="00E40A5C"/>
    <w:rsid w:val="00E40AAB"/>
    <w:rsid w:val="00E41205"/>
    <w:rsid w:val="00E41F32"/>
    <w:rsid w:val="00E42608"/>
    <w:rsid w:val="00E43536"/>
    <w:rsid w:val="00E43DA3"/>
    <w:rsid w:val="00E44B80"/>
    <w:rsid w:val="00E47430"/>
    <w:rsid w:val="00E50FB7"/>
    <w:rsid w:val="00E5199F"/>
    <w:rsid w:val="00E526DF"/>
    <w:rsid w:val="00E53624"/>
    <w:rsid w:val="00E53C15"/>
    <w:rsid w:val="00E54EE6"/>
    <w:rsid w:val="00E56715"/>
    <w:rsid w:val="00E56C2C"/>
    <w:rsid w:val="00E57F8E"/>
    <w:rsid w:val="00E60776"/>
    <w:rsid w:val="00E611C8"/>
    <w:rsid w:val="00E613EB"/>
    <w:rsid w:val="00E63256"/>
    <w:rsid w:val="00E6344A"/>
    <w:rsid w:val="00E64E69"/>
    <w:rsid w:val="00E64FB7"/>
    <w:rsid w:val="00E669A1"/>
    <w:rsid w:val="00E679BA"/>
    <w:rsid w:val="00E70243"/>
    <w:rsid w:val="00E72BF3"/>
    <w:rsid w:val="00E72CC6"/>
    <w:rsid w:val="00E73D44"/>
    <w:rsid w:val="00E7494A"/>
    <w:rsid w:val="00E74BE2"/>
    <w:rsid w:val="00E74C66"/>
    <w:rsid w:val="00E74FA2"/>
    <w:rsid w:val="00E75933"/>
    <w:rsid w:val="00E77A1B"/>
    <w:rsid w:val="00E808BE"/>
    <w:rsid w:val="00E81E36"/>
    <w:rsid w:val="00E81E40"/>
    <w:rsid w:val="00E82ECE"/>
    <w:rsid w:val="00E84390"/>
    <w:rsid w:val="00E8713B"/>
    <w:rsid w:val="00E90C61"/>
    <w:rsid w:val="00E92A82"/>
    <w:rsid w:val="00E92AA8"/>
    <w:rsid w:val="00E9344E"/>
    <w:rsid w:val="00E93E39"/>
    <w:rsid w:val="00E94212"/>
    <w:rsid w:val="00E94391"/>
    <w:rsid w:val="00E97E2B"/>
    <w:rsid w:val="00EA08CA"/>
    <w:rsid w:val="00EA0C0C"/>
    <w:rsid w:val="00EA103F"/>
    <w:rsid w:val="00EA1AA3"/>
    <w:rsid w:val="00EA2453"/>
    <w:rsid w:val="00EA2AEA"/>
    <w:rsid w:val="00EA332B"/>
    <w:rsid w:val="00EA3D36"/>
    <w:rsid w:val="00EA40AA"/>
    <w:rsid w:val="00EA57E2"/>
    <w:rsid w:val="00EA7186"/>
    <w:rsid w:val="00EB018B"/>
    <w:rsid w:val="00EB1003"/>
    <w:rsid w:val="00EB1132"/>
    <w:rsid w:val="00EB167E"/>
    <w:rsid w:val="00EB24ED"/>
    <w:rsid w:val="00EB2A00"/>
    <w:rsid w:val="00EB2A3F"/>
    <w:rsid w:val="00EB309B"/>
    <w:rsid w:val="00EB3AA2"/>
    <w:rsid w:val="00EB4763"/>
    <w:rsid w:val="00EB5B17"/>
    <w:rsid w:val="00EB6CB7"/>
    <w:rsid w:val="00EC078B"/>
    <w:rsid w:val="00EC07A0"/>
    <w:rsid w:val="00EC08E4"/>
    <w:rsid w:val="00EC1154"/>
    <w:rsid w:val="00EC1A23"/>
    <w:rsid w:val="00EC38B1"/>
    <w:rsid w:val="00EC3CB4"/>
    <w:rsid w:val="00EC443E"/>
    <w:rsid w:val="00EC4D83"/>
    <w:rsid w:val="00EC4EEE"/>
    <w:rsid w:val="00EC634F"/>
    <w:rsid w:val="00EC7B97"/>
    <w:rsid w:val="00ED049C"/>
    <w:rsid w:val="00ED07B7"/>
    <w:rsid w:val="00ED19D7"/>
    <w:rsid w:val="00ED2167"/>
    <w:rsid w:val="00ED351E"/>
    <w:rsid w:val="00ED4063"/>
    <w:rsid w:val="00ED4B27"/>
    <w:rsid w:val="00ED543C"/>
    <w:rsid w:val="00ED6BA4"/>
    <w:rsid w:val="00ED7DA7"/>
    <w:rsid w:val="00EE0598"/>
    <w:rsid w:val="00EE311C"/>
    <w:rsid w:val="00EE56FF"/>
    <w:rsid w:val="00EE5886"/>
    <w:rsid w:val="00EE5FBF"/>
    <w:rsid w:val="00EE6472"/>
    <w:rsid w:val="00EE76F2"/>
    <w:rsid w:val="00EF0769"/>
    <w:rsid w:val="00EF0D7C"/>
    <w:rsid w:val="00EF40E2"/>
    <w:rsid w:val="00EF5FB9"/>
    <w:rsid w:val="00EF61C1"/>
    <w:rsid w:val="00EF6E68"/>
    <w:rsid w:val="00EF76DB"/>
    <w:rsid w:val="00F005FD"/>
    <w:rsid w:val="00F024E2"/>
    <w:rsid w:val="00F02C04"/>
    <w:rsid w:val="00F03AF1"/>
    <w:rsid w:val="00F04BCD"/>
    <w:rsid w:val="00F05A8C"/>
    <w:rsid w:val="00F06211"/>
    <w:rsid w:val="00F10A54"/>
    <w:rsid w:val="00F10C88"/>
    <w:rsid w:val="00F123D0"/>
    <w:rsid w:val="00F13200"/>
    <w:rsid w:val="00F13411"/>
    <w:rsid w:val="00F143BA"/>
    <w:rsid w:val="00F14D98"/>
    <w:rsid w:val="00F2081B"/>
    <w:rsid w:val="00F20A43"/>
    <w:rsid w:val="00F20C51"/>
    <w:rsid w:val="00F21049"/>
    <w:rsid w:val="00F218AE"/>
    <w:rsid w:val="00F22232"/>
    <w:rsid w:val="00F2228E"/>
    <w:rsid w:val="00F22D3C"/>
    <w:rsid w:val="00F23D66"/>
    <w:rsid w:val="00F24E6F"/>
    <w:rsid w:val="00F26069"/>
    <w:rsid w:val="00F26B7E"/>
    <w:rsid w:val="00F27D7D"/>
    <w:rsid w:val="00F3002B"/>
    <w:rsid w:val="00F30BC9"/>
    <w:rsid w:val="00F31E57"/>
    <w:rsid w:val="00F32462"/>
    <w:rsid w:val="00F32FF7"/>
    <w:rsid w:val="00F33EDE"/>
    <w:rsid w:val="00F3568B"/>
    <w:rsid w:val="00F377CD"/>
    <w:rsid w:val="00F40C3B"/>
    <w:rsid w:val="00F40CE0"/>
    <w:rsid w:val="00F41BDD"/>
    <w:rsid w:val="00F42DBC"/>
    <w:rsid w:val="00F4308D"/>
    <w:rsid w:val="00F44012"/>
    <w:rsid w:val="00F44947"/>
    <w:rsid w:val="00F458EF"/>
    <w:rsid w:val="00F47121"/>
    <w:rsid w:val="00F4775D"/>
    <w:rsid w:val="00F504DD"/>
    <w:rsid w:val="00F50874"/>
    <w:rsid w:val="00F516C6"/>
    <w:rsid w:val="00F52221"/>
    <w:rsid w:val="00F52B28"/>
    <w:rsid w:val="00F536BB"/>
    <w:rsid w:val="00F53755"/>
    <w:rsid w:val="00F53E59"/>
    <w:rsid w:val="00F5475B"/>
    <w:rsid w:val="00F551CC"/>
    <w:rsid w:val="00F574D0"/>
    <w:rsid w:val="00F6031F"/>
    <w:rsid w:val="00F61664"/>
    <w:rsid w:val="00F61B99"/>
    <w:rsid w:val="00F61BA8"/>
    <w:rsid w:val="00F64C45"/>
    <w:rsid w:val="00F6502B"/>
    <w:rsid w:val="00F65811"/>
    <w:rsid w:val="00F6612A"/>
    <w:rsid w:val="00F66724"/>
    <w:rsid w:val="00F6683D"/>
    <w:rsid w:val="00F67F04"/>
    <w:rsid w:val="00F70207"/>
    <w:rsid w:val="00F702CB"/>
    <w:rsid w:val="00F70F4A"/>
    <w:rsid w:val="00F71AC2"/>
    <w:rsid w:val="00F739D4"/>
    <w:rsid w:val="00F77D43"/>
    <w:rsid w:val="00F80953"/>
    <w:rsid w:val="00F81312"/>
    <w:rsid w:val="00F81B90"/>
    <w:rsid w:val="00F81E6F"/>
    <w:rsid w:val="00F82FF3"/>
    <w:rsid w:val="00F8453C"/>
    <w:rsid w:val="00F84D4C"/>
    <w:rsid w:val="00F8657D"/>
    <w:rsid w:val="00F86911"/>
    <w:rsid w:val="00F8730F"/>
    <w:rsid w:val="00F87DA3"/>
    <w:rsid w:val="00F90004"/>
    <w:rsid w:val="00F90EF4"/>
    <w:rsid w:val="00F917BF"/>
    <w:rsid w:val="00F920B4"/>
    <w:rsid w:val="00F9260D"/>
    <w:rsid w:val="00F92727"/>
    <w:rsid w:val="00F93CCF"/>
    <w:rsid w:val="00F94307"/>
    <w:rsid w:val="00F9580B"/>
    <w:rsid w:val="00F95F15"/>
    <w:rsid w:val="00F975CA"/>
    <w:rsid w:val="00FA0B60"/>
    <w:rsid w:val="00FA2528"/>
    <w:rsid w:val="00FA5535"/>
    <w:rsid w:val="00FA625B"/>
    <w:rsid w:val="00FA7206"/>
    <w:rsid w:val="00FA7EFB"/>
    <w:rsid w:val="00FB0816"/>
    <w:rsid w:val="00FB08C2"/>
    <w:rsid w:val="00FB3DD1"/>
    <w:rsid w:val="00FB51FD"/>
    <w:rsid w:val="00FB5667"/>
    <w:rsid w:val="00FB7A97"/>
    <w:rsid w:val="00FC1B9B"/>
    <w:rsid w:val="00FC318D"/>
    <w:rsid w:val="00FC36CF"/>
    <w:rsid w:val="00FC40BC"/>
    <w:rsid w:val="00FC41FC"/>
    <w:rsid w:val="00FC4F6E"/>
    <w:rsid w:val="00FC506C"/>
    <w:rsid w:val="00FC578C"/>
    <w:rsid w:val="00FC5A37"/>
    <w:rsid w:val="00FC7223"/>
    <w:rsid w:val="00FD0F60"/>
    <w:rsid w:val="00FD13EA"/>
    <w:rsid w:val="00FD232F"/>
    <w:rsid w:val="00FD5EC4"/>
    <w:rsid w:val="00FD7858"/>
    <w:rsid w:val="00FD7A8D"/>
    <w:rsid w:val="00FE1330"/>
    <w:rsid w:val="00FE1CE5"/>
    <w:rsid w:val="00FE2832"/>
    <w:rsid w:val="00FE2D38"/>
    <w:rsid w:val="00FE3929"/>
    <w:rsid w:val="00FF097B"/>
    <w:rsid w:val="00FF0B6E"/>
    <w:rsid w:val="00FF1C1B"/>
    <w:rsid w:val="00FF2067"/>
    <w:rsid w:val="00FF3984"/>
    <w:rsid w:val="00FF3BC4"/>
    <w:rsid w:val="00FF4B66"/>
    <w:rsid w:val="00FF688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colormru v:ext="edit" colors="#2d4491,#283583"/>
    </o:shapedefaults>
    <o:shapelayout v:ext="edit">
      <o:idmap v:ext="edit" data="1"/>
    </o:shapelayout>
  </w:shapeDefaults>
  <w:decimalSymbol w:val=","/>
  <w:listSeparator w:val=";"/>
  <w14:docId w14:val="6A3CB02B"/>
  <w15:docId w15:val="{EF420317-D056-43EE-B1A3-6BEC00578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0769"/>
    <w:rPr>
      <w:rFonts w:ascii="Arial" w:hAnsi="Arial"/>
      <w:szCs w:val="24"/>
      <w:lang w:eastAsia="de-DE"/>
    </w:rPr>
  </w:style>
  <w:style w:type="paragraph" w:styleId="Overskrift1">
    <w:name w:val="heading 1"/>
    <w:basedOn w:val="Normal"/>
    <w:next w:val="Normal"/>
    <w:link w:val="Overskrift1Tegn"/>
    <w:qFormat/>
    <w:rsid w:val="009E7724"/>
    <w:pPr>
      <w:keepNext/>
      <w:numPr>
        <w:numId w:val="5"/>
      </w:numPr>
      <w:spacing w:before="240" w:after="60"/>
      <w:outlineLvl w:val="0"/>
    </w:pPr>
    <w:rPr>
      <w:rFonts w:cs="Arial"/>
      <w:b/>
      <w:bCs/>
      <w:kern w:val="32"/>
      <w:sz w:val="24"/>
      <w:szCs w:val="32"/>
    </w:rPr>
  </w:style>
  <w:style w:type="paragraph" w:styleId="Overskrift2">
    <w:name w:val="heading 2"/>
    <w:basedOn w:val="Normal"/>
    <w:next w:val="Normal"/>
    <w:link w:val="Overskrift2Tegn"/>
    <w:qFormat/>
    <w:rsid w:val="00886A60"/>
    <w:pPr>
      <w:keepNext/>
      <w:keepLines/>
      <w:spacing w:before="200" w:after="120"/>
      <w:outlineLvl w:val="1"/>
    </w:pPr>
    <w:rPr>
      <w:b/>
      <w:bCs/>
      <w:szCs w:val="26"/>
    </w:rPr>
  </w:style>
  <w:style w:type="paragraph" w:styleId="Overskrift3">
    <w:name w:val="heading 3"/>
    <w:basedOn w:val="Normal"/>
    <w:next w:val="Normal"/>
    <w:link w:val="Overskrift3Tegn"/>
    <w:qFormat/>
    <w:rsid w:val="003865E5"/>
    <w:pPr>
      <w:keepNext/>
      <w:keepLines/>
      <w:spacing w:before="200"/>
      <w:outlineLvl w:val="2"/>
    </w:pPr>
    <w:rPr>
      <w:rFonts w:ascii="Cambria" w:hAnsi="Cambria"/>
      <w:b/>
      <w:bCs/>
      <w:color w:val="4F81BD"/>
    </w:rPr>
  </w:style>
  <w:style w:type="paragraph" w:styleId="Overskrift4">
    <w:name w:val="heading 4"/>
    <w:basedOn w:val="Normal"/>
    <w:next w:val="Normal"/>
    <w:link w:val="Overskrift4Tegn"/>
    <w:qFormat/>
    <w:rsid w:val="00CB7286"/>
    <w:pPr>
      <w:keepNext/>
      <w:tabs>
        <w:tab w:val="num" w:pos="864"/>
      </w:tabs>
      <w:spacing w:before="240" w:after="60"/>
      <w:ind w:left="864" w:hanging="864"/>
      <w:outlineLvl w:val="3"/>
    </w:pPr>
    <w:rPr>
      <w:rFonts w:ascii="Times New Roman" w:hAnsi="Times New Roman"/>
      <w:b/>
      <w:bCs/>
      <w:sz w:val="28"/>
      <w:szCs w:val="28"/>
    </w:rPr>
  </w:style>
  <w:style w:type="paragraph" w:styleId="Overskrift5">
    <w:name w:val="heading 5"/>
    <w:aliases w:val="Questions"/>
    <w:basedOn w:val="Normal"/>
    <w:next w:val="Normal"/>
    <w:link w:val="Overskrift5Tegn"/>
    <w:qFormat/>
    <w:rsid w:val="00E9344E"/>
    <w:pPr>
      <w:keepNext/>
      <w:keepLines/>
      <w:numPr>
        <w:numId w:val="13"/>
      </w:numPr>
      <w:spacing w:before="200"/>
      <w:jc w:val="both"/>
      <w:outlineLvl w:val="4"/>
    </w:pPr>
    <w:rPr>
      <w:b/>
    </w:rPr>
  </w:style>
  <w:style w:type="paragraph" w:styleId="Overskrift6">
    <w:name w:val="heading 6"/>
    <w:basedOn w:val="Normal"/>
    <w:next w:val="Normal"/>
    <w:link w:val="Overskrift6Tegn"/>
    <w:qFormat/>
    <w:rsid w:val="003609B6"/>
    <w:pPr>
      <w:numPr>
        <w:ilvl w:val="5"/>
        <w:numId w:val="4"/>
      </w:numPr>
      <w:spacing w:before="240" w:after="60"/>
      <w:outlineLvl w:val="5"/>
    </w:pPr>
    <w:rPr>
      <w:rFonts w:ascii="Times New Roman" w:hAnsi="Times New Roman"/>
      <w:b/>
      <w:bCs/>
      <w:szCs w:val="22"/>
    </w:rPr>
  </w:style>
  <w:style w:type="paragraph" w:styleId="Overskrift7">
    <w:name w:val="heading 7"/>
    <w:basedOn w:val="Normal"/>
    <w:next w:val="Normal"/>
    <w:link w:val="Overskrift7Tegn"/>
    <w:unhideWhenUsed/>
    <w:qFormat/>
    <w:rsid w:val="002D6E1A"/>
    <w:pPr>
      <w:spacing w:before="240" w:after="60"/>
      <w:ind w:left="1296" w:hanging="1296"/>
      <w:outlineLvl w:val="6"/>
    </w:pPr>
    <w:rPr>
      <w:rFonts w:ascii="Times New Roman" w:hAnsi="Times New Roman"/>
    </w:rPr>
  </w:style>
  <w:style w:type="paragraph" w:styleId="Overskrift8">
    <w:name w:val="heading 8"/>
    <w:basedOn w:val="Normal"/>
    <w:next w:val="Normal"/>
    <w:link w:val="Overskrift8Tegn"/>
    <w:qFormat/>
    <w:rsid w:val="003609B6"/>
    <w:pPr>
      <w:numPr>
        <w:ilvl w:val="7"/>
        <w:numId w:val="4"/>
      </w:numPr>
      <w:spacing w:before="240" w:after="60"/>
      <w:outlineLvl w:val="7"/>
    </w:pPr>
    <w:rPr>
      <w:rFonts w:ascii="Times New Roman" w:hAnsi="Times New Roman"/>
      <w:i/>
      <w:iCs/>
    </w:rPr>
  </w:style>
  <w:style w:type="paragraph" w:styleId="Overskrift9">
    <w:name w:val="heading 9"/>
    <w:basedOn w:val="Normal"/>
    <w:next w:val="Normal"/>
    <w:link w:val="Overskrift9Tegn"/>
    <w:qFormat/>
    <w:rsid w:val="00A06867"/>
    <w:pPr>
      <w:tabs>
        <w:tab w:val="num" w:pos="1584"/>
      </w:tabs>
      <w:spacing w:before="240" w:after="60"/>
      <w:ind w:left="1584" w:hanging="1584"/>
      <w:outlineLvl w:val="8"/>
    </w:pPr>
    <w:rPr>
      <w:rFonts w:cs="Arial"/>
      <w:szCs w:val="2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rsid w:val="005B64CB"/>
    <w:pPr>
      <w:tabs>
        <w:tab w:val="center" w:pos="4536"/>
        <w:tab w:val="right" w:pos="9072"/>
      </w:tabs>
    </w:pPr>
  </w:style>
  <w:style w:type="paragraph" w:styleId="Bunntekst">
    <w:name w:val="footer"/>
    <w:basedOn w:val="Normal"/>
    <w:link w:val="BunntekstTegn"/>
    <w:uiPriority w:val="99"/>
    <w:rsid w:val="005B64CB"/>
    <w:pPr>
      <w:tabs>
        <w:tab w:val="center" w:pos="4536"/>
        <w:tab w:val="right" w:pos="9072"/>
      </w:tabs>
    </w:pPr>
  </w:style>
  <w:style w:type="table" w:styleId="Tabellrutenett">
    <w:name w:val="Table Grid"/>
    <w:basedOn w:val="Vanligtabell"/>
    <w:rsid w:val="006521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Footer">
    <w:name w:val="00_Footer"/>
    <w:basedOn w:val="Normal"/>
    <w:rsid w:val="003E3ACA"/>
    <w:pPr>
      <w:spacing w:line="200" w:lineRule="exact"/>
    </w:pPr>
    <w:rPr>
      <w:color w:val="2D4190"/>
      <w:sz w:val="16"/>
    </w:rPr>
  </w:style>
  <w:style w:type="paragraph" w:customStyle="1" w:styleId="05aTitle">
    <w:name w:val="05a_Title"/>
    <w:basedOn w:val="Normal"/>
    <w:rsid w:val="00791EB4"/>
    <w:pPr>
      <w:spacing w:line="340" w:lineRule="exact"/>
    </w:pPr>
    <w:rPr>
      <w:b/>
      <w:color w:val="000000"/>
      <w:sz w:val="28"/>
    </w:rPr>
  </w:style>
  <w:style w:type="paragraph" w:customStyle="1" w:styleId="02Date">
    <w:name w:val="02_Date"/>
    <w:basedOn w:val="Normal"/>
    <w:rsid w:val="001725A5"/>
    <w:pPr>
      <w:spacing w:line="220" w:lineRule="exact"/>
    </w:pPr>
    <w:rPr>
      <w:sz w:val="17"/>
    </w:rPr>
  </w:style>
  <w:style w:type="paragraph" w:customStyle="1" w:styleId="00aPagenumber">
    <w:name w:val="00a_Page number"/>
    <w:basedOn w:val="00Footer"/>
    <w:rsid w:val="003E3ACA"/>
    <w:pPr>
      <w:spacing w:line="280" w:lineRule="atLeast"/>
      <w:jc w:val="right"/>
    </w:pPr>
    <w:rPr>
      <w:color w:val="000000"/>
      <w:sz w:val="20"/>
    </w:rPr>
  </w:style>
  <w:style w:type="paragraph" w:customStyle="1" w:styleId="04BodyText">
    <w:name w:val="04_Body Text"/>
    <w:basedOn w:val="Normal"/>
    <w:link w:val="04BodyTextChar"/>
    <w:rsid w:val="001725A5"/>
    <w:pPr>
      <w:spacing w:after="250" w:line="276" w:lineRule="auto"/>
      <w:jc w:val="both"/>
    </w:pPr>
  </w:style>
  <w:style w:type="paragraph" w:customStyle="1" w:styleId="05HeadlinenoIndex">
    <w:name w:val="05_Headline no Index"/>
    <w:basedOn w:val="04BodyText"/>
    <w:rsid w:val="001725A5"/>
    <w:pPr>
      <w:spacing w:line="300" w:lineRule="exact"/>
    </w:pPr>
    <w:rPr>
      <w:b/>
      <w:sz w:val="24"/>
    </w:rPr>
  </w:style>
  <w:style w:type="paragraph" w:customStyle="1" w:styleId="05cHeadline1">
    <w:name w:val="05c_Headline 1"/>
    <w:basedOn w:val="05HeadlinenoIndex"/>
    <w:next w:val="04BodyText"/>
    <w:rsid w:val="003E3ACA"/>
    <w:pPr>
      <w:keepNext/>
      <w:numPr>
        <w:numId w:val="4"/>
      </w:numPr>
      <w:tabs>
        <w:tab w:val="left" w:pos="284"/>
        <w:tab w:val="left" w:pos="397"/>
      </w:tabs>
      <w:spacing w:after="280" w:line="280" w:lineRule="exact"/>
    </w:pPr>
    <w:rPr>
      <w:sz w:val="20"/>
    </w:rPr>
  </w:style>
  <w:style w:type="paragraph" w:customStyle="1" w:styleId="04aNumbering">
    <w:name w:val="04a_Numbering"/>
    <w:basedOn w:val="04BodyText"/>
    <w:link w:val="04aNumberingChar"/>
    <w:uiPriority w:val="99"/>
    <w:rsid w:val="00D75603"/>
    <w:pPr>
      <w:tabs>
        <w:tab w:val="num" w:pos="851"/>
      </w:tabs>
      <w:ind w:left="851" w:hanging="284"/>
    </w:pPr>
  </w:style>
  <w:style w:type="character" w:styleId="Sidetall">
    <w:name w:val="page number"/>
    <w:basedOn w:val="Standardskriftforavsnitt"/>
    <w:rsid w:val="00620D7C"/>
  </w:style>
  <w:style w:type="paragraph" w:customStyle="1" w:styleId="00bDBInfo">
    <w:name w:val="00b_DB_Info"/>
    <w:basedOn w:val="00aPagenumber"/>
    <w:rsid w:val="001725A5"/>
    <w:rPr>
      <w:color w:val="FFFFFF"/>
    </w:rPr>
  </w:style>
  <w:style w:type="paragraph" w:customStyle="1" w:styleId="01aDBTitle">
    <w:name w:val="01a_DB_Title"/>
    <w:basedOn w:val="05aTitle"/>
    <w:rsid w:val="00791EB4"/>
    <w:pPr>
      <w:spacing w:line="400" w:lineRule="exact"/>
      <w:jc w:val="right"/>
    </w:pPr>
    <w:rPr>
      <w:color w:val="2D4190"/>
      <w:sz w:val="40"/>
    </w:rPr>
  </w:style>
  <w:style w:type="paragraph" w:customStyle="1" w:styleId="01bDBSubtitle">
    <w:name w:val="01b_DB_Subtitle"/>
    <w:rsid w:val="001725A5"/>
    <w:pPr>
      <w:jc w:val="right"/>
    </w:pPr>
    <w:rPr>
      <w:rFonts w:ascii="Georgia" w:hAnsi="Georgia"/>
      <w:color w:val="000000"/>
      <w:sz w:val="24"/>
      <w:szCs w:val="24"/>
      <w:lang w:eastAsia="de-DE"/>
    </w:rPr>
  </w:style>
  <w:style w:type="paragraph" w:customStyle="1" w:styleId="05dHeadline1blue">
    <w:name w:val="05d_Headline 1 blue"/>
    <w:basedOn w:val="05cHeadline1"/>
    <w:next w:val="04fBodytextblue"/>
    <w:rsid w:val="003E3ACA"/>
    <w:pPr>
      <w:numPr>
        <w:numId w:val="1"/>
      </w:numPr>
      <w:pBdr>
        <w:top w:val="single" w:sz="4" w:space="10" w:color="283583"/>
      </w:pBdr>
      <w:tabs>
        <w:tab w:val="left" w:pos="284"/>
      </w:tabs>
    </w:pPr>
    <w:rPr>
      <w:color w:val="2D4190"/>
    </w:rPr>
  </w:style>
  <w:style w:type="paragraph" w:styleId="INNH1">
    <w:name w:val="toc 1"/>
    <w:basedOn w:val="Normal"/>
    <w:next w:val="Normal"/>
    <w:autoRedefine/>
    <w:uiPriority w:val="39"/>
    <w:qFormat/>
    <w:rsid w:val="006476F7"/>
    <w:pPr>
      <w:tabs>
        <w:tab w:val="left" w:pos="510"/>
        <w:tab w:val="right" w:leader="underscore" w:pos="9412"/>
      </w:tabs>
      <w:spacing w:line="250" w:lineRule="exact"/>
    </w:pPr>
  </w:style>
  <w:style w:type="paragraph" w:customStyle="1" w:styleId="04fBodytextblue">
    <w:name w:val="04f_Body text blue"/>
    <w:basedOn w:val="04BodyText"/>
    <w:rsid w:val="001725A5"/>
    <w:pPr>
      <w:pBdr>
        <w:bottom w:val="single" w:sz="4" w:space="12" w:color="283583"/>
      </w:pBdr>
    </w:pPr>
    <w:rPr>
      <w:color w:val="2D4190"/>
    </w:rPr>
  </w:style>
  <w:style w:type="character" w:styleId="Hyperkobling">
    <w:name w:val="Hyperlink"/>
    <w:uiPriority w:val="99"/>
    <w:rsid w:val="00EA332B"/>
    <w:rPr>
      <w:color w:val="0000FF"/>
      <w:u w:val="single"/>
    </w:rPr>
  </w:style>
  <w:style w:type="paragraph" w:customStyle="1" w:styleId="04bList">
    <w:name w:val="04b_List"/>
    <w:basedOn w:val="04BodyText"/>
    <w:uiPriority w:val="99"/>
    <w:rsid w:val="00D75603"/>
    <w:pPr>
      <w:numPr>
        <w:numId w:val="3"/>
      </w:numPr>
    </w:pPr>
  </w:style>
  <w:style w:type="paragraph" w:customStyle="1" w:styleId="04eBodytextleft">
    <w:name w:val="04e_Body text left"/>
    <w:basedOn w:val="04BodyText"/>
    <w:rsid w:val="001725A5"/>
    <w:pPr>
      <w:spacing w:after="0"/>
      <w:jc w:val="left"/>
    </w:pPr>
  </w:style>
  <w:style w:type="paragraph" w:customStyle="1" w:styleId="05eHeadline2">
    <w:name w:val="05e_Headline 2"/>
    <w:rsid w:val="003E3ACA"/>
    <w:pPr>
      <w:numPr>
        <w:ilvl w:val="1"/>
        <w:numId w:val="4"/>
      </w:numPr>
      <w:tabs>
        <w:tab w:val="left" w:pos="397"/>
      </w:tabs>
      <w:spacing w:after="250" w:line="250" w:lineRule="exact"/>
    </w:pPr>
    <w:rPr>
      <w:rFonts w:ascii="Georgia" w:hAnsi="Georgia" w:cs="Arial"/>
      <w:bCs/>
      <w:iCs/>
      <w:lang w:eastAsia="de-DE"/>
    </w:rPr>
  </w:style>
  <w:style w:type="paragraph" w:styleId="Fotnotetekst">
    <w:name w:val="footnote text"/>
    <w:aliases w:val="Char3, Char3,Fußnotentextf,Fußnotentextr,stile 1,Footnote1,Footnote2,Footnote3,Footnote4,Footnote5,Footnote6,Footnote7,Footnote8,Footnote9,Footnote10,Footnote11,Footnote21,Footnote31,Footnote41,Footnote51,Footnote61,Footnote71,Fußnote, Cha"/>
    <w:basedOn w:val="Normal"/>
    <w:link w:val="FotnotetekstTegn"/>
    <w:uiPriority w:val="99"/>
    <w:qFormat/>
    <w:rsid w:val="001725A5"/>
    <w:pPr>
      <w:spacing w:line="200" w:lineRule="exact"/>
    </w:pPr>
    <w:rPr>
      <w:sz w:val="16"/>
      <w:szCs w:val="20"/>
    </w:rPr>
  </w:style>
  <w:style w:type="character" w:styleId="Fotnotereferanse">
    <w:name w:val="footnote reference"/>
    <w:aliases w:val="SUPERS,Footnote reference number,Footnote symbol,note TESI,-E Fußnotenzeichen,number,BVI fnr,Footnote,Footnote Reference Superscript,(Footnote Reference),EN Footnote Reference,Voetnootverwijzing,Times 10 Point,Exposant 3 Poi,16 Point"/>
    <w:link w:val="1"/>
    <w:uiPriority w:val="99"/>
    <w:qFormat/>
    <w:rsid w:val="00C274F3"/>
    <w:rPr>
      <w:vertAlign w:val="superscript"/>
    </w:rPr>
  </w:style>
  <w:style w:type="paragraph" w:styleId="INNH2">
    <w:name w:val="toc 2"/>
    <w:basedOn w:val="Normal"/>
    <w:next w:val="Normal"/>
    <w:autoRedefine/>
    <w:uiPriority w:val="39"/>
    <w:qFormat/>
    <w:rsid w:val="00463787"/>
    <w:pPr>
      <w:spacing w:after="100"/>
      <w:ind w:left="220"/>
    </w:pPr>
  </w:style>
  <w:style w:type="paragraph" w:customStyle="1" w:styleId="05bHeadline1black">
    <w:name w:val="05b_Headline 1 black"/>
    <w:basedOn w:val="05dHeadline1blue"/>
    <w:rsid w:val="003E3ACA"/>
    <w:pPr>
      <w:pBdr>
        <w:top w:val="none" w:sz="0" w:space="0" w:color="auto"/>
      </w:pBdr>
    </w:pPr>
    <w:rPr>
      <w:color w:val="000000"/>
    </w:rPr>
  </w:style>
  <w:style w:type="paragraph" w:customStyle="1" w:styleId="03Headbold">
    <w:name w:val="03_Head_bold"/>
    <w:basedOn w:val="04BodyText"/>
    <w:rsid w:val="00C13ED7"/>
    <w:pPr>
      <w:tabs>
        <w:tab w:val="left" w:pos="414"/>
        <w:tab w:val="left" w:pos="454"/>
      </w:tabs>
      <w:spacing w:after="0" w:line="240" w:lineRule="auto"/>
    </w:pPr>
    <w:rPr>
      <w:b/>
    </w:rPr>
  </w:style>
  <w:style w:type="paragraph" w:customStyle="1" w:styleId="03aHead">
    <w:name w:val="03a_Head"/>
    <w:basedOn w:val="03Headbold"/>
    <w:rsid w:val="00C13ED7"/>
    <w:rPr>
      <w:b w:val="0"/>
    </w:rPr>
  </w:style>
  <w:style w:type="paragraph" w:customStyle="1" w:styleId="04dBodyTextbold">
    <w:name w:val="04d_Body Text bold"/>
    <w:basedOn w:val="04BodyText"/>
    <w:rsid w:val="00C13ED7"/>
    <w:pPr>
      <w:tabs>
        <w:tab w:val="left" w:pos="414"/>
      </w:tabs>
    </w:pPr>
    <w:rPr>
      <w:b/>
    </w:rPr>
  </w:style>
  <w:style w:type="paragraph" w:customStyle="1" w:styleId="06InfoTitle">
    <w:name w:val="06_Info_Title"/>
    <w:basedOn w:val="Normal"/>
    <w:link w:val="06InfoTitleZchn"/>
    <w:rsid w:val="00C13ED7"/>
    <w:pPr>
      <w:spacing w:after="40"/>
      <w:jc w:val="both"/>
    </w:pPr>
    <w:rPr>
      <w:b/>
      <w:sz w:val="24"/>
    </w:rPr>
  </w:style>
  <w:style w:type="character" w:customStyle="1" w:styleId="06InfoTitleZchn">
    <w:name w:val="06_Info_Title Zchn"/>
    <w:link w:val="06InfoTitle"/>
    <w:rsid w:val="00C13ED7"/>
    <w:rPr>
      <w:rFonts w:ascii="Georgia" w:hAnsi="Georgia"/>
      <w:b/>
      <w:sz w:val="24"/>
      <w:szCs w:val="24"/>
      <w:lang w:val="en-GB" w:eastAsia="de-DE" w:bidi="ar-SA"/>
    </w:rPr>
  </w:style>
  <w:style w:type="paragraph" w:customStyle="1" w:styleId="06aInfoTitle">
    <w:name w:val="06a_Info_Title"/>
    <w:basedOn w:val="06InfoTitle"/>
    <w:link w:val="06aInfoTitleZchn"/>
    <w:rsid w:val="00C13ED7"/>
    <w:rPr>
      <w:sz w:val="16"/>
    </w:rPr>
  </w:style>
  <w:style w:type="character" w:customStyle="1" w:styleId="06aInfoTitleZchn">
    <w:name w:val="06a_Info_Title Zchn"/>
    <w:link w:val="06aInfoTitle"/>
    <w:rsid w:val="00C13ED7"/>
    <w:rPr>
      <w:rFonts w:ascii="Georgia" w:hAnsi="Georgia"/>
      <w:b/>
      <w:sz w:val="16"/>
      <w:szCs w:val="24"/>
      <w:lang w:val="en-GB" w:eastAsia="de-DE" w:bidi="ar-SA"/>
    </w:rPr>
  </w:style>
  <w:style w:type="paragraph" w:customStyle="1" w:styleId="04cA">
    <w:name w:val="04c_A"/>
    <w:aliases w:val="B,C"/>
    <w:rsid w:val="004B21AB"/>
    <w:pPr>
      <w:tabs>
        <w:tab w:val="num" w:pos="907"/>
      </w:tabs>
      <w:spacing w:line="276" w:lineRule="auto"/>
      <w:ind w:left="340" w:firstLine="227"/>
    </w:pPr>
    <w:rPr>
      <w:rFonts w:ascii="Georgia" w:hAnsi="Georgia"/>
      <w:szCs w:val="24"/>
      <w:lang w:eastAsia="de-DE"/>
    </w:rPr>
  </w:style>
  <w:style w:type="paragraph" w:customStyle="1" w:styleId="05Headline1">
    <w:name w:val="05_Headline 1"/>
    <w:basedOn w:val="04BodyText"/>
    <w:rsid w:val="00942BD6"/>
    <w:pPr>
      <w:spacing w:line="300" w:lineRule="exact"/>
    </w:pPr>
    <w:rPr>
      <w:b/>
      <w:sz w:val="24"/>
    </w:rPr>
  </w:style>
  <w:style w:type="paragraph" w:customStyle="1" w:styleId="05aHeadline2">
    <w:name w:val="05a_Headline 2"/>
    <w:basedOn w:val="05Headline1"/>
    <w:next w:val="04BodyText"/>
    <w:rsid w:val="00942BD6"/>
    <w:pPr>
      <w:keepNext/>
      <w:tabs>
        <w:tab w:val="left" w:pos="397"/>
        <w:tab w:val="num" w:pos="567"/>
      </w:tabs>
      <w:spacing w:after="280" w:line="280" w:lineRule="exact"/>
      <w:ind w:left="567" w:hanging="567"/>
    </w:pPr>
    <w:rPr>
      <w:sz w:val="20"/>
    </w:rPr>
  </w:style>
  <w:style w:type="paragraph" w:customStyle="1" w:styleId="06Headline2blue">
    <w:name w:val="06_Headline 2 blue"/>
    <w:basedOn w:val="05aHeadline2"/>
    <w:next w:val="06aRunningtextblue"/>
    <w:rsid w:val="00942BD6"/>
    <w:pPr>
      <w:pBdr>
        <w:top w:val="single" w:sz="4" w:space="10" w:color="283583"/>
      </w:pBdr>
      <w:tabs>
        <w:tab w:val="clear" w:pos="567"/>
        <w:tab w:val="num" w:pos="284"/>
      </w:tabs>
      <w:ind w:left="284" w:hanging="284"/>
    </w:pPr>
    <w:rPr>
      <w:color w:val="2D4190"/>
    </w:rPr>
  </w:style>
  <w:style w:type="paragraph" w:customStyle="1" w:styleId="06aRunningtextblue">
    <w:name w:val="06a_Running text blue"/>
    <w:basedOn w:val="04BodyText"/>
    <w:rsid w:val="00942BD6"/>
    <w:pPr>
      <w:pBdr>
        <w:bottom w:val="single" w:sz="4" w:space="12" w:color="283583"/>
      </w:pBdr>
    </w:pPr>
    <w:rPr>
      <w:color w:val="2D4190"/>
    </w:rPr>
  </w:style>
  <w:style w:type="paragraph" w:customStyle="1" w:styleId="04cBodytextleft">
    <w:name w:val="04c_Body text left"/>
    <w:basedOn w:val="04BodyText"/>
    <w:rsid w:val="00942BD6"/>
    <w:pPr>
      <w:spacing w:after="0"/>
      <w:jc w:val="left"/>
    </w:pPr>
  </w:style>
  <w:style w:type="paragraph" w:customStyle="1" w:styleId="Style04RunningTextBold">
    <w:name w:val="Style 04_Running Text + Bold"/>
    <w:basedOn w:val="04BodyText"/>
    <w:rsid w:val="00942BD6"/>
    <w:pPr>
      <w:keepNext/>
    </w:pPr>
    <w:rPr>
      <w:b/>
      <w:bCs/>
    </w:rPr>
  </w:style>
  <w:style w:type="character" w:styleId="Merknadsreferanse">
    <w:name w:val="annotation reference"/>
    <w:rsid w:val="004B1E61"/>
    <w:rPr>
      <w:sz w:val="16"/>
      <w:szCs w:val="16"/>
    </w:rPr>
  </w:style>
  <w:style w:type="paragraph" w:styleId="Merknadstekst">
    <w:name w:val="annotation text"/>
    <w:basedOn w:val="Normal"/>
    <w:link w:val="MerknadstekstTegn"/>
    <w:uiPriority w:val="99"/>
    <w:rsid w:val="004B1E61"/>
    <w:rPr>
      <w:szCs w:val="20"/>
    </w:rPr>
  </w:style>
  <w:style w:type="character" w:customStyle="1" w:styleId="MerknadstekstTegn">
    <w:name w:val="Merknadstekst Tegn"/>
    <w:link w:val="Merknadstekst"/>
    <w:uiPriority w:val="99"/>
    <w:rsid w:val="004B1E61"/>
    <w:rPr>
      <w:rFonts w:ascii="Georgia" w:hAnsi="Georgia"/>
      <w:lang w:eastAsia="de-DE"/>
    </w:rPr>
  </w:style>
  <w:style w:type="paragraph" w:styleId="Kommentaremne">
    <w:name w:val="annotation subject"/>
    <w:basedOn w:val="Merknadstekst"/>
    <w:next w:val="Merknadstekst"/>
    <w:link w:val="KommentaremneTegn"/>
    <w:rsid w:val="004B1E61"/>
    <w:rPr>
      <w:b/>
      <w:bCs/>
    </w:rPr>
  </w:style>
  <w:style w:type="character" w:customStyle="1" w:styleId="KommentaremneTegn">
    <w:name w:val="Kommentaremne Tegn"/>
    <w:link w:val="Kommentaremne"/>
    <w:rsid w:val="004B1E61"/>
    <w:rPr>
      <w:rFonts w:ascii="Georgia" w:hAnsi="Georgia"/>
      <w:b/>
      <w:bCs/>
      <w:lang w:eastAsia="de-DE"/>
    </w:rPr>
  </w:style>
  <w:style w:type="paragraph" w:styleId="Bobletekst">
    <w:name w:val="Balloon Text"/>
    <w:basedOn w:val="Normal"/>
    <w:link w:val="BobletekstTegn"/>
    <w:rsid w:val="004B1E61"/>
    <w:rPr>
      <w:rFonts w:ascii="Tahoma" w:hAnsi="Tahoma" w:cs="Tahoma"/>
      <w:sz w:val="16"/>
      <w:szCs w:val="16"/>
    </w:rPr>
  </w:style>
  <w:style w:type="character" w:customStyle="1" w:styleId="BobletekstTegn">
    <w:name w:val="Bobletekst Tegn"/>
    <w:link w:val="Bobletekst"/>
    <w:rsid w:val="004B1E61"/>
    <w:rPr>
      <w:rFonts w:ascii="Tahoma" w:hAnsi="Tahoma" w:cs="Tahoma"/>
      <w:sz w:val="16"/>
      <w:szCs w:val="16"/>
      <w:lang w:eastAsia="de-DE"/>
    </w:rPr>
  </w:style>
  <w:style w:type="paragraph" w:styleId="Listeavsnitt">
    <w:name w:val="List Paragraph"/>
    <w:aliases w:val="Paragraphe EI,Paragraphe de liste1,EC"/>
    <w:basedOn w:val="Normal"/>
    <w:link w:val="ListeavsnittTegn"/>
    <w:uiPriority w:val="34"/>
    <w:qFormat/>
    <w:rsid w:val="002A0C82"/>
    <w:pPr>
      <w:ind w:left="720"/>
      <w:contextualSpacing/>
    </w:pPr>
  </w:style>
  <w:style w:type="paragraph" w:styleId="Overskriftforinnholdsfortegnelse">
    <w:name w:val="TOC Heading"/>
    <w:basedOn w:val="Overskrift1"/>
    <w:next w:val="Normal"/>
    <w:uiPriority w:val="39"/>
    <w:unhideWhenUsed/>
    <w:qFormat/>
    <w:rsid w:val="001C0344"/>
    <w:pPr>
      <w:keepLines/>
      <w:numPr>
        <w:numId w:val="0"/>
      </w:numPr>
      <w:spacing w:before="480" w:after="0" w:line="276" w:lineRule="auto"/>
      <w:outlineLvl w:val="9"/>
    </w:pPr>
    <w:rPr>
      <w:rFonts w:ascii="Cambria" w:hAnsi="Cambria" w:cs="Times New Roman"/>
      <w:color w:val="365F91"/>
      <w:kern w:val="0"/>
      <w:sz w:val="28"/>
      <w:szCs w:val="28"/>
      <w:lang w:val="en-US" w:eastAsia="ja-JP"/>
    </w:rPr>
  </w:style>
  <w:style w:type="paragraph" w:customStyle="1" w:styleId="04aNumeration">
    <w:name w:val="04a_Numeration"/>
    <w:basedOn w:val="04BodyText"/>
    <w:link w:val="04aNumerationChar"/>
    <w:rsid w:val="00611293"/>
    <w:pPr>
      <w:tabs>
        <w:tab w:val="num" w:pos="454"/>
      </w:tabs>
      <w:ind w:left="454" w:hanging="454"/>
    </w:pPr>
    <w:rPr>
      <w:lang w:val="fr-FR"/>
    </w:rPr>
  </w:style>
  <w:style w:type="character" w:customStyle="1" w:styleId="04aNumerationChar">
    <w:name w:val="04a_Numeration Char"/>
    <w:link w:val="04aNumeration"/>
    <w:locked/>
    <w:rsid w:val="00611293"/>
    <w:rPr>
      <w:rFonts w:ascii="Georgia" w:hAnsi="Georgia"/>
      <w:szCs w:val="24"/>
      <w:lang w:val="fr-FR" w:eastAsia="de-DE"/>
    </w:rPr>
  </w:style>
  <w:style w:type="character" w:customStyle="1" w:styleId="FotnotetekstTegn">
    <w:name w:val="Fotnotetekst Tegn"/>
    <w:aliases w:val="Char3 Tegn, Char3 Tegn,Fußnotentextf Tegn,Fußnotentextr Tegn,stile 1 Tegn,Footnote1 Tegn,Footnote2 Tegn,Footnote3 Tegn,Footnote4 Tegn,Footnote5 Tegn,Footnote6 Tegn,Footnote7 Tegn,Footnote8 Tegn,Footnote9 Tegn,Footnote10 Tegn, Cha Tegn"/>
    <w:link w:val="Fotnotetekst"/>
    <w:uiPriority w:val="99"/>
    <w:locked/>
    <w:rsid w:val="00D0272C"/>
    <w:rPr>
      <w:rFonts w:ascii="Georgia" w:hAnsi="Georgia"/>
      <w:sz w:val="16"/>
      <w:lang w:eastAsia="de-DE"/>
    </w:rPr>
  </w:style>
  <w:style w:type="paragraph" w:customStyle="1" w:styleId="DPpara">
    <w:name w:val="DP para"/>
    <w:basedOn w:val="04aNumeration"/>
    <w:link w:val="DPparaChar"/>
    <w:rsid w:val="00D0272C"/>
    <w:pPr>
      <w:numPr>
        <w:numId w:val="6"/>
      </w:numPr>
    </w:pPr>
    <w:rPr>
      <w:szCs w:val="20"/>
    </w:rPr>
  </w:style>
  <w:style w:type="character" w:customStyle="1" w:styleId="DPparaChar">
    <w:name w:val="DP para Char"/>
    <w:link w:val="DPpara"/>
    <w:locked/>
    <w:rsid w:val="00D0272C"/>
    <w:rPr>
      <w:rFonts w:ascii="Arial" w:hAnsi="Arial"/>
      <w:lang w:val="fr-FR" w:eastAsia="de-DE"/>
    </w:rPr>
  </w:style>
  <w:style w:type="character" w:customStyle="1" w:styleId="CommentTextChar1">
    <w:name w:val="Comment Text Char1"/>
    <w:rsid w:val="008E1B6A"/>
    <w:rPr>
      <w:rFonts w:ascii="Georgia" w:hAnsi="Georgia"/>
      <w:lang w:eastAsia="de-DE"/>
    </w:rPr>
  </w:style>
  <w:style w:type="character" w:customStyle="1" w:styleId="FootnoteTextChar1">
    <w:name w:val="Footnote Text Char1"/>
    <w:aliases w:val="Char3 Char1, Char3 Char1"/>
    <w:locked/>
    <w:rsid w:val="008E1B6A"/>
    <w:rPr>
      <w:rFonts w:ascii="Georgia" w:hAnsi="Georgia"/>
      <w:sz w:val="16"/>
      <w:lang w:eastAsia="de-DE"/>
    </w:rPr>
  </w:style>
  <w:style w:type="paragraph" w:customStyle="1" w:styleId="Default">
    <w:name w:val="Default"/>
    <w:rsid w:val="008E1B6A"/>
    <w:pPr>
      <w:autoSpaceDE w:val="0"/>
      <w:autoSpaceDN w:val="0"/>
      <w:adjustRightInd w:val="0"/>
    </w:pPr>
    <w:rPr>
      <w:rFonts w:ascii="Georgia" w:hAnsi="Georgia" w:cs="Georgia"/>
      <w:color w:val="000000"/>
      <w:sz w:val="24"/>
      <w:szCs w:val="24"/>
      <w:lang w:val="fr-FR"/>
    </w:rPr>
  </w:style>
  <w:style w:type="character" w:customStyle="1" w:styleId="hps">
    <w:name w:val="hps"/>
    <w:basedOn w:val="Standardskriftforavsnitt"/>
    <w:rsid w:val="008E1B6A"/>
  </w:style>
  <w:style w:type="paragraph" w:customStyle="1" w:styleId="ManualNumPar1">
    <w:name w:val="Manual NumPar 1"/>
    <w:basedOn w:val="Normal"/>
    <w:next w:val="Normal"/>
    <w:link w:val="ManualNumPar1Char"/>
    <w:uiPriority w:val="99"/>
    <w:rsid w:val="003779C1"/>
    <w:pPr>
      <w:spacing w:before="120" w:after="120" w:line="360" w:lineRule="auto"/>
      <w:ind w:left="850" w:hanging="850"/>
      <w:outlineLvl w:val="0"/>
    </w:pPr>
    <w:rPr>
      <w:rFonts w:ascii="Times New Roman" w:hAnsi="Times New Roman"/>
      <w:sz w:val="24"/>
      <w:lang w:eastAsia="en-US"/>
    </w:rPr>
  </w:style>
  <w:style w:type="character" w:customStyle="1" w:styleId="ManualNumPar1Char">
    <w:name w:val="Manual NumPar 1 Char"/>
    <w:link w:val="ManualNumPar1"/>
    <w:uiPriority w:val="99"/>
    <w:locked/>
    <w:rsid w:val="003779C1"/>
    <w:rPr>
      <w:sz w:val="24"/>
      <w:szCs w:val="24"/>
      <w:lang w:eastAsia="en-US"/>
    </w:rPr>
  </w:style>
  <w:style w:type="character" w:customStyle="1" w:styleId="Overskrift1Tegn">
    <w:name w:val="Overskrift 1 Tegn"/>
    <w:link w:val="Overskrift1"/>
    <w:rsid w:val="009E7724"/>
    <w:rPr>
      <w:rFonts w:ascii="Arial" w:hAnsi="Arial" w:cs="Arial"/>
      <w:b/>
      <w:bCs/>
      <w:kern w:val="32"/>
      <w:sz w:val="24"/>
      <w:szCs w:val="32"/>
      <w:lang w:eastAsia="de-DE"/>
    </w:rPr>
  </w:style>
  <w:style w:type="character" w:customStyle="1" w:styleId="Heading2Char">
    <w:name w:val="Heading 2 Char"/>
    <w:rsid w:val="00DB4121"/>
    <w:rPr>
      <w:rFonts w:ascii="Georgia" w:hAnsi="Georgia" w:cs="Arial"/>
      <w:bCs/>
      <w:i/>
      <w:kern w:val="32"/>
      <w:szCs w:val="32"/>
      <w:lang w:eastAsia="de-DE"/>
    </w:rPr>
  </w:style>
  <w:style w:type="character" w:styleId="Utheving">
    <w:name w:val="Emphasis"/>
    <w:uiPriority w:val="20"/>
    <w:qFormat/>
    <w:rsid w:val="005F028E"/>
    <w:rPr>
      <w:i/>
      <w:iCs/>
    </w:rPr>
  </w:style>
  <w:style w:type="paragraph" w:styleId="Revisjon">
    <w:name w:val="Revision"/>
    <w:link w:val="RevisjonTegn"/>
    <w:hidden/>
    <w:uiPriority w:val="99"/>
    <w:semiHidden/>
    <w:rsid w:val="008E6A37"/>
    <w:rPr>
      <w:rFonts w:ascii="Georgia" w:hAnsi="Georgia"/>
      <w:sz w:val="22"/>
      <w:szCs w:val="24"/>
      <w:lang w:eastAsia="de-DE"/>
    </w:rPr>
  </w:style>
  <w:style w:type="paragraph" w:styleId="INNH3">
    <w:name w:val="toc 3"/>
    <w:basedOn w:val="Normal"/>
    <w:next w:val="Normal"/>
    <w:autoRedefine/>
    <w:uiPriority w:val="39"/>
    <w:qFormat/>
    <w:rsid w:val="00463787"/>
    <w:pPr>
      <w:spacing w:after="100"/>
      <w:ind w:left="440"/>
    </w:pPr>
  </w:style>
  <w:style w:type="character" w:customStyle="1" w:styleId="SprechblasentextZeichen">
    <w:name w:val="Sprechblasentext Zeichen"/>
    <w:uiPriority w:val="99"/>
    <w:semiHidden/>
    <w:rsid w:val="00F377CD"/>
    <w:rPr>
      <w:rFonts w:ascii="Lucida Grande" w:hAnsi="Lucida Grande"/>
      <w:sz w:val="18"/>
      <w:szCs w:val="18"/>
    </w:rPr>
  </w:style>
  <w:style w:type="paragraph" w:customStyle="1" w:styleId="CM3">
    <w:name w:val="CM3"/>
    <w:basedOn w:val="Normal"/>
    <w:next w:val="Normal"/>
    <w:uiPriority w:val="99"/>
    <w:rsid w:val="00F377CD"/>
    <w:pPr>
      <w:autoSpaceDE w:val="0"/>
      <w:autoSpaceDN w:val="0"/>
      <w:adjustRightInd w:val="0"/>
    </w:pPr>
    <w:rPr>
      <w:rFonts w:ascii="EUAlbertina" w:eastAsia="Calibri" w:hAnsi="EUAlbertina"/>
      <w:sz w:val="24"/>
      <w:lang w:val="fr-FR" w:eastAsia="en-US"/>
    </w:rPr>
  </w:style>
  <w:style w:type="paragraph" w:customStyle="1" w:styleId="CM4">
    <w:name w:val="CM4"/>
    <w:basedOn w:val="Normal"/>
    <w:next w:val="Normal"/>
    <w:uiPriority w:val="99"/>
    <w:rsid w:val="00F377CD"/>
    <w:pPr>
      <w:autoSpaceDE w:val="0"/>
      <w:autoSpaceDN w:val="0"/>
      <w:adjustRightInd w:val="0"/>
    </w:pPr>
    <w:rPr>
      <w:rFonts w:ascii="EUAlbertina" w:eastAsia="Calibri" w:hAnsi="EUAlbertina"/>
      <w:sz w:val="24"/>
      <w:lang w:val="fr-FR" w:eastAsia="en-US"/>
    </w:rPr>
  </w:style>
  <w:style w:type="paragraph" w:styleId="INNH4">
    <w:name w:val="toc 4"/>
    <w:basedOn w:val="Normal"/>
    <w:next w:val="Normal"/>
    <w:autoRedefine/>
    <w:uiPriority w:val="39"/>
    <w:unhideWhenUsed/>
    <w:rsid w:val="00F377CD"/>
    <w:pPr>
      <w:spacing w:after="100" w:line="276" w:lineRule="auto"/>
      <w:ind w:left="660"/>
    </w:pPr>
    <w:rPr>
      <w:rFonts w:ascii="Calibri" w:hAnsi="Calibri"/>
      <w:szCs w:val="22"/>
      <w:lang w:eastAsia="en-GB"/>
    </w:rPr>
  </w:style>
  <w:style w:type="paragraph" w:styleId="INNH5">
    <w:name w:val="toc 5"/>
    <w:basedOn w:val="Normal"/>
    <w:next w:val="Normal"/>
    <w:autoRedefine/>
    <w:uiPriority w:val="39"/>
    <w:unhideWhenUsed/>
    <w:rsid w:val="00F377CD"/>
    <w:pPr>
      <w:spacing w:after="100" w:line="276" w:lineRule="auto"/>
      <w:ind w:left="880"/>
    </w:pPr>
    <w:rPr>
      <w:rFonts w:ascii="Calibri" w:hAnsi="Calibri"/>
      <w:szCs w:val="22"/>
      <w:lang w:eastAsia="en-GB"/>
    </w:rPr>
  </w:style>
  <w:style w:type="paragraph" w:styleId="INNH6">
    <w:name w:val="toc 6"/>
    <w:basedOn w:val="Normal"/>
    <w:next w:val="Normal"/>
    <w:autoRedefine/>
    <w:uiPriority w:val="39"/>
    <w:unhideWhenUsed/>
    <w:rsid w:val="00F377CD"/>
    <w:pPr>
      <w:spacing w:after="100" w:line="276" w:lineRule="auto"/>
      <w:ind w:left="1100"/>
    </w:pPr>
    <w:rPr>
      <w:rFonts w:ascii="Calibri" w:hAnsi="Calibri"/>
      <w:szCs w:val="22"/>
      <w:lang w:eastAsia="en-GB"/>
    </w:rPr>
  </w:style>
  <w:style w:type="paragraph" w:styleId="INNH7">
    <w:name w:val="toc 7"/>
    <w:basedOn w:val="Normal"/>
    <w:next w:val="Normal"/>
    <w:autoRedefine/>
    <w:uiPriority w:val="39"/>
    <w:unhideWhenUsed/>
    <w:rsid w:val="00F377CD"/>
    <w:pPr>
      <w:spacing w:after="100" w:line="276" w:lineRule="auto"/>
      <w:ind w:left="1320"/>
    </w:pPr>
    <w:rPr>
      <w:rFonts w:ascii="Calibri" w:hAnsi="Calibri"/>
      <w:szCs w:val="22"/>
      <w:lang w:eastAsia="en-GB"/>
    </w:rPr>
  </w:style>
  <w:style w:type="paragraph" w:styleId="INNH8">
    <w:name w:val="toc 8"/>
    <w:basedOn w:val="Normal"/>
    <w:next w:val="Normal"/>
    <w:autoRedefine/>
    <w:uiPriority w:val="39"/>
    <w:unhideWhenUsed/>
    <w:rsid w:val="00F377CD"/>
    <w:pPr>
      <w:spacing w:after="100" w:line="276" w:lineRule="auto"/>
      <w:ind w:left="1540"/>
    </w:pPr>
    <w:rPr>
      <w:rFonts w:ascii="Calibri" w:hAnsi="Calibri"/>
      <w:szCs w:val="22"/>
      <w:lang w:eastAsia="en-GB"/>
    </w:rPr>
  </w:style>
  <w:style w:type="paragraph" w:styleId="INNH9">
    <w:name w:val="toc 9"/>
    <w:basedOn w:val="Normal"/>
    <w:next w:val="Normal"/>
    <w:autoRedefine/>
    <w:uiPriority w:val="39"/>
    <w:unhideWhenUsed/>
    <w:rsid w:val="00F377CD"/>
    <w:pPr>
      <w:spacing w:after="100" w:line="276" w:lineRule="auto"/>
      <w:ind w:left="1760"/>
    </w:pPr>
    <w:rPr>
      <w:rFonts w:ascii="Calibri" w:hAnsi="Calibri"/>
      <w:szCs w:val="22"/>
      <w:lang w:eastAsia="en-GB"/>
    </w:rPr>
  </w:style>
  <w:style w:type="character" w:customStyle="1" w:styleId="DeltaViewInsertion">
    <w:name w:val="DeltaView Insertion"/>
    <w:uiPriority w:val="99"/>
    <w:rsid w:val="00F377CD"/>
    <w:rPr>
      <w:b/>
      <w:bCs/>
      <w:color w:val="FFFFFF"/>
      <w:spacing w:val="0"/>
      <w:u w:val="single"/>
    </w:rPr>
  </w:style>
  <w:style w:type="paragraph" w:styleId="Bildetekst">
    <w:name w:val="caption"/>
    <w:basedOn w:val="Normal"/>
    <w:next w:val="Normal"/>
    <w:unhideWhenUsed/>
    <w:qFormat/>
    <w:rsid w:val="00E21407"/>
    <w:pPr>
      <w:spacing w:after="200"/>
    </w:pPr>
    <w:rPr>
      <w:b/>
      <w:bCs/>
      <w:sz w:val="18"/>
      <w:szCs w:val="18"/>
    </w:rPr>
  </w:style>
  <w:style w:type="character" w:customStyle="1" w:styleId="Heading5Char">
    <w:name w:val="Heading 5 Char"/>
    <w:uiPriority w:val="9"/>
    <w:rsid w:val="00251EA9"/>
    <w:rPr>
      <w:rFonts w:ascii="Georgia" w:eastAsia="Times New Roman" w:hAnsi="Georgia" w:cs="Times New Roman"/>
      <w:b/>
      <w:szCs w:val="24"/>
      <w:lang w:eastAsia="de-DE"/>
    </w:rPr>
  </w:style>
  <w:style w:type="paragraph" w:styleId="NormalWeb">
    <w:name w:val="Normal (Web)"/>
    <w:basedOn w:val="Normal"/>
    <w:rsid w:val="00900E7A"/>
    <w:pPr>
      <w:spacing w:before="100" w:beforeAutospacing="1" w:after="100" w:afterAutospacing="1"/>
    </w:pPr>
    <w:rPr>
      <w:rFonts w:ascii="Times New Roman" w:hAnsi="Times New Roman"/>
      <w:sz w:val="24"/>
      <w:lang w:val="fr-FR" w:eastAsia="fr-FR"/>
    </w:rPr>
  </w:style>
  <w:style w:type="character" w:customStyle="1" w:styleId="Heading5Char1">
    <w:name w:val="Heading 5 Char1"/>
    <w:rsid w:val="00BF1620"/>
    <w:rPr>
      <w:rFonts w:ascii="Georgia" w:hAnsi="Georgia"/>
      <w:b/>
      <w:bCs/>
      <w:iCs/>
      <w:szCs w:val="26"/>
      <w:lang w:eastAsia="de-DE"/>
    </w:rPr>
  </w:style>
  <w:style w:type="paragraph" w:styleId="Dokumentkart">
    <w:name w:val="Document Map"/>
    <w:basedOn w:val="Normal"/>
    <w:link w:val="DokumentkartTegn"/>
    <w:rsid w:val="00AA016B"/>
    <w:rPr>
      <w:rFonts w:ascii="Tahoma" w:hAnsi="Tahoma" w:cs="Tahoma"/>
      <w:sz w:val="16"/>
      <w:szCs w:val="16"/>
    </w:rPr>
  </w:style>
  <w:style w:type="character" w:customStyle="1" w:styleId="DokumentkartTegn">
    <w:name w:val="Dokumentkart Tegn"/>
    <w:link w:val="Dokumentkart"/>
    <w:rsid w:val="00AA016B"/>
    <w:rPr>
      <w:rFonts w:ascii="Tahoma" w:hAnsi="Tahoma" w:cs="Tahoma"/>
      <w:sz w:val="16"/>
      <w:szCs w:val="16"/>
      <w:lang w:eastAsia="de-DE"/>
    </w:rPr>
  </w:style>
  <w:style w:type="paragraph" w:styleId="Rentekst">
    <w:name w:val="Plain Text"/>
    <w:basedOn w:val="Normal"/>
    <w:link w:val="RentekstTegn"/>
    <w:unhideWhenUsed/>
    <w:rsid w:val="00AA016B"/>
    <w:rPr>
      <w:rFonts w:ascii="Consolas" w:hAnsi="Consolas"/>
      <w:sz w:val="21"/>
      <w:szCs w:val="21"/>
      <w:lang w:val="de-DE"/>
    </w:rPr>
  </w:style>
  <w:style w:type="character" w:customStyle="1" w:styleId="RentekstTegn">
    <w:name w:val="Ren tekst Tegn"/>
    <w:link w:val="Rentekst"/>
    <w:rsid w:val="00AA016B"/>
    <w:rPr>
      <w:rFonts w:ascii="Consolas" w:hAnsi="Consolas"/>
      <w:sz w:val="21"/>
      <w:szCs w:val="21"/>
      <w:lang w:val="de-DE" w:eastAsia="de-DE"/>
    </w:rPr>
  </w:style>
  <w:style w:type="paragraph" w:styleId="Brdtekst">
    <w:name w:val="Body Text"/>
    <w:basedOn w:val="Normal"/>
    <w:link w:val="BrdtekstTegn"/>
    <w:unhideWhenUsed/>
    <w:rsid w:val="00AA016B"/>
    <w:pPr>
      <w:numPr>
        <w:numId w:val="8"/>
      </w:numPr>
      <w:spacing w:after="240"/>
      <w:jc w:val="both"/>
    </w:pPr>
    <w:rPr>
      <w:rFonts w:ascii="Times New Roman" w:hAnsi="Times New Roman"/>
      <w:sz w:val="24"/>
      <w:szCs w:val="20"/>
      <w:lang w:eastAsia="en-GB"/>
    </w:rPr>
  </w:style>
  <w:style w:type="character" w:customStyle="1" w:styleId="BrdtekstTegn">
    <w:name w:val="Brødtekst Tegn"/>
    <w:link w:val="Brdtekst"/>
    <w:rsid w:val="00AA016B"/>
    <w:rPr>
      <w:sz w:val="24"/>
    </w:rPr>
  </w:style>
  <w:style w:type="paragraph" w:customStyle="1" w:styleId="ListParagraph1">
    <w:name w:val="List Paragraph1"/>
    <w:basedOn w:val="Normal"/>
    <w:qFormat/>
    <w:rsid w:val="00F67F04"/>
    <w:pPr>
      <w:spacing w:after="200" w:line="276" w:lineRule="atLeast"/>
      <w:ind w:left="720"/>
    </w:pPr>
    <w:rPr>
      <w:rFonts w:ascii="Calibri" w:hAnsi="Calibri" w:cs="Calibri"/>
      <w:szCs w:val="20"/>
      <w:lang w:val="el-GR" w:eastAsia="en-US"/>
    </w:rPr>
  </w:style>
  <w:style w:type="character" w:customStyle="1" w:styleId="Heading5Char2">
    <w:name w:val="Heading 5 Char2"/>
    <w:rsid w:val="003E68C7"/>
    <w:rPr>
      <w:rFonts w:ascii="Georgia" w:eastAsia="Times New Roman" w:hAnsi="Georgia" w:cs="Times New Roman"/>
      <w:b/>
      <w:szCs w:val="24"/>
      <w:lang w:eastAsia="de-DE"/>
    </w:rPr>
  </w:style>
  <w:style w:type="character" w:styleId="Sterk">
    <w:name w:val="Strong"/>
    <w:aliases w:val="Bolded"/>
    <w:qFormat/>
    <w:rsid w:val="00974881"/>
    <w:rPr>
      <w:b/>
      <w:bCs/>
    </w:rPr>
  </w:style>
  <w:style w:type="character" w:customStyle="1" w:styleId="Strong1">
    <w:name w:val="Strong1"/>
    <w:qFormat/>
    <w:rsid w:val="00974881"/>
    <w:rPr>
      <w:b/>
      <w:bCs/>
    </w:rPr>
  </w:style>
  <w:style w:type="character" w:customStyle="1" w:styleId="Strong2">
    <w:name w:val="Strong2"/>
    <w:qFormat/>
    <w:rsid w:val="00974881"/>
    <w:rPr>
      <w:b/>
      <w:bCs/>
    </w:rPr>
  </w:style>
  <w:style w:type="character" w:customStyle="1" w:styleId="Heading5Char3">
    <w:name w:val="Heading 5 Char3"/>
    <w:rsid w:val="00FC318D"/>
    <w:rPr>
      <w:rFonts w:ascii="Georgia" w:eastAsia="Times New Roman" w:hAnsi="Georgia" w:cs="Times New Roman"/>
      <w:b/>
      <w:szCs w:val="24"/>
      <w:lang w:eastAsia="de-DE"/>
    </w:rPr>
  </w:style>
  <w:style w:type="character" w:customStyle="1" w:styleId="Heading5Char4">
    <w:name w:val="Heading 5 Char4"/>
    <w:rsid w:val="002B4ED8"/>
    <w:rPr>
      <w:rFonts w:ascii="Georgia" w:eastAsia="Times New Roman" w:hAnsi="Georgia" w:cs="Times New Roman"/>
      <w:b/>
      <w:szCs w:val="24"/>
      <w:lang w:eastAsia="de-DE"/>
    </w:rPr>
  </w:style>
  <w:style w:type="character" w:customStyle="1" w:styleId="Heading2Char1">
    <w:name w:val="Heading 2 Char1"/>
    <w:rsid w:val="00885E6F"/>
    <w:rPr>
      <w:rFonts w:ascii="Georgia" w:eastAsia="Times New Roman" w:hAnsi="Georgia" w:cs="Times New Roman"/>
      <w:b/>
      <w:bCs/>
      <w:sz w:val="22"/>
      <w:szCs w:val="26"/>
      <w:lang w:eastAsia="de-DE"/>
    </w:rPr>
  </w:style>
  <w:style w:type="character" w:customStyle="1" w:styleId="Heading3Char">
    <w:name w:val="Heading 3 Char"/>
    <w:rsid w:val="00865B01"/>
    <w:rPr>
      <w:rFonts w:ascii="Georgia" w:eastAsia="Times New Roman" w:hAnsi="Georgia" w:cs="Times New Roman"/>
      <w:b/>
      <w:sz w:val="22"/>
      <w:szCs w:val="26"/>
      <w:lang w:eastAsia="de-DE"/>
    </w:rPr>
  </w:style>
  <w:style w:type="character" w:customStyle="1" w:styleId="Heading5Char5">
    <w:name w:val="Heading 5 Char5"/>
    <w:rsid w:val="0041634D"/>
    <w:rPr>
      <w:rFonts w:ascii="Georgia" w:eastAsia="Times New Roman" w:hAnsi="Georgia" w:cs="Times New Roman"/>
      <w:b/>
      <w:szCs w:val="24"/>
      <w:lang w:eastAsia="de-DE"/>
    </w:rPr>
  </w:style>
  <w:style w:type="character" w:customStyle="1" w:styleId="Overskrift2Tegn">
    <w:name w:val="Overskrift 2 Tegn"/>
    <w:link w:val="Overskrift2"/>
    <w:rsid w:val="00886A60"/>
    <w:rPr>
      <w:rFonts w:ascii="Georgia" w:eastAsia="Times New Roman" w:hAnsi="Georgia" w:cs="Times New Roman"/>
      <w:b/>
      <w:bCs/>
      <w:sz w:val="22"/>
      <w:szCs w:val="26"/>
      <w:lang w:eastAsia="de-DE"/>
    </w:rPr>
  </w:style>
  <w:style w:type="character" w:customStyle="1" w:styleId="Strong3">
    <w:name w:val="Strong3"/>
    <w:qFormat/>
    <w:rsid w:val="00974881"/>
    <w:rPr>
      <w:b/>
      <w:bCs/>
    </w:rPr>
  </w:style>
  <w:style w:type="character" w:customStyle="1" w:styleId="Heading5Char6">
    <w:name w:val="Heading 5 Char6"/>
    <w:rsid w:val="00C36FD1"/>
    <w:rPr>
      <w:rFonts w:ascii="Georgia" w:eastAsia="Times New Roman" w:hAnsi="Georgia" w:cs="Times New Roman"/>
      <w:b/>
      <w:szCs w:val="24"/>
      <w:lang w:eastAsia="de-DE"/>
    </w:rPr>
  </w:style>
  <w:style w:type="character" w:customStyle="1" w:styleId="Heading4Char">
    <w:name w:val="Heading 4 Char"/>
    <w:rsid w:val="007805B9"/>
    <w:rPr>
      <w:rFonts w:ascii="Georgia" w:eastAsia="Times New Roman" w:hAnsi="Georgia" w:cs="Times New Roman"/>
      <w:b/>
      <w:i/>
      <w:szCs w:val="28"/>
      <w:lang w:eastAsia="de-DE"/>
    </w:rPr>
  </w:style>
  <w:style w:type="character" w:customStyle="1" w:styleId="Overskrift9Tegn">
    <w:name w:val="Overskrift 9 Tegn"/>
    <w:link w:val="Overskrift9"/>
    <w:rsid w:val="00A06867"/>
    <w:rPr>
      <w:rFonts w:ascii="Arial" w:hAnsi="Arial" w:cs="Arial"/>
      <w:sz w:val="22"/>
      <w:szCs w:val="22"/>
      <w:lang w:eastAsia="de-DE"/>
    </w:rPr>
  </w:style>
  <w:style w:type="character" w:customStyle="1" w:styleId="italic1">
    <w:name w:val="italic1"/>
    <w:uiPriority w:val="99"/>
    <w:rsid w:val="00A06867"/>
    <w:rPr>
      <w:rFonts w:cs="Times New Roman"/>
      <w:i/>
      <w:iCs/>
    </w:rPr>
  </w:style>
  <w:style w:type="paragraph" w:customStyle="1" w:styleId="5Normal">
    <w:name w:val="5 Normal"/>
    <w:basedOn w:val="Normal"/>
    <w:link w:val="5NormalChar"/>
    <w:rsid w:val="00A06867"/>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ind w:right="57"/>
      <w:jc w:val="both"/>
    </w:pPr>
    <w:rPr>
      <w:rFonts w:ascii="Verdana" w:hAnsi="Verdana"/>
      <w:spacing w:val="-2"/>
      <w:lang w:eastAsia="en-GB"/>
    </w:rPr>
  </w:style>
  <w:style w:type="character" w:customStyle="1" w:styleId="5NormalChar">
    <w:name w:val="5 Normal Char"/>
    <w:link w:val="5Normal"/>
    <w:locked/>
    <w:rsid w:val="00A06867"/>
    <w:rPr>
      <w:rFonts w:ascii="Verdana" w:hAnsi="Verdana"/>
      <w:spacing w:val="-2"/>
      <w:szCs w:val="24"/>
    </w:rPr>
  </w:style>
  <w:style w:type="character" w:customStyle="1" w:styleId="Heading5Char7">
    <w:name w:val="Heading 5 Char7"/>
    <w:aliases w:val="Questions Char"/>
    <w:rsid w:val="00A06867"/>
    <w:rPr>
      <w:rFonts w:ascii="Georgia" w:eastAsia="Times New Roman" w:hAnsi="Georgia" w:cs="Times New Roman"/>
      <w:b/>
      <w:szCs w:val="24"/>
      <w:lang w:eastAsia="de-DE"/>
    </w:rPr>
  </w:style>
  <w:style w:type="character" w:customStyle="1" w:styleId="Heading5Char8">
    <w:name w:val="Heading 5 Char8"/>
    <w:aliases w:val="Questions Char1"/>
    <w:rsid w:val="00BF114B"/>
    <w:rPr>
      <w:rFonts w:ascii="Georgia" w:eastAsia="Times New Roman" w:hAnsi="Georgia" w:cs="Times New Roman"/>
      <w:b/>
      <w:szCs w:val="24"/>
      <w:lang w:eastAsia="de-DE"/>
    </w:rPr>
  </w:style>
  <w:style w:type="character" w:customStyle="1" w:styleId="Overskrift7Tegn">
    <w:name w:val="Overskrift 7 Tegn"/>
    <w:link w:val="Overskrift7"/>
    <w:rsid w:val="002D6E1A"/>
    <w:rPr>
      <w:sz w:val="22"/>
      <w:szCs w:val="24"/>
      <w:lang w:eastAsia="de-DE"/>
    </w:rPr>
  </w:style>
  <w:style w:type="character" w:customStyle="1" w:styleId="Overskrift6Tegn">
    <w:name w:val="Overskrift 6 Tegn"/>
    <w:link w:val="Overskrift6"/>
    <w:rsid w:val="002D6E1A"/>
    <w:rPr>
      <w:b/>
      <w:bCs/>
      <w:szCs w:val="22"/>
      <w:lang w:eastAsia="de-DE"/>
    </w:rPr>
  </w:style>
  <w:style w:type="character" w:customStyle="1" w:styleId="Overskrift8Tegn">
    <w:name w:val="Overskrift 8 Tegn"/>
    <w:link w:val="Overskrift8"/>
    <w:rsid w:val="002D6E1A"/>
    <w:rPr>
      <w:i/>
      <w:iCs/>
      <w:szCs w:val="24"/>
      <w:lang w:eastAsia="de-DE"/>
    </w:rPr>
  </w:style>
  <w:style w:type="numbering" w:customStyle="1" w:styleId="NoList1">
    <w:name w:val="No List1"/>
    <w:next w:val="Ingenliste"/>
    <w:uiPriority w:val="99"/>
    <w:semiHidden/>
    <w:unhideWhenUsed/>
    <w:rsid w:val="002D6E1A"/>
  </w:style>
  <w:style w:type="character" w:styleId="Fulgthyperkobling">
    <w:name w:val="FollowedHyperlink"/>
    <w:unhideWhenUsed/>
    <w:rsid w:val="002D6E1A"/>
    <w:rPr>
      <w:color w:val="800080"/>
      <w:u w:val="single"/>
    </w:rPr>
  </w:style>
  <w:style w:type="character" w:customStyle="1" w:styleId="TopptekstTegn">
    <w:name w:val="Topptekst Tegn"/>
    <w:link w:val="Topptekst"/>
    <w:uiPriority w:val="99"/>
    <w:rsid w:val="002D6E1A"/>
    <w:rPr>
      <w:rFonts w:ascii="Georgia" w:hAnsi="Georgia"/>
      <w:sz w:val="22"/>
      <w:szCs w:val="24"/>
      <w:lang w:eastAsia="de-DE"/>
    </w:rPr>
  </w:style>
  <w:style w:type="character" w:customStyle="1" w:styleId="BunntekstTegn">
    <w:name w:val="Bunntekst Tegn"/>
    <w:link w:val="Bunntekst"/>
    <w:uiPriority w:val="99"/>
    <w:rsid w:val="002D6E1A"/>
    <w:rPr>
      <w:rFonts w:ascii="Georgia" w:hAnsi="Georgia"/>
      <w:sz w:val="22"/>
      <w:szCs w:val="24"/>
      <w:lang w:eastAsia="de-DE"/>
    </w:rPr>
  </w:style>
  <w:style w:type="paragraph" w:styleId="Sluttnotetekst">
    <w:name w:val="endnote text"/>
    <w:basedOn w:val="Normal"/>
    <w:link w:val="SluttnotetekstTegn"/>
    <w:unhideWhenUsed/>
    <w:rsid w:val="002D6E1A"/>
    <w:rPr>
      <w:szCs w:val="20"/>
    </w:rPr>
  </w:style>
  <w:style w:type="character" w:customStyle="1" w:styleId="SluttnotetekstTegn">
    <w:name w:val="Sluttnotetekst Tegn"/>
    <w:link w:val="Sluttnotetekst"/>
    <w:rsid w:val="002D6E1A"/>
    <w:rPr>
      <w:rFonts w:ascii="Georgia" w:hAnsi="Georgia"/>
      <w:lang w:eastAsia="de-DE"/>
    </w:rPr>
  </w:style>
  <w:style w:type="paragraph" w:styleId="Nummerertliste">
    <w:name w:val="List Number"/>
    <w:basedOn w:val="Normal"/>
    <w:unhideWhenUsed/>
    <w:rsid w:val="002D6E1A"/>
    <w:pPr>
      <w:numPr>
        <w:numId w:val="9"/>
      </w:numPr>
      <w:spacing w:before="120" w:after="120"/>
      <w:ind w:left="360" w:hanging="360"/>
      <w:jc w:val="both"/>
    </w:pPr>
    <w:rPr>
      <w:rFonts w:ascii="Times New Roman" w:hAnsi="Times New Roman"/>
      <w:sz w:val="24"/>
      <w:lang w:eastAsia="en-US"/>
    </w:rPr>
  </w:style>
  <w:style w:type="character" w:customStyle="1" w:styleId="ListeavsnittTegn">
    <w:name w:val="Listeavsnitt Tegn"/>
    <w:aliases w:val="Paragraphe EI Tegn,Paragraphe de liste1 Tegn,EC Tegn"/>
    <w:link w:val="Listeavsnitt"/>
    <w:uiPriority w:val="34"/>
    <w:locked/>
    <w:rsid w:val="002D6E1A"/>
    <w:rPr>
      <w:rFonts w:ascii="Georgia" w:hAnsi="Georgia"/>
      <w:sz w:val="22"/>
      <w:szCs w:val="24"/>
      <w:lang w:eastAsia="de-DE"/>
    </w:rPr>
  </w:style>
  <w:style w:type="paragraph" w:customStyle="1" w:styleId="04anumbering0">
    <w:name w:val="04anumbering"/>
    <w:basedOn w:val="Normal"/>
    <w:rsid w:val="002D6E1A"/>
    <w:pPr>
      <w:tabs>
        <w:tab w:val="num" w:pos="360"/>
      </w:tabs>
      <w:spacing w:after="250" w:line="276" w:lineRule="auto"/>
      <w:jc w:val="both"/>
    </w:pPr>
    <w:rPr>
      <w:rFonts w:eastAsia="Calibri"/>
      <w:szCs w:val="20"/>
      <w:lang w:eastAsia="en-GB"/>
    </w:rPr>
  </w:style>
  <w:style w:type="paragraph" w:customStyle="1" w:styleId="Tiret1">
    <w:name w:val="Tiret 1"/>
    <w:basedOn w:val="Normal"/>
    <w:rsid w:val="002D6E1A"/>
    <w:pPr>
      <w:numPr>
        <w:numId w:val="10"/>
      </w:numPr>
      <w:spacing w:before="120" w:after="120"/>
      <w:jc w:val="both"/>
    </w:pPr>
    <w:rPr>
      <w:rFonts w:ascii="Times New Roman" w:hAnsi="Times New Roman"/>
      <w:sz w:val="24"/>
      <w:lang w:eastAsia="en-US"/>
    </w:rPr>
  </w:style>
  <w:style w:type="character" w:customStyle="1" w:styleId="DPChar">
    <w:name w:val="DP Char"/>
    <w:link w:val="DP"/>
    <w:locked/>
    <w:rsid w:val="002D6E1A"/>
    <w:rPr>
      <w:rFonts w:ascii="Georgia" w:hAnsi="Georgia"/>
      <w:b/>
      <w:u w:val="single"/>
      <w:lang w:eastAsia="de-DE"/>
    </w:rPr>
  </w:style>
  <w:style w:type="paragraph" w:customStyle="1" w:styleId="DP">
    <w:name w:val="DP"/>
    <w:basedOn w:val="Listeavsnitt"/>
    <w:link w:val="DPChar"/>
    <w:qFormat/>
    <w:rsid w:val="002D6E1A"/>
    <w:pPr>
      <w:ind w:left="708"/>
      <w:contextualSpacing w:val="0"/>
      <w:jc w:val="both"/>
    </w:pPr>
    <w:rPr>
      <w:b/>
      <w:szCs w:val="20"/>
      <w:u w:val="single"/>
    </w:rPr>
  </w:style>
  <w:style w:type="paragraph" w:customStyle="1" w:styleId="Bullet">
    <w:name w:val="Bullet"/>
    <w:basedOn w:val="Normal"/>
    <w:rsid w:val="002D6E1A"/>
    <w:pPr>
      <w:numPr>
        <w:numId w:val="11"/>
      </w:numPr>
      <w:tabs>
        <w:tab w:val="left" w:pos="708"/>
      </w:tabs>
      <w:spacing w:before="120" w:after="120" w:line="276" w:lineRule="auto"/>
      <w:jc w:val="both"/>
    </w:pPr>
    <w:rPr>
      <w:szCs w:val="20"/>
      <w:lang w:eastAsia="en-GB"/>
    </w:rPr>
  </w:style>
  <w:style w:type="character" w:styleId="Sluttnotereferanse">
    <w:name w:val="endnote reference"/>
    <w:unhideWhenUsed/>
    <w:rsid w:val="002D6E1A"/>
    <w:rPr>
      <w:vertAlign w:val="superscript"/>
    </w:rPr>
  </w:style>
  <w:style w:type="character" w:styleId="Plassholdertekst">
    <w:name w:val="Placeholder Text"/>
    <w:uiPriority w:val="99"/>
    <w:semiHidden/>
    <w:rsid w:val="002D6E1A"/>
    <w:rPr>
      <w:color w:val="808080"/>
    </w:rPr>
  </w:style>
  <w:style w:type="character" w:customStyle="1" w:styleId="apple-converted-space">
    <w:name w:val="apple-converted-space"/>
    <w:rsid w:val="002D6E1A"/>
  </w:style>
  <w:style w:type="table" w:customStyle="1" w:styleId="TableGrid1">
    <w:name w:val="Table Grid1"/>
    <w:basedOn w:val="Vanligtabell"/>
    <w:uiPriority w:val="59"/>
    <w:rsid w:val="002D6E1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Ingenliste"/>
    <w:uiPriority w:val="99"/>
    <w:semiHidden/>
    <w:unhideWhenUsed/>
    <w:rsid w:val="002D6E1A"/>
  </w:style>
  <w:style w:type="paragraph" w:customStyle="1" w:styleId="AutoCorrect">
    <w:name w:val="AutoCorrect"/>
    <w:rsid w:val="002D6E1A"/>
    <w:pPr>
      <w:spacing w:after="200" w:line="276" w:lineRule="auto"/>
    </w:pPr>
    <w:rPr>
      <w:rFonts w:ascii="Calibri" w:hAnsi="Calibri"/>
      <w:sz w:val="22"/>
      <w:szCs w:val="22"/>
      <w:lang w:val="en-US" w:eastAsia="en-US"/>
    </w:rPr>
  </w:style>
  <w:style w:type="character" w:styleId="Linjenummer">
    <w:name w:val="line number"/>
    <w:basedOn w:val="Standardskriftforavsnitt"/>
    <w:uiPriority w:val="99"/>
    <w:unhideWhenUsed/>
    <w:rsid w:val="00952F2C"/>
  </w:style>
  <w:style w:type="paragraph" w:customStyle="1" w:styleId="aStyle">
    <w:name w:val="a) Style"/>
    <w:basedOn w:val="Normal"/>
    <w:qFormat/>
    <w:rsid w:val="00952F2C"/>
    <w:pPr>
      <w:numPr>
        <w:ilvl w:val="1"/>
        <w:numId w:val="12"/>
      </w:numPr>
      <w:suppressAutoHyphens/>
      <w:spacing w:before="120" w:after="120" w:line="276" w:lineRule="auto"/>
      <w:jc w:val="both"/>
    </w:pPr>
    <w:rPr>
      <w:szCs w:val="20"/>
    </w:rPr>
  </w:style>
  <w:style w:type="character" w:customStyle="1" w:styleId="04aNumberingChar">
    <w:name w:val="04a_Numbering Char"/>
    <w:link w:val="04aNumbering"/>
    <w:uiPriority w:val="99"/>
    <w:rsid w:val="00952F2C"/>
    <w:rPr>
      <w:rFonts w:ascii="Georgia" w:hAnsi="Georgia"/>
      <w:szCs w:val="24"/>
      <w:lang w:eastAsia="de-DE"/>
    </w:rPr>
  </w:style>
  <w:style w:type="paragraph" w:customStyle="1" w:styleId="Anwer">
    <w:name w:val="Anwer"/>
    <w:basedOn w:val="Bildetekst"/>
    <w:link w:val="AnwerChar"/>
    <w:qFormat/>
    <w:rsid w:val="00952F2C"/>
    <w:pPr>
      <w:spacing w:before="120"/>
      <w:jc w:val="both"/>
    </w:pPr>
    <w:rPr>
      <w:color w:val="C0504D"/>
    </w:rPr>
  </w:style>
  <w:style w:type="character" w:customStyle="1" w:styleId="AnwerChar">
    <w:name w:val="Anwer Char"/>
    <w:link w:val="Anwer"/>
    <w:rsid w:val="00952F2C"/>
    <w:rPr>
      <w:rFonts w:ascii="Georgia" w:hAnsi="Georgia"/>
      <w:b/>
      <w:bCs/>
      <w:color w:val="C0504D"/>
      <w:sz w:val="18"/>
      <w:szCs w:val="18"/>
      <w:lang w:eastAsia="de-DE"/>
    </w:rPr>
  </w:style>
  <w:style w:type="paragraph" w:customStyle="1" w:styleId="MYNORMAL">
    <w:name w:val="MYNORMAL"/>
    <w:basedOn w:val="04aNumeration"/>
    <w:link w:val="MYNORMALChar"/>
    <w:qFormat/>
    <w:rsid w:val="00952F2C"/>
    <w:pPr>
      <w:tabs>
        <w:tab w:val="clear" w:pos="454"/>
      </w:tabs>
      <w:spacing w:before="120"/>
      <w:ind w:left="0" w:firstLine="0"/>
    </w:pPr>
  </w:style>
  <w:style w:type="character" w:customStyle="1" w:styleId="MYNORMALChar">
    <w:name w:val="MYNORMAL Char"/>
    <w:link w:val="MYNORMAL"/>
    <w:rsid w:val="00952F2C"/>
    <w:rPr>
      <w:rFonts w:ascii="Georgia" w:hAnsi="Georgia"/>
      <w:szCs w:val="24"/>
      <w:lang w:val="fr-FR" w:eastAsia="de-DE"/>
    </w:rPr>
  </w:style>
  <w:style w:type="paragraph" w:customStyle="1" w:styleId="Normal1">
    <w:name w:val="Normal1"/>
    <w:basedOn w:val="Normal"/>
    <w:rsid w:val="00952F2C"/>
    <w:pPr>
      <w:spacing w:before="100" w:beforeAutospacing="1" w:after="100" w:afterAutospacing="1"/>
    </w:pPr>
    <w:rPr>
      <w:rFonts w:ascii="Times New Roman" w:hAnsi="Times New Roman"/>
      <w:sz w:val="24"/>
      <w:lang w:eastAsia="en-GB"/>
    </w:rPr>
  </w:style>
  <w:style w:type="character" w:customStyle="1" w:styleId="Heading5Char9">
    <w:name w:val="Heading 5 Char9"/>
    <w:aliases w:val="Questions Char2"/>
    <w:rsid w:val="004C3DAB"/>
    <w:rPr>
      <w:rFonts w:ascii="Georgia" w:eastAsia="Times New Roman" w:hAnsi="Georgia" w:cs="Times New Roman"/>
      <w:b/>
      <w:szCs w:val="24"/>
      <w:lang w:eastAsia="de-DE"/>
    </w:rPr>
  </w:style>
  <w:style w:type="character" w:customStyle="1" w:styleId="Heading5Char10">
    <w:name w:val="Heading 5 Char10"/>
    <w:aliases w:val="Questions Char3"/>
    <w:rsid w:val="00256DFE"/>
    <w:rPr>
      <w:rFonts w:ascii="Georgia" w:eastAsia="Times New Roman" w:hAnsi="Georgia" w:cs="Times New Roman"/>
      <w:b/>
      <w:szCs w:val="24"/>
      <w:lang w:eastAsia="de-DE"/>
    </w:rPr>
  </w:style>
  <w:style w:type="character" w:customStyle="1" w:styleId="Heading5Char11">
    <w:name w:val="Heading 5 Char11"/>
    <w:aliases w:val="Questions Char4"/>
    <w:rsid w:val="00903EBE"/>
    <w:rPr>
      <w:rFonts w:ascii="Georgia" w:eastAsia="Times New Roman" w:hAnsi="Georgia" w:cs="Times New Roman"/>
      <w:b/>
      <w:szCs w:val="24"/>
      <w:lang w:eastAsia="de-DE"/>
    </w:rPr>
  </w:style>
  <w:style w:type="character" w:customStyle="1" w:styleId="Heading3Char1">
    <w:name w:val="Heading 3 Char1"/>
    <w:rsid w:val="003D6780"/>
    <w:rPr>
      <w:rFonts w:ascii="Georgia" w:eastAsia="Times New Roman" w:hAnsi="Georgia" w:cs="Times New Roman"/>
      <w:b/>
      <w:sz w:val="22"/>
      <w:szCs w:val="26"/>
      <w:lang w:eastAsia="de-DE"/>
    </w:rPr>
  </w:style>
  <w:style w:type="character" w:customStyle="1" w:styleId="Heading5Char12">
    <w:name w:val="Heading 5 Char12"/>
    <w:aliases w:val="Questions Char5"/>
    <w:rsid w:val="003D6780"/>
    <w:rPr>
      <w:rFonts w:ascii="Georgia" w:eastAsia="Times New Roman" w:hAnsi="Georgia" w:cs="Times New Roman"/>
      <w:b/>
      <w:szCs w:val="24"/>
      <w:lang w:eastAsia="de-DE"/>
    </w:rPr>
  </w:style>
  <w:style w:type="character" w:customStyle="1" w:styleId="Heading5Char13">
    <w:name w:val="Heading 5 Char13"/>
    <w:aliases w:val="Questions Char6"/>
    <w:rsid w:val="00704D25"/>
    <w:rPr>
      <w:rFonts w:ascii="Georgia" w:eastAsia="Times New Roman" w:hAnsi="Georgia" w:cs="Times New Roman"/>
      <w:b/>
      <w:szCs w:val="24"/>
      <w:lang w:eastAsia="de-DE"/>
    </w:rPr>
  </w:style>
  <w:style w:type="character" w:customStyle="1" w:styleId="Strong4">
    <w:name w:val="Strong4"/>
    <w:uiPriority w:val="22"/>
    <w:qFormat/>
    <w:rsid w:val="00974881"/>
    <w:rPr>
      <w:b/>
      <w:bCs/>
    </w:rPr>
  </w:style>
  <w:style w:type="character" w:customStyle="1" w:styleId="Overskrift5Tegn">
    <w:name w:val="Overskrift 5 Tegn"/>
    <w:aliases w:val="Questions Tegn"/>
    <w:link w:val="Overskrift5"/>
    <w:rsid w:val="00E9344E"/>
    <w:rPr>
      <w:rFonts w:ascii="Arial" w:hAnsi="Arial"/>
      <w:b/>
      <w:szCs w:val="24"/>
      <w:lang w:eastAsia="de-DE"/>
    </w:rPr>
  </w:style>
  <w:style w:type="character" w:customStyle="1" w:styleId="Overskrift3Tegn">
    <w:name w:val="Overskrift 3 Tegn"/>
    <w:link w:val="Overskrift3"/>
    <w:rsid w:val="003865E5"/>
    <w:rPr>
      <w:rFonts w:ascii="Cambria" w:eastAsia="Times New Roman" w:hAnsi="Cambria" w:cs="Times New Roman"/>
      <w:b/>
      <w:bCs/>
      <w:color w:val="4F81BD"/>
      <w:sz w:val="22"/>
      <w:szCs w:val="24"/>
      <w:lang w:eastAsia="de-DE"/>
    </w:rPr>
  </w:style>
  <w:style w:type="character" w:customStyle="1" w:styleId="Overskrift4Tegn">
    <w:name w:val="Overskrift 4 Tegn"/>
    <w:link w:val="Overskrift4"/>
    <w:rsid w:val="00CB7286"/>
    <w:rPr>
      <w:b/>
      <w:bCs/>
      <w:sz w:val="28"/>
      <w:szCs w:val="28"/>
      <w:lang w:eastAsia="de-DE"/>
    </w:rPr>
  </w:style>
  <w:style w:type="table" w:styleId="Lyslisteuthevingsfarge3">
    <w:name w:val="Light List Accent 3"/>
    <w:basedOn w:val="Vanligtabell"/>
    <w:uiPriority w:val="61"/>
    <w:rsid w:val="00CB7286"/>
    <w:rPr>
      <w:rFonts w:ascii="Calibri" w:hAnsi="Calibri"/>
      <w:sz w:val="22"/>
      <w:szCs w:val="22"/>
      <w:lang w:val="de-DE"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ittlereSchattierung1-Akzent11">
    <w:name w:val="Mittlere Schattierung 1 - Akzent 11"/>
    <w:basedOn w:val="Vanligtabell"/>
    <w:uiPriority w:val="63"/>
    <w:rsid w:val="00CB728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BalloonTextChar1">
    <w:name w:val="Balloon Text Char1"/>
    <w:uiPriority w:val="99"/>
    <w:semiHidden/>
    <w:rsid w:val="000D2D0B"/>
    <w:rPr>
      <w:rFonts w:ascii="Tahoma" w:hAnsi="Tahoma" w:cs="Tahoma"/>
      <w:sz w:val="16"/>
      <w:szCs w:val="16"/>
      <w:lang w:val="en-GB" w:eastAsia="en-GB"/>
    </w:rPr>
  </w:style>
  <w:style w:type="character" w:customStyle="1" w:styleId="31TextobasenotadeprensaCNMVCar">
    <w:name w:val="3.1. Texto base nota de prensa CNMV Car"/>
    <w:rsid w:val="000D2D0B"/>
    <w:rPr>
      <w:rFonts w:ascii="Celeste" w:hAnsi="Celeste" w:cs="Times New Roman"/>
      <w:sz w:val="22"/>
      <w:lang w:val="es-ES" w:eastAsia="es-ES" w:bidi="ar-SA"/>
    </w:rPr>
  </w:style>
  <w:style w:type="paragraph" w:customStyle="1" w:styleId="01Title">
    <w:name w:val="01_Title"/>
    <w:basedOn w:val="Normal"/>
    <w:rsid w:val="000D2D0B"/>
    <w:pPr>
      <w:spacing w:after="250" w:line="340" w:lineRule="exact"/>
      <w:ind w:left="397" w:hanging="397"/>
      <w:jc w:val="both"/>
    </w:pPr>
    <w:rPr>
      <w:b/>
      <w:caps/>
      <w:color w:val="2D4190"/>
      <w:sz w:val="28"/>
      <w:lang w:val="de-DE"/>
    </w:rPr>
  </w:style>
  <w:style w:type="paragraph" w:customStyle="1" w:styleId="04RunningText">
    <w:name w:val="04_Running Text"/>
    <w:basedOn w:val="Normal"/>
    <w:link w:val="04RunningTextChar"/>
    <w:rsid w:val="000D2D0B"/>
    <w:pPr>
      <w:spacing w:after="250" w:line="276" w:lineRule="auto"/>
      <w:ind w:left="397" w:hanging="397"/>
      <w:jc w:val="both"/>
    </w:pPr>
    <w:rPr>
      <w:lang w:val="x-none"/>
    </w:rPr>
  </w:style>
  <w:style w:type="paragraph" w:customStyle="1" w:styleId="04bListing">
    <w:name w:val="04b_Listing"/>
    <w:basedOn w:val="04RunningText"/>
    <w:rsid w:val="000D2D0B"/>
    <w:pPr>
      <w:tabs>
        <w:tab w:val="num" w:pos="568"/>
      </w:tabs>
      <w:ind w:left="568" w:hanging="284"/>
    </w:pPr>
  </w:style>
  <w:style w:type="paragraph" w:customStyle="1" w:styleId="04cRunningtextleft">
    <w:name w:val="04c_Running text left"/>
    <w:basedOn w:val="04RunningText"/>
    <w:rsid w:val="000D2D0B"/>
    <w:pPr>
      <w:spacing w:after="0"/>
      <w:jc w:val="left"/>
    </w:pPr>
  </w:style>
  <w:style w:type="paragraph" w:customStyle="1" w:styleId="05bHeadline3">
    <w:name w:val="05b_Headline 3"/>
    <w:basedOn w:val="Overskrift2"/>
    <w:rsid w:val="000D2D0B"/>
    <w:pPr>
      <w:keepNext w:val="0"/>
      <w:keepLines w:val="0"/>
      <w:tabs>
        <w:tab w:val="num" w:pos="567"/>
        <w:tab w:val="left" w:pos="851"/>
      </w:tabs>
      <w:suppressAutoHyphens/>
      <w:spacing w:before="0" w:after="250" w:line="250" w:lineRule="exact"/>
      <w:ind w:left="568" w:hanging="284"/>
      <w:jc w:val="both"/>
    </w:pPr>
    <w:rPr>
      <w:b w:val="0"/>
      <w:iCs/>
      <w:szCs w:val="20"/>
      <w:lang w:val="fr-FR" w:eastAsia="x-none"/>
    </w:rPr>
  </w:style>
  <w:style w:type="character" w:customStyle="1" w:styleId="WW8Num4z1">
    <w:name w:val="WW8Num4z1"/>
    <w:rsid w:val="000D2D0B"/>
    <w:rPr>
      <w:rFonts w:ascii="Courier New" w:hAnsi="Courier New" w:cs="Courier New"/>
    </w:rPr>
  </w:style>
  <w:style w:type="paragraph" w:customStyle="1" w:styleId="TOCHeading1">
    <w:name w:val="TOC Heading1"/>
    <w:basedOn w:val="Overskrift1"/>
    <w:next w:val="Normal"/>
    <w:unhideWhenUsed/>
    <w:qFormat/>
    <w:rsid w:val="000D2D0B"/>
    <w:pPr>
      <w:keepNext w:val="0"/>
      <w:keepLines/>
      <w:numPr>
        <w:numId w:val="0"/>
      </w:numPr>
      <w:tabs>
        <w:tab w:val="left" w:pos="397"/>
      </w:tabs>
      <w:suppressAutoHyphens/>
      <w:spacing w:before="480" w:after="0" w:line="280" w:lineRule="exact"/>
      <w:ind w:left="720" w:hanging="360"/>
      <w:jc w:val="both"/>
      <w:outlineLvl w:val="9"/>
    </w:pPr>
    <w:rPr>
      <w:rFonts w:ascii="Cambria" w:hAnsi="Cambria" w:cs="Times New Roman"/>
      <w:bCs w:val="0"/>
      <w:color w:val="365F91"/>
      <w:kern w:val="0"/>
      <w:sz w:val="28"/>
      <w:szCs w:val="28"/>
      <w:lang w:val="en-US" w:eastAsia="en-US"/>
    </w:rPr>
  </w:style>
  <w:style w:type="paragraph" w:customStyle="1" w:styleId="NoSpacing1">
    <w:name w:val="No Spacing1"/>
    <w:uiPriority w:val="1"/>
    <w:qFormat/>
    <w:rsid w:val="000D2D0B"/>
    <w:pPr>
      <w:suppressAutoHyphens/>
      <w:spacing w:after="250" w:line="276" w:lineRule="auto"/>
      <w:ind w:left="397" w:hanging="397"/>
      <w:jc w:val="both"/>
    </w:pPr>
    <w:rPr>
      <w:rFonts w:ascii="Century Schoolbook" w:hAnsi="Century Schoolbook" w:cs="Garamond"/>
      <w:szCs w:val="22"/>
      <w:lang w:eastAsia="ar-SA"/>
    </w:rPr>
  </w:style>
  <w:style w:type="paragraph" w:customStyle="1" w:styleId="04anumeration0">
    <w:name w:val="04anumeration"/>
    <w:basedOn w:val="Normal"/>
    <w:rsid w:val="000D2D0B"/>
    <w:pPr>
      <w:tabs>
        <w:tab w:val="num" w:pos="284"/>
      </w:tabs>
      <w:spacing w:after="250" w:line="276" w:lineRule="auto"/>
      <w:ind w:left="284" w:hanging="284"/>
      <w:jc w:val="both"/>
    </w:pPr>
    <w:rPr>
      <w:rFonts w:eastAsia="Calibri"/>
      <w:szCs w:val="20"/>
      <w:lang w:eastAsia="en-GB"/>
    </w:rPr>
  </w:style>
  <w:style w:type="paragraph" w:customStyle="1" w:styleId="Listenabsatz1">
    <w:name w:val="Listenabsatz1"/>
    <w:basedOn w:val="Normal"/>
    <w:rsid w:val="000D2D0B"/>
    <w:pPr>
      <w:spacing w:line="260" w:lineRule="atLeast"/>
      <w:ind w:left="720"/>
      <w:contextualSpacing/>
    </w:pPr>
    <w:rPr>
      <w:rFonts w:ascii="Verdana" w:hAnsi="Verdana"/>
      <w:kern w:val="10"/>
      <w:szCs w:val="20"/>
      <w:lang w:val="de-DE"/>
    </w:rPr>
  </w:style>
  <w:style w:type="paragraph" w:customStyle="1" w:styleId="Listenabsatz2">
    <w:name w:val="Listenabsatz2"/>
    <w:basedOn w:val="Normal"/>
    <w:rsid w:val="000D2D0B"/>
    <w:pPr>
      <w:spacing w:line="260" w:lineRule="atLeast"/>
      <w:ind w:left="720"/>
      <w:contextualSpacing/>
    </w:pPr>
    <w:rPr>
      <w:rFonts w:ascii="Verdana" w:hAnsi="Verdana"/>
      <w:kern w:val="10"/>
      <w:szCs w:val="20"/>
      <w:lang w:val="de-DE"/>
    </w:rPr>
  </w:style>
  <w:style w:type="paragraph" w:customStyle="1" w:styleId="Considrant">
    <w:name w:val="Considérant"/>
    <w:basedOn w:val="Normal"/>
    <w:rsid w:val="000D2D0B"/>
    <w:pPr>
      <w:numPr>
        <w:numId w:val="15"/>
      </w:numPr>
      <w:spacing w:before="120" w:after="120"/>
      <w:jc w:val="both"/>
    </w:pPr>
    <w:rPr>
      <w:rFonts w:ascii="Times New Roman" w:hAnsi="Times New Roman"/>
      <w:sz w:val="24"/>
      <w:lang w:eastAsia="en-US"/>
    </w:rPr>
  </w:style>
  <w:style w:type="paragraph" w:customStyle="1" w:styleId="Institutionquisigne">
    <w:name w:val="Institution qui signe"/>
    <w:basedOn w:val="Normal"/>
    <w:next w:val="Normal"/>
    <w:rsid w:val="000D2D0B"/>
    <w:pPr>
      <w:keepNext/>
      <w:tabs>
        <w:tab w:val="left" w:pos="4252"/>
      </w:tabs>
      <w:spacing w:before="720"/>
      <w:jc w:val="both"/>
    </w:pPr>
    <w:rPr>
      <w:rFonts w:ascii="Times New Roman" w:hAnsi="Times New Roman"/>
      <w:i/>
      <w:sz w:val="24"/>
      <w:lang w:eastAsia="en-US"/>
    </w:rPr>
  </w:style>
  <w:style w:type="paragraph" w:customStyle="1" w:styleId="Paragrafoelenco1">
    <w:name w:val="Paragrafo elenco1"/>
    <w:basedOn w:val="Normal"/>
    <w:rsid w:val="000D2D0B"/>
    <w:pPr>
      <w:ind w:left="720"/>
      <w:contextualSpacing/>
    </w:pPr>
    <w:rPr>
      <w:rFonts w:ascii="Cambria" w:hAnsi="Cambria"/>
      <w:sz w:val="24"/>
      <w:lang w:val="en-US" w:eastAsia="en-US"/>
    </w:rPr>
  </w:style>
  <w:style w:type="character" w:customStyle="1" w:styleId="CommentTextChar2">
    <w:name w:val="Comment Text Char2"/>
    <w:semiHidden/>
    <w:locked/>
    <w:rsid w:val="000D2D0B"/>
    <w:rPr>
      <w:rFonts w:ascii="Arial" w:hAnsi="Arial" w:cs="Times New Roman"/>
      <w:lang w:val="en-GB" w:eastAsia="en-GB" w:bidi="ar-SA"/>
    </w:rPr>
  </w:style>
  <w:style w:type="character" w:customStyle="1" w:styleId="subparatext">
    <w:name w:val="subparatext"/>
    <w:rsid w:val="000D2D0B"/>
    <w:rPr>
      <w:rFonts w:cs="Times New Roman"/>
    </w:rPr>
  </w:style>
  <w:style w:type="paragraph" w:customStyle="1" w:styleId="Normal12Hanging">
    <w:name w:val="Normal12Hanging"/>
    <w:basedOn w:val="Normal"/>
    <w:rsid w:val="000D2D0B"/>
    <w:pPr>
      <w:widowControl w:val="0"/>
      <w:spacing w:after="240"/>
      <w:ind w:left="357" w:hanging="357"/>
    </w:pPr>
    <w:rPr>
      <w:rFonts w:ascii="Times New Roman" w:hAnsi="Times New Roman"/>
      <w:sz w:val="24"/>
      <w:szCs w:val="20"/>
      <w:lang w:eastAsia="en-GB"/>
    </w:rPr>
  </w:style>
  <w:style w:type="paragraph" w:customStyle="1" w:styleId="NormalGeorgia">
    <w:name w:val="Normal + Georgia"/>
    <w:aliases w:val="10 pt"/>
    <w:basedOn w:val="Normal"/>
    <w:rsid w:val="000D2D0B"/>
    <w:rPr>
      <w:szCs w:val="20"/>
    </w:rPr>
  </w:style>
  <w:style w:type="paragraph" w:customStyle="1" w:styleId="Sbuchead">
    <w:name w:val="Sbuchead"/>
    <w:basedOn w:val="Normal"/>
    <w:rsid w:val="000D2D0B"/>
    <w:pPr>
      <w:spacing w:after="360"/>
    </w:pPr>
    <w:rPr>
      <w:rFonts w:ascii="Times New Roman" w:hAnsi="Times New Roman"/>
      <w:b/>
      <w:caps/>
      <w:sz w:val="24"/>
      <w:szCs w:val="20"/>
      <w:lang w:eastAsia="en-GB"/>
    </w:rPr>
  </w:style>
  <w:style w:type="paragraph" w:customStyle="1" w:styleId="Applicationdirecte">
    <w:name w:val="Application directe"/>
    <w:basedOn w:val="Normal"/>
    <w:next w:val="Fait"/>
    <w:rsid w:val="000D2D0B"/>
    <w:pPr>
      <w:spacing w:before="480" w:after="120"/>
      <w:jc w:val="both"/>
    </w:pPr>
    <w:rPr>
      <w:rFonts w:ascii="Times New Roman" w:hAnsi="Times New Roman"/>
      <w:sz w:val="24"/>
      <w:lang w:eastAsia="en-US"/>
    </w:rPr>
  </w:style>
  <w:style w:type="paragraph" w:customStyle="1" w:styleId="Fait">
    <w:name w:val="Fait à"/>
    <w:basedOn w:val="Normal"/>
    <w:next w:val="Institutionquisigne"/>
    <w:rsid w:val="000D2D0B"/>
    <w:pPr>
      <w:keepNext/>
      <w:spacing w:before="120"/>
      <w:jc w:val="both"/>
    </w:pPr>
    <w:rPr>
      <w:rFonts w:ascii="Times New Roman" w:hAnsi="Times New Roman"/>
      <w:sz w:val="24"/>
      <w:lang w:eastAsia="en-US"/>
    </w:rPr>
  </w:style>
  <w:style w:type="paragraph" w:customStyle="1" w:styleId="Formuledadoption">
    <w:name w:val="Formule d'adoption"/>
    <w:basedOn w:val="Normal"/>
    <w:next w:val="Titrearticle"/>
    <w:rsid w:val="000D2D0B"/>
    <w:pPr>
      <w:keepNext/>
      <w:spacing w:before="120" w:after="120"/>
      <w:jc w:val="both"/>
    </w:pPr>
    <w:rPr>
      <w:rFonts w:ascii="Times New Roman" w:hAnsi="Times New Roman"/>
      <w:sz w:val="24"/>
      <w:lang w:eastAsia="en-US"/>
    </w:rPr>
  </w:style>
  <w:style w:type="paragraph" w:customStyle="1" w:styleId="Personnequisigne">
    <w:name w:val="Personne qui signe"/>
    <w:basedOn w:val="Normal"/>
    <w:next w:val="Institutionquisigne"/>
    <w:rsid w:val="000D2D0B"/>
    <w:pPr>
      <w:tabs>
        <w:tab w:val="left" w:pos="4252"/>
      </w:tabs>
    </w:pPr>
    <w:rPr>
      <w:rFonts w:ascii="Times New Roman" w:hAnsi="Times New Roman"/>
      <w:i/>
      <w:sz w:val="24"/>
      <w:lang w:eastAsia="en-US"/>
    </w:rPr>
  </w:style>
  <w:style w:type="paragraph" w:customStyle="1" w:styleId="Titrearticle">
    <w:name w:val="Titre article"/>
    <w:basedOn w:val="Normal"/>
    <w:next w:val="Normal"/>
    <w:link w:val="TitrearticleChar"/>
    <w:uiPriority w:val="99"/>
    <w:rsid w:val="000D2D0B"/>
    <w:pPr>
      <w:keepNext/>
      <w:spacing w:before="360" w:after="120"/>
      <w:jc w:val="center"/>
    </w:pPr>
    <w:rPr>
      <w:rFonts w:ascii="Times New Roman" w:hAnsi="Times New Roman"/>
      <w:i/>
      <w:sz w:val="24"/>
      <w:lang w:val="x-none" w:eastAsia="x-none"/>
    </w:rPr>
  </w:style>
  <w:style w:type="paragraph" w:customStyle="1" w:styleId="Titreobjet">
    <w:name w:val="Titre objet"/>
    <w:basedOn w:val="Normal"/>
    <w:next w:val="Normal"/>
    <w:rsid w:val="000D2D0B"/>
    <w:pPr>
      <w:spacing w:before="360" w:after="360"/>
      <w:jc w:val="center"/>
    </w:pPr>
    <w:rPr>
      <w:rFonts w:ascii="Times New Roman" w:hAnsi="Times New Roman"/>
      <w:b/>
      <w:sz w:val="24"/>
      <w:lang w:eastAsia="en-US"/>
    </w:rPr>
  </w:style>
  <w:style w:type="paragraph" w:customStyle="1" w:styleId="Typedudocument">
    <w:name w:val="Type du document"/>
    <w:basedOn w:val="Normal"/>
    <w:next w:val="Titreobjet"/>
    <w:rsid w:val="000D2D0B"/>
    <w:pPr>
      <w:spacing w:before="360"/>
      <w:jc w:val="center"/>
    </w:pPr>
    <w:rPr>
      <w:rFonts w:ascii="Times New Roman" w:hAnsi="Times New Roman"/>
      <w:b/>
      <w:sz w:val="24"/>
      <w:lang w:eastAsia="en-US"/>
    </w:rPr>
  </w:style>
  <w:style w:type="paragraph" w:customStyle="1" w:styleId="HeaderLandscape">
    <w:name w:val="HeaderLandscape"/>
    <w:basedOn w:val="Normal"/>
    <w:rsid w:val="000D2D0B"/>
    <w:pPr>
      <w:tabs>
        <w:tab w:val="center" w:pos="7285"/>
        <w:tab w:val="right" w:pos="14003"/>
      </w:tabs>
      <w:spacing w:before="120" w:after="120"/>
      <w:jc w:val="both"/>
    </w:pPr>
    <w:rPr>
      <w:rFonts w:ascii="Times New Roman" w:hAnsi="Times New Roman"/>
      <w:sz w:val="24"/>
      <w:lang w:eastAsia="en-US"/>
    </w:rPr>
  </w:style>
  <w:style w:type="paragraph" w:customStyle="1" w:styleId="FooterLandscape">
    <w:name w:val="FooterLandscape"/>
    <w:basedOn w:val="Normal"/>
    <w:rsid w:val="000D2D0B"/>
    <w:pPr>
      <w:tabs>
        <w:tab w:val="center" w:pos="7285"/>
        <w:tab w:val="center" w:pos="10913"/>
        <w:tab w:val="right" w:pos="15137"/>
      </w:tabs>
      <w:spacing w:before="360"/>
      <w:ind w:left="-567" w:right="-567"/>
    </w:pPr>
    <w:rPr>
      <w:rFonts w:ascii="Times New Roman" w:hAnsi="Times New Roman"/>
      <w:sz w:val="24"/>
      <w:lang w:eastAsia="en-US"/>
    </w:rPr>
  </w:style>
  <w:style w:type="paragraph" w:customStyle="1" w:styleId="Text1">
    <w:name w:val="Text 1"/>
    <w:basedOn w:val="Normal"/>
    <w:rsid w:val="000D2D0B"/>
    <w:pPr>
      <w:spacing w:before="120" w:after="120"/>
      <w:ind w:left="850"/>
      <w:jc w:val="both"/>
    </w:pPr>
    <w:rPr>
      <w:rFonts w:ascii="Times New Roman" w:hAnsi="Times New Roman"/>
      <w:sz w:val="24"/>
      <w:lang w:eastAsia="en-US"/>
    </w:rPr>
  </w:style>
  <w:style w:type="paragraph" w:customStyle="1" w:styleId="Text2">
    <w:name w:val="Text 2"/>
    <w:basedOn w:val="Normal"/>
    <w:rsid w:val="000D2D0B"/>
    <w:pPr>
      <w:spacing w:before="120" w:after="120"/>
      <w:ind w:left="1417"/>
      <w:jc w:val="both"/>
    </w:pPr>
    <w:rPr>
      <w:rFonts w:ascii="Times New Roman" w:hAnsi="Times New Roman"/>
      <w:sz w:val="24"/>
      <w:lang w:eastAsia="en-US"/>
    </w:rPr>
  </w:style>
  <w:style w:type="paragraph" w:customStyle="1" w:styleId="Text3">
    <w:name w:val="Text 3"/>
    <w:basedOn w:val="Normal"/>
    <w:rsid w:val="000D2D0B"/>
    <w:pPr>
      <w:spacing w:before="120" w:after="120"/>
      <w:ind w:left="1984"/>
      <w:jc w:val="both"/>
    </w:pPr>
    <w:rPr>
      <w:rFonts w:ascii="Times New Roman" w:hAnsi="Times New Roman"/>
      <w:sz w:val="24"/>
      <w:lang w:eastAsia="en-US"/>
    </w:rPr>
  </w:style>
  <w:style w:type="paragraph" w:customStyle="1" w:styleId="Text4">
    <w:name w:val="Text 4"/>
    <w:basedOn w:val="Normal"/>
    <w:rsid w:val="000D2D0B"/>
    <w:pPr>
      <w:spacing w:before="120" w:after="120"/>
      <w:ind w:left="2551"/>
      <w:jc w:val="both"/>
    </w:pPr>
    <w:rPr>
      <w:rFonts w:ascii="Times New Roman" w:hAnsi="Times New Roman"/>
      <w:sz w:val="24"/>
      <w:lang w:eastAsia="en-US"/>
    </w:rPr>
  </w:style>
  <w:style w:type="paragraph" w:customStyle="1" w:styleId="NormalCentered">
    <w:name w:val="Normal Centered"/>
    <w:basedOn w:val="Normal"/>
    <w:rsid w:val="000D2D0B"/>
    <w:pPr>
      <w:spacing w:before="120" w:after="120"/>
      <w:jc w:val="center"/>
    </w:pPr>
    <w:rPr>
      <w:rFonts w:ascii="Times New Roman" w:hAnsi="Times New Roman"/>
      <w:sz w:val="24"/>
      <w:lang w:eastAsia="en-US"/>
    </w:rPr>
  </w:style>
  <w:style w:type="paragraph" w:customStyle="1" w:styleId="NormalLeft">
    <w:name w:val="Normal Left"/>
    <w:basedOn w:val="Normal"/>
    <w:rsid w:val="000D2D0B"/>
    <w:pPr>
      <w:spacing w:before="120" w:after="120"/>
    </w:pPr>
    <w:rPr>
      <w:rFonts w:ascii="Times New Roman" w:hAnsi="Times New Roman"/>
      <w:sz w:val="24"/>
      <w:lang w:eastAsia="en-US"/>
    </w:rPr>
  </w:style>
  <w:style w:type="paragraph" w:customStyle="1" w:styleId="NormalRight">
    <w:name w:val="Normal Right"/>
    <w:basedOn w:val="Normal"/>
    <w:rsid w:val="000D2D0B"/>
    <w:pPr>
      <w:spacing w:before="120" w:after="120"/>
      <w:jc w:val="right"/>
    </w:pPr>
    <w:rPr>
      <w:rFonts w:ascii="Times New Roman" w:hAnsi="Times New Roman"/>
      <w:sz w:val="24"/>
      <w:lang w:eastAsia="en-US"/>
    </w:rPr>
  </w:style>
  <w:style w:type="paragraph" w:customStyle="1" w:styleId="QuotedText">
    <w:name w:val="Quoted Text"/>
    <w:basedOn w:val="Normal"/>
    <w:rsid w:val="000D2D0B"/>
    <w:pPr>
      <w:spacing w:before="120" w:after="120"/>
      <w:ind w:left="1417"/>
      <w:jc w:val="both"/>
    </w:pPr>
    <w:rPr>
      <w:rFonts w:ascii="Times New Roman" w:hAnsi="Times New Roman"/>
      <w:sz w:val="24"/>
      <w:lang w:eastAsia="en-US"/>
    </w:rPr>
  </w:style>
  <w:style w:type="paragraph" w:customStyle="1" w:styleId="Point0">
    <w:name w:val="Point 0"/>
    <w:basedOn w:val="Normal"/>
    <w:rsid w:val="000D2D0B"/>
    <w:pPr>
      <w:spacing w:before="120" w:after="120"/>
      <w:ind w:left="850" w:hanging="850"/>
      <w:jc w:val="both"/>
    </w:pPr>
    <w:rPr>
      <w:rFonts w:ascii="Times New Roman" w:hAnsi="Times New Roman"/>
      <w:sz w:val="24"/>
      <w:lang w:eastAsia="en-US"/>
    </w:rPr>
  </w:style>
  <w:style w:type="paragraph" w:customStyle="1" w:styleId="Point1">
    <w:name w:val="Point 1"/>
    <w:basedOn w:val="Normal"/>
    <w:rsid w:val="000D2D0B"/>
    <w:pPr>
      <w:spacing w:before="120" w:after="120"/>
      <w:ind w:left="1417" w:hanging="567"/>
      <w:jc w:val="both"/>
    </w:pPr>
    <w:rPr>
      <w:rFonts w:ascii="Times New Roman" w:hAnsi="Times New Roman"/>
      <w:sz w:val="24"/>
      <w:lang w:eastAsia="en-US"/>
    </w:rPr>
  </w:style>
  <w:style w:type="paragraph" w:customStyle="1" w:styleId="Point2">
    <w:name w:val="Point 2"/>
    <w:basedOn w:val="Normal"/>
    <w:rsid w:val="000D2D0B"/>
    <w:pPr>
      <w:spacing w:before="120" w:after="120"/>
      <w:ind w:left="1984" w:hanging="567"/>
      <w:jc w:val="both"/>
    </w:pPr>
    <w:rPr>
      <w:rFonts w:ascii="Times New Roman" w:hAnsi="Times New Roman"/>
      <w:sz w:val="24"/>
      <w:lang w:eastAsia="en-US"/>
    </w:rPr>
  </w:style>
  <w:style w:type="paragraph" w:customStyle="1" w:styleId="Point3">
    <w:name w:val="Point 3"/>
    <w:basedOn w:val="Normal"/>
    <w:rsid w:val="000D2D0B"/>
    <w:pPr>
      <w:spacing w:before="120" w:after="120"/>
      <w:ind w:left="2551" w:hanging="567"/>
      <w:jc w:val="both"/>
    </w:pPr>
    <w:rPr>
      <w:rFonts w:ascii="Times New Roman" w:hAnsi="Times New Roman"/>
      <w:sz w:val="24"/>
      <w:lang w:eastAsia="en-US"/>
    </w:rPr>
  </w:style>
  <w:style w:type="paragraph" w:customStyle="1" w:styleId="Point4">
    <w:name w:val="Point 4"/>
    <w:basedOn w:val="Normal"/>
    <w:rsid w:val="000D2D0B"/>
    <w:pPr>
      <w:spacing w:before="120" w:after="120"/>
      <w:ind w:left="3118" w:hanging="567"/>
      <w:jc w:val="both"/>
    </w:pPr>
    <w:rPr>
      <w:rFonts w:ascii="Times New Roman" w:hAnsi="Times New Roman"/>
      <w:sz w:val="24"/>
      <w:lang w:eastAsia="en-US"/>
    </w:rPr>
  </w:style>
  <w:style w:type="paragraph" w:customStyle="1" w:styleId="Tiret0">
    <w:name w:val="Tiret 0"/>
    <w:basedOn w:val="Point0"/>
    <w:rsid w:val="000D2D0B"/>
    <w:pPr>
      <w:numPr>
        <w:numId w:val="18"/>
      </w:numPr>
    </w:pPr>
  </w:style>
  <w:style w:type="paragraph" w:customStyle="1" w:styleId="Tiret2">
    <w:name w:val="Tiret 2"/>
    <w:basedOn w:val="Point2"/>
    <w:rsid w:val="000D2D0B"/>
    <w:pPr>
      <w:tabs>
        <w:tab w:val="num" w:pos="1984"/>
      </w:tabs>
    </w:pPr>
  </w:style>
  <w:style w:type="paragraph" w:customStyle="1" w:styleId="Tiret3">
    <w:name w:val="Tiret 3"/>
    <w:basedOn w:val="Point3"/>
    <w:rsid w:val="000D2D0B"/>
    <w:pPr>
      <w:numPr>
        <w:numId w:val="19"/>
      </w:numPr>
    </w:pPr>
  </w:style>
  <w:style w:type="paragraph" w:customStyle="1" w:styleId="Tiret4">
    <w:name w:val="Tiret 4"/>
    <w:basedOn w:val="Point4"/>
    <w:rsid w:val="000D2D0B"/>
    <w:pPr>
      <w:numPr>
        <w:numId w:val="20"/>
      </w:numPr>
    </w:pPr>
  </w:style>
  <w:style w:type="paragraph" w:customStyle="1" w:styleId="PointDouble0">
    <w:name w:val="PointDouble 0"/>
    <w:basedOn w:val="Normal"/>
    <w:rsid w:val="000D2D0B"/>
    <w:pPr>
      <w:tabs>
        <w:tab w:val="left" w:pos="850"/>
      </w:tabs>
      <w:spacing w:before="120" w:after="120"/>
      <w:ind w:left="1417" w:hanging="1417"/>
      <w:jc w:val="both"/>
    </w:pPr>
    <w:rPr>
      <w:rFonts w:ascii="Times New Roman" w:hAnsi="Times New Roman"/>
      <w:sz w:val="24"/>
      <w:lang w:eastAsia="en-US"/>
    </w:rPr>
  </w:style>
  <w:style w:type="paragraph" w:customStyle="1" w:styleId="PointDouble1">
    <w:name w:val="PointDouble 1"/>
    <w:basedOn w:val="Normal"/>
    <w:rsid w:val="000D2D0B"/>
    <w:pPr>
      <w:tabs>
        <w:tab w:val="left" w:pos="1417"/>
      </w:tabs>
      <w:spacing w:before="120" w:after="120"/>
      <w:ind w:left="1984" w:hanging="1134"/>
      <w:jc w:val="both"/>
    </w:pPr>
    <w:rPr>
      <w:rFonts w:ascii="Times New Roman" w:hAnsi="Times New Roman"/>
      <w:sz w:val="24"/>
      <w:lang w:eastAsia="en-US"/>
    </w:rPr>
  </w:style>
  <w:style w:type="paragraph" w:customStyle="1" w:styleId="PointDouble2">
    <w:name w:val="PointDouble 2"/>
    <w:basedOn w:val="Normal"/>
    <w:rsid w:val="000D2D0B"/>
    <w:pPr>
      <w:tabs>
        <w:tab w:val="left" w:pos="1984"/>
      </w:tabs>
      <w:spacing w:before="120" w:after="120"/>
      <w:ind w:left="2551" w:hanging="1134"/>
      <w:jc w:val="both"/>
    </w:pPr>
    <w:rPr>
      <w:rFonts w:ascii="Times New Roman" w:hAnsi="Times New Roman"/>
      <w:sz w:val="24"/>
      <w:lang w:eastAsia="en-US"/>
    </w:rPr>
  </w:style>
  <w:style w:type="paragraph" w:customStyle="1" w:styleId="PointDouble3">
    <w:name w:val="PointDouble 3"/>
    <w:basedOn w:val="Normal"/>
    <w:rsid w:val="000D2D0B"/>
    <w:pPr>
      <w:tabs>
        <w:tab w:val="left" w:pos="2551"/>
      </w:tabs>
      <w:spacing w:before="120" w:after="120"/>
      <w:ind w:left="3118" w:hanging="1134"/>
      <w:jc w:val="both"/>
    </w:pPr>
    <w:rPr>
      <w:rFonts w:ascii="Times New Roman" w:hAnsi="Times New Roman"/>
      <w:sz w:val="24"/>
      <w:lang w:eastAsia="en-US"/>
    </w:rPr>
  </w:style>
  <w:style w:type="paragraph" w:customStyle="1" w:styleId="PointDouble4">
    <w:name w:val="PointDouble 4"/>
    <w:basedOn w:val="Normal"/>
    <w:rsid w:val="000D2D0B"/>
    <w:pPr>
      <w:tabs>
        <w:tab w:val="left" w:pos="3118"/>
      </w:tabs>
      <w:spacing w:before="120" w:after="120"/>
      <w:ind w:left="3685" w:hanging="1134"/>
      <w:jc w:val="both"/>
    </w:pPr>
    <w:rPr>
      <w:rFonts w:ascii="Times New Roman" w:hAnsi="Times New Roman"/>
      <w:sz w:val="24"/>
      <w:lang w:eastAsia="en-US"/>
    </w:rPr>
  </w:style>
  <w:style w:type="paragraph" w:customStyle="1" w:styleId="PointTriple0">
    <w:name w:val="PointTriple 0"/>
    <w:basedOn w:val="Normal"/>
    <w:rsid w:val="000D2D0B"/>
    <w:pPr>
      <w:tabs>
        <w:tab w:val="left" w:pos="850"/>
        <w:tab w:val="left" w:pos="1417"/>
      </w:tabs>
      <w:spacing w:before="120" w:after="120"/>
      <w:ind w:left="1984" w:hanging="1984"/>
      <w:jc w:val="both"/>
    </w:pPr>
    <w:rPr>
      <w:rFonts w:ascii="Times New Roman" w:hAnsi="Times New Roman"/>
      <w:sz w:val="24"/>
      <w:lang w:eastAsia="en-US"/>
    </w:rPr>
  </w:style>
  <w:style w:type="paragraph" w:customStyle="1" w:styleId="PointTriple1">
    <w:name w:val="PointTriple 1"/>
    <w:basedOn w:val="Normal"/>
    <w:rsid w:val="000D2D0B"/>
    <w:pPr>
      <w:tabs>
        <w:tab w:val="left" w:pos="1417"/>
        <w:tab w:val="left" w:pos="1984"/>
      </w:tabs>
      <w:spacing w:before="120" w:after="120"/>
      <w:ind w:left="2551" w:hanging="1701"/>
      <w:jc w:val="both"/>
    </w:pPr>
    <w:rPr>
      <w:rFonts w:ascii="Times New Roman" w:hAnsi="Times New Roman"/>
      <w:sz w:val="24"/>
      <w:lang w:eastAsia="en-US"/>
    </w:rPr>
  </w:style>
  <w:style w:type="paragraph" w:customStyle="1" w:styleId="PointTriple2">
    <w:name w:val="PointTriple 2"/>
    <w:basedOn w:val="Normal"/>
    <w:rsid w:val="000D2D0B"/>
    <w:pPr>
      <w:tabs>
        <w:tab w:val="left" w:pos="1984"/>
        <w:tab w:val="left" w:pos="2551"/>
      </w:tabs>
      <w:spacing w:before="120" w:after="120"/>
      <w:ind w:left="3118" w:hanging="1701"/>
      <w:jc w:val="both"/>
    </w:pPr>
    <w:rPr>
      <w:rFonts w:ascii="Times New Roman" w:hAnsi="Times New Roman"/>
      <w:sz w:val="24"/>
      <w:lang w:eastAsia="en-US"/>
    </w:rPr>
  </w:style>
  <w:style w:type="paragraph" w:customStyle="1" w:styleId="PointTriple3">
    <w:name w:val="PointTriple 3"/>
    <w:basedOn w:val="Normal"/>
    <w:rsid w:val="000D2D0B"/>
    <w:pPr>
      <w:tabs>
        <w:tab w:val="left" w:pos="2551"/>
        <w:tab w:val="left" w:pos="3118"/>
      </w:tabs>
      <w:spacing w:before="120" w:after="120"/>
      <w:ind w:left="3685" w:hanging="1701"/>
      <w:jc w:val="both"/>
    </w:pPr>
    <w:rPr>
      <w:rFonts w:ascii="Times New Roman" w:hAnsi="Times New Roman"/>
      <w:sz w:val="24"/>
      <w:lang w:eastAsia="en-US"/>
    </w:rPr>
  </w:style>
  <w:style w:type="paragraph" w:customStyle="1" w:styleId="PointTriple4">
    <w:name w:val="PointTriple 4"/>
    <w:basedOn w:val="Normal"/>
    <w:rsid w:val="000D2D0B"/>
    <w:pPr>
      <w:tabs>
        <w:tab w:val="left" w:pos="3118"/>
        <w:tab w:val="left" w:pos="3685"/>
      </w:tabs>
      <w:spacing w:before="120" w:after="120"/>
      <w:ind w:left="4252" w:hanging="1701"/>
      <w:jc w:val="both"/>
    </w:pPr>
    <w:rPr>
      <w:rFonts w:ascii="Times New Roman" w:hAnsi="Times New Roman"/>
      <w:sz w:val="24"/>
      <w:lang w:eastAsia="en-US"/>
    </w:rPr>
  </w:style>
  <w:style w:type="paragraph" w:customStyle="1" w:styleId="NumPar1">
    <w:name w:val="NumPar 1"/>
    <w:basedOn w:val="Normal"/>
    <w:next w:val="Text1"/>
    <w:rsid w:val="000D2D0B"/>
    <w:pPr>
      <w:numPr>
        <w:numId w:val="21"/>
      </w:numPr>
      <w:spacing w:before="120" w:after="120"/>
      <w:jc w:val="both"/>
    </w:pPr>
    <w:rPr>
      <w:rFonts w:ascii="Times New Roman" w:hAnsi="Times New Roman"/>
      <w:sz w:val="24"/>
      <w:lang w:eastAsia="en-US"/>
    </w:rPr>
  </w:style>
  <w:style w:type="paragraph" w:customStyle="1" w:styleId="NumPar2">
    <w:name w:val="NumPar 2"/>
    <w:basedOn w:val="Normal"/>
    <w:next w:val="Text1"/>
    <w:rsid w:val="000D2D0B"/>
    <w:pPr>
      <w:numPr>
        <w:ilvl w:val="1"/>
        <w:numId w:val="21"/>
      </w:numPr>
      <w:spacing w:before="120" w:after="120"/>
      <w:jc w:val="both"/>
    </w:pPr>
    <w:rPr>
      <w:rFonts w:ascii="Times New Roman" w:hAnsi="Times New Roman"/>
      <w:sz w:val="24"/>
      <w:lang w:eastAsia="en-US"/>
    </w:rPr>
  </w:style>
  <w:style w:type="paragraph" w:customStyle="1" w:styleId="NumPar3">
    <w:name w:val="NumPar 3"/>
    <w:basedOn w:val="Normal"/>
    <w:next w:val="Text1"/>
    <w:rsid w:val="000D2D0B"/>
    <w:pPr>
      <w:numPr>
        <w:ilvl w:val="2"/>
        <w:numId w:val="21"/>
      </w:numPr>
      <w:spacing w:before="120" w:after="120"/>
      <w:jc w:val="both"/>
    </w:pPr>
    <w:rPr>
      <w:rFonts w:ascii="Times New Roman" w:hAnsi="Times New Roman"/>
      <w:sz w:val="24"/>
      <w:lang w:eastAsia="en-US"/>
    </w:rPr>
  </w:style>
  <w:style w:type="paragraph" w:customStyle="1" w:styleId="NumPar4">
    <w:name w:val="NumPar 4"/>
    <w:basedOn w:val="Normal"/>
    <w:next w:val="Text1"/>
    <w:rsid w:val="000D2D0B"/>
    <w:pPr>
      <w:numPr>
        <w:ilvl w:val="3"/>
        <w:numId w:val="21"/>
      </w:numPr>
      <w:spacing w:before="120" w:after="120"/>
      <w:jc w:val="both"/>
    </w:pPr>
    <w:rPr>
      <w:rFonts w:ascii="Times New Roman" w:hAnsi="Times New Roman"/>
      <w:sz w:val="24"/>
      <w:lang w:eastAsia="en-US"/>
    </w:rPr>
  </w:style>
  <w:style w:type="paragraph" w:customStyle="1" w:styleId="ManualNumPar2">
    <w:name w:val="Manual NumPar 2"/>
    <w:basedOn w:val="Normal"/>
    <w:next w:val="Text1"/>
    <w:rsid w:val="000D2D0B"/>
    <w:pPr>
      <w:spacing w:before="120" w:after="120"/>
      <w:ind w:left="850" w:hanging="850"/>
      <w:jc w:val="both"/>
    </w:pPr>
    <w:rPr>
      <w:rFonts w:ascii="Times New Roman" w:hAnsi="Times New Roman"/>
      <w:sz w:val="24"/>
      <w:lang w:eastAsia="en-US"/>
    </w:rPr>
  </w:style>
  <w:style w:type="paragraph" w:customStyle="1" w:styleId="ManualNumPar3">
    <w:name w:val="Manual NumPar 3"/>
    <w:basedOn w:val="Normal"/>
    <w:next w:val="Text1"/>
    <w:rsid w:val="000D2D0B"/>
    <w:pPr>
      <w:spacing w:before="120" w:after="120"/>
      <w:ind w:left="850" w:hanging="850"/>
      <w:jc w:val="both"/>
    </w:pPr>
    <w:rPr>
      <w:rFonts w:ascii="Times New Roman" w:hAnsi="Times New Roman"/>
      <w:sz w:val="24"/>
      <w:lang w:eastAsia="en-US"/>
    </w:rPr>
  </w:style>
  <w:style w:type="paragraph" w:customStyle="1" w:styleId="ManualNumPar4">
    <w:name w:val="Manual NumPar 4"/>
    <w:basedOn w:val="Normal"/>
    <w:next w:val="Text1"/>
    <w:rsid w:val="000D2D0B"/>
    <w:pPr>
      <w:spacing w:before="120" w:after="120"/>
      <w:ind w:left="850" w:hanging="850"/>
      <w:jc w:val="both"/>
    </w:pPr>
    <w:rPr>
      <w:rFonts w:ascii="Times New Roman" w:hAnsi="Times New Roman"/>
      <w:sz w:val="24"/>
      <w:lang w:eastAsia="en-US"/>
    </w:rPr>
  </w:style>
  <w:style w:type="paragraph" w:customStyle="1" w:styleId="QuotedNumPar">
    <w:name w:val="Quoted NumPar"/>
    <w:basedOn w:val="Normal"/>
    <w:rsid w:val="000D2D0B"/>
    <w:pPr>
      <w:spacing w:before="120" w:after="120"/>
      <w:ind w:left="1417" w:hanging="567"/>
      <w:jc w:val="both"/>
    </w:pPr>
    <w:rPr>
      <w:rFonts w:ascii="Times New Roman" w:hAnsi="Times New Roman"/>
      <w:sz w:val="24"/>
      <w:lang w:eastAsia="en-US"/>
    </w:rPr>
  </w:style>
  <w:style w:type="paragraph" w:customStyle="1" w:styleId="ManualHeading1">
    <w:name w:val="Manual Heading 1"/>
    <w:basedOn w:val="Normal"/>
    <w:next w:val="Text1"/>
    <w:rsid w:val="000D2D0B"/>
    <w:pPr>
      <w:keepNext/>
      <w:tabs>
        <w:tab w:val="left" w:pos="850"/>
      </w:tabs>
      <w:spacing w:before="360" w:after="120"/>
      <w:ind w:left="850" w:hanging="850"/>
      <w:jc w:val="both"/>
      <w:outlineLvl w:val="0"/>
    </w:pPr>
    <w:rPr>
      <w:rFonts w:ascii="Times New Roman" w:hAnsi="Times New Roman"/>
      <w:b/>
      <w:smallCaps/>
      <w:sz w:val="24"/>
      <w:lang w:eastAsia="en-US"/>
    </w:rPr>
  </w:style>
  <w:style w:type="paragraph" w:customStyle="1" w:styleId="ManualHeading2">
    <w:name w:val="Manual Heading 2"/>
    <w:basedOn w:val="Normal"/>
    <w:next w:val="Text1"/>
    <w:rsid w:val="000D2D0B"/>
    <w:pPr>
      <w:keepNext/>
      <w:tabs>
        <w:tab w:val="left" w:pos="850"/>
      </w:tabs>
      <w:spacing w:before="120" w:after="120"/>
      <w:ind w:left="850" w:hanging="850"/>
      <w:jc w:val="both"/>
      <w:outlineLvl w:val="1"/>
    </w:pPr>
    <w:rPr>
      <w:rFonts w:ascii="Times New Roman" w:hAnsi="Times New Roman"/>
      <w:b/>
      <w:sz w:val="24"/>
      <w:lang w:eastAsia="en-US"/>
    </w:rPr>
  </w:style>
  <w:style w:type="paragraph" w:customStyle="1" w:styleId="ManualHeading3">
    <w:name w:val="Manual Heading 3"/>
    <w:basedOn w:val="Normal"/>
    <w:next w:val="Text1"/>
    <w:rsid w:val="000D2D0B"/>
    <w:pPr>
      <w:keepNext/>
      <w:tabs>
        <w:tab w:val="left" w:pos="850"/>
      </w:tabs>
      <w:spacing w:before="120" w:after="120"/>
      <w:ind w:left="850" w:hanging="850"/>
      <w:jc w:val="both"/>
      <w:outlineLvl w:val="2"/>
    </w:pPr>
    <w:rPr>
      <w:rFonts w:ascii="Times New Roman" w:hAnsi="Times New Roman"/>
      <w:i/>
      <w:sz w:val="24"/>
      <w:lang w:eastAsia="en-US"/>
    </w:rPr>
  </w:style>
  <w:style w:type="paragraph" w:customStyle="1" w:styleId="ManualHeading4">
    <w:name w:val="Manual Heading 4"/>
    <w:basedOn w:val="Normal"/>
    <w:next w:val="Text1"/>
    <w:rsid w:val="000D2D0B"/>
    <w:pPr>
      <w:keepNext/>
      <w:tabs>
        <w:tab w:val="left" w:pos="850"/>
      </w:tabs>
      <w:spacing w:before="120" w:after="120"/>
      <w:ind w:left="850" w:hanging="850"/>
      <w:jc w:val="both"/>
      <w:outlineLvl w:val="3"/>
    </w:pPr>
    <w:rPr>
      <w:rFonts w:ascii="Times New Roman" w:hAnsi="Times New Roman"/>
      <w:sz w:val="24"/>
      <w:lang w:eastAsia="en-US"/>
    </w:rPr>
  </w:style>
  <w:style w:type="paragraph" w:customStyle="1" w:styleId="ChapterTitle">
    <w:name w:val="ChapterTitle"/>
    <w:basedOn w:val="Normal"/>
    <w:next w:val="Normal"/>
    <w:rsid w:val="000D2D0B"/>
    <w:pPr>
      <w:keepNext/>
      <w:spacing w:before="120" w:after="360"/>
      <w:jc w:val="center"/>
    </w:pPr>
    <w:rPr>
      <w:rFonts w:ascii="Times New Roman" w:hAnsi="Times New Roman"/>
      <w:b/>
      <w:sz w:val="32"/>
      <w:lang w:eastAsia="en-US"/>
    </w:rPr>
  </w:style>
  <w:style w:type="paragraph" w:customStyle="1" w:styleId="PartTitle">
    <w:name w:val="PartTitle"/>
    <w:basedOn w:val="Normal"/>
    <w:next w:val="ChapterTitle"/>
    <w:rsid w:val="000D2D0B"/>
    <w:pPr>
      <w:keepNext/>
      <w:pageBreakBefore/>
      <w:spacing w:before="120" w:after="360"/>
      <w:jc w:val="center"/>
    </w:pPr>
    <w:rPr>
      <w:rFonts w:ascii="Times New Roman" w:hAnsi="Times New Roman"/>
      <w:b/>
      <w:sz w:val="36"/>
      <w:lang w:eastAsia="en-US"/>
    </w:rPr>
  </w:style>
  <w:style w:type="paragraph" w:customStyle="1" w:styleId="SectionTitle">
    <w:name w:val="SectionTitle"/>
    <w:basedOn w:val="Normal"/>
    <w:next w:val="Overskrift1"/>
    <w:rsid w:val="000D2D0B"/>
    <w:pPr>
      <w:keepNext/>
      <w:spacing w:before="120" w:after="360"/>
      <w:jc w:val="center"/>
    </w:pPr>
    <w:rPr>
      <w:rFonts w:ascii="Times New Roman" w:hAnsi="Times New Roman"/>
      <w:b/>
      <w:smallCaps/>
      <w:sz w:val="28"/>
      <w:lang w:eastAsia="en-US"/>
    </w:rPr>
  </w:style>
  <w:style w:type="paragraph" w:customStyle="1" w:styleId="TableTitle">
    <w:name w:val="Table Title"/>
    <w:basedOn w:val="Normal"/>
    <w:next w:val="Normal"/>
    <w:rsid w:val="000D2D0B"/>
    <w:pPr>
      <w:spacing w:before="120" w:after="120"/>
      <w:jc w:val="center"/>
    </w:pPr>
    <w:rPr>
      <w:rFonts w:ascii="Times New Roman" w:hAnsi="Times New Roman"/>
      <w:b/>
      <w:sz w:val="24"/>
      <w:lang w:eastAsia="en-US"/>
    </w:rPr>
  </w:style>
  <w:style w:type="character" w:customStyle="1" w:styleId="Marker">
    <w:name w:val="Marker"/>
    <w:rsid w:val="000D2D0B"/>
    <w:rPr>
      <w:color w:val="0000FF"/>
      <w:shd w:val="clear" w:color="auto" w:fill="auto"/>
    </w:rPr>
  </w:style>
  <w:style w:type="character" w:customStyle="1" w:styleId="Marker1">
    <w:name w:val="Marker1"/>
    <w:rsid w:val="000D2D0B"/>
    <w:rPr>
      <w:color w:val="008000"/>
      <w:shd w:val="clear" w:color="auto" w:fill="auto"/>
    </w:rPr>
  </w:style>
  <w:style w:type="character" w:customStyle="1" w:styleId="Marker2">
    <w:name w:val="Marker2"/>
    <w:rsid w:val="000D2D0B"/>
    <w:rPr>
      <w:color w:val="FF0000"/>
      <w:shd w:val="clear" w:color="auto" w:fill="auto"/>
    </w:rPr>
  </w:style>
  <w:style w:type="paragraph" w:customStyle="1" w:styleId="Point0number">
    <w:name w:val="Point 0 (number)"/>
    <w:basedOn w:val="Normal"/>
    <w:rsid w:val="000D2D0B"/>
    <w:pPr>
      <w:numPr>
        <w:numId w:val="28"/>
      </w:numPr>
      <w:spacing w:before="120" w:after="120"/>
      <w:jc w:val="both"/>
    </w:pPr>
    <w:rPr>
      <w:rFonts w:ascii="Times New Roman" w:hAnsi="Times New Roman"/>
      <w:sz w:val="24"/>
      <w:lang w:eastAsia="en-US"/>
    </w:rPr>
  </w:style>
  <w:style w:type="paragraph" w:customStyle="1" w:styleId="Point1number">
    <w:name w:val="Point 1 (number)"/>
    <w:basedOn w:val="Normal"/>
    <w:rsid w:val="000D2D0B"/>
    <w:pPr>
      <w:numPr>
        <w:ilvl w:val="2"/>
        <w:numId w:val="28"/>
      </w:numPr>
      <w:spacing w:before="120" w:after="120"/>
      <w:jc w:val="both"/>
    </w:pPr>
    <w:rPr>
      <w:rFonts w:ascii="Times New Roman" w:hAnsi="Times New Roman"/>
      <w:sz w:val="24"/>
      <w:lang w:eastAsia="en-US"/>
    </w:rPr>
  </w:style>
  <w:style w:type="paragraph" w:customStyle="1" w:styleId="Point2number">
    <w:name w:val="Point 2 (number)"/>
    <w:basedOn w:val="Normal"/>
    <w:rsid w:val="000D2D0B"/>
    <w:pPr>
      <w:numPr>
        <w:ilvl w:val="4"/>
        <w:numId w:val="28"/>
      </w:numPr>
      <w:spacing w:before="120" w:after="120"/>
      <w:jc w:val="both"/>
    </w:pPr>
    <w:rPr>
      <w:rFonts w:ascii="Times New Roman" w:hAnsi="Times New Roman"/>
      <w:sz w:val="24"/>
      <w:lang w:eastAsia="en-US"/>
    </w:rPr>
  </w:style>
  <w:style w:type="paragraph" w:customStyle="1" w:styleId="Point3number">
    <w:name w:val="Point 3 (number)"/>
    <w:basedOn w:val="Normal"/>
    <w:rsid w:val="000D2D0B"/>
    <w:pPr>
      <w:numPr>
        <w:ilvl w:val="6"/>
        <w:numId w:val="28"/>
      </w:numPr>
      <w:spacing w:before="120" w:after="120"/>
      <w:jc w:val="both"/>
    </w:pPr>
    <w:rPr>
      <w:rFonts w:ascii="Times New Roman" w:hAnsi="Times New Roman"/>
      <w:sz w:val="24"/>
      <w:lang w:eastAsia="en-US"/>
    </w:rPr>
  </w:style>
  <w:style w:type="paragraph" w:customStyle="1" w:styleId="Point0letter">
    <w:name w:val="Point 0 (letter)"/>
    <w:basedOn w:val="Normal"/>
    <w:rsid w:val="000D2D0B"/>
    <w:pPr>
      <w:numPr>
        <w:ilvl w:val="1"/>
        <w:numId w:val="28"/>
      </w:numPr>
      <w:spacing w:before="120" w:after="120"/>
      <w:jc w:val="both"/>
    </w:pPr>
    <w:rPr>
      <w:rFonts w:ascii="Times New Roman" w:hAnsi="Times New Roman"/>
      <w:sz w:val="24"/>
      <w:lang w:eastAsia="en-US"/>
    </w:rPr>
  </w:style>
  <w:style w:type="paragraph" w:customStyle="1" w:styleId="Point1letter">
    <w:name w:val="Point 1 (letter)"/>
    <w:basedOn w:val="Normal"/>
    <w:rsid w:val="000D2D0B"/>
    <w:pPr>
      <w:numPr>
        <w:ilvl w:val="3"/>
        <w:numId w:val="28"/>
      </w:numPr>
      <w:spacing w:before="120" w:after="120"/>
      <w:jc w:val="both"/>
    </w:pPr>
    <w:rPr>
      <w:rFonts w:ascii="Times New Roman" w:hAnsi="Times New Roman"/>
      <w:sz w:val="24"/>
      <w:lang w:eastAsia="en-US"/>
    </w:rPr>
  </w:style>
  <w:style w:type="paragraph" w:customStyle="1" w:styleId="Point2letter">
    <w:name w:val="Point 2 (letter)"/>
    <w:basedOn w:val="Normal"/>
    <w:rsid w:val="000D2D0B"/>
    <w:pPr>
      <w:numPr>
        <w:ilvl w:val="5"/>
        <w:numId w:val="28"/>
      </w:numPr>
      <w:spacing w:before="120" w:after="120"/>
      <w:jc w:val="both"/>
    </w:pPr>
    <w:rPr>
      <w:rFonts w:ascii="Times New Roman" w:hAnsi="Times New Roman"/>
      <w:sz w:val="24"/>
      <w:lang w:eastAsia="en-US"/>
    </w:rPr>
  </w:style>
  <w:style w:type="paragraph" w:customStyle="1" w:styleId="Point3letter">
    <w:name w:val="Point 3 (letter)"/>
    <w:basedOn w:val="Normal"/>
    <w:rsid w:val="000D2D0B"/>
    <w:pPr>
      <w:numPr>
        <w:ilvl w:val="7"/>
        <w:numId w:val="28"/>
      </w:numPr>
      <w:spacing w:before="120" w:after="120"/>
      <w:jc w:val="both"/>
    </w:pPr>
    <w:rPr>
      <w:rFonts w:ascii="Times New Roman" w:hAnsi="Times New Roman"/>
      <w:sz w:val="24"/>
      <w:lang w:eastAsia="en-US"/>
    </w:rPr>
  </w:style>
  <w:style w:type="paragraph" w:customStyle="1" w:styleId="Point4letter">
    <w:name w:val="Point 4 (letter)"/>
    <w:basedOn w:val="Normal"/>
    <w:rsid w:val="000D2D0B"/>
    <w:pPr>
      <w:numPr>
        <w:ilvl w:val="8"/>
        <w:numId w:val="28"/>
      </w:numPr>
      <w:spacing w:before="120" w:after="120"/>
      <w:jc w:val="both"/>
    </w:pPr>
    <w:rPr>
      <w:rFonts w:ascii="Times New Roman" w:hAnsi="Times New Roman"/>
      <w:sz w:val="24"/>
      <w:lang w:eastAsia="en-US"/>
    </w:rPr>
  </w:style>
  <w:style w:type="paragraph" w:customStyle="1" w:styleId="Bullet0">
    <w:name w:val="Bullet 0"/>
    <w:basedOn w:val="Normal"/>
    <w:rsid w:val="000D2D0B"/>
    <w:pPr>
      <w:numPr>
        <w:numId w:val="22"/>
      </w:numPr>
      <w:spacing w:before="120" w:after="120"/>
      <w:jc w:val="both"/>
    </w:pPr>
    <w:rPr>
      <w:rFonts w:ascii="Times New Roman" w:hAnsi="Times New Roman"/>
      <w:sz w:val="24"/>
      <w:lang w:eastAsia="en-US"/>
    </w:rPr>
  </w:style>
  <w:style w:type="paragraph" w:customStyle="1" w:styleId="Bullet1">
    <w:name w:val="Bullet 1"/>
    <w:basedOn w:val="Normal"/>
    <w:rsid w:val="000D2D0B"/>
    <w:pPr>
      <w:numPr>
        <w:numId w:val="23"/>
      </w:numPr>
      <w:spacing w:before="120" w:after="120"/>
      <w:jc w:val="both"/>
    </w:pPr>
    <w:rPr>
      <w:rFonts w:ascii="Times New Roman" w:hAnsi="Times New Roman"/>
      <w:sz w:val="24"/>
      <w:lang w:eastAsia="en-US"/>
    </w:rPr>
  </w:style>
  <w:style w:type="paragraph" w:customStyle="1" w:styleId="Bullet2">
    <w:name w:val="Bullet 2"/>
    <w:basedOn w:val="Normal"/>
    <w:rsid w:val="000D2D0B"/>
    <w:pPr>
      <w:numPr>
        <w:numId w:val="24"/>
      </w:numPr>
      <w:spacing w:before="120" w:after="120"/>
      <w:jc w:val="both"/>
    </w:pPr>
    <w:rPr>
      <w:rFonts w:ascii="Times New Roman" w:hAnsi="Times New Roman"/>
      <w:sz w:val="24"/>
      <w:lang w:eastAsia="en-US"/>
    </w:rPr>
  </w:style>
  <w:style w:type="paragraph" w:customStyle="1" w:styleId="Bullet3">
    <w:name w:val="Bullet 3"/>
    <w:basedOn w:val="Normal"/>
    <w:rsid w:val="000D2D0B"/>
    <w:pPr>
      <w:numPr>
        <w:numId w:val="25"/>
      </w:numPr>
      <w:spacing w:before="120" w:after="120"/>
      <w:jc w:val="both"/>
    </w:pPr>
    <w:rPr>
      <w:rFonts w:ascii="Times New Roman" w:hAnsi="Times New Roman"/>
      <w:sz w:val="24"/>
      <w:lang w:eastAsia="en-US"/>
    </w:rPr>
  </w:style>
  <w:style w:type="paragraph" w:customStyle="1" w:styleId="Bullet4">
    <w:name w:val="Bullet 4"/>
    <w:basedOn w:val="Normal"/>
    <w:rsid w:val="000D2D0B"/>
    <w:pPr>
      <w:numPr>
        <w:numId w:val="26"/>
      </w:numPr>
      <w:spacing w:before="120" w:after="120"/>
      <w:jc w:val="both"/>
    </w:pPr>
    <w:rPr>
      <w:rFonts w:ascii="Times New Roman" w:hAnsi="Times New Roman"/>
      <w:sz w:val="24"/>
      <w:lang w:eastAsia="en-US"/>
    </w:rPr>
  </w:style>
  <w:style w:type="paragraph" w:customStyle="1" w:styleId="Annexetitreexpos">
    <w:name w:val="Annexe titre (exposé)"/>
    <w:basedOn w:val="Normal"/>
    <w:next w:val="Normal"/>
    <w:rsid w:val="000D2D0B"/>
    <w:pPr>
      <w:spacing w:before="120" w:after="120"/>
      <w:jc w:val="center"/>
    </w:pPr>
    <w:rPr>
      <w:rFonts w:ascii="Times New Roman" w:hAnsi="Times New Roman"/>
      <w:b/>
      <w:sz w:val="24"/>
      <w:u w:val="single"/>
      <w:lang w:eastAsia="en-US"/>
    </w:rPr>
  </w:style>
  <w:style w:type="paragraph" w:customStyle="1" w:styleId="Annexetitre">
    <w:name w:val="Annexe titre"/>
    <w:basedOn w:val="Normal"/>
    <w:next w:val="Normal"/>
    <w:rsid w:val="000D2D0B"/>
    <w:pPr>
      <w:spacing w:before="120" w:after="120"/>
      <w:jc w:val="center"/>
    </w:pPr>
    <w:rPr>
      <w:rFonts w:ascii="Times New Roman" w:hAnsi="Times New Roman"/>
      <w:b/>
      <w:sz w:val="24"/>
      <w:u w:val="single"/>
      <w:lang w:eastAsia="en-US"/>
    </w:rPr>
  </w:style>
  <w:style w:type="paragraph" w:customStyle="1" w:styleId="Annexetitrefichefinancire">
    <w:name w:val="Annexe titre (fiche financière)"/>
    <w:basedOn w:val="Normal"/>
    <w:next w:val="Normal"/>
    <w:rsid w:val="000D2D0B"/>
    <w:pPr>
      <w:spacing w:before="120" w:after="120"/>
      <w:jc w:val="center"/>
    </w:pPr>
    <w:rPr>
      <w:rFonts w:ascii="Times New Roman" w:hAnsi="Times New Roman"/>
      <w:b/>
      <w:sz w:val="24"/>
      <w:u w:val="single"/>
      <w:lang w:eastAsia="en-US"/>
    </w:rPr>
  </w:style>
  <w:style w:type="paragraph" w:customStyle="1" w:styleId="Avertissementtitre">
    <w:name w:val="Avertissement titre"/>
    <w:basedOn w:val="Normal"/>
    <w:next w:val="Normal"/>
    <w:rsid w:val="000D2D0B"/>
    <w:pPr>
      <w:keepNext/>
      <w:spacing w:before="480" w:after="120"/>
      <w:jc w:val="both"/>
    </w:pPr>
    <w:rPr>
      <w:rFonts w:ascii="Times New Roman" w:hAnsi="Times New Roman"/>
      <w:sz w:val="24"/>
      <w:u w:val="single"/>
      <w:lang w:eastAsia="en-US"/>
    </w:rPr>
  </w:style>
  <w:style w:type="paragraph" w:customStyle="1" w:styleId="Confidence">
    <w:name w:val="Confidence"/>
    <w:basedOn w:val="Normal"/>
    <w:next w:val="Normal"/>
    <w:rsid w:val="000D2D0B"/>
    <w:pPr>
      <w:spacing w:before="360" w:after="120"/>
      <w:jc w:val="center"/>
    </w:pPr>
    <w:rPr>
      <w:rFonts w:ascii="Times New Roman" w:hAnsi="Times New Roman"/>
      <w:sz w:val="24"/>
      <w:lang w:eastAsia="en-US"/>
    </w:rPr>
  </w:style>
  <w:style w:type="paragraph" w:customStyle="1" w:styleId="Confidentialit">
    <w:name w:val="Confidentialité"/>
    <w:basedOn w:val="Normal"/>
    <w:next w:val="TypedudocumentPagedecouverture"/>
    <w:rsid w:val="000D2D0B"/>
    <w:pPr>
      <w:spacing w:before="240" w:after="240"/>
      <w:ind w:left="5103"/>
      <w:jc w:val="both"/>
    </w:pPr>
    <w:rPr>
      <w:rFonts w:ascii="Times New Roman" w:hAnsi="Times New Roman"/>
      <w:sz w:val="24"/>
      <w:u w:val="single"/>
      <w:lang w:eastAsia="en-US"/>
    </w:rPr>
  </w:style>
  <w:style w:type="paragraph" w:customStyle="1" w:styleId="Corrigendum">
    <w:name w:val="Corrigendum"/>
    <w:basedOn w:val="Normal"/>
    <w:next w:val="Normal"/>
    <w:rsid w:val="000D2D0B"/>
    <w:pPr>
      <w:spacing w:after="240"/>
    </w:pPr>
    <w:rPr>
      <w:rFonts w:ascii="Times New Roman" w:hAnsi="Times New Roman"/>
      <w:sz w:val="24"/>
      <w:lang w:eastAsia="en-US"/>
    </w:rPr>
  </w:style>
  <w:style w:type="paragraph" w:customStyle="1" w:styleId="Datedadoption">
    <w:name w:val="Date d'adoption"/>
    <w:basedOn w:val="Normal"/>
    <w:next w:val="Titreobjet"/>
    <w:rsid w:val="000D2D0B"/>
    <w:pPr>
      <w:spacing w:before="360"/>
      <w:jc w:val="center"/>
    </w:pPr>
    <w:rPr>
      <w:rFonts w:ascii="Times New Roman" w:hAnsi="Times New Roman"/>
      <w:b/>
      <w:sz w:val="24"/>
      <w:lang w:eastAsia="en-US"/>
    </w:rPr>
  </w:style>
  <w:style w:type="paragraph" w:customStyle="1" w:styleId="Emission">
    <w:name w:val="Emission"/>
    <w:basedOn w:val="Normal"/>
    <w:next w:val="Rfrenceinstitutionnelle"/>
    <w:rsid w:val="000D2D0B"/>
    <w:pPr>
      <w:ind w:left="5103"/>
    </w:pPr>
    <w:rPr>
      <w:rFonts w:ascii="Times New Roman" w:hAnsi="Times New Roman"/>
      <w:sz w:val="24"/>
      <w:lang w:eastAsia="en-US"/>
    </w:rPr>
  </w:style>
  <w:style w:type="paragraph" w:customStyle="1" w:styleId="Exposdesmotifstitre">
    <w:name w:val="Exposé des motifs titre"/>
    <w:basedOn w:val="Normal"/>
    <w:next w:val="Normal"/>
    <w:rsid w:val="000D2D0B"/>
    <w:pPr>
      <w:spacing w:before="120" w:after="120"/>
      <w:jc w:val="center"/>
    </w:pPr>
    <w:rPr>
      <w:rFonts w:ascii="Times New Roman" w:hAnsi="Times New Roman"/>
      <w:b/>
      <w:sz w:val="24"/>
      <w:u w:val="single"/>
      <w:lang w:eastAsia="en-US"/>
    </w:rPr>
  </w:style>
  <w:style w:type="paragraph" w:customStyle="1" w:styleId="Institutionquiagit">
    <w:name w:val="Institution qui agit"/>
    <w:basedOn w:val="Normal"/>
    <w:next w:val="Normal"/>
    <w:rsid w:val="000D2D0B"/>
    <w:pPr>
      <w:keepNext/>
      <w:spacing w:before="600" w:after="120"/>
      <w:jc w:val="both"/>
    </w:pPr>
    <w:rPr>
      <w:rFonts w:ascii="Times New Roman" w:hAnsi="Times New Roman"/>
      <w:sz w:val="24"/>
      <w:lang w:eastAsia="en-US"/>
    </w:rPr>
  </w:style>
  <w:style w:type="paragraph" w:customStyle="1" w:styleId="Langue">
    <w:name w:val="Langue"/>
    <w:basedOn w:val="Normal"/>
    <w:next w:val="Rfrenceinterne"/>
    <w:rsid w:val="000D2D0B"/>
    <w:pPr>
      <w:framePr w:wrap="around" w:vAnchor="page" w:hAnchor="text" w:xAlign="center" w:y="14741"/>
      <w:spacing w:after="600"/>
      <w:jc w:val="center"/>
    </w:pPr>
    <w:rPr>
      <w:rFonts w:ascii="Times New Roman" w:hAnsi="Times New Roman"/>
      <w:b/>
      <w:caps/>
      <w:sz w:val="24"/>
      <w:lang w:eastAsia="en-US"/>
    </w:rPr>
  </w:style>
  <w:style w:type="paragraph" w:customStyle="1" w:styleId="ManualConsidrant">
    <w:name w:val="Manual Considérant"/>
    <w:basedOn w:val="Normal"/>
    <w:rsid w:val="000D2D0B"/>
    <w:pPr>
      <w:spacing w:before="120" w:after="120"/>
      <w:ind w:left="709" w:hanging="709"/>
      <w:jc w:val="both"/>
    </w:pPr>
    <w:rPr>
      <w:rFonts w:ascii="Times New Roman" w:hAnsi="Times New Roman"/>
      <w:sz w:val="24"/>
      <w:lang w:eastAsia="en-US"/>
    </w:rPr>
  </w:style>
  <w:style w:type="paragraph" w:customStyle="1" w:styleId="Nomdelinstitution">
    <w:name w:val="Nom de l'institution"/>
    <w:basedOn w:val="Normal"/>
    <w:next w:val="Emission"/>
    <w:rsid w:val="000D2D0B"/>
    <w:rPr>
      <w:rFonts w:cs="Arial"/>
      <w:sz w:val="24"/>
      <w:lang w:eastAsia="en-US"/>
    </w:rPr>
  </w:style>
  <w:style w:type="paragraph" w:customStyle="1" w:styleId="Rfrenceinstitutionnelle">
    <w:name w:val="Référence institutionnelle"/>
    <w:basedOn w:val="Normal"/>
    <w:next w:val="Confidentialit"/>
    <w:rsid w:val="000D2D0B"/>
    <w:pPr>
      <w:spacing w:after="240"/>
      <w:ind w:left="5103"/>
    </w:pPr>
    <w:rPr>
      <w:rFonts w:ascii="Times New Roman" w:hAnsi="Times New Roman"/>
      <w:sz w:val="24"/>
      <w:lang w:eastAsia="en-US"/>
    </w:rPr>
  </w:style>
  <w:style w:type="paragraph" w:customStyle="1" w:styleId="Rfrenceinterinstitutionnelle">
    <w:name w:val="Référence interinstitutionnelle"/>
    <w:basedOn w:val="Normal"/>
    <w:next w:val="Statut"/>
    <w:rsid w:val="000D2D0B"/>
    <w:pPr>
      <w:ind w:left="5103"/>
    </w:pPr>
    <w:rPr>
      <w:rFonts w:ascii="Times New Roman" w:hAnsi="Times New Roman"/>
      <w:sz w:val="24"/>
      <w:lang w:eastAsia="en-US"/>
    </w:rPr>
  </w:style>
  <w:style w:type="paragraph" w:customStyle="1" w:styleId="Rfrenceinterne">
    <w:name w:val="Référence interne"/>
    <w:basedOn w:val="Normal"/>
    <w:next w:val="Rfrenceinterinstitutionnelle"/>
    <w:rsid w:val="000D2D0B"/>
    <w:pPr>
      <w:ind w:left="5103"/>
    </w:pPr>
    <w:rPr>
      <w:rFonts w:ascii="Times New Roman" w:hAnsi="Times New Roman"/>
      <w:sz w:val="24"/>
      <w:lang w:eastAsia="en-US"/>
    </w:rPr>
  </w:style>
  <w:style w:type="paragraph" w:customStyle="1" w:styleId="Sous-titreobjet">
    <w:name w:val="Sous-titre objet"/>
    <w:basedOn w:val="Normal"/>
    <w:rsid w:val="000D2D0B"/>
    <w:pPr>
      <w:jc w:val="center"/>
    </w:pPr>
    <w:rPr>
      <w:rFonts w:ascii="Times New Roman" w:hAnsi="Times New Roman"/>
      <w:b/>
      <w:sz w:val="24"/>
      <w:lang w:eastAsia="en-US"/>
    </w:rPr>
  </w:style>
  <w:style w:type="paragraph" w:customStyle="1" w:styleId="Statut">
    <w:name w:val="Statut"/>
    <w:basedOn w:val="Normal"/>
    <w:next w:val="Typedudocument"/>
    <w:rsid w:val="000D2D0B"/>
    <w:pPr>
      <w:spacing w:before="360"/>
      <w:jc w:val="center"/>
    </w:pPr>
    <w:rPr>
      <w:rFonts w:ascii="Times New Roman" w:hAnsi="Times New Roman"/>
      <w:sz w:val="24"/>
      <w:lang w:eastAsia="en-US"/>
    </w:rPr>
  </w:style>
  <w:style w:type="character" w:customStyle="1" w:styleId="Added">
    <w:name w:val="Added"/>
    <w:rsid w:val="000D2D0B"/>
    <w:rPr>
      <w:b/>
      <w:u w:val="single"/>
      <w:shd w:val="clear" w:color="auto" w:fill="auto"/>
    </w:rPr>
  </w:style>
  <w:style w:type="character" w:customStyle="1" w:styleId="Deleted">
    <w:name w:val="Deleted"/>
    <w:rsid w:val="000D2D0B"/>
    <w:rPr>
      <w:strike/>
      <w:shd w:val="clear" w:color="auto" w:fill="auto"/>
    </w:rPr>
  </w:style>
  <w:style w:type="paragraph" w:customStyle="1" w:styleId="Address">
    <w:name w:val="Address"/>
    <w:basedOn w:val="Normal"/>
    <w:next w:val="Normal"/>
    <w:rsid w:val="000D2D0B"/>
    <w:pPr>
      <w:keepLines/>
      <w:spacing w:before="120" w:after="120" w:line="360" w:lineRule="auto"/>
      <w:ind w:left="3402"/>
    </w:pPr>
    <w:rPr>
      <w:rFonts w:ascii="Times New Roman" w:hAnsi="Times New Roman"/>
      <w:sz w:val="24"/>
      <w:lang w:eastAsia="en-US"/>
    </w:rPr>
  </w:style>
  <w:style w:type="paragraph" w:customStyle="1" w:styleId="Objetexterne">
    <w:name w:val="Objet externe"/>
    <w:basedOn w:val="Normal"/>
    <w:next w:val="Normal"/>
    <w:rsid w:val="000D2D0B"/>
    <w:pPr>
      <w:spacing w:before="120" w:after="120"/>
      <w:jc w:val="both"/>
    </w:pPr>
    <w:rPr>
      <w:rFonts w:ascii="Times New Roman" w:hAnsi="Times New Roman"/>
      <w:i/>
      <w:caps/>
      <w:sz w:val="24"/>
      <w:lang w:eastAsia="en-US"/>
    </w:rPr>
  </w:style>
  <w:style w:type="paragraph" w:customStyle="1" w:styleId="Pagedecouverture">
    <w:name w:val="Page de couverture"/>
    <w:basedOn w:val="Normal"/>
    <w:next w:val="Normal"/>
    <w:rsid w:val="000D2D0B"/>
    <w:pPr>
      <w:spacing w:before="120" w:after="120"/>
      <w:jc w:val="both"/>
    </w:pPr>
    <w:rPr>
      <w:rFonts w:ascii="Times New Roman" w:hAnsi="Times New Roman"/>
      <w:sz w:val="24"/>
      <w:lang w:eastAsia="en-US"/>
    </w:rPr>
  </w:style>
  <w:style w:type="paragraph" w:customStyle="1" w:styleId="Supertitre">
    <w:name w:val="Supertitre"/>
    <w:basedOn w:val="Normal"/>
    <w:next w:val="Normal"/>
    <w:rsid w:val="000D2D0B"/>
    <w:pPr>
      <w:spacing w:after="600"/>
      <w:jc w:val="center"/>
    </w:pPr>
    <w:rPr>
      <w:rFonts w:ascii="Times New Roman" w:hAnsi="Times New Roman"/>
      <w:b/>
      <w:sz w:val="24"/>
      <w:lang w:eastAsia="en-US"/>
    </w:rPr>
  </w:style>
  <w:style w:type="paragraph" w:customStyle="1" w:styleId="Languesfaisantfoi">
    <w:name w:val="Langues faisant foi"/>
    <w:basedOn w:val="Normal"/>
    <w:next w:val="Normal"/>
    <w:rsid w:val="000D2D0B"/>
    <w:pPr>
      <w:spacing w:before="360"/>
      <w:jc w:val="center"/>
    </w:pPr>
    <w:rPr>
      <w:rFonts w:ascii="Times New Roman" w:hAnsi="Times New Roman"/>
      <w:sz w:val="24"/>
      <w:lang w:eastAsia="en-US"/>
    </w:rPr>
  </w:style>
  <w:style w:type="paragraph" w:customStyle="1" w:styleId="Rfrencecroise">
    <w:name w:val="Référence croisée"/>
    <w:basedOn w:val="Normal"/>
    <w:rsid w:val="000D2D0B"/>
    <w:pPr>
      <w:jc w:val="center"/>
    </w:pPr>
    <w:rPr>
      <w:rFonts w:ascii="Times New Roman" w:hAnsi="Times New Roman"/>
      <w:sz w:val="24"/>
      <w:lang w:eastAsia="en-US"/>
    </w:rPr>
  </w:style>
  <w:style w:type="paragraph" w:customStyle="1" w:styleId="Fichefinanciretitre">
    <w:name w:val="Fiche financière titre"/>
    <w:basedOn w:val="Normal"/>
    <w:next w:val="Normal"/>
    <w:rsid w:val="000D2D0B"/>
    <w:pPr>
      <w:spacing w:before="120" w:after="120"/>
      <w:jc w:val="center"/>
    </w:pPr>
    <w:rPr>
      <w:rFonts w:ascii="Times New Roman" w:hAnsi="Times New Roman"/>
      <w:b/>
      <w:sz w:val="24"/>
      <w:u w:val="single"/>
      <w:lang w:eastAsia="en-US"/>
    </w:rPr>
  </w:style>
  <w:style w:type="paragraph" w:customStyle="1" w:styleId="DatedadoptionPagedecouverture">
    <w:name w:val="Date d'adoption (Page de couverture)"/>
    <w:basedOn w:val="Datedadoption"/>
    <w:next w:val="TitreobjetPagedecouverture"/>
    <w:rsid w:val="000D2D0B"/>
  </w:style>
  <w:style w:type="paragraph" w:customStyle="1" w:styleId="RfrenceinterinstitutionnellePagedecouverture">
    <w:name w:val="Référence interinstitutionnelle (Page de couverture)"/>
    <w:basedOn w:val="Rfrenceinterinstitutionnelle"/>
    <w:next w:val="Confidentialit"/>
    <w:rsid w:val="000D2D0B"/>
  </w:style>
  <w:style w:type="paragraph" w:customStyle="1" w:styleId="Sous-titreobjetPagedecouverture">
    <w:name w:val="Sous-titre objet (Page de couverture)"/>
    <w:basedOn w:val="Sous-titreobjet"/>
    <w:rsid w:val="000D2D0B"/>
  </w:style>
  <w:style w:type="paragraph" w:customStyle="1" w:styleId="StatutPagedecouverture">
    <w:name w:val="Statut (Page de couverture)"/>
    <w:basedOn w:val="Statut"/>
    <w:next w:val="TypedudocumentPagedecouverture"/>
    <w:rsid w:val="000D2D0B"/>
  </w:style>
  <w:style w:type="paragraph" w:customStyle="1" w:styleId="TitreobjetPagedecouverture">
    <w:name w:val="Titre objet (Page de couverture)"/>
    <w:basedOn w:val="Titreobjet"/>
    <w:next w:val="Sous-titreobjetPagedecouverture"/>
    <w:rsid w:val="000D2D0B"/>
  </w:style>
  <w:style w:type="paragraph" w:customStyle="1" w:styleId="TypedudocumentPagedecouverture">
    <w:name w:val="Type du document (Page de couverture)"/>
    <w:basedOn w:val="Typedudocument"/>
    <w:next w:val="TitreobjetPagedecouverture"/>
    <w:rsid w:val="000D2D0B"/>
  </w:style>
  <w:style w:type="paragraph" w:customStyle="1" w:styleId="Volume">
    <w:name w:val="Volume"/>
    <w:basedOn w:val="Normal"/>
    <w:next w:val="Confidentialit"/>
    <w:rsid w:val="000D2D0B"/>
    <w:pPr>
      <w:spacing w:after="240"/>
      <w:ind w:left="5103"/>
    </w:pPr>
    <w:rPr>
      <w:rFonts w:ascii="Times New Roman" w:hAnsi="Times New Roman"/>
      <w:sz w:val="24"/>
      <w:lang w:eastAsia="en-US"/>
    </w:rPr>
  </w:style>
  <w:style w:type="paragraph" w:customStyle="1" w:styleId="IntrtEEE">
    <w:name w:val="Intérêt EEE"/>
    <w:basedOn w:val="Languesfaisantfoi"/>
    <w:next w:val="Normal"/>
    <w:rsid w:val="000D2D0B"/>
    <w:pPr>
      <w:spacing w:after="240"/>
    </w:pPr>
  </w:style>
  <w:style w:type="paragraph" w:customStyle="1" w:styleId="Accompagnant">
    <w:name w:val="Accompagnant"/>
    <w:basedOn w:val="Normal"/>
    <w:next w:val="Typeacteprincipal"/>
    <w:rsid w:val="000D2D0B"/>
    <w:pPr>
      <w:spacing w:after="240"/>
      <w:jc w:val="center"/>
    </w:pPr>
    <w:rPr>
      <w:rFonts w:ascii="Times New Roman" w:hAnsi="Times New Roman"/>
      <w:b/>
      <w:i/>
      <w:sz w:val="24"/>
      <w:lang w:eastAsia="en-US"/>
    </w:rPr>
  </w:style>
  <w:style w:type="paragraph" w:customStyle="1" w:styleId="Typeacteprincipal">
    <w:name w:val="Type acte principal"/>
    <w:basedOn w:val="Normal"/>
    <w:next w:val="Objetacteprincipal"/>
    <w:rsid w:val="000D2D0B"/>
    <w:pPr>
      <w:spacing w:after="240"/>
      <w:jc w:val="center"/>
    </w:pPr>
    <w:rPr>
      <w:rFonts w:ascii="Times New Roman" w:hAnsi="Times New Roman"/>
      <w:b/>
      <w:sz w:val="24"/>
      <w:lang w:eastAsia="en-US"/>
    </w:rPr>
  </w:style>
  <w:style w:type="paragraph" w:customStyle="1" w:styleId="Objetacteprincipal">
    <w:name w:val="Objet acte principal"/>
    <w:basedOn w:val="Normal"/>
    <w:next w:val="Titrearticle"/>
    <w:rsid w:val="000D2D0B"/>
    <w:pPr>
      <w:spacing w:after="360"/>
      <w:jc w:val="center"/>
    </w:pPr>
    <w:rPr>
      <w:rFonts w:ascii="Times New Roman" w:hAnsi="Times New Roman"/>
      <w:b/>
      <w:sz w:val="24"/>
      <w:lang w:eastAsia="en-US"/>
    </w:rPr>
  </w:style>
  <w:style w:type="paragraph" w:customStyle="1" w:styleId="IntrtEEEPagedecouverture">
    <w:name w:val="Intérêt EEE (Page de couverture)"/>
    <w:basedOn w:val="IntrtEEE"/>
    <w:next w:val="Rfrencecroise"/>
    <w:rsid w:val="000D2D0B"/>
  </w:style>
  <w:style w:type="paragraph" w:customStyle="1" w:styleId="AccompagnantPagedecouverture">
    <w:name w:val="Accompagnant (Page de couverture)"/>
    <w:basedOn w:val="Accompagnant"/>
    <w:next w:val="TypeacteprincipalPagedecouverture"/>
    <w:rsid w:val="000D2D0B"/>
  </w:style>
  <w:style w:type="paragraph" w:customStyle="1" w:styleId="TypeacteprincipalPagedecouverture">
    <w:name w:val="Type acte principal (Page de couverture)"/>
    <w:basedOn w:val="Typeacteprincipal"/>
    <w:next w:val="ObjetacteprincipalPagedecouverture"/>
    <w:rsid w:val="000D2D0B"/>
  </w:style>
  <w:style w:type="paragraph" w:customStyle="1" w:styleId="ObjetacteprincipalPagedecouverture">
    <w:name w:val="Objet acte principal (Page de couverture)"/>
    <w:basedOn w:val="Objetacteprincipal"/>
    <w:next w:val="Rfrencecroise"/>
    <w:rsid w:val="000D2D0B"/>
  </w:style>
  <w:style w:type="paragraph" w:customStyle="1" w:styleId="LanguesfaisantfoiPagedecouverture">
    <w:name w:val="Langues faisant foi (Page de couverture)"/>
    <w:basedOn w:val="Normal"/>
    <w:next w:val="Normal"/>
    <w:rsid w:val="000D2D0B"/>
    <w:pPr>
      <w:spacing w:before="360"/>
      <w:jc w:val="center"/>
    </w:pPr>
    <w:rPr>
      <w:rFonts w:ascii="Times New Roman" w:hAnsi="Times New Roman"/>
      <w:sz w:val="24"/>
      <w:lang w:eastAsia="en-US"/>
    </w:rPr>
  </w:style>
  <w:style w:type="paragraph" w:styleId="Nummerertliste2">
    <w:name w:val="List Number 2"/>
    <w:basedOn w:val="Normal"/>
    <w:rsid w:val="000D2D0B"/>
    <w:pPr>
      <w:tabs>
        <w:tab w:val="num" w:pos="643"/>
      </w:tabs>
      <w:spacing w:before="120" w:after="120"/>
      <w:ind w:left="643" w:hanging="360"/>
      <w:jc w:val="both"/>
    </w:pPr>
    <w:rPr>
      <w:rFonts w:ascii="Times New Roman" w:hAnsi="Times New Roman"/>
      <w:sz w:val="24"/>
      <w:lang w:eastAsia="en-US"/>
    </w:rPr>
  </w:style>
  <w:style w:type="paragraph" w:styleId="Nummerertliste3">
    <w:name w:val="List Number 3"/>
    <w:basedOn w:val="Normal"/>
    <w:rsid w:val="000D2D0B"/>
    <w:pPr>
      <w:tabs>
        <w:tab w:val="num" w:pos="926"/>
      </w:tabs>
      <w:spacing w:before="120" w:after="120"/>
      <w:ind w:left="926" w:hanging="360"/>
      <w:jc w:val="both"/>
    </w:pPr>
    <w:rPr>
      <w:rFonts w:ascii="Times New Roman" w:hAnsi="Times New Roman"/>
      <w:sz w:val="24"/>
      <w:lang w:eastAsia="en-US"/>
    </w:rPr>
  </w:style>
  <w:style w:type="paragraph" w:styleId="Nummerertliste4">
    <w:name w:val="List Number 4"/>
    <w:basedOn w:val="Normal"/>
    <w:rsid w:val="000D2D0B"/>
    <w:pPr>
      <w:tabs>
        <w:tab w:val="num" w:pos="1209"/>
        <w:tab w:val="num" w:pos="1417"/>
      </w:tabs>
      <w:spacing w:before="120" w:after="120"/>
      <w:ind w:left="1209" w:hanging="360"/>
      <w:jc w:val="both"/>
    </w:pPr>
    <w:rPr>
      <w:rFonts w:ascii="Times New Roman" w:hAnsi="Times New Roman"/>
      <w:sz w:val="24"/>
      <w:lang w:eastAsia="en-US"/>
    </w:rPr>
  </w:style>
  <w:style w:type="paragraph" w:styleId="Punktliste">
    <w:name w:val="List Bullet"/>
    <w:basedOn w:val="Normal"/>
    <w:rsid w:val="000D2D0B"/>
    <w:pPr>
      <w:numPr>
        <w:numId w:val="14"/>
      </w:numPr>
      <w:tabs>
        <w:tab w:val="num" w:pos="360"/>
      </w:tabs>
      <w:spacing w:before="120" w:after="120"/>
      <w:ind w:left="360" w:hanging="360"/>
      <w:jc w:val="both"/>
    </w:pPr>
    <w:rPr>
      <w:rFonts w:ascii="Times New Roman" w:hAnsi="Times New Roman"/>
      <w:sz w:val="24"/>
      <w:lang w:eastAsia="en-US"/>
    </w:rPr>
  </w:style>
  <w:style w:type="paragraph" w:styleId="Punktliste2">
    <w:name w:val="List Bullet 2"/>
    <w:basedOn w:val="Normal"/>
    <w:rsid w:val="000D2D0B"/>
    <w:pPr>
      <w:tabs>
        <w:tab w:val="num" w:pos="643"/>
        <w:tab w:val="num" w:pos="851"/>
      </w:tabs>
      <w:spacing w:before="120" w:after="120"/>
      <w:ind w:left="643" w:hanging="360"/>
      <w:jc w:val="both"/>
    </w:pPr>
    <w:rPr>
      <w:rFonts w:ascii="Times New Roman" w:hAnsi="Times New Roman"/>
      <w:sz w:val="24"/>
      <w:lang w:eastAsia="en-US"/>
    </w:rPr>
  </w:style>
  <w:style w:type="paragraph" w:styleId="Punktliste3">
    <w:name w:val="List Bullet 3"/>
    <w:basedOn w:val="Normal"/>
    <w:rsid w:val="000D2D0B"/>
    <w:pPr>
      <w:numPr>
        <w:numId w:val="16"/>
      </w:numPr>
      <w:tabs>
        <w:tab w:val="num" w:pos="926"/>
      </w:tabs>
      <w:spacing w:before="120" w:after="120"/>
      <w:ind w:left="926"/>
      <w:jc w:val="both"/>
    </w:pPr>
    <w:rPr>
      <w:rFonts w:ascii="Times New Roman" w:hAnsi="Times New Roman"/>
      <w:sz w:val="24"/>
      <w:lang w:eastAsia="en-US"/>
    </w:rPr>
  </w:style>
  <w:style w:type="paragraph" w:styleId="Punktliste4">
    <w:name w:val="List Bullet 4"/>
    <w:basedOn w:val="Normal"/>
    <w:rsid w:val="000D2D0B"/>
    <w:pPr>
      <w:numPr>
        <w:numId w:val="17"/>
      </w:numPr>
      <w:tabs>
        <w:tab w:val="num" w:pos="1209"/>
      </w:tabs>
      <w:spacing w:before="120" w:after="120"/>
      <w:ind w:left="1209"/>
      <w:jc w:val="both"/>
    </w:pPr>
    <w:rPr>
      <w:rFonts w:ascii="Times New Roman" w:hAnsi="Times New Roman"/>
      <w:sz w:val="24"/>
      <w:lang w:eastAsia="en-US"/>
    </w:rPr>
  </w:style>
  <w:style w:type="paragraph" w:styleId="Figurliste">
    <w:name w:val="table of figures"/>
    <w:basedOn w:val="Normal"/>
    <w:next w:val="Normal"/>
    <w:rsid w:val="000D2D0B"/>
    <w:pPr>
      <w:spacing w:before="120" w:after="120"/>
      <w:jc w:val="both"/>
    </w:pPr>
    <w:rPr>
      <w:rFonts w:ascii="Times New Roman" w:hAnsi="Times New Roman"/>
      <w:sz w:val="24"/>
      <w:lang w:eastAsia="en-US"/>
    </w:rPr>
  </w:style>
  <w:style w:type="character" w:customStyle="1" w:styleId="CommentTextChar3">
    <w:name w:val="Comment Text Char3"/>
    <w:locked/>
    <w:rsid w:val="000D2D0B"/>
    <w:rPr>
      <w:rFonts w:ascii="Arial" w:hAnsi="Arial" w:cs="Times New Roman"/>
      <w:lang w:val="en-GB" w:eastAsia="en-GB" w:bidi="ar-SA"/>
    </w:rPr>
  </w:style>
  <w:style w:type="paragraph" w:customStyle="1" w:styleId="Paragrafoelenco3">
    <w:name w:val="Paragrafo elenco3"/>
    <w:basedOn w:val="Normal"/>
    <w:rsid w:val="000D2D0B"/>
    <w:pPr>
      <w:ind w:left="720"/>
      <w:contextualSpacing/>
    </w:pPr>
    <w:rPr>
      <w:rFonts w:ascii="Cambria" w:hAnsi="Cambria"/>
      <w:sz w:val="24"/>
      <w:lang w:val="en-US" w:eastAsia="en-US"/>
    </w:rPr>
  </w:style>
  <w:style w:type="paragraph" w:customStyle="1" w:styleId="Listeavsnitt1">
    <w:name w:val="Listeavsnitt1"/>
    <w:basedOn w:val="Normal"/>
    <w:rsid w:val="000D2D0B"/>
    <w:pPr>
      <w:spacing w:line="252" w:lineRule="auto"/>
      <w:ind w:left="720"/>
      <w:contextualSpacing/>
    </w:pPr>
    <w:rPr>
      <w:rFonts w:ascii="Times New Roman" w:hAnsi="Times New Roman"/>
      <w:sz w:val="24"/>
      <w:lang w:val="nb-NO" w:eastAsia="en-US"/>
    </w:rPr>
  </w:style>
  <w:style w:type="character" w:customStyle="1" w:styleId="PlainTextChar1">
    <w:name w:val="Plain Text Char1"/>
    <w:rsid w:val="000D2D0B"/>
    <w:rPr>
      <w:rFonts w:ascii="Consolas" w:hAnsi="Consolas" w:cs="Consolas"/>
      <w:sz w:val="21"/>
      <w:szCs w:val="21"/>
      <w:lang w:eastAsia="de-DE"/>
    </w:rPr>
  </w:style>
  <w:style w:type="character" w:customStyle="1" w:styleId="CharChar1">
    <w:name w:val="Char Char1"/>
    <w:semiHidden/>
    <w:locked/>
    <w:rsid w:val="000D2D0B"/>
    <w:rPr>
      <w:rFonts w:ascii="Arial" w:hAnsi="Arial"/>
      <w:lang w:val="en-GB" w:eastAsia="en-GB" w:bidi="ar-SA"/>
    </w:rPr>
  </w:style>
  <w:style w:type="character" w:customStyle="1" w:styleId="CharChar">
    <w:name w:val="Char Char"/>
    <w:semiHidden/>
    <w:locked/>
    <w:rsid w:val="000D2D0B"/>
    <w:rPr>
      <w:rFonts w:ascii="Arial" w:hAnsi="Arial"/>
      <w:lang w:val="en-GB" w:eastAsia="en-GB" w:bidi="ar-SA"/>
    </w:rPr>
  </w:style>
  <w:style w:type="character" w:customStyle="1" w:styleId="CharChar2">
    <w:name w:val="Char Char2"/>
    <w:semiHidden/>
    <w:locked/>
    <w:rsid w:val="000D2D0B"/>
    <w:rPr>
      <w:rFonts w:ascii="Arial" w:hAnsi="Arial"/>
      <w:lang w:val="en-GB" w:eastAsia="en-GB" w:bidi="ar-SA"/>
    </w:rPr>
  </w:style>
  <w:style w:type="character" w:customStyle="1" w:styleId="CharChar4">
    <w:name w:val="Char Char4"/>
    <w:semiHidden/>
    <w:locked/>
    <w:rsid w:val="000D2D0B"/>
    <w:rPr>
      <w:rFonts w:ascii="Arial" w:hAnsi="Arial" w:cs="Times New Roman"/>
      <w:lang w:val="en-GB" w:eastAsia="en-GB" w:bidi="ar-SA"/>
    </w:rPr>
  </w:style>
  <w:style w:type="numbering" w:customStyle="1" w:styleId="Formatvorlage1">
    <w:name w:val="Formatvorlage1"/>
    <w:uiPriority w:val="99"/>
    <w:rsid w:val="000D2D0B"/>
    <w:pPr>
      <w:numPr>
        <w:numId w:val="27"/>
      </w:numPr>
    </w:pPr>
  </w:style>
  <w:style w:type="character" w:customStyle="1" w:styleId="DeltaViewDeletion">
    <w:name w:val="DeltaView Deletion"/>
    <w:rsid w:val="000D2D0B"/>
    <w:rPr>
      <w:b/>
      <w:strike/>
      <w:color w:val="FFFFFF"/>
      <w:spacing w:val="0"/>
    </w:rPr>
  </w:style>
  <w:style w:type="paragraph" w:customStyle="1" w:styleId="Listenabsatz3">
    <w:name w:val="Listenabsatz3"/>
    <w:basedOn w:val="Normal"/>
    <w:rsid w:val="000D2D0B"/>
    <w:pPr>
      <w:spacing w:before="120" w:after="120"/>
      <w:ind w:left="720"/>
      <w:contextualSpacing/>
      <w:jc w:val="both"/>
    </w:pPr>
    <w:rPr>
      <w:rFonts w:ascii="Times New Roman" w:hAnsi="Times New Roman"/>
      <w:sz w:val="24"/>
      <w:lang w:eastAsia="en-US"/>
    </w:rPr>
  </w:style>
  <w:style w:type="paragraph" w:customStyle="1" w:styleId="Paragrafoelenco2">
    <w:name w:val="Paragrafo elenco2"/>
    <w:basedOn w:val="Normal"/>
    <w:uiPriority w:val="99"/>
    <w:rsid w:val="000D2D0B"/>
    <w:pPr>
      <w:ind w:left="720"/>
      <w:contextualSpacing/>
    </w:pPr>
    <w:rPr>
      <w:rFonts w:ascii="Cambria" w:hAnsi="Cambria"/>
      <w:sz w:val="24"/>
      <w:lang w:val="en-US" w:eastAsia="en-US"/>
    </w:rPr>
  </w:style>
  <w:style w:type="paragraph" w:customStyle="1" w:styleId="ListParagraph2">
    <w:name w:val="List Paragraph2"/>
    <w:basedOn w:val="Normal"/>
    <w:rsid w:val="000D2D0B"/>
    <w:pPr>
      <w:spacing w:line="252" w:lineRule="auto"/>
      <w:ind w:left="720"/>
      <w:contextualSpacing/>
    </w:pPr>
    <w:rPr>
      <w:rFonts w:ascii="Times New Roman" w:hAnsi="Times New Roman"/>
      <w:sz w:val="24"/>
      <w:lang w:val="nb-NO" w:eastAsia="en-US"/>
    </w:rPr>
  </w:style>
  <w:style w:type="paragraph" w:customStyle="1" w:styleId="Inhaltsverzeichnisberschrift1">
    <w:name w:val="Inhaltsverzeichnisüberschrift1"/>
    <w:basedOn w:val="Overskrift1"/>
    <w:next w:val="Normal"/>
    <w:rsid w:val="000D2D0B"/>
    <w:pPr>
      <w:keepNext w:val="0"/>
      <w:numPr>
        <w:numId w:val="0"/>
      </w:numPr>
      <w:tabs>
        <w:tab w:val="left" w:pos="397"/>
      </w:tabs>
      <w:suppressAutoHyphens/>
      <w:spacing w:before="0" w:after="280"/>
      <w:jc w:val="both"/>
      <w:outlineLvl w:val="9"/>
    </w:pPr>
    <w:rPr>
      <w:rFonts w:ascii="Cambria" w:hAnsi="Cambria" w:cs="Times New Roman"/>
      <w:bCs w:val="0"/>
      <w:color w:val="000000"/>
      <w:kern w:val="0"/>
      <w:sz w:val="20"/>
      <w:szCs w:val="20"/>
      <w:lang w:eastAsia="en-US"/>
    </w:rPr>
  </w:style>
  <w:style w:type="paragraph" w:customStyle="1" w:styleId="berarbeitung1">
    <w:name w:val="Überarbeitung1"/>
    <w:hidden/>
    <w:semiHidden/>
    <w:rsid w:val="000D2D0B"/>
    <w:rPr>
      <w:sz w:val="24"/>
      <w:szCs w:val="24"/>
      <w:lang w:eastAsia="en-US"/>
    </w:rPr>
  </w:style>
  <w:style w:type="paragraph" w:customStyle="1" w:styleId="CODParagraphes">
    <w:name w:val="COD Paragraphes"/>
    <w:basedOn w:val="Normal"/>
    <w:rsid w:val="000D2D0B"/>
    <w:pPr>
      <w:tabs>
        <w:tab w:val="left" w:pos="709"/>
      </w:tabs>
      <w:spacing w:after="240"/>
      <w:jc w:val="both"/>
    </w:pPr>
    <w:rPr>
      <w:rFonts w:ascii="Times New Roman" w:hAnsi="Times New Roman"/>
      <w:sz w:val="24"/>
      <w:szCs w:val="22"/>
      <w:lang w:val="fr-FR" w:eastAsia="en-GB"/>
    </w:rPr>
  </w:style>
  <w:style w:type="character" w:customStyle="1" w:styleId="TitrearticleChar">
    <w:name w:val="Titre article Char"/>
    <w:link w:val="Titrearticle"/>
    <w:uiPriority w:val="99"/>
    <w:locked/>
    <w:rsid w:val="000D2D0B"/>
    <w:rPr>
      <w:i/>
      <w:sz w:val="24"/>
      <w:szCs w:val="24"/>
      <w:lang w:val="x-none" w:eastAsia="x-none"/>
    </w:rPr>
  </w:style>
  <w:style w:type="paragraph" w:customStyle="1" w:styleId="CODArticle12">
    <w:name w:val="COD Article + 12"/>
    <w:basedOn w:val="Normal"/>
    <w:uiPriority w:val="99"/>
    <w:rsid w:val="000D2D0B"/>
    <w:pPr>
      <w:spacing w:after="240"/>
      <w:jc w:val="center"/>
    </w:pPr>
    <w:rPr>
      <w:rFonts w:ascii="Times New Roman" w:hAnsi="Times New Roman"/>
      <w:sz w:val="24"/>
      <w:szCs w:val="20"/>
      <w:lang w:val="fr-FR" w:eastAsia="en-GB"/>
    </w:rPr>
  </w:style>
  <w:style w:type="paragraph" w:customStyle="1" w:styleId="TableContents">
    <w:name w:val="Table Contents"/>
    <w:basedOn w:val="Normal"/>
    <w:rsid w:val="000D2D0B"/>
    <w:pPr>
      <w:widowControl w:val="0"/>
      <w:suppressLineNumbers/>
      <w:suppressAutoHyphens/>
    </w:pPr>
    <w:rPr>
      <w:rFonts w:ascii="Liberation Serif" w:hAnsi="Liberation Serif"/>
      <w:kern w:val="1"/>
      <w:sz w:val="24"/>
      <w:lang w:eastAsia="en-GB"/>
    </w:rPr>
  </w:style>
  <w:style w:type="paragraph" w:customStyle="1" w:styleId="Listeavsnitt2">
    <w:name w:val="Listeavsnitt2"/>
    <w:basedOn w:val="Normal"/>
    <w:uiPriority w:val="34"/>
    <w:qFormat/>
    <w:rsid w:val="000D2D0B"/>
    <w:pPr>
      <w:ind w:left="720"/>
      <w:contextualSpacing/>
    </w:pPr>
    <w:rPr>
      <w:rFonts w:ascii="Times New Roman" w:hAnsi="Times New Roman"/>
      <w:sz w:val="24"/>
      <w:lang w:eastAsia="en-GB"/>
    </w:rPr>
  </w:style>
  <w:style w:type="paragraph" w:customStyle="1" w:styleId="Listenabsatz4">
    <w:name w:val="Listenabsatz4"/>
    <w:basedOn w:val="Normal"/>
    <w:qFormat/>
    <w:rsid w:val="000D2D0B"/>
    <w:pPr>
      <w:ind w:left="720"/>
      <w:contextualSpacing/>
    </w:pPr>
    <w:rPr>
      <w:rFonts w:ascii="Times New Roman" w:hAnsi="Times New Roman"/>
      <w:sz w:val="24"/>
      <w:lang w:eastAsia="en-GB"/>
    </w:rPr>
  </w:style>
  <w:style w:type="character" w:customStyle="1" w:styleId="04BodyTextChar">
    <w:name w:val="04_Body Text Char"/>
    <w:link w:val="04BodyText"/>
    <w:rsid w:val="000D2D0B"/>
    <w:rPr>
      <w:rFonts w:ascii="Georgia" w:hAnsi="Georgia"/>
      <w:szCs w:val="24"/>
      <w:lang w:eastAsia="de-DE"/>
    </w:rPr>
  </w:style>
  <w:style w:type="paragraph" w:customStyle="1" w:styleId="05dHeadline1line">
    <w:name w:val="05d_Headline 1 line"/>
    <w:basedOn w:val="05cHeadline1"/>
    <w:next w:val="04fBodytextline"/>
    <w:rsid w:val="000D2D0B"/>
    <w:pPr>
      <w:numPr>
        <w:numId w:val="0"/>
      </w:numPr>
      <w:pBdr>
        <w:top w:val="single" w:sz="4" w:space="10" w:color="000000"/>
      </w:pBdr>
      <w:tabs>
        <w:tab w:val="num" w:pos="851"/>
      </w:tabs>
      <w:ind w:left="720" w:hanging="360"/>
    </w:pPr>
    <w:rPr>
      <w:color w:val="000000"/>
      <w:lang w:val="x-none"/>
    </w:rPr>
  </w:style>
  <w:style w:type="paragraph" w:customStyle="1" w:styleId="04fBodytextline">
    <w:name w:val="04f_Body text line"/>
    <w:basedOn w:val="04BodyText"/>
    <w:rsid w:val="000D2D0B"/>
    <w:pPr>
      <w:pBdr>
        <w:bottom w:val="single" w:sz="4" w:space="12" w:color="000000"/>
      </w:pBdr>
      <w:tabs>
        <w:tab w:val="left" w:pos="454"/>
      </w:tabs>
    </w:pPr>
    <w:rPr>
      <w:color w:val="000000"/>
      <w:lang w:val="x-none"/>
    </w:rPr>
  </w:style>
  <w:style w:type="paragraph" w:customStyle="1" w:styleId="Annex">
    <w:name w:val="Annex"/>
    <w:basedOn w:val="04aNumeration"/>
    <w:link w:val="AnnexChar"/>
    <w:qFormat/>
    <w:rsid w:val="000D2D0B"/>
    <w:pPr>
      <w:tabs>
        <w:tab w:val="clear" w:pos="454"/>
        <w:tab w:val="left" w:pos="397"/>
      </w:tabs>
      <w:suppressAutoHyphens/>
      <w:ind w:left="0" w:firstLine="0"/>
    </w:pPr>
    <w:rPr>
      <w:b/>
      <w:color w:val="000000"/>
      <w:lang w:val="x-none"/>
    </w:rPr>
  </w:style>
  <w:style w:type="character" w:customStyle="1" w:styleId="04RunningTextChar">
    <w:name w:val="04_Running Text Char"/>
    <w:link w:val="04RunningText"/>
    <w:rsid w:val="000D2D0B"/>
    <w:rPr>
      <w:rFonts w:ascii="Georgia" w:hAnsi="Georgia"/>
      <w:szCs w:val="24"/>
      <w:lang w:val="x-none" w:eastAsia="de-DE"/>
    </w:rPr>
  </w:style>
  <w:style w:type="character" w:customStyle="1" w:styleId="AnnexChar">
    <w:name w:val="Annex Char"/>
    <w:link w:val="Annex"/>
    <w:rsid w:val="000D2D0B"/>
    <w:rPr>
      <w:rFonts w:ascii="Georgia" w:hAnsi="Georgia"/>
      <w:b/>
      <w:color w:val="000000"/>
      <w:szCs w:val="24"/>
      <w:lang w:val="x-none" w:eastAsia="de-DE"/>
    </w:rPr>
  </w:style>
  <w:style w:type="paragraph" w:customStyle="1" w:styleId="CM1">
    <w:name w:val="CM1"/>
    <w:basedOn w:val="Default"/>
    <w:next w:val="Default"/>
    <w:uiPriority w:val="99"/>
    <w:rsid w:val="000D2D0B"/>
    <w:rPr>
      <w:rFonts w:ascii="EUAlbertina" w:hAnsi="EUAlbertina" w:cs="Times New Roman"/>
      <w:color w:val="auto"/>
      <w:lang w:val="de-DE" w:eastAsia="de-DE"/>
    </w:rPr>
  </w:style>
  <w:style w:type="paragraph" w:customStyle="1" w:styleId="aStyle1">
    <w:name w:val="a. Style1"/>
    <w:basedOn w:val="Normal"/>
    <w:link w:val="aStyle1Char"/>
    <w:qFormat/>
    <w:rsid w:val="000D2D0B"/>
    <w:pPr>
      <w:numPr>
        <w:numId w:val="29"/>
      </w:numPr>
      <w:suppressAutoHyphens/>
      <w:spacing w:after="250" w:line="276" w:lineRule="auto"/>
      <w:jc w:val="both"/>
    </w:pPr>
    <w:rPr>
      <w:szCs w:val="20"/>
      <w:lang w:val="x-none" w:eastAsia="x-none"/>
    </w:rPr>
  </w:style>
  <w:style w:type="character" w:customStyle="1" w:styleId="aStyle1Char">
    <w:name w:val="a. Style1 Char"/>
    <w:link w:val="aStyle1"/>
    <w:rsid w:val="000D2D0B"/>
    <w:rPr>
      <w:rFonts w:ascii="Arial" w:hAnsi="Arial"/>
      <w:lang w:val="x-none" w:eastAsia="x-none"/>
    </w:rPr>
  </w:style>
  <w:style w:type="paragraph" w:styleId="Tittel">
    <w:name w:val="Title"/>
    <w:basedOn w:val="Normal"/>
    <w:next w:val="Normal"/>
    <w:link w:val="TittelTegn"/>
    <w:uiPriority w:val="10"/>
    <w:qFormat/>
    <w:rsid w:val="000D2D0B"/>
    <w:pPr>
      <w:overflowPunct w:val="0"/>
      <w:autoSpaceDE w:val="0"/>
      <w:autoSpaceDN w:val="0"/>
      <w:adjustRightInd w:val="0"/>
      <w:spacing w:before="240" w:after="60"/>
      <w:jc w:val="center"/>
      <w:textAlignment w:val="baseline"/>
      <w:outlineLvl w:val="0"/>
    </w:pPr>
    <w:rPr>
      <w:rFonts w:ascii="Cambria" w:hAnsi="Cambria"/>
      <w:b/>
      <w:kern w:val="28"/>
      <w:sz w:val="32"/>
      <w:szCs w:val="20"/>
      <w:lang w:val="fr-FR" w:eastAsia="fr-FR"/>
    </w:rPr>
  </w:style>
  <w:style w:type="character" w:customStyle="1" w:styleId="TittelTegn">
    <w:name w:val="Tittel Tegn"/>
    <w:link w:val="Tittel"/>
    <w:uiPriority w:val="10"/>
    <w:rsid w:val="000D2D0B"/>
    <w:rPr>
      <w:rFonts w:ascii="Cambria" w:hAnsi="Cambria"/>
      <w:b/>
      <w:kern w:val="28"/>
      <w:sz w:val="32"/>
      <w:lang w:val="fr-FR" w:eastAsia="fr-FR"/>
    </w:rPr>
  </w:style>
  <w:style w:type="paragraph" w:customStyle="1" w:styleId="32LadilloosubtitulonotadeprensaCNMV">
    <w:name w:val="3.2. Ladillo o subtitulo nota de prensa CNMV"/>
    <w:basedOn w:val="Normal"/>
    <w:rsid w:val="000D2D0B"/>
    <w:pPr>
      <w:spacing w:before="320" w:line="260" w:lineRule="exact"/>
      <w:jc w:val="both"/>
    </w:pPr>
    <w:rPr>
      <w:rFonts w:ascii="Myriad Pro Light" w:hAnsi="Myriad Pro Light"/>
      <w:b/>
      <w:sz w:val="21"/>
      <w:szCs w:val="20"/>
      <w:lang w:val="es-ES" w:eastAsia="es-ES"/>
    </w:rPr>
  </w:style>
  <w:style w:type="character" w:customStyle="1" w:styleId="RevisjonTegn">
    <w:name w:val="Revisjon Tegn"/>
    <w:link w:val="Revisjon"/>
    <w:uiPriority w:val="99"/>
    <w:semiHidden/>
    <w:locked/>
    <w:rsid w:val="000D2D0B"/>
    <w:rPr>
      <w:rFonts w:ascii="Georgia" w:hAnsi="Georgia"/>
      <w:sz w:val="22"/>
      <w:szCs w:val="24"/>
      <w:lang w:eastAsia="de-DE"/>
    </w:rPr>
  </w:style>
  <w:style w:type="table" w:customStyle="1" w:styleId="TableGrid2">
    <w:name w:val="Table Grid2"/>
    <w:basedOn w:val="Vanligtabell"/>
    <w:next w:val="Tabellrutenett"/>
    <w:uiPriority w:val="59"/>
    <w:rsid w:val="000D2D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vakutheving">
    <w:name w:val="Subtle Emphasis"/>
    <w:aliases w:val="Question,Text,Diskret betoning,Emphase pâle"/>
    <w:uiPriority w:val="19"/>
    <w:qFormat/>
    <w:rsid w:val="003A6E9A"/>
    <w:rPr>
      <w:b/>
      <w:i w:val="0"/>
      <w:iCs/>
      <w:sz w:val="20"/>
    </w:rPr>
  </w:style>
  <w:style w:type="paragraph" w:customStyle="1" w:styleId="NEW-Paragraph-Level1">
    <w:name w:val="NEW-Paragraph-Level1"/>
    <w:basedOn w:val="Normal"/>
    <w:rsid w:val="003A6E9A"/>
    <w:pPr>
      <w:tabs>
        <w:tab w:val="num" w:pos="284"/>
      </w:tabs>
      <w:spacing w:after="250" w:line="276" w:lineRule="auto"/>
      <w:ind w:left="284" w:hanging="284"/>
      <w:jc w:val="both"/>
    </w:pPr>
    <w:rPr>
      <w:szCs w:val="20"/>
    </w:rPr>
  </w:style>
  <w:style w:type="paragraph" w:customStyle="1" w:styleId="NEW-Paragraph-level2">
    <w:name w:val="NEW-Paragraph-level2"/>
    <w:basedOn w:val="Normal"/>
    <w:link w:val="NEW-Paragraph-level2Char"/>
    <w:rsid w:val="00F90EF4"/>
    <w:pPr>
      <w:numPr>
        <w:ilvl w:val="1"/>
        <w:numId w:val="2"/>
      </w:numPr>
      <w:tabs>
        <w:tab w:val="clear" w:pos="1361"/>
        <w:tab w:val="num" w:pos="1276"/>
      </w:tabs>
      <w:spacing w:after="250" w:line="276" w:lineRule="auto"/>
      <w:ind w:left="567" w:hanging="283"/>
      <w:jc w:val="both"/>
    </w:pPr>
    <w:rPr>
      <w:szCs w:val="20"/>
    </w:rPr>
  </w:style>
  <w:style w:type="paragraph" w:customStyle="1" w:styleId="NEW-Paragraph-level3">
    <w:name w:val="NEW-Paragraph-level3"/>
    <w:basedOn w:val="Normal"/>
    <w:link w:val="NEW-Paragraph-level3Char"/>
    <w:rsid w:val="00F90EF4"/>
    <w:pPr>
      <w:numPr>
        <w:ilvl w:val="2"/>
        <w:numId w:val="31"/>
      </w:numPr>
      <w:tabs>
        <w:tab w:val="clear" w:pos="1031"/>
      </w:tabs>
      <w:spacing w:after="250" w:line="276" w:lineRule="auto"/>
      <w:ind w:left="851" w:hanging="284"/>
      <w:jc w:val="both"/>
    </w:pPr>
    <w:rPr>
      <w:szCs w:val="20"/>
    </w:rPr>
  </w:style>
  <w:style w:type="character" w:customStyle="1" w:styleId="NEW-Paragraph-level2Char">
    <w:name w:val="NEW-Paragraph-level2 Char"/>
    <w:link w:val="NEW-Paragraph-level2"/>
    <w:rsid w:val="00F90EF4"/>
    <w:rPr>
      <w:rFonts w:ascii="Arial" w:hAnsi="Arial"/>
      <w:lang w:eastAsia="de-DE"/>
    </w:rPr>
  </w:style>
  <w:style w:type="character" w:customStyle="1" w:styleId="NEW-Paragraph-level3Char">
    <w:name w:val="NEW-Paragraph-level3 Char"/>
    <w:link w:val="NEW-Paragraph-level3"/>
    <w:rsid w:val="00F90EF4"/>
    <w:rPr>
      <w:rFonts w:ascii="Arial" w:hAnsi="Arial"/>
      <w:lang w:eastAsia="de-DE"/>
    </w:rPr>
  </w:style>
  <w:style w:type="paragraph" w:customStyle="1" w:styleId="NEW-Level0">
    <w:name w:val="NEW-Level0"/>
    <w:basedOn w:val="Normal"/>
    <w:rsid w:val="003A6E9A"/>
    <w:pPr>
      <w:keepNext/>
      <w:numPr>
        <w:numId w:val="30"/>
      </w:numPr>
      <w:spacing w:before="240" w:after="250" w:line="276" w:lineRule="auto"/>
      <w:outlineLvl w:val="0"/>
    </w:pPr>
    <w:rPr>
      <w:rFonts w:cs="Arial"/>
      <w:b/>
      <w:bCs/>
      <w:kern w:val="32"/>
      <w:sz w:val="28"/>
      <w:szCs w:val="28"/>
    </w:rPr>
  </w:style>
  <w:style w:type="paragraph" w:customStyle="1" w:styleId="NEW-Level1">
    <w:name w:val="NEW-Level1"/>
    <w:basedOn w:val="Normal"/>
    <w:rsid w:val="003A6E9A"/>
    <w:pPr>
      <w:keepNext/>
      <w:numPr>
        <w:ilvl w:val="1"/>
        <w:numId w:val="30"/>
      </w:numPr>
      <w:spacing w:before="240" w:after="250" w:line="276" w:lineRule="auto"/>
      <w:outlineLvl w:val="0"/>
    </w:pPr>
    <w:rPr>
      <w:rFonts w:cs="Arial"/>
      <w:b/>
      <w:bCs/>
      <w:kern w:val="32"/>
      <w:sz w:val="24"/>
      <w:szCs w:val="32"/>
    </w:rPr>
  </w:style>
  <w:style w:type="paragraph" w:customStyle="1" w:styleId="NEW-Level2">
    <w:name w:val="NEW-Level2"/>
    <w:basedOn w:val="Normal"/>
    <w:link w:val="NEW-Level2Char"/>
    <w:rsid w:val="003A6E9A"/>
    <w:pPr>
      <w:autoSpaceDE w:val="0"/>
      <w:autoSpaceDN w:val="0"/>
      <w:adjustRightInd w:val="0"/>
      <w:spacing w:after="250" w:line="276" w:lineRule="auto"/>
      <w:jc w:val="both"/>
    </w:pPr>
    <w:rPr>
      <w:rFonts w:cs="Georgia"/>
      <w:b/>
      <w:bCs/>
      <w:color w:val="000000"/>
      <w:szCs w:val="20"/>
      <w:u w:val="single"/>
      <w:lang w:eastAsia="en-GB"/>
    </w:rPr>
  </w:style>
  <w:style w:type="character" w:customStyle="1" w:styleId="NEW-Level2Char">
    <w:name w:val="NEW-Level2 Char"/>
    <w:link w:val="NEW-Level2"/>
    <w:rsid w:val="003A6E9A"/>
    <w:rPr>
      <w:rFonts w:ascii="Georgia" w:hAnsi="Georgia" w:cs="Georgia"/>
      <w:b/>
      <w:bCs/>
      <w:color w:val="000000"/>
      <w:u w:val="single"/>
    </w:rPr>
  </w:style>
  <w:style w:type="paragraph" w:customStyle="1" w:styleId="aNEW-Level0">
    <w:name w:val="aNEW-Level0"/>
    <w:basedOn w:val="NEW-Level0"/>
    <w:link w:val="aNEW-Level0Char"/>
    <w:qFormat/>
    <w:rsid w:val="004E76A1"/>
    <w:pPr>
      <w:spacing w:before="120" w:after="120"/>
      <w:ind w:left="425" w:hanging="425"/>
    </w:pPr>
  </w:style>
  <w:style w:type="paragraph" w:customStyle="1" w:styleId="aNEW-Level1">
    <w:name w:val="aNEW-Level1"/>
    <w:basedOn w:val="NEW-Level1"/>
    <w:link w:val="aNEW-Level1Char"/>
    <w:qFormat/>
    <w:rsid w:val="000636A1"/>
    <w:pPr>
      <w:spacing w:before="120" w:after="120"/>
      <w:ind w:left="431" w:hanging="431"/>
    </w:pPr>
  </w:style>
  <w:style w:type="character" w:customStyle="1" w:styleId="aNEW-Level0Char">
    <w:name w:val="aNEW-Level0 Char"/>
    <w:link w:val="aNEW-Level0"/>
    <w:rsid w:val="004E76A1"/>
    <w:rPr>
      <w:rFonts w:ascii="Arial" w:hAnsi="Arial" w:cs="Arial"/>
      <w:b/>
      <w:bCs/>
      <w:kern w:val="32"/>
      <w:sz w:val="28"/>
      <w:szCs w:val="28"/>
      <w:lang w:eastAsia="de-DE"/>
    </w:rPr>
  </w:style>
  <w:style w:type="character" w:customStyle="1" w:styleId="aNEW-Level1Char">
    <w:name w:val="aNEW-Level1 Char"/>
    <w:link w:val="aNEW-Level1"/>
    <w:rsid w:val="000636A1"/>
    <w:rPr>
      <w:rFonts w:ascii="Arial" w:hAnsi="Arial" w:cs="Arial"/>
      <w:b/>
      <w:bCs/>
      <w:kern w:val="32"/>
      <w:sz w:val="24"/>
      <w:szCs w:val="32"/>
      <w:lang w:eastAsia="de-DE"/>
    </w:rPr>
  </w:style>
  <w:style w:type="paragraph" w:customStyle="1" w:styleId="aNEW-Level2">
    <w:name w:val="aNEW-Level2"/>
    <w:basedOn w:val="NEW-Level2"/>
    <w:link w:val="aNEW-Level2Char"/>
    <w:qFormat/>
    <w:rsid w:val="00176982"/>
  </w:style>
  <w:style w:type="paragraph" w:customStyle="1" w:styleId="aNEW-Level4">
    <w:name w:val="aNEW-Level4"/>
    <w:basedOn w:val="Normal"/>
    <w:link w:val="aNEW-Level4Char"/>
    <w:qFormat/>
    <w:rsid w:val="003A6E9A"/>
    <w:pPr>
      <w:tabs>
        <w:tab w:val="left" w:pos="720"/>
      </w:tabs>
      <w:spacing w:after="250" w:line="276" w:lineRule="auto"/>
      <w:jc w:val="both"/>
    </w:pPr>
    <w:rPr>
      <w:i/>
      <w:szCs w:val="20"/>
    </w:rPr>
  </w:style>
  <w:style w:type="character" w:customStyle="1" w:styleId="aNEW-Level2Char">
    <w:name w:val="aNEW-Level2 Char"/>
    <w:link w:val="aNEW-Level2"/>
    <w:rsid w:val="00176982"/>
    <w:rPr>
      <w:rFonts w:ascii="Georgia" w:hAnsi="Georgia" w:cs="Georgia"/>
      <w:b/>
      <w:bCs/>
      <w:color w:val="000000"/>
      <w:u w:val="single"/>
    </w:rPr>
  </w:style>
  <w:style w:type="paragraph" w:customStyle="1" w:styleId="aNEW-Questions">
    <w:name w:val="aNEW-Questions"/>
    <w:basedOn w:val="Normal"/>
    <w:link w:val="aNEW-QuestionsChar"/>
    <w:qFormat/>
    <w:rsid w:val="003A6E9A"/>
    <w:pPr>
      <w:numPr>
        <w:numId w:val="7"/>
      </w:numPr>
      <w:spacing w:after="250" w:line="276" w:lineRule="auto"/>
      <w:ind w:left="850" w:hanging="425"/>
      <w:jc w:val="both"/>
      <w:outlineLvl w:val="0"/>
    </w:pPr>
    <w:rPr>
      <w:rFonts w:eastAsia="Calibri"/>
      <w:b/>
      <w:bCs/>
      <w:kern w:val="28"/>
      <w:szCs w:val="32"/>
      <w:lang w:eastAsia="en-US"/>
    </w:rPr>
  </w:style>
  <w:style w:type="character" w:customStyle="1" w:styleId="aNEW-Level4Char">
    <w:name w:val="aNEW-Level4 Char"/>
    <w:link w:val="aNEW-Level4"/>
    <w:rsid w:val="003A6E9A"/>
    <w:rPr>
      <w:rFonts w:ascii="Georgia" w:hAnsi="Georgia"/>
      <w:i/>
      <w:lang w:eastAsia="de-DE"/>
    </w:rPr>
  </w:style>
  <w:style w:type="paragraph" w:customStyle="1" w:styleId="aNEW-Paragraph">
    <w:name w:val="aNEW-Paragraph"/>
    <w:basedOn w:val="NEW-Paragraph-Level1"/>
    <w:link w:val="aNEW-ParagraphChar"/>
    <w:qFormat/>
    <w:rsid w:val="001244CD"/>
    <w:pPr>
      <w:numPr>
        <w:numId w:val="2"/>
      </w:numPr>
      <w:tabs>
        <w:tab w:val="clear" w:pos="851"/>
        <w:tab w:val="num" w:pos="426"/>
      </w:tabs>
      <w:ind w:left="426" w:hanging="426"/>
    </w:pPr>
    <w:rPr>
      <w:rFonts w:eastAsia="Calibri"/>
    </w:rPr>
  </w:style>
  <w:style w:type="character" w:customStyle="1" w:styleId="aNEW-QuestionsChar">
    <w:name w:val="aNEW-Questions Char"/>
    <w:link w:val="aNEW-Questions"/>
    <w:rsid w:val="003A6E9A"/>
    <w:rPr>
      <w:rFonts w:ascii="Arial" w:eastAsia="Calibri" w:hAnsi="Arial"/>
      <w:b/>
      <w:bCs/>
      <w:kern w:val="28"/>
      <w:szCs w:val="32"/>
      <w:lang w:eastAsia="en-US"/>
    </w:rPr>
  </w:style>
  <w:style w:type="character" w:customStyle="1" w:styleId="aNEW-ParagraphChar">
    <w:name w:val="aNEW-Paragraph Char"/>
    <w:link w:val="aNEW-Paragraph"/>
    <w:rsid w:val="001244CD"/>
    <w:rPr>
      <w:rFonts w:ascii="Arial" w:eastAsia="Calibri" w:hAnsi="Arial"/>
      <w:lang w:eastAsia="de-DE"/>
    </w:rPr>
  </w:style>
  <w:style w:type="paragraph" w:customStyle="1" w:styleId="aNew-Level33">
    <w:name w:val="aNew-Level33"/>
    <w:basedOn w:val="Normal"/>
    <w:link w:val="aNew-Level33Char"/>
    <w:qFormat/>
    <w:rsid w:val="004C14E7"/>
    <w:pPr>
      <w:spacing w:after="250" w:line="276" w:lineRule="auto"/>
      <w:ind w:left="426" w:hanging="426"/>
      <w:jc w:val="both"/>
    </w:pPr>
    <w:rPr>
      <w:b/>
    </w:rPr>
  </w:style>
  <w:style w:type="paragraph" w:customStyle="1" w:styleId="aNew-BoxTitle">
    <w:name w:val="aNew-BoxTitle"/>
    <w:basedOn w:val="04aNumbering"/>
    <w:link w:val="aNew-BoxTitleChar"/>
    <w:qFormat/>
    <w:rsid w:val="003A6E9A"/>
    <w:pPr>
      <w:shd w:val="clear" w:color="auto" w:fill="D9D9D9"/>
      <w:tabs>
        <w:tab w:val="clear" w:pos="851"/>
        <w:tab w:val="left" w:pos="720"/>
      </w:tabs>
      <w:ind w:left="284"/>
    </w:pPr>
    <w:rPr>
      <w:b/>
    </w:rPr>
  </w:style>
  <w:style w:type="character" w:customStyle="1" w:styleId="aNew-Level33Char">
    <w:name w:val="aNew-Level33 Char"/>
    <w:link w:val="aNew-Level33"/>
    <w:rsid w:val="004C14E7"/>
    <w:rPr>
      <w:rFonts w:ascii="Georgia" w:hAnsi="Georgia"/>
      <w:b/>
      <w:szCs w:val="24"/>
      <w:lang w:eastAsia="de-DE"/>
    </w:rPr>
  </w:style>
  <w:style w:type="character" w:customStyle="1" w:styleId="aNew-BoxTitleChar">
    <w:name w:val="aNew-BoxTitle Char"/>
    <w:link w:val="aNew-BoxTitle"/>
    <w:rsid w:val="003A6E9A"/>
    <w:rPr>
      <w:rFonts w:ascii="Georgia" w:hAnsi="Georgia"/>
      <w:b/>
      <w:szCs w:val="24"/>
      <w:shd w:val="clear" w:color="auto" w:fill="D9D9D9"/>
      <w:lang w:eastAsia="de-DE"/>
    </w:rPr>
  </w:style>
  <w:style w:type="paragraph" w:customStyle="1" w:styleId="aNEW-Paragraph-level2">
    <w:name w:val="aNEW-Paragraph-level2"/>
    <w:basedOn w:val="NEW-Paragraph-level2"/>
    <w:link w:val="aNEW-Paragraph-level2Char"/>
    <w:qFormat/>
    <w:rsid w:val="0061478E"/>
    <w:pPr>
      <w:ind w:left="851" w:hanging="425"/>
    </w:pPr>
  </w:style>
  <w:style w:type="paragraph" w:customStyle="1" w:styleId="aNEW-Paragraph-level3">
    <w:name w:val="aNEW-Paragraph-level3"/>
    <w:basedOn w:val="NEW-Paragraph-level3"/>
    <w:link w:val="aNEW-Paragraph-level3Char"/>
    <w:qFormat/>
    <w:rsid w:val="00566D36"/>
    <w:pPr>
      <w:ind w:left="1276" w:hanging="426"/>
    </w:pPr>
  </w:style>
  <w:style w:type="character" w:customStyle="1" w:styleId="aNEW-Paragraph-level2Char">
    <w:name w:val="aNEW-Paragraph-level2 Char"/>
    <w:link w:val="aNEW-Paragraph-level2"/>
    <w:rsid w:val="0061478E"/>
    <w:rPr>
      <w:rFonts w:ascii="Arial" w:hAnsi="Arial"/>
      <w:lang w:eastAsia="de-DE"/>
    </w:rPr>
  </w:style>
  <w:style w:type="character" w:customStyle="1" w:styleId="aNEW-Paragraph-level3Char">
    <w:name w:val="aNEW-Paragraph-level3 Char"/>
    <w:link w:val="aNEW-Paragraph-level3"/>
    <w:rsid w:val="00566D36"/>
    <w:rPr>
      <w:rFonts w:ascii="Arial" w:hAnsi="Arial"/>
      <w:lang w:eastAsia="de-DE"/>
    </w:rPr>
  </w:style>
  <w:style w:type="paragraph" w:customStyle="1" w:styleId="aNew-Level5">
    <w:name w:val="aNew-Level5"/>
    <w:basedOn w:val="Normal"/>
    <w:link w:val="aNew-Level5Char"/>
    <w:qFormat/>
    <w:rsid w:val="0096528F"/>
    <w:pPr>
      <w:tabs>
        <w:tab w:val="left" w:pos="720"/>
      </w:tabs>
      <w:spacing w:after="250" w:line="276" w:lineRule="auto"/>
      <w:jc w:val="both"/>
    </w:pPr>
    <w:rPr>
      <w:i/>
      <w:szCs w:val="20"/>
      <w:u w:val="single"/>
    </w:rPr>
  </w:style>
  <w:style w:type="character" w:customStyle="1" w:styleId="aNew-Level5Char">
    <w:name w:val="aNew-Level5 Char"/>
    <w:link w:val="aNew-Level5"/>
    <w:rsid w:val="0096528F"/>
    <w:rPr>
      <w:rFonts w:ascii="Georgia" w:hAnsi="Georgia"/>
      <w:i/>
      <w:u w:val="single"/>
      <w:lang w:eastAsia="de-DE"/>
    </w:rPr>
  </w:style>
  <w:style w:type="paragraph" w:customStyle="1" w:styleId="Questions-ESMA">
    <w:name w:val="Questions-ESMA"/>
    <w:basedOn w:val="Normal"/>
    <w:link w:val="Questions-ESMAChar"/>
    <w:qFormat/>
    <w:rsid w:val="00A35728"/>
    <w:pPr>
      <w:spacing w:after="120" w:line="264" w:lineRule="auto"/>
      <w:ind w:left="705" w:hanging="705"/>
      <w:jc w:val="both"/>
    </w:pPr>
    <w:rPr>
      <w:rFonts w:ascii="Calibri" w:hAnsi="Calibri"/>
      <w:b/>
      <w:sz w:val="22"/>
      <w:szCs w:val="20"/>
      <w:lang w:eastAsia="en-US"/>
    </w:rPr>
  </w:style>
  <w:style w:type="character" w:customStyle="1" w:styleId="Questions-ESMAChar">
    <w:name w:val="Questions-ESMA Char"/>
    <w:link w:val="Questions-ESMA"/>
    <w:rsid w:val="00A35728"/>
    <w:rPr>
      <w:rFonts w:ascii="Calibri" w:hAnsi="Calibri"/>
      <w:b/>
      <w:sz w:val="22"/>
      <w:lang w:eastAsia="en-US"/>
    </w:rPr>
  </w:style>
  <w:style w:type="paragraph" w:customStyle="1" w:styleId="CPQuestions">
    <w:name w:val="CP_Questions"/>
    <w:basedOn w:val="Normal"/>
    <w:link w:val="CPQuestionsChar"/>
    <w:qFormat/>
    <w:rsid w:val="00EF0769"/>
    <w:pPr>
      <w:numPr>
        <w:numId w:val="32"/>
      </w:numPr>
      <w:spacing w:before="250" w:after="250" w:line="276" w:lineRule="auto"/>
      <w:jc w:val="both"/>
    </w:pPr>
    <w:rPr>
      <w:rFonts w:eastAsiaTheme="minorEastAsia" w:cstheme="minorBidi"/>
      <w:b/>
      <w:sz w:val="22"/>
      <w:szCs w:val="20"/>
      <w:lang w:eastAsia="en-US"/>
    </w:rPr>
  </w:style>
  <w:style w:type="character" w:customStyle="1" w:styleId="CPQuestionsChar">
    <w:name w:val="CP_Questions Char"/>
    <w:basedOn w:val="Standardskriftforavsnitt"/>
    <w:link w:val="CPQuestions"/>
    <w:rsid w:val="00EF0769"/>
    <w:rPr>
      <w:rFonts w:ascii="Arial" w:eastAsiaTheme="minorEastAsia" w:hAnsi="Arial" w:cstheme="minorBidi"/>
      <w:b/>
      <w:sz w:val="22"/>
      <w:lang w:eastAsia="en-US"/>
    </w:rPr>
  </w:style>
  <w:style w:type="paragraph" w:customStyle="1" w:styleId="CPQuest2">
    <w:name w:val="CP_Quest2"/>
    <w:basedOn w:val="CPQuestions"/>
    <w:link w:val="CPQuest2Char"/>
    <w:autoRedefine/>
    <w:qFormat/>
    <w:rsid w:val="00566C6A"/>
    <w:pPr>
      <w:numPr>
        <w:numId w:val="33"/>
      </w:numPr>
    </w:pPr>
    <w:rPr>
      <w:rFonts w:eastAsia="Calibri"/>
    </w:rPr>
  </w:style>
  <w:style w:type="character" w:customStyle="1" w:styleId="CPQuest2Char">
    <w:name w:val="CP_Quest2 Char"/>
    <w:basedOn w:val="CPQuestionsChar"/>
    <w:link w:val="CPQuest2"/>
    <w:rsid w:val="00566C6A"/>
    <w:rPr>
      <w:rFonts w:ascii="Arial" w:eastAsia="Calibri" w:hAnsi="Arial" w:cstheme="minorBidi"/>
      <w:b/>
      <w:sz w:val="22"/>
      <w:lang w:eastAsia="en-US"/>
    </w:rPr>
  </w:style>
  <w:style w:type="character" w:styleId="Sterkutheving">
    <w:name w:val="Intense Emphasis"/>
    <w:basedOn w:val="Standardskriftforavsnitt"/>
    <w:uiPriority w:val="21"/>
    <w:qFormat/>
    <w:rsid w:val="00D34282"/>
    <w:rPr>
      <w:b/>
      <w:bCs/>
      <w:i/>
      <w:iCs/>
    </w:rPr>
  </w:style>
  <w:style w:type="character" w:customStyle="1" w:styleId="CPTitle1Char">
    <w:name w:val="CP_Title1 Char"/>
    <w:basedOn w:val="Standardskriftforavsnitt"/>
    <w:link w:val="CPTitle1"/>
    <w:locked/>
    <w:rsid w:val="00D34282"/>
    <w:rPr>
      <w:rFonts w:asciiTheme="majorHAnsi" w:eastAsiaTheme="majorEastAsia" w:hAnsiTheme="majorHAnsi" w:cstheme="majorHAnsi"/>
      <w:b/>
      <w:sz w:val="32"/>
      <w:szCs w:val="32"/>
    </w:rPr>
  </w:style>
  <w:style w:type="paragraph" w:customStyle="1" w:styleId="CPTitle1">
    <w:name w:val="CP_Title1"/>
    <w:basedOn w:val="Overskrift1"/>
    <w:link w:val="CPTitle1Char"/>
    <w:qFormat/>
    <w:rsid w:val="00D34282"/>
    <w:pPr>
      <w:keepLines/>
      <w:numPr>
        <w:numId w:val="34"/>
      </w:numPr>
      <w:spacing w:before="320" w:after="0" w:line="276" w:lineRule="auto"/>
      <w:jc w:val="both"/>
    </w:pPr>
    <w:rPr>
      <w:rFonts w:asciiTheme="majorHAnsi" w:eastAsiaTheme="majorEastAsia" w:hAnsiTheme="majorHAnsi" w:cstheme="majorHAnsi"/>
      <w:bCs w:val="0"/>
      <w:kern w:val="0"/>
      <w:sz w:val="32"/>
      <w:lang w:eastAsia="en-GB"/>
    </w:rPr>
  </w:style>
  <w:style w:type="paragraph" w:customStyle="1" w:styleId="CPTitle3">
    <w:name w:val="CP_Title3"/>
    <w:basedOn w:val="Overskrift2"/>
    <w:qFormat/>
    <w:rsid w:val="00D34282"/>
    <w:pPr>
      <w:numPr>
        <w:ilvl w:val="2"/>
        <w:numId w:val="34"/>
      </w:numPr>
      <w:tabs>
        <w:tab w:val="num" w:pos="360"/>
      </w:tabs>
      <w:spacing w:before="250" w:after="0" w:line="276" w:lineRule="auto"/>
      <w:jc w:val="both"/>
    </w:pPr>
    <w:rPr>
      <w:rFonts w:asciiTheme="majorHAnsi" w:eastAsiaTheme="majorEastAsia" w:hAnsiTheme="majorHAnsi" w:cstheme="majorHAnsi"/>
      <w:bCs w:val="0"/>
      <w:sz w:val="28"/>
      <w:szCs w:val="28"/>
      <w:lang w:eastAsia="en-US"/>
    </w:rPr>
  </w:style>
  <w:style w:type="paragraph" w:customStyle="1" w:styleId="CPTitle4">
    <w:name w:val="CP_Title4"/>
    <w:basedOn w:val="Normal"/>
    <w:qFormat/>
    <w:rsid w:val="00D34282"/>
    <w:pPr>
      <w:numPr>
        <w:ilvl w:val="3"/>
        <w:numId w:val="34"/>
      </w:numPr>
      <w:spacing w:before="250" w:line="276" w:lineRule="auto"/>
      <w:jc w:val="both"/>
    </w:pPr>
    <w:rPr>
      <w:rFonts w:asciiTheme="majorHAnsi" w:eastAsiaTheme="minorEastAsia" w:hAnsiTheme="majorHAnsi" w:cstheme="majorHAnsi"/>
      <w:b/>
      <w:sz w:val="22"/>
      <w:szCs w:val="20"/>
      <w:lang w:eastAsia="en-US"/>
    </w:rPr>
  </w:style>
  <w:style w:type="paragraph" w:customStyle="1" w:styleId="CPTitle5">
    <w:name w:val="CP_Title5"/>
    <w:basedOn w:val="Normal"/>
    <w:qFormat/>
    <w:rsid w:val="00D34282"/>
    <w:pPr>
      <w:numPr>
        <w:ilvl w:val="4"/>
        <w:numId w:val="34"/>
      </w:numPr>
      <w:spacing w:before="250" w:line="276" w:lineRule="auto"/>
      <w:jc w:val="both"/>
    </w:pPr>
    <w:rPr>
      <w:rFonts w:asciiTheme="majorHAnsi" w:eastAsiaTheme="minorEastAsia" w:hAnsiTheme="majorHAnsi" w:cstheme="majorHAnsi"/>
      <w:i/>
      <w:sz w:val="22"/>
      <w:szCs w:val="20"/>
      <w:u w:val="single"/>
      <w:lang w:eastAsia="en-US"/>
    </w:rPr>
  </w:style>
  <w:style w:type="paragraph" w:customStyle="1" w:styleId="CPTitle6">
    <w:name w:val="CP_Title6"/>
    <w:basedOn w:val="Normal"/>
    <w:qFormat/>
    <w:rsid w:val="00D34282"/>
    <w:pPr>
      <w:numPr>
        <w:ilvl w:val="5"/>
        <w:numId w:val="34"/>
      </w:numPr>
      <w:spacing w:before="250" w:line="276" w:lineRule="auto"/>
      <w:jc w:val="both"/>
    </w:pPr>
    <w:rPr>
      <w:rFonts w:asciiTheme="majorHAnsi" w:eastAsiaTheme="minorEastAsia" w:hAnsiTheme="majorHAnsi" w:cstheme="majorHAnsi"/>
      <w:i/>
      <w:sz w:val="22"/>
      <w:szCs w:val="20"/>
      <w:lang w:eastAsia="en-US"/>
    </w:rPr>
  </w:style>
  <w:style w:type="paragraph" w:customStyle="1" w:styleId="CPNumPar">
    <w:name w:val="CP_NumPar"/>
    <w:basedOn w:val="Normal"/>
    <w:qFormat/>
    <w:rsid w:val="00D34282"/>
    <w:pPr>
      <w:numPr>
        <w:ilvl w:val="6"/>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CPisubtitles">
    <w:name w:val="CP_isubtitles"/>
    <w:basedOn w:val="Normal"/>
    <w:qFormat/>
    <w:rsid w:val="00D34282"/>
    <w:pPr>
      <w:numPr>
        <w:ilvl w:val="7"/>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CPasubtitles">
    <w:name w:val="CP_asubtitles"/>
    <w:basedOn w:val="Normal"/>
    <w:qFormat/>
    <w:rsid w:val="00D34282"/>
    <w:pPr>
      <w:numPr>
        <w:ilvl w:val="8"/>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QuestionsFORM">
    <w:name w:val="Questions_FORM"/>
    <w:basedOn w:val="Normal"/>
    <w:link w:val="QuestionsFORMChar"/>
    <w:qFormat/>
    <w:rsid w:val="0075015C"/>
    <w:pPr>
      <w:numPr>
        <w:numId w:val="35"/>
      </w:numPr>
      <w:spacing w:after="250" w:line="276" w:lineRule="auto"/>
      <w:jc w:val="both"/>
    </w:pPr>
    <w:rPr>
      <w:rFonts w:asciiTheme="minorHAnsi" w:eastAsia="Calibri" w:hAnsiTheme="minorHAnsi" w:cstheme="minorBidi"/>
      <w:b/>
      <w:sz w:val="22"/>
      <w:szCs w:val="20"/>
      <w:lang w:eastAsia="en-US"/>
    </w:rPr>
  </w:style>
  <w:style w:type="character" w:customStyle="1" w:styleId="QuestionsFORMChar">
    <w:name w:val="Questions_FORM Char"/>
    <w:basedOn w:val="Standardskriftforavsnitt"/>
    <w:link w:val="QuestionsFORM"/>
    <w:rsid w:val="0075015C"/>
    <w:rPr>
      <w:rFonts w:asciiTheme="minorHAnsi" w:eastAsia="Calibri" w:hAnsiTheme="minorHAnsi" w:cstheme="minorBidi"/>
      <w:b/>
      <w:sz w:val="22"/>
      <w:lang w:eastAsia="en-US"/>
    </w:rPr>
  </w:style>
  <w:style w:type="paragraph" w:customStyle="1" w:styleId="FORM2">
    <w:name w:val="FORM2"/>
    <w:basedOn w:val="QuestionsFORM"/>
    <w:link w:val="FORM2Char"/>
    <w:qFormat/>
    <w:rsid w:val="00081148"/>
    <w:pPr>
      <w:numPr>
        <w:numId w:val="0"/>
      </w:numPr>
      <w:spacing w:after="120"/>
      <w:ind w:left="284"/>
    </w:pPr>
  </w:style>
  <w:style w:type="character" w:customStyle="1" w:styleId="FORM2Char">
    <w:name w:val="FORM2 Char"/>
    <w:basedOn w:val="QuestionsFORMChar"/>
    <w:link w:val="FORM2"/>
    <w:rsid w:val="00081148"/>
    <w:rPr>
      <w:rFonts w:asciiTheme="minorHAnsi" w:eastAsia="Calibri" w:hAnsiTheme="minorHAnsi" w:cstheme="minorBidi"/>
      <w:b/>
      <w:sz w:val="22"/>
      <w:lang w:eastAsia="en-US"/>
    </w:rPr>
  </w:style>
  <w:style w:type="paragraph" w:customStyle="1" w:styleId="Questionstyle">
    <w:name w:val="Question style"/>
    <w:basedOn w:val="Normal"/>
    <w:next w:val="Normal"/>
    <w:link w:val="QuestionstyleChar"/>
    <w:autoRedefine/>
    <w:qFormat/>
    <w:rsid w:val="008701E5"/>
    <w:pPr>
      <w:spacing w:after="250" w:line="276" w:lineRule="auto"/>
      <w:contextualSpacing/>
      <w:jc w:val="both"/>
    </w:pPr>
    <w:rPr>
      <w:rFonts w:asciiTheme="minorHAnsi" w:eastAsiaTheme="minorEastAsia" w:hAnsiTheme="minorHAnsi" w:cstheme="minorBidi"/>
      <w:b/>
      <w:sz w:val="22"/>
      <w:szCs w:val="20"/>
      <w:lang w:eastAsia="en-US"/>
    </w:rPr>
  </w:style>
  <w:style w:type="character" w:customStyle="1" w:styleId="QuestionstyleChar">
    <w:name w:val="Question style Char"/>
    <w:basedOn w:val="Standardskriftforavsnitt"/>
    <w:link w:val="Questionstyle"/>
    <w:rsid w:val="008701E5"/>
    <w:rPr>
      <w:rFonts w:asciiTheme="minorHAnsi" w:eastAsiaTheme="minorEastAsia" w:hAnsiTheme="minorHAnsi" w:cstheme="minorBidi"/>
      <w:b/>
      <w:sz w:val="22"/>
      <w:lang w:eastAsia="en-US"/>
    </w:rPr>
  </w:style>
  <w:style w:type="paragraph" w:styleId="Undertittel">
    <w:name w:val="Subtitle"/>
    <w:basedOn w:val="Normal"/>
    <w:next w:val="Normal"/>
    <w:link w:val="UndertittelTegn"/>
    <w:uiPriority w:val="11"/>
    <w:qFormat/>
    <w:rsid w:val="006A24D5"/>
    <w:pPr>
      <w:numPr>
        <w:ilvl w:val="1"/>
      </w:numPr>
      <w:spacing w:after="250"/>
      <w:jc w:val="both"/>
    </w:pPr>
    <w:rPr>
      <w:rFonts w:asciiTheme="majorHAnsi" w:eastAsiaTheme="majorEastAsia" w:hAnsiTheme="majorHAnsi" w:cstheme="majorBidi"/>
      <w:b/>
      <w:sz w:val="28"/>
      <w:lang w:eastAsia="en-US"/>
    </w:rPr>
  </w:style>
  <w:style w:type="character" w:customStyle="1" w:styleId="UndertittelTegn">
    <w:name w:val="Undertittel Tegn"/>
    <w:basedOn w:val="Standardskriftforavsnitt"/>
    <w:link w:val="Undertittel"/>
    <w:uiPriority w:val="11"/>
    <w:rsid w:val="006A24D5"/>
    <w:rPr>
      <w:rFonts w:asciiTheme="majorHAnsi" w:eastAsiaTheme="majorEastAsia" w:hAnsiTheme="majorHAnsi" w:cstheme="majorBidi"/>
      <w:b/>
      <w:sz w:val="28"/>
      <w:szCs w:val="24"/>
      <w:lang w:eastAsia="en-US"/>
    </w:rPr>
  </w:style>
  <w:style w:type="paragraph" w:customStyle="1" w:styleId="ParagraphoftheCP">
    <w:name w:val="Paragraph of the CP"/>
    <w:basedOn w:val="Listeavsnitt"/>
    <w:link w:val="ParagraphoftheCPChar"/>
    <w:qFormat/>
    <w:rsid w:val="00820CBA"/>
    <w:pPr>
      <w:keepNext/>
      <w:spacing w:after="120" w:line="264" w:lineRule="auto"/>
      <w:ind w:left="0"/>
      <w:contextualSpacing w:val="0"/>
      <w:jc w:val="both"/>
    </w:pPr>
    <w:rPr>
      <w:rFonts w:asciiTheme="minorHAnsi" w:eastAsiaTheme="minorEastAsia" w:hAnsiTheme="minorHAnsi" w:cstheme="minorBidi"/>
      <w:sz w:val="22"/>
      <w:szCs w:val="22"/>
      <w:shd w:val="clear" w:color="auto" w:fill="FFFFFF"/>
      <w:lang w:eastAsia="en-US"/>
    </w:rPr>
  </w:style>
  <w:style w:type="character" w:customStyle="1" w:styleId="ParagraphoftheCPChar">
    <w:name w:val="Paragraph of the CP Char"/>
    <w:basedOn w:val="Standardskriftforavsnitt"/>
    <w:link w:val="ParagraphoftheCP"/>
    <w:rsid w:val="00820CBA"/>
    <w:rPr>
      <w:rFonts w:asciiTheme="minorHAnsi" w:eastAsiaTheme="minorEastAsia" w:hAnsiTheme="minorHAnsi" w:cstheme="minorBidi"/>
      <w:sz w:val="22"/>
      <w:szCs w:val="22"/>
      <w:lang w:eastAsia="en-US"/>
    </w:rPr>
  </w:style>
  <w:style w:type="character" w:customStyle="1" w:styleId="myNormalChar0">
    <w:name w:val="myNormal Char"/>
    <w:basedOn w:val="Standardskriftforavsnitt"/>
    <w:link w:val="myNormal0"/>
    <w:locked/>
    <w:rsid w:val="00AF38AF"/>
    <w:rPr>
      <w:rFonts w:ascii="Georgia" w:hAnsi="Georgia"/>
      <w:lang w:eastAsia="de-DE"/>
    </w:rPr>
  </w:style>
  <w:style w:type="paragraph" w:customStyle="1" w:styleId="myNormal0">
    <w:name w:val="myNormal"/>
    <w:basedOn w:val="Normal"/>
    <w:link w:val="myNormalChar0"/>
    <w:rsid w:val="00AF38AF"/>
    <w:pPr>
      <w:tabs>
        <w:tab w:val="num" w:pos="360"/>
      </w:tabs>
      <w:spacing w:after="250" w:line="276" w:lineRule="auto"/>
      <w:jc w:val="both"/>
    </w:pPr>
    <w:rPr>
      <w:rFonts w:ascii="Georgia" w:hAnsi="Georgia"/>
      <w:szCs w:val="20"/>
    </w:rPr>
  </w:style>
  <w:style w:type="paragraph" w:customStyle="1" w:styleId="QStyle">
    <w:name w:val="Q Style"/>
    <w:basedOn w:val="Listeavsnitt"/>
    <w:qFormat/>
    <w:rsid w:val="00407232"/>
    <w:pPr>
      <w:numPr>
        <w:numId w:val="43"/>
      </w:numPr>
      <w:tabs>
        <w:tab w:val="left" w:pos="720"/>
      </w:tabs>
      <w:autoSpaceDE w:val="0"/>
      <w:autoSpaceDN w:val="0"/>
      <w:adjustRightInd w:val="0"/>
      <w:spacing w:after="120"/>
      <w:ind w:left="720" w:hanging="720"/>
      <w:contextualSpacing w:val="0"/>
      <w:jc w:val="both"/>
    </w:pPr>
    <w:rPr>
      <w:rFonts w:asciiTheme="minorHAnsi" w:eastAsiaTheme="minorEastAsia" w:hAnsiTheme="minorHAnsi"/>
      <w:b/>
      <w:bCs/>
      <w:noProof/>
      <w:color w:val="000000"/>
      <w:sz w:val="22"/>
      <w:lang w:eastAsia="en-US"/>
    </w:rPr>
  </w:style>
  <w:style w:type="paragraph" w:customStyle="1" w:styleId="List1">
    <w:name w:val="List1"/>
    <w:autoRedefine/>
    <w:qFormat/>
    <w:rsid w:val="00197794"/>
    <w:rPr>
      <w:rFonts w:asciiTheme="minorHAnsi" w:eastAsiaTheme="minorEastAsia" w:hAnsiTheme="minorHAnsi" w:cstheme="minorBidi"/>
      <w:sz w:val="22"/>
      <w:szCs w:val="22"/>
      <w:lang w:val="en-US" w:eastAsia="en-US"/>
    </w:rPr>
  </w:style>
  <w:style w:type="paragraph" w:customStyle="1" w:styleId="1">
    <w:name w:val="1"/>
    <w:basedOn w:val="Normal"/>
    <w:link w:val="Fotnotereferanse"/>
    <w:uiPriority w:val="99"/>
    <w:qFormat/>
    <w:rsid w:val="00197794"/>
    <w:pPr>
      <w:spacing w:after="160" w:line="240" w:lineRule="exact"/>
    </w:pPr>
    <w:rPr>
      <w:rFonts w:ascii="Times New Roman" w:hAnsi="Times New Roman"/>
      <w:szCs w:val="20"/>
      <w:vertAlign w:val="superscript"/>
      <w:lang w:eastAsia="en-GB"/>
    </w:rPr>
  </w:style>
  <w:style w:type="paragraph" w:customStyle="1" w:styleId="body">
    <w:name w:val="body"/>
    <w:link w:val="bodyChar"/>
    <w:uiPriority w:val="99"/>
    <w:qFormat/>
    <w:rsid w:val="00197794"/>
    <w:pPr>
      <w:spacing w:before="240" w:after="120" w:line="276" w:lineRule="auto"/>
      <w:jc w:val="both"/>
    </w:pPr>
    <w:rPr>
      <w:rFonts w:asciiTheme="minorHAnsi" w:eastAsiaTheme="minorEastAsia" w:hAnsiTheme="minorHAnsi" w:cstheme="minorBidi"/>
      <w:sz w:val="22"/>
      <w:szCs w:val="24"/>
      <w:lang w:val="en-US" w:eastAsia="en-US"/>
    </w:rPr>
  </w:style>
  <w:style w:type="character" w:customStyle="1" w:styleId="bodyChar">
    <w:name w:val="body Char"/>
    <w:link w:val="body"/>
    <w:uiPriority w:val="99"/>
    <w:locked/>
    <w:rsid w:val="00197794"/>
    <w:rPr>
      <w:rFonts w:asciiTheme="minorHAnsi" w:eastAsiaTheme="minorEastAsia" w:hAnsiTheme="minorHAnsi" w:cstheme="minorBidi"/>
      <w:sz w:val="22"/>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29606">
      <w:bodyDiv w:val="1"/>
      <w:marLeft w:val="0"/>
      <w:marRight w:val="0"/>
      <w:marTop w:val="0"/>
      <w:marBottom w:val="0"/>
      <w:divBdr>
        <w:top w:val="none" w:sz="0" w:space="0" w:color="auto"/>
        <w:left w:val="none" w:sz="0" w:space="0" w:color="auto"/>
        <w:bottom w:val="none" w:sz="0" w:space="0" w:color="auto"/>
        <w:right w:val="none" w:sz="0" w:space="0" w:color="auto"/>
      </w:divBdr>
    </w:div>
    <w:div w:id="16347517">
      <w:bodyDiv w:val="1"/>
      <w:marLeft w:val="0"/>
      <w:marRight w:val="0"/>
      <w:marTop w:val="0"/>
      <w:marBottom w:val="0"/>
      <w:divBdr>
        <w:top w:val="none" w:sz="0" w:space="0" w:color="auto"/>
        <w:left w:val="none" w:sz="0" w:space="0" w:color="auto"/>
        <w:bottom w:val="none" w:sz="0" w:space="0" w:color="auto"/>
        <w:right w:val="none" w:sz="0" w:space="0" w:color="auto"/>
      </w:divBdr>
    </w:div>
    <w:div w:id="57823182">
      <w:bodyDiv w:val="1"/>
      <w:marLeft w:val="0"/>
      <w:marRight w:val="0"/>
      <w:marTop w:val="0"/>
      <w:marBottom w:val="0"/>
      <w:divBdr>
        <w:top w:val="none" w:sz="0" w:space="0" w:color="auto"/>
        <w:left w:val="none" w:sz="0" w:space="0" w:color="auto"/>
        <w:bottom w:val="none" w:sz="0" w:space="0" w:color="auto"/>
        <w:right w:val="none" w:sz="0" w:space="0" w:color="auto"/>
      </w:divBdr>
    </w:div>
    <w:div w:id="158081255">
      <w:bodyDiv w:val="1"/>
      <w:marLeft w:val="0"/>
      <w:marRight w:val="0"/>
      <w:marTop w:val="0"/>
      <w:marBottom w:val="0"/>
      <w:divBdr>
        <w:top w:val="none" w:sz="0" w:space="0" w:color="auto"/>
        <w:left w:val="none" w:sz="0" w:space="0" w:color="auto"/>
        <w:bottom w:val="none" w:sz="0" w:space="0" w:color="auto"/>
        <w:right w:val="none" w:sz="0" w:space="0" w:color="auto"/>
      </w:divBdr>
    </w:div>
    <w:div w:id="190606614">
      <w:bodyDiv w:val="1"/>
      <w:marLeft w:val="0"/>
      <w:marRight w:val="0"/>
      <w:marTop w:val="0"/>
      <w:marBottom w:val="0"/>
      <w:divBdr>
        <w:top w:val="none" w:sz="0" w:space="0" w:color="auto"/>
        <w:left w:val="none" w:sz="0" w:space="0" w:color="auto"/>
        <w:bottom w:val="none" w:sz="0" w:space="0" w:color="auto"/>
        <w:right w:val="none" w:sz="0" w:space="0" w:color="auto"/>
      </w:divBdr>
    </w:div>
    <w:div w:id="224268557">
      <w:bodyDiv w:val="1"/>
      <w:marLeft w:val="0"/>
      <w:marRight w:val="0"/>
      <w:marTop w:val="0"/>
      <w:marBottom w:val="0"/>
      <w:divBdr>
        <w:top w:val="none" w:sz="0" w:space="0" w:color="auto"/>
        <w:left w:val="none" w:sz="0" w:space="0" w:color="auto"/>
        <w:bottom w:val="none" w:sz="0" w:space="0" w:color="auto"/>
        <w:right w:val="none" w:sz="0" w:space="0" w:color="auto"/>
      </w:divBdr>
    </w:div>
    <w:div w:id="296954131">
      <w:bodyDiv w:val="1"/>
      <w:marLeft w:val="0"/>
      <w:marRight w:val="0"/>
      <w:marTop w:val="0"/>
      <w:marBottom w:val="0"/>
      <w:divBdr>
        <w:top w:val="none" w:sz="0" w:space="0" w:color="auto"/>
        <w:left w:val="none" w:sz="0" w:space="0" w:color="auto"/>
        <w:bottom w:val="none" w:sz="0" w:space="0" w:color="auto"/>
        <w:right w:val="none" w:sz="0" w:space="0" w:color="auto"/>
      </w:divBdr>
    </w:div>
    <w:div w:id="303509157">
      <w:bodyDiv w:val="1"/>
      <w:marLeft w:val="0"/>
      <w:marRight w:val="0"/>
      <w:marTop w:val="0"/>
      <w:marBottom w:val="0"/>
      <w:divBdr>
        <w:top w:val="none" w:sz="0" w:space="0" w:color="auto"/>
        <w:left w:val="none" w:sz="0" w:space="0" w:color="auto"/>
        <w:bottom w:val="none" w:sz="0" w:space="0" w:color="auto"/>
        <w:right w:val="none" w:sz="0" w:space="0" w:color="auto"/>
      </w:divBdr>
    </w:div>
    <w:div w:id="422921667">
      <w:bodyDiv w:val="1"/>
      <w:marLeft w:val="0"/>
      <w:marRight w:val="0"/>
      <w:marTop w:val="0"/>
      <w:marBottom w:val="0"/>
      <w:divBdr>
        <w:top w:val="none" w:sz="0" w:space="0" w:color="auto"/>
        <w:left w:val="none" w:sz="0" w:space="0" w:color="auto"/>
        <w:bottom w:val="none" w:sz="0" w:space="0" w:color="auto"/>
        <w:right w:val="none" w:sz="0" w:space="0" w:color="auto"/>
      </w:divBdr>
    </w:div>
    <w:div w:id="471335066">
      <w:bodyDiv w:val="1"/>
      <w:marLeft w:val="0"/>
      <w:marRight w:val="0"/>
      <w:marTop w:val="0"/>
      <w:marBottom w:val="0"/>
      <w:divBdr>
        <w:top w:val="none" w:sz="0" w:space="0" w:color="auto"/>
        <w:left w:val="none" w:sz="0" w:space="0" w:color="auto"/>
        <w:bottom w:val="none" w:sz="0" w:space="0" w:color="auto"/>
        <w:right w:val="none" w:sz="0" w:space="0" w:color="auto"/>
      </w:divBdr>
    </w:div>
    <w:div w:id="498666560">
      <w:bodyDiv w:val="1"/>
      <w:marLeft w:val="0"/>
      <w:marRight w:val="0"/>
      <w:marTop w:val="0"/>
      <w:marBottom w:val="0"/>
      <w:divBdr>
        <w:top w:val="none" w:sz="0" w:space="0" w:color="auto"/>
        <w:left w:val="none" w:sz="0" w:space="0" w:color="auto"/>
        <w:bottom w:val="none" w:sz="0" w:space="0" w:color="auto"/>
        <w:right w:val="none" w:sz="0" w:space="0" w:color="auto"/>
      </w:divBdr>
    </w:div>
    <w:div w:id="513423986">
      <w:bodyDiv w:val="1"/>
      <w:marLeft w:val="0"/>
      <w:marRight w:val="0"/>
      <w:marTop w:val="0"/>
      <w:marBottom w:val="0"/>
      <w:divBdr>
        <w:top w:val="none" w:sz="0" w:space="0" w:color="auto"/>
        <w:left w:val="none" w:sz="0" w:space="0" w:color="auto"/>
        <w:bottom w:val="none" w:sz="0" w:space="0" w:color="auto"/>
        <w:right w:val="none" w:sz="0" w:space="0" w:color="auto"/>
      </w:divBdr>
    </w:div>
    <w:div w:id="517816576">
      <w:bodyDiv w:val="1"/>
      <w:marLeft w:val="0"/>
      <w:marRight w:val="0"/>
      <w:marTop w:val="0"/>
      <w:marBottom w:val="0"/>
      <w:divBdr>
        <w:top w:val="none" w:sz="0" w:space="0" w:color="auto"/>
        <w:left w:val="none" w:sz="0" w:space="0" w:color="auto"/>
        <w:bottom w:val="none" w:sz="0" w:space="0" w:color="auto"/>
        <w:right w:val="none" w:sz="0" w:space="0" w:color="auto"/>
      </w:divBdr>
    </w:div>
    <w:div w:id="521747332">
      <w:bodyDiv w:val="1"/>
      <w:marLeft w:val="0"/>
      <w:marRight w:val="0"/>
      <w:marTop w:val="0"/>
      <w:marBottom w:val="0"/>
      <w:divBdr>
        <w:top w:val="none" w:sz="0" w:space="0" w:color="auto"/>
        <w:left w:val="none" w:sz="0" w:space="0" w:color="auto"/>
        <w:bottom w:val="none" w:sz="0" w:space="0" w:color="auto"/>
        <w:right w:val="none" w:sz="0" w:space="0" w:color="auto"/>
      </w:divBdr>
    </w:div>
    <w:div w:id="558515657">
      <w:bodyDiv w:val="1"/>
      <w:marLeft w:val="0"/>
      <w:marRight w:val="0"/>
      <w:marTop w:val="0"/>
      <w:marBottom w:val="0"/>
      <w:divBdr>
        <w:top w:val="none" w:sz="0" w:space="0" w:color="auto"/>
        <w:left w:val="none" w:sz="0" w:space="0" w:color="auto"/>
        <w:bottom w:val="none" w:sz="0" w:space="0" w:color="auto"/>
        <w:right w:val="none" w:sz="0" w:space="0" w:color="auto"/>
      </w:divBdr>
    </w:div>
    <w:div w:id="586503352">
      <w:bodyDiv w:val="1"/>
      <w:marLeft w:val="0"/>
      <w:marRight w:val="0"/>
      <w:marTop w:val="0"/>
      <w:marBottom w:val="0"/>
      <w:divBdr>
        <w:top w:val="none" w:sz="0" w:space="0" w:color="auto"/>
        <w:left w:val="none" w:sz="0" w:space="0" w:color="auto"/>
        <w:bottom w:val="none" w:sz="0" w:space="0" w:color="auto"/>
        <w:right w:val="none" w:sz="0" w:space="0" w:color="auto"/>
      </w:divBdr>
    </w:div>
    <w:div w:id="737753478">
      <w:bodyDiv w:val="1"/>
      <w:marLeft w:val="0"/>
      <w:marRight w:val="0"/>
      <w:marTop w:val="0"/>
      <w:marBottom w:val="0"/>
      <w:divBdr>
        <w:top w:val="none" w:sz="0" w:space="0" w:color="auto"/>
        <w:left w:val="none" w:sz="0" w:space="0" w:color="auto"/>
        <w:bottom w:val="none" w:sz="0" w:space="0" w:color="auto"/>
        <w:right w:val="none" w:sz="0" w:space="0" w:color="auto"/>
      </w:divBdr>
    </w:div>
    <w:div w:id="757751132">
      <w:bodyDiv w:val="1"/>
      <w:marLeft w:val="0"/>
      <w:marRight w:val="0"/>
      <w:marTop w:val="0"/>
      <w:marBottom w:val="0"/>
      <w:divBdr>
        <w:top w:val="none" w:sz="0" w:space="0" w:color="auto"/>
        <w:left w:val="none" w:sz="0" w:space="0" w:color="auto"/>
        <w:bottom w:val="none" w:sz="0" w:space="0" w:color="auto"/>
        <w:right w:val="none" w:sz="0" w:space="0" w:color="auto"/>
      </w:divBdr>
    </w:div>
    <w:div w:id="812478384">
      <w:bodyDiv w:val="1"/>
      <w:marLeft w:val="0"/>
      <w:marRight w:val="0"/>
      <w:marTop w:val="0"/>
      <w:marBottom w:val="0"/>
      <w:divBdr>
        <w:top w:val="none" w:sz="0" w:space="0" w:color="auto"/>
        <w:left w:val="none" w:sz="0" w:space="0" w:color="auto"/>
        <w:bottom w:val="none" w:sz="0" w:space="0" w:color="auto"/>
        <w:right w:val="none" w:sz="0" w:space="0" w:color="auto"/>
      </w:divBdr>
    </w:div>
    <w:div w:id="836698984">
      <w:bodyDiv w:val="1"/>
      <w:marLeft w:val="0"/>
      <w:marRight w:val="0"/>
      <w:marTop w:val="0"/>
      <w:marBottom w:val="0"/>
      <w:divBdr>
        <w:top w:val="none" w:sz="0" w:space="0" w:color="auto"/>
        <w:left w:val="none" w:sz="0" w:space="0" w:color="auto"/>
        <w:bottom w:val="none" w:sz="0" w:space="0" w:color="auto"/>
        <w:right w:val="none" w:sz="0" w:space="0" w:color="auto"/>
      </w:divBdr>
    </w:div>
    <w:div w:id="842477076">
      <w:bodyDiv w:val="1"/>
      <w:marLeft w:val="0"/>
      <w:marRight w:val="0"/>
      <w:marTop w:val="0"/>
      <w:marBottom w:val="0"/>
      <w:divBdr>
        <w:top w:val="none" w:sz="0" w:space="0" w:color="auto"/>
        <w:left w:val="none" w:sz="0" w:space="0" w:color="auto"/>
        <w:bottom w:val="none" w:sz="0" w:space="0" w:color="auto"/>
        <w:right w:val="none" w:sz="0" w:space="0" w:color="auto"/>
      </w:divBdr>
    </w:div>
    <w:div w:id="857616854">
      <w:bodyDiv w:val="1"/>
      <w:marLeft w:val="0"/>
      <w:marRight w:val="0"/>
      <w:marTop w:val="0"/>
      <w:marBottom w:val="0"/>
      <w:divBdr>
        <w:top w:val="none" w:sz="0" w:space="0" w:color="auto"/>
        <w:left w:val="none" w:sz="0" w:space="0" w:color="auto"/>
        <w:bottom w:val="none" w:sz="0" w:space="0" w:color="auto"/>
        <w:right w:val="none" w:sz="0" w:space="0" w:color="auto"/>
      </w:divBdr>
    </w:div>
    <w:div w:id="964964126">
      <w:bodyDiv w:val="1"/>
      <w:marLeft w:val="0"/>
      <w:marRight w:val="0"/>
      <w:marTop w:val="0"/>
      <w:marBottom w:val="0"/>
      <w:divBdr>
        <w:top w:val="none" w:sz="0" w:space="0" w:color="auto"/>
        <w:left w:val="none" w:sz="0" w:space="0" w:color="auto"/>
        <w:bottom w:val="none" w:sz="0" w:space="0" w:color="auto"/>
        <w:right w:val="none" w:sz="0" w:space="0" w:color="auto"/>
      </w:divBdr>
    </w:div>
    <w:div w:id="997073813">
      <w:bodyDiv w:val="1"/>
      <w:marLeft w:val="0"/>
      <w:marRight w:val="0"/>
      <w:marTop w:val="0"/>
      <w:marBottom w:val="0"/>
      <w:divBdr>
        <w:top w:val="none" w:sz="0" w:space="0" w:color="auto"/>
        <w:left w:val="none" w:sz="0" w:space="0" w:color="auto"/>
        <w:bottom w:val="none" w:sz="0" w:space="0" w:color="auto"/>
        <w:right w:val="none" w:sz="0" w:space="0" w:color="auto"/>
      </w:divBdr>
    </w:div>
    <w:div w:id="1011108495">
      <w:bodyDiv w:val="1"/>
      <w:marLeft w:val="0"/>
      <w:marRight w:val="0"/>
      <w:marTop w:val="0"/>
      <w:marBottom w:val="0"/>
      <w:divBdr>
        <w:top w:val="none" w:sz="0" w:space="0" w:color="auto"/>
        <w:left w:val="none" w:sz="0" w:space="0" w:color="auto"/>
        <w:bottom w:val="none" w:sz="0" w:space="0" w:color="auto"/>
        <w:right w:val="none" w:sz="0" w:space="0" w:color="auto"/>
      </w:divBdr>
    </w:div>
    <w:div w:id="1083188112">
      <w:bodyDiv w:val="1"/>
      <w:marLeft w:val="0"/>
      <w:marRight w:val="0"/>
      <w:marTop w:val="0"/>
      <w:marBottom w:val="0"/>
      <w:divBdr>
        <w:top w:val="none" w:sz="0" w:space="0" w:color="auto"/>
        <w:left w:val="none" w:sz="0" w:space="0" w:color="auto"/>
        <w:bottom w:val="none" w:sz="0" w:space="0" w:color="auto"/>
        <w:right w:val="none" w:sz="0" w:space="0" w:color="auto"/>
      </w:divBdr>
    </w:div>
    <w:div w:id="1084453536">
      <w:bodyDiv w:val="1"/>
      <w:marLeft w:val="0"/>
      <w:marRight w:val="0"/>
      <w:marTop w:val="0"/>
      <w:marBottom w:val="0"/>
      <w:divBdr>
        <w:top w:val="none" w:sz="0" w:space="0" w:color="auto"/>
        <w:left w:val="none" w:sz="0" w:space="0" w:color="auto"/>
        <w:bottom w:val="none" w:sz="0" w:space="0" w:color="auto"/>
        <w:right w:val="none" w:sz="0" w:space="0" w:color="auto"/>
      </w:divBdr>
    </w:div>
    <w:div w:id="1114903504">
      <w:bodyDiv w:val="1"/>
      <w:marLeft w:val="0"/>
      <w:marRight w:val="0"/>
      <w:marTop w:val="0"/>
      <w:marBottom w:val="0"/>
      <w:divBdr>
        <w:top w:val="none" w:sz="0" w:space="0" w:color="auto"/>
        <w:left w:val="none" w:sz="0" w:space="0" w:color="auto"/>
        <w:bottom w:val="none" w:sz="0" w:space="0" w:color="auto"/>
        <w:right w:val="none" w:sz="0" w:space="0" w:color="auto"/>
      </w:divBdr>
    </w:div>
    <w:div w:id="1144159185">
      <w:bodyDiv w:val="1"/>
      <w:marLeft w:val="0"/>
      <w:marRight w:val="0"/>
      <w:marTop w:val="0"/>
      <w:marBottom w:val="0"/>
      <w:divBdr>
        <w:top w:val="none" w:sz="0" w:space="0" w:color="auto"/>
        <w:left w:val="none" w:sz="0" w:space="0" w:color="auto"/>
        <w:bottom w:val="none" w:sz="0" w:space="0" w:color="auto"/>
        <w:right w:val="none" w:sz="0" w:space="0" w:color="auto"/>
      </w:divBdr>
    </w:div>
    <w:div w:id="1191528169">
      <w:bodyDiv w:val="1"/>
      <w:marLeft w:val="0"/>
      <w:marRight w:val="0"/>
      <w:marTop w:val="0"/>
      <w:marBottom w:val="0"/>
      <w:divBdr>
        <w:top w:val="none" w:sz="0" w:space="0" w:color="auto"/>
        <w:left w:val="none" w:sz="0" w:space="0" w:color="auto"/>
        <w:bottom w:val="none" w:sz="0" w:space="0" w:color="auto"/>
        <w:right w:val="none" w:sz="0" w:space="0" w:color="auto"/>
      </w:divBdr>
    </w:div>
    <w:div w:id="1194613964">
      <w:bodyDiv w:val="1"/>
      <w:marLeft w:val="0"/>
      <w:marRight w:val="0"/>
      <w:marTop w:val="0"/>
      <w:marBottom w:val="0"/>
      <w:divBdr>
        <w:top w:val="none" w:sz="0" w:space="0" w:color="auto"/>
        <w:left w:val="none" w:sz="0" w:space="0" w:color="auto"/>
        <w:bottom w:val="none" w:sz="0" w:space="0" w:color="auto"/>
        <w:right w:val="none" w:sz="0" w:space="0" w:color="auto"/>
      </w:divBdr>
    </w:div>
    <w:div w:id="1242056670">
      <w:bodyDiv w:val="1"/>
      <w:marLeft w:val="0"/>
      <w:marRight w:val="0"/>
      <w:marTop w:val="0"/>
      <w:marBottom w:val="0"/>
      <w:divBdr>
        <w:top w:val="none" w:sz="0" w:space="0" w:color="auto"/>
        <w:left w:val="none" w:sz="0" w:space="0" w:color="auto"/>
        <w:bottom w:val="none" w:sz="0" w:space="0" w:color="auto"/>
        <w:right w:val="none" w:sz="0" w:space="0" w:color="auto"/>
      </w:divBdr>
    </w:div>
    <w:div w:id="1362826946">
      <w:bodyDiv w:val="1"/>
      <w:marLeft w:val="0"/>
      <w:marRight w:val="0"/>
      <w:marTop w:val="0"/>
      <w:marBottom w:val="0"/>
      <w:divBdr>
        <w:top w:val="none" w:sz="0" w:space="0" w:color="auto"/>
        <w:left w:val="none" w:sz="0" w:space="0" w:color="auto"/>
        <w:bottom w:val="none" w:sz="0" w:space="0" w:color="auto"/>
        <w:right w:val="none" w:sz="0" w:space="0" w:color="auto"/>
      </w:divBdr>
    </w:div>
    <w:div w:id="1386684057">
      <w:bodyDiv w:val="1"/>
      <w:marLeft w:val="0"/>
      <w:marRight w:val="0"/>
      <w:marTop w:val="0"/>
      <w:marBottom w:val="0"/>
      <w:divBdr>
        <w:top w:val="none" w:sz="0" w:space="0" w:color="auto"/>
        <w:left w:val="none" w:sz="0" w:space="0" w:color="auto"/>
        <w:bottom w:val="none" w:sz="0" w:space="0" w:color="auto"/>
        <w:right w:val="none" w:sz="0" w:space="0" w:color="auto"/>
      </w:divBdr>
    </w:div>
    <w:div w:id="1567841197">
      <w:bodyDiv w:val="1"/>
      <w:marLeft w:val="0"/>
      <w:marRight w:val="0"/>
      <w:marTop w:val="0"/>
      <w:marBottom w:val="0"/>
      <w:divBdr>
        <w:top w:val="none" w:sz="0" w:space="0" w:color="auto"/>
        <w:left w:val="none" w:sz="0" w:space="0" w:color="auto"/>
        <w:bottom w:val="none" w:sz="0" w:space="0" w:color="auto"/>
        <w:right w:val="none" w:sz="0" w:space="0" w:color="auto"/>
      </w:divBdr>
    </w:div>
    <w:div w:id="1615332089">
      <w:bodyDiv w:val="1"/>
      <w:marLeft w:val="0"/>
      <w:marRight w:val="0"/>
      <w:marTop w:val="0"/>
      <w:marBottom w:val="0"/>
      <w:divBdr>
        <w:top w:val="none" w:sz="0" w:space="0" w:color="auto"/>
        <w:left w:val="none" w:sz="0" w:space="0" w:color="auto"/>
        <w:bottom w:val="none" w:sz="0" w:space="0" w:color="auto"/>
        <w:right w:val="none" w:sz="0" w:space="0" w:color="auto"/>
      </w:divBdr>
    </w:div>
    <w:div w:id="1695645049">
      <w:bodyDiv w:val="1"/>
      <w:marLeft w:val="0"/>
      <w:marRight w:val="0"/>
      <w:marTop w:val="0"/>
      <w:marBottom w:val="0"/>
      <w:divBdr>
        <w:top w:val="none" w:sz="0" w:space="0" w:color="auto"/>
        <w:left w:val="none" w:sz="0" w:space="0" w:color="auto"/>
        <w:bottom w:val="none" w:sz="0" w:space="0" w:color="auto"/>
        <w:right w:val="none" w:sz="0" w:space="0" w:color="auto"/>
      </w:divBdr>
    </w:div>
    <w:div w:id="1758867293">
      <w:bodyDiv w:val="1"/>
      <w:marLeft w:val="0"/>
      <w:marRight w:val="0"/>
      <w:marTop w:val="0"/>
      <w:marBottom w:val="0"/>
      <w:divBdr>
        <w:top w:val="none" w:sz="0" w:space="0" w:color="auto"/>
        <w:left w:val="none" w:sz="0" w:space="0" w:color="auto"/>
        <w:bottom w:val="none" w:sz="0" w:space="0" w:color="auto"/>
        <w:right w:val="none" w:sz="0" w:space="0" w:color="auto"/>
      </w:divBdr>
    </w:div>
    <w:div w:id="1802725509">
      <w:bodyDiv w:val="1"/>
      <w:marLeft w:val="0"/>
      <w:marRight w:val="0"/>
      <w:marTop w:val="0"/>
      <w:marBottom w:val="0"/>
      <w:divBdr>
        <w:top w:val="none" w:sz="0" w:space="0" w:color="auto"/>
        <w:left w:val="none" w:sz="0" w:space="0" w:color="auto"/>
        <w:bottom w:val="none" w:sz="0" w:space="0" w:color="auto"/>
        <w:right w:val="none" w:sz="0" w:space="0" w:color="auto"/>
      </w:divBdr>
    </w:div>
    <w:div w:id="1806435111">
      <w:bodyDiv w:val="1"/>
      <w:marLeft w:val="0"/>
      <w:marRight w:val="0"/>
      <w:marTop w:val="0"/>
      <w:marBottom w:val="0"/>
      <w:divBdr>
        <w:top w:val="none" w:sz="0" w:space="0" w:color="auto"/>
        <w:left w:val="none" w:sz="0" w:space="0" w:color="auto"/>
        <w:bottom w:val="none" w:sz="0" w:space="0" w:color="auto"/>
        <w:right w:val="none" w:sz="0" w:space="0" w:color="auto"/>
      </w:divBdr>
    </w:div>
    <w:div w:id="1812167854">
      <w:bodyDiv w:val="1"/>
      <w:marLeft w:val="0"/>
      <w:marRight w:val="0"/>
      <w:marTop w:val="0"/>
      <w:marBottom w:val="0"/>
      <w:divBdr>
        <w:top w:val="none" w:sz="0" w:space="0" w:color="auto"/>
        <w:left w:val="none" w:sz="0" w:space="0" w:color="auto"/>
        <w:bottom w:val="none" w:sz="0" w:space="0" w:color="auto"/>
        <w:right w:val="none" w:sz="0" w:space="0" w:color="auto"/>
      </w:divBdr>
    </w:div>
    <w:div w:id="1899977937">
      <w:bodyDiv w:val="1"/>
      <w:marLeft w:val="0"/>
      <w:marRight w:val="0"/>
      <w:marTop w:val="0"/>
      <w:marBottom w:val="0"/>
      <w:divBdr>
        <w:top w:val="none" w:sz="0" w:space="0" w:color="auto"/>
        <w:left w:val="none" w:sz="0" w:space="0" w:color="auto"/>
        <w:bottom w:val="none" w:sz="0" w:space="0" w:color="auto"/>
        <w:right w:val="none" w:sz="0" w:space="0" w:color="auto"/>
      </w:divBdr>
    </w:div>
    <w:div w:id="1926573545">
      <w:bodyDiv w:val="1"/>
      <w:marLeft w:val="0"/>
      <w:marRight w:val="0"/>
      <w:marTop w:val="0"/>
      <w:marBottom w:val="0"/>
      <w:divBdr>
        <w:top w:val="none" w:sz="0" w:space="0" w:color="auto"/>
        <w:left w:val="none" w:sz="0" w:space="0" w:color="auto"/>
        <w:bottom w:val="none" w:sz="0" w:space="0" w:color="auto"/>
        <w:right w:val="none" w:sz="0" w:space="0" w:color="auto"/>
      </w:divBdr>
    </w:div>
    <w:div w:id="2066952188">
      <w:bodyDiv w:val="1"/>
      <w:marLeft w:val="0"/>
      <w:marRight w:val="0"/>
      <w:marTop w:val="0"/>
      <w:marBottom w:val="0"/>
      <w:divBdr>
        <w:top w:val="none" w:sz="0" w:space="0" w:color="auto"/>
        <w:left w:val="none" w:sz="0" w:space="0" w:color="auto"/>
        <w:bottom w:val="none" w:sz="0" w:space="0" w:color="auto"/>
        <w:right w:val="none" w:sz="0" w:space="0" w:color="auto"/>
      </w:divBdr>
    </w:div>
    <w:div w:id="2071028652">
      <w:bodyDiv w:val="1"/>
      <w:marLeft w:val="0"/>
      <w:marRight w:val="0"/>
      <w:marTop w:val="0"/>
      <w:marBottom w:val="0"/>
      <w:divBdr>
        <w:top w:val="none" w:sz="0" w:space="0" w:color="auto"/>
        <w:left w:val="none" w:sz="0" w:space="0" w:color="auto"/>
        <w:bottom w:val="none" w:sz="0" w:space="0" w:color="auto"/>
        <w:right w:val="none" w:sz="0" w:space="0" w:color="auto"/>
      </w:divBdr>
    </w:div>
    <w:div w:id="2097969875">
      <w:bodyDiv w:val="1"/>
      <w:marLeft w:val="0"/>
      <w:marRight w:val="0"/>
      <w:marTop w:val="0"/>
      <w:marBottom w:val="0"/>
      <w:divBdr>
        <w:top w:val="none" w:sz="0" w:space="0" w:color="auto"/>
        <w:left w:val="none" w:sz="0" w:space="0" w:color="auto"/>
        <w:bottom w:val="none" w:sz="0" w:space="0" w:color="auto"/>
        <w:right w:val="none" w:sz="0" w:space="0" w:color="auto"/>
      </w:divBdr>
    </w:div>
    <w:div w:id="2100251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s://www.policyuncertainty.com/media/Policy%20News%20and%20Stock%20Market%20Volatility.pdf" TargetMode="External"/><Relationship Id="rId39" Type="http://schemas.openxmlformats.org/officeDocument/2006/relationships/hyperlink" Target="https://www.tnp.no/norway/economy/2439-dnb-nor-was-criticized-by-lithuanian-authorities" TargetMode="External"/><Relationship Id="rId3" Type="http://schemas.openxmlformats.org/officeDocument/2006/relationships/customXml" Target="../customXml/item3.xml"/><Relationship Id="rId21" Type="http://schemas.openxmlformats.org/officeDocument/2006/relationships/hyperlink" Target="https://eiopa.europa.eu/Pages/Links/Legal-notice.aspx" TargetMode="External"/><Relationship Id="rId34" Type="http://schemas.openxmlformats.org/officeDocument/2006/relationships/chart" Target="charts/chart2.xml"/><Relationship Id="rId42" Type="http://schemas.openxmlformats.org/officeDocument/2006/relationships/footer" Target="footer4.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image" Target="media/image3.png"/><Relationship Id="rId33" Type="http://schemas.openxmlformats.org/officeDocument/2006/relationships/chart" Target="charts/chart1.xml"/><Relationship Id="rId38" Type="http://schemas.openxmlformats.org/officeDocument/2006/relationships/hyperlink" Target="https://www.beuc.eu/press-media/news-events/price-bad-advice-launches"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eba.europa.eu/legal-notice" TargetMode="External"/><Relationship Id="rId29" Type="http://schemas.openxmlformats.org/officeDocument/2006/relationships/image" Target="media/image5.png"/><Relationship Id="rId41"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priips.danskebank.com/w/show_priips.priips_dok?id=STN_Autocallable_FI4000375506_English&amp;lang=en" TargetMode="External"/><Relationship Id="rId32" Type="http://schemas.openxmlformats.org/officeDocument/2006/relationships/hyperlink" Target="https://betterfinance.eu/publication/better-finance-position-paper-on-calculation-and-presentation-of-costs-and-performance-scenarios-in-the-priips-kid/" TargetMode="External"/><Relationship Id="rId37" Type="http://schemas.openxmlformats.org/officeDocument/2006/relationships/image" Target="media/image7.png"/><Relationship Id="rId40" Type="http://schemas.openxmlformats.org/officeDocument/2006/relationships/header" Target="header4.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lovdata.no/forskrift/2016-12-09-1502/&#167;16-2" TargetMode="External"/><Relationship Id="rId28" Type="http://schemas.openxmlformats.org/officeDocument/2006/relationships/hyperlink" Target="https://www.nber.org/papers/w16976.pdf" TargetMode="External"/><Relationship Id="rId36" Type="http://schemas.openxmlformats.org/officeDocument/2006/relationships/hyperlink" Target="https://www.ft.com/content/78918c88-fd13-11e7-a492-2c9be7f3120a" TargetMode="External"/><Relationship Id="rId10" Type="http://schemas.openxmlformats.org/officeDocument/2006/relationships/webSettings" Target="webSettings.xml"/><Relationship Id="rId19" Type="http://schemas.openxmlformats.org/officeDocument/2006/relationships/hyperlink" Target="https://www.esma.europa.eu/press-news/consultations" TargetMode="External"/><Relationship Id="rId31" Type="http://schemas.openxmlformats.org/officeDocument/2006/relationships/image" Target="media/image6.png"/><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hyperlink" Target="https://www.esma.europa.eu/legal-notice" TargetMode="External"/><Relationship Id="rId27" Type="http://schemas.openxmlformats.org/officeDocument/2006/relationships/image" Target="media/image4.png"/><Relationship Id="rId30" Type="http://schemas.openxmlformats.org/officeDocument/2006/relationships/hyperlink" Target="https://fil.forbrukerradet.no/wp-content/uploads/2019/10/rapport-kombinasjonsfond-og-fondsprofiler.pdf" TargetMode="External"/><Relationship Id="rId35" Type="http://schemas.openxmlformats.org/officeDocument/2006/relationships/hyperlink" Target="https://fil.forbrukerradet.no/wp-content/uploads/2019/10/rapport-kombinasjonsfond-og-fondsprofiler.pdf" TargetMode="External"/><Relationship Id="rId43"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B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k1"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00"/>
              <a:t>Ex1: Net &amp; gross </a:t>
            </a:r>
            <a:r>
              <a:rPr lang="en-US" sz="1100"/>
              <a:t>return</a:t>
            </a:r>
            <a:r>
              <a:rPr lang="en-US" sz="1000"/>
              <a:t> vs. index + average</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b-NO"/>
        </a:p>
      </c:txPr>
    </c:title>
    <c:autoTitleDeleted val="0"/>
    <c:plotArea>
      <c:layout/>
      <c:barChart>
        <c:barDir val="col"/>
        <c:grouping val="clustered"/>
        <c:varyColors val="0"/>
        <c:ser>
          <c:idx val="0"/>
          <c:order val="0"/>
          <c:tx>
            <c:strRef>
              <c:f>'Ark1'!$C$9</c:f>
              <c:strCache>
                <c:ptCount val="1"/>
                <c:pt idx="0">
                  <c:v>Gross return</c:v>
                </c:pt>
              </c:strCache>
            </c:strRef>
          </c:tx>
          <c:spPr>
            <a:solidFill>
              <a:schemeClr val="accent1"/>
            </a:solidFill>
            <a:ln>
              <a:noFill/>
            </a:ln>
            <a:effectLst/>
          </c:spPr>
          <c:invertIfNegative val="0"/>
          <c:cat>
            <c:strRef>
              <c:f>'Ark1'!$D$8:$I$8</c:f>
              <c:strCache>
                <c:ptCount val="6"/>
                <c:pt idx="0">
                  <c:v>2014</c:v>
                </c:pt>
                <c:pt idx="1">
                  <c:v>2015</c:v>
                </c:pt>
                <c:pt idx="2">
                  <c:v>2016</c:v>
                </c:pt>
                <c:pt idx="3">
                  <c:v>2017</c:v>
                </c:pt>
                <c:pt idx="4">
                  <c:v>2018</c:v>
                </c:pt>
                <c:pt idx="5">
                  <c:v>Avg</c:v>
                </c:pt>
              </c:strCache>
            </c:strRef>
          </c:cat>
          <c:val>
            <c:numRef>
              <c:f>'Ark1'!$D$9:$I$9</c:f>
              <c:numCache>
                <c:formatCode>General</c:formatCode>
                <c:ptCount val="6"/>
                <c:pt idx="0">
                  <c:v>10</c:v>
                </c:pt>
                <c:pt idx="1">
                  <c:v>-6</c:v>
                </c:pt>
                <c:pt idx="2">
                  <c:v>1</c:v>
                </c:pt>
                <c:pt idx="3">
                  <c:v>20</c:v>
                </c:pt>
                <c:pt idx="4">
                  <c:v>-8</c:v>
                </c:pt>
                <c:pt idx="5">
                  <c:v>3.4</c:v>
                </c:pt>
              </c:numCache>
            </c:numRef>
          </c:val>
        </c:ser>
        <c:ser>
          <c:idx val="1"/>
          <c:order val="1"/>
          <c:tx>
            <c:strRef>
              <c:f>'Ark1'!$C$10</c:f>
              <c:strCache>
                <c:ptCount val="1"/>
                <c:pt idx="0">
                  <c:v>Net return</c:v>
                </c:pt>
              </c:strCache>
            </c:strRef>
          </c:tx>
          <c:spPr>
            <a:solidFill>
              <a:schemeClr val="accent2"/>
            </a:solidFill>
            <a:ln>
              <a:noFill/>
            </a:ln>
            <a:effectLst/>
          </c:spPr>
          <c:invertIfNegative val="0"/>
          <c:cat>
            <c:strRef>
              <c:f>'Ark1'!$D$8:$I$8</c:f>
              <c:strCache>
                <c:ptCount val="6"/>
                <c:pt idx="0">
                  <c:v>2014</c:v>
                </c:pt>
                <c:pt idx="1">
                  <c:v>2015</c:v>
                </c:pt>
                <c:pt idx="2">
                  <c:v>2016</c:v>
                </c:pt>
                <c:pt idx="3">
                  <c:v>2017</c:v>
                </c:pt>
                <c:pt idx="4">
                  <c:v>2018</c:v>
                </c:pt>
                <c:pt idx="5">
                  <c:v>Avg</c:v>
                </c:pt>
              </c:strCache>
            </c:strRef>
          </c:cat>
          <c:val>
            <c:numRef>
              <c:f>'Ark1'!$D$10:$I$10</c:f>
              <c:numCache>
                <c:formatCode>General</c:formatCode>
                <c:ptCount val="6"/>
                <c:pt idx="0">
                  <c:v>8</c:v>
                </c:pt>
                <c:pt idx="1">
                  <c:v>-8</c:v>
                </c:pt>
                <c:pt idx="2">
                  <c:v>-1</c:v>
                </c:pt>
                <c:pt idx="3">
                  <c:v>18</c:v>
                </c:pt>
                <c:pt idx="4">
                  <c:v>-10</c:v>
                </c:pt>
                <c:pt idx="5">
                  <c:v>1.4</c:v>
                </c:pt>
              </c:numCache>
            </c:numRef>
          </c:val>
        </c:ser>
        <c:ser>
          <c:idx val="2"/>
          <c:order val="2"/>
          <c:tx>
            <c:strRef>
              <c:f>'Ark1'!$C$11</c:f>
              <c:strCache>
                <c:ptCount val="1"/>
                <c:pt idx="0">
                  <c:v>Benchmark</c:v>
                </c:pt>
              </c:strCache>
            </c:strRef>
          </c:tx>
          <c:spPr>
            <a:solidFill>
              <a:schemeClr val="accent3"/>
            </a:solidFill>
            <a:ln>
              <a:noFill/>
            </a:ln>
            <a:effectLst/>
          </c:spPr>
          <c:invertIfNegative val="0"/>
          <c:cat>
            <c:strRef>
              <c:f>'Ark1'!$D$8:$I$8</c:f>
              <c:strCache>
                <c:ptCount val="6"/>
                <c:pt idx="0">
                  <c:v>2014</c:v>
                </c:pt>
                <c:pt idx="1">
                  <c:v>2015</c:v>
                </c:pt>
                <c:pt idx="2">
                  <c:v>2016</c:v>
                </c:pt>
                <c:pt idx="3">
                  <c:v>2017</c:v>
                </c:pt>
                <c:pt idx="4">
                  <c:v>2018</c:v>
                </c:pt>
                <c:pt idx="5">
                  <c:v>Avg</c:v>
                </c:pt>
              </c:strCache>
            </c:strRef>
          </c:cat>
          <c:val>
            <c:numRef>
              <c:f>'Ark1'!$D$11:$I$11</c:f>
              <c:numCache>
                <c:formatCode>General</c:formatCode>
                <c:ptCount val="6"/>
                <c:pt idx="0">
                  <c:v>12</c:v>
                </c:pt>
                <c:pt idx="1">
                  <c:v>-9</c:v>
                </c:pt>
                <c:pt idx="2">
                  <c:v>4</c:v>
                </c:pt>
                <c:pt idx="3">
                  <c:v>15</c:v>
                </c:pt>
                <c:pt idx="4">
                  <c:v>-5</c:v>
                </c:pt>
                <c:pt idx="5">
                  <c:v>3.4</c:v>
                </c:pt>
              </c:numCache>
            </c:numRef>
          </c:val>
        </c:ser>
        <c:dLbls>
          <c:showLegendKey val="0"/>
          <c:showVal val="0"/>
          <c:showCatName val="0"/>
          <c:showSerName val="0"/>
          <c:showPercent val="0"/>
          <c:showBubbleSize val="0"/>
        </c:dLbls>
        <c:gapWidth val="150"/>
        <c:axId val="571109776"/>
        <c:axId val="571107032"/>
      </c:barChart>
      <c:catAx>
        <c:axId val="571109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571107032"/>
        <c:crosses val="autoZero"/>
        <c:auto val="1"/>
        <c:lblAlgn val="ctr"/>
        <c:lblOffset val="100"/>
        <c:noMultiLvlLbl val="0"/>
      </c:catAx>
      <c:valAx>
        <c:axId val="5711070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57110977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nb-NO"/>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b-N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n-US" sz="1100"/>
              <a:t>Ex2: Only net return vs index + average</a:t>
            </a:r>
          </a:p>
        </c:rich>
      </c:tx>
      <c:layout/>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nb-NO"/>
        </a:p>
      </c:txPr>
    </c:title>
    <c:autoTitleDeleted val="0"/>
    <c:plotArea>
      <c:layout/>
      <c:barChart>
        <c:barDir val="col"/>
        <c:grouping val="clustered"/>
        <c:varyColors val="0"/>
        <c:ser>
          <c:idx val="1"/>
          <c:order val="0"/>
          <c:tx>
            <c:strRef>
              <c:f>'Ark1'!$C$10</c:f>
              <c:strCache>
                <c:ptCount val="1"/>
                <c:pt idx="0">
                  <c:v>Net return</c:v>
                </c:pt>
              </c:strCache>
            </c:strRef>
          </c:tx>
          <c:spPr>
            <a:solidFill>
              <a:schemeClr val="accent2"/>
            </a:solidFill>
            <a:ln>
              <a:noFill/>
            </a:ln>
            <a:effectLst/>
          </c:spPr>
          <c:invertIfNegative val="0"/>
          <c:cat>
            <c:strRef>
              <c:f>'Ark1'!$D$8:$I$8</c:f>
              <c:strCache>
                <c:ptCount val="6"/>
                <c:pt idx="0">
                  <c:v>2014</c:v>
                </c:pt>
                <c:pt idx="1">
                  <c:v>2015</c:v>
                </c:pt>
                <c:pt idx="2">
                  <c:v>2016</c:v>
                </c:pt>
                <c:pt idx="3">
                  <c:v>2017</c:v>
                </c:pt>
                <c:pt idx="4">
                  <c:v>2018</c:v>
                </c:pt>
                <c:pt idx="5">
                  <c:v>Avg</c:v>
                </c:pt>
              </c:strCache>
            </c:strRef>
          </c:cat>
          <c:val>
            <c:numRef>
              <c:f>'Ark1'!$D$10:$I$10</c:f>
              <c:numCache>
                <c:formatCode>General</c:formatCode>
                <c:ptCount val="6"/>
                <c:pt idx="0">
                  <c:v>8</c:v>
                </c:pt>
                <c:pt idx="1">
                  <c:v>-8</c:v>
                </c:pt>
                <c:pt idx="2">
                  <c:v>-1</c:v>
                </c:pt>
                <c:pt idx="3">
                  <c:v>18</c:v>
                </c:pt>
                <c:pt idx="4">
                  <c:v>-10</c:v>
                </c:pt>
                <c:pt idx="5">
                  <c:v>1.4</c:v>
                </c:pt>
              </c:numCache>
            </c:numRef>
          </c:val>
        </c:ser>
        <c:ser>
          <c:idx val="2"/>
          <c:order val="1"/>
          <c:tx>
            <c:strRef>
              <c:f>'Ark1'!$C$11</c:f>
              <c:strCache>
                <c:ptCount val="1"/>
                <c:pt idx="0">
                  <c:v>Benchmark</c:v>
                </c:pt>
              </c:strCache>
            </c:strRef>
          </c:tx>
          <c:spPr>
            <a:solidFill>
              <a:schemeClr val="accent3"/>
            </a:solidFill>
            <a:ln>
              <a:noFill/>
            </a:ln>
            <a:effectLst/>
          </c:spPr>
          <c:invertIfNegative val="0"/>
          <c:cat>
            <c:strRef>
              <c:f>'Ark1'!$D$8:$I$8</c:f>
              <c:strCache>
                <c:ptCount val="6"/>
                <c:pt idx="0">
                  <c:v>2014</c:v>
                </c:pt>
                <c:pt idx="1">
                  <c:v>2015</c:v>
                </c:pt>
                <c:pt idx="2">
                  <c:v>2016</c:v>
                </c:pt>
                <c:pt idx="3">
                  <c:v>2017</c:v>
                </c:pt>
                <c:pt idx="4">
                  <c:v>2018</c:v>
                </c:pt>
                <c:pt idx="5">
                  <c:v>Avg</c:v>
                </c:pt>
              </c:strCache>
            </c:strRef>
          </c:cat>
          <c:val>
            <c:numRef>
              <c:f>'Ark1'!$D$11:$I$11</c:f>
              <c:numCache>
                <c:formatCode>General</c:formatCode>
                <c:ptCount val="6"/>
                <c:pt idx="0">
                  <c:v>12</c:v>
                </c:pt>
                <c:pt idx="1">
                  <c:v>-9</c:v>
                </c:pt>
                <c:pt idx="2">
                  <c:v>4</c:v>
                </c:pt>
                <c:pt idx="3">
                  <c:v>15</c:v>
                </c:pt>
                <c:pt idx="4">
                  <c:v>-5</c:v>
                </c:pt>
                <c:pt idx="5">
                  <c:v>3.4</c:v>
                </c:pt>
              </c:numCache>
            </c:numRef>
          </c:val>
        </c:ser>
        <c:dLbls>
          <c:showLegendKey val="0"/>
          <c:showVal val="0"/>
          <c:showCatName val="0"/>
          <c:showSerName val="0"/>
          <c:showPercent val="0"/>
          <c:showBubbleSize val="0"/>
        </c:dLbls>
        <c:gapWidth val="150"/>
        <c:axId val="571107816"/>
        <c:axId val="571108208"/>
      </c:barChart>
      <c:catAx>
        <c:axId val="571107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571108208"/>
        <c:crosses val="autoZero"/>
        <c:auto val="1"/>
        <c:lblAlgn val="ctr"/>
        <c:lblOffset val="100"/>
        <c:noMultiLvlLbl val="0"/>
      </c:catAx>
      <c:valAx>
        <c:axId val="5711082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57110781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nb-NO"/>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b-N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9e038d8b-eef4-4a8e-96f8-403daa5a894a">ESMA30-201-535</_dlc_DocId>
    <_dlc_DocIdUrl xmlns="9e038d8b-eef4-4a8e-96f8-403daa5a894a">
      <Url>https://sherpa.esma.europa.eu/sites/INI/_layouts/15/DocIdRedir.aspx?ID=ESMA30-201-535</Url>
      <Description>ESMA30-201-535</Description>
    </_dlc_DocIdUrl>
    <MeetingDate xmlns="9e038d8b-eef4-4a8e-96f8-403daa5a894a" xsi:nil="true"/>
    <TaxCatchAll xmlns="9e038d8b-eef4-4a8e-96f8-403daa5a894a">
      <Value>103</Value>
      <Value>9</Value>
      <Value>105</Value>
    </TaxCatchAll>
    <Year xmlns="9e038d8b-eef4-4a8e-96f8-403daa5a894a">2019</Year>
    <m24acd4774c94f0eb085e90918c19a7d xmlns="9e038d8b-eef4-4a8e-96f8-403daa5a894a">
      <Terms xmlns="http://schemas.microsoft.com/office/infopath/2007/PartnerControls"/>
    </m24acd4774c94f0eb085e90918c19a7d>
    <f1a00f3c2bf7480bac6c55a336d088f1 xmlns="9e038d8b-eef4-4a8e-96f8-403daa5a894a">
      <Terms xmlns="http://schemas.microsoft.com/office/infopath/2007/PartnerControls">
        <TermInfo xmlns="http://schemas.microsoft.com/office/infopath/2007/PartnerControls">
          <TermName xmlns="http://schemas.microsoft.com/office/infopath/2007/PartnerControls">Regular</TermName>
          <TermId xmlns="http://schemas.microsoft.com/office/infopath/2007/PartnerControls">07f1e362-856b-423d-bea6-a14079762141</TermId>
        </TermInfo>
      </Terms>
    </f1a00f3c2bf7480bac6c55a336d088f1>
    <k24506574ead4431a8e2f3258e83a0fd xmlns="9e038d8b-eef4-4a8e-96f8-403daa5a894a">
      <Terms xmlns="http://schemas.microsoft.com/office/infopath/2007/PartnerControls"/>
    </k24506574ead4431a8e2f3258e83a0fd>
    <n7f8c499e7e54744bfa69926bd5ecac4 xmlns="9e038d8b-eef4-4a8e-96f8-403daa5a894a">
      <Terms xmlns="http://schemas.microsoft.com/office/infopath/2007/PartnerControls">
        <TermInfo xmlns="http://schemas.microsoft.com/office/infopath/2007/PartnerControls">
          <TermName xmlns="http://schemas.microsoft.com/office/infopath/2007/PartnerControls">PRIIPs</TermName>
          <TermId xmlns="http://schemas.microsoft.com/office/infopath/2007/PartnerControls">a491fde9-7cc6-4ddd-9670-fcf5e94cd88f</TermId>
        </TermInfo>
      </Terms>
    </n7f8c499e7e54744bfa69926bd5ecac4>
    <e098e4de435d4a6084770929094063cb xmlns="9e038d8b-eef4-4a8e-96f8-403daa5a894a">
      <Terms xmlns="http://schemas.microsoft.com/office/infopath/2007/PartnerControls">
        <TermInfo xmlns="http://schemas.microsoft.com/office/infopath/2007/PartnerControls">
          <TermName xmlns="http://schemas.microsoft.com/office/infopath/2007/PartnerControls">Statement / Notice / Notification</TermName>
          <TermId xmlns="http://schemas.microsoft.com/office/infopath/2007/PartnerControls">0e382581-6c98-4974-ba09-80c8b0a8cd2e</TermId>
        </TermInfo>
      </Terms>
    </e098e4de435d4a6084770929094063cb>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JC Sub-Committee Document" ma:contentTypeID="0x0101008326B20E91D8724BBD209C9C2DA77BE3010400F4287C848E10064694A9A5F3BE2A2BF3" ma:contentTypeVersion="176" ma:contentTypeDescription="" ma:contentTypeScope="" ma:versionID="2bb1840bfdd40b654766a944eee5c6fd">
  <xsd:schema xmlns:xsd="http://www.w3.org/2001/XMLSchema" xmlns:xs="http://www.w3.org/2001/XMLSchema" xmlns:p="http://schemas.microsoft.com/office/2006/metadata/properties" xmlns:ns2="9e038d8b-eef4-4a8e-96f8-403daa5a894a" targetNamespace="http://schemas.microsoft.com/office/2006/metadata/properties" ma:root="true" ma:fieldsID="870746b6bf5f182cab7b9e78f9840a9b" ns2:_="">
    <xsd:import namespace="9e038d8b-eef4-4a8e-96f8-403daa5a894a"/>
    <xsd:element name="properties">
      <xsd:complexType>
        <xsd:sequence>
          <xsd:element name="documentManagement">
            <xsd:complexType>
              <xsd:all>
                <xsd:element ref="ns2:Year"/>
                <xsd:element ref="ns2:MeetingDate" minOccurs="0"/>
                <xsd:element ref="ns2:_dlc_DocId" minOccurs="0"/>
                <xsd:element ref="ns2:_dlc_DocIdUrl" minOccurs="0"/>
                <xsd:element ref="ns2:_dlc_DocIdPersistId" minOccurs="0"/>
                <xsd:element ref="ns2:TaxCatchAll" minOccurs="0"/>
                <xsd:element ref="ns2:e098e4de435d4a6084770929094063cb" minOccurs="0"/>
                <xsd:element ref="ns2:TaxCatchAllLabel" minOccurs="0"/>
                <xsd:element ref="ns2:f1a00f3c2bf7480bac6c55a336d088f1" minOccurs="0"/>
                <xsd:element ref="ns2:k24506574ead4431a8e2f3258e83a0fd" minOccurs="0"/>
                <xsd:element ref="ns2:m24acd4774c94f0eb085e90918c19a7d" minOccurs="0"/>
                <xsd:element ref="ns2:n7f8c499e7e54744bfa69926bd5ecac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038d8b-eef4-4a8e-96f8-403daa5a894a" elementFormDefault="qualified">
    <xsd:import namespace="http://schemas.microsoft.com/office/2006/documentManagement/types"/>
    <xsd:import namespace="http://schemas.microsoft.com/office/infopath/2007/PartnerControls"/>
    <xsd:element name="Year" ma:index="5" ma:displayName="Year" ma:description="" ma:internalName="Year">
      <xsd:simpleType>
        <xsd:restriction base="dms:Text">
          <xsd:maxLength value="4"/>
        </xsd:restriction>
      </xsd:simpleType>
    </xsd:element>
    <xsd:element name="MeetingDate" ma:index="7" nillable="true" ma:displayName="Meeting Date" ma:description="" ma:format="DateOnly" ma:internalName="MeetingDate" ma:readOnly="false">
      <xsd:simpleType>
        <xsd:restriction base="dms:DateTime"/>
      </xsd:simpleType>
    </xsd:element>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4cb0742a-9112-4d9e-bc67-e49b72954e0d}" ma:internalName="TaxCatchAll" ma:showField="CatchAllData" ma:web="9e038d8b-eef4-4a8e-96f8-403daa5a894a">
      <xsd:complexType>
        <xsd:complexContent>
          <xsd:extension base="dms:MultiChoiceLookup">
            <xsd:sequence>
              <xsd:element name="Value" type="dms:Lookup" maxOccurs="unbounded" minOccurs="0" nillable="true"/>
            </xsd:sequence>
          </xsd:extension>
        </xsd:complexContent>
      </xsd:complexType>
    </xsd:element>
    <xsd:element name="e098e4de435d4a6084770929094063cb" ma:index="14" ma:taxonomy="true" ma:internalName="e098e4de435d4a6084770929094063cb" ma:taxonomyFieldName="DocumentType" ma:displayName="Document Type" ma:readOnly="false" ma:default="" ma:fieldId="{e098e4de-435d-4a60-8477-0929094063cb}" ma:sspId="0ac1876e-32bf-4158-94e7-cdbcd053a335" ma:termSetId="f83a1c9a-b23f-455b-8c9e-17fb9037db30" ma:anchorId="00000000-0000-0000-0000-000000000000" ma:open="false" ma:isKeyword="false">
      <xsd:complexType>
        <xsd:sequence>
          <xsd:element ref="pc:Terms" minOccurs="0" maxOccurs="1"/>
        </xsd:sequence>
      </xsd:complexType>
    </xsd:element>
    <xsd:element name="TaxCatchAllLabel" ma:index="15" nillable="true" ma:displayName="Taxonomy Catch All Column1" ma:hidden="true" ma:list="{4cb0742a-9112-4d9e-bc67-e49b72954e0d}" ma:internalName="TaxCatchAllLabel" ma:readOnly="true" ma:showField="CatchAllDataLabel" ma:web="9e038d8b-eef4-4a8e-96f8-403daa5a894a">
      <xsd:complexType>
        <xsd:complexContent>
          <xsd:extension base="dms:MultiChoiceLookup">
            <xsd:sequence>
              <xsd:element name="Value" type="dms:Lookup" maxOccurs="unbounded" minOccurs="0" nillable="true"/>
            </xsd:sequence>
          </xsd:extension>
        </xsd:complexContent>
      </xsd:complexType>
    </xsd:element>
    <xsd:element name="f1a00f3c2bf7480bac6c55a336d088f1" ma:index="16" ma:taxonomy="true" ma:internalName="f1a00f3c2bf7480bac6c55a336d088f1" ma:taxonomyFieldName="ConfidentialityLevel" ma:displayName="Confidentiality Level" ma:readOnly="false" ma:default="9;#Regular|07f1e362-856b-423d-bea6-a14079762141" ma:fieldId="{f1a00f3c-2bf7-480b-ac6c-55a336d088f1}" ma:sspId="0ac1876e-32bf-4158-94e7-cdbcd053a335" ma:termSetId="63da149f-0364-4b58-9838-6f5855a402c0" ma:anchorId="00000000-0000-0000-0000-000000000000" ma:open="false" ma:isKeyword="false">
      <xsd:complexType>
        <xsd:sequence>
          <xsd:element ref="pc:Terms" minOccurs="0" maxOccurs="1"/>
        </xsd:sequence>
      </xsd:complexType>
    </xsd:element>
    <xsd:element name="k24506574ead4431a8e2f3258e83a0fd" ma:index="19" nillable="true" ma:taxonomy="true" ma:internalName="k24506574ead4431a8e2f3258e83a0fd" ma:taxonomyFieldName="EsmaAudience" ma:displayName="Audience" ma:default="" ma:fieldId="{42450657-4ead-4431-a8e2-f3258e83a0fd}" ma:sspId="0ac1876e-32bf-4158-94e7-cdbcd053a335" ma:termSetId="76343289-0524-4d6c-b317-76d8c2e49caa" ma:anchorId="00000000-0000-0000-0000-000000000000" ma:open="false" ma:isKeyword="false">
      <xsd:complexType>
        <xsd:sequence>
          <xsd:element ref="pc:Terms" minOccurs="0" maxOccurs="1"/>
        </xsd:sequence>
      </xsd:complexType>
    </xsd:element>
    <xsd:element name="m24acd4774c94f0eb085e90918c19a7d" ma:index="21" nillable="true" ma:taxonomy="true" ma:internalName="m24acd4774c94f0eb085e90918c19a7d" ma:taxonomyFieldName="Topic" ma:displayName="Topic" ma:readOnly="false" ma:default="" ma:fieldId="{624acd47-74c9-4f0e-b085-e90918c19a7d}" ma:sspId="0ac1876e-32bf-4158-94e7-cdbcd053a335" ma:termSetId="9d548a13-f91e-4f7d-81dd-a8fdb0ed2fc3" ma:anchorId="00000000-0000-0000-0000-000000000000" ma:open="false" ma:isKeyword="false">
      <xsd:complexType>
        <xsd:sequence>
          <xsd:element ref="pc:Terms" minOccurs="0" maxOccurs="1"/>
        </xsd:sequence>
      </xsd:complexType>
    </xsd:element>
    <xsd:element name="n7f8c499e7e54744bfa69926bd5ecac4" ma:index="23" nillable="true" ma:taxonomy="true" ma:internalName="n7f8c499e7e54744bfa69926bd5ecac4" ma:taxonomyFieldName="Project" ma:displayName="Project" ma:default="" ma:fieldId="{77f8c499-e7e5-4744-bfa6-9926bd5ecac4}" ma:sspId="0ac1876e-32bf-4158-94e7-cdbcd053a335" ma:termSetId="eb9e0860-e123-44be-b0ad-13e0c0a0593b"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823ED9-4C25-4A0F-AA35-0F2F3F3B90A3}">
  <ds:schemaRefs>
    <ds:schemaRef ds:uri="http://schemas.microsoft.com/office/2006/documentManagement/types"/>
    <ds:schemaRef ds:uri="9e038d8b-eef4-4a8e-96f8-403daa5a894a"/>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EC5773D7-C2BB-4D87-8953-46CB848F19A7}">
  <ds:schemaRefs>
    <ds:schemaRef ds:uri="http://schemas.microsoft.com/sharepoint/events"/>
  </ds:schemaRefs>
</ds:datastoreItem>
</file>

<file path=customXml/itemProps3.xml><?xml version="1.0" encoding="utf-8"?>
<ds:datastoreItem xmlns:ds="http://schemas.openxmlformats.org/officeDocument/2006/customXml" ds:itemID="{68708063-D946-40DC-AD14-E7D3A52092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038d8b-eef4-4a8e-96f8-403daa5a89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EA42A5-84E9-48B4-AED0-CBEF87EA7FDE}">
  <ds:schemaRefs>
    <ds:schemaRef ds:uri="http://schemas.microsoft.com/sharepoint/v3/contenttype/forms"/>
  </ds:schemaRefs>
</ds:datastoreItem>
</file>

<file path=customXml/itemProps5.xml><?xml version="1.0" encoding="utf-8"?>
<ds:datastoreItem xmlns:ds="http://schemas.openxmlformats.org/officeDocument/2006/customXml" ds:itemID="{F328B588-AF4A-49CD-93E0-524A1A12B606}">
  <ds:schemaRefs>
    <ds:schemaRef ds:uri="http://schemas.openxmlformats.org/officeDocument/2006/bibliography"/>
  </ds:schemaRefs>
</ds:datastoreItem>
</file>

<file path=customXml/itemProps6.xml><?xml version="1.0" encoding="utf-8"?>
<ds:datastoreItem xmlns:ds="http://schemas.openxmlformats.org/officeDocument/2006/customXml" ds:itemID="{18BD62E1-564A-41ED-91DF-76848F911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7459</Words>
  <Characters>42352</Characters>
  <Application>Microsoft Office Word</Application>
  <DocSecurity>8</DocSecurity>
  <Lines>352</Lines>
  <Paragraphs>99</Paragraphs>
  <ScaleCrop>false</ScaleCrop>
  <HeadingPairs>
    <vt:vector size="12" baseType="variant">
      <vt:variant>
        <vt:lpstr>Tittel</vt:lpstr>
      </vt:variant>
      <vt:variant>
        <vt:i4>1</vt:i4>
      </vt:variant>
      <vt:variant>
        <vt:lpstr>Title</vt:lpstr>
      </vt:variant>
      <vt:variant>
        <vt:i4>1</vt:i4>
      </vt:variant>
      <vt:variant>
        <vt:lpstr>Título</vt:lpstr>
      </vt:variant>
      <vt:variant>
        <vt:i4>1</vt:i4>
      </vt:variant>
      <vt:variant>
        <vt:lpstr>Titolo</vt:lpstr>
      </vt:variant>
      <vt:variant>
        <vt:i4>1</vt:i4>
      </vt:variant>
      <vt:variant>
        <vt:lpstr>Titre</vt:lpstr>
      </vt:variant>
      <vt:variant>
        <vt:i4>1</vt:i4>
      </vt:variant>
      <vt:variant>
        <vt:lpstr>Titel</vt:lpstr>
      </vt:variant>
      <vt:variant>
        <vt:i4>1</vt:i4>
      </vt:variant>
    </vt:vector>
  </HeadingPairs>
  <TitlesOfParts>
    <vt:vector size="6" baseType="lpstr">
      <vt:lpstr>Reply form for the TR portability CP under EMIR</vt:lpstr>
      <vt:lpstr>Reply form for the TR portability CP under EMIR</vt:lpstr>
      <vt:lpstr>20110000</vt:lpstr>
      <vt:lpstr>20110000</vt:lpstr>
      <vt:lpstr>20110000</vt:lpstr>
      <vt:lpstr>20110000</vt:lpstr>
    </vt:vector>
  </TitlesOfParts>
  <Company>ESMA</Company>
  <LinksUpToDate>false</LinksUpToDate>
  <CharactersWithSpaces>49712</CharactersWithSpaces>
  <SharedDoc>false</SharedDoc>
  <HLinks>
    <vt:vector size="12" baseType="variant">
      <vt:variant>
        <vt:i4>3932286</vt:i4>
      </vt:variant>
      <vt:variant>
        <vt:i4>3</vt:i4>
      </vt:variant>
      <vt:variant>
        <vt:i4>0</vt:i4>
      </vt:variant>
      <vt:variant>
        <vt:i4>5</vt:i4>
      </vt:variant>
      <vt:variant>
        <vt:lpwstr>http://www.esma.europa.eu/</vt:lpwstr>
      </vt:variant>
      <vt:variant>
        <vt:lpwstr/>
      </vt:variant>
      <vt:variant>
        <vt:i4>3932286</vt:i4>
      </vt:variant>
      <vt:variant>
        <vt:i4>0</vt:i4>
      </vt:variant>
      <vt:variant>
        <vt:i4>0</vt:i4>
      </vt:variant>
      <vt:variant>
        <vt:i4>5</vt:i4>
      </vt:variant>
      <vt:variant>
        <vt:lpwstr>http://www.esma.europa.eu/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Reply form for the TR portability CP under EMIR</dc:title>
  <dc:creator>ESMA</dc:creator>
  <cp:lastModifiedBy>Arne Thommessen</cp:lastModifiedBy>
  <cp:revision>2</cp:revision>
  <cp:lastPrinted>2015-02-18T11:01:00Z</cp:lastPrinted>
  <dcterms:created xsi:type="dcterms:W3CDTF">2020-01-13T14:58:00Z</dcterms:created>
  <dcterms:modified xsi:type="dcterms:W3CDTF">2020-01-13T14:58:00Z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0x0101008326B20E91D8724BBD209C9C2DA77BE3010400F4287C848E10064694A9A5F3BE2A2BF3</vt:lpwstr>
  </property>
  <property fmtid="{D5CDD505-2E9C-101B-9397-08002B2CF9AE}" pid="3" name="EsmaAudience">
    <vt:lpwstr/>
  </property>
  <property fmtid="{D5CDD505-2E9C-101B-9397-08002B2CF9AE}" pid="4" name="TeamName">
    <vt:lpwstr>38;#Investment Management|9630b78b-e81c-4ffd-baef-5f8b4aeb7ac5</vt:lpwstr>
  </property>
  <property fmtid="{D5CDD505-2E9C-101B-9397-08002B2CF9AE}" pid="5" name="Topic">
    <vt:lpwstr/>
  </property>
  <property fmtid="{D5CDD505-2E9C-101B-9397-08002B2CF9AE}" pid="6" name="SubTopic">
    <vt:lpwstr/>
  </property>
  <property fmtid="{D5CDD505-2E9C-101B-9397-08002B2CF9AE}" pid="7" name="DocumentType">
    <vt:lpwstr>105;#Statement / Notice / Notification|0e382581-6c98-4974-ba09-80c8b0a8cd2e</vt:lpwstr>
  </property>
  <property fmtid="{D5CDD505-2E9C-101B-9397-08002B2CF9AE}" pid="8" name="ConfidentialityLevel">
    <vt:lpwstr>9;#Regular|07f1e362-856b-423d-bea6-a14079762141</vt:lpwstr>
  </property>
  <property fmtid="{D5CDD505-2E9C-101B-9397-08002B2CF9AE}" pid="9" name="_dlc_DocIdItemGuid">
    <vt:lpwstr>6b8c1bf0-e800-43b6-94a1-d090cdc4adb7</vt:lpwstr>
  </property>
  <property fmtid="{D5CDD505-2E9C-101B-9397-08002B2CF9AE}" pid="10" name="f73b170dc53b40b9aa315b795e235780">
    <vt:lpwstr>Post-Trading|edaa1ce6-4b9b-4aac-a462-2b226ce43f53</vt:lpwstr>
  </property>
  <property fmtid="{D5CDD505-2E9C-101B-9397-08002B2CF9AE}" pid="11" name="ebe96076533d4a3ebf64abfb595c8cab">
    <vt:lpwstr>TRs|fa921b24-005b-470e-8d84-860d1c02e2c4</vt:lpwstr>
  </property>
  <property fmtid="{D5CDD505-2E9C-101B-9397-08002B2CF9AE}" pid="12" name="k2a4e0e239ca426ba867042d07636a92">
    <vt:lpwstr>Consultation Paper|c6238baf-c3d7-4bb8-8cf2-f28a89601f52</vt:lpwstr>
  </property>
  <property fmtid="{D5CDD505-2E9C-101B-9397-08002B2CF9AE}" pid="13" name="l41428f617fd44458265420e00c85298">
    <vt:lpwstr>Restricted|187aa7e6-627f-4951-b138-6ff841dc883d</vt:lpwstr>
  </property>
  <property fmtid="{D5CDD505-2E9C-101B-9397-08002B2CF9AE}" pid="14" name="TaxCatchAll">
    <vt:lpwstr>4;#Post-Trading|edaa1ce6-4b9b-4aac-a462-2b226ce43f53;#24;#TRs|fa921b24-005b-470e-8d84-860d1c02e2c4;#2;#Restricted|187aa7e6-627f-4951-b138-6ff841dc883d;#91;#Consultation Paper|c6238baf-c3d7-4bb8-8cf2-f28a89601f52</vt:lpwstr>
  </property>
  <property fmtid="{D5CDD505-2E9C-101B-9397-08002B2CF9AE}" pid="15" name="ec60598a2cb14c5fbb15899e6f9fdcae">
    <vt:lpwstr/>
  </property>
  <property fmtid="{D5CDD505-2E9C-101B-9397-08002B2CF9AE}" pid="16" name="TeamTopic">
    <vt:lpwstr>85;#MMF|2682d9f9-17ef-452e-b9a4-b56d32a15999</vt:lpwstr>
  </property>
  <property fmtid="{D5CDD505-2E9C-101B-9397-08002B2CF9AE}" pid="17" name="Project">
    <vt:lpwstr>103;#PRIIPs|a491fde9-7cc6-4ddd-9670-fcf5e94cd88f</vt:lpwstr>
  </property>
</Properties>
</file>