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9423562"/>
    <w:p w14:paraId="1ED236A3" w14:textId="71D99639" w:rsidR="00B153DC" w:rsidRPr="00A84A8D" w:rsidRDefault="00B153DC" w:rsidP="00B153DC">
      <w:pPr>
        <w:jc w:val="right"/>
        <w:rPr>
          <w:rFonts w:cstheme="minorHAnsi"/>
          <w:lang w:eastAsia="en-GB"/>
        </w:rPr>
      </w:pPr>
      <w:r w:rsidRPr="00A84A8D">
        <w:rPr>
          <w:rFonts w:cstheme="minorHAnsi"/>
          <w:noProof/>
          <w:lang w:eastAsia="en-GB"/>
        </w:rPr>
        <mc:AlternateContent>
          <mc:Choice Requires="wps">
            <w:drawing>
              <wp:anchor distT="0" distB="0" distL="114300" distR="114300" simplePos="0" relativeHeight="251658240" behindDoc="0" locked="0" layoutInCell="1" allowOverlap="1" wp14:anchorId="70DE6B91" wp14:editId="1FD19263">
                <wp:simplePos x="0" y="0"/>
                <wp:positionH relativeFrom="margin">
                  <wp:posOffset>0</wp:posOffset>
                </wp:positionH>
                <wp:positionV relativeFrom="paragraph">
                  <wp:posOffset>-635</wp:posOffset>
                </wp:positionV>
                <wp:extent cx="953770" cy="503555"/>
                <wp:effectExtent l="0" t="0" r="1778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503555"/>
                        </a:xfrm>
                        <a:prstGeom prst="rect">
                          <a:avLst/>
                        </a:prstGeom>
                        <a:noFill/>
                        <a:ln w="19050">
                          <a:solidFill>
                            <a:schemeClr val="tx1"/>
                          </a:solidFill>
                          <a:miter lim="800000"/>
                          <a:headEnd/>
                          <a:tailEnd/>
                        </a:ln>
                      </wps:spPr>
                      <wps:txbx>
                        <w:txbxContent>
                          <w:p w14:paraId="7D46A67B" w14:textId="0587C4E3" w:rsidR="00B153DC" w:rsidRPr="002D2301" w:rsidRDefault="00901A4B" w:rsidP="002D2301">
                            <w:pPr>
                              <w:spacing w:after="120"/>
                              <w:jc w:val="center"/>
                              <w:rPr>
                                <w:b/>
                              </w:rPr>
                            </w:pPr>
                            <w:r>
                              <w:rPr>
                                <w:rStyle w:val="Bold"/>
                              </w:rPr>
                              <w:t>15.0</w:t>
                            </w:r>
                          </w:p>
                        </w:txbxContent>
                      </wps:txbx>
                      <wps:bodyPr rot="0" vert="horz" wrap="square" lIns="91440" tIns="46800" rIns="91440" bIns="45720" anchor="ctr" anchorCtr="0" upright="1">
                        <a:noAutofit/>
                      </wps:bodyPr>
                    </wps:wsp>
                  </a:graphicData>
                </a:graphic>
              </wp:anchor>
            </w:drawing>
          </mc:Choice>
          <mc:Fallback>
            <w:pict>
              <v:shapetype w14:anchorId="70DE6B91" id="_x0000_t202" coordsize="21600,21600" o:spt="202" path="m,l,21600r21600,l21600,xe">
                <v:stroke joinstyle="miter"/>
                <v:path gradientshapeok="t" o:connecttype="rect"/>
              </v:shapetype>
              <v:shape id="Text Box 3" o:spid="_x0000_s1026" type="#_x0000_t202" style="position:absolute;left:0;text-align:left;margin-left:0;margin-top:-.05pt;width:75.1pt;height:39.6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" filled="f" strokecolor="black [3213]" strokeweight="1.5pt">
                <v:textbox inset=",1.3mm">
                  <w:txbxContent>
                    <w:p w14:paraId="7D46A67B" w14:textId="0587C4E3" w:rsidR="00B153DC" w:rsidRPr="002D2301" w:rsidRDefault="00901A4B" w:rsidP="002D2301">
                      <w:pPr>
                        <w:spacing w:after="120"/>
                        <w:jc w:val="center"/>
                        <w:rPr>
                          <w:b/>
                        </w:rPr>
                      </w:pPr>
                      <w:r>
                        <w:rPr>
                          <w:rStyle w:val="Bold"/>
                        </w:rPr>
                        <w:t>15.0</w:t>
                      </w:r>
                    </w:p>
                  </w:txbxContent>
                </v:textbox>
                <w10:wrap anchorx="margin"/>
              </v:shape>
            </w:pict>
          </mc:Fallback>
        </mc:AlternateContent>
      </w:r>
      <w:r w:rsidRPr="00A84A8D">
        <w:rPr>
          <w:rFonts w:cstheme="minorHAnsi"/>
          <w:lang w:eastAsia="en-GB"/>
        </w:rPr>
        <w:t>EIOPA-BoS-2</w:t>
      </w:r>
      <w:r w:rsidR="002432A3" w:rsidRPr="00A84A8D">
        <w:rPr>
          <w:rFonts w:cstheme="minorHAnsi"/>
          <w:lang w:eastAsia="en-GB"/>
        </w:rPr>
        <w:t>3</w:t>
      </w:r>
      <w:r w:rsidRPr="00A84A8D">
        <w:rPr>
          <w:rFonts w:cstheme="minorHAnsi"/>
          <w:lang w:eastAsia="en-GB"/>
        </w:rPr>
        <w:t>/</w:t>
      </w:r>
      <w:r w:rsidR="00901A4B" w:rsidRPr="00A84A8D">
        <w:rPr>
          <w:rFonts w:cstheme="minorHAnsi"/>
          <w:lang w:eastAsia="en-GB"/>
        </w:rPr>
        <w:t>006</w:t>
      </w:r>
    </w:p>
    <w:p w14:paraId="7CD6BF55" w14:textId="0BCB08FA" w:rsidR="00901A4B" w:rsidRPr="00A84A8D" w:rsidRDefault="003C1E0E" w:rsidP="00B153DC">
      <w:pPr>
        <w:jc w:val="right"/>
        <w:rPr>
          <w:rFonts w:cstheme="minorHAnsi"/>
          <w:lang w:eastAsia="en-GB"/>
        </w:rPr>
      </w:pPr>
      <w:r>
        <w:rPr>
          <w:rFonts w:cstheme="minorHAnsi"/>
          <w:lang w:eastAsia="en-GB"/>
        </w:rPr>
        <w:t>10</w:t>
      </w:r>
      <w:r w:rsidR="00901A4B" w:rsidRPr="00A84A8D">
        <w:rPr>
          <w:rFonts w:cstheme="minorHAnsi"/>
          <w:lang w:eastAsia="en-GB"/>
        </w:rPr>
        <w:t>/0</w:t>
      </w:r>
      <w:r w:rsidR="00557AC8">
        <w:rPr>
          <w:rFonts w:cstheme="minorHAnsi"/>
          <w:lang w:eastAsia="en-GB"/>
        </w:rPr>
        <w:t>2</w:t>
      </w:r>
      <w:r w:rsidR="00901A4B" w:rsidRPr="00A84A8D">
        <w:rPr>
          <w:rFonts w:cstheme="minorHAnsi"/>
          <w:lang w:eastAsia="en-GB"/>
        </w:rPr>
        <w:t>/2023</w:t>
      </w:r>
    </w:p>
    <w:p w14:paraId="0888E080" w14:textId="77777777" w:rsidR="00B153DC" w:rsidRPr="00A84A8D" w:rsidRDefault="00B153DC" w:rsidP="00B957F4">
      <w:pPr>
        <w:pStyle w:val="Heading1"/>
        <w:numPr>
          <w:ilvl w:val="0"/>
          <w:numId w:val="0"/>
        </w:numPr>
        <w:ind w:left="10"/>
      </w:pPr>
    </w:p>
    <w:p w14:paraId="409540D7" w14:textId="77777777" w:rsidR="00B153DC" w:rsidRPr="00A84A8D" w:rsidRDefault="00B153DC" w:rsidP="00B957F4">
      <w:pPr>
        <w:pStyle w:val="Heading1"/>
        <w:numPr>
          <w:ilvl w:val="0"/>
          <w:numId w:val="0"/>
        </w:numPr>
        <w:ind w:left="10"/>
      </w:pPr>
    </w:p>
    <w:p w14:paraId="10E677D9" w14:textId="2D82BB99" w:rsidR="00B957F4" w:rsidRPr="00A84A8D" w:rsidRDefault="00B957F4" w:rsidP="00B957F4">
      <w:pPr>
        <w:pStyle w:val="Heading1"/>
        <w:numPr>
          <w:ilvl w:val="0"/>
          <w:numId w:val="0"/>
        </w:numPr>
        <w:ind w:left="10"/>
      </w:pPr>
      <w:r w:rsidRPr="00A84A8D">
        <w:t xml:space="preserve">Annex II: </w:t>
      </w:r>
      <w:r w:rsidR="0027306F">
        <w:t>Instructions</w:t>
      </w:r>
      <w:r w:rsidR="0027306F" w:rsidRPr="00A84A8D">
        <w:t xml:space="preserve"> </w:t>
      </w:r>
      <w:r w:rsidRPr="00A84A8D">
        <w:t>to reporting templates</w:t>
      </w:r>
      <w:bookmarkEnd w:id="0"/>
      <w:r w:rsidRPr="00A84A8D">
        <w:t xml:space="preserve"> </w:t>
      </w:r>
    </w:p>
    <w:p w14:paraId="7490672B" w14:textId="3C8D5B5F" w:rsidR="00B957F4" w:rsidRPr="00A84A8D" w:rsidRDefault="00B957F4" w:rsidP="00B957F4">
      <w:pPr>
        <w:pStyle w:val="Heading4"/>
        <w:rPr>
          <w:b w:val="0"/>
        </w:rPr>
      </w:pPr>
      <w:bookmarkStart w:id="1" w:name="_Toc485027999"/>
      <w:bookmarkStart w:id="2" w:name="_Toc158388494"/>
      <w:bookmarkStart w:id="3" w:name="_Toc383684356"/>
      <w:r w:rsidRPr="00A84A8D">
        <w:rPr>
          <w:b w:val="0"/>
        </w:rPr>
        <w:t>This Annex contains instructions in relation to the templates included in Annex I of this Decision. The first column of the tables identifies the items to be reported by identifying the columns and rows as showed in the template in Annex I.</w:t>
      </w:r>
    </w:p>
    <w:p w14:paraId="62D2C452" w14:textId="77777777" w:rsidR="00B957F4" w:rsidRPr="00A84A8D" w:rsidRDefault="00B957F4" w:rsidP="00B957F4">
      <w:pPr>
        <w:pStyle w:val="Heading4"/>
        <w:rPr>
          <w:b w:val="0"/>
        </w:rPr>
      </w:pPr>
      <w:r w:rsidRPr="00A84A8D">
        <w:rPr>
          <w:b w:val="0"/>
        </w:rPr>
        <w:t>All reporting items shall be reported, except when otherwise stated in these instructions.</w:t>
      </w:r>
    </w:p>
    <w:p w14:paraId="4AC2669D" w14:textId="6D090D40" w:rsidR="00B957F4" w:rsidRPr="00A84A8D" w:rsidRDefault="00B957F4" w:rsidP="00B957F4">
      <w:pPr>
        <w:pStyle w:val="Heading4"/>
      </w:pPr>
      <w:r w:rsidRPr="00A84A8D">
        <w:t>Content of the reporting (PF.01.01.24, PF.01.01.25, PF.01.01.26, PF.01.01.27, PF.01.01.28 and PF 01.01.29)</w:t>
      </w:r>
    </w:p>
    <w:p w14:paraId="1EE7734C" w14:textId="77777777" w:rsidR="00B957F4" w:rsidRPr="00A84A8D" w:rsidRDefault="00B957F4" w:rsidP="00B957F4">
      <w:pPr>
        <w:pStyle w:val="Heading4"/>
        <w:rPr>
          <w:b w:val="0"/>
        </w:rPr>
      </w:pPr>
      <w:r w:rsidRPr="00A84A8D">
        <w:rPr>
          <w:b w:val="0"/>
        </w:rPr>
        <w:t>This section relates to quarterly and annual submission of both individual and aggregated information.</w:t>
      </w:r>
    </w:p>
    <w:p w14:paraId="303EF16B" w14:textId="6F98C25C" w:rsidR="00B957F4" w:rsidRPr="00A84A8D" w:rsidRDefault="00B957F4" w:rsidP="00B957F4">
      <w:pPr>
        <w:pStyle w:val="Heading4"/>
        <w:rPr>
          <w:b w:val="0"/>
        </w:rPr>
      </w:pPr>
      <w:r w:rsidRPr="00A84A8D">
        <w:rPr>
          <w:b w:val="0"/>
        </w:rPr>
        <w:t>This template sets out the content of the submitted reporting package.</w:t>
      </w:r>
    </w:p>
    <w:p w14:paraId="79C0624B" w14:textId="3CD1FB53" w:rsidR="00B957F4" w:rsidRPr="00A84A8D" w:rsidRDefault="00B957F4" w:rsidP="00B957F4">
      <w:pPr>
        <w:pStyle w:val="Heading4"/>
        <w:rPr>
          <w:b w:val="0"/>
        </w:rPr>
      </w:pPr>
      <w:r w:rsidRPr="00A84A8D">
        <w:rPr>
          <w:b w:val="0"/>
        </w:rPr>
        <w:t>If a special justification is needed, such information should not be submitted as part of the reporting template itself. Instead, the justification should be discussed with the National Competent Authorities</w:t>
      </w:r>
      <w:r w:rsidR="00796D2F" w:rsidRPr="00A84A8D">
        <w:rPr>
          <w:b w:val="0"/>
        </w:rPr>
        <w:t>.</w:t>
      </w:r>
    </w:p>
    <w:p w14:paraId="6487E1F0" w14:textId="77777777" w:rsidR="00B957F4" w:rsidRPr="00A84A8D" w:rsidRDefault="00B957F4" w:rsidP="00B957F4">
      <w:pPr>
        <w:pStyle w:val="Heading4"/>
        <w:rPr>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6E0C9072" w14:textId="77777777" w:rsidTr="00796D2F">
        <w:tc>
          <w:tcPr>
            <w:tcW w:w="2093" w:type="dxa"/>
            <w:vAlign w:val="center"/>
          </w:tcPr>
          <w:p w14:paraId="4BF3966B" w14:textId="77777777" w:rsidR="00B957F4" w:rsidRPr="00A84A8D" w:rsidRDefault="00B957F4" w:rsidP="00796D2F">
            <w:pPr>
              <w:rPr>
                <w:rFonts w:ascii="Verdana" w:hAnsi="Verdana"/>
                <w:lang w:val="en-US"/>
              </w:rPr>
            </w:pPr>
          </w:p>
        </w:tc>
        <w:tc>
          <w:tcPr>
            <w:tcW w:w="2268" w:type="dxa"/>
            <w:vAlign w:val="center"/>
          </w:tcPr>
          <w:p w14:paraId="5ADE65BB" w14:textId="77777777" w:rsidR="00B957F4" w:rsidRPr="00A84A8D" w:rsidRDefault="00B957F4" w:rsidP="00796D2F">
            <w:pPr>
              <w:rPr>
                <w:rFonts w:ascii="Verdana" w:hAnsi="Verdana"/>
                <w:lang w:eastAsia="de-DE"/>
              </w:rPr>
            </w:pPr>
            <w:r w:rsidRPr="00A84A8D">
              <w:rPr>
                <w:rFonts w:ascii="Verdana" w:hAnsi="Verdana"/>
                <w:lang w:eastAsia="de-DE"/>
              </w:rPr>
              <w:t>ITEM</w:t>
            </w:r>
          </w:p>
        </w:tc>
        <w:tc>
          <w:tcPr>
            <w:tcW w:w="5386" w:type="dxa"/>
            <w:vAlign w:val="center"/>
          </w:tcPr>
          <w:p w14:paraId="20F18F20" w14:textId="77777777" w:rsidR="00B957F4" w:rsidRPr="00A84A8D" w:rsidRDefault="00B957F4" w:rsidP="00796D2F">
            <w:pPr>
              <w:rPr>
                <w:rFonts w:ascii="Verdana" w:hAnsi="Verdana"/>
                <w:lang w:eastAsia="de-DE"/>
              </w:rPr>
            </w:pPr>
            <w:r w:rsidRPr="00A84A8D">
              <w:rPr>
                <w:rFonts w:ascii="Verdana" w:hAnsi="Verdana"/>
                <w:lang w:eastAsia="de-DE"/>
              </w:rPr>
              <w:t>INSTRUCTIONS</w:t>
            </w:r>
          </w:p>
        </w:tc>
      </w:tr>
      <w:tr w:rsidR="00B957F4" w:rsidRPr="00A84A8D" w14:paraId="05B34248" w14:textId="77777777" w:rsidTr="00796D2F">
        <w:trPr>
          <w:trHeight w:val="660"/>
        </w:trPr>
        <w:tc>
          <w:tcPr>
            <w:tcW w:w="2093" w:type="dxa"/>
            <w:vAlign w:val="center"/>
            <w:hideMark/>
          </w:tcPr>
          <w:p w14:paraId="730E4CBD" w14:textId="77777777" w:rsidR="00B957F4" w:rsidRPr="00A84A8D" w:rsidRDefault="00B957F4" w:rsidP="00796D2F">
            <w:pPr>
              <w:rPr>
                <w:rFonts w:ascii="Verdana" w:hAnsi="Verdana"/>
              </w:rPr>
            </w:pPr>
            <w:r w:rsidRPr="00A84A8D">
              <w:rPr>
                <w:rFonts w:ascii="Verdana" w:hAnsi="Verdana"/>
              </w:rPr>
              <w:t>C0010/R0010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A2DB16" w14:textId="0F4E36E8" w:rsidR="00B957F4" w:rsidRPr="00A84A8D" w:rsidRDefault="00B957F4" w:rsidP="00796D2F">
            <w:pPr>
              <w:rPr>
                <w:rFonts w:ascii="Verdana" w:hAnsi="Verdana"/>
                <w:lang w:val="en-US" w:eastAsia="de-DE"/>
              </w:rPr>
            </w:pPr>
            <w:r w:rsidRPr="00A84A8D">
              <w:rPr>
                <w:rFonts w:ascii="Verdana" w:hAnsi="Verdana"/>
                <w:lang w:eastAsia="de-DE"/>
              </w:rPr>
              <w:t>PF.01.02 - Basic Information – General</w:t>
            </w:r>
          </w:p>
        </w:tc>
        <w:tc>
          <w:tcPr>
            <w:tcW w:w="5386" w:type="dxa"/>
            <w:vAlign w:val="center"/>
          </w:tcPr>
          <w:p w14:paraId="30BB882D" w14:textId="77777777" w:rsidR="00B957F4" w:rsidRPr="00A84A8D" w:rsidRDefault="00B957F4" w:rsidP="00796D2F">
            <w:pPr>
              <w:rPr>
                <w:rFonts w:ascii="Verdana" w:hAnsi="Verdana"/>
              </w:rPr>
            </w:pPr>
            <w:r w:rsidRPr="00A84A8D">
              <w:rPr>
                <w:rFonts w:ascii="Verdana" w:hAnsi="Verdana"/>
              </w:rPr>
              <w:t>This template shall always be reported. The only option possible is:</w:t>
            </w:r>
          </w:p>
          <w:p w14:paraId="2563EE22" w14:textId="77777777" w:rsidR="00B957F4" w:rsidRPr="00A84A8D" w:rsidRDefault="00B957F4" w:rsidP="00796D2F">
            <w:pPr>
              <w:rPr>
                <w:rFonts w:ascii="Verdana" w:hAnsi="Verdana"/>
                <w:lang w:eastAsia="de-DE"/>
              </w:rPr>
            </w:pPr>
            <w:r w:rsidRPr="00A84A8D">
              <w:rPr>
                <w:rFonts w:ascii="Verdana" w:hAnsi="Verdana"/>
                <w:lang w:eastAsia="de-DE"/>
              </w:rPr>
              <w:t xml:space="preserve">1 – Reported </w:t>
            </w:r>
          </w:p>
        </w:tc>
      </w:tr>
      <w:tr w:rsidR="00B957F4" w:rsidRPr="00A84A8D" w14:paraId="13C4208C" w14:textId="77777777" w:rsidTr="00796D2F">
        <w:trPr>
          <w:trHeight w:val="360"/>
        </w:trPr>
        <w:tc>
          <w:tcPr>
            <w:tcW w:w="2093" w:type="dxa"/>
            <w:vAlign w:val="center"/>
            <w:hideMark/>
          </w:tcPr>
          <w:p w14:paraId="490272E9" w14:textId="77777777" w:rsidR="00B957F4" w:rsidRPr="00A84A8D" w:rsidRDefault="00B957F4" w:rsidP="00796D2F">
            <w:pPr>
              <w:rPr>
                <w:rFonts w:ascii="Verdana" w:hAnsi="Verdana"/>
              </w:rPr>
            </w:pPr>
            <w:r w:rsidRPr="00A84A8D">
              <w:rPr>
                <w:rFonts w:ascii="Verdana" w:hAnsi="Verdana"/>
              </w:rPr>
              <w:t>C0010/R0020</w:t>
            </w:r>
          </w:p>
        </w:tc>
        <w:tc>
          <w:tcPr>
            <w:tcW w:w="2268" w:type="dxa"/>
            <w:tcBorders>
              <w:top w:val="nil"/>
              <w:left w:val="single" w:sz="4" w:space="0" w:color="auto"/>
              <w:bottom w:val="single" w:sz="4" w:space="0" w:color="auto"/>
              <w:right w:val="single" w:sz="4" w:space="0" w:color="auto"/>
            </w:tcBorders>
            <w:shd w:val="clear" w:color="auto" w:fill="auto"/>
            <w:vAlign w:val="center"/>
          </w:tcPr>
          <w:p w14:paraId="7DFF3BAB" w14:textId="77777777" w:rsidR="00B957F4" w:rsidRPr="00A84A8D" w:rsidRDefault="00B957F4" w:rsidP="00796D2F">
            <w:pPr>
              <w:rPr>
                <w:rFonts w:ascii="Verdana" w:hAnsi="Verdana"/>
                <w:lang w:eastAsia="de-DE"/>
              </w:rPr>
            </w:pPr>
            <w:r w:rsidRPr="00A84A8D">
              <w:rPr>
                <w:rFonts w:ascii="Verdana" w:hAnsi="Verdana"/>
                <w:lang w:eastAsia="de-DE"/>
              </w:rPr>
              <w:t>PF.02.01 - Balance sheet</w:t>
            </w:r>
          </w:p>
        </w:tc>
        <w:tc>
          <w:tcPr>
            <w:tcW w:w="5386" w:type="dxa"/>
            <w:vAlign w:val="center"/>
          </w:tcPr>
          <w:p w14:paraId="43A105F5" w14:textId="77777777" w:rsidR="00B957F4" w:rsidRPr="00A84A8D" w:rsidRDefault="00B957F4" w:rsidP="00796D2F">
            <w:pPr>
              <w:rPr>
                <w:rStyle w:val="Bold"/>
                <w:rFonts w:ascii="Verdana" w:hAnsi="Verdana"/>
              </w:rPr>
            </w:pPr>
            <w:r w:rsidRPr="00A84A8D">
              <w:rPr>
                <w:rStyle w:val="Bold"/>
                <w:rFonts w:ascii="Verdana" w:hAnsi="Verdana"/>
              </w:rPr>
              <w:t>Templates: PF.01.01.24; PF.01.01.25:</w:t>
            </w:r>
          </w:p>
          <w:p w14:paraId="136E6525"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0D2AE774"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41FE0AA8"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49EBADBE"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71751C46" w14:textId="77777777" w:rsidR="00B957F4" w:rsidRPr="00A84A8D" w:rsidRDefault="00B957F4" w:rsidP="00796D2F">
            <w:pPr>
              <w:rPr>
                <w:rFonts w:ascii="Verdana" w:hAnsi="Verdana"/>
                <w:lang w:eastAsia="de-DE"/>
              </w:rPr>
            </w:pPr>
          </w:p>
          <w:p w14:paraId="34CAA9DC" w14:textId="77777777" w:rsidR="00B957F4" w:rsidRPr="00A84A8D" w:rsidRDefault="00B957F4" w:rsidP="00796D2F">
            <w:pPr>
              <w:rPr>
                <w:rStyle w:val="Bold"/>
                <w:rFonts w:ascii="Verdana" w:hAnsi="Verdana"/>
                <w:lang w:val="fr-BE"/>
              </w:rPr>
            </w:pPr>
            <w:r w:rsidRPr="00A84A8D">
              <w:rPr>
                <w:rStyle w:val="Bold"/>
                <w:rFonts w:ascii="Verdana" w:hAnsi="Verdana"/>
                <w:lang w:val="fr-BE"/>
              </w:rPr>
              <w:t>Templates: PF.01.01.26; PF.01.01.27; PF.01.01.28; PF.01.01.29:</w:t>
            </w:r>
          </w:p>
          <w:p w14:paraId="5DE31D49" w14:textId="77777777" w:rsidR="00B957F4" w:rsidRPr="00A84A8D" w:rsidRDefault="00B957F4" w:rsidP="00796D2F">
            <w:pPr>
              <w:rPr>
                <w:rFonts w:ascii="Verdana" w:hAnsi="Verdana"/>
                <w:lang w:eastAsia="de-DE"/>
              </w:rPr>
            </w:pPr>
            <w:r w:rsidRPr="00A84A8D">
              <w:rPr>
                <w:rFonts w:ascii="Verdana" w:hAnsi="Verdana"/>
                <w:lang w:eastAsia="de-DE"/>
              </w:rPr>
              <w:lastRenderedPageBreak/>
              <w:t>Please select one option from the following closed list.</w:t>
            </w:r>
          </w:p>
          <w:p w14:paraId="6CE7547B" w14:textId="77777777" w:rsidR="00B957F4" w:rsidRPr="00A84A8D" w:rsidRDefault="00B957F4" w:rsidP="00796D2F">
            <w:pPr>
              <w:rPr>
                <w:rFonts w:ascii="Verdana" w:hAnsi="Verdana"/>
                <w:lang w:val="en-US" w:eastAsia="de-DE"/>
              </w:rPr>
            </w:pPr>
            <w:r w:rsidRPr="00A84A8D">
              <w:rPr>
                <w:rFonts w:ascii="Verdana" w:hAnsi="Verdana"/>
                <w:lang w:val="en-US" w:eastAsia="de-DE"/>
              </w:rPr>
              <w:t>1 - Reported</w:t>
            </w:r>
          </w:p>
          <w:p w14:paraId="01A0E028" w14:textId="77777777" w:rsidR="00B957F4" w:rsidRPr="00A84A8D" w:rsidRDefault="00B957F4" w:rsidP="00796D2F">
            <w:pPr>
              <w:rPr>
                <w:rFonts w:ascii="Verdana" w:hAnsi="Verdana"/>
                <w:lang w:val="en-US" w:eastAsia="de-DE"/>
              </w:rPr>
            </w:pPr>
            <w:r w:rsidRPr="00A84A8D">
              <w:rPr>
                <w:rFonts w:ascii="Verdana" w:hAnsi="Verdana"/>
                <w:lang w:val="en-US" w:eastAsia="de-DE"/>
              </w:rPr>
              <w:t>0 - Not reported (in this case special justification is needed)</w:t>
            </w:r>
          </w:p>
        </w:tc>
      </w:tr>
      <w:tr w:rsidR="00B957F4" w:rsidRPr="00A84A8D" w14:paraId="2EF6B0B0" w14:textId="77777777" w:rsidTr="00796D2F">
        <w:trPr>
          <w:trHeight w:val="402"/>
        </w:trPr>
        <w:tc>
          <w:tcPr>
            <w:tcW w:w="2093" w:type="dxa"/>
            <w:vAlign w:val="center"/>
            <w:hideMark/>
          </w:tcPr>
          <w:p w14:paraId="66214F4F" w14:textId="77777777" w:rsidR="00B957F4" w:rsidRPr="00A84A8D" w:rsidRDefault="00B957F4" w:rsidP="00796D2F">
            <w:pPr>
              <w:rPr>
                <w:rFonts w:ascii="Verdana" w:hAnsi="Verdana"/>
              </w:rPr>
            </w:pPr>
            <w:r w:rsidRPr="00A84A8D">
              <w:rPr>
                <w:rFonts w:ascii="Verdana" w:hAnsi="Verdana"/>
              </w:rPr>
              <w:lastRenderedPageBreak/>
              <w:t>C0010/R0030</w:t>
            </w:r>
          </w:p>
        </w:tc>
        <w:tc>
          <w:tcPr>
            <w:tcW w:w="2268" w:type="dxa"/>
            <w:tcBorders>
              <w:top w:val="nil"/>
              <w:left w:val="single" w:sz="4" w:space="0" w:color="auto"/>
              <w:bottom w:val="single" w:sz="4" w:space="0" w:color="auto"/>
              <w:right w:val="single" w:sz="4" w:space="0" w:color="auto"/>
            </w:tcBorders>
            <w:shd w:val="clear" w:color="auto" w:fill="auto"/>
            <w:vAlign w:val="center"/>
          </w:tcPr>
          <w:p w14:paraId="26EC74BC" w14:textId="77777777" w:rsidR="00B957F4" w:rsidRPr="00A84A8D" w:rsidRDefault="00B957F4" w:rsidP="00796D2F">
            <w:pPr>
              <w:rPr>
                <w:rFonts w:ascii="Verdana" w:hAnsi="Verdana"/>
                <w:lang w:eastAsia="de-DE"/>
              </w:rPr>
            </w:pPr>
            <w:r w:rsidRPr="00A84A8D">
              <w:rPr>
                <w:rFonts w:ascii="Verdana" w:hAnsi="Verdana"/>
                <w:lang w:eastAsia="de-DE"/>
              </w:rPr>
              <w:t>PF.04.03 - Cross-border</w:t>
            </w:r>
          </w:p>
        </w:tc>
        <w:tc>
          <w:tcPr>
            <w:tcW w:w="5386" w:type="dxa"/>
            <w:vAlign w:val="center"/>
          </w:tcPr>
          <w:p w14:paraId="58472929" w14:textId="77777777" w:rsidR="00B957F4" w:rsidRPr="00A84A8D" w:rsidRDefault="00B957F4" w:rsidP="00796D2F">
            <w:pPr>
              <w:rPr>
                <w:rStyle w:val="Bold"/>
                <w:rFonts w:ascii="Verdana" w:hAnsi="Verdana"/>
              </w:rPr>
            </w:pPr>
            <w:r w:rsidRPr="00A84A8D">
              <w:rPr>
                <w:rStyle w:val="Bold"/>
                <w:rFonts w:ascii="Verdana" w:hAnsi="Verdana"/>
              </w:rPr>
              <w:t xml:space="preserve">Templates: PF.01.01.24: </w:t>
            </w:r>
          </w:p>
          <w:p w14:paraId="3D02F412"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355A18C7"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5C7553A5"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1C16DA7A" w14:textId="77777777" w:rsidR="00B957F4" w:rsidRPr="00A84A8D" w:rsidRDefault="00B957F4" w:rsidP="00796D2F">
            <w:pPr>
              <w:rPr>
                <w:rFonts w:ascii="Verdana" w:hAnsi="Verdana"/>
                <w:lang w:eastAsia="de-DE"/>
              </w:rPr>
            </w:pPr>
            <w:r w:rsidRPr="00A84A8D">
              <w:rPr>
                <w:rFonts w:ascii="Verdana" w:hAnsi="Verdana"/>
                <w:lang w:eastAsia="de-DE"/>
              </w:rPr>
              <w:t>26 - Not reported, as no cross-border business</w:t>
            </w:r>
          </w:p>
          <w:p w14:paraId="33C845A0"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2523D3A8" w14:textId="77777777" w:rsidR="00B957F4" w:rsidRPr="00A84A8D" w:rsidRDefault="00B957F4" w:rsidP="00796D2F">
            <w:pPr>
              <w:rPr>
                <w:rFonts w:ascii="Verdana" w:hAnsi="Verdana"/>
                <w:lang w:eastAsia="de-DE"/>
              </w:rPr>
            </w:pPr>
          </w:p>
          <w:p w14:paraId="6A7BA746" w14:textId="77777777" w:rsidR="00B957F4" w:rsidRPr="00A84A8D" w:rsidRDefault="00B957F4" w:rsidP="00796D2F">
            <w:pPr>
              <w:rPr>
                <w:rStyle w:val="Bold"/>
                <w:rFonts w:ascii="Verdana" w:hAnsi="Verdana"/>
              </w:rPr>
            </w:pPr>
            <w:r w:rsidRPr="00A84A8D">
              <w:rPr>
                <w:rStyle w:val="Bold"/>
                <w:rFonts w:ascii="Verdana" w:hAnsi="Verdana"/>
              </w:rPr>
              <w:t>Templates: PF.01.01.26:</w:t>
            </w:r>
          </w:p>
          <w:p w14:paraId="24CD2111"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6C7A4D95" w14:textId="77777777" w:rsidR="00B957F4" w:rsidRPr="00A84A8D" w:rsidRDefault="00B957F4" w:rsidP="00796D2F">
            <w:pPr>
              <w:rPr>
                <w:rFonts w:ascii="Verdana" w:hAnsi="Verdana"/>
                <w:lang w:val="en-US" w:eastAsia="de-DE"/>
              </w:rPr>
            </w:pPr>
            <w:r w:rsidRPr="00A84A8D">
              <w:rPr>
                <w:rFonts w:ascii="Verdana" w:hAnsi="Verdana"/>
                <w:lang w:val="en-US" w:eastAsia="de-DE"/>
              </w:rPr>
              <w:t>1 - Reported</w:t>
            </w:r>
          </w:p>
          <w:p w14:paraId="2AFF471D" w14:textId="77777777" w:rsidR="00B957F4" w:rsidRPr="00A84A8D" w:rsidRDefault="00B957F4" w:rsidP="00796D2F">
            <w:pPr>
              <w:rPr>
                <w:rFonts w:ascii="Verdana" w:hAnsi="Verdana"/>
                <w:lang w:val="en-US" w:eastAsia="de-DE"/>
              </w:rPr>
            </w:pPr>
            <w:r w:rsidRPr="00A84A8D">
              <w:rPr>
                <w:rFonts w:ascii="Verdana" w:hAnsi="Verdana"/>
                <w:lang w:val="en-US" w:eastAsia="de-DE"/>
              </w:rPr>
              <w:t>26 - Not reported, as no cross-border business</w:t>
            </w:r>
          </w:p>
          <w:p w14:paraId="1E57F24A" w14:textId="77777777" w:rsidR="00B957F4" w:rsidRPr="00A84A8D" w:rsidRDefault="00B957F4" w:rsidP="00796D2F">
            <w:pPr>
              <w:rPr>
                <w:rFonts w:ascii="Verdana" w:hAnsi="Verdana"/>
                <w:lang w:val="en-US" w:eastAsia="de-DE"/>
              </w:rPr>
            </w:pPr>
            <w:r w:rsidRPr="00A84A8D">
              <w:rPr>
                <w:rFonts w:ascii="Verdana" w:hAnsi="Verdana"/>
                <w:lang w:val="en-US" w:eastAsia="de-DE"/>
              </w:rPr>
              <w:t>0 - Not reported (in this case special justification is needed)</w:t>
            </w:r>
          </w:p>
        </w:tc>
      </w:tr>
      <w:tr w:rsidR="00B957F4" w:rsidRPr="00A84A8D" w14:paraId="7D79300E" w14:textId="77777777" w:rsidTr="00796D2F">
        <w:trPr>
          <w:trHeight w:val="402"/>
        </w:trPr>
        <w:tc>
          <w:tcPr>
            <w:tcW w:w="2093" w:type="dxa"/>
            <w:vAlign w:val="center"/>
          </w:tcPr>
          <w:p w14:paraId="48E5256E" w14:textId="77777777" w:rsidR="00B957F4" w:rsidRPr="00A84A8D" w:rsidRDefault="00B957F4" w:rsidP="00796D2F">
            <w:pPr>
              <w:rPr>
                <w:rFonts w:ascii="Verdana" w:hAnsi="Verdana"/>
              </w:rPr>
            </w:pPr>
            <w:r w:rsidRPr="00A84A8D">
              <w:rPr>
                <w:rFonts w:ascii="Verdana" w:hAnsi="Verdana"/>
              </w:rPr>
              <w:t>C0010/R0040</w:t>
            </w:r>
          </w:p>
        </w:tc>
        <w:tc>
          <w:tcPr>
            <w:tcW w:w="2268" w:type="dxa"/>
            <w:tcBorders>
              <w:top w:val="nil"/>
              <w:left w:val="single" w:sz="4" w:space="0" w:color="auto"/>
              <w:bottom w:val="single" w:sz="4" w:space="0" w:color="auto"/>
              <w:right w:val="single" w:sz="4" w:space="0" w:color="auto"/>
            </w:tcBorders>
            <w:shd w:val="clear" w:color="auto" w:fill="auto"/>
            <w:vAlign w:val="center"/>
          </w:tcPr>
          <w:p w14:paraId="19D9D078" w14:textId="77777777" w:rsidR="00B957F4" w:rsidRPr="00A84A8D" w:rsidRDefault="00B957F4" w:rsidP="00796D2F">
            <w:pPr>
              <w:rPr>
                <w:rFonts w:ascii="Verdana" w:hAnsi="Verdana"/>
                <w:lang w:eastAsia="de-DE"/>
              </w:rPr>
            </w:pPr>
            <w:r w:rsidRPr="00A84A8D">
              <w:rPr>
                <w:rFonts w:ascii="Verdana" w:hAnsi="Verdana"/>
                <w:lang w:eastAsia="de-DE"/>
              </w:rPr>
              <w:t>PF.05.03 – Expenses</w:t>
            </w:r>
          </w:p>
        </w:tc>
        <w:tc>
          <w:tcPr>
            <w:tcW w:w="5386" w:type="dxa"/>
            <w:vAlign w:val="center"/>
          </w:tcPr>
          <w:p w14:paraId="541F4776" w14:textId="77777777" w:rsidR="00B957F4" w:rsidRPr="00A84A8D" w:rsidRDefault="00B957F4" w:rsidP="00796D2F">
            <w:pPr>
              <w:rPr>
                <w:rStyle w:val="Bold"/>
                <w:rFonts w:ascii="Verdana" w:hAnsi="Verdana"/>
              </w:rPr>
            </w:pPr>
            <w:r w:rsidRPr="00A84A8D">
              <w:rPr>
                <w:rStyle w:val="Bold"/>
                <w:rFonts w:ascii="Verdana" w:hAnsi="Verdana"/>
              </w:rPr>
              <w:t>Templates: PF.01.01.24:</w:t>
            </w:r>
          </w:p>
          <w:p w14:paraId="4F0558BA"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1B29AFC3"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29489DAA"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61D543B8"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4D93D631" w14:textId="77777777" w:rsidR="00B957F4" w:rsidRPr="00A84A8D" w:rsidRDefault="00B957F4" w:rsidP="00796D2F">
            <w:pPr>
              <w:rPr>
                <w:rFonts w:ascii="Verdana" w:hAnsi="Verdana"/>
                <w:lang w:eastAsia="de-DE"/>
              </w:rPr>
            </w:pPr>
          </w:p>
          <w:p w14:paraId="3B8CE24E" w14:textId="77777777" w:rsidR="00B957F4" w:rsidRPr="00A84A8D" w:rsidRDefault="00B957F4" w:rsidP="00796D2F">
            <w:pPr>
              <w:rPr>
                <w:rStyle w:val="Bold"/>
                <w:rFonts w:ascii="Verdana" w:hAnsi="Verdana"/>
              </w:rPr>
            </w:pPr>
            <w:r w:rsidRPr="00A84A8D">
              <w:rPr>
                <w:rStyle w:val="Bold"/>
                <w:rFonts w:ascii="Verdana" w:hAnsi="Verdana"/>
              </w:rPr>
              <w:lastRenderedPageBreak/>
              <w:t>Templates: PF.01.01.26:</w:t>
            </w:r>
          </w:p>
          <w:p w14:paraId="26D28F46"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76CF2819" w14:textId="77777777" w:rsidR="00B957F4" w:rsidRPr="00A84A8D" w:rsidRDefault="00B957F4" w:rsidP="00796D2F">
            <w:pPr>
              <w:rPr>
                <w:rFonts w:ascii="Verdana" w:hAnsi="Verdana"/>
                <w:lang w:val="en-US" w:eastAsia="de-DE"/>
              </w:rPr>
            </w:pPr>
            <w:r w:rsidRPr="00A84A8D">
              <w:rPr>
                <w:rFonts w:ascii="Verdana" w:hAnsi="Verdana"/>
                <w:lang w:val="en-US" w:eastAsia="de-DE"/>
              </w:rPr>
              <w:t>1 - Reported</w:t>
            </w:r>
          </w:p>
          <w:p w14:paraId="044245B7" w14:textId="77777777" w:rsidR="00B957F4" w:rsidRPr="00A84A8D" w:rsidRDefault="00B957F4" w:rsidP="00796D2F">
            <w:pPr>
              <w:rPr>
                <w:rFonts w:ascii="Verdana" w:hAnsi="Verdana"/>
                <w:lang w:eastAsia="de-DE"/>
              </w:rPr>
            </w:pPr>
            <w:r w:rsidRPr="00A84A8D">
              <w:rPr>
                <w:rFonts w:ascii="Verdana" w:hAnsi="Verdana"/>
                <w:lang w:val="en-US" w:eastAsia="de-DE"/>
              </w:rPr>
              <w:t>0 - Not reported (in this case special justification is needed)</w:t>
            </w:r>
          </w:p>
        </w:tc>
      </w:tr>
      <w:tr w:rsidR="00B957F4" w:rsidRPr="00A84A8D" w14:paraId="0D91545F" w14:textId="77777777" w:rsidTr="00796D2F">
        <w:trPr>
          <w:trHeight w:val="702"/>
        </w:trPr>
        <w:tc>
          <w:tcPr>
            <w:tcW w:w="2093" w:type="dxa"/>
            <w:vAlign w:val="center"/>
            <w:hideMark/>
          </w:tcPr>
          <w:p w14:paraId="2D357A3B" w14:textId="77777777" w:rsidR="00B957F4" w:rsidRPr="00A84A8D" w:rsidRDefault="00B957F4" w:rsidP="00796D2F">
            <w:pPr>
              <w:rPr>
                <w:rFonts w:ascii="Verdana" w:hAnsi="Verdana"/>
              </w:rPr>
            </w:pPr>
            <w:r w:rsidRPr="00A84A8D">
              <w:rPr>
                <w:rFonts w:ascii="Verdana" w:hAnsi="Verdana"/>
              </w:rPr>
              <w:lastRenderedPageBreak/>
              <w:t>C0010/R0050</w:t>
            </w:r>
          </w:p>
        </w:tc>
        <w:tc>
          <w:tcPr>
            <w:tcW w:w="2268" w:type="dxa"/>
            <w:tcBorders>
              <w:top w:val="nil"/>
              <w:left w:val="single" w:sz="4" w:space="0" w:color="auto"/>
              <w:bottom w:val="single" w:sz="4" w:space="0" w:color="auto"/>
              <w:right w:val="single" w:sz="4" w:space="0" w:color="auto"/>
            </w:tcBorders>
            <w:shd w:val="clear" w:color="auto" w:fill="auto"/>
            <w:vAlign w:val="center"/>
          </w:tcPr>
          <w:p w14:paraId="779EE7B2" w14:textId="77777777" w:rsidR="00B957F4" w:rsidRPr="00A84A8D" w:rsidRDefault="00B957F4" w:rsidP="00796D2F">
            <w:pPr>
              <w:rPr>
                <w:rFonts w:ascii="Verdana" w:hAnsi="Verdana"/>
                <w:lang w:eastAsia="de-DE"/>
              </w:rPr>
            </w:pPr>
            <w:r w:rsidRPr="00A84A8D">
              <w:rPr>
                <w:rFonts w:ascii="Verdana" w:hAnsi="Verdana"/>
                <w:lang w:eastAsia="de-DE"/>
              </w:rPr>
              <w:t>PF.06.02 - List of assets</w:t>
            </w:r>
          </w:p>
        </w:tc>
        <w:tc>
          <w:tcPr>
            <w:tcW w:w="5386" w:type="dxa"/>
            <w:vAlign w:val="center"/>
          </w:tcPr>
          <w:p w14:paraId="262B95B2" w14:textId="77777777" w:rsidR="00B957F4" w:rsidRPr="00A84A8D" w:rsidRDefault="00B957F4" w:rsidP="00796D2F">
            <w:pPr>
              <w:rPr>
                <w:rStyle w:val="Bold"/>
                <w:rFonts w:ascii="Verdana" w:hAnsi="Verdana"/>
              </w:rPr>
            </w:pPr>
            <w:r w:rsidRPr="00A84A8D">
              <w:rPr>
                <w:rStyle w:val="Bold"/>
                <w:rFonts w:ascii="Verdana" w:hAnsi="Verdana"/>
              </w:rPr>
              <w:t>Templates: PF.01.01.24:</w:t>
            </w:r>
          </w:p>
          <w:p w14:paraId="711A9538"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23DB7118"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348E60FD"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045B83C4" w14:textId="7FCE62C1" w:rsidR="00B957F4" w:rsidRPr="00A84A8D" w:rsidRDefault="00B957F4" w:rsidP="00796D2F">
            <w:pPr>
              <w:rPr>
                <w:rFonts w:ascii="Verdana" w:hAnsi="Verdana"/>
                <w:lang w:eastAsia="de-DE"/>
              </w:rPr>
            </w:pPr>
            <w:r w:rsidRPr="00897EF2">
              <w:rPr>
                <w:rFonts w:ascii="Verdana" w:hAnsi="Verdana"/>
                <w:lang w:eastAsia="de-DE"/>
              </w:rPr>
              <w:t>25 - Not reported, exempted by EIOPA Article 1.1</w:t>
            </w:r>
            <w:r w:rsidR="005045A8" w:rsidRPr="00897EF2">
              <w:rPr>
                <w:rFonts w:ascii="Verdana" w:hAnsi="Verdana"/>
                <w:lang w:eastAsia="de-DE"/>
              </w:rPr>
              <w:t>5</w:t>
            </w:r>
            <w:r w:rsidRPr="00897EF2">
              <w:rPr>
                <w:rFonts w:ascii="Verdana" w:hAnsi="Verdana"/>
                <w:lang w:eastAsia="de-DE"/>
              </w:rPr>
              <w:t xml:space="preserve"> of Decision EIOPA-BOS/</w:t>
            </w:r>
            <w:r w:rsidR="00557AC8">
              <w:rPr>
                <w:rFonts w:ascii="Verdana" w:hAnsi="Verdana"/>
                <w:lang w:eastAsia="de-DE"/>
              </w:rPr>
              <w:t>23/030</w:t>
            </w:r>
          </w:p>
          <w:p w14:paraId="45DA9EAA"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6F05BCE4" w14:textId="77777777" w:rsidR="00B957F4" w:rsidRPr="00A84A8D" w:rsidRDefault="00B957F4" w:rsidP="00796D2F">
            <w:pPr>
              <w:rPr>
                <w:rFonts w:ascii="Verdana" w:hAnsi="Verdana"/>
                <w:lang w:eastAsia="de-DE"/>
              </w:rPr>
            </w:pPr>
          </w:p>
          <w:p w14:paraId="4A2C6E90" w14:textId="77777777" w:rsidR="00B957F4" w:rsidRPr="00A84A8D" w:rsidRDefault="00B957F4" w:rsidP="00796D2F">
            <w:pPr>
              <w:rPr>
                <w:rStyle w:val="Bold"/>
                <w:rFonts w:ascii="Verdana" w:hAnsi="Verdana"/>
              </w:rPr>
            </w:pPr>
            <w:r w:rsidRPr="00A84A8D">
              <w:rPr>
                <w:rStyle w:val="Bold"/>
                <w:rFonts w:ascii="Verdana" w:hAnsi="Verdana"/>
              </w:rPr>
              <w:t>Templates: PF.01.01.25:</w:t>
            </w:r>
          </w:p>
          <w:p w14:paraId="259A6E58"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3087EC41"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697F3B9F"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377E2DB9"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7EACDC62" w14:textId="77777777" w:rsidR="00B957F4" w:rsidRPr="00A84A8D" w:rsidRDefault="00B957F4" w:rsidP="00796D2F">
            <w:pPr>
              <w:rPr>
                <w:rFonts w:ascii="Verdana" w:hAnsi="Verdana"/>
                <w:lang w:val="en-US" w:eastAsia="de-DE"/>
              </w:rPr>
            </w:pPr>
          </w:p>
          <w:p w14:paraId="488F950F" w14:textId="77777777" w:rsidR="00B957F4" w:rsidRPr="00A84A8D" w:rsidRDefault="00B957F4" w:rsidP="00796D2F">
            <w:pPr>
              <w:rPr>
                <w:rStyle w:val="Bold"/>
                <w:rFonts w:ascii="Verdana" w:hAnsi="Verdana"/>
              </w:rPr>
            </w:pPr>
            <w:r w:rsidRPr="00A84A8D">
              <w:rPr>
                <w:rStyle w:val="Bold"/>
                <w:rFonts w:ascii="Verdana" w:hAnsi="Verdana"/>
              </w:rPr>
              <w:t>Templates: PF.01.01.26; PF.01.01.27:</w:t>
            </w:r>
          </w:p>
          <w:p w14:paraId="47564B39"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54909D53" w14:textId="77777777" w:rsidR="00B957F4" w:rsidRPr="00A84A8D" w:rsidRDefault="00B957F4" w:rsidP="00796D2F">
            <w:pPr>
              <w:rPr>
                <w:rFonts w:ascii="Verdana" w:hAnsi="Verdana"/>
                <w:lang w:val="en-US" w:eastAsia="de-DE"/>
              </w:rPr>
            </w:pPr>
            <w:r w:rsidRPr="00A84A8D">
              <w:rPr>
                <w:rFonts w:ascii="Verdana" w:hAnsi="Verdana"/>
                <w:lang w:val="en-US" w:eastAsia="de-DE"/>
              </w:rPr>
              <w:t>1 - Reported</w:t>
            </w:r>
          </w:p>
          <w:p w14:paraId="04C2FCE0" w14:textId="77777777" w:rsidR="00B957F4" w:rsidRPr="00A84A8D" w:rsidRDefault="00B957F4" w:rsidP="00796D2F">
            <w:pPr>
              <w:rPr>
                <w:rFonts w:ascii="Verdana" w:hAnsi="Verdana"/>
                <w:lang w:val="en-US" w:eastAsia="de-DE"/>
              </w:rPr>
            </w:pPr>
            <w:r w:rsidRPr="00A84A8D">
              <w:rPr>
                <w:rFonts w:ascii="Verdana" w:hAnsi="Verdana"/>
                <w:lang w:val="en-US" w:eastAsia="de-DE"/>
              </w:rPr>
              <w:t>0 - Not reported (in this case special justification is needed)</w:t>
            </w:r>
          </w:p>
          <w:p w14:paraId="476BCC81" w14:textId="77777777" w:rsidR="00B957F4" w:rsidRPr="00A84A8D" w:rsidRDefault="00B957F4" w:rsidP="00796D2F">
            <w:pPr>
              <w:rPr>
                <w:rFonts w:ascii="Verdana" w:hAnsi="Verdana"/>
                <w:lang w:eastAsia="de-DE"/>
              </w:rPr>
            </w:pPr>
          </w:p>
        </w:tc>
      </w:tr>
    </w:tbl>
    <w:p w14:paraId="1B5E7C62" w14:textId="375B3B00" w:rsidR="00B957F4" w:rsidRPr="00A84A8D" w:rsidRDefault="00B957F4" w:rsidP="00B957F4">
      <w:pPr>
        <w:rPr>
          <w:rFonts w:ascii="Verdana" w:hAnsi="Verdan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1EE3A476" w14:textId="77777777" w:rsidTr="00796D2F">
        <w:trPr>
          <w:trHeight w:val="903"/>
        </w:trPr>
        <w:tc>
          <w:tcPr>
            <w:tcW w:w="2093" w:type="dxa"/>
            <w:vAlign w:val="center"/>
          </w:tcPr>
          <w:p w14:paraId="12D6741A" w14:textId="77777777" w:rsidR="00B957F4" w:rsidRPr="00A84A8D" w:rsidRDefault="00B957F4" w:rsidP="00796D2F">
            <w:pPr>
              <w:rPr>
                <w:rFonts w:ascii="Verdana" w:hAnsi="Verdana"/>
              </w:rPr>
            </w:pPr>
            <w:r w:rsidRPr="00A84A8D">
              <w:rPr>
                <w:rFonts w:ascii="Verdana" w:hAnsi="Verdana"/>
              </w:rPr>
              <w:t>C0010/R0060</w:t>
            </w:r>
          </w:p>
        </w:tc>
        <w:tc>
          <w:tcPr>
            <w:tcW w:w="2268" w:type="dxa"/>
            <w:tcBorders>
              <w:top w:val="nil"/>
              <w:left w:val="single" w:sz="4" w:space="0" w:color="auto"/>
              <w:bottom w:val="single" w:sz="4" w:space="0" w:color="auto"/>
              <w:right w:val="single" w:sz="4" w:space="0" w:color="auto"/>
            </w:tcBorders>
            <w:shd w:val="clear" w:color="auto" w:fill="auto"/>
            <w:vAlign w:val="center"/>
          </w:tcPr>
          <w:p w14:paraId="4830BB46" w14:textId="77777777" w:rsidR="00B957F4" w:rsidRPr="00A84A8D" w:rsidRDefault="00B957F4" w:rsidP="00796D2F">
            <w:pPr>
              <w:rPr>
                <w:rFonts w:ascii="Verdana" w:hAnsi="Verdana"/>
                <w:lang w:eastAsia="de-DE"/>
              </w:rPr>
            </w:pPr>
            <w:r w:rsidRPr="00A84A8D">
              <w:rPr>
                <w:rFonts w:ascii="Verdana" w:hAnsi="Verdana"/>
                <w:lang w:eastAsia="de-DE"/>
              </w:rPr>
              <w:t>PF.06.03 - Collective investment undertakings - look-through approach</w:t>
            </w:r>
          </w:p>
        </w:tc>
        <w:tc>
          <w:tcPr>
            <w:tcW w:w="5386" w:type="dxa"/>
            <w:vAlign w:val="center"/>
          </w:tcPr>
          <w:p w14:paraId="108D3E41" w14:textId="77777777" w:rsidR="00B957F4" w:rsidRPr="00897EF2" w:rsidRDefault="00B957F4" w:rsidP="00796D2F">
            <w:pPr>
              <w:rPr>
                <w:rFonts w:ascii="Verdana" w:hAnsi="Verdana"/>
                <w:lang w:eastAsia="de-DE"/>
              </w:rPr>
            </w:pPr>
            <w:r w:rsidRPr="00897EF2">
              <w:rPr>
                <w:rFonts w:ascii="Verdana" w:hAnsi="Verdana"/>
                <w:lang w:eastAsia="de-DE"/>
              </w:rPr>
              <w:t>Please select one option from the following closed list.</w:t>
            </w:r>
          </w:p>
          <w:p w14:paraId="159A0494" w14:textId="77777777" w:rsidR="00B957F4" w:rsidRPr="00897EF2" w:rsidRDefault="00B957F4" w:rsidP="00796D2F">
            <w:pPr>
              <w:rPr>
                <w:rFonts w:ascii="Verdana" w:hAnsi="Verdana"/>
                <w:lang w:eastAsia="de-DE"/>
              </w:rPr>
            </w:pPr>
            <w:r w:rsidRPr="00897EF2">
              <w:rPr>
                <w:rFonts w:ascii="Verdana" w:hAnsi="Verdana"/>
                <w:lang w:eastAsia="de-DE"/>
              </w:rPr>
              <w:t>1 - Reported</w:t>
            </w:r>
          </w:p>
          <w:p w14:paraId="50AE67BF" w14:textId="77777777" w:rsidR="00B957F4" w:rsidRPr="00897EF2" w:rsidRDefault="00B957F4" w:rsidP="00796D2F">
            <w:pPr>
              <w:rPr>
                <w:rFonts w:ascii="Verdana" w:hAnsi="Verdana"/>
                <w:lang w:eastAsia="de-DE"/>
              </w:rPr>
            </w:pPr>
            <w:r w:rsidRPr="00897EF2">
              <w:rPr>
                <w:rFonts w:ascii="Verdana" w:hAnsi="Verdana"/>
                <w:lang w:eastAsia="de-DE"/>
              </w:rPr>
              <w:t>20 - Not reported, as not mandatory for non-IORP</w:t>
            </w:r>
          </w:p>
          <w:p w14:paraId="0A7798ED" w14:textId="2BAF8E8F" w:rsidR="0085493D" w:rsidRPr="00897EF2" w:rsidRDefault="0085493D" w:rsidP="00796D2F">
            <w:pPr>
              <w:rPr>
                <w:rFonts w:ascii="Verdana" w:hAnsi="Verdana"/>
                <w:lang w:eastAsia="de-DE"/>
              </w:rPr>
            </w:pPr>
            <w:r w:rsidRPr="00897EF2">
              <w:rPr>
                <w:rFonts w:ascii="Verdana" w:hAnsi="Verdana"/>
                <w:lang w:eastAsia="de-DE"/>
              </w:rPr>
              <w:t>30 - Not reported, as not included in mandatory reporting defined in Article 1.1</w:t>
            </w:r>
            <w:r w:rsidR="00757BDE" w:rsidRPr="00897EF2">
              <w:rPr>
                <w:rFonts w:ascii="Verdana" w:hAnsi="Verdana"/>
                <w:lang w:eastAsia="de-DE"/>
              </w:rPr>
              <w:t>4</w:t>
            </w:r>
            <w:r w:rsidRPr="00897EF2">
              <w:rPr>
                <w:rFonts w:ascii="Verdana" w:hAnsi="Verdana"/>
                <w:lang w:eastAsia="de-DE"/>
              </w:rPr>
              <w:t xml:space="preserve"> of Decision EIOPA-BOS/</w:t>
            </w:r>
            <w:r w:rsidR="00557AC8">
              <w:rPr>
                <w:rFonts w:ascii="Verdana" w:hAnsi="Verdana"/>
                <w:lang w:eastAsia="de-DE"/>
              </w:rPr>
              <w:t>23/030</w:t>
            </w:r>
          </w:p>
          <w:p w14:paraId="18D66B8D" w14:textId="08FCD4F3" w:rsidR="00B957F4" w:rsidRPr="00897EF2" w:rsidRDefault="00B957F4" w:rsidP="00796D2F">
            <w:pPr>
              <w:rPr>
                <w:rFonts w:ascii="Verdana" w:hAnsi="Verdana"/>
                <w:lang w:eastAsia="de-DE"/>
              </w:rPr>
            </w:pPr>
            <w:r w:rsidRPr="00897EF2">
              <w:rPr>
                <w:rFonts w:ascii="Verdana" w:hAnsi="Verdana"/>
                <w:lang w:eastAsia="de-DE"/>
              </w:rPr>
              <w:t>27 - Not reported, as exempted by EIOPA Article 1.1</w:t>
            </w:r>
            <w:r w:rsidR="00E862D4" w:rsidRPr="00897EF2">
              <w:rPr>
                <w:rFonts w:ascii="Verdana" w:hAnsi="Verdana"/>
                <w:lang w:eastAsia="de-DE"/>
              </w:rPr>
              <w:t>5</w:t>
            </w:r>
            <w:r w:rsidRPr="00897EF2">
              <w:rPr>
                <w:rFonts w:ascii="Verdana" w:hAnsi="Verdana"/>
                <w:lang w:eastAsia="de-DE"/>
              </w:rPr>
              <w:t xml:space="preserve"> of Decision EIOPA-BOS/</w:t>
            </w:r>
            <w:r w:rsidR="00557AC8">
              <w:rPr>
                <w:rFonts w:ascii="Verdana" w:hAnsi="Verdana"/>
                <w:lang w:eastAsia="de-DE"/>
              </w:rPr>
              <w:t>23/030</w:t>
            </w:r>
          </w:p>
          <w:p w14:paraId="74E8B7E4" w14:textId="77777777" w:rsidR="00B957F4" w:rsidRPr="00897EF2" w:rsidRDefault="00B957F4" w:rsidP="00796D2F">
            <w:pPr>
              <w:rPr>
                <w:rFonts w:ascii="Verdana" w:hAnsi="Verdana"/>
                <w:lang w:eastAsia="de-DE"/>
              </w:rPr>
            </w:pPr>
            <w:r w:rsidRPr="00897EF2">
              <w:rPr>
                <w:rFonts w:ascii="Verdana" w:hAnsi="Verdana"/>
                <w:lang w:eastAsia="de-DE"/>
              </w:rPr>
              <w:t>0 - Not reported (in this case special justification is needed)</w:t>
            </w:r>
          </w:p>
        </w:tc>
      </w:tr>
      <w:tr w:rsidR="00B957F4" w:rsidRPr="00A84A8D" w14:paraId="21317C66" w14:textId="77777777" w:rsidTr="00796D2F">
        <w:trPr>
          <w:trHeight w:val="903"/>
        </w:trPr>
        <w:tc>
          <w:tcPr>
            <w:tcW w:w="2093" w:type="dxa"/>
            <w:vAlign w:val="center"/>
          </w:tcPr>
          <w:p w14:paraId="1E28F572" w14:textId="77777777" w:rsidR="00B957F4" w:rsidRPr="00A84A8D" w:rsidRDefault="00B957F4" w:rsidP="00796D2F">
            <w:pPr>
              <w:rPr>
                <w:rFonts w:ascii="Verdana" w:hAnsi="Verdana"/>
              </w:rPr>
            </w:pPr>
            <w:r w:rsidRPr="00A84A8D">
              <w:rPr>
                <w:rFonts w:ascii="Verdana" w:hAnsi="Verdana"/>
              </w:rPr>
              <w:t>C0010/R0065</w:t>
            </w:r>
          </w:p>
        </w:tc>
        <w:tc>
          <w:tcPr>
            <w:tcW w:w="2268" w:type="dxa"/>
            <w:tcBorders>
              <w:top w:val="nil"/>
              <w:left w:val="single" w:sz="4" w:space="0" w:color="auto"/>
              <w:bottom w:val="single" w:sz="4" w:space="0" w:color="auto"/>
              <w:right w:val="single" w:sz="4" w:space="0" w:color="auto"/>
            </w:tcBorders>
            <w:shd w:val="clear" w:color="auto" w:fill="auto"/>
            <w:vAlign w:val="center"/>
          </w:tcPr>
          <w:p w14:paraId="245CE132" w14:textId="78D9F122" w:rsidR="00B957F4" w:rsidRPr="00A84A8D" w:rsidRDefault="00E356FB" w:rsidP="00796D2F">
            <w:pPr>
              <w:rPr>
                <w:rFonts w:ascii="Verdana" w:hAnsi="Verdana"/>
                <w:lang w:eastAsia="de-DE"/>
              </w:rPr>
            </w:pPr>
            <w:r w:rsidRPr="00A84A8D">
              <w:rPr>
                <w:rFonts w:ascii="Verdana" w:hAnsi="Verdana"/>
                <w:lang w:eastAsia="de-DE"/>
              </w:rPr>
              <w:t xml:space="preserve">PF.08.01 - </w:t>
            </w:r>
            <w:r w:rsidR="00B957F4" w:rsidRPr="00A84A8D">
              <w:rPr>
                <w:rFonts w:ascii="Verdana" w:hAnsi="Verdana"/>
                <w:lang w:eastAsia="de-DE"/>
              </w:rPr>
              <w:t>Open derivatives</w:t>
            </w:r>
          </w:p>
        </w:tc>
        <w:tc>
          <w:tcPr>
            <w:tcW w:w="5386" w:type="dxa"/>
            <w:vAlign w:val="center"/>
          </w:tcPr>
          <w:p w14:paraId="1A37F948" w14:textId="77777777" w:rsidR="00B957F4" w:rsidRPr="00A84A8D" w:rsidRDefault="00B957F4" w:rsidP="00796D2F">
            <w:pPr>
              <w:rPr>
                <w:rFonts w:ascii="Verdana" w:hAnsi="Verdana"/>
              </w:rPr>
            </w:pPr>
            <w:r w:rsidRPr="00A84A8D">
              <w:rPr>
                <w:rFonts w:ascii="Verdana" w:hAnsi="Verdana"/>
              </w:rPr>
              <w:t xml:space="preserve">Please select one option from the following closed list. </w:t>
            </w:r>
          </w:p>
          <w:p w14:paraId="706308E2" w14:textId="77777777" w:rsidR="00B957F4" w:rsidRPr="00A84A8D" w:rsidRDefault="00B957F4" w:rsidP="00796D2F">
            <w:pPr>
              <w:rPr>
                <w:rFonts w:ascii="Verdana" w:hAnsi="Verdana"/>
              </w:rPr>
            </w:pPr>
            <w:r w:rsidRPr="00A84A8D">
              <w:rPr>
                <w:rFonts w:ascii="Verdana" w:hAnsi="Verdana"/>
              </w:rPr>
              <w:t xml:space="preserve">1 – Reported </w:t>
            </w:r>
          </w:p>
          <w:p w14:paraId="2258BC1E" w14:textId="77777777" w:rsidR="00B957F4" w:rsidRPr="00A84A8D" w:rsidRDefault="00B957F4" w:rsidP="00796D2F">
            <w:pPr>
              <w:rPr>
                <w:rFonts w:ascii="Verdana" w:hAnsi="Verdana"/>
              </w:rPr>
            </w:pPr>
            <w:r w:rsidRPr="00A84A8D">
              <w:rPr>
                <w:rFonts w:ascii="Verdana" w:hAnsi="Verdana"/>
              </w:rPr>
              <w:t xml:space="preserve">2 - Not reported as no derivative transactions </w:t>
            </w:r>
          </w:p>
          <w:p w14:paraId="413581AC"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3CBC74DB" w14:textId="341E6112" w:rsidR="00B957F4" w:rsidRPr="00A84A8D" w:rsidRDefault="00C65833" w:rsidP="00796D2F">
            <w:pPr>
              <w:rPr>
                <w:rFonts w:ascii="Verdana" w:hAnsi="Verdana"/>
                <w:lang w:eastAsia="de-DE"/>
              </w:rPr>
            </w:pPr>
            <w:r w:rsidRPr="00897EF2">
              <w:rPr>
                <w:rFonts w:ascii="Verdana" w:hAnsi="Verdana"/>
                <w:lang w:eastAsia="de-DE"/>
              </w:rPr>
              <w:t>30 - Not reported, as not included in mandatory reporting defined in Article 1.1</w:t>
            </w:r>
            <w:r w:rsidR="00757BDE" w:rsidRPr="00897EF2">
              <w:rPr>
                <w:rFonts w:ascii="Verdana" w:hAnsi="Verdana"/>
                <w:lang w:eastAsia="de-DE"/>
              </w:rPr>
              <w:t>4</w:t>
            </w:r>
            <w:r w:rsidR="00BF50A4" w:rsidRPr="00897EF2">
              <w:rPr>
                <w:rFonts w:ascii="Verdana" w:hAnsi="Verdana"/>
                <w:lang w:eastAsia="de-DE"/>
              </w:rPr>
              <w:t xml:space="preserve"> (a)</w:t>
            </w:r>
            <w:r w:rsidRPr="00897EF2">
              <w:rPr>
                <w:rFonts w:ascii="Verdana" w:hAnsi="Verdana"/>
                <w:lang w:eastAsia="de-DE"/>
              </w:rPr>
              <w:t xml:space="preserve"> of Decision EIOPA-BOS/</w:t>
            </w:r>
            <w:r w:rsidR="00557AC8">
              <w:rPr>
                <w:rFonts w:ascii="Verdana" w:hAnsi="Verdana"/>
                <w:lang w:eastAsia="de-DE"/>
              </w:rPr>
              <w:t>23/030</w:t>
            </w:r>
          </w:p>
          <w:p w14:paraId="24DBD971" w14:textId="77777777" w:rsidR="00B957F4" w:rsidRPr="00A84A8D" w:rsidRDefault="00B957F4" w:rsidP="00796D2F">
            <w:pPr>
              <w:rPr>
                <w:rFonts w:ascii="Verdana" w:hAnsi="Verdana"/>
                <w:lang w:eastAsia="de-DE"/>
              </w:rPr>
            </w:pPr>
            <w:r w:rsidRPr="00A84A8D">
              <w:rPr>
                <w:rFonts w:ascii="Verdana" w:hAnsi="Verdana"/>
              </w:rPr>
              <w:t>0 - Not reported (in this case special justification is needed)</w:t>
            </w:r>
          </w:p>
        </w:tc>
      </w:tr>
      <w:tr w:rsidR="00B957F4" w:rsidRPr="00A84A8D" w14:paraId="0E8A8E34" w14:textId="77777777" w:rsidTr="00796D2F">
        <w:trPr>
          <w:trHeight w:val="903"/>
        </w:trPr>
        <w:tc>
          <w:tcPr>
            <w:tcW w:w="2093" w:type="dxa"/>
            <w:vAlign w:val="center"/>
          </w:tcPr>
          <w:p w14:paraId="027E1F50" w14:textId="77777777" w:rsidR="00B957F4" w:rsidRPr="00A84A8D" w:rsidRDefault="00B957F4" w:rsidP="00796D2F">
            <w:pPr>
              <w:rPr>
                <w:rFonts w:ascii="Verdana" w:hAnsi="Verdana"/>
              </w:rPr>
            </w:pPr>
            <w:r w:rsidRPr="00A84A8D">
              <w:rPr>
                <w:rFonts w:ascii="Verdana" w:hAnsi="Verdana"/>
              </w:rPr>
              <w:t>C0010/R0070</w:t>
            </w:r>
          </w:p>
        </w:tc>
        <w:tc>
          <w:tcPr>
            <w:tcW w:w="2268" w:type="dxa"/>
            <w:tcBorders>
              <w:top w:val="nil"/>
              <w:left w:val="single" w:sz="4" w:space="0" w:color="auto"/>
              <w:bottom w:val="single" w:sz="4" w:space="0" w:color="auto"/>
              <w:right w:val="single" w:sz="4" w:space="0" w:color="auto"/>
            </w:tcBorders>
            <w:shd w:val="clear" w:color="auto" w:fill="auto"/>
            <w:vAlign w:val="center"/>
          </w:tcPr>
          <w:p w14:paraId="3B83F3C3" w14:textId="77777777" w:rsidR="00B957F4" w:rsidRPr="00A84A8D" w:rsidRDefault="00B957F4" w:rsidP="00796D2F">
            <w:pPr>
              <w:rPr>
                <w:rFonts w:ascii="Verdana" w:hAnsi="Verdana"/>
                <w:lang w:eastAsia="de-DE"/>
              </w:rPr>
            </w:pPr>
            <w:r w:rsidRPr="00A84A8D">
              <w:rPr>
                <w:rFonts w:ascii="Verdana" w:hAnsi="Verdana"/>
                <w:lang w:eastAsia="de-DE"/>
              </w:rPr>
              <w:t>PF.09.02 - Investment income</w:t>
            </w:r>
          </w:p>
        </w:tc>
        <w:tc>
          <w:tcPr>
            <w:tcW w:w="5386" w:type="dxa"/>
            <w:vAlign w:val="center"/>
          </w:tcPr>
          <w:p w14:paraId="502B666B" w14:textId="2715F0F5" w:rsidR="00B957F4" w:rsidRPr="00A84A8D" w:rsidRDefault="00B957F4" w:rsidP="00796D2F">
            <w:pPr>
              <w:rPr>
                <w:rStyle w:val="Bold"/>
                <w:rFonts w:ascii="Verdana" w:hAnsi="Verdana"/>
              </w:rPr>
            </w:pPr>
            <w:r w:rsidRPr="00A84A8D">
              <w:rPr>
                <w:rStyle w:val="Bold"/>
                <w:rFonts w:ascii="Verdana" w:hAnsi="Verdana"/>
              </w:rPr>
              <w:t>Templates: PF.01.01.24:</w:t>
            </w:r>
          </w:p>
          <w:p w14:paraId="2C04FAE7"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561A3633"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469E2AE7"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3CE0BABB"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14687778" w14:textId="77777777" w:rsidR="00B957F4" w:rsidRPr="00A84A8D" w:rsidRDefault="00B957F4" w:rsidP="00796D2F">
            <w:pPr>
              <w:rPr>
                <w:rFonts w:ascii="Verdana" w:hAnsi="Verdana"/>
                <w:lang w:eastAsia="de-DE"/>
              </w:rPr>
            </w:pPr>
          </w:p>
          <w:p w14:paraId="06BC00C7" w14:textId="227E9BCD" w:rsidR="00B957F4" w:rsidRPr="00A84A8D" w:rsidRDefault="00B957F4" w:rsidP="00796D2F">
            <w:pPr>
              <w:rPr>
                <w:rStyle w:val="Bold"/>
                <w:rFonts w:ascii="Verdana" w:hAnsi="Verdana"/>
              </w:rPr>
            </w:pPr>
            <w:r w:rsidRPr="00A84A8D">
              <w:rPr>
                <w:rStyle w:val="Bold"/>
                <w:rFonts w:ascii="Verdana" w:hAnsi="Verdana"/>
              </w:rPr>
              <w:t>Templates: PF.01.01.26:</w:t>
            </w:r>
          </w:p>
          <w:p w14:paraId="75767F06" w14:textId="77777777" w:rsidR="00B957F4" w:rsidRPr="00A84A8D" w:rsidRDefault="00B957F4" w:rsidP="00796D2F">
            <w:pPr>
              <w:rPr>
                <w:rFonts w:ascii="Verdana" w:hAnsi="Verdana"/>
                <w:lang w:eastAsia="de-DE"/>
              </w:rPr>
            </w:pPr>
            <w:r w:rsidRPr="00A84A8D">
              <w:rPr>
                <w:rFonts w:ascii="Verdana" w:hAnsi="Verdana"/>
                <w:lang w:eastAsia="de-DE"/>
              </w:rPr>
              <w:lastRenderedPageBreak/>
              <w:t>Please select one option from the following closed list.</w:t>
            </w:r>
          </w:p>
          <w:p w14:paraId="5DF3F3E0" w14:textId="77777777" w:rsidR="00B957F4" w:rsidRPr="00A84A8D" w:rsidRDefault="00B957F4" w:rsidP="00796D2F">
            <w:pPr>
              <w:rPr>
                <w:rFonts w:ascii="Verdana" w:hAnsi="Verdana"/>
                <w:lang w:val="en-US" w:eastAsia="de-DE"/>
              </w:rPr>
            </w:pPr>
            <w:r w:rsidRPr="00A84A8D">
              <w:rPr>
                <w:rFonts w:ascii="Verdana" w:hAnsi="Verdana"/>
                <w:lang w:val="en-US" w:eastAsia="de-DE"/>
              </w:rPr>
              <w:t>1 - Reported</w:t>
            </w:r>
          </w:p>
          <w:p w14:paraId="72DFCB63" w14:textId="77777777" w:rsidR="00B957F4" w:rsidRPr="00A84A8D" w:rsidRDefault="00B957F4" w:rsidP="00796D2F">
            <w:pPr>
              <w:rPr>
                <w:rFonts w:ascii="Verdana" w:hAnsi="Verdana"/>
                <w:lang w:eastAsia="de-DE"/>
              </w:rPr>
            </w:pPr>
            <w:r w:rsidRPr="00A84A8D">
              <w:rPr>
                <w:rFonts w:ascii="Verdana" w:hAnsi="Verdana"/>
                <w:lang w:val="en-US" w:eastAsia="de-DE"/>
              </w:rPr>
              <w:t>0 - Not reported (in this case special justification is needed)</w:t>
            </w:r>
          </w:p>
        </w:tc>
      </w:tr>
      <w:tr w:rsidR="00B957F4" w:rsidRPr="00A84A8D" w14:paraId="450A3A9B" w14:textId="77777777" w:rsidTr="00796D2F">
        <w:trPr>
          <w:trHeight w:val="903"/>
        </w:trPr>
        <w:tc>
          <w:tcPr>
            <w:tcW w:w="2093" w:type="dxa"/>
            <w:vAlign w:val="center"/>
          </w:tcPr>
          <w:p w14:paraId="747E1078" w14:textId="77777777" w:rsidR="00B957F4" w:rsidRPr="00A84A8D" w:rsidRDefault="00B957F4" w:rsidP="00796D2F">
            <w:pPr>
              <w:rPr>
                <w:rFonts w:ascii="Verdana" w:hAnsi="Verdana"/>
              </w:rPr>
            </w:pPr>
            <w:r w:rsidRPr="00A84A8D">
              <w:rPr>
                <w:rFonts w:ascii="Verdana" w:hAnsi="Verdana"/>
              </w:rPr>
              <w:lastRenderedPageBreak/>
              <w:t>C0010/R0080</w:t>
            </w:r>
          </w:p>
        </w:tc>
        <w:tc>
          <w:tcPr>
            <w:tcW w:w="2268" w:type="dxa"/>
            <w:tcBorders>
              <w:top w:val="nil"/>
              <w:left w:val="single" w:sz="4" w:space="0" w:color="auto"/>
              <w:bottom w:val="single" w:sz="4" w:space="0" w:color="auto"/>
              <w:right w:val="single" w:sz="4" w:space="0" w:color="auto"/>
            </w:tcBorders>
            <w:shd w:val="clear" w:color="auto" w:fill="auto"/>
            <w:vAlign w:val="center"/>
          </w:tcPr>
          <w:p w14:paraId="234AB28C" w14:textId="77777777" w:rsidR="00B957F4" w:rsidRPr="00A84A8D" w:rsidRDefault="00B957F4" w:rsidP="00796D2F">
            <w:pPr>
              <w:rPr>
                <w:rFonts w:ascii="Verdana" w:hAnsi="Verdana"/>
                <w:lang w:eastAsia="de-DE"/>
              </w:rPr>
            </w:pPr>
            <w:r w:rsidRPr="00A84A8D">
              <w:rPr>
                <w:rFonts w:ascii="Verdana" w:hAnsi="Verdana"/>
                <w:lang w:eastAsia="de-DE"/>
              </w:rPr>
              <w:t>PF.29.05 - Changes in technical provisions</w:t>
            </w:r>
          </w:p>
        </w:tc>
        <w:tc>
          <w:tcPr>
            <w:tcW w:w="5386" w:type="dxa"/>
            <w:vAlign w:val="center"/>
          </w:tcPr>
          <w:p w14:paraId="03B06E85" w14:textId="77777777" w:rsidR="00B957F4" w:rsidRPr="00A84A8D" w:rsidRDefault="00B957F4" w:rsidP="00796D2F">
            <w:pPr>
              <w:rPr>
                <w:rStyle w:val="Bold"/>
                <w:rFonts w:ascii="Verdana" w:hAnsi="Verdana"/>
              </w:rPr>
            </w:pPr>
            <w:r w:rsidRPr="00A84A8D">
              <w:rPr>
                <w:rStyle w:val="Bold"/>
                <w:rFonts w:ascii="Verdana" w:hAnsi="Verdana"/>
              </w:rPr>
              <w:t>Templates: PF.01.01.24:</w:t>
            </w:r>
          </w:p>
          <w:p w14:paraId="228C86A3"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0415D60A"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54C0E14C"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06900C23" w14:textId="77777777" w:rsidR="00B957F4" w:rsidRPr="00A84A8D" w:rsidRDefault="00B957F4" w:rsidP="00796D2F">
            <w:pPr>
              <w:rPr>
                <w:rFonts w:ascii="Verdana" w:hAnsi="Verdana"/>
                <w:lang w:eastAsia="de-DE"/>
              </w:rPr>
            </w:pPr>
            <w:r w:rsidRPr="00A84A8D">
              <w:rPr>
                <w:rFonts w:ascii="Verdana" w:hAnsi="Verdana"/>
                <w:lang w:eastAsia="de-DE"/>
              </w:rPr>
              <w:t>40 - Not reported, as no DB schemes</w:t>
            </w:r>
          </w:p>
          <w:p w14:paraId="5F2E40ED" w14:textId="77777777" w:rsidR="00B957F4" w:rsidRPr="00A84A8D" w:rsidRDefault="00B957F4" w:rsidP="00796D2F">
            <w:pPr>
              <w:rPr>
                <w:rFonts w:ascii="Verdana" w:hAnsi="Verdana"/>
                <w:lang w:eastAsia="de-DE"/>
              </w:rPr>
            </w:pPr>
          </w:p>
          <w:p w14:paraId="0C7DB65E"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4DC9E7B3" w14:textId="77777777" w:rsidR="00B957F4" w:rsidRPr="00A84A8D" w:rsidRDefault="00B957F4" w:rsidP="00796D2F">
            <w:pPr>
              <w:rPr>
                <w:rFonts w:ascii="Verdana" w:hAnsi="Verdana"/>
                <w:lang w:val="en-US" w:eastAsia="de-DE"/>
              </w:rPr>
            </w:pPr>
          </w:p>
          <w:p w14:paraId="55CA96AB" w14:textId="77777777" w:rsidR="00B957F4" w:rsidRPr="00A84A8D" w:rsidRDefault="00B957F4" w:rsidP="00796D2F">
            <w:pPr>
              <w:rPr>
                <w:rStyle w:val="Bold"/>
                <w:rFonts w:ascii="Verdana" w:hAnsi="Verdana"/>
              </w:rPr>
            </w:pPr>
            <w:r w:rsidRPr="00A84A8D">
              <w:rPr>
                <w:rStyle w:val="Bold"/>
                <w:rFonts w:ascii="Verdana" w:hAnsi="Verdana"/>
              </w:rPr>
              <w:t>Templates: PF.01.01.26:</w:t>
            </w:r>
          </w:p>
          <w:p w14:paraId="5802F363"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044011EF" w14:textId="516A343D" w:rsidR="00B957F4" w:rsidRPr="00A84A8D" w:rsidRDefault="00B957F4" w:rsidP="00796D2F">
            <w:pPr>
              <w:rPr>
                <w:rFonts w:ascii="Verdana" w:hAnsi="Verdana"/>
                <w:lang w:val="en-US" w:eastAsia="de-DE"/>
              </w:rPr>
            </w:pPr>
            <w:r w:rsidRPr="00A84A8D">
              <w:rPr>
                <w:rFonts w:ascii="Verdana" w:hAnsi="Verdana"/>
                <w:lang w:val="en-US" w:eastAsia="de-DE"/>
              </w:rPr>
              <w:t>1 – Reported</w:t>
            </w:r>
          </w:p>
          <w:p w14:paraId="28FC9FB2" w14:textId="77777777" w:rsidR="00B957F4" w:rsidRPr="00A84A8D" w:rsidRDefault="00B957F4" w:rsidP="00796D2F">
            <w:pPr>
              <w:rPr>
                <w:rFonts w:ascii="Verdana" w:hAnsi="Verdana"/>
                <w:lang w:eastAsia="de-DE"/>
              </w:rPr>
            </w:pPr>
            <w:r w:rsidRPr="00A84A8D">
              <w:rPr>
                <w:rFonts w:ascii="Verdana" w:hAnsi="Verdana"/>
                <w:lang w:eastAsia="de-DE"/>
              </w:rPr>
              <w:t>40 - Not reported, as no DB schemes</w:t>
            </w:r>
          </w:p>
          <w:p w14:paraId="7E872708" w14:textId="77777777" w:rsidR="00B957F4" w:rsidRPr="00A84A8D" w:rsidRDefault="00B957F4" w:rsidP="00B957F4">
            <w:pPr>
              <w:rPr>
                <w:rFonts w:ascii="Verdana" w:hAnsi="Verdana"/>
                <w:lang w:val="en-US" w:eastAsia="de-DE"/>
              </w:rPr>
            </w:pPr>
          </w:p>
          <w:p w14:paraId="21F16707" w14:textId="77777777" w:rsidR="00B957F4" w:rsidRPr="00A84A8D" w:rsidRDefault="00B957F4" w:rsidP="00796D2F">
            <w:pPr>
              <w:rPr>
                <w:rFonts w:ascii="Verdana" w:hAnsi="Verdana"/>
                <w:lang w:eastAsia="de-DE"/>
              </w:rPr>
            </w:pPr>
            <w:r w:rsidRPr="00A84A8D">
              <w:rPr>
                <w:rFonts w:ascii="Verdana" w:hAnsi="Verdana"/>
                <w:lang w:val="en-US" w:eastAsia="de-DE"/>
              </w:rPr>
              <w:t>0 - Not reported (in this case special justification is needed)</w:t>
            </w:r>
          </w:p>
        </w:tc>
      </w:tr>
      <w:tr w:rsidR="00B957F4" w:rsidRPr="00A84A8D" w14:paraId="4868FF62" w14:textId="77777777" w:rsidTr="00796D2F">
        <w:trPr>
          <w:trHeight w:val="903"/>
        </w:trPr>
        <w:tc>
          <w:tcPr>
            <w:tcW w:w="2093" w:type="dxa"/>
            <w:vAlign w:val="center"/>
          </w:tcPr>
          <w:p w14:paraId="34771597" w14:textId="77777777" w:rsidR="00B957F4" w:rsidRPr="00A84A8D" w:rsidRDefault="00B957F4" w:rsidP="00796D2F">
            <w:pPr>
              <w:rPr>
                <w:rFonts w:ascii="Verdana" w:hAnsi="Verdana"/>
              </w:rPr>
            </w:pPr>
            <w:r w:rsidRPr="00A84A8D">
              <w:rPr>
                <w:rFonts w:ascii="Verdana" w:hAnsi="Verdana"/>
              </w:rPr>
              <w:t>C0010/R0085</w:t>
            </w:r>
          </w:p>
        </w:tc>
        <w:tc>
          <w:tcPr>
            <w:tcW w:w="2268" w:type="dxa"/>
            <w:tcBorders>
              <w:top w:val="nil"/>
              <w:left w:val="single" w:sz="4" w:space="0" w:color="auto"/>
              <w:bottom w:val="single" w:sz="4" w:space="0" w:color="auto"/>
              <w:right w:val="single" w:sz="4" w:space="0" w:color="auto"/>
            </w:tcBorders>
            <w:shd w:val="clear" w:color="auto" w:fill="auto"/>
            <w:vAlign w:val="center"/>
          </w:tcPr>
          <w:p w14:paraId="57840E0E" w14:textId="77777777" w:rsidR="00B957F4" w:rsidRPr="00A84A8D" w:rsidRDefault="00B957F4" w:rsidP="00796D2F">
            <w:pPr>
              <w:rPr>
                <w:rFonts w:ascii="Verdana" w:hAnsi="Verdana"/>
                <w:lang w:eastAsia="de-DE"/>
              </w:rPr>
            </w:pPr>
            <w:r w:rsidRPr="00A84A8D">
              <w:rPr>
                <w:rFonts w:ascii="Verdana" w:hAnsi="Verdana"/>
                <w:lang w:eastAsia="de-DE"/>
              </w:rPr>
              <w:t>PF.29.06 - Cash-flows</w:t>
            </w:r>
          </w:p>
        </w:tc>
        <w:tc>
          <w:tcPr>
            <w:tcW w:w="5386" w:type="dxa"/>
            <w:vAlign w:val="center"/>
          </w:tcPr>
          <w:p w14:paraId="001C24E1" w14:textId="42FEDFAC" w:rsidR="00B957F4" w:rsidRPr="00A84A8D" w:rsidRDefault="00B957F4" w:rsidP="00796D2F">
            <w:pPr>
              <w:rPr>
                <w:rStyle w:val="Bold"/>
                <w:rFonts w:ascii="Verdana" w:hAnsi="Verdana"/>
              </w:rPr>
            </w:pPr>
            <w:r w:rsidRPr="00A84A8D">
              <w:rPr>
                <w:rStyle w:val="Bold"/>
                <w:rFonts w:ascii="Verdana" w:hAnsi="Verdana"/>
              </w:rPr>
              <w:t>Templates: PF.01.01.24:</w:t>
            </w:r>
          </w:p>
          <w:p w14:paraId="52BF6D88"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14D9D12D"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033A7A40"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28F65410" w14:textId="469CC478" w:rsidR="00B42144" w:rsidRPr="00A84A8D" w:rsidRDefault="00B957F4" w:rsidP="00B42144">
            <w:pPr>
              <w:rPr>
                <w:rFonts w:ascii="Verdana" w:hAnsi="Verdana"/>
                <w:lang w:eastAsia="de-DE"/>
              </w:rPr>
            </w:pPr>
            <w:r w:rsidRPr="00A84A8D">
              <w:rPr>
                <w:rFonts w:ascii="Verdana" w:hAnsi="Verdana"/>
                <w:lang w:eastAsia="de-DE"/>
              </w:rPr>
              <w:t xml:space="preserve">30 </w:t>
            </w:r>
            <w:r w:rsidRPr="00897EF2">
              <w:rPr>
                <w:rFonts w:ascii="Verdana" w:hAnsi="Verdana"/>
                <w:lang w:eastAsia="de-DE"/>
              </w:rPr>
              <w:t>- Not reported, as not in</w:t>
            </w:r>
            <w:r w:rsidR="00B42144" w:rsidRPr="00897EF2">
              <w:rPr>
                <w:rFonts w:ascii="Verdana" w:hAnsi="Verdana"/>
                <w:lang w:eastAsia="de-DE"/>
              </w:rPr>
              <w:t>cluded in mandatory reporting defined in Article 1.1</w:t>
            </w:r>
            <w:r w:rsidR="00757BDE" w:rsidRPr="00897EF2">
              <w:rPr>
                <w:rFonts w:ascii="Verdana" w:hAnsi="Verdana"/>
                <w:lang w:eastAsia="de-DE"/>
              </w:rPr>
              <w:t>4</w:t>
            </w:r>
            <w:r w:rsidR="00065C09" w:rsidRPr="00897EF2">
              <w:rPr>
                <w:rFonts w:ascii="Verdana" w:hAnsi="Verdana"/>
                <w:lang w:eastAsia="de-DE"/>
              </w:rPr>
              <w:t>(a)</w:t>
            </w:r>
            <w:r w:rsidRPr="00897EF2">
              <w:rPr>
                <w:rFonts w:ascii="Verdana" w:hAnsi="Verdana"/>
                <w:lang w:eastAsia="de-DE"/>
              </w:rPr>
              <w:t xml:space="preserve"> </w:t>
            </w:r>
            <w:r w:rsidR="00B42144" w:rsidRPr="00897EF2">
              <w:rPr>
                <w:rFonts w:ascii="Verdana" w:hAnsi="Verdana"/>
                <w:lang w:eastAsia="de-DE"/>
              </w:rPr>
              <w:t>of Decision EIOPA-BOS/</w:t>
            </w:r>
            <w:r w:rsidR="00557AC8">
              <w:rPr>
                <w:rFonts w:ascii="Verdana" w:hAnsi="Verdana"/>
                <w:lang w:eastAsia="de-DE"/>
              </w:rPr>
              <w:t>23/030</w:t>
            </w:r>
          </w:p>
          <w:p w14:paraId="7DC32B86" w14:textId="3B9505B1" w:rsidR="00B957F4" w:rsidRPr="00A84A8D" w:rsidRDefault="00B957F4" w:rsidP="00796D2F">
            <w:pPr>
              <w:rPr>
                <w:rFonts w:ascii="Verdana" w:hAnsi="Verdana"/>
                <w:lang w:eastAsia="de-DE"/>
              </w:rPr>
            </w:pPr>
            <w:r w:rsidRPr="00A84A8D">
              <w:rPr>
                <w:rFonts w:ascii="Verdana" w:hAnsi="Verdana"/>
                <w:lang w:eastAsia="de-DE"/>
              </w:rPr>
              <w:lastRenderedPageBreak/>
              <w:t>40 - Not reported, as no DB schemes</w:t>
            </w:r>
          </w:p>
          <w:p w14:paraId="5F08218E" w14:textId="427AD084" w:rsidR="00F74F8E" w:rsidRPr="00A84A8D" w:rsidRDefault="00F74F8E" w:rsidP="00796D2F">
            <w:pPr>
              <w:rPr>
                <w:rFonts w:ascii="Verdana" w:hAnsi="Verdana"/>
                <w:lang w:eastAsia="de-DE"/>
              </w:rPr>
            </w:pPr>
            <w:r w:rsidRPr="00A84A8D">
              <w:rPr>
                <w:rFonts w:ascii="Verdana" w:hAnsi="Verdana"/>
                <w:lang w:eastAsia="de-DE"/>
              </w:rPr>
              <w:t>50 – Not reported, as no traditional DB schemes</w:t>
            </w:r>
          </w:p>
          <w:p w14:paraId="4369AEF0" w14:textId="77777777" w:rsidR="00B957F4" w:rsidRPr="00A84A8D" w:rsidRDefault="00B957F4" w:rsidP="00796D2F">
            <w:pPr>
              <w:rPr>
                <w:rStyle w:val="Bold"/>
                <w:rFonts w:ascii="Verdana" w:hAnsi="Verdana"/>
              </w:rPr>
            </w:pPr>
            <w:r w:rsidRPr="00A84A8D">
              <w:rPr>
                <w:rFonts w:ascii="Verdana" w:hAnsi="Verdana"/>
                <w:lang w:eastAsia="de-DE"/>
              </w:rPr>
              <w:t>0 - Not reported (in this case special justification is needed)</w:t>
            </w:r>
          </w:p>
        </w:tc>
      </w:tr>
      <w:tr w:rsidR="00B957F4" w:rsidRPr="00A84A8D" w14:paraId="22B71B66" w14:textId="77777777" w:rsidTr="00796D2F">
        <w:trPr>
          <w:trHeight w:val="903"/>
        </w:trPr>
        <w:tc>
          <w:tcPr>
            <w:tcW w:w="2093" w:type="dxa"/>
            <w:vAlign w:val="center"/>
          </w:tcPr>
          <w:p w14:paraId="7F1A3667" w14:textId="77777777" w:rsidR="00B957F4" w:rsidRPr="00A84A8D" w:rsidRDefault="00B957F4" w:rsidP="00796D2F">
            <w:pPr>
              <w:rPr>
                <w:rFonts w:ascii="Verdana" w:hAnsi="Verdana"/>
              </w:rPr>
            </w:pPr>
            <w:r w:rsidRPr="00A84A8D">
              <w:rPr>
                <w:rFonts w:ascii="Verdana" w:hAnsi="Verdana"/>
              </w:rPr>
              <w:lastRenderedPageBreak/>
              <w:t>C0010/R0090</w:t>
            </w:r>
          </w:p>
        </w:tc>
        <w:tc>
          <w:tcPr>
            <w:tcW w:w="2268" w:type="dxa"/>
            <w:tcBorders>
              <w:top w:val="nil"/>
              <w:left w:val="single" w:sz="4" w:space="0" w:color="auto"/>
              <w:bottom w:val="single" w:sz="4" w:space="0" w:color="auto"/>
              <w:right w:val="single" w:sz="4" w:space="0" w:color="auto"/>
            </w:tcBorders>
            <w:shd w:val="clear" w:color="auto" w:fill="auto"/>
            <w:vAlign w:val="center"/>
          </w:tcPr>
          <w:p w14:paraId="2BA60B86" w14:textId="77777777" w:rsidR="00B957F4" w:rsidRPr="00A84A8D" w:rsidRDefault="00B957F4" w:rsidP="00796D2F">
            <w:pPr>
              <w:rPr>
                <w:rFonts w:ascii="Verdana" w:hAnsi="Verdana"/>
                <w:lang w:eastAsia="de-DE"/>
              </w:rPr>
            </w:pPr>
            <w:r w:rsidRPr="00A84A8D">
              <w:rPr>
                <w:rFonts w:ascii="Verdana" w:hAnsi="Verdana"/>
                <w:lang w:eastAsia="de-DE"/>
              </w:rPr>
              <w:t>PF.50.01 - Member data</w:t>
            </w:r>
          </w:p>
        </w:tc>
        <w:tc>
          <w:tcPr>
            <w:tcW w:w="5386" w:type="dxa"/>
            <w:vAlign w:val="center"/>
          </w:tcPr>
          <w:p w14:paraId="1C14E222" w14:textId="77777777" w:rsidR="00B957F4" w:rsidRPr="00A84A8D" w:rsidRDefault="00B957F4" w:rsidP="00796D2F">
            <w:pPr>
              <w:rPr>
                <w:rStyle w:val="Bold"/>
                <w:rFonts w:ascii="Verdana" w:hAnsi="Verdana"/>
              </w:rPr>
            </w:pPr>
            <w:r w:rsidRPr="00A84A8D">
              <w:rPr>
                <w:rStyle w:val="Bold"/>
                <w:rFonts w:ascii="Verdana" w:hAnsi="Verdana"/>
              </w:rPr>
              <w:t>Templates: PF.01.01.24:</w:t>
            </w:r>
          </w:p>
          <w:p w14:paraId="6833ECA5"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2B0A5BEC"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47752861"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749ADB31"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73D7CB5A" w14:textId="77777777" w:rsidR="00B957F4" w:rsidRPr="00A84A8D" w:rsidRDefault="00B957F4" w:rsidP="00796D2F">
            <w:pPr>
              <w:rPr>
                <w:rFonts w:ascii="Verdana" w:hAnsi="Verdana"/>
                <w:lang w:val="en-US" w:eastAsia="de-DE"/>
              </w:rPr>
            </w:pPr>
          </w:p>
          <w:p w14:paraId="38A132E8" w14:textId="77777777" w:rsidR="00B957F4" w:rsidRPr="00A84A8D" w:rsidRDefault="00B957F4" w:rsidP="00796D2F">
            <w:pPr>
              <w:rPr>
                <w:rStyle w:val="Bold"/>
                <w:rFonts w:ascii="Verdana" w:hAnsi="Verdana"/>
              </w:rPr>
            </w:pPr>
            <w:r w:rsidRPr="00A84A8D">
              <w:rPr>
                <w:rStyle w:val="Bold"/>
                <w:rFonts w:ascii="Verdana" w:hAnsi="Verdana"/>
              </w:rPr>
              <w:t>Templates: PF.01.01.26; PF.01.01.28; PF.01.01.29:</w:t>
            </w:r>
          </w:p>
          <w:p w14:paraId="1B2AC7D3"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53409F73" w14:textId="77777777" w:rsidR="00B957F4" w:rsidRPr="00A84A8D" w:rsidRDefault="00B957F4" w:rsidP="00796D2F">
            <w:pPr>
              <w:rPr>
                <w:rFonts w:ascii="Verdana" w:hAnsi="Verdana"/>
                <w:lang w:val="en-US" w:eastAsia="de-DE"/>
              </w:rPr>
            </w:pPr>
            <w:r w:rsidRPr="00A84A8D">
              <w:rPr>
                <w:rFonts w:ascii="Verdana" w:hAnsi="Verdana"/>
                <w:lang w:val="en-US" w:eastAsia="de-DE"/>
              </w:rPr>
              <w:t>1 - Reported</w:t>
            </w:r>
          </w:p>
          <w:p w14:paraId="7131E8A6" w14:textId="77777777" w:rsidR="00B957F4" w:rsidRPr="00A84A8D" w:rsidRDefault="00B957F4" w:rsidP="00796D2F">
            <w:pPr>
              <w:rPr>
                <w:rFonts w:ascii="Verdana" w:hAnsi="Verdana"/>
                <w:lang w:val="en-US" w:eastAsia="de-DE"/>
              </w:rPr>
            </w:pPr>
            <w:r w:rsidRPr="00A84A8D">
              <w:rPr>
                <w:rFonts w:ascii="Verdana" w:hAnsi="Verdana"/>
                <w:lang w:val="en-US" w:eastAsia="de-DE"/>
              </w:rPr>
              <w:t>0 - Not reported (in this case special justification is needed)</w:t>
            </w:r>
          </w:p>
        </w:tc>
      </w:tr>
      <w:tr w:rsidR="00B957F4" w:rsidRPr="00A84A8D" w14:paraId="595595F7" w14:textId="77777777" w:rsidTr="00796D2F">
        <w:trPr>
          <w:trHeight w:val="903"/>
        </w:trPr>
        <w:tc>
          <w:tcPr>
            <w:tcW w:w="2093" w:type="dxa"/>
            <w:vAlign w:val="center"/>
          </w:tcPr>
          <w:p w14:paraId="65A2CB87" w14:textId="77777777" w:rsidR="00B957F4" w:rsidRPr="00A84A8D" w:rsidRDefault="00B957F4" w:rsidP="00796D2F">
            <w:pPr>
              <w:rPr>
                <w:rFonts w:ascii="Verdana" w:hAnsi="Verdana"/>
              </w:rPr>
            </w:pPr>
            <w:r w:rsidRPr="00A84A8D">
              <w:rPr>
                <w:rFonts w:ascii="Verdana" w:hAnsi="Verdana"/>
              </w:rPr>
              <w:t>C0010/R0100</w:t>
            </w:r>
          </w:p>
        </w:tc>
        <w:tc>
          <w:tcPr>
            <w:tcW w:w="2268" w:type="dxa"/>
            <w:tcBorders>
              <w:top w:val="nil"/>
              <w:left w:val="single" w:sz="4" w:space="0" w:color="auto"/>
              <w:bottom w:val="single" w:sz="4" w:space="0" w:color="auto"/>
              <w:right w:val="single" w:sz="4" w:space="0" w:color="auto"/>
            </w:tcBorders>
            <w:shd w:val="clear" w:color="auto" w:fill="auto"/>
            <w:vAlign w:val="center"/>
          </w:tcPr>
          <w:p w14:paraId="3166F214" w14:textId="77777777" w:rsidR="00B957F4" w:rsidRPr="00A84A8D" w:rsidRDefault="00B957F4" w:rsidP="00796D2F">
            <w:pPr>
              <w:rPr>
                <w:rFonts w:ascii="Verdana" w:hAnsi="Verdana"/>
                <w:lang w:eastAsia="de-DE"/>
              </w:rPr>
            </w:pPr>
            <w:r w:rsidRPr="00A84A8D">
              <w:rPr>
                <w:rFonts w:ascii="Verdana" w:hAnsi="Verdana"/>
                <w:lang w:eastAsia="de-DE"/>
              </w:rPr>
              <w:t>PF.51.01 - Contributions, benefits paid and transfers</w:t>
            </w:r>
          </w:p>
        </w:tc>
        <w:tc>
          <w:tcPr>
            <w:tcW w:w="5386" w:type="dxa"/>
            <w:vAlign w:val="center"/>
          </w:tcPr>
          <w:p w14:paraId="5561C2A7" w14:textId="77777777" w:rsidR="00B957F4" w:rsidRPr="00A84A8D" w:rsidRDefault="00B957F4" w:rsidP="00796D2F">
            <w:pPr>
              <w:rPr>
                <w:rStyle w:val="Bold"/>
                <w:rFonts w:ascii="Verdana" w:hAnsi="Verdana"/>
              </w:rPr>
            </w:pPr>
            <w:r w:rsidRPr="00A84A8D">
              <w:rPr>
                <w:rStyle w:val="Bold"/>
                <w:rFonts w:ascii="Verdana" w:hAnsi="Verdana"/>
              </w:rPr>
              <w:t>Templates: PF.01.01.24:</w:t>
            </w:r>
          </w:p>
          <w:p w14:paraId="22757542"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0F2030BB" w14:textId="77777777" w:rsidR="00B957F4" w:rsidRPr="00A84A8D" w:rsidRDefault="00B957F4" w:rsidP="00796D2F">
            <w:pPr>
              <w:rPr>
                <w:rFonts w:ascii="Verdana" w:hAnsi="Verdana"/>
                <w:lang w:eastAsia="de-DE"/>
              </w:rPr>
            </w:pPr>
            <w:r w:rsidRPr="00A84A8D">
              <w:rPr>
                <w:rFonts w:ascii="Verdana" w:hAnsi="Verdana"/>
                <w:lang w:eastAsia="de-DE"/>
              </w:rPr>
              <w:t>1 - Reported</w:t>
            </w:r>
          </w:p>
          <w:p w14:paraId="60FA41E9" w14:textId="77777777" w:rsidR="00B957F4" w:rsidRPr="00A84A8D" w:rsidRDefault="00B957F4" w:rsidP="00796D2F">
            <w:pPr>
              <w:rPr>
                <w:rFonts w:ascii="Verdana" w:hAnsi="Verdana"/>
                <w:lang w:eastAsia="de-DE"/>
              </w:rPr>
            </w:pPr>
            <w:r w:rsidRPr="00A84A8D">
              <w:rPr>
                <w:rFonts w:ascii="Verdana" w:hAnsi="Verdana"/>
                <w:lang w:eastAsia="de-DE"/>
              </w:rPr>
              <w:t>20 - Not reported, as not mandatory for non-IORP</w:t>
            </w:r>
          </w:p>
          <w:p w14:paraId="7BBF6886" w14:textId="77777777" w:rsidR="00B957F4" w:rsidRPr="00A84A8D" w:rsidRDefault="00B957F4" w:rsidP="00796D2F">
            <w:pPr>
              <w:rPr>
                <w:rFonts w:ascii="Verdana" w:hAnsi="Verdana"/>
                <w:lang w:eastAsia="de-DE"/>
              </w:rPr>
            </w:pPr>
            <w:r w:rsidRPr="00A84A8D">
              <w:rPr>
                <w:rFonts w:ascii="Verdana" w:hAnsi="Verdana"/>
                <w:lang w:eastAsia="de-DE"/>
              </w:rPr>
              <w:t>0 - Not reported (in this case special justification is needed)</w:t>
            </w:r>
          </w:p>
          <w:p w14:paraId="7919D78F" w14:textId="77777777" w:rsidR="00B957F4" w:rsidRPr="00A84A8D" w:rsidRDefault="00B957F4" w:rsidP="00796D2F">
            <w:pPr>
              <w:rPr>
                <w:rFonts w:ascii="Verdana" w:hAnsi="Verdana"/>
                <w:lang w:val="en-US" w:eastAsia="de-DE"/>
              </w:rPr>
            </w:pPr>
          </w:p>
          <w:p w14:paraId="6F6F84F4" w14:textId="77777777" w:rsidR="00B957F4" w:rsidRPr="00A84A8D" w:rsidRDefault="00B957F4" w:rsidP="00796D2F">
            <w:pPr>
              <w:rPr>
                <w:rStyle w:val="Bold"/>
                <w:rFonts w:ascii="Verdana" w:hAnsi="Verdana"/>
              </w:rPr>
            </w:pPr>
            <w:r w:rsidRPr="00A84A8D">
              <w:rPr>
                <w:rStyle w:val="Bold"/>
                <w:rFonts w:ascii="Verdana" w:hAnsi="Verdana"/>
              </w:rPr>
              <w:t>Templates: PF.01.01.26; PF.01.01.28; PF.01.01.29:</w:t>
            </w:r>
          </w:p>
          <w:p w14:paraId="244C7629" w14:textId="77777777" w:rsidR="00B957F4" w:rsidRPr="00A84A8D" w:rsidRDefault="00B957F4" w:rsidP="00796D2F">
            <w:pPr>
              <w:rPr>
                <w:rFonts w:ascii="Verdana" w:hAnsi="Verdana"/>
                <w:lang w:eastAsia="de-DE"/>
              </w:rPr>
            </w:pPr>
            <w:r w:rsidRPr="00A84A8D">
              <w:rPr>
                <w:rFonts w:ascii="Verdana" w:hAnsi="Verdana"/>
                <w:lang w:eastAsia="de-DE"/>
              </w:rPr>
              <w:t>Please select one option from the following closed list.</w:t>
            </w:r>
          </w:p>
          <w:p w14:paraId="245DBD91" w14:textId="77777777" w:rsidR="00B957F4" w:rsidRPr="00A84A8D" w:rsidRDefault="00B957F4" w:rsidP="00796D2F">
            <w:pPr>
              <w:rPr>
                <w:rFonts w:ascii="Verdana" w:hAnsi="Verdana"/>
                <w:lang w:val="en-US" w:eastAsia="de-DE"/>
              </w:rPr>
            </w:pPr>
            <w:r w:rsidRPr="00A84A8D">
              <w:rPr>
                <w:rFonts w:ascii="Verdana" w:hAnsi="Verdana"/>
                <w:lang w:val="en-US" w:eastAsia="de-DE"/>
              </w:rPr>
              <w:lastRenderedPageBreak/>
              <w:t>1 - Reported</w:t>
            </w:r>
          </w:p>
          <w:p w14:paraId="3B3E1FC5" w14:textId="77777777" w:rsidR="00B957F4" w:rsidRPr="00A84A8D" w:rsidRDefault="00B957F4" w:rsidP="00796D2F">
            <w:pPr>
              <w:rPr>
                <w:rFonts w:ascii="Verdana" w:hAnsi="Verdana"/>
                <w:lang w:eastAsia="de-DE"/>
              </w:rPr>
            </w:pPr>
            <w:r w:rsidRPr="00A84A8D">
              <w:rPr>
                <w:rFonts w:ascii="Verdana" w:hAnsi="Verdana"/>
                <w:lang w:val="en-US" w:eastAsia="de-DE"/>
              </w:rPr>
              <w:t>0 - Not reported (in this case special justification is needed)</w:t>
            </w:r>
          </w:p>
        </w:tc>
      </w:tr>
    </w:tbl>
    <w:p w14:paraId="436716EC" w14:textId="77777777" w:rsidR="00B957F4" w:rsidRPr="00A84A8D" w:rsidRDefault="00B957F4" w:rsidP="00B957F4">
      <w:pPr>
        <w:pStyle w:val="Heading4"/>
      </w:pPr>
    </w:p>
    <w:p w14:paraId="64E72EAE" w14:textId="77777777" w:rsidR="00B957F4" w:rsidRPr="00A84A8D" w:rsidRDefault="00B957F4" w:rsidP="00B957F4">
      <w:pPr>
        <w:pStyle w:val="Heading4"/>
        <w:rPr>
          <w:lang w:val="de-DE"/>
        </w:rPr>
      </w:pPr>
      <w:r w:rsidRPr="00A84A8D">
        <w:t>Basic</w:t>
      </w:r>
      <w:r w:rsidRPr="00A84A8D">
        <w:rPr>
          <w:lang w:val="de-DE"/>
        </w:rPr>
        <w:t xml:space="preserve"> information</w:t>
      </w:r>
      <w:bookmarkEnd w:id="1"/>
      <w:r w:rsidRPr="00A84A8D">
        <w:rPr>
          <w:lang w:val="de-DE"/>
        </w:rPr>
        <w:t xml:space="preserve"> (PF.01.02.24, PF.01.02.25, PF.01.02.26</w:t>
      </w:r>
      <w:r w:rsidRPr="00A84A8D">
        <w:t xml:space="preserve"> and PF 01.02.27</w:t>
      </w:r>
      <w:r w:rsidRPr="00A84A8D">
        <w:rPr>
          <w:lang w:val="de-DE"/>
        </w:rPr>
        <w:t>)</w:t>
      </w:r>
    </w:p>
    <w:p w14:paraId="13F6A5FA" w14:textId="77777777" w:rsidR="00B957F4" w:rsidRPr="00A84A8D" w:rsidRDefault="00B957F4" w:rsidP="00B957F4">
      <w:pPr>
        <w:pStyle w:val="Heading4"/>
        <w:rPr>
          <w:lang w:val="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4AEA76B4" w14:textId="77777777" w:rsidTr="00796D2F">
        <w:tc>
          <w:tcPr>
            <w:tcW w:w="2093" w:type="dxa"/>
          </w:tcPr>
          <w:p w14:paraId="784A1659" w14:textId="77777777" w:rsidR="00B957F4" w:rsidRPr="00A84A8D" w:rsidRDefault="00B957F4" w:rsidP="00796D2F">
            <w:pPr>
              <w:rPr>
                <w:rFonts w:ascii="Verdana" w:hAnsi="Verdana"/>
                <w:lang w:val="de-DE"/>
              </w:rPr>
            </w:pPr>
            <w:r w:rsidRPr="00A84A8D">
              <w:rPr>
                <w:rFonts w:ascii="Verdana" w:hAnsi="Verdana"/>
                <w:lang w:val="de-DE"/>
              </w:rPr>
              <w:t xml:space="preserve"> </w:t>
            </w:r>
          </w:p>
        </w:tc>
        <w:tc>
          <w:tcPr>
            <w:tcW w:w="2268" w:type="dxa"/>
          </w:tcPr>
          <w:p w14:paraId="4D484CD1" w14:textId="77777777" w:rsidR="00B957F4" w:rsidRPr="00A84A8D" w:rsidRDefault="00B957F4" w:rsidP="00796D2F">
            <w:pPr>
              <w:pStyle w:val="BodyLeft"/>
              <w:rPr>
                <w:rStyle w:val="Bold"/>
              </w:rPr>
            </w:pPr>
            <w:r w:rsidRPr="00A84A8D">
              <w:rPr>
                <w:rStyle w:val="Bold"/>
              </w:rPr>
              <w:t>ITEM</w:t>
            </w:r>
          </w:p>
        </w:tc>
        <w:tc>
          <w:tcPr>
            <w:tcW w:w="5386" w:type="dxa"/>
          </w:tcPr>
          <w:p w14:paraId="69B7CAC2" w14:textId="77777777" w:rsidR="00B957F4" w:rsidRPr="00A84A8D" w:rsidRDefault="00B957F4" w:rsidP="00796D2F">
            <w:pPr>
              <w:pStyle w:val="BodyLeft"/>
              <w:rPr>
                <w:rStyle w:val="Bold"/>
              </w:rPr>
            </w:pPr>
            <w:r w:rsidRPr="00A84A8D">
              <w:rPr>
                <w:rStyle w:val="Bold"/>
              </w:rPr>
              <w:t>INSTRUCTIONS</w:t>
            </w:r>
          </w:p>
        </w:tc>
      </w:tr>
      <w:tr w:rsidR="00B957F4" w:rsidRPr="00A84A8D" w14:paraId="0526D092" w14:textId="77777777" w:rsidTr="00796D2F">
        <w:trPr>
          <w:trHeight w:val="660"/>
        </w:trPr>
        <w:tc>
          <w:tcPr>
            <w:tcW w:w="2093" w:type="dxa"/>
            <w:hideMark/>
          </w:tcPr>
          <w:p w14:paraId="1FD8A565" w14:textId="77777777" w:rsidR="00B957F4" w:rsidRPr="00A84A8D" w:rsidRDefault="00B957F4" w:rsidP="00796D2F">
            <w:pPr>
              <w:rPr>
                <w:rFonts w:ascii="Verdana" w:hAnsi="Verdana"/>
              </w:rPr>
            </w:pPr>
            <w:r w:rsidRPr="00A84A8D">
              <w:rPr>
                <w:rFonts w:ascii="Verdana" w:hAnsi="Verdana"/>
              </w:rPr>
              <w:t>C0010/R0010</w:t>
            </w:r>
          </w:p>
          <w:p w14:paraId="554DCA8A" w14:textId="77777777" w:rsidR="00B957F4" w:rsidRPr="00A84A8D" w:rsidRDefault="00B957F4" w:rsidP="00796D2F">
            <w:pPr>
              <w:rPr>
                <w:rFonts w:ascii="Verdana" w:hAnsi="Verdana"/>
              </w:rPr>
            </w:pPr>
          </w:p>
        </w:tc>
        <w:tc>
          <w:tcPr>
            <w:tcW w:w="2268" w:type="dxa"/>
            <w:hideMark/>
          </w:tcPr>
          <w:p w14:paraId="245FE87A" w14:textId="77777777" w:rsidR="00B957F4" w:rsidRPr="00A84A8D" w:rsidRDefault="00B957F4" w:rsidP="00796D2F">
            <w:pPr>
              <w:pStyle w:val="BodyLeft"/>
            </w:pPr>
            <w:r w:rsidRPr="00A84A8D">
              <w:t>Country of authorisation</w:t>
            </w:r>
          </w:p>
        </w:tc>
        <w:tc>
          <w:tcPr>
            <w:tcW w:w="5386" w:type="dxa"/>
            <w:hideMark/>
          </w:tcPr>
          <w:p w14:paraId="0E6649B8" w14:textId="77777777" w:rsidR="00B957F4" w:rsidRPr="00A84A8D" w:rsidRDefault="00B957F4" w:rsidP="00796D2F">
            <w:pPr>
              <w:pStyle w:val="BodyLeft"/>
            </w:pPr>
            <w:r w:rsidRPr="00A84A8D">
              <w:t xml:space="preserve">ISO 3166 code of the country </w:t>
            </w:r>
            <w:proofErr w:type="gramStart"/>
            <w:r w:rsidRPr="00A84A8D">
              <w:t>where  authorisation</w:t>
            </w:r>
            <w:proofErr w:type="gramEnd"/>
            <w:r w:rsidRPr="00A84A8D">
              <w:t xml:space="preserve"> was granted (home country)</w:t>
            </w:r>
          </w:p>
        </w:tc>
      </w:tr>
      <w:tr w:rsidR="00B957F4" w:rsidRPr="00A84A8D" w14:paraId="6F4E731C" w14:textId="77777777" w:rsidTr="00796D2F">
        <w:trPr>
          <w:trHeight w:val="360"/>
        </w:trPr>
        <w:tc>
          <w:tcPr>
            <w:tcW w:w="2093" w:type="dxa"/>
            <w:hideMark/>
          </w:tcPr>
          <w:p w14:paraId="3D1C1169" w14:textId="77777777" w:rsidR="00B957F4" w:rsidRPr="00A84A8D" w:rsidRDefault="00B957F4" w:rsidP="00796D2F">
            <w:pPr>
              <w:rPr>
                <w:rFonts w:ascii="Verdana" w:hAnsi="Verdana"/>
              </w:rPr>
            </w:pPr>
            <w:r w:rsidRPr="00A84A8D">
              <w:rPr>
                <w:rFonts w:ascii="Verdana" w:hAnsi="Verdana"/>
              </w:rPr>
              <w:t>C0010/R0020</w:t>
            </w:r>
          </w:p>
          <w:p w14:paraId="78D4AE9A" w14:textId="77777777" w:rsidR="00B957F4" w:rsidRPr="00A84A8D" w:rsidRDefault="00B957F4" w:rsidP="00796D2F">
            <w:pPr>
              <w:rPr>
                <w:rFonts w:ascii="Verdana" w:hAnsi="Verdana"/>
              </w:rPr>
            </w:pPr>
          </w:p>
        </w:tc>
        <w:tc>
          <w:tcPr>
            <w:tcW w:w="2268" w:type="dxa"/>
            <w:hideMark/>
          </w:tcPr>
          <w:p w14:paraId="123B3266" w14:textId="77777777" w:rsidR="00B957F4" w:rsidRPr="00A84A8D" w:rsidRDefault="00B957F4" w:rsidP="00796D2F">
            <w:pPr>
              <w:pStyle w:val="BodyLeft"/>
            </w:pPr>
            <w:r w:rsidRPr="00A84A8D">
              <w:t>Reporting submission date</w:t>
            </w:r>
          </w:p>
        </w:tc>
        <w:tc>
          <w:tcPr>
            <w:tcW w:w="5386" w:type="dxa"/>
            <w:hideMark/>
          </w:tcPr>
          <w:p w14:paraId="04092EA0" w14:textId="77777777" w:rsidR="00B957F4" w:rsidRPr="00A84A8D" w:rsidRDefault="00B957F4" w:rsidP="00796D2F">
            <w:pPr>
              <w:pStyle w:val="BodyLeft"/>
            </w:pPr>
            <w:r w:rsidRPr="00A84A8D">
              <w:t>ISO 8601 (</w:t>
            </w:r>
            <w:proofErr w:type="spellStart"/>
            <w:r w:rsidRPr="00A84A8D">
              <w:t>yyyy</w:t>
            </w:r>
            <w:proofErr w:type="spellEnd"/>
            <w:r w:rsidRPr="00A84A8D">
              <w:t>-mm-dd) code of the date when the report to the supervisory authority was submitted</w:t>
            </w:r>
          </w:p>
        </w:tc>
      </w:tr>
      <w:tr w:rsidR="00B957F4" w:rsidRPr="00A84A8D" w14:paraId="54BBAC69" w14:textId="77777777" w:rsidTr="00796D2F">
        <w:trPr>
          <w:trHeight w:val="402"/>
        </w:trPr>
        <w:tc>
          <w:tcPr>
            <w:tcW w:w="2093" w:type="dxa"/>
            <w:hideMark/>
          </w:tcPr>
          <w:p w14:paraId="2FA2E1D9" w14:textId="77777777" w:rsidR="00B957F4" w:rsidRPr="00A84A8D" w:rsidRDefault="00B957F4" w:rsidP="00796D2F">
            <w:pPr>
              <w:rPr>
                <w:rFonts w:ascii="Verdana" w:hAnsi="Verdana"/>
              </w:rPr>
            </w:pPr>
            <w:r w:rsidRPr="00A84A8D">
              <w:rPr>
                <w:rFonts w:ascii="Verdana" w:hAnsi="Verdana"/>
              </w:rPr>
              <w:t>C0010/R0030</w:t>
            </w:r>
          </w:p>
          <w:p w14:paraId="16BF123C" w14:textId="77777777" w:rsidR="00B957F4" w:rsidRPr="00A84A8D" w:rsidRDefault="00B957F4" w:rsidP="00796D2F">
            <w:pPr>
              <w:rPr>
                <w:rFonts w:ascii="Verdana" w:hAnsi="Verdana"/>
              </w:rPr>
            </w:pPr>
          </w:p>
        </w:tc>
        <w:tc>
          <w:tcPr>
            <w:tcW w:w="2268" w:type="dxa"/>
            <w:hideMark/>
          </w:tcPr>
          <w:p w14:paraId="3B2B3774" w14:textId="77777777" w:rsidR="00B957F4" w:rsidRPr="00A84A8D" w:rsidRDefault="00B957F4" w:rsidP="00796D2F">
            <w:pPr>
              <w:pStyle w:val="BodyLeft"/>
            </w:pPr>
            <w:r w:rsidRPr="00A84A8D">
              <w:t>Reporting reference date</w:t>
            </w:r>
          </w:p>
        </w:tc>
        <w:tc>
          <w:tcPr>
            <w:tcW w:w="5386" w:type="dxa"/>
            <w:hideMark/>
          </w:tcPr>
          <w:p w14:paraId="03FB24B3" w14:textId="77777777" w:rsidR="00B957F4" w:rsidRPr="00A84A8D" w:rsidRDefault="00B957F4" w:rsidP="00796D2F">
            <w:pPr>
              <w:pStyle w:val="BodyLeft"/>
            </w:pPr>
            <w:r w:rsidRPr="00A84A8D">
              <w:t>ISO 8601 (</w:t>
            </w:r>
            <w:proofErr w:type="spellStart"/>
            <w:r w:rsidRPr="00A84A8D">
              <w:t>yyyy</w:t>
            </w:r>
            <w:proofErr w:type="spellEnd"/>
            <w:r w:rsidRPr="00A84A8D">
              <w:t>-mm-dd) code of the date identifying the last day of the reporting period</w:t>
            </w:r>
          </w:p>
        </w:tc>
      </w:tr>
      <w:tr w:rsidR="00B957F4" w:rsidRPr="00A84A8D" w14:paraId="70A73111" w14:textId="77777777" w:rsidTr="00796D2F">
        <w:trPr>
          <w:trHeight w:val="402"/>
        </w:trPr>
        <w:tc>
          <w:tcPr>
            <w:tcW w:w="2093" w:type="dxa"/>
          </w:tcPr>
          <w:p w14:paraId="3ED219A0" w14:textId="77777777" w:rsidR="00B957F4" w:rsidRPr="00A84A8D" w:rsidRDefault="00B957F4" w:rsidP="00796D2F">
            <w:pPr>
              <w:rPr>
                <w:rFonts w:ascii="Verdana" w:hAnsi="Verdana"/>
              </w:rPr>
            </w:pPr>
            <w:r w:rsidRPr="00A84A8D">
              <w:rPr>
                <w:rFonts w:ascii="Verdana" w:hAnsi="Verdana"/>
              </w:rPr>
              <w:t>C0010/R0040</w:t>
            </w:r>
          </w:p>
          <w:p w14:paraId="1D2DF508" w14:textId="77777777" w:rsidR="00B957F4" w:rsidRPr="00A84A8D" w:rsidRDefault="00B957F4" w:rsidP="00796D2F">
            <w:pPr>
              <w:rPr>
                <w:rFonts w:ascii="Verdana" w:hAnsi="Verdana"/>
              </w:rPr>
            </w:pPr>
          </w:p>
        </w:tc>
        <w:tc>
          <w:tcPr>
            <w:tcW w:w="2268" w:type="dxa"/>
          </w:tcPr>
          <w:p w14:paraId="071DE896" w14:textId="77777777" w:rsidR="00B957F4" w:rsidRPr="00A84A8D" w:rsidRDefault="00B957F4" w:rsidP="00796D2F">
            <w:pPr>
              <w:pStyle w:val="BodyLeft"/>
            </w:pPr>
            <w:r w:rsidRPr="00A84A8D">
              <w:t>Financial year end</w:t>
            </w:r>
          </w:p>
        </w:tc>
        <w:tc>
          <w:tcPr>
            <w:tcW w:w="5386" w:type="dxa"/>
          </w:tcPr>
          <w:p w14:paraId="21706A35" w14:textId="77777777" w:rsidR="00B957F4" w:rsidRPr="00A84A8D" w:rsidRDefault="00B957F4" w:rsidP="00796D2F">
            <w:pPr>
              <w:pStyle w:val="BodyLeft"/>
            </w:pPr>
            <w:r w:rsidRPr="00A84A8D">
              <w:t>Identify the ISO 8601 (</w:t>
            </w:r>
            <w:proofErr w:type="spellStart"/>
            <w:r w:rsidRPr="00A84A8D">
              <w:t>yyyy</w:t>
            </w:r>
            <w:proofErr w:type="spellEnd"/>
            <w:r w:rsidRPr="00A84A8D">
              <w:t xml:space="preserve">–mm–dd) code of the financial year end of the undertaking, </w:t>
            </w:r>
            <w:proofErr w:type="gramStart"/>
            <w:r w:rsidRPr="00A84A8D">
              <w:t>e.g.</w:t>
            </w:r>
            <w:proofErr w:type="gramEnd"/>
            <w:r w:rsidRPr="00A84A8D">
              <w:t xml:space="preserve"> 2017-12-31</w:t>
            </w:r>
          </w:p>
        </w:tc>
      </w:tr>
      <w:tr w:rsidR="00B957F4" w:rsidRPr="00A84A8D" w14:paraId="3DC63537" w14:textId="77777777" w:rsidTr="00796D2F">
        <w:trPr>
          <w:trHeight w:val="702"/>
        </w:trPr>
        <w:tc>
          <w:tcPr>
            <w:tcW w:w="2093" w:type="dxa"/>
            <w:hideMark/>
          </w:tcPr>
          <w:p w14:paraId="591253C2" w14:textId="77777777" w:rsidR="00B957F4" w:rsidRPr="00A84A8D" w:rsidRDefault="00B957F4" w:rsidP="00796D2F">
            <w:pPr>
              <w:rPr>
                <w:rFonts w:ascii="Verdana" w:hAnsi="Verdana"/>
              </w:rPr>
            </w:pPr>
            <w:r w:rsidRPr="00A84A8D">
              <w:rPr>
                <w:rFonts w:ascii="Verdana" w:hAnsi="Verdana"/>
              </w:rPr>
              <w:t>C0010/R0050</w:t>
            </w:r>
          </w:p>
          <w:p w14:paraId="2F24199C" w14:textId="77777777" w:rsidR="00B957F4" w:rsidRPr="00A84A8D" w:rsidRDefault="00B957F4" w:rsidP="00796D2F">
            <w:pPr>
              <w:rPr>
                <w:rFonts w:ascii="Verdana" w:hAnsi="Verdana"/>
              </w:rPr>
            </w:pPr>
          </w:p>
        </w:tc>
        <w:tc>
          <w:tcPr>
            <w:tcW w:w="2268" w:type="dxa"/>
            <w:hideMark/>
          </w:tcPr>
          <w:p w14:paraId="16F7513D" w14:textId="77777777" w:rsidR="00B957F4" w:rsidRPr="00A84A8D" w:rsidRDefault="00B957F4" w:rsidP="00796D2F">
            <w:pPr>
              <w:pStyle w:val="BodyLeft"/>
            </w:pPr>
            <w:r w:rsidRPr="00A84A8D">
              <w:t>Currency used for reporting</w:t>
            </w:r>
          </w:p>
        </w:tc>
        <w:tc>
          <w:tcPr>
            <w:tcW w:w="5386" w:type="dxa"/>
            <w:hideMark/>
          </w:tcPr>
          <w:p w14:paraId="28F4434A" w14:textId="77777777" w:rsidR="00B957F4" w:rsidRPr="00A84A8D" w:rsidRDefault="00B957F4" w:rsidP="00796D2F">
            <w:pPr>
              <w:pStyle w:val="BodyLeft"/>
            </w:pPr>
            <w:r w:rsidRPr="00A84A8D">
              <w:t>ISO 4217 alphabetic code of the currency of the monetary amounts used in each report</w:t>
            </w:r>
          </w:p>
        </w:tc>
      </w:tr>
      <w:tr w:rsidR="00B957F4" w:rsidRPr="00A84A8D" w14:paraId="316CFD75" w14:textId="77777777" w:rsidTr="00796D2F">
        <w:trPr>
          <w:trHeight w:val="903"/>
        </w:trPr>
        <w:tc>
          <w:tcPr>
            <w:tcW w:w="2093" w:type="dxa"/>
          </w:tcPr>
          <w:p w14:paraId="77F455D2" w14:textId="77777777" w:rsidR="00B957F4" w:rsidRPr="00A84A8D" w:rsidRDefault="00B957F4" w:rsidP="00796D2F">
            <w:pPr>
              <w:rPr>
                <w:rFonts w:ascii="Verdana" w:hAnsi="Verdana"/>
              </w:rPr>
            </w:pPr>
            <w:r w:rsidRPr="00A84A8D">
              <w:rPr>
                <w:rFonts w:ascii="Verdana" w:hAnsi="Verdana"/>
              </w:rPr>
              <w:t>C0010/R0060</w:t>
            </w:r>
          </w:p>
          <w:p w14:paraId="738D4722" w14:textId="77777777" w:rsidR="00B957F4" w:rsidRPr="00A84A8D" w:rsidRDefault="00B957F4" w:rsidP="00796D2F">
            <w:pPr>
              <w:rPr>
                <w:rFonts w:ascii="Verdana" w:hAnsi="Verdana"/>
              </w:rPr>
            </w:pPr>
          </w:p>
        </w:tc>
        <w:tc>
          <w:tcPr>
            <w:tcW w:w="2268" w:type="dxa"/>
          </w:tcPr>
          <w:p w14:paraId="0DEEC849" w14:textId="77777777" w:rsidR="00B957F4" w:rsidRPr="00A84A8D" w:rsidRDefault="00B957F4" w:rsidP="00796D2F">
            <w:pPr>
              <w:pStyle w:val="BodyLeft"/>
            </w:pPr>
            <w:r w:rsidRPr="00A84A8D">
              <w:t>Initial submission or re-submission</w:t>
            </w:r>
          </w:p>
        </w:tc>
        <w:tc>
          <w:tcPr>
            <w:tcW w:w="5386" w:type="dxa"/>
          </w:tcPr>
          <w:p w14:paraId="1C863F69" w14:textId="77777777" w:rsidR="00B957F4" w:rsidRPr="00A84A8D" w:rsidRDefault="00B957F4" w:rsidP="00796D2F">
            <w:pPr>
              <w:pStyle w:val="BodyLeft"/>
            </w:pPr>
            <w:r w:rsidRPr="00A84A8D">
              <w:t>1 – Initial submission</w:t>
            </w:r>
          </w:p>
          <w:p w14:paraId="653B5D09" w14:textId="77777777" w:rsidR="00B957F4" w:rsidRPr="00A84A8D" w:rsidRDefault="00B957F4" w:rsidP="00796D2F">
            <w:pPr>
              <w:pStyle w:val="BodyLeft"/>
            </w:pPr>
            <w:r w:rsidRPr="00A84A8D">
              <w:t>2 – Re-submission</w:t>
            </w:r>
          </w:p>
        </w:tc>
      </w:tr>
    </w:tbl>
    <w:p w14:paraId="3D444D84" w14:textId="77777777" w:rsidR="00B957F4" w:rsidRPr="00A84A8D" w:rsidRDefault="00B957F4" w:rsidP="00B957F4">
      <w:pPr>
        <w:rPr>
          <w:rFonts w:ascii="Verdana" w:hAnsi="Verdana"/>
        </w:rPr>
      </w:pPr>
      <w:bookmarkStart w:id="4" w:name="_Toc477425249"/>
      <w:bookmarkStart w:id="5" w:name="_Toc477445255"/>
    </w:p>
    <w:p w14:paraId="005E9CE5" w14:textId="77777777" w:rsidR="00B957F4" w:rsidRPr="00A84A8D" w:rsidRDefault="00B957F4" w:rsidP="00B957F4">
      <w:pPr>
        <w:pStyle w:val="Heading4"/>
      </w:pPr>
      <w:bookmarkStart w:id="6" w:name="_Toc484604316"/>
      <w:bookmarkStart w:id="7" w:name="_Toc484788325"/>
      <w:bookmarkStart w:id="8" w:name="_Toc485028000"/>
      <w:r w:rsidRPr="00A84A8D">
        <w:t>Basic information - individual reporting</w:t>
      </w:r>
      <w:bookmarkEnd w:id="6"/>
      <w:bookmarkEnd w:id="7"/>
      <w:bookmarkEnd w:id="8"/>
      <w:r w:rsidRPr="00A84A8D">
        <w:t xml:space="preserve"> only (PF.01.02.24, PF.01.02.25)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0077D0EF" w14:textId="77777777" w:rsidTr="00796D2F">
        <w:tc>
          <w:tcPr>
            <w:tcW w:w="2093" w:type="dxa"/>
            <w:tcBorders>
              <w:top w:val="single" w:sz="4" w:space="0" w:color="auto"/>
              <w:left w:val="single" w:sz="4" w:space="0" w:color="auto"/>
              <w:bottom w:val="single" w:sz="4" w:space="0" w:color="auto"/>
              <w:right w:val="single" w:sz="4" w:space="0" w:color="auto"/>
            </w:tcBorders>
            <w:hideMark/>
          </w:tcPr>
          <w:p w14:paraId="48B5ABCC"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7C8C8A32"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hideMark/>
          </w:tcPr>
          <w:p w14:paraId="369EADA1" w14:textId="77777777" w:rsidR="00B957F4" w:rsidRPr="00A84A8D" w:rsidRDefault="00B957F4" w:rsidP="00796D2F">
            <w:pPr>
              <w:pStyle w:val="BodyLeft"/>
              <w:rPr>
                <w:rStyle w:val="Bold"/>
              </w:rPr>
            </w:pPr>
            <w:r w:rsidRPr="00A84A8D">
              <w:rPr>
                <w:rStyle w:val="Bold"/>
              </w:rPr>
              <w:t>INSTRUCTIONS</w:t>
            </w:r>
          </w:p>
        </w:tc>
      </w:tr>
      <w:tr w:rsidR="00B957F4" w:rsidRPr="00A84A8D" w14:paraId="55046AFB" w14:textId="77777777" w:rsidTr="00796D2F">
        <w:tc>
          <w:tcPr>
            <w:tcW w:w="2093" w:type="dxa"/>
            <w:tcBorders>
              <w:top w:val="single" w:sz="4" w:space="0" w:color="auto"/>
              <w:left w:val="single" w:sz="4" w:space="0" w:color="auto"/>
              <w:bottom w:val="single" w:sz="4" w:space="0" w:color="auto"/>
              <w:right w:val="single" w:sz="4" w:space="0" w:color="auto"/>
            </w:tcBorders>
            <w:hideMark/>
          </w:tcPr>
          <w:p w14:paraId="0F971354" w14:textId="77777777" w:rsidR="00B957F4" w:rsidRPr="00A84A8D" w:rsidRDefault="00B957F4" w:rsidP="00796D2F">
            <w:pPr>
              <w:rPr>
                <w:rFonts w:ascii="Verdana" w:hAnsi="Verdana"/>
              </w:rPr>
            </w:pPr>
            <w:r w:rsidRPr="00A84A8D">
              <w:rPr>
                <w:rFonts w:ascii="Verdana" w:hAnsi="Verdana"/>
              </w:rPr>
              <w:t>C0010/R0070</w:t>
            </w:r>
          </w:p>
          <w:p w14:paraId="31CD415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2A500141" w14:textId="77777777" w:rsidR="00B957F4" w:rsidRPr="00A84A8D" w:rsidRDefault="00B957F4" w:rsidP="00796D2F">
            <w:pPr>
              <w:pStyle w:val="BodyLeft"/>
            </w:pPr>
            <w:r w:rsidRPr="00A84A8D">
              <w:t>Pension fund name</w:t>
            </w:r>
          </w:p>
        </w:tc>
        <w:tc>
          <w:tcPr>
            <w:tcW w:w="5386" w:type="dxa"/>
            <w:tcBorders>
              <w:top w:val="single" w:sz="4" w:space="0" w:color="auto"/>
              <w:left w:val="single" w:sz="4" w:space="0" w:color="auto"/>
              <w:bottom w:val="single" w:sz="4" w:space="0" w:color="auto"/>
              <w:right w:val="single" w:sz="4" w:space="0" w:color="auto"/>
            </w:tcBorders>
            <w:hideMark/>
          </w:tcPr>
          <w:p w14:paraId="5A4CF29E" w14:textId="77777777" w:rsidR="00B957F4" w:rsidRPr="00A84A8D" w:rsidRDefault="00B957F4" w:rsidP="00796D2F">
            <w:pPr>
              <w:pStyle w:val="BodyLeft"/>
            </w:pPr>
            <w:r w:rsidRPr="00A84A8D">
              <w:t xml:space="preserve">Legal name </w:t>
            </w:r>
          </w:p>
        </w:tc>
      </w:tr>
      <w:tr w:rsidR="00B957F4" w:rsidRPr="00A84A8D" w14:paraId="2EFD359B" w14:textId="77777777" w:rsidTr="00796D2F">
        <w:tc>
          <w:tcPr>
            <w:tcW w:w="2093" w:type="dxa"/>
            <w:tcBorders>
              <w:top w:val="single" w:sz="4" w:space="0" w:color="auto"/>
              <w:left w:val="single" w:sz="4" w:space="0" w:color="auto"/>
              <w:bottom w:val="single" w:sz="4" w:space="0" w:color="auto"/>
              <w:right w:val="single" w:sz="4" w:space="0" w:color="auto"/>
            </w:tcBorders>
          </w:tcPr>
          <w:p w14:paraId="2588FD98" w14:textId="77777777" w:rsidR="00B957F4" w:rsidRPr="00A84A8D" w:rsidRDefault="00B957F4" w:rsidP="00796D2F">
            <w:pPr>
              <w:rPr>
                <w:rFonts w:ascii="Verdana" w:hAnsi="Verdana"/>
              </w:rPr>
            </w:pPr>
            <w:r w:rsidRPr="00A84A8D">
              <w:rPr>
                <w:rFonts w:ascii="Verdana" w:hAnsi="Verdana"/>
              </w:rPr>
              <w:t>C0010/R0080</w:t>
            </w:r>
          </w:p>
          <w:p w14:paraId="137584F7"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1E7ABBEB" w14:textId="77777777" w:rsidR="00B957F4" w:rsidRPr="00A84A8D" w:rsidRDefault="00B957F4" w:rsidP="00796D2F">
            <w:pPr>
              <w:pStyle w:val="BodyLeft"/>
            </w:pPr>
            <w:r w:rsidRPr="00A84A8D">
              <w:t>Pension fund identification code and type of code</w:t>
            </w:r>
          </w:p>
        </w:tc>
        <w:tc>
          <w:tcPr>
            <w:tcW w:w="5386" w:type="dxa"/>
            <w:tcBorders>
              <w:top w:val="single" w:sz="4" w:space="0" w:color="auto"/>
              <w:left w:val="single" w:sz="4" w:space="0" w:color="auto"/>
              <w:bottom w:val="single" w:sz="4" w:space="0" w:color="auto"/>
              <w:right w:val="single" w:sz="4" w:space="0" w:color="auto"/>
            </w:tcBorders>
            <w:hideMark/>
          </w:tcPr>
          <w:p w14:paraId="6587E516" w14:textId="77777777" w:rsidR="00B957F4" w:rsidRPr="00A84A8D" w:rsidRDefault="00B957F4" w:rsidP="00796D2F">
            <w:pPr>
              <w:pStyle w:val="BodyLeft"/>
            </w:pPr>
            <w:r w:rsidRPr="00A84A8D">
              <w:t>Identification code of the pension fund:</w:t>
            </w:r>
          </w:p>
          <w:p w14:paraId="296C581B" w14:textId="77777777" w:rsidR="00B957F4" w:rsidRPr="00A84A8D" w:rsidRDefault="00B957F4" w:rsidP="00796D2F">
            <w:pPr>
              <w:pStyle w:val="BodyLeft"/>
            </w:pPr>
            <w:r w:rsidRPr="00A84A8D">
              <w:t xml:space="preserve"> – Legal Entity Identifier (“LEI”)</w:t>
            </w:r>
          </w:p>
          <w:p w14:paraId="3C7CD8DA" w14:textId="3703A82F" w:rsidR="00B957F4" w:rsidRPr="00A84A8D" w:rsidRDefault="00B957F4" w:rsidP="00796D2F">
            <w:pPr>
              <w:pStyle w:val="BodyLeft"/>
            </w:pPr>
            <w:r w:rsidRPr="00A84A8D">
              <w:t xml:space="preserve"> Only if the pension fund does not have a LEI code</w:t>
            </w:r>
            <w:r w:rsidR="004D1672" w:rsidRPr="00A84A8D">
              <w:t xml:space="preserve"> and not in the scope of the mandatory individual reporting</w:t>
            </w:r>
            <w:r w:rsidRPr="00A84A8D">
              <w:t xml:space="preserve">: identification code used in the local market, attributed by supervisory authority. This code should be the code used to identify codes in EIOPA register on IORPs </w:t>
            </w:r>
          </w:p>
          <w:p w14:paraId="1C980342" w14:textId="77777777" w:rsidR="00B957F4" w:rsidRPr="00A84A8D" w:rsidRDefault="00B957F4" w:rsidP="00796D2F">
            <w:pPr>
              <w:pStyle w:val="BodyLeft"/>
            </w:pPr>
            <w:r w:rsidRPr="00A84A8D">
              <w:t xml:space="preserve">And type of ID Code used: </w:t>
            </w:r>
          </w:p>
          <w:p w14:paraId="0EC1A936" w14:textId="77777777" w:rsidR="00B957F4" w:rsidRPr="00A84A8D" w:rsidRDefault="00B957F4" w:rsidP="00796D2F">
            <w:pPr>
              <w:pStyle w:val="BodyLeft"/>
            </w:pPr>
            <w:r w:rsidRPr="00A84A8D">
              <w:t xml:space="preserve">1 – LEI </w:t>
            </w:r>
          </w:p>
          <w:p w14:paraId="368532DE" w14:textId="77777777" w:rsidR="00B957F4" w:rsidRPr="00A84A8D" w:rsidRDefault="00B957F4" w:rsidP="00796D2F">
            <w:pPr>
              <w:pStyle w:val="BodyLeft"/>
            </w:pPr>
            <w:r w:rsidRPr="00A84A8D">
              <w:lastRenderedPageBreak/>
              <w:t>2 – Specific code</w:t>
            </w:r>
          </w:p>
        </w:tc>
      </w:tr>
      <w:tr w:rsidR="00B957F4" w:rsidRPr="00A84A8D" w14:paraId="0ECDEE31" w14:textId="77777777" w:rsidTr="00796D2F">
        <w:tc>
          <w:tcPr>
            <w:tcW w:w="2093" w:type="dxa"/>
            <w:tcBorders>
              <w:top w:val="single" w:sz="4" w:space="0" w:color="auto"/>
              <w:left w:val="single" w:sz="4" w:space="0" w:color="auto"/>
              <w:bottom w:val="single" w:sz="4" w:space="0" w:color="auto"/>
              <w:right w:val="single" w:sz="4" w:space="0" w:color="auto"/>
            </w:tcBorders>
          </w:tcPr>
          <w:p w14:paraId="42FE55AC" w14:textId="77777777" w:rsidR="00B957F4" w:rsidRPr="00A84A8D" w:rsidRDefault="00B957F4" w:rsidP="00796D2F">
            <w:pPr>
              <w:rPr>
                <w:rFonts w:ascii="Verdana" w:hAnsi="Verdana"/>
              </w:rPr>
            </w:pPr>
            <w:r w:rsidRPr="00A84A8D">
              <w:rPr>
                <w:rFonts w:ascii="Verdana" w:hAnsi="Verdana"/>
              </w:rPr>
              <w:lastRenderedPageBreak/>
              <w:t>C0010/R0090</w:t>
            </w:r>
          </w:p>
          <w:p w14:paraId="32298393"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7DA95AF1" w14:textId="77777777" w:rsidR="00B957F4" w:rsidRPr="00A84A8D" w:rsidRDefault="00B957F4" w:rsidP="00796D2F">
            <w:pPr>
              <w:pStyle w:val="BodyLeft"/>
            </w:pPr>
            <w:r w:rsidRPr="00A84A8D">
              <w:t>Pension fund category</w:t>
            </w:r>
          </w:p>
        </w:tc>
        <w:tc>
          <w:tcPr>
            <w:tcW w:w="5386" w:type="dxa"/>
            <w:tcBorders>
              <w:top w:val="single" w:sz="4" w:space="0" w:color="auto"/>
              <w:left w:val="single" w:sz="4" w:space="0" w:color="auto"/>
              <w:bottom w:val="single" w:sz="4" w:space="0" w:color="auto"/>
              <w:right w:val="single" w:sz="4" w:space="0" w:color="auto"/>
            </w:tcBorders>
          </w:tcPr>
          <w:p w14:paraId="6512C6C2" w14:textId="77777777" w:rsidR="00B957F4" w:rsidRPr="00A84A8D" w:rsidRDefault="00B957F4" w:rsidP="00796D2F">
            <w:pPr>
              <w:pStyle w:val="BodyLeft"/>
            </w:pPr>
            <w:r w:rsidRPr="00A84A8D">
              <w:t xml:space="preserve">1 – IORP providing protection in line with Art. 15(1) of IORP Directive </w:t>
            </w:r>
          </w:p>
          <w:p w14:paraId="1C600062" w14:textId="77777777" w:rsidR="00B957F4" w:rsidRPr="00A84A8D" w:rsidRDefault="00B957F4" w:rsidP="00796D2F">
            <w:pPr>
              <w:pStyle w:val="BodyLeft"/>
            </w:pPr>
            <w:r w:rsidRPr="00A84A8D">
              <w:t>2 – IORP not providing protection in line with Art. 15(1) of IORP Directive</w:t>
            </w:r>
          </w:p>
          <w:p w14:paraId="29FB6567" w14:textId="77777777" w:rsidR="00B957F4" w:rsidRPr="00A84A8D" w:rsidRDefault="00B957F4" w:rsidP="00796D2F">
            <w:pPr>
              <w:pStyle w:val="BodyLeft"/>
            </w:pPr>
            <w:r w:rsidRPr="00A84A8D">
              <w:t>3 - Occupational retirement business as referred to in Art 4 of IORP Directive.</w:t>
            </w:r>
          </w:p>
          <w:p w14:paraId="2C6DE3EE" w14:textId="77777777" w:rsidR="00B957F4" w:rsidRPr="00A84A8D" w:rsidRDefault="00B957F4" w:rsidP="00796D2F">
            <w:pPr>
              <w:pStyle w:val="BodyLeft"/>
            </w:pPr>
            <w:r w:rsidRPr="00A84A8D">
              <w:t>4 - nationally regulated pension fund not regulated by IORP Directive ('non-IORP')</w:t>
            </w:r>
          </w:p>
        </w:tc>
      </w:tr>
      <w:tr w:rsidR="00B957F4" w:rsidRPr="00A84A8D" w14:paraId="12E2B13C" w14:textId="77777777" w:rsidTr="00796D2F">
        <w:tc>
          <w:tcPr>
            <w:tcW w:w="2093" w:type="dxa"/>
            <w:tcBorders>
              <w:top w:val="single" w:sz="4" w:space="0" w:color="auto"/>
              <w:left w:val="single" w:sz="4" w:space="0" w:color="auto"/>
              <w:bottom w:val="single" w:sz="4" w:space="0" w:color="auto"/>
              <w:right w:val="single" w:sz="4" w:space="0" w:color="auto"/>
            </w:tcBorders>
          </w:tcPr>
          <w:p w14:paraId="0D378148" w14:textId="77777777" w:rsidR="00B957F4" w:rsidRPr="00A84A8D" w:rsidRDefault="00B957F4" w:rsidP="00796D2F">
            <w:pPr>
              <w:rPr>
                <w:rFonts w:ascii="Verdana" w:hAnsi="Verdana"/>
              </w:rPr>
            </w:pPr>
            <w:r w:rsidRPr="00A84A8D">
              <w:rPr>
                <w:rFonts w:ascii="Verdana" w:hAnsi="Verdana"/>
              </w:rPr>
              <w:t>C0010/R0100</w:t>
            </w:r>
          </w:p>
          <w:p w14:paraId="25675277"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07D378A0" w14:textId="77777777" w:rsidR="00B957F4" w:rsidRPr="00A84A8D" w:rsidRDefault="00B957F4" w:rsidP="00796D2F">
            <w:pPr>
              <w:pStyle w:val="BodyLeft"/>
            </w:pPr>
            <w:r w:rsidRPr="00A84A8D">
              <w:t>Pension fund type</w:t>
            </w:r>
          </w:p>
        </w:tc>
        <w:tc>
          <w:tcPr>
            <w:tcW w:w="5386" w:type="dxa"/>
            <w:tcBorders>
              <w:top w:val="single" w:sz="4" w:space="0" w:color="auto"/>
              <w:left w:val="single" w:sz="4" w:space="0" w:color="auto"/>
              <w:bottom w:val="single" w:sz="4" w:space="0" w:color="auto"/>
              <w:right w:val="single" w:sz="4" w:space="0" w:color="auto"/>
            </w:tcBorders>
          </w:tcPr>
          <w:p w14:paraId="56C739FC" w14:textId="77777777" w:rsidR="00B957F4" w:rsidRPr="00A84A8D" w:rsidRDefault="00B957F4" w:rsidP="00796D2F">
            <w:pPr>
              <w:pStyle w:val="BodyLeft"/>
            </w:pPr>
            <w:r w:rsidRPr="00A84A8D">
              <w:t xml:space="preserve">Pension fund type: </w:t>
            </w:r>
          </w:p>
          <w:p w14:paraId="34086AAA" w14:textId="77777777" w:rsidR="00B957F4" w:rsidRPr="00A84A8D" w:rsidRDefault="00B957F4" w:rsidP="00796D2F">
            <w:pPr>
              <w:pStyle w:val="BodyLeft"/>
            </w:pPr>
            <w:r w:rsidRPr="00A84A8D">
              <w:t>1 – Pension fund provides DB schemes only</w:t>
            </w:r>
          </w:p>
          <w:p w14:paraId="41F0C7BC" w14:textId="77777777" w:rsidR="00B957F4" w:rsidRPr="00A84A8D" w:rsidRDefault="00B957F4" w:rsidP="00796D2F">
            <w:pPr>
              <w:pStyle w:val="BodyLeft"/>
            </w:pPr>
            <w:r w:rsidRPr="00A84A8D">
              <w:t>2 – Pension fund provides DC schemes only</w:t>
            </w:r>
          </w:p>
          <w:p w14:paraId="4D2B582E" w14:textId="77777777" w:rsidR="00B957F4" w:rsidRPr="00A84A8D" w:rsidRDefault="00B957F4" w:rsidP="00796D2F">
            <w:pPr>
              <w:pStyle w:val="BodyLeft"/>
            </w:pPr>
            <w:r w:rsidRPr="00A84A8D">
              <w:t xml:space="preserve">3 – mixed pension fund </w:t>
            </w:r>
          </w:p>
        </w:tc>
      </w:tr>
      <w:tr w:rsidR="00B957F4" w:rsidRPr="00A84A8D" w14:paraId="48C9210C" w14:textId="77777777" w:rsidTr="00796D2F">
        <w:trPr>
          <w:trHeight w:val="799"/>
        </w:trPr>
        <w:tc>
          <w:tcPr>
            <w:tcW w:w="2093" w:type="dxa"/>
            <w:tcBorders>
              <w:top w:val="single" w:sz="4" w:space="0" w:color="auto"/>
              <w:left w:val="single" w:sz="4" w:space="0" w:color="auto"/>
              <w:bottom w:val="single" w:sz="4" w:space="0" w:color="auto"/>
              <w:right w:val="single" w:sz="4" w:space="0" w:color="auto"/>
            </w:tcBorders>
            <w:hideMark/>
          </w:tcPr>
          <w:p w14:paraId="1DB5FA14" w14:textId="77777777" w:rsidR="00B957F4" w:rsidRPr="00A84A8D" w:rsidRDefault="00B957F4" w:rsidP="00796D2F">
            <w:pPr>
              <w:rPr>
                <w:rFonts w:ascii="Verdana" w:hAnsi="Verdana"/>
              </w:rPr>
            </w:pPr>
            <w:r w:rsidRPr="00A84A8D">
              <w:rPr>
                <w:rFonts w:ascii="Verdana" w:hAnsi="Verdana"/>
              </w:rPr>
              <w:t>C0010/R0110</w:t>
            </w:r>
          </w:p>
          <w:p w14:paraId="69479C57"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7B45B5F4" w14:textId="77777777" w:rsidR="00B957F4" w:rsidRPr="00A84A8D" w:rsidRDefault="00B957F4" w:rsidP="00796D2F">
            <w:pPr>
              <w:pStyle w:val="BodyLeft"/>
            </w:pPr>
            <w:r w:rsidRPr="00A84A8D">
              <w:t>Type of sponsor arrangement</w:t>
            </w:r>
          </w:p>
        </w:tc>
        <w:tc>
          <w:tcPr>
            <w:tcW w:w="5386" w:type="dxa"/>
            <w:tcBorders>
              <w:top w:val="single" w:sz="4" w:space="0" w:color="auto"/>
              <w:left w:val="single" w:sz="4" w:space="0" w:color="auto"/>
              <w:bottom w:val="single" w:sz="4" w:space="0" w:color="auto"/>
              <w:right w:val="single" w:sz="4" w:space="0" w:color="auto"/>
            </w:tcBorders>
            <w:hideMark/>
          </w:tcPr>
          <w:p w14:paraId="3C62579D" w14:textId="77777777" w:rsidR="00B957F4" w:rsidRPr="00A84A8D" w:rsidRDefault="00B957F4" w:rsidP="00796D2F">
            <w:pPr>
              <w:pStyle w:val="BodyLeft"/>
            </w:pPr>
            <w:r w:rsidRPr="00A84A8D">
              <w:t xml:space="preserve">1 – Single-employer </w:t>
            </w:r>
          </w:p>
          <w:p w14:paraId="23C7F32F" w14:textId="77777777" w:rsidR="00B957F4" w:rsidRPr="00A84A8D" w:rsidRDefault="00B957F4" w:rsidP="00796D2F">
            <w:pPr>
              <w:pStyle w:val="BodyLeft"/>
            </w:pPr>
            <w:r w:rsidRPr="00A84A8D">
              <w:t xml:space="preserve">2 – </w:t>
            </w:r>
            <w:proofErr w:type="gramStart"/>
            <w:r w:rsidRPr="00A84A8D">
              <w:t>Multi-employer</w:t>
            </w:r>
            <w:proofErr w:type="gramEnd"/>
            <w:r w:rsidRPr="00A84A8D">
              <w:t xml:space="preserve"> </w:t>
            </w:r>
          </w:p>
        </w:tc>
      </w:tr>
      <w:tr w:rsidR="00B957F4" w:rsidRPr="00A84A8D" w14:paraId="3CF98F34" w14:textId="77777777" w:rsidTr="00796D2F">
        <w:trPr>
          <w:trHeight w:val="778"/>
        </w:trPr>
        <w:tc>
          <w:tcPr>
            <w:tcW w:w="2093" w:type="dxa"/>
            <w:tcBorders>
              <w:top w:val="single" w:sz="4" w:space="0" w:color="auto"/>
              <w:left w:val="single" w:sz="4" w:space="0" w:color="auto"/>
              <w:bottom w:val="single" w:sz="4" w:space="0" w:color="auto"/>
              <w:right w:val="single" w:sz="4" w:space="0" w:color="auto"/>
            </w:tcBorders>
          </w:tcPr>
          <w:p w14:paraId="6705B46E" w14:textId="77777777" w:rsidR="00B957F4" w:rsidRPr="00A84A8D" w:rsidRDefault="00B957F4" w:rsidP="00796D2F">
            <w:pPr>
              <w:rPr>
                <w:rFonts w:ascii="Verdana" w:hAnsi="Verdana"/>
              </w:rPr>
            </w:pPr>
            <w:r w:rsidRPr="00A84A8D">
              <w:rPr>
                <w:rFonts w:ascii="Verdana" w:hAnsi="Verdana"/>
              </w:rPr>
              <w:t>C0010/R0120</w:t>
            </w:r>
          </w:p>
          <w:p w14:paraId="60E7CF7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380E79C5" w14:textId="77777777" w:rsidR="00B957F4" w:rsidRPr="00A84A8D" w:rsidRDefault="00B957F4" w:rsidP="00796D2F">
            <w:pPr>
              <w:pStyle w:val="BodyLeft"/>
            </w:pPr>
            <w:r w:rsidRPr="00A84A8D">
              <w:t>Number of schemes</w:t>
            </w:r>
          </w:p>
        </w:tc>
        <w:tc>
          <w:tcPr>
            <w:tcW w:w="5386" w:type="dxa"/>
            <w:tcBorders>
              <w:top w:val="single" w:sz="4" w:space="0" w:color="auto"/>
              <w:left w:val="single" w:sz="4" w:space="0" w:color="auto"/>
              <w:bottom w:val="single" w:sz="4" w:space="0" w:color="auto"/>
              <w:right w:val="single" w:sz="4" w:space="0" w:color="auto"/>
            </w:tcBorders>
            <w:hideMark/>
          </w:tcPr>
          <w:p w14:paraId="1E62523C" w14:textId="77777777" w:rsidR="00B957F4" w:rsidRPr="00A84A8D" w:rsidRDefault="00B957F4" w:rsidP="00796D2F">
            <w:pPr>
              <w:pStyle w:val="BodyLeft"/>
            </w:pPr>
            <w:r w:rsidRPr="00A84A8D">
              <w:t>The n</w:t>
            </w:r>
            <w:r w:rsidRPr="00A84A8D">
              <w:rPr>
                <w:lang w:val="en-US"/>
              </w:rPr>
              <w:t>umber of pension schemes (</w:t>
            </w:r>
            <w:r w:rsidRPr="00A84A8D">
              <w:t xml:space="preserve">code </w:t>
            </w:r>
            <w:r w:rsidRPr="00A84A8D">
              <w:rPr>
                <w:lang w:val="en-US"/>
              </w:rPr>
              <w:t xml:space="preserve">11 61 0 </w:t>
            </w:r>
            <w:r w:rsidRPr="00A84A8D">
              <w:t>according to Annex I of Regulation 250/2009</w:t>
            </w:r>
            <w:r w:rsidRPr="00A84A8D">
              <w:rPr>
                <w:lang w:val="en-US"/>
              </w:rPr>
              <w:t>).</w:t>
            </w:r>
          </w:p>
        </w:tc>
      </w:tr>
      <w:tr w:rsidR="00B957F4" w:rsidRPr="00A84A8D" w14:paraId="50B001EC" w14:textId="77777777" w:rsidTr="00796D2F">
        <w:trPr>
          <w:trHeight w:val="762"/>
        </w:trPr>
        <w:tc>
          <w:tcPr>
            <w:tcW w:w="2093" w:type="dxa"/>
            <w:tcBorders>
              <w:top w:val="single" w:sz="4" w:space="0" w:color="auto"/>
              <w:left w:val="single" w:sz="4" w:space="0" w:color="auto"/>
              <w:bottom w:val="single" w:sz="4" w:space="0" w:color="auto"/>
              <w:right w:val="single" w:sz="4" w:space="0" w:color="auto"/>
            </w:tcBorders>
          </w:tcPr>
          <w:p w14:paraId="4CF79BB3" w14:textId="77777777" w:rsidR="00B957F4" w:rsidRPr="00A84A8D" w:rsidRDefault="00B957F4" w:rsidP="00796D2F">
            <w:pPr>
              <w:rPr>
                <w:rFonts w:ascii="Verdana" w:hAnsi="Verdana"/>
              </w:rPr>
            </w:pPr>
            <w:r w:rsidRPr="00A84A8D">
              <w:rPr>
                <w:rFonts w:ascii="Verdana" w:hAnsi="Verdana"/>
              </w:rPr>
              <w:t>C0010/R0130</w:t>
            </w:r>
          </w:p>
          <w:p w14:paraId="521D0BC0"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3F58A9E7" w14:textId="77777777" w:rsidR="00B957F4" w:rsidRPr="00A84A8D" w:rsidRDefault="00B957F4" w:rsidP="00796D2F">
            <w:pPr>
              <w:pStyle w:val="BodyLeft"/>
            </w:pPr>
            <w:r w:rsidRPr="00A84A8D">
              <w:t>Number of sponsoring undertakings</w:t>
            </w:r>
          </w:p>
        </w:tc>
        <w:tc>
          <w:tcPr>
            <w:tcW w:w="5386" w:type="dxa"/>
            <w:tcBorders>
              <w:top w:val="single" w:sz="4" w:space="0" w:color="auto"/>
              <w:left w:val="single" w:sz="4" w:space="0" w:color="auto"/>
              <w:bottom w:val="single" w:sz="4" w:space="0" w:color="auto"/>
              <w:right w:val="single" w:sz="4" w:space="0" w:color="auto"/>
            </w:tcBorders>
            <w:hideMark/>
          </w:tcPr>
          <w:p w14:paraId="477AE500" w14:textId="77777777" w:rsidR="00B957F4" w:rsidRPr="00A84A8D" w:rsidRDefault="00B957F4" w:rsidP="00796D2F">
            <w:pPr>
              <w:pStyle w:val="BodyLeft"/>
            </w:pPr>
            <w:r w:rsidRPr="00A84A8D">
              <w:rPr>
                <w:lang w:val="en-US"/>
              </w:rPr>
              <w:t>The number of sponsoring undertakings</w:t>
            </w:r>
            <w:r w:rsidRPr="00A84A8D">
              <w:t>.</w:t>
            </w:r>
          </w:p>
        </w:tc>
      </w:tr>
    </w:tbl>
    <w:p w14:paraId="0B469B2C" w14:textId="77777777" w:rsidR="00B957F4" w:rsidRPr="00A84A8D" w:rsidRDefault="00B957F4" w:rsidP="00B957F4">
      <w:pPr>
        <w:rPr>
          <w:rFonts w:ascii="Verdana" w:hAnsi="Verdana"/>
        </w:rPr>
      </w:pPr>
    </w:p>
    <w:p w14:paraId="2EBB91B2" w14:textId="77777777" w:rsidR="00B957F4" w:rsidRPr="00A84A8D" w:rsidRDefault="00B957F4" w:rsidP="00B957F4">
      <w:pPr>
        <w:pStyle w:val="Heading4"/>
      </w:pPr>
      <w:bookmarkStart w:id="9" w:name="_Toc484788326"/>
      <w:bookmarkStart w:id="10" w:name="_Toc485028001"/>
      <w:r w:rsidRPr="00A84A8D">
        <w:t>Security and adjustment mechanisms</w:t>
      </w:r>
      <w:bookmarkEnd w:id="4"/>
      <w:bookmarkEnd w:id="5"/>
      <w:r w:rsidRPr="00A84A8D">
        <w:t xml:space="preserve"> and sponsor's financials</w:t>
      </w:r>
      <w:bookmarkEnd w:id="9"/>
      <w:bookmarkEnd w:id="10"/>
      <w:r w:rsidRPr="00A84A8D">
        <w:t xml:space="preserve"> (PF.01.02.24)</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216"/>
        <w:gridCol w:w="5264"/>
      </w:tblGrid>
      <w:tr w:rsidR="00B957F4" w:rsidRPr="00A84A8D" w14:paraId="54E074DC" w14:textId="77777777" w:rsidTr="00796D2F">
        <w:tc>
          <w:tcPr>
            <w:tcW w:w="1074" w:type="pct"/>
          </w:tcPr>
          <w:p w14:paraId="6CD121AB" w14:textId="77777777" w:rsidR="00B957F4" w:rsidRPr="00A84A8D" w:rsidRDefault="00B957F4" w:rsidP="00796D2F">
            <w:pPr>
              <w:rPr>
                <w:rFonts w:ascii="Verdana" w:hAnsi="Verdana"/>
              </w:rPr>
            </w:pPr>
            <w:r w:rsidRPr="00A84A8D">
              <w:rPr>
                <w:rFonts w:ascii="Verdana" w:hAnsi="Verdana"/>
              </w:rPr>
              <w:t xml:space="preserve"> </w:t>
            </w:r>
          </w:p>
        </w:tc>
        <w:tc>
          <w:tcPr>
            <w:tcW w:w="1163" w:type="pct"/>
          </w:tcPr>
          <w:p w14:paraId="2E058C51" w14:textId="77777777" w:rsidR="00B957F4" w:rsidRPr="00A84A8D" w:rsidRDefault="00B957F4" w:rsidP="00796D2F">
            <w:pPr>
              <w:pStyle w:val="BodyLeft"/>
              <w:rPr>
                <w:rStyle w:val="Bold"/>
              </w:rPr>
            </w:pPr>
            <w:r w:rsidRPr="00A84A8D">
              <w:rPr>
                <w:rStyle w:val="Bold"/>
              </w:rPr>
              <w:t>ITEM</w:t>
            </w:r>
          </w:p>
        </w:tc>
        <w:tc>
          <w:tcPr>
            <w:tcW w:w="2763" w:type="pct"/>
          </w:tcPr>
          <w:p w14:paraId="25E4C82F" w14:textId="77777777" w:rsidR="00B957F4" w:rsidRPr="00A84A8D" w:rsidRDefault="00B957F4" w:rsidP="00796D2F">
            <w:pPr>
              <w:pStyle w:val="BodyLeft"/>
              <w:rPr>
                <w:rStyle w:val="Bold"/>
              </w:rPr>
            </w:pPr>
            <w:r w:rsidRPr="00A84A8D">
              <w:rPr>
                <w:rStyle w:val="Bold"/>
              </w:rPr>
              <w:t>INSTRUCTIONS</w:t>
            </w:r>
          </w:p>
        </w:tc>
      </w:tr>
      <w:tr w:rsidR="00B957F4" w:rsidRPr="00A84A8D" w14:paraId="30772BB3" w14:textId="77777777" w:rsidTr="00796D2F">
        <w:tblPrEx>
          <w:tblLook w:val="01E0" w:firstRow="1" w:lastRow="1" w:firstColumn="1" w:lastColumn="1" w:noHBand="0" w:noVBand="0"/>
        </w:tblPrEx>
        <w:tc>
          <w:tcPr>
            <w:tcW w:w="5000" w:type="pct"/>
            <w:gridSpan w:val="3"/>
          </w:tcPr>
          <w:p w14:paraId="41F00832" w14:textId="77777777" w:rsidR="00B957F4" w:rsidRPr="00A84A8D" w:rsidRDefault="00B957F4" w:rsidP="00796D2F">
            <w:pPr>
              <w:pStyle w:val="Heading5"/>
              <w:rPr>
                <w:rStyle w:val="Bold"/>
                <w:rFonts w:ascii="Verdana" w:hAnsi="Verdana"/>
              </w:rPr>
            </w:pPr>
            <w:r w:rsidRPr="00A84A8D">
              <w:rPr>
                <w:rStyle w:val="Bold"/>
                <w:rFonts w:ascii="Verdana" w:hAnsi="Verdana"/>
                <w:color w:val="auto"/>
              </w:rPr>
              <w:t>Additional support - used in the reporting period</w:t>
            </w:r>
          </w:p>
        </w:tc>
      </w:tr>
      <w:tr w:rsidR="00B957F4" w:rsidRPr="00A84A8D" w14:paraId="57ACFE9A" w14:textId="77777777" w:rsidTr="00796D2F">
        <w:tblPrEx>
          <w:tblLook w:val="01E0" w:firstRow="1" w:lastRow="1" w:firstColumn="1" w:lastColumn="1" w:noHBand="0" w:noVBand="0"/>
        </w:tblPrEx>
        <w:tc>
          <w:tcPr>
            <w:tcW w:w="1074" w:type="pct"/>
          </w:tcPr>
          <w:p w14:paraId="66D43B15" w14:textId="77777777" w:rsidR="00B957F4" w:rsidRPr="00A84A8D" w:rsidRDefault="00B957F4" w:rsidP="00796D2F">
            <w:pPr>
              <w:rPr>
                <w:rFonts w:ascii="Verdana" w:hAnsi="Verdana"/>
              </w:rPr>
            </w:pPr>
            <w:r w:rsidRPr="00A84A8D">
              <w:rPr>
                <w:rFonts w:ascii="Verdana" w:hAnsi="Verdana"/>
              </w:rPr>
              <w:t>C0010/R0140</w:t>
            </w:r>
          </w:p>
          <w:p w14:paraId="76EB7249" w14:textId="77777777" w:rsidR="00B957F4" w:rsidRPr="00A84A8D" w:rsidRDefault="00B957F4" w:rsidP="00796D2F">
            <w:pPr>
              <w:rPr>
                <w:rFonts w:ascii="Verdana" w:hAnsi="Verdana"/>
              </w:rPr>
            </w:pPr>
          </w:p>
        </w:tc>
        <w:tc>
          <w:tcPr>
            <w:tcW w:w="1163" w:type="pct"/>
          </w:tcPr>
          <w:p w14:paraId="418C5CAC" w14:textId="77777777" w:rsidR="00B957F4" w:rsidRPr="00A84A8D" w:rsidRDefault="00B957F4" w:rsidP="00796D2F">
            <w:pPr>
              <w:pStyle w:val="BodyLeft"/>
            </w:pPr>
            <w:r w:rsidRPr="00A84A8D">
              <w:t>Increases in contributions- employer</w:t>
            </w:r>
          </w:p>
        </w:tc>
        <w:tc>
          <w:tcPr>
            <w:tcW w:w="2763" w:type="pct"/>
          </w:tcPr>
          <w:p w14:paraId="40CBF997" w14:textId="77777777" w:rsidR="00B957F4" w:rsidRPr="00A84A8D" w:rsidRDefault="00B957F4" w:rsidP="00796D2F">
            <w:pPr>
              <w:pStyle w:val="BodyLeft"/>
            </w:pPr>
            <w:r w:rsidRPr="00A84A8D">
              <w:t xml:space="preserve">Support received from the employer in the form of increased contributions: </w:t>
            </w:r>
          </w:p>
          <w:p w14:paraId="6C32FE27" w14:textId="77777777" w:rsidR="00B957F4" w:rsidRPr="00A84A8D" w:rsidRDefault="00B957F4" w:rsidP="00796D2F">
            <w:pPr>
              <w:pStyle w:val="BodyLeft"/>
            </w:pPr>
            <w:r w:rsidRPr="00A84A8D">
              <w:t>1 – Support from the employer in the form of increased contributions</w:t>
            </w:r>
          </w:p>
          <w:p w14:paraId="7B4D185F" w14:textId="77777777" w:rsidR="00B957F4" w:rsidRPr="00A84A8D" w:rsidRDefault="00B957F4" w:rsidP="00796D2F">
            <w:pPr>
              <w:pStyle w:val="BodyLeft"/>
            </w:pPr>
            <w:r w:rsidRPr="00A84A8D">
              <w:t>2 – No support from the employer in the form of increased contributions</w:t>
            </w:r>
          </w:p>
        </w:tc>
      </w:tr>
      <w:tr w:rsidR="00B957F4" w:rsidRPr="00A84A8D" w14:paraId="444EA36C" w14:textId="77777777" w:rsidTr="00796D2F">
        <w:tblPrEx>
          <w:tblLook w:val="01E0" w:firstRow="1" w:lastRow="1" w:firstColumn="1" w:lastColumn="1" w:noHBand="0" w:noVBand="0"/>
        </w:tblPrEx>
        <w:tc>
          <w:tcPr>
            <w:tcW w:w="1074" w:type="pct"/>
          </w:tcPr>
          <w:p w14:paraId="22B05129" w14:textId="77777777" w:rsidR="00B957F4" w:rsidRPr="00A84A8D" w:rsidRDefault="00B957F4" w:rsidP="00796D2F">
            <w:pPr>
              <w:rPr>
                <w:rFonts w:ascii="Verdana" w:hAnsi="Verdana"/>
              </w:rPr>
            </w:pPr>
            <w:r w:rsidRPr="00A84A8D">
              <w:rPr>
                <w:rFonts w:ascii="Verdana" w:hAnsi="Verdana"/>
              </w:rPr>
              <w:t>C0010/R0150</w:t>
            </w:r>
          </w:p>
          <w:p w14:paraId="612644FE" w14:textId="77777777" w:rsidR="00B957F4" w:rsidRPr="00A84A8D" w:rsidRDefault="00B957F4" w:rsidP="00796D2F">
            <w:pPr>
              <w:rPr>
                <w:rFonts w:ascii="Verdana" w:hAnsi="Verdana"/>
              </w:rPr>
            </w:pPr>
          </w:p>
        </w:tc>
        <w:tc>
          <w:tcPr>
            <w:tcW w:w="1163" w:type="pct"/>
          </w:tcPr>
          <w:p w14:paraId="1431BFD5" w14:textId="77777777" w:rsidR="00B957F4" w:rsidRPr="00A84A8D" w:rsidRDefault="00B957F4" w:rsidP="00796D2F">
            <w:pPr>
              <w:pStyle w:val="BodyLeft"/>
            </w:pPr>
            <w:r w:rsidRPr="00A84A8D">
              <w:t>Increases in contributions – employee</w:t>
            </w:r>
          </w:p>
        </w:tc>
        <w:tc>
          <w:tcPr>
            <w:tcW w:w="2763" w:type="pct"/>
          </w:tcPr>
          <w:p w14:paraId="53991602" w14:textId="77777777" w:rsidR="00B957F4" w:rsidRPr="00A84A8D" w:rsidRDefault="00B957F4" w:rsidP="00796D2F">
            <w:pPr>
              <w:pStyle w:val="BodyLeft"/>
            </w:pPr>
            <w:r w:rsidRPr="00A84A8D">
              <w:t>Support received from the employees in the form of increased contributions:</w:t>
            </w:r>
          </w:p>
          <w:p w14:paraId="32EE3D71" w14:textId="77777777" w:rsidR="00B957F4" w:rsidRPr="00A84A8D" w:rsidRDefault="00B957F4" w:rsidP="00796D2F">
            <w:pPr>
              <w:pStyle w:val="BodyLeft"/>
            </w:pPr>
            <w:r w:rsidRPr="00A84A8D">
              <w:t>1 – Support from the employees in the form of increased contributions</w:t>
            </w:r>
          </w:p>
          <w:p w14:paraId="78B7F569" w14:textId="77777777" w:rsidR="00B957F4" w:rsidRPr="00A84A8D" w:rsidRDefault="00B957F4" w:rsidP="00796D2F">
            <w:pPr>
              <w:pStyle w:val="BodyLeft"/>
            </w:pPr>
            <w:r w:rsidRPr="00A84A8D">
              <w:t>2 – No support from the employees in the form of increased contributions</w:t>
            </w:r>
          </w:p>
        </w:tc>
      </w:tr>
      <w:tr w:rsidR="00B957F4" w:rsidRPr="00A84A8D" w14:paraId="4BC50845" w14:textId="77777777" w:rsidTr="00796D2F">
        <w:tblPrEx>
          <w:tblLook w:val="01E0" w:firstRow="1" w:lastRow="1" w:firstColumn="1" w:lastColumn="1" w:noHBand="0" w:noVBand="0"/>
        </w:tblPrEx>
        <w:tc>
          <w:tcPr>
            <w:tcW w:w="1074" w:type="pct"/>
          </w:tcPr>
          <w:p w14:paraId="17E03DD4" w14:textId="77777777" w:rsidR="00B957F4" w:rsidRPr="00A84A8D" w:rsidRDefault="00B957F4" w:rsidP="00796D2F">
            <w:pPr>
              <w:rPr>
                <w:rFonts w:ascii="Verdana" w:hAnsi="Verdana"/>
              </w:rPr>
            </w:pPr>
            <w:r w:rsidRPr="00A84A8D">
              <w:rPr>
                <w:rFonts w:ascii="Verdana" w:hAnsi="Verdana"/>
              </w:rPr>
              <w:lastRenderedPageBreak/>
              <w:t>C0010/R0160</w:t>
            </w:r>
          </w:p>
          <w:p w14:paraId="10B0AE75" w14:textId="77777777" w:rsidR="00B957F4" w:rsidRPr="00A84A8D" w:rsidRDefault="00B957F4" w:rsidP="00796D2F">
            <w:pPr>
              <w:rPr>
                <w:rFonts w:ascii="Verdana" w:hAnsi="Verdana"/>
              </w:rPr>
            </w:pPr>
          </w:p>
        </w:tc>
        <w:tc>
          <w:tcPr>
            <w:tcW w:w="1163" w:type="pct"/>
          </w:tcPr>
          <w:p w14:paraId="65217A12" w14:textId="77777777" w:rsidR="00B957F4" w:rsidRPr="00A84A8D" w:rsidRDefault="00B957F4" w:rsidP="00796D2F">
            <w:pPr>
              <w:pStyle w:val="BodyLeft"/>
            </w:pPr>
            <w:r w:rsidRPr="00A84A8D">
              <w:t>Subsidiary liability of the sponsor</w:t>
            </w:r>
          </w:p>
          <w:p w14:paraId="5054EDE3" w14:textId="77777777" w:rsidR="00B957F4" w:rsidRPr="00A84A8D" w:rsidRDefault="00B957F4" w:rsidP="00796D2F">
            <w:pPr>
              <w:pStyle w:val="BodyLeft"/>
            </w:pPr>
          </w:p>
        </w:tc>
        <w:tc>
          <w:tcPr>
            <w:tcW w:w="2763" w:type="pct"/>
          </w:tcPr>
          <w:p w14:paraId="65370623" w14:textId="77777777" w:rsidR="00B957F4" w:rsidRPr="00A84A8D" w:rsidRDefault="00B957F4" w:rsidP="00796D2F">
            <w:pPr>
              <w:pStyle w:val="BodyLeft"/>
            </w:pPr>
            <w:r w:rsidRPr="00A84A8D">
              <w:t>Subsidiary liability of the sponsor:</w:t>
            </w:r>
          </w:p>
          <w:p w14:paraId="0AF36368" w14:textId="77777777" w:rsidR="00B957F4" w:rsidRPr="00A84A8D" w:rsidRDefault="00B957F4" w:rsidP="00796D2F">
            <w:pPr>
              <w:pStyle w:val="BodyLeft"/>
            </w:pPr>
            <w:r w:rsidRPr="00A84A8D">
              <w:t>1 – Subsidiary liability of the sponsor</w:t>
            </w:r>
          </w:p>
          <w:p w14:paraId="36393578" w14:textId="77777777" w:rsidR="00B957F4" w:rsidRPr="00A84A8D" w:rsidRDefault="00B957F4" w:rsidP="00796D2F">
            <w:pPr>
              <w:pStyle w:val="BodyLeft"/>
            </w:pPr>
            <w:r w:rsidRPr="00A84A8D">
              <w:t>2 – No subsidiary liability of the sponsor</w:t>
            </w:r>
          </w:p>
        </w:tc>
      </w:tr>
      <w:tr w:rsidR="00B957F4" w:rsidRPr="00A84A8D" w14:paraId="3A6E1AF8" w14:textId="77777777" w:rsidTr="00796D2F">
        <w:tblPrEx>
          <w:tblLook w:val="01E0" w:firstRow="1" w:lastRow="1" w:firstColumn="1" w:lastColumn="1" w:noHBand="0" w:noVBand="0"/>
        </w:tblPrEx>
        <w:tc>
          <w:tcPr>
            <w:tcW w:w="1074" w:type="pct"/>
          </w:tcPr>
          <w:p w14:paraId="60DB2A70" w14:textId="77777777" w:rsidR="00B957F4" w:rsidRPr="00A84A8D" w:rsidRDefault="00B957F4" w:rsidP="00796D2F">
            <w:pPr>
              <w:rPr>
                <w:rFonts w:ascii="Verdana" w:hAnsi="Verdana"/>
              </w:rPr>
            </w:pPr>
            <w:r w:rsidRPr="00A84A8D">
              <w:rPr>
                <w:rFonts w:ascii="Verdana" w:hAnsi="Verdana"/>
              </w:rPr>
              <w:t>C0010/R0170</w:t>
            </w:r>
          </w:p>
          <w:p w14:paraId="52F7EFB1" w14:textId="77777777" w:rsidR="00B957F4" w:rsidRPr="00A84A8D" w:rsidRDefault="00B957F4" w:rsidP="00796D2F">
            <w:pPr>
              <w:rPr>
                <w:rFonts w:ascii="Verdana" w:hAnsi="Verdana"/>
              </w:rPr>
            </w:pPr>
          </w:p>
        </w:tc>
        <w:tc>
          <w:tcPr>
            <w:tcW w:w="1163" w:type="pct"/>
          </w:tcPr>
          <w:p w14:paraId="0CB32D73" w14:textId="77777777" w:rsidR="00B957F4" w:rsidRPr="00A84A8D" w:rsidRDefault="00B957F4" w:rsidP="00796D2F">
            <w:pPr>
              <w:pStyle w:val="BodyLeft"/>
            </w:pPr>
            <w:r w:rsidRPr="00A84A8D">
              <w:t>Other claims on the sponsor</w:t>
            </w:r>
          </w:p>
          <w:p w14:paraId="50E34794" w14:textId="77777777" w:rsidR="00B957F4" w:rsidRPr="00A84A8D" w:rsidRDefault="00B957F4" w:rsidP="00796D2F">
            <w:pPr>
              <w:pStyle w:val="BodyLeft"/>
            </w:pPr>
          </w:p>
          <w:p w14:paraId="3A3DD873" w14:textId="77777777" w:rsidR="00B957F4" w:rsidRPr="00A84A8D" w:rsidRDefault="00B957F4" w:rsidP="00796D2F">
            <w:pPr>
              <w:pStyle w:val="BodyLeft"/>
            </w:pPr>
          </w:p>
        </w:tc>
        <w:tc>
          <w:tcPr>
            <w:tcW w:w="2763" w:type="pct"/>
          </w:tcPr>
          <w:p w14:paraId="71A58BE4" w14:textId="77777777" w:rsidR="00B957F4" w:rsidRPr="00A84A8D" w:rsidRDefault="00B957F4" w:rsidP="00796D2F">
            <w:pPr>
              <w:pStyle w:val="BodyLeft"/>
            </w:pPr>
            <w:r w:rsidRPr="00A84A8D">
              <w:t>Support received in the form of other claims on the sponsor:</w:t>
            </w:r>
          </w:p>
          <w:p w14:paraId="76F49B0B" w14:textId="77777777" w:rsidR="00B957F4" w:rsidRPr="00A84A8D" w:rsidRDefault="00B957F4" w:rsidP="00796D2F">
            <w:pPr>
              <w:pStyle w:val="BodyLeft"/>
            </w:pPr>
            <w:r w:rsidRPr="00A84A8D">
              <w:t>1 – Support in the form of other claims on the sponsor</w:t>
            </w:r>
          </w:p>
          <w:p w14:paraId="20ECE085" w14:textId="77777777" w:rsidR="00B957F4" w:rsidRPr="00A84A8D" w:rsidRDefault="00B957F4" w:rsidP="00796D2F">
            <w:pPr>
              <w:pStyle w:val="BodyLeft"/>
            </w:pPr>
            <w:r w:rsidRPr="00A84A8D">
              <w:t>2 – No support in the form of other claims on the sponsor</w:t>
            </w:r>
          </w:p>
        </w:tc>
      </w:tr>
      <w:tr w:rsidR="00B957F4" w:rsidRPr="00A84A8D" w14:paraId="049CADF7" w14:textId="77777777" w:rsidTr="00796D2F">
        <w:tblPrEx>
          <w:tblLook w:val="01E0" w:firstRow="1" w:lastRow="1" w:firstColumn="1" w:lastColumn="1" w:noHBand="0" w:noVBand="0"/>
        </w:tblPrEx>
        <w:tc>
          <w:tcPr>
            <w:tcW w:w="1074" w:type="pct"/>
          </w:tcPr>
          <w:p w14:paraId="2D0D6EF7" w14:textId="77777777" w:rsidR="00B957F4" w:rsidRPr="00A84A8D" w:rsidRDefault="00B957F4" w:rsidP="00796D2F">
            <w:pPr>
              <w:rPr>
                <w:rFonts w:ascii="Verdana" w:hAnsi="Verdana"/>
              </w:rPr>
            </w:pPr>
            <w:r w:rsidRPr="00A84A8D">
              <w:rPr>
                <w:rFonts w:ascii="Verdana" w:hAnsi="Verdana"/>
              </w:rPr>
              <w:t>C0010/R0180</w:t>
            </w:r>
          </w:p>
          <w:p w14:paraId="7766CF85" w14:textId="77777777" w:rsidR="00B957F4" w:rsidRPr="00A84A8D" w:rsidRDefault="00B957F4" w:rsidP="00796D2F">
            <w:pPr>
              <w:rPr>
                <w:rFonts w:ascii="Verdana" w:hAnsi="Verdana"/>
              </w:rPr>
            </w:pPr>
          </w:p>
        </w:tc>
        <w:tc>
          <w:tcPr>
            <w:tcW w:w="1163" w:type="pct"/>
          </w:tcPr>
          <w:p w14:paraId="3E3420B2" w14:textId="77777777" w:rsidR="00B957F4" w:rsidRPr="00A84A8D" w:rsidRDefault="00B957F4" w:rsidP="00796D2F">
            <w:pPr>
              <w:pStyle w:val="BodyLeft"/>
            </w:pPr>
            <w:r w:rsidRPr="00A84A8D">
              <w:t>Other additional support</w:t>
            </w:r>
          </w:p>
        </w:tc>
        <w:tc>
          <w:tcPr>
            <w:tcW w:w="2763" w:type="pct"/>
          </w:tcPr>
          <w:p w14:paraId="70D71E68" w14:textId="77777777" w:rsidR="00B957F4" w:rsidRPr="00A84A8D" w:rsidRDefault="00B957F4" w:rsidP="00796D2F">
            <w:pPr>
              <w:pStyle w:val="BodyLeft"/>
            </w:pPr>
            <w:r w:rsidRPr="00A84A8D">
              <w:t xml:space="preserve">Any other additional support not elsewhere </w:t>
            </w:r>
            <w:proofErr w:type="gramStart"/>
            <w:r w:rsidRPr="00A84A8D">
              <w:t>mentioned :</w:t>
            </w:r>
            <w:proofErr w:type="gramEnd"/>
          </w:p>
          <w:p w14:paraId="07B68282" w14:textId="77777777" w:rsidR="00B957F4" w:rsidRPr="00A84A8D" w:rsidRDefault="00B957F4" w:rsidP="00796D2F">
            <w:pPr>
              <w:pStyle w:val="BodyLeft"/>
            </w:pPr>
            <w:r w:rsidRPr="00A84A8D">
              <w:t>1 – Other forms of support</w:t>
            </w:r>
          </w:p>
          <w:p w14:paraId="7FB9591D" w14:textId="77777777" w:rsidR="00B957F4" w:rsidRPr="00A84A8D" w:rsidRDefault="00B957F4" w:rsidP="00796D2F">
            <w:pPr>
              <w:pStyle w:val="BodyLeft"/>
            </w:pPr>
            <w:r w:rsidRPr="00A84A8D">
              <w:t>2 – No other forms of support</w:t>
            </w:r>
          </w:p>
        </w:tc>
      </w:tr>
      <w:tr w:rsidR="00B957F4" w:rsidRPr="00A84A8D" w14:paraId="3CF97CAF" w14:textId="77777777" w:rsidTr="00796D2F">
        <w:tblPrEx>
          <w:tblLook w:val="01E0" w:firstRow="1" w:lastRow="1" w:firstColumn="1" w:lastColumn="1" w:noHBand="0" w:noVBand="0"/>
        </w:tblPrEx>
        <w:tc>
          <w:tcPr>
            <w:tcW w:w="5000" w:type="pct"/>
            <w:gridSpan w:val="3"/>
          </w:tcPr>
          <w:p w14:paraId="09CA9D19" w14:textId="77777777" w:rsidR="00B957F4" w:rsidRPr="00A84A8D" w:rsidRDefault="00B957F4" w:rsidP="00796D2F">
            <w:pPr>
              <w:pStyle w:val="Heading5"/>
              <w:rPr>
                <w:rStyle w:val="Bold"/>
                <w:rFonts w:ascii="Verdana" w:hAnsi="Verdana"/>
                <w:color w:val="auto"/>
              </w:rPr>
            </w:pPr>
            <w:r w:rsidRPr="00A84A8D">
              <w:rPr>
                <w:rStyle w:val="Bold"/>
                <w:rFonts w:ascii="Verdana" w:hAnsi="Verdana"/>
                <w:color w:val="auto"/>
              </w:rPr>
              <w:t>Benefit reductions</w:t>
            </w:r>
          </w:p>
        </w:tc>
      </w:tr>
      <w:tr w:rsidR="00B957F4" w:rsidRPr="00A84A8D" w14:paraId="6BF392FB" w14:textId="77777777" w:rsidTr="00796D2F">
        <w:tblPrEx>
          <w:tblLook w:val="01E0" w:firstRow="1" w:lastRow="1" w:firstColumn="1" w:lastColumn="1" w:noHBand="0" w:noVBand="0"/>
        </w:tblPrEx>
        <w:tc>
          <w:tcPr>
            <w:tcW w:w="1074" w:type="pct"/>
          </w:tcPr>
          <w:p w14:paraId="4A310CAE" w14:textId="77777777" w:rsidR="00B957F4" w:rsidRPr="00A84A8D" w:rsidRDefault="00B957F4" w:rsidP="00796D2F">
            <w:pPr>
              <w:rPr>
                <w:rFonts w:ascii="Verdana" w:hAnsi="Verdana"/>
              </w:rPr>
            </w:pPr>
            <w:r w:rsidRPr="00A84A8D">
              <w:rPr>
                <w:rFonts w:ascii="Verdana" w:hAnsi="Verdana"/>
              </w:rPr>
              <w:t>C0010/R0190</w:t>
            </w:r>
          </w:p>
          <w:p w14:paraId="56C05783" w14:textId="77777777" w:rsidR="00B957F4" w:rsidRPr="00A84A8D" w:rsidRDefault="00B957F4" w:rsidP="00796D2F">
            <w:pPr>
              <w:rPr>
                <w:rFonts w:ascii="Verdana" w:hAnsi="Verdana"/>
              </w:rPr>
            </w:pPr>
          </w:p>
        </w:tc>
        <w:tc>
          <w:tcPr>
            <w:tcW w:w="1163" w:type="pct"/>
          </w:tcPr>
          <w:p w14:paraId="2BEA1070" w14:textId="77777777" w:rsidR="00B957F4" w:rsidRPr="00A84A8D" w:rsidRDefault="00B957F4" w:rsidP="00796D2F">
            <w:pPr>
              <w:pStyle w:val="BodyLeft"/>
            </w:pPr>
            <w:r w:rsidRPr="00A84A8D">
              <w:t>Benefit reduction due to sponsor default</w:t>
            </w:r>
          </w:p>
        </w:tc>
        <w:tc>
          <w:tcPr>
            <w:tcW w:w="2763" w:type="pct"/>
          </w:tcPr>
          <w:p w14:paraId="4D8555FA" w14:textId="77777777" w:rsidR="00B957F4" w:rsidRPr="00A84A8D" w:rsidRDefault="00B957F4" w:rsidP="00796D2F">
            <w:pPr>
              <w:pStyle w:val="BodyLeft"/>
            </w:pPr>
            <w:r w:rsidRPr="00A84A8D">
              <w:t>Benefit reductions due to sponsor default were applied:</w:t>
            </w:r>
          </w:p>
          <w:p w14:paraId="0F4047FE" w14:textId="77777777" w:rsidR="00B957F4" w:rsidRPr="00A84A8D" w:rsidRDefault="00B957F4" w:rsidP="00796D2F">
            <w:pPr>
              <w:pStyle w:val="BodyLeft"/>
            </w:pPr>
            <w:r w:rsidRPr="00A84A8D">
              <w:t>1 – Benefit reductions due to sponsor default were applied</w:t>
            </w:r>
          </w:p>
          <w:p w14:paraId="30168B87" w14:textId="77777777" w:rsidR="00B957F4" w:rsidRPr="00A84A8D" w:rsidRDefault="00B957F4" w:rsidP="00796D2F">
            <w:pPr>
              <w:pStyle w:val="BodyLeft"/>
            </w:pPr>
            <w:r w:rsidRPr="00A84A8D">
              <w:t>2 – No benefit reductions due to sponsor default were applied</w:t>
            </w:r>
          </w:p>
        </w:tc>
      </w:tr>
      <w:tr w:rsidR="00B957F4" w:rsidRPr="00A84A8D" w14:paraId="347C1D13" w14:textId="77777777" w:rsidTr="00796D2F">
        <w:tblPrEx>
          <w:tblLook w:val="01E0" w:firstRow="1" w:lastRow="1" w:firstColumn="1" w:lastColumn="1" w:noHBand="0" w:noVBand="0"/>
        </w:tblPrEx>
        <w:tc>
          <w:tcPr>
            <w:tcW w:w="1074" w:type="pct"/>
          </w:tcPr>
          <w:p w14:paraId="7A5A9852" w14:textId="77777777" w:rsidR="00B957F4" w:rsidRPr="00A84A8D" w:rsidRDefault="00B957F4" w:rsidP="00796D2F">
            <w:pPr>
              <w:rPr>
                <w:rFonts w:ascii="Verdana" w:hAnsi="Verdana"/>
              </w:rPr>
            </w:pPr>
            <w:r w:rsidRPr="00A84A8D">
              <w:rPr>
                <w:rFonts w:ascii="Verdana" w:hAnsi="Verdana"/>
              </w:rPr>
              <w:t>C0010/R0200</w:t>
            </w:r>
          </w:p>
          <w:p w14:paraId="00928CC9" w14:textId="77777777" w:rsidR="00B957F4" w:rsidRPr="00A84A8D" w:rsidRDefault="00B957F4" w:rsidP="00796D2F">
            <w:pPr>
              <w:rPr>
                <w:rFonts w:ascii="Verdana" w:hAnsi="Verdana"/>
              </w:rPr>
            </w:pPr>
          </w:p>
        </w:tc>
        <w:tc>
          <w:tcPr>
            <w:tcW w:w="1163" w:type="pct"/>
          </w:tcPr>
          <w:p w14:paraId="112FAC67" w14:textId="77777777" w:rsidR="00B957F4" w:rsidRPr="00A84A8D" w:rsidRDefault="00B957F4" w:rsidP="00796D2F">
            <w:pPr>
              <w:pStyle w:val="BodyLeft"/>
            </w:pPr>
            <w:r w:rsidRPr="00A84A8D">
              <w:t>Ex-post benefit reduction</w:t>
            </w:r>
          </w:p>
        </w:tc>
        <w:tc>
          <w:tcPr>
            <w:tcW w:w="2763" w:type="pct"/>
          </w:tcPr>
          <w:p w14:paraId="6CF5936E" w14:textId="77777777" w:rsidR="00B957F4" w:rsidRPr="00A84A8D" w:rsidRDefault="00B957F4" w:rsidP="00796D2F">
            <w:pPr>
              <w:pStyle w:val="BodyLeft"/>
            </w:pPr>
            <w:r w:rsidRPr="00A84A8D">
              <w:t>Ex-post benefit reductions were applied:</w:t>
            </w:r>
          </w:p>
          <w:p w14:paraId="2425C827" w14:textId="77777777" w:rsidR="00B957F4" w:rsidRPr="00A84A8D" w:rsidRDefault="00B957F4" w:rsidP="00796D2F">
            <w:pPr>
              <w:pStyle w:val="BodyLeft"/>
            </w:pPr>
            <w:r w:rsidRPr="00A84A8D">
              <w:t>1 – Ex-post benefit reductions were applied</w:t>
            </w:r>
          </w:p>
          <w:p w14:paraId="587C52AA" w14:textId="77777777" w:rsidR="00B957F4" w:rsidRPr="00A84A8D" w:rsidRDefault="00B957F4" w:rsidP="00796D2F">
            <w:pPr>
              <w:pStyle w:val="BodyLeft"/>
            </w:pPr>
            <w:r w:rsidRPr="00A84A8D">
              <w:t>2 – No ex-post benefit reductions were applied</w:t>
            </w:r>
          </w:p>
        </w:tc>
      </w:tr>
      <w:tr w:rsidR="00B957F4" w:rsidRPr="00A84A8D" w14:paraId="4FB93110" w14:textId="77777777" w:rsidTr="00796D2F">
        <w:tblPrEx>
          <w:tblLook w:val="01E0" w:firstRow="1" w:lastRow="1" w:firstColumn="1" w:lastColumn="1" w:noHBand="0" w:noVBand="0"/>
        </w:tblPrEx>
        <w:tc>
          <w:tcPr>
            <w:tcW w:w="1074" w:type="pct"/>
          </w:tcPr>
          <w:p w14:paraId="18742929" w14:textId="77777777" w:rsidR="00B957F4" w:rsidRPr="00A84A8D" w:rsidRDefault="00B957F4" w:rsidP="00796D2F">
            <w:pPr>
              <w:rPr>
                <w:rFonts w:ascii="Verdana" w:hAnsi="Verdana"/>
              </w:rPr>
            </w:pPr>
            <w:r w:rsidRPr="00A84A8D">
              <w:rPr>
                <w:rFonts w:ascii="Verdana" w:hAnsi="Verdana"/>
              </w:rPr>
              <w:t>C0010/R0210</w:t>
            </w:r>
          </w:p>
          <w:p w14:paraId="3B5BD9C5" w14:textId="77777777" w:rsidR="00B957F4" w:rsidRPr="00A84A8D" w:rsidRDefault="00B957F4" w:rsidP="00796D2F">
            <w:pPr>
              <w:rPr>
                <w:rFonts w:ascii="Verdana" w:hAnsi="Verdana"/>
              </w:rPr>
            </w:pPr>
          </w:p>
        </w:tc>
        <w:tc>
          <w:tcPr>
            <w:tcW w:w="1163" w:type="pct"/>
          </w:tcPr>
          <w:p w14:paraId="4DBE262B" w14:textId="77777777" w:rsidR="00B957F4" w:rsidRPr="00A84A8D" w:rsidRDefault="00B957F4" w:rsidP="00796D2F">
            <w:pPr>
              <w:pStyle w:val="BodyLeft"/>
            </w:pPr>
            <w:r w:rsidRPr="00A84A8D">
              <w:t>Ex-ante benefit reduction</w:t>
            </w:r>
          </w:p>
          <w:p w14:paraId="12CB2407" w14:textId="77777777" w:rsidR="00B957F4" w:rsidRPr="00A84A8D" w:rsidRDefault="00B957F4" w:rsidP="00796D2F">
            <w:pPr>
              <w:pStyle w:val="BodyLeft"/>
            </w:pPr>
          </w:p>
        </w:tc>
        <w:tc>
          <w:tcPr>
            <w:tcW w:w="2763" w:type="pct"/>
          </w:tcPr>
          <w:p w14:paraId="1631E34F" w14:textId="77777777" w:rsidR="00B957F4" w:rsidRPr="00A84A8D" w:rsidRDefault="00B957F4" w:rsidP="00796D2F">
            <w:pPr>
              <w:pStyle w:val="BodyLeft"/>
            </w:pPr>
            <w:r w:rsidRPr="00A84A8D">
              <w:t>Ex-ante benefit reductions were applied:</w:t>
            </w:r>
          </w:p>
          <w:p w14:paraId="12E9FB1C" w14:textId="77777777" w:rsidR="00B957F4" w:rsidRPr="00A84A8D" w:rsidRDefault="00B957F4" w:rsidP="00796D2F">
            <w:pPr>
              <w:pStyle w:val="BodyLeft"/>
            </w:pPr>
            <w:r w:rsidRPr="00A84A8D">
              <w:t>1 – Ex-ante benefit reductions were applied</w:t>
            </w:r>
          </w:p>
          <w:p w14:paraId="3553177F" w14:textId="77777777" w:rsidR="00B957F4" w:rsidRPr="00A84A8D" w:rsidRDefault="00B957F4" w:rsidP="00796D2F">
            <w:pPr>
              <w:pStyle w:val="BodyLeft"/>
            </w:pPr>
            <w:r w:rsidRPr="00A84A8D">
              <w:t>2 – No ex-ante benefit reductions were applied</w:t>
            </w:r>
          </w:p>
        </w:tc>
      </w:tr>
      <w:tr w:rsidR="00B957F4" w:rsidRPr="00A84A8D" w14:paraId="7636ED23" w14:textId="77777777" w:rsidTr="00796D2F">
        <w:tblPrEx>
          <w:tblLook w:val="01E0" w:firstRow="1" w:lastRow="1" w:firstColumn="1" w:lastColumn="1" w:noHBand="0" w:noVBand="0"/>
        </w:tblPrEx>
        <w:tc>
          <w:tcPr>
            <w:tcW w:w="1074" w:type="pct"/>
          </w:tcPr>
          <w:p w14:paraId="0E9C090F" w14:textId="77777777" w:rsidR="00B957F4" w:rsidRPr="00A84A8D" w:rsidRDefault="00B957F4" w:rsidP="00796D2F">
            <w:pPr>
              <w:rPr>
                <w:rFonts w:ascii="Verdana" w:hAnsi="Verdana"/>
              </w:rPr>
            </w:pPr>
            <w:r w:rsidRPr="00A84A8D">
              <w:rPr>
                <w:rFonts w:ascii="Verdana" w:hAnsi="Verdana"/>
              </w:rPr>
              <w:t>C0010/R0220</w:t>
            </w:r>
          </w:p>
          <w:p w14:paraId="13143A8D" w14:textId="77777777" w:rsidR="00B957F4" w:rsidRPr="00A84A8D" w:rsidRDefault="00B957F4" w:rsidP="00796D2F">
            <w:pPr>
              <w:rPr>
                <w:rFonts w:ascii="Verdana" w:hAnsi="Verdana"/>
              </w:rPr>
            </w:pPr>
          </w:p>
        </w:tc>
        <w:tc>
          <w:tcPr>
            <w:tcW w:w="1163" w:type="pct"/>
          </w:tcPr>
          <w:p w14:paraId="0A16EC3F" w14:textId="77777777" w:rsidR="00B957F4" w:rsidRPr="00A84A8D" w:rsidRDefault="00B957F4" w:rsidP="00796D2F">
            <w:pPr>
              <w:pStyle w:val="BodyLeft"/>
            </w:pPr>
            <w:r w:rsidRPr="00A84A8D">
              <w:t>Other benefit reductions</w:t>
            </w:r>
          </w:p>
        </w:tc>
        <w:tc>
          <w:tcPr>
            <w:tcW w:w="2763" w:type="pct"/>
          </w:tcPr>
          <w:p w14:paraId="2C71E921" w14:textId="77777777" w:rsidR="00B957F4" w:rsidRPr="00A84A8D" w:rsidRDefault="00B957F4" w:rsidP="00796D2F">
            <w:pPr>
              <w:pStyle w:val="BodyLeft"/>
            </w:pPr>
            <w:r w:rsidRPr="00A84A8D">
              <w:t>Any other benefit reductions not mentioned elsewhere:</w:t>
            </w:r>
          </w:p>
          <w:p w14:paraId="29097254" w14:textId="77777777" w:rsidR="00B957F4" w:rsidRPr="00A84A8D" w:rsidRDefault="00B957F4" w:rsidP="00796D2F">
            <w:pPr>
              <w:pStyle w:val="BodyLeft"/>
            </w:pPr>
            <w:r w:rsidRPr="00A84A8D">
              <w:t>1 – Other benefit reductions were applied</w:t>
            </w:r>
          </w:p>
          <w:p w14:paraId="6A73C419" w14:textId="77777777" w:rsidR="00B957F4" w:rsidRPr="00A84A8D" w:rsidRDefault="00B957F4" w:rsidP="00796D2F">
            <w:pPr>
              <w:pStyle w:val="BodyLeft"/>
            </w:pPr>
            <w:r w:rsidRPr="00A84A8D">
              <w:t>2 – No other benefit reductions were applied</w:t>
            </w:r>
          </w:p>
        </w:tc>
      </w:tr>
      <w:tr w:rsidR="00B957F4" w:rsidRPr="00A84A8D" w14:paraId="3A46AF97" w14:textId="77777777" w:rsidTr="00796D2F">
        <w:tblPrEx>
          <w:tblLook w:val="01E0" w:firstRow="1" w:lastRow="1" w:firstColumn="1" w:lastColumn="1" w:noHBand="0" w:noVBand="0"/>
        </w:tblPrEx>
        <w:tc>
          <w:tcPr>
            <w:tcW w:w="1074" w:type="pct"/>
          </w:tcPr>
          <w:p w14:paraId="343453CC" w14:textId="77777777" w:rsidR="00B957F4" w:rsidRPr="00A84A8D" w:rsidRDefault="00B957F4" w:rsidP="00796D2F">
            <w:pPr>
              <w:rPr>
                <w:rFonts w:ascii="Verdana" w:hAnsi="Verdana"/>
              </w:rPr>
            </w:pPr>
            <w:r w:rsidRPr="00A84A8D">
              <w:rPr>
                <w:rFonts w:ascii="Verdana" w:hAnsi="Verdana"/>
              </w:rPr>
              <w:t>C0010/R0230</w:t>
            </w:r>
          </w:p>
          <w:p w14:paraId="567F8B28" w14:textId="77777777" w:rsidR="00B957F4" w:rsidRPr="00A84A8D" w:rsidRDefault="00B957F4" w:rsidP="00796D2F">
            <w:pPr>
              <w:rPr>
                <w:rFonts w:ascii="Verdana" w:hAnsi="Verdana"/>
              </w:rPr>
            </w:pPr>
          </w:p>
        </w:tc>
        <w:tc>
          <w:tcPr>
            <w:tcW w:w="1163" w:type="pct"/>
          </w:tcPr>
          <w:p w14:paraId="760A5365" w14:textId="77777777" w:rsidR="00B957F4" w:rsidRPr="00A84A8D" w:rsidRDefault="00B957F4" w:rsidP="00796D2F">
            <w:pPr>
              <w:pStyle w:val="BodyLeft"/>
            </w:pPr>
            <w:r w:rsidRPr="00A84A8D">
              <w:t>Pension protection scheme</w:t>
            </w:r>
          </w:p>
        </w:tc>
        <w:tc>
          <w:tcPr>
            <w:tcW w:w="2763" w:type="pct"/>
          </w:tcPr>
          <w:p w14:paraId="052E500B" w14:textId="77777777" w:rsidR="00B957F4" w:rsidRPr="00A84A8D" w:rsidRDefault="00B957F4" w:rsidP="00796D2F">
            <w:pPr>
              <w:pStyle w:val="BodyLeft"/>
            </w:pPr>
            <w:r w:rsidRPr="00A84A8D">
              <w:t>Support from a pension protection scheme was used:</w:t>
            </w:r>
          </w:p>
          <w:p w14:paraId="5CC15D55" w14:textId="77777777" w:rsidR="00B957F4" w:rsidRPr="00A84A8D" w:rsidRDefault="00B957F4" w:rsidP="00796D2F">
            <w:pPr>
              <w:pStyle w:val="BodyLeft"/>
            </w:pPr>
            <w:r w:rsidRPr="00A84A8D">
              <w:t>1 – Support from a pension protection scheme was used</w:t>
            </w:r>
          </w:p>
          <w:p w14:paraId="01266D95" w14:textId="77777777" w:rsidR="00B957F4" w:rsidRPr="00A84A8D" w:rsidRDefault="00B957F4" w:rsidP="00796D2F">
            <w:pPr>
              <w:pStyle w:val="BodyLeft"/>
            </w:pPr>
            <w:r w:rsidRPr="00A84A8D">
              <w:lastRenderedPageBreak/>
              <w:t>2 – Support from a pension protection scheme was not used</w:t>
            </w:r>
          </w:p>
        </w:tc>
      </w:tr>
    </w:tbl>
    <w:p w14:paraId="44CB121E" w14:textId="77777777" w:rsidR="00B957F4" w:rsidRPr="00A84A8D" w:rsidRDefault="00B957F4" w:rsidP="00B957F4">
      <w:pPr>
        <w:pStyle w:val="Heading5"/>
        <w:rPr>
          <w:rStyle w:val="Bold"/>
          <w:rFonts w:ascii="Verdana" w:hAnsi="Verdana"/>
          <w:color w:val="auto"/>
        </w:rPr>
      </w:pPr>
      <w:bookmarkStart w:id="11" w:name="_Toc477425251"/>
      <w:bookmarkStart w:id="12" w:name="_Toc477445257"/>
      <w:r w:rsidRPr="00A84A8D">
        <w:rPr>
          <w:rStyle w:val="Bold"/>
          <w:rFonts w:ascii="Verdana" w:hAnsi="Verdana"/>
          <w:color w:val="auto"/>
        </w:rPr>
        <w:lastRenderedPageBreak/>
        <w:t>Sponsor's financials</w:t>
      </w:r>
      <w:bookmarkEnd w:id="11"/>
      <w:bookmarkEnd w:id="12"/>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2216"/>
        <w:gridCol w:w="5264"/>
      </w:tblGrid>
      <w:tr w:rsidR="00AE4ACD" w:rsidRPr="00A84A8D" w14:paraId="3B8AACD0" w14:textId="77777777" w:rsidTr="00796D2F">
        <w:tc>
          <w:tcPr>
            <w:tcW w:w="1074" w:type="pct"/>
          </w:tcPr>
          <w:p w14:paraId="3D82DB2C" w14:textId="77777777" w:rsidR="00B957F4" w:rsidRPr="00A84A8D" w:rsidRDefault="00B957F4" w:rsidP="00796D2F">
            <w:pPr>
              <w:rPr>
                <w:rFonts w:ascii="Verdana" w:hAnsi="Verdana"/>
              </w:rPr>
            </w:pPr>
          </w:p>
        </w:tc>
        <w:tc>
          <w:tcPr>
            <w:tcW w:w="1163" w:type="pct"/>
          </w:tcPr>
          <w:p w14:paraId="601EEB64" w14:textId="77777777" w:rsidR="00B957F4" w:rsidRPr="00A84A8D" w:rsidRDefault="00B957F4" w:rsidP="00796D2F">
            <w:pPr>
              <w:pStyle w:val="BodyLeft"/>
              <w:rPr>
                <w:rStyle w:val="Bold"/>
              </w:rPr>
            </w:pPr>
            <w:r w:rsidRPr="00A84A8D">
              <w:rPr>
                <w:rStyle w:val="Bold"/>
              </w:rPr>
              <w:t>ITEM</w:t>
            </w:r>
          </w:p>
        </w:tc>
        <w:tc>
          <w:tcPr>
            <w:tcW w:w="2763" w:type="pct"/>
          </w:tcPr>
          <w:p w14:paraId="1D395550" w14:textId="77777777" w:rsidR="00B957F4" w:rsidRPr="00A84A8D" w:rsidRDefault="00B957F4" w:rsidP="00796D2F">
            <w:pPr>
              <w:pStyle w:val="BodyLeft"/>
              <w:rPr>
                <w:rStyle w:val="Bold"/>
              </w:rPr>
            </w:pPr>
            <w:r w:rsidRPr="00A84A8D">
              <w:rPr>
                <w:rStyle w:val="Bold"/>
              </w:rPr>
              <w:t>INSTRUCTIONS</w:t>
            </w:r>
          </w:p>
        </w:tc>
      </w:tr>
      <w:tr w:rsidR="00B957F4" w:rsidRPr="00A84A8D" w14:paraId="26B92BB5" w14:textId="77777777" w:rsidTr="00796D2F">
        <w:tc>
          <w:tcPr>
            <w:tcW w:w="1074" w:type="pct"/>
          </w:tcPr>
          <w:p w14:paraId="52147DBB" w14:textId="77777777" w:rsidR="00B957F4" w:rsidRPr="00A84A8D" w:rsidRDefault="00B957F4" w:rsidP="00796D2F">
            <w:pPr>
              <w:rPr>
                <w:rFonts w:ascii="Verdana" w:hAnsi="Verdana"/>
              </w:rPr>
            </w:pPr>
            <w:r w:rsidRPr="00A84A8D">
              <w:rPr>
                <w:rFonts w:ascii="Verdana" w:hAnsi="Verdana"/>
              </w:rPr>
              <w:t>C0010/R0240</w:t>
            </w:r>
          </w:p>
          <w:p w14:paraId="7728446C" w14:textId="77777777" w:rsidR="00B957F4" w:rsidRPr="00A84A8D" w:rsidRDefault="00B957F4" w:rsidP="00796D2F">
            <w:pPr>
              <w:rPr>
                <w:rFonts w:ascii="Verdana" w:hAnsi="Verdana"/>
              </w:rPr>
            </w:pPr>
          </w:p>
        </w:tc>
        <w:tc>
          <w:tcPr>
            <w:tcW w:w="1163" w:type="pct"/>
          </w:tcPr>
          <w:p w14:paraId="5ED5ED1A" w14:textId="77777777" w:rsidR="00B957F4" w:rsidRPr="00A84A8D" w:rsidRDefault="00B957F4" w:rsidP="00796D2F">
            <w:pPr>
              <w:pStyle w:val="BodyLeft"/>
            </w:pPr>
            <w:r w:rsidRPr="00A84A8D">
              <w:t>Remaining obligation in sponsor's BS</w:t>
            </w:r>
          </w:p>
        </w:tc>
        <w:tc>
          <w:tcPr>
            <w:tcW w:w="2763" w:type="pct"/>
          </w:tcPr>
          <w:p w14:paraId="4FF5E0AD" w14:textId="1DE09902" w:rsidR="00B957F4" w:rsidRPr="00A84A8D" w:rsidRDefault="00B957F4" w:rsidP="00796D2F">
            <w:pPr>
              <w:pStyle w:val="BodyLeft"/>
            </w:pPr>
            <w:r w:rsidRPr="00A84A8D">
              <w:t>The value of to the remaining pension obligation in the balance sheet of the sponsor.</w:t>
            </w:r>
            <w:r w:rsidR="009A1416" w:rsidRPr="00A84A8D">
              <w:t xml:space="preserve"> Values shall be reported as positive amounts.</w:t>
            </w:r>
          </w:p>
        </w:tc>
      </w:tr>
      <w:tr w:rsidR="00B957F4" w:rsidRPr="00A84A8D" w14:paraId="1D9188AD" w14:textId="77777777" w:rsidTr="00796D2F">
        <w:tc>
          <w:tcPr>
            <w:tcW w:w="1074" w:type="pct"/>
          </w:tcPr>
          <w:p w14:paraId="28CE96F2" w14:textId="77777777" w:rsidR="00B957F4" w:rsidRPr="00A84A8D" w:rsidRDefault="00B957F4" w:rsidP="00796D2F">
            <w:pPr>
              <w:rPr>
                <w:rFonts w:ascii="Verdana" w:hAnsi="Verdana"/>
              </w:rPr>
            </w:pPr>
            <w:r w:rsidRPr="00A84A8D">
              <w:rPr>
                <w:rFonts w:ascii="Verdana" w:hAnsi="Verdana"/>
              </w:rPr>
              <w:t>C0010/R0250</w:t>
            </w:r>
          </w:p>
          <w:p w14:paraId="188193BD" w14:textId="77777777" w:rsidR="00B957F4" w:rsidRPr="00A84A8D" w:rsidRDefault="00B957F4" w:rsidP="00796D2F">
            <w:pPr>
              <w:rPr>
                <w:rFonts w:ascii="Verdana" w:hAnsi="Verdana"/>
              </w:rPr>
            </w:pPr>
          </w:p>
        </w:tc>
        <w:tc>
          <w:tcPr>
            <w:tcW w:w="1163" w:type="pct"/>
          </w:tcPr>
          <w:p w14:paraId="3E0D7AA0" w14:textId="77777777" w:rsidR="00B957F4" w:rsidRPr="00A84A8D" w:rsidRDefault="00B957F4" w:rsidP="00796D2F">
            <w:pPr>
              <w:pStyle w:val="BodyLeft"/>
            </w:pPr>
            <w:r w:rsidRPr="00A84A8D">
              <w:t>Sponsor's right to reclaim funds</w:t>
            </w:r>
          </w:p>
        </w:tc>
        <w:tc>
          <w:tcPr>
            <w:tcW w:w="2763" w:type="pct"/>
          </w:tcPr>
          <w:p w14:paraId="2626121C" w14:textId="3117E3F3" w:rsidR="00B957F4" w:rsidRPr="00A84A8D" w:rsidRDefault="00B957F4" w:rsidP="00796D2F">
            <w:pPr>
              <w:pStyle w:val="BodyLeft"/>
            </w:pPr>
            <w:r w:rsidRPr="00A84A8D">
              <w:t xml:space="preserve">The value of assets that could be reclaimed by the sponsor. </w:t>
            </w:r>
            <w:r w:rsidR="009A1416" w:rsidRPr="00A84A8D">
              <w:t>Values shall be reported as positive amounts.</w:t>
            </w:r>
          </w:p>
        </w:tc>
      </w:tr>
    </w:tbl>
    <w:p w14:paraId="733519C7" w14:textId="77777777" w:rsidR="00B957F4" w:rsidRPr="00A84A8D" w:rsidRDefault="00B957F4" w:rsidP="00B957F4">
      <w:pPr>
        <w:rPr>
          <w:rFonts w:ascii="Verdana" w:hAnsi="Verdana"/>
        </w:rPr>
      </w:pPr>
    </w:p>
    <w:p w14:paraId="572AEBB1" w14:textId="77777777" w:rsidR="00B957F4" w:rsidRPr="00A84A8D" w:rsidRDefault="00B957F4" w:rsidP="00B957F4">
      <w:pPr>
        <w:rPr>
          <w:rFonts w:ascii="Verdana" w:hAnsi="Verdana"/>
        </w:rPr>
      </w:pPr>
    </w:p>
    <w:p w14:paraId="24A0BDA5" w14:textId="77777777" w:rsidR="00B957F4" w:rsidRPr="00A84A8D" w:rsidRDefault="00B957F4" w:rsidP="00B957F4">
      <w:pPr>
        <w:pStyle w:val="Heading4"/>
      </w:pPr>
      <w:bookmarkStart w:id="13" w:name="_Toc484604317"/>
      <w:bookmarkStart w:id="14" w:name="_Toc484788327"/>
      <w:bookmarkStart w:id="15" w:name="_Toc485028002"/>
      <w:r w:rsidRPr="00A84A8D">
        <w:t xml:space="preserve">Basic information </w:t>
      </w:r>
      <w:bookmarkEnd w:id="13"/>
      <w:bookmarkEnd w:id="14"/>
      <w:bookmarkEnd w:id="15"/>
      <w:r w:rsidRPr="00A84A8D">
        <w:t>(PF.01.02.26 and PF.01.02.27)</w:t>
      </w:r>
    </w:p>
    <w:tbl>
      <w:tblPr>
        <w:tblW w:w="4946" w:type="pct"/>
        <w:tblCellMar>
          <w:left w:w="0" w:type="dxa"/>
          <w:right w:w="0" w:type="dxa"/>
        </w:tblCellMar>
        <w:tblLook w:val="04A0" w:firstRow="1" w:lastRow="0" w:firstColumn="1" w:lastColumn="0" w:noHBand="0" w:noVBand="1"/>
      </w:tblPr>
      <w:tblGrid>
        <w:gridCol w:w="2044"/>
        <w:gridCol w:w="2213"/>
        <w:gridCol w:w="5259"/>
      </w:tblGrid>
      <w:tr w:rsidR="00B957F4" w:rsidRPr="00A84A8D" w14:paraId="066703B6" w14:textId="77777777" w:rsidTr="00796D2F">
        <w:tc>
          <w:tcPr>
            <w:tcW w:w="10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81C56" w14:textId="77777777" w:rsidR="00B957F4" w:rsidRPr="00A84A8D" w:rsidRDefault="00B957F4" w:rsidP="00796D2F">
            <w:pPr>
              <w:rPr>
                <w:rFonts w:ascii="Verdana" w:hAnsi="Verdana"/>
              </w:rPr>
            </w:pPr>
          </w:p>
        </w:tc>
        <w:tc>
          <w:tcPr>
            <w:tcW w:w="11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3EE53" w14:textId="77777777" w:rsidR="00B957F4" w:rsidRPr="00A84A8D" w:rsidRDefault="00B957F4" w:rsidP="00796D2F">
            <w:pPr>
              <w:pStyle w:val="BodyLeft"/>
              <w:rPr>
                <w:rStyle w:val="Bold"/>
              </w:rPr>
            </w:pPr>
            <w:r w:rsidRPr="00A84A8D">
              <w:rPr>
                <w:rStyle w:val="Bold"/>
              </w:rPr>
              <w:t>ITEM</w:t>
            </w:r>
          </w:p>
        </w:tc>
        <w:tc>
          <w:tcPr>
            <w:tcW w:w="2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AD340" w14:textId="77777777" w:rsidR="00B957F4" w:rsidRPr="00A84A8D" w:rsidRDefault="00B957F4" w:rsidP="00796D2F">
            <w:pPr>
              <w:pStyle w:val="BodyLeft"/>
              <w:rPr>
                <w:rStyle w:val="Bold"/>
              </w:rPr>
            </w:pPr>
            <w:r w:rsidRPr="00A84A8D">
              <w:rPr>
                <w:rStyle w:val="Bold"/>
              </w:rPr>
              <w:t>INSTRUCTIONS</w:t>
            </w:r>
          </w:p>
        </w:tc>
      </w:tr>
      <w:tr w:rsidR="00B957F4" w:rsidRPr="00A84A8D" w14:paraId="4A790FD2"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61F34" w14:textId="77777777" w:rsidR="00B957F4" w:rsidRPr="00A84A8D" w:rsidRDefault="00B957F4" w:rsidP="00796D2F">
            <w:pPr>
              <w:rPr>
                <w:rFonts w:ascii="Verdana" w:hAnsi="Verdana"/>
              </w:rPr>
            </w:pPr>
            <w:r w:rsidRPr="00A84A8D">
              <w:rPr>
                <w:rFonts w:ascii="Verdana" w:hAnsi="Verdana"/>
              </w:rPr>
              <w:t>C0020-C0060/R0300</w:t>
            </w:r>
          </w:p>
          <w:p w14:paraId="3AE7EFAC"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6EE274E5" w14:textId="77777777" w:rsidR="00B957F4" w:rsidRPr="00A84A8D" w:rsidRDefault="00B957F4" w:rsidP="00796D2F">
            <w:pPr>
              <w:pStyle w:val="BodyLeft"/>
            </w:pPr>
            <w:r w:rsidRPr="00A84A8D">
              <w:t>Number of single-sponsor IORPs</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00AB661D" w14:textId="77777777" w:rsidR="00B957F4" w:rsidRPr="00A84A8D" w:rsidRDefault="00B957F4" w:rsidP="00796D2F">
            <w:pPr>
              <w:pStyle w:val="BodyLeft"/>
            </w:pPr>
            <w:r w:rsidRPr="00A84A8D">
              <w:t>The number of single-employer IORPs. A single-employer IORP is an IORP open to only one employer (can be from the same group).</w:t>
            </w:r>
          </w:p>
        </w:tc>
      </w:tr>
      <w:tr w:rsidR="00B957F4" w:rsidRPr="00A84A8D" w14:paraId="31E5A188"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0C85A" w14:textId="77777777" w:rsidR="00B957F4" w:rsidRPr="00A84A8D" w:rsidRDefault="00B957F4" w:rsidP="00796D2F">
            <w:pPr>
              <w:rPr>
                <w:rFonts w:ascii="Verdana" w:hAnsi="Verdana"/>
              </w:rPr>
            </w:pPr>
            <w:r w:rsidRPr="00A84A8D">
              <w:rPr>
                <w:rFonts w:ascii="Verdana" w:hAnsi="Verdana"/>
              </w:rPr>
              <w:t>C0020-C0060/R0310</w:t>
            </w:r>
          </w:p>
          <w:p w14:paraId="18F2FA91"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3C83464C" w14:textId="77777777" w:rsidR="00B957F4" w:rsidRPr="00A84A8D" w:rsidRDefault="00B957F4" w:rsidP="00796D2F">
            <w:pPr>
              <w:pStyle w:val="BodyLeft"/>
            </w:pPr>
            <w:r w:rsidRPr="00A84A8D">
              <w:t>Number of multi-</w:t>
            </w:r>
            <w:proofErr w:type="gramStart"/>
            <w:r w:rsidRPr="00A84A8D">
              <w:t>sponsor</w:t>
            </w:r>
            <w:proofErr w:type="gramEnd"/>
            <w:r w:rsidRPr="00A84A8D">
              <w:t xml:space="preserve"> IORPs</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132C9F3D" w14:textId="77777777" w:rsidR="00B957F4" w:rsidRPr="00A84A8D" w:rsidRDefault="00B957F4" w:rsidP="00796D2F">
            <w:pPr>
              <w:pStyle w:val="BodyLeft"/>
            </w:pPr>
            <w:r w:rsidRPr="00A84A8D">
              <w:t>The number of multi-</w:t>
            </w:r>
            <w:proofErr w:type="gramStart"/>
            <w:r w:rsidRPr="00A84A8D">
              <w:t>employer</w:t>
            </w:r>
            <w:proofErr w:type="gramEnd"/>
            <w:r w:rsidRPr="00A84A8D">
              <w:t xml:space="preserve"> IORPs. A multi-employer IORP is an IORP open to two or more unrelated employers (not from the same group).</w:t>
            </w:r>
          </w:p>
        </w:tc>
      </w:tr>
      <w:tr w:rsidR="00B957F4" w:rsidRPr="00A84A8D" w14:paraId="0F0A803F"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72A4FD" w14:textId="77777777" w:rsidR="00B957F4" w:rsidRPr="00A84A8D" w:rsidRDefault="00B957F4" w:rsidP="00796D2F">
            <w:pPr>
              <w:rPr>
                <w:rFonts w:ascii="Verdana" w:hAnsi="Verdana"/>
              </w:rPr>
            </w:pPr>
            <w:r w:rsidRPr="00A84A8D">
              <w:rPr>
                <w:rFonts w:ascii="Verdana" w:hAnsi="Verdana"/>
              </w:rPr>
              <w:t>C0020-C0060/R0320</w:t>
            </w:r>
          </w:p>
          <w:p w14:paraId="36305BCC"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783E6B6F" w14:textId="77777777" w:rsidR="00B957F4" w:rsidRPr="00A84A8D" w:rsidRDefault="00B957F4" w:rsidP="00796D2F">
            <w:pPr>
              <w:pStyle w:val="BodyLeft"/>
            </w:pPr>
            <w:r w:rsidRPr="00A84A8D">
              <w:t>Total number of IORPs</w:t>
            </w:r>
          </w:p>
          <w:p w14:paraId="0DAC88B9" w14:textId="77777777" w:rsidR="00B957F4" w:rsidRPr="00A84A8D" w:rsidRDefault="00B957F4" w:rsidP="00796D2F">
            <w:pPr>
              <w:pStyle w:val="BodyLeft"/>
            </w:pP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2F05DD60" w14:textId="77777777" w:rsidR="00B957F4" w:rsidRPr="00A84A8D" w:rsidRDefault="00B957F4" w:rsidP="00796D2F">
            <w:pPr>
              <w:pStyle w:val="BodyLeft"/>
            </w:pPr>
            <w:r w:rsidRPr="00A84A8D">
              <w:t>The total number of IORPs in a certain Member State.</w:t>
            </w:r>
          </w:p>
        </w:tc>
      </w:tr>
      <w:tr w:rsidR="00B957F4" w:rsidRPr="00A84A8D" w14:paraId="38850F41"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E6B898" w14:textId="77777777" w:rsidR="00B957F4" w:rsidRPr="00A84A8D" w:rsidRDefault="00B957F4" w:rsidP="00796D2F">
            <w:pPr>
              <w:rPr>
                <w:rFonts w:ascii="Verdana" w:hAnsi="Verdana"/>
              </w:rPr>
            </w:pPr>
            <w:r w:rsidRPr="00A84A8D">
              <w:rPr>
                <w:rFonts w:ascii="Verdana" w:hAnsi="Verdana"/>
              </w:rPr>
              <w:t>C0020-C0060/R0330</w:t>
            </w:r>
          </w:p>
          <w:p w14:paraId="4E44728A"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32EAF160" w14:textId="77777777" w:rsidR="00B957F4" w:rsidRPr="00A84A8D" w:rsidRDefault="00B957F4" w:rsidP="00796D2F">
            <w:pPr>
              <w:pStyle w:val="BodyLeft"/>
            </w:pPr>
            <w:r w:rsidRPr="00A84A8D">
              <w:t>Total number of schemes</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7A3AB029" w14:textId="77777777" w:rsidR="00B957F4" w:rsidRPr="00A84A8D" w:rsidRDefault="00B957F4" w:rsidP="00796D2F">
            <w:pPr>
              <w:pStyle w:val="BodyLeft"/>
            </w:pPr>
            <w:r w:rsidRPr="00A84A8D">
              <w:t>The total number of IORPs' schemes in a certain Member State.</w:t>
            </w:r>
          </w:p>
        </w:tc>
      </w:tr>
      <w:tr w:rsidR="00B957F4" w:rsidRPr="00A84A8D" w14:paraId="13854DD2"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A6FBEA" w14:textId="77777777" w:rsidR="00B957F4" w:rsidRPr="00A84A8D" w:rsidRDefault="00B957F4" w:rsidP="00796D2F">
            <w:pPr>
              <w:rPr>
                <w:rFonts w:ascii="Verdana" w:hAnsi="Verdana"/>
              </w:rPr>
            </w:pPr>
            <w:r w:rsidRPr="00A84A8D">
              <w:rPr>
                <w:rFonts w:ascii="Verdana" w:hAnsi="Verdana"/>
              </w:rPr>
              <w:t>C0020-C0060/R0340</w:t>
            </w:r>
          </w:p>
          <w:p w14:paraId="181B2EE8"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65E32729" w14:textId="77777777" w:rsidR="00B957F4" w:rsidRPr="00A84A8D" w:rsidRDefault="00B957F4" w:rsidP="00796D2F">
            <w:pPr>
              <w:pStyle w:val="BodyLeft"/>
            </w:pPr>
            <w:r w:rsidRPr="00A84A8D">
              <w:t>Number of reported non-IORP pension funds</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56624887" w14:textId="77777777" w:rsidR="00B957F4" w:rsidRPr="00A84A8D" w:rsidRDefault="00B957F4" w:rsidP="00796D2F">
            <w:pPr>
              <w:pStyle w:val="BodyLeft"/>
            </w:pPr>
            <w:r w:rsidRPr="00A84A8D">
              <w:t xml:space="preserve">The total number of </w:t>
            </w:r>
            <w:proofErr w:type="gramStart"/>
            <w:r w:rsidRPr="00A84A8D">
              <w:t>reported,</w:t>
            </w:r>
            <w:proofErr w:type="gramEnd"/>
            <w:r w:rsidRPr="00A84A8D">
              <w:t xml:space="preserve"> nationally regulated occupational pension fund not regulated by IORP Directive ('non-IORP').</w:t>
            </w:r>
          </w:p>
        </w:tc>
      </w:tr>
      <w:tr w:rsidR="00B957F4" w:rsidRPr="00A84A8D" w14:paraId="6494C520"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071E8B" w14:textId="77777777" w:rsidR="00B957F4" w:rsidRPr="00A84A8D" w:rsidRDefault="00B957F4" w:rsidP="00796D2F">
            <w:pPr>
              <w:rPr>
                <w:rFonts w:ascii="Verdana" w:hAnsi="Verdana"/>
              </w:rPr>
            </w:pPr>
            <w:r w:rsidRPr="00A84A8D">
              <w:rPr>
                <w:rFonts w:ascii="Verdana" w:hAnsi="Verdana"/>
              </w:rPr>
              <w:t>C0020-C0060/R0350</w:t>
            </w:r>
          </w:p>
          <w:p w14:paraId="382BAF9C"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7EFCC9E9" w14:textId="77777777" w:rsidR="00B957F4" w:rsidRPr="00A84A8D" w:rsidRDefault="00B957F4" w:rsidP="00796D2F">
            <w:pPr>
              <w:pStyle w:val="BodyLeft"/>
            </w:pPr>
            <w:r w:rsidRPr="00A84A8D">
              <w:t xml:space="preserve">Total assets of reported non-IORP pension funds </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42DAF278" w14:textId="77777777" w:rsidR="00B957F4" w:rsidRPr="00A84A8D" w:rsidRDefault="00B957F4" w:rsidP="00796D2F">
            <w:pPr>
              <w:pStyle w:val="BodyLeft"/>
            </w:pPr>
            <w:r w:rsidRPr="00A84A8D">
              <w:t xml:space="preserve">The total value of assets of </w:t>
            </w:r>
            <w:proofErr w:type="gramStart"/>
            <w:r w:rsidRPr="00A84A8D">
              <w:t>reported,</w:t>
            </w:r>
            <w:proofErr w:type="gramEnd"/>
            <w:r w:rsidRPr="00A84A8D">
              <w:t xml:space="preserve"> nationally regulated occupational pension fund not regulated by IORP Directive ('non-IORP').</w:t>
            </w:r>
          </w:p>
        </w:tc>
      </w:tr>
      <w:tr w:rsidR="00B957F4" w:rsidRPr="00A84A8D" w14:paraId="02748FBC"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5B4D2B" w14:textId="77777777" w:rsidR="00B957F4" w:rsidRPr="00A84A8D" w:rsidRDefault="00B957F4" w:rsidP="00796D2F">
            <w:pPr>
              <w:rPr>
                <w:rFonts w:ascii="Verdana" w:hAnsi="Verdana"/>
              </w:rPr>
            </w:pPr>
            <w:r w:rsidRPr="00A84A8D">
              <w:rPr>
                <w:rFonts w:ascii="Verdana" w:hAnsi="Verdana"/>
              </w:rPr>
              <w:lastRenderedPageBreak/>
              <w:t>C0020-C0060/R0360</w:t>
            </w:r>
          </w:p>
          <w:p w14:paraId="5BAC3DB7"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79C8802D" w14:textId="77777777" w:rsidR="00B957F4" w:rsidRPr="00A84A8D" w:rsidRDefault="00B957F4" w:rsidP="00796D2F">
            <w:pPr>
              <w:pStyle w:val="BodyLeft"/>
            </w:pPr>
            <w:r w:rsidRPr="00A84A8D">
              <w:t>Total liabilities of reported non-IORP pension funds</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1BEA315D" w14:textId="77777777" w:rsidR="00B957F4" w:rsidRPr="00A84A8D" w:rsidRDefault="00B957F4" w:rsidP="00796D2F">
            <w:pPr>
              <w:pStyle w:val="BodyLeft"/>
            </w:pPr>
            <w:r w:rsidRPr="00A84A8D">
              <w:t xml:space="preserve">The total value of liabilities of </w:t>
            </w:r>
            <w:proofErr w:type="gramStart"/>
            <w:r w:rsidRPr="00A84A8D">
              <w:t>reported,</w:t>
            </w:r>
            <w:proofErr w:type="gramEnd"/>
            <w:r w:rsidRPr="00A84A8D">
              <w:t xml:space="preserve"> nationally regulated occupational pension fund not regulated by IORP Directive ('non-IORP').</w:t>
            </w:r>
          </w:p>
        </w:tc>
      </w:tr>
      <w:tr w:rsidR="00B957F4" w:rsidRPr="00A84A8D" w14:paraId="7C59D851"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BAD5B2" w14:textId="77777777" w:rsidR="00B957F4" w:rsidRPr="00A84A8D" w:rsidRDefault="00B957F4" w:rsidP="00796D2F">
            <w:pPr>
              <w:rPr>
                <w:rFonts w:ascii="Verdana" w:hAnsi="Verdana"/>
              </w:rPr>
            </w:pPr>
            <w:r w:rsidRPr="00A84A8D">
              <w:rPr>
                <w:rFonts w:ascii="Verdana" w:hAnsi="Verdana"/>
              </w:rPr>
              <w:t>C0020-C0060/R0370</w:t>
            </w:r>
          </w:p>
          <w:p w14:paraId="36A4E290"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6E947112" w14:textId="77777777" w:rsidR="00B957F4" w:rsidRPr="00A84A8D" w:rsidRDefault="00B957F4" w:rsidP="00796D2F">
            <w:pPr>
              <w:pStyle w:val="BodyLeft"/>
            </w:pPr>
            <w:r w:rsidRPr="00A84A8D">
              <w:t>Number of IORPs providing protection in line with Art. 15(1) of IORP Directive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4FC2B9AC" w14:textId="77777777" w:rsidR="00B957F4" w:rsidRPr="00A84A8D" w:rsidRDefault="00B957F4" w:rsidP="00796D2F">
            <w:pPr>
              <w:pStyle w:val="BodyLeft"/>
            </w:pPr>
            <w:r w:rsidRPr="00A84A8D">
              <w:t>The number of IORPs providing protection in line with Art. 15 (1) of the IORP Directive and therewith the IORP itself, and not the sponsoring undertaking, underwrites the liability to cover against biometric risk, or guarantees a given investment performance or a given level of benefits.</w:t>
            </w:r>
          </w:p>
        </w:tc>
      </w:tr>
      <w:tr w:rsidR="00B957F4" w:rsidRPr="00A84A8D" w14:paraId="5D2C7B82"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CC9DA7" w14:textId="77777777" w:rsidR="00B957F4" w:rsidRPr="00A84A8D" w:rsidRDefault="00B957F4" w:rsidP="00796D2F">
            <w:pPr>
              <w:rPr>
                <w:rFonts w:ascii="Verdana" w:hAnsi="Verdana"/>
              </w:rPr>
            </w:pPr>
            <w:r w:rsidRPr="00A84A8D">
              <w:rPr>
                <w:rFonts w:ascii="Verdana" w:hAnsi="Verdana"/>
              </w:rPr>
              <w:t>C0020-C0060/R0380</w:t>
            </w:r>
          </w:p>
          <w:p w14:paraId="4DC8DDD1"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2DF28613" w14:textId="77777777" w:rsidR="00B957F4" w:rsidRPr="00A84A8D" w:rsidRDefault="00B957F4" w:rsidP="00796D2F">
            <w:pPr>
              <w:pStyle w:val="BodyLeft"/>
            </w:pPr>
            <w:r w:rsidRPr="00A84A8D">
              <w:t>Total assets of IORPs providing protection in line with Art. 15(1) of IORP Directive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4C0E5700" w14:textId="77777777" w:rsidR="00B957F4" w:rsidRPr="00A84A8D" w:rsidRDefault="00B957F4" w:rsidP="00796D2F">
            <w:pPr>
              <w:pStyle w:val="BodyLeft"/>
            </w:pPr>
            <w:r w:rsidRPr="00A84A8D">
              <w:t>The total value of assets of IORPs providing protection in line with Art. 15 (2) of the IORP Directive</w:t>
            </w:r>
            <w:r w:rsidRPr="00A84A8D">
              <w:rPr>
                <w:lang w:eastAsia="en-US"/>
              </w:rPr>
              <w:t xml:space="preserve"> </w:t>
            </w:r>
            <w:r w:rsidRPr="00A84A8D">
              <w:t>and therewith the IORP itself, and not the sponsoring undertaking, underwrites the liability to cover against biometric risk, or guarantees a given investment performance or a given level of benefits.</w:t>
            </w:r>
          </w:p>
        </w:tc>
      </w:tr>
      <w:tr w:rsidR="00B957F4" w:rsidRPr="00A84A8D" w14:paraId="720146B8"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8B0245" w14:textId="77777777" w:rsidR="00B957F4" w:rsidRPr="00A84A8D" w:rsidRDefault="00B957F4" w:rsidP="00796D2F">
            <w:pPr>
              <w:rPr>
                <w:rFonts w:ascii="Verdana" w:hAnsi="Verdana"/>
              </w:rPr>
            </w:pPr>
            <w:r w:rsidRPr="00A84A8D">
              <w:rPr>
                <w:rFonts w:ascii="Verdana" w:hAnsi="Verdana"/>
              </w:rPr>
              <w:t>C0020-C0060/R0390</w:t>
            </w:r>
          </w:p>
          <w:p w14:paraId="05E2D4F5"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6A105DD8" w14:textId="77777777" w:rsidR="00B957F4" w:rsidRPr="00A84A8D" w:rsidRDefault="00B957F4" w:rsidP="00796D2F">
            <w:pPr>
              <w:pStyle w:val="BodyLeft"/>
            </w:pPr>
            <w:r w:rsidRPr="00A84A8D">
              <w:t>Total liabilities of IORPs providing protection in line with Art. 15(1) of IORP Directive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10ED1312" w14:textId="77777777" w:rsidR="00B957F4" w:rsidRPr="00A84A8D" w:rsidRDefault="00B957F4" w:rsidP="00796D2F">
            <w:pPr>
              <w:pStyle w:val="BodyLeft"/>
            </w:pPr>
            <w:r w:rsidRPr="00A84A8D">
              <w:t>The total value of liabilities of IORPs providing protection in line with Art. 15 (1) of the IORP Directive</w:t>
            </w:r>
            <w:r w:rsidRPr="00A84A8D">
              <w:rPr>
                <w:lang w:eastAsia="en-US"/>
              </w:rPr>
              <w:t xml:space="preserve"> </w:t>
            </w:r>
            <w:r w:rsidRPr="00A84A8D">
              <w:t>and therewith the IORP itself, and not the sponsoring undertaking, underwrites the liability to cover against biometric risk, or guarantees a given investment performance or a given level of benefits.</w:t>
            </w:r>
          </w:p>
        </w:tc>
      </w:tr>
      <w:tr w:rsidR="00B957F4" w:rsidRPr="00A84A8D" w14:paraId="7EE1DDF8"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02EEFD" w14:textId="77777777" w:rsidR="00B957F4" w:rsidRPr="00A84A8D" w:rsidRDefault="00B957F4" w:rsidP="00796D2F">
            <w:pPr>
              <w:rPr>
                <w:rFonts w:ascii="Verdana" w:hAnsi="Verdana"/>
              </w:rPr>
            </w:pPr>
            <w:r w:rsidRPr="00A84A8D">
              <w:rPr>
                <w:rFonts w:ascii="Verdana" w:hAnsi="Verdana"/>
              </w:rPr>
              <w:t>C0020-C0060/R0400</w:t>
            </w:r>
          </w:p>
          <w:p w14:paraId="29973A5A"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29A64B64" w14:textId="77777777" w:rsidR="00B957F4" w:rsidRPr="00A84A8D" w:rsidRDefault="00B957F4" w:rsidP="00796D2F">
            <w:pPr>
              <w:pStyle w:val="BodyLeft"/>
            </w:pPr>
            <w:r w:rsidRPr="00A84A8D">
              <w:t>Number of funds relating to occupational retirement business as referred to in Art 4 of IORP Directive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6BA6F3BF" w14:textId="77777777" w:rsidR="00B957F4" w:rsidRPr="00A84A8D" w:rsidRDefault="00B957F4" w:rsidP="00796D2F">
            <w:pPr>
              <w:pStyle w:val="BodyLeft"/>
            </w:pPr>
            <w:r w:rsidRPr="00A84A8D">
              <w:t>The number of funds relating to occupational retirement business as referred to in Art 4 of IORP Directive</w:t>
            </w:r>
          </w:p>
        </w:tc>
      </w:tr>
      <w:tr w:rsidR="00B957F4" w:rsidRPr="00A84A8D" w14:paraId="48D394D6"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0D6F67" w14:textId="77777777" w:rsidR="00B957F4" w:rsidRPr="00A84A8D" w:rsidRDefault="00B957F4" w:rsidP="00796D2F">
            <w:pPr>
              <w:rPr>
                <w:rFonts w:ascii="Verdana" w:hAnsi="Verdana"/>
              </w:rPr>
            </w:pPr>
            <w:r w:rsidRPr="00A84A8D">
              <w:rPr>
                <w:rFonts w:ascii="Verdana" w:hAnsi="Verdana"/>
              </w:rPr>
              <w:t>C0020-C0060/R0410</w:t>
            </w:r>
          </w:p>
          <w:p w14:paraId="30778315"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73EC8D19" w14:textId="77777777" w:rsidR="00B957F4" w:rsidRPr="00A84A8D" w:rsidRDefault="00B957F4" w:rsidP="00796D2F">
            <w:pPr>
              <w:pStyle w:val="BodyLeft"/>
            </w:pPr>
            <w:r w:rsidRPr="00A84A8D">
              <w:t>Total assets of funds relating to occupational retirement business as referred to in Art 4 of IORP Directive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54EDFB6E" w14:textId="77777777" w:rsidR="00B957F4" w:rsidRPr="00A84A8D" w:rsidRDefault="00B957F4" w:rsidP="00796D2F">
            <w:pPr>
              <w:pStyle w:val="BodyLeft"/>
            </w:pPr>
            <w:r w:rsidRPr="00A84A8D">
              <w:t>The total value of assets of funds relating to occupational retirement business as referred to in Art 4 of IORP Directive</w:t>
            </w:r>
          </w:p>
        </w:tc>
      </w:tr>
      <w:tr w:rsidR="00B957F4" w:rsidRPr="00A84A8D" w14:paraId="62CFAA87"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01A277" w14:textId="77777777" w:rsidR="00B957F4" w:rsidRPr="00A84A8D" w:rsidRDefault="00B957F4" w:rsidP="00796D2F">
            <w:pPr>
              <w:rPr>
                <w:rFonts w:ascii="Verdana" w:hAnsi="Verdana"/>
              </w:rPr>
            </w:pPr>
            <w:r w:rsidRPr="00A84A8D">
              <w:rPr>
                <w:rFonts w:ascii="Verdana" w:hAnsi="Verdana"/>
              </w:rPr>
              <w:t>C0020-C0060/R0420</w:t>
            </w:r>
          </w:p>
          <w:p w14:paraId="71C2AF6E"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54D10712" w14:textId="77777777" w:rsidR="00B957F4" w:rsidRPr="00A84A8D" w:rsidRDefault="00B957F4" w:rsidP="00796D2F">
            <w:pPr>
              <w:pStyle w:val="BodyLeft"/>
            </w:pPr>
            <w:r w:rsidRPr="00A84A8D">
              <w:t xml:space="preserve">Total liabilities of funds relating to occupational retirement </w:t>
            </w:r>
            <w:r w:rsidRPr="00A84A8D">
              <w:lastRenderedPageBreak/>
              <w:t>business as referred to in Art 4 of IORP Directive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72091DF8" w14:textId="77777777" w:rsidR="00B957F4" w:rsidRPr="00A84A8D" w:rsidRDefault="00B957F4" w:rsidP="00796D2F">
            <w:pPr>
              <w:pStyle w:val="BodyLeft"/>
            </w:pPr>
            <w:r w:rsidRPr="00A84A8D">
              <w:lastRenderedPageBreak/>
              <w:t>The total value of liabilities relating to occupational retirement business as referred to in Art 4 of IORP Directive</w:t>
            </w:r>
          </w:p>
        </w:tc>
      </w:tr>
      <w:tr w:rsidR="00B957F4" w:rsidRPr="00A84A8D" w14:paraId="0B9F75FB"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DEB90"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1DD2CA15" w14:textId="77777777" w:rsidR="00B957F4" w:rsidRPr="00A84A8D" w:rsidRDefault="00B957F4" w:rsidP="00796D2F">
            <w:pPr>
              <w:pStyle w:val="BodyLeft"/>
            </w:pP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3A9F4825" w14:textId="77777777" w:rsidR="00B957F4" w:rsidRPr="00A84A8D" w:rsidRDefault="00B957F4" w:rsidP="00796D2F">
            <w:pPr>
              <w:pStyle w:val="BodyLeft"/>
            </w:pPr>
          </w:p>
        </w:tc>
      </w:tr>
    </w:tbl>
    <w:p w14:paraId="7F7DDD0B" w14:textId="77777777" w:rsidR="00B957F4" w:rsidRPr="00A84A8D" w:rsidRDefault="00B957F4" w:rsidP="00B957F4">
      <w:pPr>
        <w:pStyle w:val="Heading5"/>
        <w:rPr>
          <w:rStyle w:val="Bold"/>
          <w:rFonts w:ascii="Verdana" w:hAnsi="Verdana"/>
          <w:color w:val="auto"/>
        </w:rPr>
      </w:pPr>
      <w:r w:rsidRPr="00A84A8D">
        <w:rPr>
          <w:rStyle w:val="Bold"/>
          <w:rFonts w:ascii="Verdana" w:hAnsi="Verdana"/>
          <w:color w:val="auto"/>
        </w:rPr>
        <w:t xml:space="preserve">Concentration ratios </w:t>
      </w:r>
    </w:p>
    <w:tbl>
      <w:tblPr>
        <w:tblW w:w="4946" w:type="pct"/>
        <w:tblLayout w:type="fixed"/>
        <w:tblCellMar>
          <w:left w:w="0" w:type="dxa"/>
          <w:right w:w="0" w:type="dxa"/>
        </w:tblCellMar>
        <w:tblLook w:val="04A0" w:firstRow="1" w:lastRow="0" w:firstColumn="1" w:lastColumn="0" w:noHBand="0" w:noVBand="1"/>
      </w:tblPr>
      <w:tblGrid>
        <w:gridCol w:w="2044"/>
        <w:gridCol w:w="2213"/>
        <w:gridCol w:w="5259"/>
      </w:tblGrid>
      <w:tr w:rsidR="00AE4ACD" w:rsidRPr="00A84A8D" w14:paraId="03142C8B" w14:textId="77777777" w:rsidTr="00796D2F">
        <w:tc>
          <w:tcPr>
            <w:tcW w:w="10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95FE69" w14:textId="77777777" w:rsidR="00B957F4" w:rsidRPr="00A84A8D" w:rsidRDefault="00B957F4" w:rsidP="00796D2F">
            <w:pPr>
              <w:rPr>
                <w:rFonts w:ascii="Verdana" w:hAnsi="Verdana"/>
              </w:rPr>
            </w:pPr>
          </w:p>
        </w:tc>
        <w:tc>
          <w:tcPr>
            <w:tcW w:w="11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DCF1A" w14:textId="77777777" w:rsidR="00B957F4" w:rsidRPr="00A84A8D" w:rsidRDefault="00B957F4" w:rsidP="00796D2F">
            <w:pPr>
              <w:pStyle w:val="BodyLeft"/>
              <w:rPr>
                <w:rStyle w:val="Bold"/>
              </w:rPr>
            </w:pPr>
            <w:r w:rsidRPr="00A84A8D">
              <w:rPr>
                <w:rStyle w:val="Bold"/>
              </w:rPr>
              <w:t>ITEM</w:t>
            </w:r>
          </w:p>
        </w:tc>
        <w:tc>
          <w:tcPr>
            <w:tcW w:w="2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EBA76" w14:textId="77777777" w:rsidR="00B957F4" w:rsidRPr="00A84A8D" w:rsidRDefault="00B957F4" w:rsidP="00796D2F">
            <w:pPr>
              <w:pStyle w:val="BodyLeft"/>
              <w:rPr>
                <w:rStyle w:val="Bold"/>
              </w:rPr>
            </w:pPr>
            <w:r w:rsidRPr="00A84A8D">
              <w:rPr>
                <w:rStyle w:val="Bold"/>
              </w:rPr>
              <w:t>INSTRUCTIONS</w:t>
            </w:r>
          </w:p>
        </w:tc>
      </w:tr>
      <w:tr w:rsidR="00AE4ACD" w:rsidRPr="00A84A8D" w14:paraId="241ECABD"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D84A6" w14:textId="77777777" w:rsidR="00B957F4" w:rsidRPr="00A84A8D" w:rsidRDefault="00B957F4" w:rsidP="00796D2F">
            <w:pPr>
              <w:rPr>
                <w:rFonts w:ascii="Verdana" w:hAnsi="Verdana"/>
              </w:rPr>
            </w:pPr>
            <w:r w:rsidRPr="00A84A8D">
              <w:rPr>
                <w:rFonts w:ascii="Verdana" w:hAnsi="Verdana"/>
              </w:rPr>
              <w:t>C0060/R0430</w:t>
            </w:r>
          </w:p>
          <w:p w14:paraId="13D697F8"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2A90D066" w14:textId="77777777" w:rsidR="00B957F4" w:rsidRPr="00A84A8D" w:rsidRDefault="00B957F4" w:rsidP="00796D2F">
            <w:pPr>
              <w:pStyle w:val="BodyLeft"/>
            </w:pPr>
            <w:r w:rsidRPr="00A84A8D">
              <w:t>CR3</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1097A197" w14:textId="77777777" w:rsidR="00B957F4" w:rsidRPr="00A84A8D" w:rsidRDefault="00B957F4" w:rsidP="00796D2F">
            <w:pPr>
              <w:pStyle w:val="BodyLeft"/>
            </w:pPr>
            <w:r w:rsidRPr="00A84A8D">
              <w:t>Total assets held by the largest 3 pension funds as a % of total assets of the pension fund sector (in %)</w:t>
            </w:r>
          </w:p>
        </w:tc>
      </w:tr>
      <w:tr w:rsidR="00AE4ACD" w:rsidRPr="00A84A8D" w14:paraId="693D2CEE"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486EE" w14:textId="77777777" w:rsidR="00B957F4" w:rsidRPr="00A84A8D" w:rsidRDefault="00B957F4" w:rsidP="00796D2F">
            <w:pPr>
              <w:rPr>
                <w:rFonts w:ascii="Verdana" w:hAnsi="Verdana"/>
              </w:rPr>
            </w:pPr>
            <w:r w:rsidRPr="00A84A8D">
              <w:rPr>
                <w:rFonts w:ascii="Verdana" w:hAnsi="Verdana"/>
              </w:rPr>
              <w:t>C0060/R0440</w:t>
            </w:r>
          </w:p>
          <w:p w14:paraId="61C9433B"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0125286C" w14:textId="77777777" w:rsidR="00B957F4" w:rsidRPr="00A84A8D" w:rsidRDefault="00B957F4" w:rsidP="00796D2F">
            <w:pPr>
              <w:pStyle w:val="BodyLeft"/>
            </w:pPr>
            <w:r w:rsidRPr="00A84A8D">
              <w:t>CR5</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098C5FA0" w14:textId="77777777" w:rsidR="00B957F4" w:rsidRPr="00A84A8D" w:rsidRDefault="00B957F4" w:rsidP="00796D2F">
            <w:pPr>
              <w:pStyle w:val="BodyLeft"/>
            </w:pPr>
            <w:r w:rsidRPr="00A84A8D">
              <w:t>Total assets held by the largest 5 pension funds as a % of total assets of the pension fund sector (in %)</w:t>
            </w:r>
          </w:p>
        </w:tc>
      </w:tr>
      <w:tr w:rsidR="00AE4ACD" w:rsidRPr="00A84A8D" w14:paraId="3CE3888D"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18774" w14:textId="77777777" w:rsidR="00B957F4" w:rsidRPr="00A84A8D" w:rsidRDefault="00B957F4" w:rsidP="00796D2F">
            <w:pPr>
              <w:rPr>
                <w:rFonts w:ascii="Verdana" w:hAnsi="Verdana"/>
              </w:rPr>
            </w:pPr>
            <w:r w:rsidRPr="00A84A8D">
              <w:rPr>
                <w:rFonts w:ascii="Verdana" w:hAnsi="Verdana"/>
              </w:rPr>
              <w:t>C0060/R0450</w:t>
            </w:r>
          </w:p>
          <w:p w14:paraId="4EE65F55"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76E412D2" w14:textId="77777777" w:rsidR="00B957F4" w:rsidRPr="00A84A8D" w:rsidRDefault="00B957F4" w:rsidP="00796D2F">
            <w:pPr>
              <w:pStyle w:val="BodyLeft"/>
            </w:pPr>
            <w:r w:rsidRPr="00A84A8D">
              <w:t>CR10</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26B3056A" w14:textId="77777777" w:rsidR="00B957F4" w:rsidRPr="00A84A8D" w:rsidRDefault="00B957F4" w:rsidP="00796D2F">
            <w:pPr>
              <w:pStyle w:val="BodyLeft"/>
            </w:pPr>
            <w:r w:rsidRPr="00A84A8D">
              <w:t>Total assets held by the largest 10 pension funds as a % of total assets of the pension fund sector (in %)</w:t>
            </w:r>
          </w:p>
        </w:tc>
      </w:tr>
    </w:tbl>
    <w:p w14:paraId="7FFA6947" w14:textId="77777777" w:rsidR="00B957F4" w:rsidRPr="00A84A8D" w:rsidRDefault="00B957F4" w:rsidP="00B957F4">
      <w:pPr>
        <w:pStyle w:val="Heading5"/>
        <w:rPr>
          <w:rStyle w:val="Bold"/>
          <w:rFonts w:ascii="Verdana" w:hAnsi="Verdana"/>
          <w:color w:val="auto"/>
        </w:rPr>
      </w:pPr>
      <w:r w:rsidRPr="00A84A8D">
        <w:rPr>
          <w:rStyle w:val="Bold"/>
          <w:rFonts w:ascii="Verdana" w:hAnsi="Verdana"/>
          <w:color w:val="auto"/>
        </w:rPr>
        <w:t>Number of IORPs by total assets</w:t>
      </w:r>
    </w:p>
    <w:tbl>
      <w:tblPr>
        <w:tblW w:w="4946" w:type="pct"/>
        <w:tblCellMar>
          <w:left w:w="0" w:type="dxa"/>
          <w:right w:w="0" w:type="dxa"/>
        </w:tblCellMar>
        <w:tblLook w:val="04A0" w:firstRow="1" w:lastRow="0" w:firstColumn="1" w:lastColumn="0" w:noHBand="0" w:noVBand="1"/>
      </w:tblPr>
      <w:tblGrid>
        <w:gridCol w:w="2044"/>
        <w:gridCol w:w="2213"/>
        <w:gridCol w:w="5259"/>
      </w:tblGrid>
      <w:tr w:rsidR="00B957F4" w:rsidRPr="00A84A8D" w14:paraId="5806DC47" w14:textId="77777777" w:rsidTr="00796D2F">
        <w:tc>
          <w:tcPr>
            <w:tcW w:w="10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A5C3C0" w14:textId="77777777" w:rsidR="00B957F4" w:rsidRPr="00A84A8D" w:rsidRDefault="00B957F4" w:rsidP="00796D2F">
            <w:pPr>
              <w:rPr>
                <w:rFonts w:ascii="Verdana" w:hAnsi="Verdana"/>
              </w:rPr>
            </w:pPr>
          </w:p>
        </w:tc>
        <w:tc>
          <w:tcPr>
            <w:tcW w:w="11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37970" w14:textId="77777777" w:rsidR="00B957F4" w:rsidRPr="00A84A8D" w:rsidRDefault="00B957F4" w:rsidP="00796D2F">
            <w:pPr>
              <w:pStyle w:val="BodyLeft"/>
              <w:rPr>
                <w:rStyle w:val="Bold"/>
              </w:rPr>
            </w:pPr>
            <w:r w:rsidRPr="00A84A8D">
              <w:rPr>
                <w:rStyle w:val="Bold"/>
              </w:rPr>
              <w:t>ITEM</w:t>
            </w:r>
          </w:p>
        </w:tc>
        <w:tc>
          <w:tcPr>
            <w:tcW w:w="2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68B9C" w14:textId="77777777" w:rsidR="00B957F4" w:rsidRPr="00A84A8D" w:rsidRDefault="00B957F4" w:rsidP="00796D2F">
            <w:pPr>
              <w:pStyle w:val="BodyLeft"/>
              <w:rPr>
                <w:rStyle w:val="Bold"/>
              </w:rPr>
            </w:pPr>
            <w:r w:rsidRPr="00A84A8D">
              <w:rPr>
                <w:rStyle w:val="Bold"/>
              </w:rPr>
              <w:t>INSTRUCTIONS</w:t>
            </w:r>
          </w:p>
        </w:tc>
      </w:tr>
      <w:tr w:rsidR="00B957F4" w:rsidRPr="00A84A8D" w14:paraId="65D6033D"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D6C55" w14:textId="77777777" w:rsidR="00B957F4" w:rsidRPr="00A84A8D" w:rsidRDefault="00B957F4" w:rsidP="00796D2F">
            <w:pPr>
              <w:rPr>
                <w:rFonts w:ascii="Verdana" w:hAnsi="Verdana"/>
              </w:rPr>
            </w:pPr>
            <w:r w:rsidRPr="00A84A8D">
              <w:rPr>
                <w:rFonts w:ascii="Verdana" w:hAnsi="Verdana"/>
              </w:rPr>
              <w:t>C0020-C0060/R0460</w:t>
            </w:r>
          </w:p>
          <w:p w14:paraId="4171B8DE"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42CDFB22" w14:textId="77777777" w:rsidR="00B957F4" w:rsidRPr="00A84A8D" w:rsidRDefault="00B957F4" w:rsidP="00796D2F">
            <w:pPr>
              <w:pStyle w:val="BodyLeft"/>
            </w:pPr>
            <w:r w:rsidRPr="00A84A8D">
              <w:t>less than 25 million</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73282310" w14:textId="77777777" w:rsidR="00B957F4" w:rsidRPr="00A84A8D" w:rsidRDefault="00B957F4" w:rsidP="00796D2F">
            <w:pPr>
              <w:pStyle w:val="BodyLeft"/>
            </w:pPr>
            <w:r w:rsidRPr="00A84A8D">
              <w:t xml:space="preserve">The number of IORPs with less than </w:t>
            </w:r>
            <w:proofErr w:type="gramStart"/>
            <w:r w:rsidRPr="00A84A8D">
              <w:t>25 million euro</w:t>
            </w:r>
            <w:proofErr w:type="gramEnd"/>
            <w:r w:rsidRPr="00A84A8D">
              <w:t xml:space="preserve"> assets under management.</w:t>
            </w:r>
          </w:p>
        </w:tc>
      </w:tr>
      <w:tr w:rsidR="00B957F4" w:rsidRPr="00A84A8D" w14:paraId="5BD2B143"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720B0" w14:textId="77777777" w:rsidR="00B957F4" w:rsidRPr="00A84A8D" w:rsidRDefault="00B957F4" w:rsidP="00796D2F">
            <w:pPr>
              <w:rPr>
                <w:rFonts w:ascii="Verdana" w:hAnsi="Verdana"/>
              </w:rPr>
            </w:pPr>
            <w:r w:rsidRPr="00A84A8D">
              <w:rPr>
                <w:rFonts w:ascii="Verdana" w:hAnsi="Verdana"/>
              </w:rPr>
              <w:t>C0020-C0060/R0470</w:t>
            </w:r>
          </w:p>
          <w:p w14:paraId="69BDDE7F"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340D90D1" w14:textId="77777777" w:rsidR="00B957F4" w:rsidRPr="00A84A8D" w:rsidRDefault="00B957F4" w:rsidP="00796D2F">
            <w:pPr>
              <w:pStyle w:val="BodyLeft"/>
            </w:pPr>
            <w:r w:rsidRPr="00A84A8D">
              <w:t>more than 25 million, less than 100 million</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0779843C" w14:textId="77777777" w:rsidR="00B957F4" w:rsidRPr="00A84A8D" w:rsidRDefault="00B957F4" w:rsidP="00796D2F">
            <w:pPr>
              <w:pStyle w:val="BodyLeft"/>
            </w:pPr>
            <w:r w:rsidRPr="00A84A8D">
              <w:t xml:space="preserve">The number of IORPs with between 25 million euro and </w:t>
            </w:r>
            <w:proofErr w:type="gramStart"/>
            <w:r w:rsidRPr="00A84A8D">
              <w:t>100 million euro</w:t>
            </w:r>
            <w:proofErr w:type="gramEnd"/>
            <w:r w:rsidRPr="00A84A8D">
              <w:t xml:space="preserve"> assets under management.</w:t>
            </w:r>
          </w:p>
        </w:tc>
      </w:tr>
      <w:tr w:rsidR="00B957F4" w:rsidRPr="00A84A8D" w14:paraId="6C3C2FD6"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E72B69" w14:textId="77777777" w:rsidR="00B957F4" w:rsidRPr="00A84A8D" w:rsidRDefault="00B957F4" w:rsidP="00796D2F">
            <w:pPr>
              <w:rPr>
                <w:rFonts w:ascii="Verdana" w:hAnsi="Verdana"/>
              </w:rPr>
            </w:pPr>
            <w:r w:rsidRPr="00A84A8D">
              <w:rPr>
                <w:rFonts w:ascii="Verdana" w:hAnsi="Verdana"/>
              </w:rPr>
              <w:t>C0020-C0060/R0480</w:t>
            </w:r>
          </w:p>
          <w:p w14:paraId="0B792D58"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42CD4669" w14:textId="77777777" w:rsidR="00B957F4" w:rsidRPr="00A84A8D" w:rsidRDefault="00B957F4" w:rsidP="00796D2F">
            <w:pPr>
              <w:pStyle w:val="BodyLeft"/>
            </w:pPr>
            <w:r w:rsidRPr="00A84A8D">
              <w:t>more than 100 million, less than 500 million</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581301E2" w14:textId="77777777" w:rsidR="00B957F4" w:rsidRPr="00A84A8D" w:rsidRDefault="00B957F4" w:rsidP="00796D2F">
            <w:pPr>
              <w:pStyle w:val="BodyLeft"/>
            </w:pPr>
            <w:r w:rsidRPr="00A84A8D">
              <w:t xml:space="preserve">The number of IORPs with between 100 million euro and </w:t>
            </w:r>
            <w:proofErr w:type="gramStart"/>
            <w:r w:rsidRPr="00A84A8D">
              <w:t>500 million euro</w:t>
            </w:r>
            <w:proofErr w:type="gramEnd"/>
            <w:r w:rsidRPr="00A84A8D">
              <w:t xml:space="preserve"> assets under management.</w:t>
            </w:r>
          </w:p>
        </w:tc>
      </w:tr>
      <w:tr w:rsidR="00B957F4" w:rsidRPr="00A84A8D" w14:paraId="27DE77BC"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0424CB" w14:textId="77777777" w:rsidR="00B957F4" w:rsidRPr="00A84A8D" w:rsidRDefault="00B957F4" w:rsidP="00796D2F">
            <w:pPr>
              <w:rPr>
                <w:rFonts w:ascii="Verdana" w:hAnsi="Verdana"/>
              </w:rPr>
            </w:pPr>
            <w:r w:rsidRPr="00A84A8D">
              <w:rPr>
                <w:rFonts w:ascii="Verdana" w:hAnsi="Verdana"/>
              </w:rPr>
              <w:t>C0020-C0060/R0490</w:t>
            </w:r>
          </w:p>
          <w:p w14:paraId="260469EC"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126044F9" w14:textId="77777777" w:rsidR="00B957F4" w:rsidRPr="00A84A8D" w:rsidRDefault="00B957F4" w:rsidP="00796D2F">
            <w:pPr>
              <w:pStyle w:val="BodyLeft"/>
            </w:pPr>
            <w:r w:rsidRPr="00A84A8D">
              <w:t>more than 500 million, less than 1000 million</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1242CDD1" w14:textId="77777777" w:rsidR="00B957F4" w:rsidRPr="00A84A8D" w:rsidRDefault="00B957F4" w:rsidP="00796D2F">
            <w:pPr>
              <w:pStyle w:val="BodyLeft"/>
            </w:pPr>
            <w:r w:rsidRPr="00A84A8D">
              <w:t xml:space="preserve">The number of IORPs with between 500 million euro and </w:t>
            </w:r>
            <w:proofErr w:type="gramStart"/>
            <w:r w:rsidRPr="00A84A8D">
              <w:t>1000 million euro</w:t>
            </w:r>
            <w:proofErr w:type="gramEnd"/>
            <w:r w:rsidRPr="00A84A8D">
              <w:t xml:space="preserve"> assets under management.</w:t>
            </w:r>
          </w:p>
        </w:tc>
      </w:tr>
      <w:tr w:rsidR="00B957F4" w:rsidRPr="00A84A8D" w14:paraId="109F5BB1"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A4329A" w14:textId="77777777" w:rsidR="00B957F4" w:rsidRPr="00A84A8D" w:rsidRDefault="00B957F4" w:rsidP="00796D2F">
            <w:pPr>
              <w:rPr>
                <w:rFonts w:ascii="Verdana" w:hAnsi="Verdana"/>
              </w:rPr>
            </w:pPr>
            <w:r w:rsidRPr="00A84A8D">
              <w:rPr>
                <w:rFonts w:ascii="Verdana" w:hAnsi="Verdana"/>
              </w:rPr>
              <w:t>C0020-C0060/R0500</w:t>
            </w:r>
          </w:p>
          <w:p w14:paraId="62360679"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4DA34991" w14:textId="77777777" w:rsidR="00B957F4" w:rsidRPr="00A84A8D" w:rsidRDefault="00B957F4" w:rsidP="00796D2F">
            <w:pPr>
              <w:pStyle w:val="BodyLeft"/>
            </w:pPr>
            <w:r w:rsidRPr="00A84A8D">
              <w:t>more than 1000 million</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0C4A11F3" w14:textId="77777777" w:rsidR="00B957F4" w:rsidRPr="00A84A8D" w:rsidRDefault="00B957F4" w:rsidP="00796D2F">
            <w:pPr>
              <w:pStyle w:val="BodyLeft"/>
            </w:pPr>
            <w:r w:rsidRPr="00A84A8D">
              <w:t xml:space="preserve">The number of IORPs with more than </w:t>
            </w:r>
            <w:proofErr w:type="gramStart"/>
            <w:r w:rsidRPr="00A84A8D">
              <w:t>1000 million euro</w:t>
            </w:r>
            <w:proofErr w:type="gramEnd"/>
            <w:r w:rsidRPr="00A84A8D">
              <w:t xml:space="preserve"> assets under management.</w:t>
            </w:r>
          </w:p>
        </w:tc>
      </w:tr>
    </w:tbl>
    <w:p w14:paraId="499D3F4C" w14:textId="77777777" w:rsidR="00AE4ACD" w:rsidRPr="00A84A8D" w:rsidRDefault="00AE4ACD" w:rsidP="00B957F4">
      <w:pPr>
        <w:rPr>
          <w:rStyle w:val="BoldBlue"/>
          <w:rFonts w:ascii="Verdana" w:hAnsi="Verdana"/>
        </w:rPr>
      </w:pPr>
      <w:bookmarkStart w:id="16" w:name="_Toc484604318"/>
      <w:bookmarkStart w:id="17" w:name="_Toc484788328"/>
      <w:bookmarkStart w:id="18" w:name="_Toc485028003"/>
    </w:p>
    <w:p w14:paraId="4C8D428F" w14:textId="65F380B3" w:rsidR="00B957F4" w:rsidRPr="00A84A8D" w:rsidRDefault="00B957F4" w:rsidP="00B957F4">
      <w:pPr>
        <w:rPr>
          <w:rStyle w:val="BoldBlue"/>
          <w:rFonts w:ascii="Verdana" w:hAnsi="Verdana"/>
          <w:color w:val="auto"/>
        </w:rPr>
      </w:pPr>
      <w:r w:rsidRPr="00A84A8D">
        <w:rPr>
          <w:rStyle w:val="BoldBlue"/>
          <w:rFonts w:ascii="Verdana" w:hAnsi="Verdana"/>
          <w:color w:val="auto"/>
        </w:rPr>
        <w:t>Basic Information - scope of report</w:t>
      </w:r>
    </w:p>
    <w:tbl>
      <w:tblPr>
        <w:tblW w:w="4946" w:type="pct"/>
        <w:tblCellMar>
          <w:left w:w="0" w:type="dxa"/>
          <w:right w:w="0" w:type="dxa"/>
        </w:tblCellMar>
        <w:tblLook w:val="04A0" w:firstRow="1" w:lastRow="0" w:firstColumn="1" w:lastColumn="0" w:noHBand="0" w:noVBand="1"/>
      </w:tblPr>
      <w:tblGrid>
        <w:gridCol w:w="2044"/>
        <w:gridCol w:w="2213"/>
        <w:gridCol w:w="5259"/>
      </w:tblGrid>
      <w:tr w:rsidR="00B957F4" w:rsidRPr="00A84A8D" w14:paraId="762EF688" w14:textId="77777777" w:rsidTr="00796D2F">
        <w:tc>
          <w:tcPr>
            <w:tcW w:w="10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F36B2" w14:textId="77777777" w:rsidR="00B957F4" w:rsidRPr="00A84A8D" w:rsidRDefault="00B957F4" w:rsidP="00796D2F">
            <w:pPr>
              <w:rPr>
                <w:rFonts w:ascii="Verdana" w:hAnsi="Verdana"/>
              </w:rPr>
            </w:pPr>
          </w:p>
        </w:tc>
        <w:tc>
          <w:tcPr>
            <w:tcW w:w="11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24732" w14:textId="77777777" w:rsidR="00B957F4" w:rsidRPr="00A84A8D" w:rsidRDefault="00B957F4" w:rsidP="00796D2F">
            <w:pPr>
              <w:pStyle w:val="BodyLeft"/>
              <w:rPr>
                <w:rStyle w:val="Bold"/>
              </w:rPr>
            </w:pPr>
            <w:r w:rsidRPr="00A84A8D">
              <w:rPr>
                <w:rStyle w:val="Bold"/>
              </w:rPr>
              <w:t>ITEM</w:t>
            </w:r>
          </w:p>
        </w:tc>
        <w:tc>
          <w:tcPr>
            <w:tcW w:w="2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21EA8" w14:textId="77777777" w:rsidR="00B957F4" w:rsidRPr="00A84A8D" w:rsidRDefault="00B957F4" w:rsidP="00796D2F">
            <w:pPr>
              <w:pStyle w:val="BodyLeft"/>
              <w:rPr>
                <w:rStyle w:val="Bold"/>
              </w:rPr>
            </w:pPr>
            <w:r w:rsidRPr="00A84A8D">
              <w:rPr>
                <w:rStyle w:val="Bold"/>
              </w:rPr>
              <w:t>INSTRUCTIONS</w:t>
            </w:r>
          </w:p>
        </w:tc>
      </w:tr>
      <w:tr w:rsidR="00B957F4" w:rsidRPr="00A84A8D" w14:paraId="5C560E76"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4C801" w14:textId="77777777" w:rsidR="00B957F4" w:rsidRPr="00A84A8D" w:rsidRDefault="00B957F4" w:rsidP="00796D2F">
            <w:pPr>
              <w:rPr>
                <w:rFonts w:ascii="Verdana" w:hAnsi="Verdana"/>
              </w:rPr>
            </w:pPr>
            <w:r w:rsidRPr="00A84A8D">
              <w:rPr>
                <w:rFonts w:ascii="Verdana" w:hAnsi="Verdana"/>
              </w:rPr>
              <w:t>C0100</w:t>
            </w:r>
          </w:p>
          <w:p w14:paraId="6C6986EF"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276A5DFD" w14:textId="77777777" w:rsidR="00B957F4" w:rsidRPr="00A84A8D" w:rsidRDefault="00B957F4" w:rsidP="00796D2F">
            <w:pPr>
              <w:pStyle w:val="BodyLeft"/>
            </w:pPr>
            <w:r w:rsidRPr="00A84A8D">
              <w:t xml:space="preserve">Pension fund identification </w:t>
            </w:r>
            <w:r w:rsidRPr="00A84A8D">
              <w:lastRenderedPageBreak/>
              <w:t>code and type of code</w:t>
            </w:r>
          </w:p>
        </w:tc>
        <w:tc>
          <w:tcPr>
            <w:tcW w:w="2763" w:type="pct"/>
            <w:tcBorders>
              <w:top w:val="nil"/>
              <w:left w:val="nil"/>
              <w:bottom w:val="single" w:sz="8" w:space="0" w:color="auto"/>
              <w:right w:val="single" w:sz="8" w:space="0" w:color="auto"/>
            </w:tcBorders>
            <w:tcMar>
              <w:top w:w="0" w:type="dxa"/>
              <w:left w:w="108" w:type="dxa"/>
              <w:bottom w:w="0" w:type="dxa"/>
              <w:right w:w="108" w:type="dxa"/>
            </w:tcMar>
            <w:hideMark/>
          </w:tcPr>
          <w:p w14:paraId="36A47154" w14:textId="77777777" w:rsidR="00B957F4" w:rsidRPr="00A84A8D" w:rsidRDefault="00B957F4" w:rsidP="00796D2F">
            <w:pPr>
              <w:pStyle w:val="BodyLeft"/>
            </w:pPr>
            <w:r w:rsidRPr="00A84A8D">
              <w:lastRenderedPageBreak/>
              <w:t>Identification code of the pension fund:</w:t>
            </w:r>
          </w:p>
          <w:p w14:paraId="5D9C62C1" w14:textId="77777777" w:rsidR="00B957F4" w:rsidRPr="00A84A8D" w:rsidRDefault="00B957F4" w:rsidP="00796D2F">
            <w:pPr>
              <w:pStyle w:val="BodyLeft"/>
            </w:pPr>
            <w:r w:rsidRPr="00A84A8D">
              <w:lastRenderedPageBreak/>
              <w:t xml:space="preserve"> – Legal Entity Identifier (“LEI”)</w:t>
            </w:r>
          </w:p>
          <w:p w14:paraId="53856BA4" w14:textId="57F7BAFD" w:rsidR="00B957F4" w:rsidRPr="00A84A8D" w:rsidRDefault="00B957F4" w:rsidP="00796D2F">
            <w:pPr>
              <w:pStyle w:val="BodyLeft"/>
            </w:pPr>
            <w:r w:rsidRPr="00A84A8D">
              <w:t>Only if the pension fund does not have a LEI code</w:t>
            </w:r>
            <w:r w:rsidR="004D1672" w:rsidRPr="00A84A8D">
              <w:t xml:space="preserve"> and not in the scope of the mandatory individual reporting</w:t>
            </w:r>
            <w:r w:rsidRPr="00A84A8D">
              <w:t xml:space="preserve">: identification code used in the local market, attributed by supervisory authority. This code should be the code used to identify codes in EIOPA register on IORPs </w:t>
            </w:r>
          </w:p>
          <w:p w14:paraId="407F5123" w14:textId="77777777" w:rsidR="00B957F4" w:rsidRPr="00A84A8D" w:rsidRDefault="00B957F4" w:rsidP="00796D2F">
            <w:pPr>
              <w:pStyle w:val="BodyLeft"/>
            </w:pPr>
            <w:r w:rsidRPr="00A84A8D">
              <w:t xml:space="preserve">And type of ID Code used: </w:t>
            </w:r>
          </w:p>
          <w:p w14:paraId="6F588E65" w14:textId="77777777" w:rsidR="00B957F4" w:rsidRPr="00A84A8D" w:rsidRDefault="00B957F4" w:rsidP="00796D2F">
            <w:pPr>
              <w:pStyle w:val="BodyLeft"/>
            </w:pPr>
            <w:r w:rsidRPr="00A84A8D">
              <w:t xml:space="preserve">1 – LEI </w:t>
            </w:r>
          </w:p>
          <w:p w14:paraId="335B9B00" w14:textId="77777777" w:rsidR="00B957F4" w:rsidRPr="00A84A8D" w:rsidRDefault="00B957F4" w:rsidP="00796D2F">
            <w:pPr>
              <w:pStyle w:val="BodyLeft"/>
            </w:pPr>
            <w:r w:rsidRPr="00A84A8D">
              <w:t>2 – Specific code</w:t>
            </w:r>
          </w:p>
        </w:tc>
      </w:tr>
      <w:tr w:rsidR="00B957F4" w:rsidRPr="00A84A8D" w14:paraId="59ECF2BE"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5BF4C" w14:textId="77777777" w:rsidR="00B957F4" w:rsidRPr="00A84A8D" w:rsidRDefault="00B957F4" w:rsidP="00796D2F">
            <w:pPr>
              <w:rPr>
                <w:rFonts w:ascii="Verdana" w:hAnsi="Verdana"/>
              </w:rPr>
            </w:pPr>
            <w:r w:rsidRPr="00A84A8D">
              <w:rPr>
                <w:rFonts w:ascii="Verdana" w:hAnsi="Verdana"/>
              </w:rPr>
              <w:lastRenderedPageBreak/>
              <w:t>C0110</w:t>
            </w:r>
          </w:p>
          <w:p w14:paraId="7C38BF2A"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14:paraId="280AB881" w14:textId="77777777" w:rsidR="00B957F4" w:rsidRPr="00A84A8D" w:rsidRDefault="00B957F4" w:rsidP="00796D2F">
            <w:pPr>
              <w:pStyle w:val="BodyLeft"/>
            </w:pPr>
            <w:r w:rsidRPr="00A84A8D">
              <w:t>Pension fund name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3E54E549" w14:textId="77777777" w:rsidR="00B957F4" w:rsidRPr="00A84A8D" w:rsidRDefault="00B957F4" w:rsidP="00796D2F">
            <w:pPr>
              <w:pStyle w:val="BodyLeft"/>
            </w:pPr>
            <w:r w:rsidRPr="00A84A8D">
              <w:t>Legal name</w:t>
            </w:r>
          </w:p>
        </w:tc>
      </w:tr>
      <w:tr w:rsidR="00B957F4" w:rsidRPr="00A84A8D" w14:paraId="7474563B"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2938F7" w14:textId="77777777" w:rsidR="00B957F4" w:rsidRPr="00A84A8D" w:rsidRDefault="00B957F4" w:rsidP="00796D2F">
            <w:pPr>
              <w:rPr>
                <w:rFonts w:ascii="Verdana" w:hAnsi="Verdana"/>
              </w:rPr>
            </w:pPr>
            <w:r w:rsidRPr="00A84A8D">
              <w:rPr>
                <w:rFonts w:ascii="Verdana" w:hAnsi="Verdana"/>
              </w:rPr>
              <w:t>C0120</w:t>
            </w:r>
          </w:p>
          <w:p w14:paraId="327B42AF"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3DB9FD3B" w14:textId="77777777" w:rsidR="00B957F4" w:rsidRPr="00A84A8D" w:rsidRDefault="00B957F4" w:rsidP="00796D2F">
            <w:pPr>
              <w:pStyle w:val="BodyLeft"/>
            </w:pPr>
            <w:r w:rsidRPr="00A84A8D">
              <w:t>Pension fund category</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2334891E" w14:textId="77777777" w:rsidR="00B957F4" w:rsidRPr="00A84A8D" w:rsidRDefault="00B957F4" w:rsidP="00796D2F">
            <w:pPr>
              <w:pStyle w:val="BodyLeft"/>
            </w:pPr>
            <w:r w:rsidRPr="00A84A8D">
              <w:t xml:space="preserve">1 – IORP providing protection in line with Art. 15(1) of IORP Directive </w:t>
            </w:r>
          </w:p>
          <w:p w14:paraId="317CFEB8" w14:textId="77777777" w:rsidR="00B957F4" w:rsidRPr="00A84A8D" w:rsidRDefault="00B957F4" w:rsidP="00796D2F">
            <w:pPr>
              <w:pStyle w:val="BodyLeft"/>
            </w:pPr>
            <w:r w:rsidRPr="00A84A8D">
              <w:t>2 – IORP not providing protection in line with Art. 15(1) of IORP Directive</w:t>
            </w:r>
          </w:p>
          <w:p w14:paraId="2344A2E0" w14:textId="77777777" w:rsidR="00B957F4" w:rsidRPr="00A84A8D" w:rsidRDefault="00B957F4" w:rsidP="00796D2F">
            <w:pPr>
              <w:pStyle w:val="BodyLeft"/>
            </w:pPr>
            <w:r w:rsidRPr="00A84A8D">
              <w:t>3 - Occupational retirement business as referred to in Art 4 of IORP Directive.</w:t>
            </w:r>
          </w:p>
          <w:p w14:paraId="1B293089" w14:textId="77777777" w:rsidR="00B957F4" w:rsidRPr="00A84A8D" w:rsidRDefault="00B957F4" w:rsidP="00796D2F">
            <w:pPr>
              <w:pStyle w:val="BodyLeft"/>
            </w:pPr>
            <w:r w:rsidRPr="00A84A8D">
              <w:t>4 - nationally regulated pension fund not regulated by IORP Directive ('non-IORP')</w:t>
            </w:r>
          </w:p>
          <w:p w14:paraId="1637C459" w14:textId="77777777" w:rsidR="00B957F4" w:rsidRPr="00A84A8D" w:rsidRDefault="00B957F4" w:rsidP="00796D2F">
            <w:pPr>
              <w:pStyle w:val="BodyLeft"/>
            </w:pPr>
          </w:p>
        </w:tc>
      </w:tr>
      <w:tr w:rsidR="00B957F4" w:rsidRPr="00A84A8D" w14:paraId="538FEDB3"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1D15B6" w14:textId="77777777" w:rsidR="00B957F4" w:rsidRPr="00A84A8D" w:rsidRDefault="00B957F4" w:rsidP="00796D2F">
            <w:pPr>
              <w:rPr>
                <w:rFonts w:ascii="Verdana" w:hAnsi="Verdana"/>
              </w:rPr>
            </w:pPr>
            <w:r w:rsidRPr="00A84A8D">
              <w:rPr>
                <w:rFonts w:ascii="Verdana" w:hAnsi="Verdana"/>
              </w:rPr>
              <w:t>C0130</w:t>
            </w:r>
          </w:p>
          <w:p w14:paraId="2CD6BFC2"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45874ABF" w14:textId="77777777" w:rsidR="00B957F4" w:rsidRPr="00A84A8D" w:rsidRDefault="00B957F4" w:rsidP="00796D2F">
            <w:pPr>
              <w:pStyle w:val="BodyLeft"/>
            </w:pPr>
            <w:r w:rsidRPr="00A84A8D">
              <w:t>Pension fund type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724B4FFC" w14:textId="77777777" w:rsidR="00B957F4" w:rsidRPr="00A84A8D" w:rsidRDefault="00B957F4" w:rsidP="00796D2F">
            <w:pPr>
              <w:pStyle w:val="BodyLeft"/>
            </w:pPr>
            <w:r w:rsidRPr="00A84A8D">
              <w:t xml:space="preserve">Pension fund type: </w:t>
            </w:r>
          </w:p>
          <w:p w14:paraId="4E486524" w14:textId="77777777" w:rsidR="00B957F4" w:rsidRPr="00A84A8D" w:rsidRDefault="00B957F4" w:rsidP="00796D2F">
            <w:pPr>
              <w:pStyle w:val="BodyLeft"/>
            </w:pPr>
            <w:r w:rsidRPr="00A84A8D">
              <w:t>1 – Pension fund provides DB schemes only</w:t>
            </w:r>
          </w:p>
          <w:p w14:paraId="4A5CF3D0" w14:textId="77777777" w:rsidR="00B957F4" w:rsidRPr="00A84A8D" w:rsidRDefault="00B957F4" w:rsidP="00796D2F">
            <w:pPr>
              <w:pStyle w:val="BodyLeft"/>
            </w:pPr>
            <w:r w:rsidRPr="00A84A8D">
              <w:t>2 – Pension fund provides DC schemes only</w:t>
            </w:r>
          </w:p>
          <w:p w14:paraId="6B025551" w14:textId="77777777" w:rsidR="00B957F4" w:rsidRPr="00A84A8D" w:rsidRDefault="00B957F4" w:rsidP="00796D2F">
            <w:pPr>
              <w:pStyle w:val="BodyLeft"/>
            </w:pPr>
            <w:r w:rsidRPr="00A84A8D">
              <w:t>3 – mixed pension fund</w:t>
            </w:r>
          </w:p>
        </w:tc>
      </w:tr>
      <w:tr w:rsidR="00B957F4" w:rsidRPr="00A84A8D" w14:paraId="5E6FBE6E"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ECDCF" w14:textId="77777777" w:rsidR="00B957F4" w:rsidRPr="00A84A8D" w:rsidRDefault="00B957F4" w:rsidP="00796D2F">
            <w:pPr>
              <w:rPr>
                <w:rFonts w:ascii="Verdana" w:hAnsi="Verdana"/>
              </w:rPr>
            </w:pPr>
            <w:r w:rsidRPr="00A84A8D">
              <w:rPr>
                <w:rFonts w:ascii="Verdana" w:hAnsi="Verdana"/>
              </w:rPr>
              <w:t>C0140</w:t>
            </w: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0E4A599D" w14:textId="77777777" w:rsidR="00B957F4" w:rsidRPr="00A84A8D" w:rsidRDefault="00B957F4" w:rsidP="00796D2F">
            <w:pPr>
              <w:pStyle w:val="BodyLeft"/>
            </w:pPr>
            <w:r w:rsidRPr="00A84A8D">
              <w:t>Reporting reference date</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555CA696" w14:textId="77777777" w:rsidR="00B957F4" w:rsidRPr="00A84A8D" w:rsidRDefault="00B957F4" w:rsidP="00796D2F">
            <w:pPr>
              <w:pStyle w:val="BodyLeft"/>
            </w:pPr>
            <w:r w:rsidRPr="00A84A8D">
              <w:t>ISO 8601 (</w:t>
            </w:r>
            <w:proofErr w:type="spellStart"/>
            <w:r w:rsidRPr="00A84A8D">
              <w:t>yyyy</w:t>
            </w:r>
            <w:proofErr w:type="spellEnd"/>
            <w:r w:rsidRPr="00A84A8D">
              <w:t>-mm-dd) code of the date identifying the last day of the reporting period</w:t>
            </w:r>
          </w:p>
        </w:tc>
      </w:tr>
      <w:tr w:rsidR="00B957F4" w:rsidRPr="00A84A8D" w14:paraId="3E7DAB9D" w14:textId="77777777" w:rsidTr="00796D2F">
        <w:tc>
          <w:tcPr>
            <w:tcW w:w="10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E9580D" w14:textId="77777777" w:rsidR="00B957F4" w:rsidRPr="00A84A8D" w:rsidRDefault="00B957F4" w:rsidP="00796D2F">
            <w:pPr>
              <w:rPr>
                <w:rFonts w:ascii="Verdana" w:hAnsi="Verdana"/>
              </w:rPr>
            </w:pPr>
            <w:r w:rsidRPr="00A84A8D">
              <w:rPr>
                <w:rFonts w:ascii="Verdana" w:hAnsi="Verdana"/>
              </w:rPr>
              <w:t>C0150</w:t>
            </w:r>
          </w:p>
          <w:p w14:paraId="35E3DF9D" w14:textId="77777777" w:rsidR="00B957F4" w:rsidRPr="00A84A8D" w:rsidRDefault="00B957F4" w:rsidP="00796D2F">
            <w:pPr>
              <w:rPr>
                <w:rFonts w:ascii="Verdana" w:hAnsi="Verdana"/>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02064B4D" w14:textId="77777777" w:rsidR="00B957F4" w:rsidRPr="00A84A8D" w:rsidRDefault="00B957F4" w:rsidP="00796D2F">
            <w:pPr>
              <w:pStyle w:val="BodyLeft"/>
            </w:pPr>
            <w:r w:rsidRPr="00A84A8D">
              <w:t>Financial year end</w:t>
            </w:r>
          </w:p>
        </w:tc>
        <w:tc>
          <w:tcPr>
            <w:tcW w:w="2763" w:type="pct"/>
            <w:tcBorders>
              <w:top w:val="nil"/>
              <w:left w:val="nil"/>
              <w:bottom w:val="single" w:sz="8" w:space="0" w:color="auto"/>
              <w:right w:val="single" w:sz="8" w:space="0" w:color="auto"/>
            </w:tcBorders>
            <w:tcMar>
              <w:top w:w="0" w:type="dxa"/>
              <w:left w:w="108" w:type="dxa"/>
              <w:bottom w:w="0" w:type="dxa"/>
              <w:right w:w="108" w:type="dxa"/>
            </w:tcMar>
          </w:tcPr>
          <w:p w14:paraId="46838477" w14:textId="77777777" w:rsidR="00B957F4" w:rsidRPr="00A84A8D" w:rsidRDefault="00B957F4" w:rsidP="00796D2F">
            <w:pPr>
              <w:pStyle w:val="BodyLeft"/>
            </w:pPr>
            <w:r w:rsidRPr="00A84A8D">
              <w:t>Identify the ISO 8601 (</w:t>
            </w:r>
            <w:proofErr w:type="spellStart"/>
            <w:r w:rsidRPr="00A84A8D">
              <w:t>yyyy</w:t>
            </w:r>
            <w:proofErr w:type="spellEnd"/>
            <w:r w:rsidRPr="00A84A8D">
              <w:t xml:space="preserve">–mm–dd) code of the financial year end of the undertaking, </w:t>
            </w:r>
            <w:proofErr w:type="gramStart"/>
            <w:r w:rsidRPr="00A84A8D">
              <w:t>e.g.</w:t>
            </w:r>
            <w:proofErr w:type="gramEnd"/>
            <w:r w:rsidRPr="00A84A8D">
              <w:t xml:space="preserve"> 2017-12-31</w:t>
            </w:r>
          </w:p>
        </w:tc>
      </w:tr>
    </w:tbl>
    <w:p w14:paraId="762D8378" w14:textId="77777777" w:rsidR="00B957F4" w:rsidRPr="00A84A8D" w:rsidRDefault="00B957F4" w:rsidP="00B957F4">
      <w:pPr>
        <w:pStyle w:val="Heading4"/>
      </w:pPr>
    </w:p>
    <w:p w14:paraId="4B197FD7" w14:textId="77777777" w:rsidR="00B957F4" w:rsidRPr="00A84A8D" w:rsidRDefault="00B957F4" w:rsidP="00B957F4">
      <w:pPr>
        <w:pStyle w:val="Heading4"/>
      </w:pPr>
      <w:r w:rsidRPr="00A84A8D">
        <w:t>Balance sheet information</w:t>
      </w:r>
      <w:bookmarkEnd w:id="16"/>
      <w:bookmarkEnd w:id="17"/>
      <w:bookmarkEnd w:id="18"/>
      <w:r w:rsidRPr="00A84A8D">
        <w:t xml:space="preserve"> (PF.02.01.24 and PF.02.01.28)</w:t>
      </w:r>
    </w:p>
    <w:p w14:paraId="2C4A2EA7" w14:textId="22AC41F9" w:rsidR="00B957F4" w:rsidRPr="00A84A8D" w:rsidRDefault="00B957F4" w:rsidP="00B957F4">
      <w:pPr>
        <w:pStyle w:val="Heading4"/>
        <w:rPr>
          <w:b w:val="0"/>
        </w:rPr>
      </w:pPr>
      <w:r w:rsidRPr="00A84A8D">
        <w:rPr>
          <w:b w:val="0"/>
        </w:rPr>
        <w:t xml:space="preserve">For the purposes of providing individual and aggregate information at Member State level, NCAs shall submit the following information on a quarterly and annual basis. </w:t>
      </w:r>
    </w:p>
    <w:p w14:paraId="34EC8473" w14:textId="77777777" w:rsidR="00B957F4" w:rsidRPr="00A84A8D" w:rsidRDefault="00B957F4" w:rsidP="00B957F4">
      <w:pPr>
        <w:pStyle w:val="Heading5"/>
        <w:rPr>
          <w:rStyle w:val="Bold"/>
          <w:rFonts w:ascii="Verdana" w:hAnsi="Verdana"/>
        </w:rPr>
      </w:pPr>
      <w:bookmarkStart w:id="19" w:name="_Toc477445259"/>
      <w:r w:rsidRPr="00A84A8D">
        <w:rPr>
          <w:rStyle w:val="Bold"/>
          <w:rFonts w:ascii="Verdana" w:hAnsi="Verdana"/>
        </w:rPr>
        <w:t>Assets</w:t>
      </w:r>
      <w:bookmarkEnd w:id="1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09DEBCE8" w14:textId="77777777" w:rsidTr="00796D2F">
        <w:trPr>
          <w:trHeight w:val="377"/>
        </w:trPr>
        <w:tc>
          <w:tcPr>
            <w:tcW w:w="2093" w:type="dxa"/>
            <w:noWrap/>
            <w:vAlign w:val="center"/>
            <w:hideMark/>
          </w:tcPr>
          <w:p w14:paraId="70A20A10" w14:textId="77777777" w:rsidR="00B957F4" w:rsidRPr="00A84A8D" w:rsidRDefault="00B957F4" w:rsidP="00796D2F">
            <w:pPr>
              <w:rPr>
                <w:rFonts w:ascii="Verdana" w:hAnsi="Verdana"/>
                <w:lang w:val="en-US"/>
              </w:rPr>
            </w:pPr>
            <w:bookmarkStart w:id="20" w:name="_Toc477445260"/>
          </w:p>
        </w:tc>
        <w:tc>
          <w:tcPr>
            <w:tcW w:w="2268" w:type="dxa"/>
            <w:vAlign w:val="center"/>
            <w:hideMark/>
          </w:tcPr>
          <w:p w14:paraId="1369034C" w14:textId="77777777" w:rsidR="00B957F4" w:rsidRPr="00A84A8D" w:rsidRDefault="00B957F4" w:rsidP="00796D2F">
            <w:pPr>
              <w:pStyle w:val="BodyLeft"/>
              <w:rPr>
                <w:rStyle w:val="Bold"/>
              </w:rPr>
            </w:pPr>
            <w:r w:rsidRPr="00A84A8D">
              <w:rPr>
                <w:rStyle w:val="Bold"/>
              </w:rPr>
              <w:t>ITEM</w:t>
            </w:r>
          </w:p>
        </w:tc>
        <w:tc>
          <w:tcPr>
            <w:tcW w:w="5386" w:type="dxa"/>
            <w:vAlign w:val="center"/>
            <w:hideMark/>
          </w:tcPr>
          <w:p w14:paraId="3EB03B46" w14:textId="77777777" w:rsidR="00B957F4" w:rsidRPr="00A84A8D" w:rsidRDefault="00B957F4" w:rsidP="00796D2F">
            <w:pPr>
              <w:pStyle w:val="BodyLeft"/>
              <w:rPr>
                <w:rStyle w:val="Bold"/>
              </w:rPr>
            </w:pPr>
            <w:r w:rsidRPr="00A84A8D">
              <w:rPr>
                <w:rStyle w:val="Bold"/>
              </w:rPr>
              <w:t>INSTRUCTIONS</w:t>
            </w:r>
          </w:p>
        </w:tc>
      </w:tr>
      <w:tr w:rsidR="00B957F4" w:rsidRPr="00A84A8D" w14:paraId="7790C6FA" w14:textId="77777777" w:rsidTr="00796D2F">
        <w:trPr>
          <w:trHeight w:val="377"/>
        </w:trPr>
        <w:tc>
          <w:tcPr>
            <w:tcW w:w="2093" w:type="dxa"/>
            <w:noWrap/>
            <w:vAlign w:val="center"/>
          </w:tcPr>
          <w:p w14:paraId="4101C6E7" w14:textId="77777777" w:rsidR="00B957F4" w:rsidRPr="00A84A8D" w:rsidRDefault="00B957F4" w:rsidP="00796D2F">
            <w:pPr>
              <w:rPr>
                <w:rFonts w:ascii="Verdana" w:hAnsi="Verdana"/>
                <w:lang w:val="en-US"/>
              </w:rPr>
            </w:pPr>
            <w:r w:rsidRPr="00A84A8D">
              <w:rPr>
                <w:rFonts w:ascii="Verdana" w:hAnsi="Verdana"/>
                <w:lang w:val="en-US"/>
              </w:rPr>
              <w:lastRenderedPageBreak/>
              <w:t>C0010-C0040/R0005</w:t>
            </w:r>
          </w:p>
        </w:tc>
        <w:tc>
          <w:tcPr>
            <w:tcW w:w="2268" w:type="dxa"/>
            <w:vAlign w:val="center"/>
          </w:tcPr>
          <w:p w14:paraId="7C3875B7" w14:textId="77777777" w:rsidR="00B957F4" w:rsidRPr="00A84A8D" w:rsidRDefault="00B957F4" w:rsidP="00796D2F">
            <w:pPr>
              <w:pStyle w:val="BodyLeft"/>
              <w:rPr>
                <w:rStyle w:val="Bold"/>
              </w:rPr>
            </w:pPr>
            <w:r w:rsidRPr="00A84A8D">
              <w:t>Property, plant &amp; equipment held for own use</w:t>
            </w:r>
          </w:p>
        </w:tc>
        <w:tc>
          <w:tcPr>
            <w:tcW w:w="5386" w:type="dxa"/>
            <w:vAlign w:val="center"/>
          </w:tcPr>
          <w:p w14:paraId="1D08D99B" w14:textId="77777777" w:rsidR="00B957F4" w:rsidRPr="00A84A8D" w:rsidRDefault="00B957F4" w:rsidP="00796D2F">
            <w:pPr>
              <w:pStyle w:val="BodyLeft"/>
              <w:rPr>
                <w:rStyle w:val="Bold"/>
              </w:rPr>
            </w:pPr>
            <w:r w:rsidRPr="00A84A8D">
              <w:t>Tangible assets which are intended for permanent use and property held by the undertaking for own use. It also includes property for own use under construction</w:t>
            </w:r>
          </w:p>
        </w:tc>
      </w:tr>
      <w:tr w:rsidR="00B957F4" w:rsidRPr="00A84A8D" w14:paraId="2806E812" w14:textId="77777777" w:rsidTr="00796D2F">
        <w:trPr>
          <w:trHeight w:val="462"/>
        </w:trPr>
        <w:tc>
          <w:tcPr>
            <w:tcW w:w="2093" w:type="dxa"/>
            <w:hideMark/>
          </w:tcPr>
          <w:p w14:paraId="082E6374" w14:textId="77777777" w:rsidR="00B957F4" w:rsidRPr="00A84A8D" w:rsidRDefault="00B957F4" w:rsidP="00796D2F">
            <w:pPr>
              <w:rPr>
                <w:rFonts w:ascii="Verdana" w:hAnsi="Verdana"/>
              </w:rPr>
            </w:pPr>
            <w:r w:rsidRPr="00A84A8D">
              <w:rPr>
                <w:rFonts w:ascii="Verdana" w:hAnsi="Verdana"/>
              </w:rPr>
              <w:t>C0010-C0040/R0010</w:t>
            </w:r>
          </w:p>
          <w:p w14:paraId="76AA0BB7" w14:textId="77777777" w:rsidR="00B957F4" w:rsidRPr="00A84A8D" w:rsidRDefault="00B957F4" w:rsidP="00796D2F">
            <w:pPr>
              <w:rPr>
                <w:rFonts w:ascii="Verdana" w:hAnsi="Verdana"/>
              </w:rPr>
            </w:pPr>
          </w:p>
        </w:tc>
        <w:tc>
          <w:tcPr>
            <w:tcW w:w="2268" w:type="dxa"/>
            <w:hideMark/>
          </w:tcPr>
          <w:p w14:paraId="74905C9F" w14:textId="77777777" w:rsidR="00B957F4" w:rsidRPr="00A84A8D" w:rsidRDefault="00B957F4" w:rsidP="00796D2F">
            <w:pPr>
              <w:pStyle w:val="BodyLeft"/>
              <w:rPr>
                <w:lang w:val="en-US"/>
              </w:rPr>
            </w:pPr>
            <w:r w:rsidRPr="00A84A8D">
              <w:rPr>
                <w:lang w:val="en-US"/>
              </w:rPr>
              <w:t>Investments</w:t>
            </w:r>
          </w:p>
        </w:tc>
        <w:tc>
          <w:tcPr>
            <w:tcW w:w="5386" w:type="dxa"/>
            <w:hideMark/>
          </w:tcPr>
          <w:p w14:paraId="613E2464" w14:textId="77777777" w:rsidR="00B957F4" w:rsidRPr="00A84A8D" w:rsidRDefault="00B957F4" w:rsidP="00796D2F">
            <w:pPr>
              <w:pStyle w:val="BodyLeft"/>
              <w:rPr>
                <w:lang w:val="en-US"/>
              </w:rPr>
            </w:pPr>
            <w:r w:rsidRPr="00A84A8D">
              <w:t>Total value of investments.</w:t>
            </w:r>
          </w:p>
        </w:tc>
      </w:tr>
      <w:tr w:rsidR="00B957F4" w:rsidRPr="00A84A8D" w14:paraId="28C5016F" w14:textId="77777777" w:rsidTr="00796D2F">
        <w:trPr>
          <w:trHeight w:val="699"/>
        </w:trPr>
        <w:tc>
          <w:tcPr>
            <w:tcW w:w="2093" w:type="dxa"/>
            <w:hideMark/>
          </w:tcPr>
          <w:p w14:paraId="2C01C8EA" w14:textId="77777777" w:rsidR="00B957F4" w:rsidRPr="00A84A8D" w:rsidRDefault="00B957F4" w:rsidP="00796D2F">
            <w:pPr>
              <w:rPr>
                <w:rFonts w:ascii="Verdana" w:hAnsi="Verdana"/>
              </w:rPr>
            </w:pPr>
            <w:r w:rsidRPr="00A84A8D">
              <w:rPr>
                <w:rFonts w:ascii="Verdana" w:hAnsi="Verdana"/>
              </w:rPr>
              <w:t>C0010-C0040/R0020</w:t>
            </w:r>
          </w:p>
          <w:p w14:paraId="5B8592B2" w14:textId="77777777" w:rsidR="00B957F4" w:rsidRPr="00A84A8D" w:rsidRDefault="00B957F4" w:rsidP="00796D2F">
            <w:pPr>
              <w:rPr>
                <w:rFonts w:ascii="Verdana" w:hAnsi="Verdana"/>
              </w:rPr>
            </w:pPr>
          </w:p>
        </w:tc>
        <w:tc>
          <w:tcPr>
            <w:tcW w:w="2268" w:type="dxa"/>
            <w:hideMark/>
          </w:tcPr>
          <w:p w14:paraId="2E59A0C4" w14:textId="77777777" w:rsidR="00B957F4" w:rsidRPr="00A84A8D" w:rsidRDefault="00B957F4" w:rsidP="00796D2F">
            <w:pPr>
              <w:pStyle w:val="BodyLeft"/>
              <w:rPr>
                <w:lang w:val="en-US"/>
              </w:rPr>
            </w:pPr>
            <w:r w:rsidRPr="00A84A8D">
              <w:rPr>
                <w:lang w:val="en-US"/>
              </w:rPr>
              <w:t>Property</w:t>
            </w:r>
            <w:r w:rsidRPr="00A84A8D" w:rsidDel="008605F6">
              <w:rPr>
                <w:lang w:val="en-US"/>
              </w:rPr>
              <w:t xml:space="preserve"> </w:t>
            </w:r>
            <w:r w:rsidRPr="00A84A8D">
              <w:rPr>
                <w:lang w:val="en-US"/>
              </w:rPr>
              <w:t>(other than for own use)</w:t>
            </w:r>
          </w:p>
        </w:tc>
        <w:tc>
          <w:tcPr>
            <w:tcW w:w="5386" w:type="dxa"/>
            <w:hideMark/>
          </w:tcPr>
          <w:p w14:paraId="3F793A79" w14:textId="4A8E5B1F" w:rsidR="00B957F4" w:rsidRPr="00A84A8D" w:rsidRDefault="00B957F4" w:rsidP="00796D2F">
            <w:pPr>
              <w:pStyle w:val="BodyLeft"/>
              <w:rPr>
                <w:lang w:val="en-US"/>
              </w:rPr>
            </w:pPr>
            <w:r w:rsidRPr="00A84A8D">
              <w:t>Amount of the property, other than for own use. It also includes property under construction other than for own use.</w:t>
            </w:r>
          </w:p>
        </w:tc>
      </w:tr>
      <w:tr w:rsidR="00B957F4" w:rsidRPr="00A84A8D" w14:paraId="54AA6B4D" w14:textId="77777777" w:rsidTr="00796D2F">
        <w:trPr>
          <w:trHeight w:val="565"/>
        </w:trPr>
        <w:tc>
          <w:tcPr>
            <w:tcW w:w="2093" w:type="dxa"/>
            <w:hideMark/>
          </w:tcPr>
          <w:p w14:paraId="28D4D21F" w14:textId="77777777" w:rsidR="00B957F4" w:rsidRPr="00A84A8D" w:rsidRDefault="00B957F4" w:rsidP="00796D2F">
            <w:pPr>
              <w:rPr>
                <w:rFonts w:ascii="Verdana" w:hAnsi="Verdana"/>
              </w:rPr>
            </w:pPr>
            <w:r w:rsidRPr="00A84A8D">
              <w:rPr>
                <w:rFonts w:ascii="Verdana" w:hAnsi="Verdana"/>
              </w:rPr>
              <w:t>C0010-C0040/R0030</w:t>
            </w:r>
          </w:p>
          <w:p w14:paraId="078DBE17" w14:textId="77777777" w:rsidR="00B957F4" w:rsidRPr="00A84A8D" w:rsidRDefault="00B957F4" w:rsidP="00796D2F">
            <w:pPr>
              <w:rPr>
                <w:rFonts w:ascii="Verdana" w:hAnsi="Verdana"/>
              </w:rPr>
            </w:pPr>
          </w:p>
        </w:tc>
        <w:tc>
          <w:tcPr>
            <w:tcW w:w="2268" w:type="dxa"/>
            <w:hideMark/>
          </w:tcPr>
          <w:p w14:paraId="63C22F20" w14:textId="77777777" w:rsidR="00B957F4" w:rsidRPr="00A84A8D" w:rsidRDefault="00B957F4" w:rsidP="00796D2F">
            <w:pPr>
              <w:pStyle w:val="BodyLeft"/>
            </w:pPr>
            <w:r w:rsidRPr="00A84A8D">
              <w:t>Equities</w:t>
            </w:r>
          </w:p>
        </w:tc>
        <w:tc>
          <w:tcPr>
            <w:tcW w:w="5386" w:type="dxa"/>
            <w:hideMark/>
          </w:tcPr>
          <w:p w14:paraId="2B96D65D" w14:textId="462C6960" w:rsidR="00B957F4" w:rsidRPr="00A84A8D" w:rsidRDefault="00B957F4" w:rsidP="00796D2F">
            <w:pPr>
              <w:pStyle w:val="BodyLeft"/>
              <w:rPr>
                <w:lang w:val="en-US"/>
              </w:rPr>
            </w:pPr>
            <w:r w:rsidRPr="00A84A8D">
              <w:t>Total amount of equities, listed and unlisted.</w:t>
            </w:r>
          </w:p>
        </w:tc>
      </w:tr>
      <w:tr w:rsidR="00B957F4" w:rsidRPr="00A84A8D" w14:paraId="6296397E" w14:textId="77777777" w:rsidTr="00796D2F">
        <w:trPr>
          <w:trHeight w:val="559"/>
        </w:trPr>
        <w:tc>
          <w:tcPr>
            <w:tcW w:w="2093" w:type="dxa"/>
            <w:hideMark/>
          </w:tcPr>
          <w:p w14:paraId="28E347AF" w14:textId="77777777" w:rsidR="00B957F4" w:rsidRPr="00A84A8D" w:rsidRDefault="00B957F4" w:rsidP="00796D2F">
            <w:pPr>
              <w:rPr>
                <w:rFonts w:ascii="Verdana" w:hAnsi="Verdana"/>
              </w:rPr>
            </w:pPr>
            <w:r w:rsidRPr="00A84A8D">
              <w:rPr>
                <w:rFonts w:ascii="Verdana" w:hAnsi="Verdana"/>
              </w:rPr>
              <w:t>C0010-C0040/R0040</w:t>
            </w:r>
          </w:p>
          <w:p w14:paraId="3241CED4" w14:textId="77777777" w:rsidR="00B957F4" w:rsidRPr="00A84A8D" w:rsidRDefault="00B957F4" w:rsidP="00796D2F">
            <w:pPr>
              <w:rPr>
                <w:rFonts w:ascii="Verdana" w:hAnsi="Verdana"/>
              </w:rPr>
            </w:pPr>
          </w:p>
        </w:tc>
        <w:tc>
          <w:tcPr>
            <w:tcW w:w="2268" w:type="dxa"/>
            <w:hideMark/>
          </w:tcPr>
          <w:p w14:paraId="21A87515" w14:textId="77777777" w:rsidR="00B957F4" w:rsidRPr="00A84A8D" w:rsidRDefault="00B957F4" w:rsidP="00796D2F">
            <w:pPr>
              <w:pStyle w:val="BodyLeft"/>
            </w:pPr>
            <w:r w:rsidRPr="00A84A8D">
              <w:t>Equities - listed</w:t>
            </w:r>
          </w:p>
        </w:tc>
        <w:tc>
          <w:tcPr>
            <w:tcW w:w="5386" w:type="dxa"/>
            <w:hideMark/>
          </w:tcPr>
          <w:p w14:paraId="56A066D7" w14:textId="20954481" w:rsidR="00B957F4" w:rsidRPr="00A84A8D" w:rsidRDefault="00B957F4" w:rsidP="00796D2F">
            <w:pPr>
              <w:pStyle w:val="BodyLeft"/>
              <w:rPr>
                <w:lang w:val="en-US"/>
              </w:rPr>
            </w:pPr>
            <w:r w:rsidRPr="00A84A8D">
              <w:t xml:space="preserve">Shares representing corporations' capital, </w:t>
            </w:r>
            <w:proofErr w:type="gramStart"/>
            <w:r w:rsidRPr="00A84A8D">
              <w:t>e.g.</w:t>
            </w:r>
            <w:proofErr w:type="gramEnd"/>
            <w:r w:rsidRPr="00A84A8D">
              <w:t xml:space="preserve"> representing ownership in a corporation, negotiated on a regulated market or on a multilateral trading facility, as defined by Directive 2004/39/EC.</w:t>
            </w:r>
          </w:p>
        </w:tc>
      </w:tr>
      <w:tr w:rsidR="00B957F4" w:rsidRPr="00A84A8D" w14:paraId="7A805F23" w14:textId="77777777" w:rsidTr="00796D2F">
        <w:trPr>
          <w:trHeight w:val="771"/>
        </w:trPr>
        <w:tc>
          <w:tcPr>
            <w:tcW w:w="2093" w:type="dxa"/>
            <w:hideMark/>
          </w:tcPr>
          <w:p w14:paraId="38288C7D" w14:textId="77777777" w:rsidR="00B957F4" w:rsidRPr="00A84A8D" w:rsidRDefault="00B957F4" w:rsidP="00796D2F">
            <w:pPr>
              <w:rPr>
                <w:rFonts w:ascii="Verdana" w:hAnsi="Verdana"/>
              </w:rPr>
            </w:pPr>
            <w:r w:rsidRPr="00A84A8D">
              <w:rPr>
                <w:rFonts w:ascii="Verdana" w:hAnsi="Verdana"/>
              </w:rPr>
              <w:t>C0010-C0040/R0050</w:t>
            </w:r>
          </w:p>
          <w:p w14:paraId="06A2589A" w14:textId="77777777" w:rsidR="00B957F4" w:rsidRPr="00A84A8D" w:rsidRDefault="00B957F4" w:rsidP="00796D2F">
            <w:pPr>
              <w:rPr>
                <w:rFonts w:ascii="Verdana" w:hAnsi="Verdana"/>
              </w:rPr>
            </w:pPr>
          </w:p>
        </w:tc>
        <w:tc>
          <w:tcPr>
            <w:tcW w:w="2268" w:type="dxa"/>
            <w:hideMark/>
          </w:tcPr>
          <w:p w14:paraId="1D2DC079" w14:textId="77777777" w:rsidR="00B957F4" w:rsidRPr="00A84A8D" w:rsidRDefault="00B957F4" w:rsidP="00796D2F">
            <w:pPr>
              <w:pStyle w:val="BodyLeft"/>
            </w:pPr>
            <w:r w:rsidRPr="00A84A8D">
              <w:t>Equities - unlisted</w:t>
            </w:r>
          </w:p>
        </w:tc>
        <w:tc>
          <w:tcPr>
            <w:tcW w:w="5386" w:type="dxa"/>
            <w:hideMark/>
          </w:tcPr>
          <w:p w14:paraId="7F3DA218" w14:textId="5D8B6EFA" w:rsidR="00B957F4" w:rsidRPr="00A84A8D" w:rsidRDefault="00B957F4" w:rsidP="00796D2F">
            <w:pPr>
              <w:pStyle w:val="BodyLeft"/>
              <w:rPr>
                <w:lang w:val="en-US"/>
              </w:rPr>
            </w:pPr>
            <w:r w:rsidRPr="00A84A8D">
              <w:t xml:space="preserve">Shares representing corporations' capital, </w:t>
            </w:r>
            <w:proofErr w:type="gramStart"/>
            <w:r w:rsidRPr="00A84A8D">
              <w:t>e.g.</w:t>
            </w:r>
            <w:proofErr w:type="gramEnd"/>
            <w:r w:rsidRPr="00A84A8D">
              <w:t xml:space="preserve"> representing ownership in a corporation, not negotiated on a regulated market or on a multilateral trading facility, as defined by Directive 2004/39/EC.</w:t>
            </w:r>
          </w:p>
        </w:tc>
      </w:tr>
      <w:tr w:rsidR="00B957F4" w:rsidRPr="00A84A8D" w14:paraId="0287C694" w14:textId="77777777" w:rsidTr="00796D2F">
        <w:trPr>
          <w:trHeight w:val="621"/>
        </w:trPr>
        <w:tc>
          <w:tcPr>
            <w:tcW w:w="2093" w:type="dxa"/>
            <w:hideMark/>
          </w:tcPr>
          <w:p w14:paraId="29CEBBA0" w14:textId="77777777" w:rsidR="00B957F4" w:rsidRPr="00A84A8D" w:rsidRDefault="00B957F4" w:rsidP="00796D2F">
            <w:pPr>
              <w:rPr>
                <w:rFonts w:ascii="Verdana" w:hAnsi="Verdana"/>
              </w:rPr>
            </w:pPr>
            <w:r w:rsidRPr="00A84A8D">
              <w:rPr>
                <w:rFonts w:ascii="Verdana" w:hAnsi="Verdana"/>
              </w:rPr>
              <w:t>C0010-C0040/R0060</w:t>
            </w:r>
          </w:p>
          <w:p w14:paraId="7B00B0FA" w14:textId="77777777" w:rsidR="00B957F4" w:rsidRPr="00A84A8D" w:rsidRDefault="00B957F4" w:rsidP="00796D2F">
            <w:pPr>
              <w:rPr>
                <w:rFonts w:ascii="Verdana" w:hAnsi="Verdana"/>
              </w:rPr>
            </w:pPr>
          </w:p>
        </w:tc>
        <w:tc>
          <w:tcPr>
            <w:tcW w:w="2268" w:type="dxa"/>
            <w:hideMark/>
          </w:tcPr>
          <w:p w14:paraId="64926E70" w14:textId="77777777" w:rsidR="00B957F4" w:rsidRPr="00A84A8D" w:rsidRDefault="00B957F4" w:rsidP="00796D2F">
            <w:pPr>
              <w:pStyle w:val="BodyLeft"/>
            </w:pPr>
            <w:r w:rsidRPr="00A84A8D">
              <w:t>Bonds</w:t>
            </w:r>
          </w:p>
        </w:tc>
        <w:tc>
          <w:tcPr>
            <w:tcW w:w="5386" w:type="dxa"/>
            <w:hideMark/>
          </w:tcPr>
          <w:p w14:paraId="03919181" w14:textId="5F2550AC" w:rsidR="00B957F4" w:rsidRPr="00A84A8D" w:rsidRDefault="00B957F4" w:rsidP="00796D2F">
            <w:pPr>
              <w:pStyle w:val="BodyLeft"/>
              <w:rPr>
                <w:lang w:val="en-US"/>
              </w:rPr>
            </w:pPr>
            <w:r w:rsidRPr="00A84A8D">
              <w:t>This is the total amount of government bonds, corporate bonds, structured notes and collateralised securities.</w:t>
            </w:r>
          </w:p>
        </w:tc>
      </w:tr>
      <w:tr w:rsidR="00B957F4" w:rsidRPr="00A84A8D" w14:paraId="009DD377" w14:textId="77777777" w:rsidTr="00796D2F">
        <w:trPr>
          <w:trHeight w:val="629"/>
        </w:trPr>
        <w:tc>
          <w:tcPr>
            <w:tcW w:w="2093" w:type="dxa"/>
            <w:hideMark/>
          </w:tcPr>
          <w:p w14:paraId="2DD9BE89" w14:textId="77777777" w:rsidR="00B957F4" w:rsidRPr="00A84A8D" w:rsidRDefault="00B957F4" w:rsidP="00796D2F">
            <w:pPr>
              <w:rPr>
                <w:rFonts w:ascii="Verdana" w:hAnsi="Verdana"/>
              </w:rPr>
            </w:pPr>
            <w:r w:rsidRPr="00A84A8D">
              <w:rPr>
                <w:rFonts w:ascii="Verdana" w:hAnsi="Verdana"/>
              </w:rPr>
              <w:t>C0010-C0040/R0070</w:t>
            </w:r>
          </w:p>
          <w:p w14:paraId="156F4C0A" w14:textId="77777777" w:rsidR="00B957F4" w:rsidRPr="00A84A8D" w:rsidRDefault="00B957F4" w:rsidP="00796D2F">
            <w:pPr>
              <w:rPr>
                <w:rFonts w:ascii="Verdana" w:hAnsi="Verdana"/>
              </w:rPr>
            </w:pPr>
          </w:p>
        </w:tc>
        <w:tc>
          <w:tcPr>
            <w:tcW w:w="2268" w:type="dxa"/>
            <w:hideMark/>
          </w:tcPr>
          <w:p w14:paraId="69C4E3F0" w14:textId="77777777" w:rsidR="00B957F4" w:rsidRPr="00A84A8D" w:rsidRDefault="00B957F4" w:rsidP="00796D2F">
            <w:pPr>
              <w:pStyle w:val="BodyLeft"/>
            </w:pPr>
            <w:r w:rsidRPr="00A84A8D">
              <w:t>Government Bonds</w:t>
            </w:r>
          </w:p>
        </w:tc>
        <w:tc>
          <w:tcPr>
            <w:tcW w:w="5386" w:type="dxa"/>
            <w:hideMark/>
          </w:tcPr>
          <w:p w14:paraId="416952E4" w14:textId="73346D3D" w:rsidR="00B957F4" w:rsidRPr="00A84A8D" w:rsidRDefault="00B957F4" w:rsidP="00796D2F">
            <w:pPr>
              <w:pStyle w:val="BodyLeft"/>
              <w:rPr>
                <w:lang w:val="en-US"/>
              </w:rPr>
            </w:pPr>
            <w:r w:rsidRPr="00A84A8D">
              <w:t>Bonds issued by public authorities, whether by central governments, supra–national government institutions, regional governments or local authorities and bonds that are fully, unconditionally and irrevocably guaranteed by the European Central Bank, Member States' central government and central banks, multilateral development banks referred to in paragraph 2 of Article 117 of Regulation (EU) No 575/2013 or international organisations referred to in Article 118 of Regulation (EU) No 575/2013, regional governments and local authorities listed in Article 1 of Implementing Regulation (EU) 2015/2011, where the guarantee meets the requirements set out in Article 215 of Delegated Regulation (EU) 2015/35.</w:t>
            </w:r>
          </w:p>
        </w:tc>
      </w:tr>
      <w:tr w:rsidR="00B957F4" w:rsidRPr="00A84A8D" w14:paraId="381CC078" w14:textId="77777777" w:rsidTr="00796D2F">
        <w:trPr>
          <w:trHeight w:val="465"/>
        </w:trPr>
        <w:tc>
          <w:tcPr>
            <w:tcW w:w="2093" w:type="dxa"/>
            <w:hideMark/>
          </w:tcPr>
          <w:p w14:paraId="41C63F84" w14:textId="1EF99B7F" w:rsidR="00B957F4" w:rsidRPr="00A84A8D" w:rsidRDefault="00B957F4" w:rsidP="00796D2F">
            <w:pPr>
              <w:rPr>
                <w:rFonts w:ascii="Verdana" w:hAnsi="Verdana"/>
              </w:rPr>
            </w:pPr>
            <w:r w:rsidRPr="00A84A8D">
              <w:rPr>
                <w:rFonts w:ascii="Verdana" w:hAnsi="Verdana"/>
              </w:rPr>
              <w:t>C0010-C0040/</w:t>
            </w:r>
            <w:r w:rsidRPr="00A84A8D">
              <w:rPr>
                <w:rFonts w:ascii="Verdana" w:hAnsi="Verdana"/>
                <w:lang w:val="en-US"/>
              </w:rPr>
              <w:t>R00</w:t>
            </w:r>
            <w:r w:rsidRPr="00A84A8D">
              <w:rPr>
                <w:rFonts w:ascii="Verdana" w:hAnsi="Verdana"/>
              </w:rPr>
              <w:t>8</w:t>
            </w:r>
            <w:r w:rsidRPr="00A84A8D">
              <w:rPr>
                <w:rFonts w:ascii="Verdana" w:hAnsi="Verdana"/>
                <w:lang w:val="en-US"/>
              </w:rPr>
              <w:t>0</w:t>
            </w:r>
          </w:p>
          <w:p w14:paraId="6D7F8923" w14:textId="77777777" w:rsidR="00B957F4" w:rsidRPr="00A84A8D" w:rsidRDefault="00B957F4" w:rsidP="00796D2F">
            <w:pPr>
              <w:rPr>
                <w:rFonts w:ascii="Verdana" w:hAnsi="Verdana"/>
                <w:lang w:val="en-US"/>
              </w:rPr>
            </w:pPr>
          </w:p>
        </w:tc>
        <w:tc>
          <w:tcPr>
            <w:tcW w:w="2268" w:type="dxa"/>
            <w:hideMark/>
          </w:tcPr>
          <w:p w14:paraId="50BCF561" w14:textId="3FEBCD6E" w:rsidR="00B957F4" w:rsidRPr="00A84A8D" w:rsidRDefault="00B957F4" w:rsidP="00796D2F">
            <w:pPr>
              <w:pStyle w:val="BodyLeft"/>
              <w:rPr>
                <w:lang w:val="en-US"/>
              </w:rPr>
            </w:pPr>
            <w:r w:rsidRPr="00A84A8D">
              <w:rPr>
                <w:lang w:val="en-US"/>
              </w:rPr>
              <w:t xml:space="preserve">Corporate Bonds  </w:t>
            </w:r>
          </w:p>
        </w:tc>
        <w:tc>
          <w:tcPr>
            <w:tcW w:w="5386" w:type="dxa"/>
            <w:hideMark/>
          </w:tcPr>
          <w:p w14:paraId="7C1E7934" w14:textId="0A8C4D86" w:rsidR="00B957F4" w:rsidRPr="00A84A8D" w:rsidRDefault="00B957F4" w:rsidP="00796D2F">
            <w:pPr>
              <w:pStyle w:val="BodyLeft"/>
              <w:rPr>
                <w:lang w:val="en-US"/>
              </w:rPr>
            </w:pPr>
            <w:r w:rsidRPr="00A84A8D">
              <w:t>Bonds issued by corporations.</w:t>
            </w:r>
          </w:p>
        </w:tc>
      </w:tr>
      <w:tr w:rsidR="00B957F4" w:rsidRPr="00A84A8D" w14:paraId="6911A5A1" w14:textId="77777777" w:rsidTr="002E113C">
        <w:trPr>
          <w:trHeight w:val="486"/>
        </w:trPr>
        <w:tc>
          <w:tcPr>
            <w:tcW w:w="2093" w:type="dxa"/>
          </w:tcPr>
          <w:p w14:paraId="6D382F6B" w14:textId="513EC432" w:rsidR="00B957F4" w:rsidRPr="00A84A8D" w:rsidRDefault="00B957F4" w:rsidP="00796D2F">
            <w:pPr>
              <w:rPr>
                <w:rFonts w:ascii="Verdana" w:hAnsi="Verdana"/>
              </w:rPr>
            </w:pPr>
            <w:r w:rsidRPr="00A84A8D">
              <w:rPr>
                <w:rFonts w:ascii="Verdana" w:hAnsi="Verdana"/>
              </w:rPr>
              <w:lastRenderedPageBreak/>
              <w:t>C0010-C0040/</w:t>
            </w:r>
            <w:r w:rsidRPr="00A84A8D">
              <w:rPr>
                <w:rFonts w:ascii="Verdana" w:hAnsi="Verdana"/>
                <w:lang w:val="en-US"/>
              </w:rPr>
              <w:t>R0111</w:t>
            </w:r>
          </w:p>
          <w:p w14:paraId="1F801841" w14:textId="77777777" w:rsidR="00B957F4" w:rsidRPr="00A84A8D" w:rsidRDefault="00B957F4" w:rsidP="00796D2F">
            <w:pPr>
              <w:rPr>
                <w:rFonts w:ascii="Verdana" w:hAnsi="Verdana"/>
              </w:rPr>
            </w:pPr>
          </w:p>
        </w:tc>
        <w:tc>
          <w:tcPr>
            <w:tcW w:w="2268" w:type="dxa"/>
          </w:tcPr>
          <w:p w14:paraId="102F3D2C" w14:textId="552EE082" w:rsidR="00B957F4" w:rsidRPr="00A84A8D" w:rsidRDefault="00B957F4" w:rsidP="00796D2F">
            <w:pPr>
              <w:pStyle w:val="BodyLeft"/>
            </w:pPr>
            <w:r w:rsidRPr="00A84A8D">
              <w:t>Structured notes</w:t>
            </w:r>
          </w:p>
        </w:tc>
        <w:tc>
          <w:tcPr>
            <w:tcW w:w="5386" w:type="dxa"/>
          </w:tcPr>
          <w:p w14:paraId="7F4A865D" w14:textId="77777777" w:rsidR="00B957F4" w:rsidRPr="00A84A8D" w:rsidRDefault="00B957F4" w:rsidP="00796D2F">
            <w:pPr>
              <w:pStyle w:val="BodyLeft"/>
            </w:pPr>
            <w:r w:rsidRPr="00A84A8D">
              <w:t>Hybrid securities, combining a fixed income (return in a form of fixed payments) instrument with a series of derivative components. Excluded from this category are fixed income securities that are issued by sovereign governments. Concerns securities that have embedded any categories of derivatives, including Credit Default Swaps (‘CDS’), Constant Maturity Swaps (‘CMS’), Credit Default Options (‘</w:t>
            </w:r>
            <w:proofErr w:type="spellStart"/>
            <w:r w:rsidRPr="00A84A8D">
              <w:t>CDOp</w:t>
            </w:r>
            <w:proofErr w:type="spellEnd"/>
            <w:r w:rsidRPr="00A84A8D">
              <w:t>’).</w:t>
            </w:r>
          </w:p>
        </w:tc>
      </w:tr>
      <w:tr w:rsidR="00B957F4" w:rsidRPr="00A84A8D" w14:paraId="11068435" w14:textId="77777777" w:rsidTr="00796D2F">
        <w:trPr>
          <w:trHeight w:val="486"/>
        </w:trPr>
        <w:tc>
          <w:tcPr>
            <w:tcW w:w="2093" w:type="dxa"/>
          </w:tcPr>
          <w:p w14:paraId="650BF777" w14:textId="5E46EE1B" w:rsidR="00B957F4" w:rsidRPr="00A84A8D" w:rsidRDefault="00B957F4" w:rsidP="00796D2F">
            <w:pPr>
              <w:rPr>
                <w:rFonts w:ascii="Verdana" w:hAnsi="Verdana"/>
              </w:rPr>
            </w:pPr>
            <w:r w:rsidRPr="00A84A8D">
              <w:rPr>
                <w:rFonts w:ascii="Verdana" w:hAnsi="Verdana"/>
              </w:rPr>
              <w:t>C0010-C0040/</w:t>
            </w:r>
            <w:r w:rsidRPr="00A84A8D">
              <w:rPr>
                <w:rFonts w:ascii="Verdana" w:hAnsi="Verdana"/>
                <w:lang w:val="en-US"/>
              </w:rPr>
              <w:t>R0112</w:t>
            </w:r>
          </w:p>
          <w:p w14:paraId="1721723D" w14:textId="77777777" w:rsidR="00B957F4" w:rsidRPr="00A84A8D" w:rsidRDefault="00B957F4" w:rsidP="00796D2F">
            <w:pPr>
              <w:rPr>
                <w:rFonts w:ascii="Verdana" w:hAnsi="Verdana"/>
              </w:rPr>
            </w:pPr>
          </w:p>
        </w:tc>
        <w:tc>
          <w:tcPr>
            <w:tcW w:w="2268" w:type="dxa"/>
          </w:tcPr>
          <w:p w14:paraId="7928581C" w14:textId="62297520" w:rsidR="00B957F4" w:rsidRPr="00A84A8D" w:rsidRDefault="00B957F4" w:rsidP="00796D2F">
            <w:pPr>
              <w:pStyle w:val="BodyLeft"/>
            </w:pPr>
            <w:r w:rsidRPr="00A84A8D">
              <w:t>Collateralised securities</w:t>
            </w:r>
          </w:p>
        </w:tc>
        <w:tc>
          <w:tcPr>
            <w:tcW w:w="5386" w:type="dxa"/>
          </w:tcPr>
          <w:p w14:paraId="1BC93517" w14:textId="0BC36340" w:rsidR="00B957F4" w:rsidRPr="00A84A8D" w:rsidRDefault="00B957F4" w:rsidP="00796D2F">
            <w:pPr>
              <w:pStyle w:val="BodyLeft"/>
            </w:pPr>
            <w:r w:rsidRPr="00A84A8D">
              <w:t xml:space="preserve">Securities whose value and payments are derived from a portfolio of underlying assets. Includes Asset Backed Securities (‘ABS’), </w:t>
            </w:r>
            <w:proofErr w:type="gramStart"/>
            <w:r w:rsidRPr="00A84A8D">
              <w:t>Mortgage Backed</w:t>
            </w:r>
            <w:proofErr w:type="gramEnd"/>
            <w:r w:rsidRPr="00A84A8D">
              <w:t xml:space="preserve"> securities (‘MBS’), Commercial Mortgage Backed securities (‘CMBS’), Collateralised Debt Obligations (‘CDO’), Collateralised Loan Obligations (‘CLO’), Collateralised Mortgage Obligations (‘CMO’)</w:t>
            </w:r>
          </w:p>
        </w:tc>
      </w:tr>
      <w:tr w:rsidR="00B957F4" w:rsidRPr="00A84A8D" w14:paraId="2A2A0799" w14:textId="77777777" w:rsidTr="00796D2F">
        <w:trPr>
          <w:trHeight w:val="861"/>
        </w:trPr>
        <w:tc>
          <w:tcPr>
            <w:tcW w:w="2093" w:type="dxa"/>
            <w:hideMark/>
          </w:tcPr>
          <w:p w14:paraId="420A985B" w14:textId="77777777" w:rsidR="00B957F4" w:rsidRPr="00A84A8D" w:rsidRDefault="00B957F4" w:rsidP="00796D2F">
            <w:pPr>
              <w:rPr>
                <w:rFonts w:ascii="Verdana" w:hAnsi="Verdana"/>
              </w:rPr>
            </w:pPr>
            <w:r w:rsidRPr="00A84A8D">
              <w:rPr>
                <w:rFonts w:ascii="Verdana" w:hAnsi="Verdana"/>
              </w:rPr>
              <w:t>C0010-C0040/R0120</w:t>
            </w:r>
          </w:p>
          <w:p w14:paraId="2B83B041" w14:textId="77777777" w:rsidR="00B957F4" w:rsidRPr="00A84A8D" w:rsidRDefault="00B957F4" w:rsidP="00796D2F">
            <w:pPr>
              <w:rPr>
                <w:rFonts w:ascii="Verdana" w:hAnsi="Verdana"/>
              </w:rPr>
            </w:pPr>
          </w:p>
        </w:tc>
        <w:tc>
          <w:tcPr>
            <w:tcW w:w="2268" w:type="dxa"/>
            <w:hideMark/>
          </w:tcPr>
          <w:p w14:paraId="760D753E" w14:textId="61C34F96" w:rsidR="00B957F4" w:rsidRPr="00A84A8D" w:rsidRDefault="00B957F4" w:rsidP="00796D2F">
            <w:pPr>
              <w:pStyle w:val="BodyLeft"/>
            </w:pPr>
            <w:r w:rsidRPr="00A84A8D">
              <w:t>Collective investment undertakings</w:t>
            </w:r>
          </w:p>
        </w:tc>
        <w:tc>
          <w:tcPr>
            <w:tcW w:w="5386" w:type="dxa"/>
            <w:hideMark/>
          </w:tcPr>
          <w:p w14:paraId="7D57BE3C" w14:textId="10CAC9BF" w:rsidR="00B957F4" w:rsidRPr="00A84A8D" w:rsidRDefault="00B957F4" w:rsidP="00796D2F">
            <w:pPr>
              <w:pStyle w:val="BodyLeft"/>
              <w:rPr>
                <w:lang w:val="en-US"/>
              </w:rPr>
            </w:pPr>
            <w:r w:rsidRPr="00A84A8D">
              <w:t>Collective investment undertaking means an undertaking for collective investment in transferable securities (‘UCITS’) as defined in Article 1(2) of Directive 2009/65/EC of the European Parliament and of the Council or an alternative investment fund (AIF) as defined in Article 4(1)(a) of Directive 2011/61/EU of the European Parliament and of the Council.</w:t>
            </w:r>
          </w:p>
        </w:tc>
      </w:tr>
      <w:tr w:rsidR="00B957F4" w:rsidRPr="00A84A8D" w14:paraId="12FF0BE3" w14:textId="77777777" w:rsidTr="00796D2F">
        <w:trPr>
          <w:trHeight w:val="712"/>
        </w:trPr>
        <w:tc>
          <w:tcPr>
            <w:tcW w:w="2093" w:type="dxa"/>
          </w:tcPr>
          <w:p w14:paraId="29723F8A" w14:textId="77777777" w:rsidR="00B957F4" w:rsidRPr="00A84A8D" w:rsidRDefault="00B957F4" w:rsidP="00796D2F">
            <w:pPr>
              <w:rPr>
                <w:rFonts w:ascii="Verdana" w:hAnsi="Verdana"/>
              </w:rPr>
            </w:pPr>
            <w:r w:rsidRPr="00A84A8D">
              <w:rPr>
                <w:rFonts w:ascii="Verdana" w:hAnsi="Verdana"/>
              </w:rPr>
              <w:t>C0010-C0040/R0130</w:t>
            </w:r>
          </w:p>
          <w:p w14:paraId="1EFC6B80" w14:textId="77777777" w:rsidR="00B957F4" w:rsidRPr="00A84A8D" w:rsidRDefault="00B957F4" w:rsidP="00796D2F">
            <w:pPr>
              <w:rPr>
                <w:rFonts w:ascii="Verdana" w:hAnsi="Verdana"/>
              </w:rPr>
            </w:pPr>
          </w:p>
        </w:tc>
        <w:tc>
          <w:tcPr>
            <w:tcW w:w="2268" w:type="dxa"/>
          </w:tcPr>
          <w:p w14:paraId="54B4C339" w14:textId="77777777" w:rsidR="00B957F4" w:rsidRPr="00A84A8D" w:rsidDel="00063526" w:rsidRDefault="00B957F4" w:rsidP="00796D2F">
            <w:pPr>
              <w:pStyle w:val="BodyLeft"/>
            </w:pPr>
            <w:r w:rsidRPr="00A84A8D">
              <w:t>Bonds</w:t>
            </w:r>
          </w:p>
        </w:tc>
        <w:tc>
          <w:tcPr>
            <w:tcW w:w="5386" w:type="dxa"/>
          </w:tcPr>
          <w:p w14:paraId="35B2449D" w14:textId="77777777" w:rsidR="00B957F4" w:rsidRPr="00A84A8D" w:rsidRDefault="00B957F4" w:rsidP="00796D2F">
            <w:pPr>
              <w:pStyle w:val="BodyLeft"/>
            </w:pPr>
            <w:r w:rsidRPr="00A84A8D">
              <w:t>Collective investment undertakings mainly investing in bonds</w:t>
            </w:r>
          </w:p>
        </w:tc>
      </w:tr>
      <w:tr w:rsidR="00B957F4" w:rsidRPr="00A84A8D" w14:paraId="67276B9B" w14:textId="77777777" w:rsidTr="00796D2F">
        <w:trPr>
          <w:trHeight w:val="323"/>
        </w:trPr>
        <w:tc>
          <w:tcPr>
            <w:tcW w:w="2093" w:type="dxa"/>
            <w:shd w:val="clear" w:color="auto" w:fill="auto"/>
          </w:tcPr>
          <w:p w14:paraId="5D77B691" w14:textId="77777777" w:rsidR="00B957F4" w:rsidRPr="00A84A8D" w:rsidRDefault="00B957F4" w:rsidP="00796D2F">
            <w:pPr>
              <w:rPr>
                <w:rFonts w:ascii="Verdana" w:hAnsi="Verdana"/>
              </w:rPr>
            </w:pPr>
            <w:r w:rsidRPr="00A84A8D">
              <w:rPr>
                <w:rFonts w:ascii="Verdana" w:hAnsi="Verdana"/>
              </w:rPr>
              <w:t>C0010-C0040/R0140</w:t>
            </w:r>
          </w:p>
          <w:p w14:paraId="54A3ADDE" w14:textId="77777777" w:rsidR="00B957F4" w:rsidRPr="00A84A8D" w:rsidRDefault="00B957F4" w:rsidP="00796D2F">
            <w:pPr>
              <w:rPr>
                <w:rFonts w:ascii="Verdana" w:hAnsi="Verdana"/>
              </w:rPr>
            </w:pPr>
          </w:p>
        </w:tc>
        <w:tc>
          <w:tcPr>
            <w:tcW w:w="2268" w:type="dxa"/>
            <w:shd w:val="clear" w:color="auto" w:fill="auto"/>
          </w:tcPr>
          <w:p w14:paraId="26520BA5" w14:textId="77777777" w:rsidR="00B957F4" w:rsidRPr="00A84A8D" w:rsidDel="00063526" w:rsidRDefault="00B957F4" w:rsidP="00796D2F">
            <w:pPr>
              <w:pStyle w:val="BodyLeft"/>
            </w:pPr>
            <w:r w:rsidRPr="00A84A8D">
              <w:t>Equity</w:t>
            </w:r>
          </w:p>
        </w:tc>
        <w:tc>
          <w:tcPr>
            <w:tcW w:w="5386" w:type="dxa"/>
            <w:shd w:val="clear" w:color="auto" w:fill="auto"/>
          </w:tcPr>
          <w:p w14:paraId="3495854B" w14:textId="77777777" w:rsidR="00B957F4" w:rsidRPr="00A84A8D" w:rsidRDefault="00B957F4" w:rsidP="00796D2F">
            <w:pPr>
              <w:pStyle w:val="BodyLeft"/>
            </w:pPr>
            <w:r w:rsidRPr="00A84A8D">
              <w:t>Collective investment undertakings mainly investing in equity</w:t>
            </w:r>
          </w:p>
        </w:tc>
      </w:tr>
      <w:tr w:rsidR="00B957F4" w:rsidRPr="00A84A8D" w14:paraId="6D01C1F9" w14:textId="77777777" w:rsidTr="00796D2F">
        <w:trPr>
          <w:trHeight w:val="366"/>
        </w:trPr>
        <w:tc>
          <w:tcPr>
            <w:tcW w:w="2093" w:type="dxa"/>
            <w:shd w:val="clear" w:color="auto" w:fill="auto"/>
          </w:tcPr>
          <w:p w14:paraId="6E57FF95" w14:textId="77777777" w:rsidR="00B957F4" w:rsidRPr="00A84A8D" w:rsidRDefault="00B957F4" w:rsidP="00796D2F">
            <w:pPr>
              <w:rPr>
                <w:rFonts w:ascii="Verdana" w:hAnsi="Verdana"/>
              </w:rPr>
            </w:pPr>
            <w:r w:rsidRPr="00A84A8D">
              <w:rPr>
                <w:rFonts w:ascii="Verdana" w:hAnsi="Verdana"/>
              </w:rPr>
              <w:t>C0010-C0040/R0150</w:t>
            </w:r>
          </w:p>
          <w:p w14:paraId="40F4F502" w14:textId="77777777" w:rsidR="00B957F4" w:rsidRPr="00A84A8D" w:rsidRDefault="00B957F4" w:rsidP="00796D2F">
            <w:pPr>
              <w:rPr>
                <w:rFonts w:ascii="Verdana" w:hAnsi="Verdana"/>
              </w:rPr>
            </w:pPr>
          </w:p>
        </w:tc>
        <w:tc>
          <w:tcPr>
            <w:tcW w:w="2268" w:type="dxa"/>
            <w:shd w:val="clear" w:color="auto" w:fill="auto"/>
          </w:tcPr>
          <w:p w14:paraId="10682D90" w14:textId="77777777" w:rsidR="00B957F4" w:rsidRPr="00A84A8D" w:rsidDel="00063526" w:rsidRDefault="00B957F4" w:rsidP="00796D2F">
            <w:pPr>
              <w:pStyle w:val="BodyLeft"/>
            </w:pPr>
            <w:r w:rsidRPr="00A84A8D">
              <w:t>Mixed</w:t>
            </w:r>
          </w:p>
        </w:tc>
        <w:tc>
          <w:tcPr>
            <w:tcW w:w="5386" w:type="dxa"/>
            <w:shd w:val="clear" w:color="auto" w:fill="auto"/>
          </w:tcPr>
          <w:p w14:paraId="07A8AD01" w14:textId="77777777" w:rsidR="00B957F4" w:rsidRPr="00A84A8D" w:rsidRDefault="00B957F4" w:rsidP="00796D2F">
            <w:pPr>
              <w:pStyle w:val="BodyLeft"/>
            </w:pPr>
            <w:r w:rsidRPr="00A84A8D">
              <w:t>Collective investment undertakings mainly investing in bonds and equity</w:t>
            </w:r>
          </w:p>
        </w:tc>
      </w:tr>
      <w:tr w:rsidR="00B957F4" w:rsidRPr="00A84A8D" w14:paraId="3B5D9F0A" w14:textId="77777777" w:rsidTr="00796D2F">
        <w:trPr>
          <w:trHeight w:val="839"/>
        </w:trPr>
        <w:tc>
          <w:tcPr>
            <w:tcW w:w="2093" w:type="dxa"/>
            <w:shd w:val="clear" w:color="auto" w:fill="auto"/>
          </w:tcPr>
          <w:p w14:paraId="777B59A7" w14:textId="77777777" w:rsidR="00B957F4" w:rsidRPr="00A84A8D" w:rsidRDefault="00B957F4" w:rsidP="00796D2F">
            <w:pPr>
              <w:rPr>
                <w:rFonts w:ascii="Verdana" w:hAnsi="Verdana"/>
              </w:rPr>
            </w:pPr>
            <w:r w:rsidRPr="00A84A8D">
              <w:rPr>
                <w:rFonts w:ascii="Verdana" w:hAnsi="Verdana"/>
              </w:rPr>
              <w:t>C0010-C0040/R0160</w:t>
            </w:r>
          </w:p>
          <w:p w14:paraId="522B4098" w14:textId="77777777" w:rsidR="00B957F4" w:rsidRPr="00A84A8D" w:rsidRDefault="00B957F4" w:rsidP="00796D2F">
            <w:pPr>
              <w:rPr>
                <w:rFonts w:ascii="Verdana" w:hAnsi="Verdana"/>
              </w:rPr>
            </w:pPr>
          </w:p>
        </w:tc>
        <w:tc>
          <w:tcPr>
            <w:tcW w:w="2268" w:type="dxa"/>
            <w:shd w:val="clear" w:color="auto" w:fill="auto"/>
          </w:tcPr>
          <w:p w14:paraId="6059FAD5" w14:textId="77777777" w:rsidR="00B957F4" w:rsidRPr="00A84A8D" w:rsidRDefault="00B957F4" w:rsidP="00796D2F">
            <w:pPr>
              <w:pStyle w:val="BodyLeft"/>
            </w:pPr>
            <w:r w:rsidRPr="00A84A8D">
              <w:t>Real Estate</w:t>
            </w:r>
          </w:p>
        </w:tc>
        <w:tc>
          <w:tcPr>
            <w:tcW w:w="5386" w:type="dxa"/>
            <w:shd w:val="clear" w:color="auto" w:fill="auto"/>
          </w:tcPr>
          <w:p w14:paraId="76F8A1A1" w14:textId="77777777" w:rsidR="00B957F4" w:rsidRPr="00A84A8D" w:rsidRDefault="00B957F4" w:rsidP="00796D2F">
            <w:pPr>
              <w:pStyle w:val="BodyLeft"/>
            </w:pPr>
            <w:r w:rsidRPr="00A84A8D">
              <w:t>Collective investment undertakings mainly investing in real estate</w:t>
            </w:r>
          </w:p>
        </w:tc>
      </w:tr>
      <w:tr w:rsidR="00B957F4" w:rsidRPr="00A84A8D" w14:paraId="636FB81F" w14:textId="77777777" w:rsidTr="00796D2F">
        <w:trPr>
          <w:trHeight w:val="983"/>
        </w:trPr>
        <w:tc>
          <w:tcPr>
            <w:tcW w:w="2093" w:type="dxa"/>
          </w:tcPr>
          <w:p w14:paraId="11AB1EB9" w14:textId="77777777" w:rsidR="00B957F4" w:rsidRPr="00A84A8D" w:rsidRDefault="00B957F4" w:rsidP="00796D2F">
            <w:pPr>
              <w:rPr>
                <w:rFonts w:ascii="Verdana" w:hAnsi="Verdana"/>
              </w:rPr>
            </w:pPr>
            <w:r w:rsidRPr="00A84A8D">
              <w:rPr>
                <w:rFonts w:ascii="Verdana" w:hAnsi="Verdana"/>
              </w:rPr>
              <w:lastRenderedPageBreak/>
              <w:t>C0010-C0040/R0170</w:t>
            </w:r>
          </w:p>
        </w:tc>
        <w:tc>
          <w:tcPr>
            <w:tcW w:w="2268" w:type="dxa"/>
          </w:tcPr>
          <w:p w14:paraId="6CC65BBF" w14:textId="77777777" w:rsidR="00B957F4" w:rsidRPr="00A84A8D" w:rsidDel="006E3F34" w:rsidRDefault="00B957F4" w:rsidP="00796D2F">
            <w:pPr>
              <w:pStyle w:val="BodyLeft"/>
            </w:pPr>
            <w:r w:rsidRPr="00A84A8D">
              <w:t>Alternative funds</w:t>
            </w:r>
          </w:p>
        </w:tc>
        <w:tc>
          <w:tcPr>
            <w:tcW w:w="5386" w:type="dxa"/>
          </w:tcPr>
          <w:p w14:paraId="10BAA59A" w14:textId="77777777" w:rsidR="00B957F4" w:rsidRPr="00A84A8D" w:rsidRDefault="00B957F4" w:rsidP="00796D2F">
            <w:pPr>
              <w:pStyle w:val="BodyLeft"/>
            </w:pPr>
            <w:r w:rsidRPr="00A84A8D">
              <w:t xml:space="preserve">Collective investment undertakings whose investment strategies include </w:t>
            </w:r>
            <w:proofErr w:type="gramStart"/>
            <w:r w:rsidRPr="00A84A8D">
              <w:t>such  as</w:t>
            </w:r>
            <w:proofErr w:type="gramEnd"/>
            <w:r w:rsidRPr="00A84A8D">
              <w:t xml:space="preserve"> hedging, event driven, fixed income directional and relative value, managed futures, commodities etc.</w:t>
            </w:r>
          </w:p>
        </w:tc>
      </w:tr>
      <w:tr w:rsidR="00B957F4" w:rsidRPr="00A84A8D" w14:paraId="1B07F55E" w14:textId="77777777" w:rsidTr="00796D2F">
        <w:trPr>
          <w:trHeight w:val="983"/>
        </w:trPr>
        <w:tc>
          <w:tcPr>
            <w:tcW w:w="2093" w:type="dxa"/>
          </w:tcPr>
          <w:p w14:paraId="4FF7596C" w14:textId="77777777" w:rsidR="00B957F4" w:rsidRPr="00A84A8D" w:rsidRDefault="00B957F4" w:rsidP="00796D2F">
            <w:pPr>
              <w:rPr>
                <w:rFonts w:ascii="Verdana" w:hAnsi="Verdana"/>
              </w:rPr>
            </w:pPr>
            <w:r w:rsidRPr="00A84A8D">
              <w:rPr>
                <w:rFonts w:ascii="Verdana" w:hAnsi="Verdana"/>
              </w:rPr>
              <w:t>C0010-C0040/R0180</w:t>
            </w:r>
          </w:p>
          <w:p w14:paraId="5F2E6E1B" w14:textId="77777777" w:rsidR="00B957F4" w:rsidRPr="00A84A8D" w:rsidRDefault="00B957F4" w:rsidP="00796D2F">
            <w:pPr>
              <w:rPr>
                <w:rFonts w:ascii="Verdana" w:hAnsi="Verdana"/>
              </w:rPr>
            </w:pPr>
          </w:p>
        </w:tc>
        <w:tc>
          <w:tcPr>
            <w:tcW w:w="2268" w:type="dxa"/>
          </w:tcPr>
          <w:p w14:paraId="1342F4E7" w14:textId="77777777" w:rsidR="00B957F4" w:rsidRPr="00A84A8D" w:rsidDel="006E3F34" w:rsidRDefault="00B957F4" w:rsidP="00796D2F">
            <w:pPr>
              <w:pStyle w:val="BodyLeft"/>
            </w:pPr>
            <w:r w:rsidRPr="00A84A8D">
              <w:t>Other investment funds/shares</w:t>
            </w:r>
          </w:p>
        </w:tc>
        <w:tc>
          <w:tcPr>
            <w:tcW w:w="5386" w:type="dxa"/>
          </w:tcPr>
          <w:p w14:paraId="0AB9F566" w14:textId="77777777" w:rsidR="00B957F4" w:rsidRPr="00A84A8D" w:rsidRDefault="00B957F4" w:rsidP="00796D2F">
            <w:pPr>
              <w:pStyle w:val="BodyLeft"/>
            </w:pPr>
            <w:r w:rsidRPr="00A84A8D">
              <w:t>Collective investment undertakings mainly investing in other categories than mentioned in R0130-R0170.</w:t>
            </w:r>
          </w:p>
        </w:tc>
      </w:tr>
      <w:tr w:rsidR="00B957F4" w:rsidRPr="00A84A8D" w14:paraId="68B61F11" w14:textId="77777777" w:rsidTr="00796D2F">
        <w:trPr>
          <w:trHeight w:val="570"/>
        </w:trPr>
        <w:tc>
          <w:tcPr>
            <w:tcW w:w="2093" w:type="dxa"/>
            <w:hideMark/>
          </w:tcPr>
          <w:p w14:paraId="1B5CCA2D" w14:textId="77777777" w:rsidR="00B957F4" w:rsidRPr="00A84A8D" w:rsidRDefault="00B957F4" w:rsidP="00796D2F">
            <w:pPr>
              <w:rPr>
                <w:rFonts w:ascii="Verdana" w:hAnsi="Verdana"/>
              </w:rPr>
            </w:pPr>
            <w:r w:rsidRPr="00A84A8D">
              <w:rPr>
                <w:rFonts w:ascii="Verdana" w:hAnsi="Verdana"/>
              </w:rPr>
              <w:t>C0010-C0040/R0190</w:t>
            </w:r>
          </w:p>
          <w:p w14:paraId="51C4EE92" w14:textId="77777777" w:rsidR="00B957F4" w:rsidRPr="00A84A8D" w:rsidRDefault="00B957F4" w:rsidP="00796D2F">
            <w:pPr>
              <w:rPr>
                <w:rFonts w:ascii="Verdana" w:hAnsi="Verdana"/>
              </w:rPr>
            </w:pPr>
          </w:p>
        </w:tc>
        <w:tc>
          <w:tcPr>
            <w:tcW w:w="2268" w:type="dxa"/>
            <w:hideMark/>
          </w:tcPr>
          <w:p w14:paraId="0B014929" w14:textId="77777777" w:rsidR="00B957F4" w:rsidRPr="00A84A8D" w:rsidRDefault="00B957F4" w:rsidP="00796D2F">
            <w:pPr>
              <w:pStyle w:val="BodyLeft"/>
            </w:pPr>
            <w:r w:rsidRPr="00A84A8D">
              <w:t>Derivatives</w:t>
            </w:r>
          </w:p>
        </w:tc>
        <w:tc>
          <w:tcPr>
            <w:tcW w:w="5386" w:type="dxa"/>
            <w:hideMark/>
          </w:tcPr>
          <w:p w14:paraId="1F2850F2" w14:textId="0C0A3C60" w:rsidR="00B957F4" w:rsidRPr="00A84A8D" w:rsidRDefault="00B957F4" w:rsidP="00796D2F">
            <w:pPr>
              <w:pStyle w:val="BodyLeft"/>
              <w:rPr>
                <w:lang w:val="en-US"/>
              </w:rPr>
            </w:pPr>
            <w:r w:rsidRPr="00A84A8D">
              <w:t>A financial instrument or other contract with all three of the following characteristics: (a) Its value changes in response to the change in a specified interest rate, financial instrument price, commodity price, foreign exchange (‘FX’) rate, index of prices or rates, credit rating or credit index, or other variable, provided in the case of a non–financial variable that the variable is not specific to a party to the contract (sometimes called the ‘underlying’). (b) It requires no initial net investment or an initial net investment that is smaller than would be required for other types of contracts that would be expected to have a similar response to changes in market factors. (c) It is settled at a future date.</w:t>
            </w:r>
          </w:p>
        </w:tc>
      </w:tr>
      <w:tr w:rsidR="00B957F4" w:rsidRPr="00A84A8D" w14:paraId="4380D318" w14:textId="77777777" w:rsidTr="00796D2F">
        <w:trPr>
          <w:trHeight w:val="570"/>
        </w:trPr>
        <w:tc>
          <w:tcPr>
            <w:tcW w:w="2093" w:type="dxa"/>
          </w:tcPr>
          <w:p w14:paraId="2DD2B022" w14:textId="77777777" w:rsidR="00B957F4" w:rsidRPr="00A84A8D" w:rsidRDefault="00B957F4" w:rsidP="00796D2F">
            <w:pPr>
              <w:rPr>
                <w:rFonts w:ascii="Verdana" w:hAnsi="Verdana"/>
              </w:rPr>
            </w:pPr>
            <w:r w:rsidRPr="00A84A8D">
              <w:rPr>
                <w:rFonts w:ascii="Verdana" w:hAnsi="Verdana"/>
              </w:rPr>
              <w:t>C0010-C0040/R0195</w:t>
            </w:r>
          </w:p>
          <w:p w14:paraId="06BBE3D8" w14:textId="77777777" w:rsidR="00B957F4" w:rsidRPr="00A84A8D" w:rsidRDefault="00B957F4" w:rsidP="00796D2F">
            <w:pPr>
              <w:rPr>
                <w:rFonts w:ascii="Verdana" w:hAnsi="Verdana"/>
              </w:rPr>
            </w:pPr>
          </w:p>
        </w:tc>
        <w:tc>
          <w:tcPr>
            <w:tcW w:w="2268" w:type="dxa"/>
          </w:tcPr>
          <w:p w14:paraId="712080A0" w14:textId="77777777" w:rsidR="00B957F4" w:rsidRPr="00A84A8D" w:rsidRDefault="00B957F4" w:rsidP="00796D2F">
            <w:pPr>
              <w:pStyle w:val="BodyLeft"/>
            </w:pPr>
            <w:r w:rsidRPr="00A84A8D">
              <w:t>Deposits other than cash equivalents</w:t>
            </w:r>
          </w:p>
        </w:tc>
        <w:tc>
          <w:tcPr>
            <w:tcW w:w="5386" w:type="dxa"/>
          </w:tcPr>
          <w:p w14:paraId="06F36BF2" w14:textId="77777777" w:rsidR="00B957F4" w:rsidRPr="00A84A8D" w:rsidRDefault="00B957F4" w:rsidP="00796D2F">
            <w:pPr>
              <w:pStyle w:val="BodyLeft"/>
            </w:pPr>
            <w:r w:rsidRPr="00A84A8D">
              <w:t>Deposits other than cash equivalents that cannot be used to make payments until before a specific maturity date and that are not exchangeable for currency or transferable deposits without any kind of significant restriction or penalty</w:t>
            </w:r>
          </w:p>
        </w:tc>
      </w:tr>
      <w:tr w:rsidR="00B957F4" w:rsidRPr="00A84A8D" w14:paraId="23785FB4" w14:textId="77777777" w:rsidTr="00796D2F">
        <w:trPr>
          <w:trHeight w:val="420"/>
        </w:trPr>
        <w:tc>
          <w:tcPr>
            <w:tcW w:w="2093" w:type="dxa"/>
            <w:hideMark/>
          </w:tcPr>
          <w:p w14:paraId="402F11B1" w14:textId="77777777" w:rsidR="00B957F4" w:rsidRPr="00A84A8D" w:rsidRDefault="00B957F4" w:rsidP="00796D2F">
            <w:pPr>
              <w:rPr>
                <w:rFonts w:ascii="Verdana" w:hAnsi="Verdana"/>
              </w:rPr>
            </w:pPr>
            <w:r w:rsidRPr="00A84A8D">
              <w:rPr>
                <w:rFonts w:ascii="Verdana" w:hAnsi="Verdana"/>
              </w:rPr>
              <w:t>C0010-C0040/R0200</w:t>
            </w:r>
          </w:p>
          <w:p w14:paraId="68C68233" w14:textId="77777777" w:rsidR="00B957F4" w:rsidRPr="00A84A8D" w:rsidRDefault="00B957F4" w:rsidP="00796D2F">
            <w:pPr>
              <w:rPr>
                <w:rFonts w:ascii="Verdana" w:hAnsi="Verdana"/>
              </w:rPr>
            </w:pPr>
          </w:p>
        </w:tc>
        <w:tc>
          <w:tcPr>
            <w:tcW w:w="2268" w:type="dxa"/>
            <w:hideMark/>
          </w:tcPr>
          <w:p w14:paraId="227DC2A2" w14:textId="77777777" w:rsidR="00B957F4" w:rsidRPr="00A84A8D" w:rsidRDefault="00B957F4" w:rsidP="00796D2F">
            <w:pPr>
              <w:pStyle w:val="BodyLeft"/>
            </w:pPr>
            <w:r w:rsidRPr="00A84A8D">
              <w:t>Other investments</w:t>
            </w:r>
          </w:p>
        </w:tc>
        <w:tc>
          <w:tcPr>
            <w:tcW w:w="5386" w:type="dxa"/>
            <w:hideMark/>
          </w:tcPr>
          <w:p w14:paraId="4DA08E1A" w14:textId="77777777" w:rsidR="00B957F4" w:rsidRPr="00A84A8D" w:rsidRDefault="00B957F4" w:rsidP="00796D2F">
            <w:pPr>
              <w:pStyle w:val="BodyLeft"/>
              <w:rPr>
                <w:lang w:val="en-US"/>
              </w:rPr>
            </w:pPr>
            <w:r w:rsidRPr="00A84A8D">
              <w:t>A</w:t>
            </w:r>
            <w:proofErr w:type="spellStart"/>
            <w:r w:rsidRPr="00A84A8D">
              <w:rPr>
                <w:lang w:val="en-US"/>
              </w:rPr>
              <w:t>ll</w:t>
            </w:r>
            <w:proofErr w:type="spellEnd"/>
            <w:r w:rsidRPr="00A84A8D">
              <w:rPr>
                <w:lang w:val="en-US"/>
              </w:rPr>
              <w:t xml:space="preserve"> other investments which are not covered </w:t>
            </w:r>
            <w:r w:rsidRPr="00A84A8D">
              <w:t xml:space="preserve">by </w:t>
            </w:r>
            <w:r w:rsidRPr="00A84A8D">
              <w:rPr>
                <w:lang w:val="en-US"/>
              </w:rPr>
              <w:t>R00</w:t>
            </w:r>
            <w:r w:rsidRPr="00A84A8D">
              <w:t>2</w:t>
            </w:r>
            <w:r w:rsidRPr="00A84A8D">
              <w:rPr>
                <w:lang w:val="en-US"/>
              </w:rPr>
              <w:t>0-R0</w:t>
            </w:r>
            <w:r w:rsidRPr="00A84A8D">
              <w:t>19</w:t>
            </w:r>
            <w:r w:rsidRPr="00A84A8D">
              <w:rPr>
                <w:lang w:val="en-US"/>
              </w:rPr>
              <w:t>0.</w:t>
            </w:r>
          </w:p>
        </w:tc>
      </w:tr>
      <w:tr w:rsidR="00B957F4" w:rsidRPr="00A84A8D" w14:paraId="628BB973" w14:textId="77777777" w:rsidTr="00796D2F">
        <w:trPr>
          <w:trHeight w:val="629"/>
        </w:trPr>
        <w:tc>
          <w:tcPr>
            <w:tcW w:w="2093" w:type="dxa"/>
            <w:hideMark/>
          </w:tcPr>
          <w:p w14:paraId="5BFC3137" w14:textId="77777777" w:rsidR="00B957F4" w:rsidRPr="00A84A8D" w:rsidRDefault="00B957F4" w:rsidP="00796D2F">
            <w:pPr>
              <w:rPr>
                <w:rFonts w:ascii="Verdana" w:hAnsi="Verdana"/>
              </w:rPr>
            </w:pPr>
            <w:r w:rsidRPr="00A84A8D">
              <w:rPr>
                <w:rFonts w:ascii="Verdana" w:hAnsi="Verdana"/>
              </w:rPr>
              <w:t>C0010-C0040/R0210</w:t>
            </w:r>
          </w:p>
          <w:p w14:paraId="74F8E6FD" w14:textId="77777777" w:rsidR="00B957F4" w:rsidRPr="00A84A8D" w:rsidRDefault="00B957F4" w:rsidP="00796D2F">
            <w:pPr>
              <w:rPr>
                <w:rFonts w:ascii="Verdana" w:hAnsi="Verdana"/>
              </w:rPr>
            </w:pPr>
          </w:p>
        </w:tc>
        <w:tc>
          <w:tcPr>
            <w:tcW w:w="2268" w:type="dxa"/>
            <w:hideMark/>
          </w:tcPr>
          <w:p w14:paraId="0BC27A37" w14:textId="77777777" w:rsidR="00B957F4" w:rsidRPr="00A84A8D" w:rsidRDefault="00B957F4" w:rsidP="00796D2F">
            <w:pPr>
              <w:pStyle w:val="BodyLeft"/>
            </w:pPr>
            <w:r w:rsidRPr="00A84A8D">
              <w:t>Loans and mortgages</w:t>
            </w:r>
          </w:p>
        </w:tc>
        <w:tc>
          <w:tcPr>
            <w:tcW w:w="5386" w:type="dxa"/>
            <w:hideMark/>
          </w:tcPr>
          <w:p w14:paraId="3ED73EA9" w14:textId="4763F7E1" w:rsidR="00B957F4" w:rsidRPr="00A84A8D" w:rsidRDefault="00B957F4" w:rsidP="001F4EEC">
            <w:pPr>
              <w:pStyle w:val="BodyLeft"/>
              <w:rPr>
                <w:lang w:val="en-US"/>
              </w:rPr>
            </w:pPr>
            <w:r w:rsidRPr="00A84A8D">
              <w:t xml:space="preserve">This is the total amount of loans and mortgages, </w:t>
            </w:r>
            <w:proofErr w:type="gramStart"/>
            <w:r w:rsidRPr="00A84A8D">
              <w:t>i.e.</w:t>
            </w:r>
            <w:proofErr w:type="gramEnd"/>
            <w:r w:rsidRPr="00A84A8D">
              <w:t xml:space="preserve"> financial assets created when </w:t>
            </w:r>
            <w:r w:rsidR="001F4EEC" w:rsidRPr="00A84A8D">
              <w:t>IORPs</w:t>
            </w:r>
            <w:r w:rsidRPr="00A84A8D">
              <w:t xml:space="preserve"> lend funds, either with or without collateral, including cash pools.</w:t>
            </w:r>
          </w:p>
        </w:tc>
      </w:tr>
      <w:tr w:rsidR="00B957F4" w:rsidRPr="00A84A8D" w14:paraId="384384A9" w14:textId="77777777" w:rsidTr="00796D2F">
        <w:trPr>
          <w:trHeight w:val="419"/>
        </w:trPr>
        <w:tc>
          <w:tcPr>
            <w:tcW w:w="2093" w:type="dxa"/>
          </w:tcPr>
          <w:p w14:paraId="25566BBD" w14:textId="77777777" w:rsidR="00B957F4" w:rsidRPr="00A84A8D" w:rsidRDefault="00B957F4" w:rsidP="00796D2F">
            <w:pPr>
              <w:rPr>
                <w:rFonts w:ascii="Verdana" w:hAnsi="Verdana"/>
              </w:rPr>
            </w:pPr>
            <w:r w:rsidRPr="00A84A8D">
              <w:rPr>
                <w:rFonts w:ascii="Verdana" w:hAnsi="Verdana"/>
              </w:rPr>
              <w:t>C0010-C0040/</w:t>
            </w:r>
            <w:r w:rsidRPr="00A84A8D">
              <w:rPr>
                <w:rFonts w:ascii="Verdana" w:hAnsi="Verdana"/>
                <w:lang w:val="en-US"/>
              </w:rPr>
              <w:t>R02</w:t>
            </w:r>
            <w:r w:rsidRPr="00A84A8D">
              <w:rPr>
                <w:rFonts w:ascii="Verdana" w:hAnsi="Verdana"/>
              </w:rPr>
              <w:t>2</w:t>
            </w:r>
            <w:r w:rsidRPr="00A84A8D">
              <w:rPr>
                <w:rFonts w:ascii="Verdana" w:hAnsi="Verdana"/>
                <w:lang w:val="en-US"/>
              </w:rPr>
              <w:t>0</w:t>
            </w:r>
          </w:p>
          <w:p w14:paraId="7F6FE7E8" w14:textId="77777777" w:rsidR="00B957F4" w:rsidRPr="00A84A8D" w:rsidRDefault="00B957F4" w:rsidP="00796D2F">
            <w:pPr>
              <w:rPr>
                <w:rFonts w:ascii="Verdana" w:hAnsi="Verdana"/>
              </w:rPr>
            </w:pPr>
          </w:p>
        </w:tc>
        <w:tc>
          <w:tcPr>
            <w:tcW w:w="2268" w:type="dxa"/>
          </w:tcPr>
          <w:p w14:paraId="03209C9B" w14:textId="77777777" w:rsidR="00B957F4" w:rsidRPr="00A84A8D" w:rsidRDefault="00B957F4" w:rsidP="00796D2F">
            <w:pPr>
              <w:pStyle w:val="BodyLeft"/>
            </w:pPr>
            <w:r w:rsidRPr="00A84A8D">
              <w:t>Mortgages</w:t>
            </w:r>
          </w:p>
        </w:tc>
        <w:tc>
          <w:tcPr>
            <w:tcW w:w="5386" w:type="dxa"/>
          </w:tcPr>
          <w:p w14:paraId="15249A63" w14:textId="77777777" w:rsidR="00B957F4" w:rsidRPr="00A84A8D" w:rsidRDefault="00B957F4" w:rsidP="00796D2F">
            <w:pPr>
              <w:pStyle w:val="BodyLeft"/>
              <w:rPr>
                <w:lang w:val="en-US"/>
              </w:rPr>
            </w:pPr>
            <w:r w:rsidRPr="00A84A8D">
              <w:t>Mortgages issued</w:t>
            </w:r>
            <w:r w:rsidRPr="00A84A8D">
              <w:rPr>
                <w:lang w:val="en-US"/>
              </w:rPr>
              <w:t>.</w:t>
            </w:r>
          </w:p>
        </w:tc>
      </w:tr>
      <w:tr w:rsidR="00B957F4" w:rsidRPr="00A84A8D" w14:paraId="564EA464" w14:textId="77777777" w:rsidTr="00796D2F">
        <w:trPr>
          <w:trHeight w:val="558"/>
        </w:trPr>
        <w:tc>
          <w:tcPr>
            <w:tcW w:w="2093" w:type="dxa"/>
          </w:tcPr>
          <w:p w14:paraId="114516D2" w14:textId="77777777" w:rsidR="00B957F4" w:rsidRPr="00A84A8D" w:rsidRDefault="00B957F4" w:rsidP="00796D2F">
            <w:pPr>
              <w:rPr>
                <w:rFonts w:ascii="Verdana" w:hAnsi="Verdana"/>
              </w:rPr>
            </w:pPr>
            <w:r w:rsidRPr="00A84A8D">
              <w:rPr>
                <w:rFonts w:ascii="Verdana" w:hAnsi="Verdana"/>
              </w:rPr>
              <w:t>C0010-C0040/</w:t>
            </w:r>
            <w:r w:rsidRPr="00A84A8D">
              <w:rPr>
                <w:rFonts w:ascii="Verdana" w:hAnsi="Verdana"/>
                <w:lang w:val="en-US"/>
              </w:rPr>
              <w:t>R0</w:t>
            </w:r>
            <w:r w:rsidRPr="00A84A8D">
              <w:rPr>
                <w:rFonts w:ascii="Verdana" w:hAnsi="Verdana"/>
              </w:rPr>
              <w:t>230</w:t>
            </w:r>
          </w:p>
          <w:p w14:paraId="22893E72" w14:textId="77777777" w:rsidR="00B957F4" w:rsidRPr="00A84A8D" w:rsidRDefault="00B957F4" w:rsidP="00796D2F">
            <w:pPr>
              <w:rPr>
                <w:rFonts w:ascii="Verdana" w:hAnsi="Verdana"/>
              </w:rPr>
            </w:pPr>
          </w:p>
        </w:tc>
        <w:tc>
          <w:tcPr>
            <w:tcW w:w="2268" w:type="dxa"/>
          </w:tcPr>
          <w:p w14:paraId="062D722F" w14:textId="77777777" w:rsidR="00B957F4" w:rsidRPr="00A84A8D" w:rsidRDefault="00B957F4" w:rsidP="00796D2F">
            <w:pPr>
              <w:pStyle w:val="BodyLeft"/>
            </w:pPr>
            <w:r w:rsidRPr="00A84A8D">
              <w:t>Loans</w:t>
            </w:r>
          </w:p>
        </w:tc>
        <w:tc>
          <w:tcPr>
            <w:tcW w:w="5386" w:type="dxa"/>
          </w:tcPr>
          <w:p w14:paraId="18823597" w14:textId="77777777" w:rsidR="00B957F4" w:rsidRPr="00A84A8D" w:rsidRDefault="00B957F4" w:rsidP="00796D2F">
            <w:pPr>
              <w:pStyle w:val="BodyLeft"/>
              <w:rPr>
                <w:lang w:val="en-US"/>
              </w:rPr>
            </w:pPr>
            <w:r w:rsidRPr="00A84A8D">
              <w:rPr>
                <w:lang w:val="en-US"/>
              </w:rPr>
              <w:t>This variable shall comprise all kinds of loans of pension funds not guaranteed by mortgages.</w:t>
            </w:r>
          </w:p>
        </w:tc>
      </w:tr>
      <w:tr w:rsidR="00B957F4" w:rsidRPr="00A84A8D" w14:paraId="66D728E3" w14:textId="77777777" w:rsidTr="00796D2F">
        <w:trPr>
          <w:trHeight w:val="574"/>
        </w:trPr>
        <w:tc>
          <w:tcPr>
            <w:tcW w:w="2093" w:type="dxa"/>
            <w:hideMark/>
          </w:tcPr>
          <w:p w14:paraId="2205758F" w14:textId="77777777" w:rsidR="00B957F4" w:rsidRPr="00A84A8D" w:rsidRDefault="00B957F4" w:rsidP="00796D2F">
            <w:pPr>
              <w:rPr>
                <w:rFonts w:ascii="Verdana" w:hAnsi="Verdana"/>
              </w:rPr>
            </w:pPr>
            <w:r w:rsidRPr="00A84A8D">
              <w:rPr>
                <w:rFonts w:ascii="Verdana" w:hAnsi="Verdana"/>
              </w:rPr>
              <w:lastRenderedPageBreak/>
              <w:t>C0010-C0040/R0240</w:t>
            </w:r>
          </w:p>
          <w:p w14:paraId="467BB1A3" w14:textId="77777777" w:rsidR="00B957F4" w:rsidRPr="00A84A8D" w:rsidRDefault="00B957F4" w:rsidP="00796D2F">
            <w:pPr>
              <w:rPr>
                <w:rFonts w:ascii="Verdana" w:hAnsi="Verdana"/>
              </w:rPr>
            </w:pPr>
          </w:p>
        </w:tc>
        <w:tc>
          <w:tcPr>
            <w:tcW w:w="2268" w:type="dxa"/>
            <w:hideMark/>
          </w:tcPr>
          <w:p w14:paraId="125A8705" w14:textId="40C96E7B" w:rsidR="00B957F4" w:rsidRPr="00A84A8D" w:rsidRDefault="00C742CF" w:rsidP="00796D2F">
            <w:pPr>
              <w:pStyle w:val="BodyLeft"/>
            </w:pPr>
            <w:r w:rsidRPr="00A84A8D">
              <w:t>(</w:t>
            </w:r>
            <w:r w:rsidR="00B957F4" w:rsidRPr="00A84A8D">
              <w:t>Re</w:t>
            </w:r>
            <w:r w:rsidRPr="00A84A8D">
              <w:t>)</w:t>
            </w:r>
            <w:r w:rsidR="00B957F4" w:rsidRPr="00A84A8D">
              <w:t xml:space="preserve">insurance </w:t>
            </w:r>
            <w:proofErr w:type="spellStart"/>
            <w:r w:rsidR="00B957F4" w:rsidRPr="00A84A8D">
              <w:t>recoverables</w:t>
            </w:r>
            <w:proofErr w:type="spellEnd"/>
            <w:r w:rsidR="00B957F4" w:rsidRPr="00A84A8D">
              <w:t xml:space="preserve"> </w:t>
            </w:r>
          </w:p>
        </w:tc>
        <w:tc>
          <w:tcPr>
            <w:tcW w:w="5386" w:type="dxa"/>
            <w:hideMark/>
          </w:tcPr>
          <w:p w14:paraId="35FA8543" w14:textId="4872EA49" w:rsidR="00B957F4" w:rsidRPr="00A84A8D" w:rsidRDefault="00B957F4" w:rsidP="00796D2F">
            <w:pPr>
              <w:pStyle w:val="BodyLeft"/>
              <w:rPr>
                <w:lang w:val="en-US"/>
              </w:rPr>
            </w:pPr>
            <w:r w:rsidRPr="00A84A8D">
              <w:t xml:space="preserve">This is the total amount of (re)insurance </w:t>
            </w:r>
            <w:proofErr w:type="spellStart"/>
            <w:r w:rsidRPr="00A84A8D">
              <w:t>recoverables</w:t>
            </w:r>
            <w:proofErr w:type="spellEnd"/>
            <w:r w:rsidRPr="00A84A8D">
              <w:t>. It corresponds to the amount of reinsurer share of technical provisions. It includes expected payments from reinsurers, insurers or intermediaries for benefits or claims which are not yet settled between the pension funds and the members or beneficiaries, while expected payments or claims already settled are included in reinsurance receivables.</w:t>
            </w:r>
          </w:p>
        </w:tc>
      </w:tr>
      <w:tr w:rsidR="00B957F4" w:rsidRPr="00A84A8D" w14:paraId="0F671BF0" w14:textId="77777777" w:rsidTr="00796D2F">
        <w:trPr>
          <w:trHeight w:val="574"/>
        </w:trPr>
        <w:tc>
          <w:tcPr>
            <w:tcW w:w="2093" w:type="dxa"/>
          </w:tcPr>
          <w:p w14:paraId="67488C97" w14:textId="0B5CB98F" w:rsidR="00B957F4" w:rsidRPr="00A84A8D" w:rsidRDefault="00B957F4" w:rsidP="00796D2F">
            <w:pPr>
              <w:rPr>
                <w:rFonts w:ascii="Verdana" w:hAnsi="Verdana"/>
              </w:rPr>
            </w:pPr>
            <w:r w:rsidRPr="00A84A8D">
              <w:rPr>
                <w:rFonts w:ascii="Verdana" w:hAnsi="Verdana"/>
              </w:rPr>
              <w:t>C0010-C0040/R0245</w:t>
            </w:r>
          </w:p>
        </w:tc>
        <w:tc>
          <w:tcPr>
            <w:tcW w:w="2268" w:type="dxa"/>
          </w:tcPr>
          <w:p w14:paraId="65466DEC" w14:textId="7F47506D" w:rsidR="00B957F4" w:rsidRPr="00A84A8D" w:rsidRDefault="00C742CF" w:rsidP="00796D2F">
            <w:pPr>
              <w:pStyle w:val="BodyLeft"/>
            </w:pPr>
            <w:r w:rsidRPr="00A84A8D">
              <w:t>(</w:t>
            </w:r>
            <w:r w:rsidR="00B957F4" w:rsidRPr="00A84A8D">
              <w:t>Re</w:t>
            </w:r>
            <w:r w:rsidRPr="00A84A8D">
              <w:t>)</w:t>
            </w:r>
            <w:r w:rsidR="00B957F4" w:rsidRPr="00A84A8D">
              <w:t>insurance receivables</w:t>
            </w:r>
          </w:p>
        </w:tc>
        <w:tc>
          <w:tcPr>
            <w:tcW w:w="5386" w:type="dxa"/>
          </w:tcPr>
          <w:p w14:paraId="59F3D43E" w14:textId="5E1AC353" w:rsidR="00B957F4" w:rsidRPr="00A84A8D" w:rsidRDefault="00B957F4" w:rsidP="00796D2F">
            <w:pPr>
              <w:pStyle w:val="BodyLeft"/>
            </w:pPr>
            <w:r w:rsidRPr="00A84A8D">
              <w:t xml:space="preserve">Amounts for payment by reinsurers, insurers or intermediaries and linked to (re)insurance business that are not included in reinsurance </w:t>
            </w:r>
            <w:proofErr w:type="spellStart"/>
            <w:r w:rsidRPr="00A84A8D">
              <w:t>recoverables</w:t>
            </w:r>
            <w:proofErr w:type="spellEnd"/>
            <w:r w:rsidRPr="00A84A8D">
              <w:t xml:space="preserve">. </w:t>
            </w:r>
          </w:p>
          <w:p w14:paraId="7A2242BC" w14:textId="43C41ED2" w:rsidR="00B957F4" w:rsidRPr="00A84A8D" w:rsidRDefault="00B957F4" w:rsidP="00796D2F">
            <w:pPr>
              <w:pStyle w:val="BodyLeft"/>
            </w:pPr>
            <w:r w:rsidRPr="00A84A8D">
              <w:t xml:space="preserve">After the benefit or the claim has been settled between policyholder and insurance undertaking, the claim is no more included in the technical provisions in the liabilities side and a correspondent movement in the reinsurance </w:t>
            </w:r>
            <w:proofErr w:type="spellStart"/>
            <w:r w:rsidRPr="00A84A8D">
              <w:t>recoverables</w:t>
            </w:r>
            <w:proofErr w:type="spellEnd"/>
            <w:r w:rsidRPr="00A84A8D">
              <w:t xml:space="preserve"> should be done. At this point, the possible claim on the reinsurer/insurer or intermediary is moved from reinsurance recoverable to reinsurance receivable. All due and past due payments (open at valuation date) between reinsurer/insurer or intermediary and pension funds stemming from settled claims or benefit promises between the pension funds and its and members and beneficiaries, should be shown in this item and not in the item any other assets not elsewhere shown.</w:t>
            </w:r>
          </w:p>
        </w:tc>
      </w:tr>
      <w:tr w:rsidR="00B957F4" w:rsidRPr="00A84A8D" w14:paraId="39C8AA96" w14:textId="77777777" w:rsidTr="00796D2F">
        <w:trPr>
          <w:trHeight w:val="62"/>
        </w:trPr>
        <w:tc>
          <w:tcPr>
            <w:tcW w:w="2093" w:type="dxa"/>
            <w:hideMark/>
          </w:tcPr>
          <w:p w14:paraId="01A78090" w14:textId="77777777" w:rsidR="00B957F4" w:rsidRPr="00A84A8D" w:rsidRDefault="00B957F4" w:rsidP="00796D2F">
            <w:pPr>
              <w:rPr>
                <w:rFonts w:ascii="Verdana" w:hAnsi="Verdana"/>
              </w:rPr>
            </w:pPr>
            <w:r w:rsidRPr="00A84A8D">
              <w:rPr>
                <w:rFonts w:ascii="Verdana" w:hAnsi="Verdana"/>
              </w:rPr>
              <w:t>C0010-C0040/R0250</w:t>
            </w:r>
          </w:p>
          <w:p w14:paraId="11FBB489" w14:textId="77777777" w:rsidR="00B957F4" w:rsidRPr="00A84A8D" w:rsidRDefault="00B957F4" w:rsidP="00796D2F">
            <w:pPr>
              <w:rPr>
                <w:rFonts w:ascii="Verdana" w:hAnsi="Verdana"/>
              </w:rPr>
            </w:pPr>
          </w:p>
        </w:tc>
        <w:tc>
          <w:tcPr>
            <w:tcW w:w="2268" w:type="dxa"/>
            <w:hideMark/>
          </w:tcPr>
          <w:p w14:paraId="0049A34C" w14:textId="77777777" w:rsidR="00B957F4" w:rsidRPr="00A84A8D" w:rsidRDefault="00B957F4" w:rsidP="00796D2F">
            <w:pPr>
              <w:pStyle w:val="BodyLeft"/>
            </w:pPr>
            <w:r w:rsidRPr="00A84A8D">
              <w:t>Cash and cash equivalents</w:t>
            </w:r>
          </w:p>
        </w:tc>
        <w:tc>
          <w:tcPr>
            <w:tcW w:w="5386" w:type="dxa"/>
            <w:hideMark/>
          </w:tcPr>
          <w:p w14:paraId="240A4A14" w14:textId="55DF25B2" w:rsidR="00B957F4" w:rsidRPr="00A84A8D" w:rsidRDefault="00B957F4" w:rsidP="00796D2F">
            <w:pPr>
              <w:pStyle w:val="BodyLeft"/>
              <w:rPr>
                <w:lang w:val="en-US"/>
              </w:rPr>
            </w:pPr>
            <w:r w:rsidRPr="00A84A8D">
              <w:t>Notes and coins in circulation that are commonly used to make payments, and deposits exchangeable for currency on demand at par and which are directly usable for making payments by cheque, draft, giro order, direct debit/credit, or other direct payment facility, without penalty or restriction. Bank accounts shall not be netted off, thus only positive accounts shall be recognised in this item and bank overdrafts shown within liabilities unless where both legal right of offset and demonstrable intention to settle net exist.</w:t>
            </w:r>
          </w:p>
        </w:tc>
      </w:tr>
      <w:tr w:rsidR="00B957F4" w:rsidRPr="00A84A8D" w14:paraId="27D9BEE1" w14:textId="77777777" w:rsidTr="00796D2F">
        <w:trPr>
          <w:trHeight w:val="766"/>
        </w:trPr>
        <w:tc>
          <w:tcPr>
            <w:tcW w:w="2093" w:type="dxa"/>
            <w:hideMark/>
          </w:tcPr>
          <w:p w14:paraId="62450762" w14:textId="77777777" w:rsidR="00B957F4" w:rsidRPr="00A84A8D" w:rsidRDefault="00B957F4" w:rsidP="00796D2F">
            <w:pPr>
              <w:rPr>
                <w:rFonts w:ascii="Verdana" w:hAnsi="Verdana"/>
              </w:rPr>
            </w:pPr>
            <w:r w:rsidRPr="00A84A8D">
              <w:rPr>
                <w:rFonts w:ascii="Verdana" w:hAnsi="Verdana"/>
              </w:rPr>
              <w:t>C0010-C0040/R0260</w:t>
            </w:r>
          </w:p>
          <w:p w14:paraId="0D391651" w14:textId="77777777" w:rsidR="00B957F4" w:rsidRPr="00A84A8D" w:rsidRDefault="00B957F4" w:rsidP="00796D2F">
            <w:pPr>
              <w:rPr>
                <w:rFonts w:ascii="Verdana" w:hAnsi="Verdana"/>
              </w:rPr>
            </w:pPr>
          </w:p>
        </w:tc>
        <w:tc>
          <w:tcPr>
            <w:tcW w:w="2268" w:type="dxa"/>
            <w:hideMark/>
          </w:tcPr>
          <w:p w14:paraId="6219E17D" w14:textId="77777777" w:rsidR="00B957F4" w:rsidRPr="00A84A8D" w:rsidRDefault="00B957F4" w:rsidP="00796D2F">
            <w:pPr>
              <w:pStyle w:val="BodyLeft"/>
              <w:rPr>
                <w:lang w:val="en-US"/>
              </w:rPr>
            </w:pPr>
            <w:r w:rsidRPr="00A84A8D">
              <w:rPr>
                <w:lang w:val="en-US"/>
              </w:rPr>
              <w:t>Any other assets, not elsewhere shown</w:t>
            </w:r>
          </w:p>
        </w:tc>
        <w:tc>
          <w:tcPr>
            <w:tcW w:w="5386" w:type="dxa"/>
            <w:hideMark/>
          </w:tcPr>
          <w:p w14:paraId="15EC5DDE" w14:textId="77777777" w:rsidR="00B957F4" w:rsidRPr="00A84A8D" w:rsidRDefault="00B957F4" w:rsidP="00796D2F">
            <w:pPr>
              <w:pStyle w:val="BodyLeft"/>
              <w:rPr>
                <w:lang w:val="en-US"/>
              </w:rPr>
            </w:pPr>
            <w:r w:rsidRPr="00A84A8D">
              <w:t>A</w:t>
            </w:r>
            <w:proofErr w:type="spellStart"/>
            <w:r w:rsidRPr="00A84A8D">
              <w:rPr>
                <w:lang w:val="en-US"/>
              </w:rPr>
              <w:t>ll</w:t>
            </w:r>
            <w:proofErr w:type="spellEnd"/>
            <w:r w:rsidRPr="00A84A8D">
              <w:rPr>
                <w:lang w:val="en-US"/>
              </w:rPr>
              <w:t xml:space="preserve"> other asset not included in R0010-R0</w:t>
            </w:r>
            <w:r w:rsidRPr="00A84A8D">
              <w:t>25</w:t>
            </w:r>
            <w:r w:rsidRPr="00A84A8D">
              <w:rPr>
                <w:lang w:val="en-US"/>
              </w:rPr>
              <w:t>0.</w:t>
            </w:r>
          </w:p>
        </w:tc>
      </w:tr>
      <w:tr w:rsidR="00B957F4" w:rsidRPr="00A84A8D" w14:paraId="138B6870" w14:textId="77777777" w:rsidTr="00796D2F">
        <w:trPr>
          <w:trHeight w:val="503"/>
        </w:trPr>
        <w:tc>
          <w:tcPr>
            <w:tcW w:w="2093" w:type="dxa"/>
            <w:hideMark/>
          </w:tcPr>
          <w:p w14:paraId="677C7E2D" w14:textId="77777777" w:rsidR="00B957F4" w:rsidRPr="00A84A8D" w:rsidRDefault="00B957F4" w:rsidP="00796D2F">
            <w:pPr>
              <w:rPr>
                <w:rFonts w:ascii="Verdana" w:hAnsi="Verdana"/>
              </w:rPr>
            </w:pPr>
            <w:r w:rsidRPr="00A84A8D">
              <w:rPr>
                <w:rFonts w:ascii="Verdana" w:hAnsi="Verdana"/>
              </w:rPr>
              <w:lastRenderedPageBreak/>
              <w:t>C0010-C0040/R0270</w:t>
            </w:r>
          </w:p>
          <w:p w14:paraId="2E016648" w14:textId="77777777" w:rsidR="00B957F4" w:rsidRPr="00A84A8D" w:rsidRDefault="00B957F4" w:rsidP="00796D2F">
            <w:pPr>
              <w:rPr>
                <w:rFonts w:ascii="Verdana" w:hAnsi="Verdana"/>
              </w:rPr>
            </w:pPr>
          </w:p>
        </w:tc>
        <w:tc>
          <w:tcPr>
            <w:tcW w:w="2268" w:type="dxa"/>
            <w:hideMark/>
          </w:tcPr>
          <w:p w14:paraId="06BD9B25" w14:textId="77777777" w:rsidR="00B957F4" w:rsidRPr="00A84A8D" w:rsidRDefault="00B957F4" w:rsidP="00796D2F">
            <w:pPr>
              <w:pStyle w:val="BodyLeft"/>
            </w:pPr>
            <w:r w:rsidRPr="00A84A8D">
              <w:t>Total assets</w:t>
            </w:r>
          </w:p>
        </w:tc>
        <w:tc>
          <w:tcPr>
            <w:tcW w:w="5386" w:type="dxa"/>
            <w:hideMark/>
          </w:tcPr>
          <w:p w14:paraId="32F59CC1" w14:textId="77777777" w:rsidR="00B957F4" w:rsidRPr="00A84A8D" w:rsidRDefault="00B957F4" w:rsidP="00796D2F">
            <w:pPr>
              <w:pStyle w:val="BodyLeft"/>
            </w:pPr>
            <w:r w:rsidRPr="00A84A8D">
              <w:t>Total value of all assets.</w:t>
            </w:r>
          </w:p>
        </w:tc>
      </w:tr>
    </w:tbl>
    <w:p w14:paraId="66325FBC" w14:textId="77777777" w:rsidR="00B957F4" w:rsidRPr="00A84A8D" w:rsidRDefault="00B957F4" w:rsidP="00B957F4">
      <w:pPr>
        <w:pStyle w:val="Heading5"/>
        <w:rPr>
          <w:rStyle w:val="Bold"/>
          <w:rFonts w:ascii="Verdana" w:hAnsi="Verdana"/>
        </w:rPr>
      </w:pPr>
      <w:r w:rsidRPr="00A84A8D">
        <w:rPr>
          <w:rStyle w:val="Bold"/>
          <w:rFonts w:ascii="Verdana" w:hAnsi="Verdana"/>
        </w:rPr>
        <w:t>Liabilities</w:t>
      </w:r>
      <w:bookmarkEnd w:id="2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5A4072C7" w14:textId="77777777" w:rsidTr="00796D2F">
        <w:trPr>
          <w:trHeight w:val="477"/>
        </w:trPr>
        <w:tc>
          <w:tcPr>
            <w:tcW w:w="2093" w:type="dxa"/>
          </w:tcPr>
          <w:p w14:paraId="358FA157" w14:textId="77777777" w:rsidR="00B957F4" w:rsidRPr="00A84A8D" w:rsidRDefault="00B957F4" w:rsidP="00796D2F">
            <w:pPr>
              <w:rPr>
                <w:rFonts w:ascii="Verdana" w:hAnsi="Verdana"/>
              </w:rPr>
            </w:pPr>
          </w:p>
        </w:tc>
        <w:tc>
          <w:tcPr>
            <w:tcW w:w="2268" w:type="dxa"/>
          </w:tcPr>
          <w:p w14:paraId="622D4B9D" w14:textId="77777777" w:rsidR="00B957F4" w:rsidRPr="00A84A8D" w:rsidRDefault="00B957F4" w:rsidP="00796D2F">
            <w:pPr>
              <w:pStyle w:val="BodyLeft"/>
              <w:rPr>
                <w:rStyle w:val="Bold"/>
              </w:rPr>
            </w:pPr>
            <w:r w:rsidRPr="00A84A8D">
              <w:rPr>
                <w:rStyle w:val="Bold"/>
              </w:rPr>
              <w:t>ITEM</w:t>
            </w:r>
          </w:p>
        </w:tc>
        <w:tc>
          <w:tcPr>
            <w:tcW w:w="5386" w:type="dxa"/>
          </w:tcPr>
          <w:p w14:paraId="7EBAAB09" w14:textId="77777777" w:rsidR="00B957F4" w:rsidRPr="00A84A8D" w:rsidRDefault="00B957F4" w:rsidP="00796D2F">
            <w:pPr>
              <w:pStyle w:val="BodyLeft"/>
              <w:rPr>
                <w:rStyle w:val="Bold"/>
              </w:rPr>
            </w:pPr>
            <w:r w:rsidRPr="00A84A8D">
              <w:rPr>
                <w:rStyle w:val="Bold"/>
              </w:rPr>
              <w:t>INSTRUCTIONS</w:t>
            </w:r>
          </w:p>
        </w:tc>
      </w:tr>
      <w:tr w:rsidR="00B957F4" w:rsidRPr="00A84A8D" w14:paraId="25B3F3B6" w14:textId="77777777" w:rsidTr="00796D2F">
        <w:trPr>
          <w:trHeight w:val="838"/>
        </w:trPr>
        <w:tc>
          <w:tcPr>
            <w:tcW w:w="2093" w:type="dxa"/>
            <w:hideMark/>
          </w:tcPr>
          <w:p w14:paraId="75801588" w14:textId="77777777" w:rsidR="00B957F4" w:rsidRPr="00A84A8D" w:rsidRDefault="00B957F4" w:rsidP="00796D2F">
            <w:pPr>
              <w:rPr>
                <w:rFonts w:ascii="Verdana" w:hAnsi="Verdana"/>
              </w:rPr>
            </w:pPr>
            <w:r w:rsidRPr="00A84A8D">
              <w:rPr>
                <w:rFonts w:ascii="Verdana" w:hAnsi="Verdana"/>
              </w:rPr>
              <w:t>C0010-C0040/R0280</w:t>
            </w:r>
          </w:p>
          <w:p w14:paraId="4DC6E90F" w14:textId="77777777" w:rsidR="00B957F4" w:rsidRPr="00A84A8D" w:rsidRDefault="00B957F4" w:rsidP="00796D2F">
            <w:pPr>
              <w:rPr>
                <w:rFonts w:ascii="Verdana" w:hAnsi="Verdana"/>
              </w:rPr>
            </w:pPr>
          </w:p>
        </w:tc>
        <w:tc>
          <w:tcPr>
            <w:tcW w:w="2268" w:type="dxa"/>
            <w:hideMark/>
          </w:tcPr>
          <w:p w14:paraId="62E7B898" w14:textId="77777777" w:rsidR="00B957F4" w:rsidRPr="00A84A8D" w:rsidRDefault="00B957F4" w:rsidP="00796D2F">
            <w:pPr>
              <w:pStyle w:val="BodyLeft"/>
            </w:pPr>
            <w:r w:rsidRPr="00A84A8D">
              <w:t xml:space="preserve">Technical provisions </w:t>
            </w:r>
          </w:p>
        </w:tc>
        <w:tc>
          <w:tcPr>
            <w:tcW w:w="5386" w:type="dxa"/>
            <w:hideMark/>
          </w:tcPr>
          <w:p w14:paraId="6EA17862" w14:textId="77777777" w:rsidR="00B957F4" w:rsidRPr="00A84A8D" w:rsidRDefault="00B957F4" w:rsidP="00796D2F">
            <w:pPr>
              <w:pStyle w:val="BodyLeft"/>
            </w:pPr>
            <w:r w:rsidRPr="00A84A8D">
              <w:t xml:space="preserve">Total value of technical provisions. </w:t>
            </w:r>
          </w:p>
          <w:p w14:paraId="43942749" w14:textId="77777777" w:rsidR="00B957F4" w:rsidRPr="00A84A8D" w:rsidRDefault="00B957F4" w:rsidP="00796D2F">
            <w:pPr>
              <w:pStyle w:val="BodyLeft"/>
            </w:pPr>
            <w:r w:rsidRPr="00A84A8D">
              <w:t>Unless justified for prudential reasons, the liability of a defined contribution scheme is the current market value of the fund’s assets related to the DC schemes.</w:t>
            </w:r>
          </w:p>
        </w:tc>
      </w:tr>
      <w:tr w:rsidR="00B957F4" w:rsidRPr="00A84A8D" w14:paraId="54E3EB4F" w14:textId="77777777" w:rsidTr="00796D2F">
        <w:trPr>
          <w:trHeight w:val="557"/>
        </w:trPr>
        <w:tc>
          <w:tcPr>
            <w:tcW w:w="2093" w:type="dxa"/>
          </w:tcPr>
          <w:p w14:paraId="03995EF1" w14:textId="77777777" w:rsidR="00B957F4" w:rsidRPr="00A84A8D" w:rsidRDefault="00B957F4" w:rsidP="00796D2F">
            <w:pPr>
              <w:rPr>
                <w:rFonts w:ascii="Verdana" w:hAnsi="Verdana"/>
              </w:rPr>
            </w:pPr>
            <w:r w:rsidRPr="00A84A8D">
              <w:rPr>
                <w:rFonts w:ascii="Verdana" w:hAnsi="Verdana"/>
              </w:rPr>
              <w:t>C0010-C0040/R0290</w:t>
            </w:r>
          </w:p>
          <w:p w14:paraId="2DDC0484" w14:textId="77777777" w:rsidR="00B957F4" w:rsidRPr="00A84A8D" w:rsidRDefault="00B957F4" w:rsidP="00796D2F">
            <w:pPr>
              <w:rPr>
                <w:rFonts w:ascii="Verdana" w:hAnsi="Verdana"/>
              </w:rPr>
            </w:pPr>
          </w:p>
        </w:tc>
        <w:tc>
          <w:tcPr>
            <w:tcW w:w="2268" w:type="dxa"/>
          </w:tcPr>
          <w:p w14:paraId="6CA601EF" w14:textId="77777777" w:rsidR="00B957F4" w:rsidRPr="00A84A8D" w:rsidRDefault="00B957F4" w:rsidP="00796D2F">
            <w:pPr>
              <w:pStyle w:val="BodyLeft"/>
            </w:pPr>
            <w:r w:rsidRPr="00A84A8D">
              <w:t>Margin for adverse deviation</w:t>
            </w:r>
          </w:p>
        </w:tc>
        <w:tc>
          <w:tcPr>
            <w:tcW w:w="5386" w:type="dxa"/>
          </w:tcPr>
          <w:p w14:paraId="37A520B1" w14:textId="77777777" w:rsidR="00B957F4" w:rsidRPr="00A84A8D" w:rsidRDefault="00B957F4" w:rsidP="00796D2F">
            <w:pPr>
              <w:pStyle w:val="BodyLeft"/>
            </w:pPr>
            <w:r w:rsidRPr="00A84A8D">
              <w:t>The value of the margin for adverse deviation.</w:t>
            </w:r>
          </w:p>
        </w:tc>
      </w:tr>
      <w:tr w:rsidR="00B957F4" w:rsidRPr="00A84A8D" w14:paraId="01F5DE59" w14:textId="77777777" w:rsidTr="00796D2F">
        <w:trPr>
          <w:trHeight w:val="528"/>
        </w:trPr>
        <w:tc>
          <w:tcPr>
            <w:tcW w:w="2093" w:type="dxa"/>
          </w:tcPr>
          <w:p w14:paraId="46C71AB4" w14:textId="77777777" w:rsidR="00B957F4" w:rsidRPr="00A84A8D" w:rsidRDefault="00B957F4" w:rsidP="00796D2F">
            <w:pPr>
              <w:rPr>
                <w:rFonts w:ascii="Verdana" w:hAnsi="Verdana"/>
              </w:rPr>
            </w:pPr>
            <w:r w:rsidRPr="00A84A8D">
              <w:rPr>
                <w:rFonts w:ascii="Verdana" w:hAnsi="Verdana"/>
              </w:rPr>
              <w:t>C0010-C0040/R0300</w:t>
            </w:r>
          </w:p>
          <w:p w14:paraId="5F583F89" w14:textId="77777777" w:rsidR="00B957F4" w:rsidRPr="00A84A8D" w:rsidRDefault="00B957F4" w:rsidP="00796D2F">
            <w:pPr>
              <w:rPr>
                <w:rFonts w:ascii="Verdana" w:hAnsi="Verdana"/>
              </w:rPr>
            </w:pPr>
          </w:p>
        </w:tc>
        <w:tc>
          <w:tcPr>
            <w:tcW w:w="2268" w:type="dxa"/>
          </w:tcPr>
          <w:p w14:paraId="578A43EF" w14:textId="5AAB71EE" w:rsidR="00B957F4" w:rsidRPr="00A84A8D" w:rsidRDefault="00C742CF" w:rsidP="00796D2F">
            <w:pPr>
              <w:pStyle w:val="BodyLeft"/>
            </w:pPr>
            <w:r w:rsidRPr="00A84A8D">
              <w:t>(</w:t>
            </w:r>
            <w:r w:rsidR="00B957F4" w:rsidRPr="00A84A8D">
              <w:t>Re</w:t>
            </w:r>
            <w:r w:rsidRPr="00A84A8D">
              <w:t>)</w:t>
            </w:r>
            <w:r w:rsidR="00B957F4" w:rsidRPr="00A84A8D">
              <w:t>insurance payables</w:t>
            </w:r>
          </w:p>
        </w:tc>
        <w:tc>
          <w:tcPr>
            <w:tcW w:w="5386" w:type="dxa"/>
          </w:tcPr>
          <w:p w14:paraId="6E5D0781" w14:textId="77777777" w:rsidR="00B957F4" w:rsidRPr="00A84A8D" w:rsidRDefault="00B957F4" w:rsidP="00796D2F">
            <w:pPr>
              <w:pStyle w:val="BodyLeft"/>
            </w:pPr>
            <w:r w:rsidRPr="00A84A8D">
              <w:t xml:space="preserve">Payments due and past due to insurance or reinsurance undertakings and intermediaries in relation to technical provisions. </w:t>
            </w:r>
          </w:p>
        </w:tc>
      </w:tr>
      <w:tr w:rsidR="00B957F4" w:rsidRPr="00A84A8D" w14:paraId="1857DA55" w14:textId="77777777" w:rsidTr="00796D2F">
        <w:trPr>
          <w:trHeight w:val="765"/>
        </w:trPr>
        <w:tc>
          <w:tcPr>
            <w:tcW w:w="2093" w:type="dxa"/>
            <w:hideMark/>
          </w:tcPr>
          <w:p w14:paraId="505FA0D2" w14:textId="77777777" w:rsidR="00B957F4" w:rsidRPr="00A84A8D" w:rsidRDefault="00B957F4" w:rsidP="00796D2F">
            <w:pPr>
              <w:rPr>
                <w:rFonts w:ascii="Verdana" w:hAnsi="Verdana"/>
              </w:rPr>
            </w:pPr>
            <w:r w:rsidRPr="00A84A8D">
              <w:rPr>
                <w:rFonts w:ascii="Verdana" w:hAnsi="Verdana"/>
              </w:rPr>
              <w:t>C0010-C0040/R0310</w:t>
            </w:r>
          </w:p>
          <w:p w14:paraId="7FA983BC" w14:textId="77777777" w:rsidR="00B957F4" w:rsidRPr="00A84A8D" w:rsidRDefault="00B957F4" w:rsidP="00796D2F">
            <w:pPr>
              <w:rPr>
                <w:rFonts w:ascii="Verdana" w:hAnsi="Verdana"/>
              </w:rPr>
            </w:pPr>
          </w:p>
        </w:tc>
        <w:tc>
          <w:tcPr>
            <w:tcW w:w="2268" w:type="dxa"/>
            <w:hideMark/>
          </w:tcPr>
          <w:p w14:paraId="252FC646" w14:textId="77777777" w:rsidR="00B957F4" w:rsidRPr="00A84A8D" w:rsidRDefault="00B957F4" w:rsidP="00796D2F">
            <w:pPr>
              <w:pStyle w:val="BodyLeft"/>
            </w:pPr>
            <w:r w:rsidRPr="00A84A8D">
              <w:t>Any other liabilities, not elsewhere shown</w:t>
            </w:r>
          </w:p>
        </w:tc>
        <w:tc>
          <w:tcPr>
            <w:tcW w:w="5386" w:type="dxa"/>
            <w:hideMark/>
          </w:tcPr>
          <w:p w14:paraId="34D63263" w14:textId="77777777" w:rsidR="00B957F4" w:rsidRPr="00A84A8D" w:rsidRDefault="00B957F4" w:rsidP="00796D2F">
            <w:pPr>
              <w:pStyle w:val="BodyLeft"/>
            </w:pPr>
            <w:r w:rsidRPr="00A84A8D">
              <w:t>Liabilities not elsewhere shown.</w:t>
            </w:r>
          </w:p>
        </w:tc>
      </w:tr>
      <w:tr w:rsidR="00B957F4" w:rsidRPr="00A84A8D" w14:paraId="3D73B510" w14:textId="77777777" w:rsidTr="00796D2F">
        <w:trPr>
          <w:trHeight w:val="469"/>
        </w:trPr>
        <w:tc>
          <w:tcPr>
            <w:tcW w:w="2093" w:type="dxa"/>
            <w:hideMark/>
          </w:tcPr>
          <w:p w14:paraId="7D5FA499" w14:textId="77777777" w:rsidR="00B957F4" w:rsidRPr="00A84A8D" w:rsidRDefault="00B957F4" w:rsidP="00796D2F">
            <w:pPr>
              <w:rPr>
                <w:rFonts w:ascii="Verdana" w:hAnsi="Verdana"/>
              </w:rPr>
            </w:pPr>
            <w:r w:rsidRPr="00A84A8D">
              <w:rPr>
                <w:rFonts w:ascii="Verdana" w:hAnsi="Verdana"/>
              </w:rPr>
              <w:t>C0010-C0040/R0320</w:t>
            </w:r>
          </w:p>
          <w:p w14:paraId="593A8AD9" w14:textId="77777777" w:rsidR="00B957F4" w:rsidRPr="00A84A8D" w:rsidRDefault="00B957F4" w:rsidP="00796D2F">
            <w:pPr>
              <w:rPr>
                <w:rFonts w:ascii="Verdana" w:hAnsi="Verdana"/>
              </w:rPr>
            </w:pPr>
          </w:p>
        </w:tc>
        <w:tc>
          <w:tcPr>
            <w:tcW w:w="2268" w:type="dxa"/>
            <w:hideMark/>
          </w:tcPr>
          <w:p w14:paraId="35ED9E0B" w14:textId="77777777" w:rsidR="00B957F4" w:rsidRPr="00A84A8D" w:rsidRDefault="00B957F4" w:rsidP="00796D2F">
            <w:pPr>
              <w:pStyle w:val="BodyLeft"/>
            </w:pPr>
            <w:r w:rsidRPr="00A84A8D">
              <w:t xml:space="preserve">Total liabilities </w:t>
            </w:r>
          </w:p>
        </w:tc>
        <w:tc>
          <w:tcPr>
            <w:tcW w:w="5386" w:type="dxa"/>
            <w:hideMark/>
          </w:tcPr>
          <w:p w14:paraId="77D4E575" w14:textId="77777777" w:rsidR="00B957F4" w:rsidRPr="00A84A8D" w:rsidRDefault="00B957F4" w:rsidP="00796D2F">
            <w:pPr>
              <w:pStyle w:val="BodyLeft"/>
            </w:pPr>
            <w:r w:rsidRPr="00A84A8D">
              <w:t>Total value of the liabilities.</w:t>
            </w:r>
          </w:p>
        </w:tc>
      </w:tr>
      <w:tr w:rsidR="00B957F4" w:rsidRPr="00A84A8D" w14:paraId="4CFEE5CB" w14:textId="77777777" w:rsidTr="00796D2F">
        <w:trPr>
          <w:trHeight w:val="490"/>
        </w:trPr>
        <w:tc>
          <w:tcPr>
            <w:tcW w:w="2093" w:type="dxa"/>
          </w:tcPr>
          <w:p w14:paraId="1AF5EE85" w14:textId="77777777" w:rsidR="00B957F4" w:rsidRPr="00A84A8D" w:rsidRDefault="00B957F4" w:rsidP="00796D2F">
            <w:pPr>
              <w:rPr>
                <w:rFonts w:ascii="Verdana" w:hAnsi="Verdana"/>
              </w:rPr>
            </w:pPr>
          </w:p>
        </w:tc>
        <w:tc>
          <w:tcPr>
            <w:tcW w:w="2268" w:type="dxa"/>
          </w:tcPr>
          <w:p w14:paraId="67CC37A2" w14:textId="77777777" w:rsidR="00B957F4" w:rsidRPr="00A84A8D" w:rsidRDefault="00B957F4" w:rsidP="00796D2F">
            <w:pPr>
              <w:pStyle w:val="BodyLeft"/>
              <w:rPr>
                <w:rStyle w:val="Bold"/>
              </w:rPr>
            </w:pPr>
            <w:r w:rsidRPr="00A84A8D">
              <w:rPr>
                <w:rStyle w:val="Bold"/>
              </w:rPr>
              <w:t>ITEM</w:t>
            </w:r>
          </w:p>
        </w:tc>
        <w:tc>
          <w:tcPr>
            <w:tcW w:w="5386" w:type="dxa"/>
          </w:tcPr>
          <w:p w14:paraId="207F4175" w14:textId="77777777" w:rsidR="00B957F4" w:rsidRPr="00A84A8D" w:rsidRDefault="00B957F4" w:rsidP="00796D2F">
            <w:pPr>
              <w:pStyle w:val="BodyLeft"/>
              <w:rPr>
                <w:rStyle w:val="Bold"/>
              </w:rPr>
            </w:pPr>
            <w:r w:rsidRPr="00A84A8D">
              <w:rPr>
                <w:rStyle w:val="Bold"/>
              </w:rPr>
              <w:t>INSTRUCTIONS</w:t>
            </w:r>
          </w:p>
        </w:tc>
      </w:tr>
      <w:tr w:rsidR="00B957F4" w:rsidRPr="00A84A8D" w14:paraId="5E8BDA60" w14:textId="77777777" w:rsidTr="00796D2F">
        <w:trPr>
          <w:trHeight w:val="458"/>
        </w:trPr>
        <w:tc>
          <w:tcPr>
            <w:tcW w:w="2093" w:type="dxa"/>
          </w:tcPr>
          <w:p w14:paraId="69C270BD" w14:textId="77777777" w:rsidR="00B957F4" w:rsidRPr="00A84A8D" w:rsidRDefault="00B957F4" w:rsidP="00796D2F">
            <w:pPr>
              <w:rPr>
                <w:rFonts w:ascii="Verdana" w:hAnsi="Verdana"/>
              </w:rPr>
            </w:pPr>
            <w:r w:rsidRPr="00A84A8D">
              <w:rPr>
                <w:rFonts w:ascii="Verdana" w:hAnsi="Verdana"/>
              </w:rPr>
              <w:t>C0010-C0040/R0330</w:t>
            </w:r>
          </w:p>
          <w:p w14:paraId="636BF440" w14:textId="77777777" w:rsidR="00B957F4" w:rsidRPr="00A84A8D" w:rsidRDefault="00B957F4" w:rsidP="00796D2F">
            <w:pPr>
              <w:rPr>
                <w:rFonts w:ascii="Verdana" w:hAnsi="Verdana"/>
              </w:rPr>
            </w:pPr>
          </w:p>
        </w:tc>
        <w:tc>
          <w:tcPr>
            <w:tcW w:w="2268" w:type="dxa"/>
          </w:tcPr>
          <w:p w14:paraId="3F86232D" w14:textId="77777777" w:rsidR="00B957F4" w:rsidRPr="00A84A8D" w:rsidRDefault="00B957F4" w:rsidP="00796D2F">
            <w:pPr>
              <w:pStyle w:val="BodyLeft"/>
            </w:pPr>
            <w:r w:rsidRPr="00A84A8D">
              <w:t>Regulatory own funds</w:t>
            </w:r>
          </w:p>
        </w:tc>
        <w:tc>
          <w:tcPr>
            <w:tcW w:w="5386" w:type="dxa"/>
          </w:tcPr>
          <w:p w14:paraId="18004CB8" w14:textId="77777777" w:rsidR="00B957F4" w:rsidRPr="00A84A8D" w:rsidRDefault="00B957F4" w:rsidP="00796D2F">
            <w:pPr>
              <w:pStyle w:val="BodyLeft"/>
            </w:pPr>
            <w:r w:rsidRPr="00A84A8D">
              <w:t>Regulatory own funds as referred to in Art. 15 of IORP Directive.</w:t>
            </w:r>
          </w:p>
        </w:tc>
      </w:tr>
      <w:tr w:rsidR="00B957F4" w:rsidRPr="00A84A8D" w14:paraId="4A74FEE9" w14:textId="77777777" w:rsidTr="00796D2F">
        <w:trPr>
          <w:trHeight w:val="458"/>
        </w:trPr>
        <w:tc>
          <w:tcPr>
            <w:tcW w:w="2093" w:type="dxa"/>
          </w:tcPr>
          <w:p w14:paraId="3645832C" w14:textId="77777777" w:rsidR="00B957F4" w:rsidRPr="00A84A8D" w:rsidRDefault="00B957F4" w:rsidP="00796D2F">
            <w:pPr>
              <w:rPr>
                <w:rFonts w:ascii="Verdana" w:hAnsi="Verdana"/>
              </w:rPr>
            </w:pPr>
            <w:r w:rsidRPr="00A84A8D">
              <w:rPr>
                <w:rFonts w:ascii="Verdana" w:hAnsi="Verdana"/>
              </w:rPr>
              <w:t>C0010-C0040/R0340</w:t>
            </w:r>
          </w:p>
          <w:p w14:paraId="23C5F0D9" w14:textId="77777777" w:rsidR="00B957F4" w:rsidRPr="00A84A8D" w:rsidRDefault="00B957F4" w:rsidP="00796D2F">
            <w:pPr>
              <w:rPr>
                <w:rFonts w:ascii="Verdana" w:hAnsi="Verdana"/>
              </w:rPr>
            </w:pPr>
          </w:p>
        </w:tc>
        <w:tc>
          <w:tcPr>
            <w:tcW w:w="2268" w:type="dxa"/>
          </w:tcPr>
          <w:p w14:paraId="7BB581B5" w14:textId="77777777" w:rsidR="00B957F4" w:rsidRPr="00A84A8D" w:rsidRDefault="00B957F4" w:rsidP="00796D2F">
            <w:pPr>
              <w:pStyle w:val="BodyLeft"/>
            </w:pPr>
            <w:r w:rsidRPr="00A84A8D">
              <w:t>Reserves</w:t>
            </w:r>
          </w:p>
        </w:tc>
        <w:tc>
          <w:tcPr>
            <w:tcW w:w="5386" w:type="dxa"/>
          </w:tcPr>
          <w:p w14:paraId="7D3DE487" w14:textId="77777777" w:rsidR="00B957F4" w:rsidRPr="00A84A8D" w:rsidRDefault="00B957F4" w:rsidP="00796D2F">
            <w:pPr>
              <w:pStyle w:val="BodyLeft"/>
            </w:pPr>
            <w:r w:rsidRPr="00A84A8D">
              <w:t>Total of Statutory and Free reserves</w:t>
            </w:r>
          </w:p>
        </w:tc>
      </w:tr>
      <w:tr w:rsidR="00B957F4" w:rsidRPr="00A84A8D" w14:paraId="7E4E13F6" w14:textId="77777777" w:rsidTr="00796D2F">
        <w:trPr>
          <w:trHeight w:val="536"/>
        </w:trPr>
        <w:tc>
          <w:tcPr>
            <w:tcW w:w="2093" w:type="dxa"/>
          </w:tcPr>
          <w:p w14:paraId="056411D5" w14:textId="77777777" w:rsidR="00B957F4" w:rsidRPr="00A84A8D" w:rsidRDefault="00B957F4" w:rsidP="00796D2F">
            <w:pPr>
              <w:rPr>
                <w:rFonts w:ascii="Verdana" w:hAnsi="Verdana"/>
              </w:rPr>
            </w:pPr>
            <w:r w:rsidRPr="00A84A8D">
              <w:rPr>
                <w:rFonts w:ascii="Verdana" w:hAnsi="Verdana"/>
              </w:rPr>
              <w:t>C0010-C0040/R0350</w:t>
            </w:r>
          </w:p>
          <w:p w14:paraId="6B0CBC0B" w14:textId="77777777" w:rsidR="00B957F4" w:rsidRPr="00A84A8D" w:rsidRDefault="00B957F4" w:rsidP="00796D2F">
            <w:pPr>
              <w:rPr>
                <w:rFonts w:ascii="Verdana" w:hAnsi="Verdana"/>
              </w:rPr>
            </w:pPr>
          </w:p>
        </w:tc>
        <w:tc>
          <w:tcPr>
            <w:tcW w:w="2268" w:type="dxa"/>
          </w:tcPr>
          <w:p w14:paraId="6296DD84" w14:textId="77777777" w:rsidR="00B957F4" w:rsidRPr="00A84A8D" w:rsidRDefault="00B957F4" w:rsidP="00796D2F">
            <w:pPr>
              <w:pStyle w:val="BodyLeft"/>
            </w:pPr>
            <w:r w:rsidRPr="00A84A8D">
              <w:t>Statutory reserves</w:t>
            </w:r>
          </w:p>
        </w:tc>
        <w:tc>
          <w:tcPr>
            <w:tcW w:w="5386" w:type="dxa"/>
          </w:tcPr>
          <w:p w14:paraId="50BD03F8" w14:textId="77777777" w:rsidR="00B957F4" w:rsidRPr="00A84A8D" w:rsidRDefault="00B957F4" w:rsidP="00796D2F">
            <w:pPr>
              <w:pStyle w:val="BodyLeft"/>
            </w:pPr>
            <w:r w:rsidRPr="00A84A8D">
              <w:t>Statutory reserves as referred to in Art. 16(2) (b) of IORP Directive.</w:t>
            </w:r>
          </w:p>
        </w:tc>
      </w:tr>
      <w:tr w:rsidR="00B957F4" w:rsidRPr="00A84A8D" w14:paraId="5B0A6A2B" w14:textId="77777777" w:rsidTr="00796D2F">
        <w:trPr>
          <w:trHeight w:val="403"/>
        </w:trPr>
        <w:tc>
          <w:tcPr>
            <w:tcW w:w="2093" w:type="dxa"/>
          </w:tcPr>
          <w:p w14:paraId="1460C087" w14:textId="77777777" w:rsidR="00B957F4" w:rsidRPr="00A84A8D" w:rsidRDefault="00B957F4" w:rsidP="00796D2F">
            <w:pPr>
              <w:rPr>
                <w:rFonts w:ascii="Verdana" w:hAnsi="Verdana"/>
              </w:rPr>
            </w:pPr>
            <w:r w:rsidRPr="00A84A8D">
              <w:rPr>
                <w:rFonts w:ascii="Verdana" w:hAnsi="Verdana"/>
              </w:rPr>
              <w:t>C0010-C0040/R0360</w:t>
            </w:r>
          </w:p>
          <w:p w14:paraId="5EC6ADC5" w14:textId="77777777" w:rsidR="00B957F4" w:rsidRPr="00A84A8D" w:rsidRDefault="00B957F4" w:rsidP="00796D2F">
            <w:pPr>
              <w:rPr>
                <w:rFonts w:ascii="Verdana" w:hAnsi="Verdana"/>
              </w:rPr>
            </w:pPr>
          </w:p>
        </w:tc>
        <w:tc>
          <w:tcPr>
            <w:tcW w:w="2268" w:type="dxa"/>
          </w:tcPr>
          <w:p w14:paraId="07053749" w14:textId="77777777" w:rsidR="00B957F4" w:rsidRPr="00A84A8D" w:rsidRDefault="00B957F4" w:rsidP="00796D2F">
            <w:pPr>
              <w:pStyle w:val="BodyLeft"/>
            </w:pPr>
            <w:r w:rsidRPr="00A84A8D">
              <w:t>Free reserves</w:t>
            </w:r>
          </w:p>
        </w:tc>
        <w:tc>
          <w:tcPr>
            <w:tcW w:w="5386" w:type="dxa"/>
          </w:tcPr>
          <w:p w14:paraId="6E26A164" w14:textId="77777777" w:rsidR="00B957F4" w:rsidRPr="00A84A8D" w:rsidRDefault="00B957F4" w:rsidP="00796D2F">
            <w:pPr>
              <w:pStyle w:val="BodyLeft"/>
            </w:pPr>
            <w:r w:rsidRPr="00A84A8D">
              <w:t>Free reserves as referred to in Art. 16(2) (b) of IORP Directive.</w:t>
            </w:r>
          </w:p>
        </w:tc>
      </w:tr>
      <w:tr w:rsidR="00B957F4" w:rsidRPr="00A84A8D" w14:paraId="0D1C72D5" w14:textId="77777777" w:rsidTr="00796D2F">
        <w:trPr>
          <w:trHeight w:val="481"/>
        </w:trPr>
        <w:tc>
          <w:tcPr>
            <w:tcW w:w="2093" w:type="dxa"/>
          </w:tcPr>
          <w:p w14:paraId="3997E2BE" w14:textId="77777777" w:rsidR="00B957F4" w:rsidRPr="00A84A8D" w:rsidRDefault="00B957F4" w:rsidP="00796D2F">
            <w:pPr>
              <w:rPr>
                <w:rFonts w:ascii="Verdana" w:hAnsi="Verdana"/>
              </w:rPr>
            </w:pPr>
            <w:r w:rsidRPr="00A84A8D">
              <w:rPr>
                <w:rFonts w:ascii="Verdana" w:hAnsi="Verdana"/>
              </w:rPr>
              <w:lastRenderedPageBreak/>
              <w:t>C0010-C0040/R0370</w:t>
            </w:r>
          </w:p>
          <w:p w14:paraId="12E254D0" w14:textId="77777777" w:rsidR="00B957F4" w:rsidRPr="00A84A8D" w:rsidRDefault="00B957F4" w:rsidP="00796D2F">
            <w:pPr>
              <w:rPr>
                <w:rFonts w:ascii="Verdana" w:hAnsi="Verdana"/>
              </w:rPr>
            </w:pPr>
          </w:p>
        </w:tc>
        <w:tc>
          <w:tcPr>
            <w:tcW w:w="2268" w:type="dxa"/>
          </w:tcPr>
          <w:p w14:paraId="0FDC7579" w14:textId="77777777" w:rsidR="00B957F4" w:rsidRPr="00A84A8D" w:rsidRDefault="00B957F4" w:rsidP="00796D2F">
            <w:pPr>
              <w:pStyle w:val="BodyLeft"/>
            </w:pPr>
            <w:r w:rsidRPr="00A84A8D">
              <w:t>Profit reserves</w:t>
            </w:r>
          </w:p>
        </w:tc>
        <w:tc>
          <w:tcPr>
            <w:tcW w:w="5386" w:type="dxa"/>
          </w:tcPr>
          <w:p w14:paraId="1793687E" w14:textId="77777777" w:rsidR="00B957F4" w:rsidRPr="00A84A8D" w:rsidRDefault="00B957F4" w:rsidP="00796D2F">
            <w:pPr>
              <w:pStyle w:val="BodyLeft"/>
            </w:pPr>
            <w:r w:rsidRPr="00A84A8D">
              <w:t>Additional profit reserves.</w:t>
            </w:r>
          </w:p>
        </w:tc>
      </w:tr>
    </w:tbl>
    <w:p w14:paraId="68F45020" w14:textId="77777777" w:rsidR="00B957F4" w:rsidRPr="00A84A8D" w:rsidRDefault="00B957F4" w:rsidP="00B957F4">
      <w:pPr>
        <w:rPr>
          <w:rFonts w:ascii="Verdana" w:hAnsi="Verdana"/>
        </w:rPr>
      </w:pPr>
    </w:p>
    <w:p w14:paraId="7FB2DD3F" w14:textId="77777777" w:rsidR="00B957F4" w:rsidRPr="00A84A8D" w:rsidRDefault="00B957F4" w:rsidP="00B957F4">
      <w:pPr>
        <w:pStyle w:val="Heading4"/>
      </w:pPr>
      <w:bookmarkStart w:id="21" w:name="_Toc484604319"/>
      <w:bookmarkStart w:id="22" w:name="_Toc484788329"/>
      <w:bookmarkStart w:id="23" w:name="_Toc485028004"/>
      <w:r w:rsidRPr="00A84A8D">
        <w:t>List of assets</w:t>
      </w:r>
      <w:bookmarkEnd w:id="21"/>
      <w:bookmarkEnd w:id="22"/>
      <w:bookmarkEnd w:id="23"/>
      <w:r w:rsidRPr="00A84A8D">
        <w:t xml:space="preserve"> (PF.06.02.24 and PF.06.02.26)</w:t>
      </w:r>
    </w:p>
    <w:p w14:paraId="0BDEC33C" w14:textId="0A000D90" w:rsidR="00B957F4" w:rsidRPr="00A84A8D" w:rsidRDefault="00B957F4" w:rsidP="00B957F4">
      <w:pPr>
        <w:pStyle w:val="Heading4"/>
        <w:rPr>
          <w:b w:val="0"/>
        </w:rPr>
      </w:pPr>
      <w:r w:rsidRPr="00A84A8D">
        <w:rPr>
          <w:b w:val="0"/>
        </w:rPr>
        <w:t xml:space="preserve">For the purposes of providing individual and aggregate information at Member State level, NCAs shall submit the following information on a quarterly and annual basis. </w:t>
      </w:r>
    </w:p>
    <w:p w14:paraId="7BF48652" w14:textId="77777777" w:rsidR="00B957F4" w:rsidRPr="00A84A8D" w:rsidRDefault="00B957F4" w:rsidP="00B957F4">
      <w:pPr>
        <w:pStyle w:val="Heading5"/>
        <w:rPr>
          <w:rStyle w:val="Bold"/>
          <w:rFonts w:ascii="Verdana" w:hAnsi="Verdana"/>
        </w:rPr>
      </w:pPr>
      <w:bookmarkStart w:id="24" w:name="_Toc477445263"/>
      <w:r w:rsidRPr="00A84A8D">
        <w:rPr>
          <w:rStyle w:val="Bold"/>
          <w:rFonts w:ascii="Verdana" w:hAnsi="Verdana"/>
        </w:rPr>
        <w:t>Information on position held</w:t>
      </w:r>
      <w:bookmarkEnd w:id="2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4538BA20" w14:textId="77777777" w:rsidTr="00796D2F">
        <w:trPr>
          <w:trHeight w:val="490"/>
        </w:trPr>
        <w:tc>
          <w:tcPr>
            <w:tcW w:w="2093" w:type="dxa"/>
          </w:tcPr>
          <w:p w14:paraId="6ED1FA76" w14:textId="77777777" w:rsidR="00B957F4" w:rsidRPr="00A84A8D" w:rsidRDefault="00B957F4" w:rsidP="00796D2F">
            <w:pPr>
              <w:rPr>
                <w:rFonts w:ascii="Verdana" w:hAnsi="Verdana"/>
              </w:rPr>
            </w:pPr>
          </w:p>
        </w:tc>
        <w:tc>
          <w:tcPr>
            <w:tcW w:w="2268" w:type="dxa"/>
          </w:tcPr>
          <w:p w14:paraId="088278AE" w14:textId="77777777" w:rsidR="00B957F4" w:rsidRPr="00A84A8D" w:rsidRDefault="00B957F4" w:rsidP="00796D2F">
            <w:pPr>
              <w:pStyle w:val="BodyLeft"/>
              <w:rPr>
                <w:rStyle w:val="Bold"/>
              </w:rPr>
            </w:pPr>
            <w:r w:rsidRPr="00A84A8D">
              <w:rPr>
                <w:rStyle w:val="Bold"/>
              </w:rPr>
              <w:t>ITEM</w:t>
            </w:r>
          </w:p>
        </w:tc>
        <w:tc>
          <w:tcPr>
            <w:tcW w:w="5386" w:type="dxa"/>
          </w:tcPr>
          <w:p w14:paraId="105C6FC6" w14:textId="77777777" w:rsidR="00B957F4" w:rsidRPr="00A84A8D" w:rsidRDefault="00B957F4" w:rsidP="00796D2F">
            <w:pPr>
              <w:pStyle w:val="BodyLeft"/>
              <w:rPr>
                <w:rStyle w:val="Bold"/>
              </w:rPr>
            </w:pPr>
            <w:r w:rsidRPr="00A84A8D">
              <w:rPr>
                <w:rStyle w:val="Bold"/>
              </w:rPr>
              <w:t>INSTRUCTIONS</w:t>
            </w:r>
          </w:p>
        </w:tc>
      </w:tr>
      <w:tr w:rsidR="00B957F4" w:rsidRPr="00A84A8D" w14:paraId="61B26AA6" w14:textId="77777777" w:rsidTr="00796D2F">
        <w:trPr>
          <w:trHeight w:val="490"/>
        </w:trPr>
        <w:tc>
          <w:tcPr>
            <w:tcW w:w="2093" w:type="dxa"/>
          </w:tcPr>
          <w:p w14:paraId="2C492422" w14:textId="77777777" w:rsidR="00B957F4" w:rsidRPr="00A84A8D" w:rsidRDefault="00B957F4" w:rsidP="00796D2F">
            <w:pPr>
              <w:rPr>
                <w:rFonts w:ascii="Verdana" w:hAnsi="Verdana"/>
              </w:rPr>
            </w:pPr>
            <w:r w:rsidRPr="00A84A8D">
              <w:rPr>
                <w:rFonts w:ascii="Verdana" w:hAnsi="Verdana"/>
              </w:rPr>
              <w:t>C0002</w:t>
            </w:r>
          </w:p>
        </w:tc>
        <w:tc>
          <w:tcPr>
            <w:tcW w:w="2268" w:type="dxa"/>
          </w:tcPr>
          <w:p w14:paraId="0CFC0346" w14:textId="77777777" w:rsidR="00B957F4" w:rsidRPr="00A84A8D" w:rsidRDefault="00B957F4" w:rsidP="00796D2F">
            <w:pPr>
              <w:pStyle w:val="BodyLeft"/>
              <w:rPr>
                <w:rStyle w:val="Bold"/>
              </w:rPr>
            </w:pPr>
            <w:r w:rsidRPr="00A84A8D">
              <w:t>Pension fund identification code</w:t>
            </w:r>
          </w:p>
        </w:tc>
        <w:tc>
          <w:tcPr>
            <w:tcW w:w="5386" w:type="dxa"/>
          </w:tcPr>
          <w:p w14:paraId="3B163C84" w14:textId="77777777" w:rsidR="00B957F4" w:rsidRPr="00A84A8D" w:rsidRDefault="00B957F4" w:rsidP="00796D2F">
            <w:pPr>
              <w:rPr>
                <w:rFonts w:ascii="Verdana" w:hAnsi="Verdana"/>
              </w:rPr>
            </w:pPr>
            <w:r w:rsidRPr="00A84A8D">
              <w:rPr>
                <w:rFonts w:ascii="Verdana" w:hAnsi="Verdana"/>
              </w:rPr>
              <w:t>Identification code of the pension fund:  Legal Entity Identifier (“LEI”)</w:t>
            </w:r>
          </w:p>
          <w:p w14:paraId="5F1C749C" w14:textId="2E94A6FC" w:rsidR="00B957F4" w:rsidRPr="00A84A8D" w:rsidRDefault="00B957F4" w:rsidP="004D1672">
            <w:pPr>
              <w:rPr>
                <w:rStyle w:val="Bold"/>
                <w:rFonts w:ascii="Verdana" w:hAnsi="Verdana"/>
              </w:rPr>
            </w:pPr>
            <w:r w:rsidRPr="00A84A8D">
              <w:rPr>
                <w:rFonts w:ascii="Verdana" w:hAnsi="Verdana"/>
              </w:rPr>
              <w:t>Only if the pension fund does not have a LEI code</w:t>
            </w:r>
            <w:r w:rsidR="004D1672" w:rsidRPr="00A84A8D">
              <w:rPr>
                <w:rFonts w:ascii="Verdana" w:hAnsi="Verdana"/>
              </w:rPr>
              <w:t xml:space="preserve"> and not in the scope of the mandatory individual reporting</w:t>
            </w:r>
            <w:r w:rsidRPr="00A84A8D">
              <w:rPr>
                <w:rFonts w:ascii="Verdana" w:hAnsi="Verdana"/>
              </w:rPr>
              <w:t>: identification code used in the local market, attributed by supervisory authority. This code should be the code used to identify codes in EIOPA register on IORPs.</w:t>
            </w:r>
          </w:p>
        </w:tc>
      </w:tr>
      <w:tr w:rsidR="00B957F4" w:rsidRPr="00A84A8D" w14:paraId="4FC8BA90" w14:textId="77777777" w:rsidTr="00796D2F">
        <w:trPr>
          <w:trHeight w:val="481"/>
        </w:trPr>
        <w:tc>
          <w:tcPr>
            <w:tcW w:w="2093" w:type="dxa"/>
          </w:tcPr>
          <w:p w14:paraId="14B24450" w14:textId="77777777" w:rsidR="00B957F4" w:rsidRPr="00A84A8D" w:rsidRDefault="00B957F4" w:rsidP="00796D2F">
            <w:pPr>
              <w:rPr>
                <w:rFonts w:ascii="Verdana" w:hAnsi="Verdana"/>
              </w:rPr>
            </w:pPr>
            <w:r w:rsidRPr="00A84A8D">
              <w:rPr>
                <w:rFonts w:ascii="Verdana" w:hAnsi="Verdana"/>
              </w:rPr>
              <w:t>C0010</w:t>
            </w:r>
          </w:p>
          <w:p w14:paraId="15F37B05" w14:textId="77777777" w:rsidR="00B957F4" w:rsidRPr="00A84A8D" w:rsidRDefault="00B957F4" w:rsidP="00796D2F">
            <w:pPr>
              <w:rPr>
                <w:rFonts w:ascii="Verdana" w:hAnsi="Verdana"/>
              </w:rPr>
            </w:pPr>
          </w:p>
        </w:tc>
        <w:tc>
          <w:tcPr>
            <w:tcW w:w="2268" w:type="dxa"/>
          </w:tcPr>
          <w:p w14:paraId="38C32D02" w14:textId="77777777" w:rsidR="00B957F4" w:rsidRPr="00A84A8D" w:rsidRDefault="00B957F4" w:rsidP="00796D2F">
            <w:pPr>
              <w:pStyle w:val="BodyLeft"/>
            </w:pPr>
            <w:r w:rsidRPr="00A84A8D">
              <w:t>Asset ID Code</w:t>
            </w:r>
          </w:p>
        </w:tc>
        <w:tc>
          <w:tcPr>
            <w:tcW w:w="5386" w:type="dxa"/>
          </w:tcPr>
          <w:p w14:paraId="32A2766D" w14:textId="77777777" w:rsidR="00B957F4" w:rsidRPr="00A84A8D" w:rsidRDefault="00B957F4" w:rsidP="00796D2F">
            <w:pPr>
              <w:pStyle w:val="BodyLeft"/>
            </w:pPr>
            <w:r w:rsidRPr="00A84A8D">
              <w:t xml:space="preserve">Asset ID code using: </w:t>
            </w:r>
          </w:p>
          <w:p w14:paraId="1DA5FF21" w14:textId="77777777" w:rsidR="00B957F4" w:rsidRPr="00A84A8D" w:rsidRDefault="00B957F4" w:rsidP="00796D2F">
            <w:pPr>
              <w:pStyle w:val="BodyLeft"/>
            </w:pPr>
            <w:r w:rsidRPr="00A84A8D">
              <w:t xml:space="preserve">  - ISO 6166 code of ISIN</w:t>
            </w:r>
          </w:p>
          <w:p w14:paraId="04394C11" w14:textId="77777777" w:rsidR="00B957F4" w:rsidRPr="00A84A8D" w:rsidRDefault="00B957F4" w:rsidP="00796D2F">
            <w:pPr>
              <w:pStyle w:val="BodyLeft"/>
            </w:pPr>
            <w:r w:rsidRPr="00A84A8D">
              <w:t>Only if ISIN code is not available:</w:t>
            </w:r>
          </w:p>
          <w:p w14:paraId="2527C8B2" w14:textId="77777777" w:rsidR="00B957F4" w:rsidRPr="00A84A8D" w:rsidRDefault="00B957F4" w:rsidP="00796D2F">
            <w:pPr>
              <w:pStyle w:val="BodyLeft"/>
            </w:pPr>
            <w:r w:rsidRPr="00A84A8D">
              <w:t xml:space="preserve">  - Other recognised codes (e.g.: CUSIP, Bloomberg Ticker, Reuters RIC)</w:t>
            </w:r>
          </w:p>
          <w:p w14:paraId="024B2810" w14:textId="77777777" w:rsidR="00B957F4" w:rsidRPr="00A84A8D" w:rsidRDefault="00B957F4" w:rsidP="00796D2F">
            <w:pPr>
              <w:pStyle w:val="BodyLeft"/>
            </w:pPr>
            <w:r w:rsidRPr="00A84A8D">
              <w:t xml:space="preserve">  - Code </w:t>
            </w:r>
            <w:proofErr w:type="gramStart"/>
            <w:r w:rsidRPr="00A84A8D">
              <w:t>attributed, when</w:t>
            </w:r>
            <w:proofErr w:type="gramEnd"/>
            <w:r w:rsidRPr="00A84A8D">
              <w:t xml:space="preserve"> other recognised codes are not available. This code must be unique and kept consistent over time.</w:t>
            </w:r>
          </w:p>
          <w:p w14:paraId="184CA7A9" w14:textId="77777777" w:rsidR="00B957F4" w:rsidRPr="00A84A8D" w:rsidRDefault="00B957F4" w:rsidP="00796D2F">
            <w:pPr>
              <w:pStyle w:val="BodyLeft"/>
            </w:pPr>
            <w:r w:rsidRPr="00A84A8D">
              <w:t>When the same Asset ID Code needs to be reported for one asset that is issued in two or more different currencies, it is necessary to specify the Asset ID code and the ISO 4217 alphabetic code of the currency, as in the following example: “</w:t>
            </w:r>
            <w:proofErr w:type="spellStart"/>
            <w:r w:rsidRPr="00A84A8D">
              <w:t>code+EUR</w:t>
            </w:r>
            <w:proofErr w:type="spellEnd"/>
            <w:r w:rsidRPr="00A84A8D">
              <w:t>”</w:t>
            </w:r>
          </w:p>
        </w:tc>
      </w:tr>
      <w:tr w:rsidR="00B957F4" w:rsidRPr="00A84A8D" w14:paraId="15B911C1"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62AA11AF" w14:textId="77777777" w:rsidR="00B957F4" w:rsidRPr="00A84A8D" w:rsidRDefault="00B957F4" w:rsidP="00796D2F">
            <w:pPr>
              <w:rPr>
                <w:rFonts w:ascii="Verdana" w:hAnsi="Verdana"/>
              </w:rPr>
            </w:pPr>
            <w:r w:rsidRPr="00A84A8D">
              <w:rPr>
                <w:rFonts w:ascii="Verdana" w:hAnsi="Verdana"/>
              </w:rPr>
              <w:t>C0020</w:t>
            </w:r>
          </w:p>
          <w:p w14:paraId="31754B9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7BE140E8" w14:textId="77777777" w:rsidR="00B957F4" w:rsidRPr="00A84A8D" w:rsidRDefault="00B957F4" w:rsidP="00796D2F">
            <w:pPr>
              <w:pStyle w:val="BodyLeft"/>
            </w:pPr>
            <w:r w:rsidRPr="00A84A8D">
              <w:t>Asset ID Code Type</w:t>
            </w:r>
          </w:p>
        </w:tc>
        <w:tc>
          <w:tcPr>
            <w:tcW w:w="5386" w:type="dxa"/>
            <w:tcBorders>
              <w:top w:val="single" w:sz="4" w:space="0" w:color="auto"/>
              <w:left w:val="single" w:sz="4" w:space="0" w:color="auto"/>
              <w:bottom w:val="single" w:sz="4" w:space="0" w:color="auto"/>
              <w:right w:val="single" w:sz="4" w:space="0" w:color="auto"/>
            </w:tcBorders>
          </w:tcPr>
          <w:p w14:paraId="0B8403D0" w14:textId="77777777" w:rsidR="00B957F4" w:rsidRPr="00A84A8D" w:rsidRDefault="00B957F4" w:rsidP="00796D2F">
            <w:pPr>
              <w:pStyle w:val="BodyLeft"/>
            </w:pPr>
            <w:r w:rsidRPr="00A84A8D">
              <w:t>Type of ID Code used for the “Asset ID Code” item:</w:t>
            </w:r>
          </w:p>
          <w:p w14:paraId="6292FC08" w14:textId="77777777" w:rsidR="00B957F4" w:rsidRPr="00A84A8D" w:rsidRDefault="00B957F4" w:rsidP="00796D2F">
            <w:pPr>
              <w:pStyle w:val="BodyLeft"/>
            </w:pPr>
            <w:r w:rsidRPr="00A84A8D">
              <w:t>1 - ISO 6166 for ISIN code</w:t>
            </w:r>
          </w:p>
          <w:p w14:paraId="3BDBA4F6" w14:textId="77777777" w:rsidR="00B957F4" w:rsidRPr="00A84A8D" w:rsidRDefault="00B957F4" w:rsidP="00796D2F">
            <w:pPr>
              <w:pStyle w:val="BodyLeft"/>
            </w:pPr>
            <w:r w:rsidRPr="00A84A8D">
              <w:t>2 - CUSIP (The Committee on Uniform Securities Identification Procedures number assigned by the CUSIP Service Bureau for U.S. and Canadian companies)</w:t>
            </w:r>
          </w:p>
          <w:p w14:paraId="745433FA" w14:textId="77777777" w:rsidR="00B957F4" w:rsidRPr="00A84A8D" w:rsidRDefault="00B957F4" w:rsidP="00796D2F">
            <w:pPr>
              <w:pStyle w:val="BodyLeft"/>
            </w:pPr>
            <w:r w:rsidRPr="00A84A8D">
              <w:lastRenderedPageBreak/>
              <w:t>3 - SEDOL (Stock Exchange Daily Official List for the London Stock Exchange)</w:t>
            </w:r>
          </w:p>
          <w:p w14:paraId="5D5AEA04" w14:textId="77777777" w:rsidR="00B957F4" w:rsidRPr="00A84A8D" w:rsidRDefault="00B957F4" w:rsidP="00796D2F">
            <w:pPr>
              <w:pStyle w:val="BodyLeft"/>
            </w:pPr>
            <w:r w:rsidRPr="00A84A8D">
              <w:t>4 – WKN (</w:t>
            </w:r>
            <w:proofErr w:type="spellStart"/>
            <w:r w:rsidRPr="00A84A8D">
              <w:t>Wertpapier</w:t>
            </w:r>
            <w:proofErr w:type="spellEnd"/>
            <w:r w:rsidRPr="00A84A8D">
              <w:t xml:space="preserve"> Kenn-</w:t>
            </w:r>
            <w:proofErr w:type="spellStart"/>
            <w:r w:rsidRPr="00A84A8D">
              <w:t>Nummer</w:t>
            </w:r>
            <w:proofErr w:type="spellEnd"/>
            <w:r w:rsidRPr="00A84A8D">
              <w:t>, the alphanumeric German identification number)</w:t>
            </w:r>
          </w:p>
          <w:p w14:paraId="03D08063" w14:textId="77777777" w:rsidR="00B957F4" w:rsidRPr="00A84A8D" w:rsidRDefault="00B957F4" w:rsidP="00796D2F">
            <w:pPr>
              <w:pStyle w:val="BodyLeft"/>
            </w:pPr>
            <w:r w:rsidRPr="00A84A8D">
              <w:t>5 - Bloomberg Ticker (Bloomberg letters code that identify a company's securities)</w:t>
            </w:r>
          </w:p>
          <w:p w14:paraId="70D9FCC6" w14:textId="77777777" w:rsidR="00B957F4" w:rsidRPr="00A84A8D" w:rsidRDefault="00B957F4" w:rsidP="00796D2F">
            <w:pPr>
              <w:pStyle w:val="BodyLeft"/>
            </w:pPr>
            <w:r w:rsidRPr="00A84A8D">
              <w:t>6 - BBGID (The Bloomberg Global ID)</w:t>
            </w:r>
          </w:p>
          <w:p w14:paraId="75C33B93" w14:textId="77777777" w:rsidR="00B957F4" w:rsidRPr="00A84A8D" w:rsidRDefault="00B957F4" w:rsidP="00796D2F">
            <w:pPr>
              <w:pStyle w:val="BodyLeft"/>
              <w:rPr>
                <w:lang w:val="de-DE"/>
              </w:rPr>
            </w:pPr>
            <w:r w:rsidRPr="00A84A8D">
              <w:rPr>
                <w:lang w:val="de-DE"/>
              </w:rPr>
              <w:t>7 - Reuters RIC (Reuters instrument code)</w:t>
            </w:r>
          </w:p>
          <w:p w14:paraId="5DD17C26" w14:textId="77777777" w:rsidR="00B957F4" w:rsidRPr="00A84A8D" w:rsidRDefault="00B957F4" w:rsidP="00796D2F">
            <w:pPr>
              <w:pStyle w:val="BodyLeft"/>
              <w:rPr>
                <w:lang w:val="fr-BE"/>
              </w:rPr>
            </w:pPr>
            <w:r w:rsidRPr="00A84A8D">
              <w:rPr>
                <w:lang w:val="fr-BE"/>
              </w:rPr>
              <w:t>8 – FIGI (Financial Instrument Global Identifier)</w:t>
            </w:r>
          </w:p>
          <w:p w14:paraId="4894A07C" w14:textId="77777777" w:rsidR="00B957F4" w:rsidRPr="00A84A8D" w:rsidRDefault="00B957F4" w:rsidP="00796D2F">
            <w:pPr>
              <w:pStyle w:val="BodyLeft"/>
            </w:pPr>
            <w:r w:rsidRPr="00A84A8D">
              <w:t xml:space="preserve">9 - Other code by members of the Association </w:t>
            </w:r>
            <w:proofErr w:type="gramStart"/>
            <w:r w:rsidRPr="00A84A8D">
              <w:t>of  National</w:t>
            </w:r>
            <w:proofErr w:type="gramEnd"/>
            <w:r w:rsidRPr="00A84A8D">
              <w:t xml:space="preserve"> Numbering Agencies</w:t>
            </w:r>
          </w:p>
          <w:p w14:paraId="08DD975B" w14:textId="77777777" w:rsidR="00B957F4" w:rsidRPr="00A84A8D" w:rsidRDefault="00B957F4" w:rsidP="00796D2F">
            <w:pPr>
              <w:pStyle w:val="BodyLeft"/>
            </w:pPr>
            <w:r w:rsidRPr="00A84A8D">
              <w:t xml:space="preserve">99 - Code attributed </w:t>
            </w:r>
          </w:p>
          <w:p w14:paraId="38043D86" w14:textId="77777777" w:rsidR="00B957F4" w:rsidRPr="00A84A8D" w:rsidRDefault="00B957F4" w:rsidP="00796D2F">
            <w:pPr>
              <w:pStyle w:val="BodyLeft"/>
            </w:pPr>
            <w:r w:rsidRPr="00A84A8D">
              <w:t xml:space="preserve">When the same Asset ID Code needs to be reported for one asset that is issued in two or more different currencies and the code in C0040 is defined by Asset ID code and the ISO 4217 alphabetic code of the currency, the Asset ID Code Type shall refer to option 9 and the option of the original Asset ID Code, as in the following example for which the code reported was ISIN </w:t>
            </w:r>
            <w:proofErr w:type="spellStart"/>
            <w:r w:rsidRPr="00A84A8D">
              <w:t>code+currency</w:t>
            </w:r>
            <w:proofErr w:type="spellEnd"/>
            <w:r w:rsidRPr="00A84A8D">
              <w:t>: “9/1”.</w:t>
            </w:r>
          </w:p>
        </w:tc>
      </w:tr>
      <w:tr w:rsidR="00B957F4" w:rsidRPr="00A84A8D" w14:paraId="1F274006"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77EAC4F1" w14:textId="77777777" w:rsidR="00B957F4" w:rsidRPr="00A84A8D" w:rsidRDefault="00B957F4" w:rsidP="00796D2F">
            <w:pPr>
              <w:rPr>
                <w:rFonts w:ascii="Verdana" w:hAnsi="Verdana"/>
              </w:rPr>
            </w:pPr>
            <w:r w:rsidRPr="00A84A8D">
              <w:rPr>
                <w:rFonts w:ascii="Verdana" w:hAnsi="Verdana"/>
              </w:rPr>
              <w:lastRenderedPageBreak/>
              <w:t>C0030</w:t>
            </w:r>
          </w:p>
          <w:p w14:paraId="04925BB9"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7DD57995" w14:textId="77777777" w:rsidR="00B957F4" w:rsidRPr="00A84A8D" w:rsidRDefault="00B957F4" w:rsidP="00796D2F">
            <w:pPr>
              <w:pStyle w:val="BodyLeft"/>
            </w:pPr>
            <w:r w:rsidRPr="00A84A8D">
              <w:t>Portfolio/ pension scheme type</w:t>
            </w:r>
          </w:p>
        </w:tc>
        <w:tc>
          <w:tcPr>
            <w:tcW w:w="5386" w:type="dxa"/>
            <w:tcBorders>
              <w:top w:val="single" w:sz="4" w:space="0" w:color="auto"/>
              <w:left w:val="single" w:sz="4" w:space="0" w:color="auto"/>
              <w:bottom w:val="single" w:sz="4" w:space="0" w:color="auto"/>
              <w:right w:val="single" w:sz="4" w:space="0" w:color="auto"/>
            </w:tcBorders>
          </w:tcPr>
          <w:p w14:paraId="01A63DDF" w14:textId="77777777" w:rsidR="00B957F4" w:rsidRPr="00A84A8D" w:rsidRDefault="00B957F4" w:rsidP="00796D2F">
            <w:pPr>
              <w:pStyle w:val="BodyLeft"/>
            </w:pPr>
            <w:r w:rsidRPr="00A84A8D">
              <w:t xml:space="preserve">Financial instrument is linked to a specific portfolio, which ID is to be reported here; - or if not attributable to a specific portfolio, it is </w:t>
            </w:r>
            <w:proofErr w:type="gramStart"/>
            <w:r w:rsidRPr="00A84A8D">
              <w:t>linked  to</w:t>
            </w:r>
            <w:proofErr w:type="gramEnd"/>
            <w:r w:rsidRPr="00A84A8D">
              <w:t xml:space="preserve"> a scheme type:</w:t>
            </w:r>
          </w:p>
          <w:p w14:paraId="61A0477C" w14:textId="77777777" w:rsidR="00B957F4" w:rsidRPr="00A84A8D" w:rsidRDefault="00B957F4" w:rsidP="00796D2F">
            <w:pPr>
              <w:pStyle w:val="BodyLeft"/>
            </w:pPr>
            <w:r w:rsidRPr="00A84A8D">
              <w:t>1 – DB scheme</w:t>
            </w:r>
          </w:p>
          <w:p w14:paraId="5CE35815" w14:textId="77777777" w:rsidR="00B957F4" w:rsidRPr="00A84A8D" w:rsidRDefault="00B957F4" w:rsidP="00796D2F">
            <w:pPr>
              <w:pStyle w:val="BodyLeft"/>
            </w:pPr>
            <w:r w:rsidRPr="00A84A8D">
              <w:t>2 – DC scheme</w:t>
            </w:r>
          </w:p>
          <w:p w14:paraId="18B7027C" w14:textId="77777777" w:rsidR="00B957F4" w:rsidRPr="00A84A8D" w:rsidRDefault="00B957F4" w:rsidP="00796D2F">
            <w:pPr>
              <w:pStyle w:val="BodyLeft"/>
            </w:pPr>
            <w:r w:rsidRPr="00A84A8D">
              <w:t>3 –cannot be allocated to a scheme type or specific portfolio</w:t>
            </w:r>
          </w:p>
          <w:p w14:paraId="3FE71541" w14:textId="77777777" w:rsidR="00B957F4" w:rsidRPr="00A84A8D" w:rsidRDefault="00B957F4" w:rsidP="00796D2F">
            <w:pPr>
              <w:pStyle w:val="BodyLeft"/>
            </w:pPr>
            <w:r w:rsidRPr="00A84A8D">
              <w:t>4 - cannot be allocated to occupational or personal pension portfolio</w:t>
            </w:r>
          </w:p>
        </w:tc>
      </w:tr>
      <w:tr w:rsidR="00B957F4" w:rsidRPr="00A84A8D" w14:paraId="6B7D7155"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3FCFDEC0" w14:textId="77777777" w:rsidR="00B957F4" w:rsidRPr="00A84A8D" w:rsidRDefault="00B957F4" w:rsidP="00796D2F">
            <w:pPr>
              <w:rPr>
                <w:rFonts w:ascii="Verdana" w:hAnsi="Verdana"/>
              </w:rPr>
            </w:pPr>
            <w:r w:rsidRPr="00A84A8D">
              <w:rPr>
                <w:rFonts w:ascii="Verdana" w:hAnsi="Verdana"/>
              </w:rPr>
              <w:t>C0035</w:t>
            </w:r>
          </w:p>
        </w:tc>
        <w:tc>
          <w:tcPr>
            <w:tcW w:w="2268" w:type="dxa"/>
            <w:tcBorders>
              <w:top w:val="single" w:sz="4" w:space="0" w:color="auto"/>
              <w:left w:val="single" w:sz="4" w:space="0" w:color="auto"/>
              <w:bottom w:val="single" w:sz="4" w:space="0" w:color="auto"/>
              <w:right w:val="single" w:sz="4" w:space="0" w:color="auto"/>
            </w:tcBorders>
          </w:tcPr>
          <w:p w14:paraId="24A14AE9" w14:textId="77777777" w:rsidR="00B957F4" w:rsidRPr="00A84A8D" w:rsidRDefault="00B957F4" w:rsidP="00796D2F">
            <w:pPr>
              <w:pStyle w:val="BodyLeft"/>
            </w:pPr>
            <w:r w:rsidRPr="00A84A8D">
              <w:t>Assets pledged as collateral</w:t>
            </w:r>
          </w:p>
        </w:tc>
        <w:tc>
          <w:tcPr>
            <w:tcW w:w="5386" w:type="dxa"/>
            <w:tcBorders>
              <w:top w:val="single" w:sz="4" w:space="0" w:color="auto"/>
              <w:left w:val="single" w:sz="4" w:space="0" w:color="auto"/>
              <w:bottom w:val="single" w:sz="4" w:space="0" w:color="auto"/>
              <w:right w:val="single" w:sz="4" w:space="0" w:color="auto"/>
            </w:tcBorders>
          </w:tcPr>
          <w:p w14:paraId="5AC39A58" w14:textId="77777777" w:rsidR="00B957F4" w:rsidRPr="00A84A8D" w:rsidRDefault="00B957F4" w:rsidP="00796D2F">
            <w:pPr>
              <w:pStyle w:val="BodyLeft"/>
            </w:pPr>
            <w:r w:rsidRPr="00A84A8D">
              <w:t>Identify assets kept in the IORPs balance–sheet that are pledged as collateral. For partially pledged assets two rows for each asset shall be reported, one for the pledged amount and another for the remaining part. One of the options in the following closed list shall be used for the pledged part of the asset:</w:t>
            </w:r>
          </w:p>
          <w:p w14:paraId="1D0509AC" w14:textId="77777777" w:rsidR="00B957F4" w:rsidRPr="00A84A8D" w:rsidRDefault="00B957F4" w:rsidP="00796D2F">
            <w:pPr>
              <w:pStyle w:val="BodyLeft"/>
            </w:pPr>
            <w:r w:rsidRPr="00A84A8D">
              <w:t>1 — Assets in the balance sheet that are collateral pledged</w:t>
            </w:r>
          </w:p>
          <w:p w14:paraId="6550CDF2" w14:textId="77777777" w:rsidR="00B957F4" w:rsidRPr="00A84A8D" w:rsidRDefault="00B957F4" w:rsidP="00796D2F">
            <w:pPr>
              <w:pStyle w:val="BodyLeft"/>
            </w:pPr>
            <w:r w:rsidRPr="00A84A8D">
              <w:lastRenderedPageBreak/>
              <w:t>2 — Collateral for reinsurance accepted</w:t>
            </w:r>
          </w:p>
          <w:p w14:paraId="67F99B2C" w14:textId="77777777" w:rsidR="00B957F4" w:rsidRPr="00A84A8D" w:rsidRDefault="00B957F4" w:rsidP="00796D2F">
            <w:pPr>
              <w:pStyle w:val="BodyLeft"/>
            </w:pPr>
            <w:r w:rsidRPr="00A84A8D">
              <w:t>3 — Collateral for securities borrowed</w:t>
            </w:r>
          </w:p>
          <w:p w14:paraId="429542E1" w14:textId="77777777" w:rsidR="00B957F4" w:rsidRPr="00A84A8D" w:rsidRDefault="00B957F4" w:rsidP="00796D2F">
            <w:pPr>
              <w:pStyle w:val="BodyLeft"/>
            </w:pPr>
            <w:r w:rsidRPr="00A84A8D">
              <w:t>4 — Repos</w:t>
            </w:r>
          </w:p>
          <w:p w14:paraId="6651CEF5" w14:textId="4992DC7E" w:rsidR="00B42B32" w:rsidRPr="00A84A8D" w:rsidRDefault="00B42B32" w:rsidP="00F74F8E">
            <w:pPr>
              <w:pStyle w:val="BodyLeft"/>
            </w:pPr>
          </w:p>
        </w:tc>
      </w:tr>
      <w:tr w:rsidR="00B957F4" w:rsidRPr="00A84A8D" w14:paraId="08BDDE6D"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4671AC09" w14:textId="77777777" w:rsidR="00B957F4" w:rsidRPr="00A84A8D" w:rsidRDefault="00B957F4" w:rsidP="00796D2F">
            <w:pPr>
              <w:rPr>
                <w:rFonts w:ascii="Verdana" w:hAnsi="Verdana"/>
              </w:rPr>
            </w:pPr>
            <w:r w:rsidRPr="00A84A8D">
              <w:rPr>
                <w:rFonts w:ascii="Verdana" w:hAnsi="Verdana"/>
              </w:rPr>
              <w:lastRenderedPageBreak/>
              <w:t>C0040</w:t>
            </w:r>
          </w:p>
          <w:p w14:paraId="11E1AD50"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9C299F3" w14:textId="77777777" w:rsidR="00B957F4" w:rsidRPr="00A84A8D" w:rsidRDefault="00B957F4" w:rsidP="00796D2F">
            <w:pPr>
              <w:pStyle w:val="BodyLeft"/>
            </w:pPr>
            <w:r w:rsidRPr="00A84A8D">
              <w:t>Country of custody</w:t>
            </w:r>
          </w:p>
        </w:tc>
        <w:tc>
          <w:tcPr>
            <w:tcW w:w="5386" w:type="dxa"/>
            <w:tcBorders>
              <w:top w:val="single" w:sz="4" w:space="0" w:color="auto"/>
              <w:left w:val="single" w:sz="4" w:space="0" w:color="auto"/>
              <w:bottom w:val="single" w:sz="4" w:space="0" w:color="auto"/>
              <w:right w:val="single" w:sz="4" w:space="0" w:color="auto"/>
            </w:tcBorders>
          </w:tcPr>
          <w:p w14:paraId="5998C87B" w14:textId="77777777" w:rsidR="00B957F4" w:rsidRPr="00A84A8D" w:rsidRDefault="00B957F4" w:rsidP="00796D2F">
            <w:pPr>
              <w:pStyle w:val="BodyLeft"/>
            </w:pPr>
            <w:r w:rsidRPr="00A84A8D">
              <w:t>ISO 3166-1 alpha-2 code of the country where assets are held in custody. For identifying international custodians, such as Euroclear, the country of custody will be the one corresponding to the legal establishment where the custody service was contractually defined.</w:t>
            </w:r>
          </w:p>
          <w:p w14:paraId="55500248" w14:textId="77777777" w:rsidR="00B957F4" w:rsidRPr="00A84A8D" w:rsidRDefault="00B957F4" w:rsidP="00796D2F">
            <w:pPr>
              <w:pStyle w:val="BodyLeft"/>
            </w:pPr>
            <w:r w:rsidRPr="00A84A8D">
              <w:t>In case the same type of asset is held in custody in more than one country, each asset shall be reported separately in as many lines as needed in order to properly identify all countries of custody.</w:t>
            </w:r>
          </w:p>
          <w:p w14:paraId="797457B3" w14:textId="77777777" w:rsidR="00B957F4" w:rsidRPr="00A84A8D" w:rsidRDefault="00B957F4" w:rsidP="00CE07AF">
            <w:pPr>
              <w:pStyle w:val="BodyLeft"/>
            </w:pPr>
            <w:r w:rsidRPr="00A84A8D">
              <w:t>This item is not applicable for CIC category 8 — Mortgages and Loans, CIC 71, CIC 75 and for CIC 95 — Plant and equipment.</w:t>
            </w:r>
          </w:p>
          <w:p w14:paraId="7F555C2B" w14:textId="77777777" w:rsidR="00B957F4" w:rsidRPr="00A84A8D" w:rsidRDefault="00B957F4" w:rsidP="00796D2F">
            <w:pPr>
              <w:pStyle w:val="BodyLeft"/>
            </w:pPr>
            <w:r w:rsidRPr="00A84A8D">
              <w:t>Regarding CIC Category 9, excluding CIC 95 – Plant and equipment (for own use), the country of custody corresponds to the issuer country, which is assessed by the address of the property</w:t>
            </w:r>
          </w:p>
        </w:tc>
      </w:tr>
      <w:tr w:rsidR="00B957F4" w:rsidRPr="00A84A8D" w14:paraId="593D0FF8"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770AB85D" w14:textId="77777777" w:rsidR="00B957F4" w:rsidRPr="00A84A8D" w:rsidRDefault="00B957F4" w:rsidP="00796D2F">
            <w:pPr>
              <w:rPr>
                <w:rFonts w:ascii="Verdana" w:hAnsi="Verdana"/>
              </w:rPr>
            </w:pPr>
            <w:r w:rsidRPr="00A84A8D">
              <w:rPr>
                <w:rFonts w:ascii="Verdana" w:hAnsi="Verdana"/>
              </w:rPr>
              <w:t>C0050</w:t>
            </w:r>
          </w:p>
          <w:p w14:paraId="714FAD89"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8C15463" w14:textId="77777777" w:rsidR="00B957F4" w:rsidRPr="00A84A8D" w:rsidRDefault="00B957F4" w:rsidP="00796D2F">
            <w:pPr>
              <w:pStyle w:val="BodyLeft"/>
            </w:pPr>
            <w:r w:rsidRPr="00A84A8D">
              <w:t>Custodian</w:t>
            </w:r>
          </w:p>
        </w:tc>
        <w:tc>
          <w:tcPr>
            <w:tcW w:w="5386" w:type="dxa"/>
            <w:tcBorders>
              <w:top w:val="single" w:sz="4" w:space="0" w:color="auto"/>
              <w:left w:val="single" w:sz="4" w:space="0" w:color="auto"/>
              <w:bottom w:val="single" w:sz="4" w:space="0" w:color="auto"/>
              <w:right w:val="single" w:sz="4" w:space="0" w:color="auto"/>
            </w:tcBorders>
          </w:tcPr>
          <w:p w14:paraId="4BCF17EE" w14:textId="593A53BC" w:rsidR="00B957F4" w:rsidRPr="00A84A8D" w:rsidRDefault="00B957F4" w:rsidP="00796D2F">
            <w:pPr>
              <w:pStyle w:val="BodyLeft"/>
            </w:pPr>
            <w:r w:rsidRPr="00A84A8D">
              <w:t>Name of the financial institution that is the custodian.</w:t>
            </w:r>
          </w:p>
          <w:p w14:paraId="62D5E79D" w14:textId="77777777" w:rsidR="00B957F4" w:rsidRPr="00A84A8D" w:rsidRDefault="00B957F4" w:rsidP="00796D2F">
            <w:pPr>
              <w:pStyle w:val="BodyLeft"/>
            </w:pPr>
            <w:r w:rsidRPr="00A84A8D">
              <w:t>In case the same type of asset is held in custody in more than one custodian, each asset shall be reported separately in as many lines as needed in order to properly identify all custodians.</w:t>
            </w:r>
          </w:p>
          <w:p w14:paraId="4323704A" w14:textId="77777777" w:rsidR="00B957F4" w:rsidRPr="00A84A8D" w:rsidRDefault="00B957F4" w:rsidP="00796D2F">
            <w:pPr>
              <w:pStyle w:val="BodyLeft"/>
            </w:pPr>
            <w:r w:rsidRPr="00A84A8D">
              <w:t>For assets stored in-house, the IORP should be reported as the custodian.</w:t>
            </w:r>
          </w:p>
          <w:p w14:paraId="4197A332" w14:textId="77777777" w:rsidR="00B957F4" w:rsidRPr="00A84A8D" w:rsidRDefault="00B957F4" w:rsidP="00796D2F">
            <w:pPr>
              <w:pStyle w:val="BodyLeft"/>
            </w:pPr>
            <w:r w:rsidRPr="00A84A8D">
              <w:t>When available, this item corresponds to the entity name in the LEI database. When this is not available it corresponds to the legal name.</w:t>
            </w:r>
          </w:p>
          <w:p w14:paraId="25053E0E" w14:textId="2DAB4677" w:rsidR="00B957F4" w:rsidRPr="00A84A8D" w:rsidRDefault="00B957F4" w:rsidP="00796D2F">
            <w:pPr>
              <w:pStyle w:val="BodyLeft"/>
            </w:pPr>
            <w:r w:rsidRPr="00A84A8D">
              <w:t xml:space="preserve">This item is not applicable for CIC category 8 — Mortgages and Loans, CIC 71, CIC 75, CIC09 and for CIC category 9 — Property and to any other asset that, due to their nature, are not held in custody. </w:t>
            </w:r>
          </w:p>
          <w:p w14:paraId="552A77A6" w14:textId="2524B917" w:rsidR="00B957F4" w:rsidRPr="00A84A8D" w:rsidRDefault="00B957F4" w:rsidP="00796D2F">
            <w:pPr>
              <w:pStyle w:val="BodyLeft"/>
            </w:pPr>
            <w:r w:rsidRPr="00A84A8D">
              <w:lastRenderedPageBreak/>
              <w:t>For assets where there is no custodian or when this item is not applicable, report “No custodian”.</w:t>
            </w:r>
          </w:p>
        </w:tc>
      </w:tr>
      <w:tr w:rsidR="00B957F4" w:rsidRPr="00A84A8D" w14:paraId="01F9A4C5"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69A6FD1" w14:textId="77777777" w:rsidR="00B957F4" w:rsidRPr="00A84A8D" w:rsidRDefault="00B957F4" w:rsidP="00796D2F">
            <w:pPr>
              <w:rPr>
                <w:rFonts w:ascii="Verdana" w:hAnsi="Verdana"/>
              </w:rPr>
            </w:pPr>
            <w:r w:rsidRPr="00A84A8D">
              <w:rPr>
                <w:rFonts w:ascii="Verdana" w:hAnsi="Verdana"/>
              </w:rPr>
              <w:lastRenderedPageBreak/>
              <w:t>C0051</w:t>
            </w:r>
          </w:p>
        </w:tc>
        <w:tc>
          <w:tcPr>
            <w:tcW w:w="2268" w:type="dxa"/>
            <w:tcBorders>
              <w:top w:val="single" w:sz="4" w:space="0" w:color="auto"/>
              <w:left w:val="single" w:sz="4" w:space="0" w:color="auto"/>
              <w:bottom w:val="single" w:sz="4" w:space="0" w:color="auto"/>
              <w:right w:val="single" w:sz="4" w:space="0" w:color="auto"/>
            </w:tcBorders>
          </w:tcPr>
          <w:p w14:paraId="3DC06CC8" w14:textId="77777777" w:rsidR="00B957F4" w:rsidRPr="00A84A8D" w:rsidRDefault="00B957F4" w:rsidP="00796D2F">
            <w:pPr>
              <w:pStyle w:val="BodyLeft"/>
            </w:pPr>
            <w:r w:rsidRPr="00A84A8D">
              <w:t>Code of custodian</w:t>
            </w:r>
          </w:p>
        </w:tc>
        <w:tc>
          <w:tcPr>
            <w:tcW w:w="5386" w:type="dxa"/>
            <w:tcBorders>
              <w:top w:val="single" w:sz="4" w:space="0" w:color="auto"/>
              <w:left w:val="single" w:sz="4" w:space="0" w:color="auto"/>
              <w:bottom w:val="single" w:sz="4" w:space="0" w:color="auto"/>
              <w:right w:val="single" w:sz="4" w:space="0" w:color="auto"/>
            </w:tcBorders>
          </w:tcPr>
          <w:p w14:paraId="1A1A15EA" w14:textId="77777777" w:rsidR="00B957F4" w:rsidRPr="00A84A8D" w:rsidRDefault="00B957F4" w:rsidP="00796D2F">
            <w:pPr>
              <w:pStyle w:val="BodyLeft"/>
            </w:pPr>
            <w:r w:rsidRPr="00A84A8D">
              <w:t>Identification of the custodian code using the Legal Entity Identifier (LEI) if available.</w:t>
            </w:r>
          </w:p>
          <w:p w14:paraId="75C78301" w14:textId="77777777" w:rsidR="00B957F4" w:rsidRPr="00A84A8D" w:rsidRDefault="00B957F4" w:rsidP="00796D2F">
            <w:pPr>
              <w:pStyle w:val="BodyLeft"/>
            </w:pPr>
            <w:r w:rsidRPr="00A84A8D">
              <w:t>If none is available this item shall not be reported.</w:t>
            </w:r>
          </w:p>
        </w:tc>
      </w:tr>
      <w:tr w:rsidR="00B957F4" w:rsidRPr="00A84A8D" w14:paraId="20411688"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6132C027" w14:textId="77777777" w:rsidR="00B957F4" w:rsidRPr="00A84A8D" w:rsidRDefault="00B957F4" w:rsidP="00796D2F">
            <w:pPr>
              <w:rPr>
                <w:rFonts w:ascii="Verdana" w:hAnsi="Verdana"/>
              </w:rPr>
            </w:pPr>
            <w:r w:rsidRPr="00A84A8D">
              <w:rPr>
                <w:rFonts w:ascii="Verdana" w:hAnsi="Verdana"/>
              </w:rPr>
              <w:t>C0052</w:t>
            </w:r>
          </w:p>
        </w:tc>
        <w:tc>
          <w:tcPr>
            <w:tcW w:w="2268" w:type="dxa"/>
            <w:tcBorders>
              <w:top w:val="single" w:sz="4" w:space="0" w:color="auto"/>
              <w:left w:val="single" w:sz="4" w:space="0" w:color="auto"/>
              <w:bottom w:val="single" w:sz="4" w:space="0" w:color="auto"/>
              <w:right w:val="single" w:sz="4" w:space="0" w:color="auto"/>
            </w:tcBorders>
          </w:tcPr>
          <w:p w14:paraId="730286E9" w14:textId="77777777" w:rsidR="00B957F4" w:rsidRPr="00A84A8D" w:rsidRDefault="00B957F4" w:rsidP="00796D2F">
            <w:pPr>
              <w:pStyle w:val="BodyLeft"/>
            </w:pPr>
            <w:r w:rsidRPr="00A84A8D">
              <w:t>Type of code of custodian</w:t>
            </w:r>
          </w:p>
        </w:tc>
        <w:tc>
          <w:tcPr>
            <w:tcW w:w="5386" w:type="dxa"/>
            <w:tcBorders>
              <w:top w:val="single" w:sz="4" w:space="0" w:color="auto"/>
              <w:left w:val="single" w:sz="4" w:space="0" w:color="auto"/>
              <w:bottom w:val="single" w:sz="4" w:space="0" w:color="auto"/>
              <w:right w:val="single" w:sz="4" w:space="0" w:color="auto"/>
            </w:tcBorders>
          </w:tcPr>
          <w:p w14:paraId="42FE9B52" w14:textId="77777777" w:rsidR="00B957F4" w:rsidRPr="00A84A8D" w:rsidRDefault="00B957F4" w:rsidP="00796D2F">
            <w:pPr>
              <w:pStyle w:val="BodyLeft"/>
            </w:pPr>
            <w:r w:rsidRPr="00A84A8D">
              <w:t xml:space="preserve">Identification of the type of code used for the “Code of custodian” item. One of the options in the following closed list shall be used: </w:t>
            </w:r>
          </w:p>
          <w:p w14:paraId="3C996A3D" w14:textId="77777777" w:rsidR="00B957F4" w:rsidRPr="00A84A8D" w:rsidRDefault="00B957F4" w:rsidP="00796D2F">
            <w:pPr>
              <w:pStyle w:val="BodyLeft"/>
            </w:pPr>
            <w:r w:rsidRPr="00A84A8D">
              <w:t xml:space="preserve">1 – LEI </w:t>
            </w:r>
          </w:p>
          <w:p w14:paraId="648D6AA5" w14:textId="77777777" w:rsidR="00B957F4" w:rsidRPr="00A84A8D" w:rsidRDefault="00B957F4" w:rsidP="00796D2F">
            <w:pPr>
              <w:pStyle w:val="BodyLeft"/>
            </w:pPr>
            <w:r w:rsidRPr="00A84A8D">
              <w:t>9 – None</w:t>
            </w:r>
          </w:p>
        </w:tc>
      </w:tr>
      <w:tr w:rsidR="00B957F4" w:rsidRPr="00A84A8D" w14:paraId="763D4769"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7C0A2A08" w14:textId="77777777" w:rsidR="00B957F4" w:rsidRPr="00A84A8D" w:rsidRDefault="00B957F4" w:rsidP="00796D2F">
            <w:pPr>
              <w:rPr>
                <w:rFonts w:ascii="Verdana" w:hAnsi="Verdana"/>
              </w:rPr>
            </w:pPr>
            <w:r w:rsidRPr="00A84A8D">
              <w:rPr>
                <w:rFonts w:ascii="Verdana" w:hAnsi="Verdana"/>
              </w:rPr>
              <w:t>C0060</w:t>
            </w:r>
          </w:p>
          <w:p w14:paraId="2CFB71D0"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454A0A9C" w14:textId="77777777" w:rsidR="00B957F4" w:rsidRPr="00A84A8D" w:rsidRDefault="00B957F4" w:rsidP="00796D2F">
            <w:pPr>
              <w:pStyle w:val="BodyLeft"/>
            </w:pPr>
            <w:r w:rsidRPr="00A84A8D">
              <w:t>Quantity</w:t>
            </w:r>
          </w:p>
        </w:tc>
        <w:tc>
          <w:tcPr>
            <w:tcW w:w="5386" w:type="dxa"/>
            <w:tcBorders>
              <w:top w:val="single" w:sz="4" w:space="0" w:color="auto"/>
              <w:left w:val="single" w:sz="4" w:space="0" w:color="auto"/>
              <w:bottom w:val="single" w:sz="4" w:space="0" w:color="auto"/>
              <w:right w:val="single" w:sz="4" w:space="0" w:color="auto"/>
            </w:tcBorders>
          </w:tcPr>
          <w:p w14:paraId="4485D88A" w14:textId="77777777" w:rsidR="00B957F4" w:rsidRPr="00A84A8D" w:rsidRDefault="00B957F4" w:rsidP="00796D2F">
            <w:pPr>
              <w:pStyle w:val="BodyLeft"/>
            </w:pPr>
            <w:r w:rsidRPr="00A84A8D">
              <w:t>Number of assets, for relevant assets.</w:t>
            </w:r>
          </w:p>
          <w:p w14:paraId="5DD1061D" w14:textId="77777777" w:rsidR="00B957F4" w:rsidRPr="00A84A8D" w:rsidRDefault="00B957F4" w:rsidP="00796D2F">
            <w:pPr>
              <w:pStyle w:val="BodyLeft"/>
            </w:pPr>
            <w:r w:rsidRPr="00A84A8D">
              <w:t>This item shall not be reported if item Par amount (C0070)</w:t>
            </w:r>
            <w:r w:rsidRPr="00A84A8D" w:rsidDel="00B13507">
              <w:t xml:space="preserve"> </w:t>
            </w:r>
            <w:r w:rsidRPr="00A84A8D">
              <w:t>is reported.</w:t>
            </w:r>
          </w:p>
          <w:p w14:paraId="36E47A86" w14:textId="1EBAFDAD" w:rsidR="00B957F4" w:rsidRPr="00A84A8D" w:rsidRDefault="00B957F4" w:rsidP="00796D2F">
            <w:pPr>
              <w:pStyle w:val="BodyLeft"/>
            </w:pPr>
            <w:r w:rsidRPr="00A84A8D">
              <w:t>This item is not applicable for CIC 71 and 09 and CIC category 9 - property.</w:t>
            </w:r>
          </w:p>
        </w:tc>
      </w:tr>
      <w:tr w:rsidR="00B957F4" w:rsidRPr="00A84A8D" w14:paraId="460A222F"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27E97418" w14:textId="77777777" w:rsidR="00B957F4" w:rsidRPr="00A84A8D" w:rsidRDefault="00B957F4" w:rsidP="00796D2F">
            <w:pPr>
              <w:rPr>
                <w:rFonts w:ascii="Verdana" w:hAnsi="Verdana"/>
              </w:rPr>
            </w:pPr>
            <w:r w:rsidRPr="00A84A8D">
              <w:rPr>
                <w:rFonts w:ascii="Verdana" w:hAnsi="Verdana"/>
              </w:rPr>
              <w:t>C0070</w:t>
            </w:r>
          </w:p>
          <w:p w14:paraId="4217746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8D8F899" w14:textId="77777777" w:rsidR="00B957F4" w:rsidRPr="00A84A8D" w:rsidRDefault="00B957F4" w:rsidP="00796D2F">
            <w:pPr>
              <w:pStyle w:val="BodyLeft"/>
            </w:pPr>
            <w:r w:rsidRPr="00A84A8D">
              <w:t>Par amount</w:t>
            </w:r>
          </w:p>
        </w:tc>
        <w:tc>
          <w:tcPr>
            <w:tcW w:w="5386" w:type="dxa"/>
            <w:tcBorders>
              <w:top w:val="single" w:sz="4" w:space="0" w:color="auto"/>
              <w:left w:val="single" w:sz="4" w:space="0" w:color="auto"/>
              <w:bottom w:val="single" w:sz="4" w:space="0" w:color="auto"/>
              <w:right w:val="single" w:sz="4" w:space="0" w:color="auto"/>
            </w:tcBorders>
          </w:tcPr>
          <w:p w14:paraId="56C5B802" w14:textId="067997FF" w:rsidR="00B957F4" w:rsidRPr="00A84A8D" w:rsidRDefault="00B957F4" w:rsidP="00796D2F">
            <w:pPr>
              <w:pStyle w:val="BodyLeft"/>
            </w:pPr>
            <w:r w:rsidRPr="00A84A8D">
              <w:t xml:space="preserve">Principle </w:t>
            </w:r>
            <w:proofErr w:type="gramStart"/>
            <w:r w:rsidRPr="00A84A8D">
              <w:t>amount</w:t>
            </w:r>
            <w:proofErr w:type="gramEnd"/>
            <w:r w:rsidRPr="00A84A8D">
              <w:t xml:space="preserve"> outstanding measured at par amount, for all assets where this item is relevant, and at nominal amount for CIC = 72, 73, 74, 75, 79 and CIC Category 8- Mortgages and Loans. This item is not applicable for CIC 71</w:t>
            </w:r>
            <w:r w:rsidR="00CE07AF" w:rsidRPr="00A84A8D">
              <w:t>, 09</w:t>
            </w:r>
            <w:r w:rsidRPr="00A84A8D">
              <w:t xml:space="preserve"> and CIC category 9 – Property.</w:t>
            </w:r>
          </w:p>
          <w:p w14:paraId="7A3107EE" w14:textId="77777777" w:rsidR="00B957F4" w:rsidRPr="00A84A8D" w:rsidRDefault="00B957F4" w:rsidP="00796D2F">
            <w:pPr>
              <w:pStyle w:val="BodyLeft"/>
            </w:pPr>
            <w:r w:rsidRPr="00A84A8D">
              <w:t>This item shall not be reported if item Quantity</w:t>
            </w:r>
            <w:r w:rsidRPr="00A84A8D" w:rsidDel="00B13507">
              <w:t xml:space="preserve"> </w:t>
            </w:r>
            <w:r w:rsidRPr="00A84A8D">
              <w:t>(C0060) is reported.</w:t>
            </w:r>
          </w:p>
        </w:tc>
      </w:tr>
      <w:tr w:rsidR="00B957F4" w:rsidRPr="00A84A8D" w14:paraId="458708D2"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0D7F2A81" w14:textId="77777777" w:rsidR="00B957F4" w:rsidRPr="00A84A8D" w:rsidRDefault="00B957F4" w:rsidP="00796D2F">
            <w:pPr>
              <w:rPr>
                <w:rFonts w:ascii="Verdana" w:hAnsi="Verdana"/>
              </w:rPr>
            </w:pPr>
            <w:r w:rsidRPr="00A84A8D">
              <w:rPr>
                <w:rFonts w:ascii="Verdana" w:hAnsi="Verdana"/>
              </w:rPr>
              <w:t>C0075</w:t>
            </w:r>
          </w:p>
        </w:tc>
        <w:tc>
          <w:tcPr>
            <w:tcW w:w="2268" w:type="dxa"/>
            <w:tcBorders>
              <w:top w:val="single" w:sz="4" w:space="0" w:color="auto"/>
              <w:left w:val="single" w:sz="4" w:space="0" w:color="auto"/>
              <w:bottom w:val="single" w:sz="4" w:space="0" w:color="auto"/>
              <w:right w:val="single" w:sz="4" w:space="0" w:color="auto"/>
            </w:tcBorders>
          </w:tcPr>
          <w:p w14:paraId="628E3DE6" w14:textId="77777777" w:rsidR="00B957F4" w:rsidRPr="00A84A8D" w:rsidRDefault="00B957F4" w:rsidP="00796D2F">
            <w:pPr>
              <w:pStyle w:val="BodyLeft"/>
            </w:pPr>
            <w:r w:rsidRPr="00A84A8D">
              <w:t>Valuation method</w:t>
            </w:r>
          </w:p>
        </w:tc>
        <w:tc>
          <w:tcPr>
            <w:tcW w:w="5386" w:type="dxa"/>
            <w:tcBorders>
              <w:top w:val="single" w:sz="4" w:space="0" w:color="auto"/>
              <w:left w:val="single" w:sz="4" w:space="0" w:color="auto"/>
              <w:bottom w:val="single" w:sz="4" w:space="0" w:color="auto"/>
              <w:right w:val="single" w:sz="4" w:space="0" w:color="auto"/>
            </w:tcBorders>
          </w:tcPr>
          <w:p w14:paraId="05E992C0" w14:textId="77777777" w:rsidR="00B957F4" w:rsidRPr="00A84A8D" w:rsidRDefault="00B957F4" w:rsidP="00796D2F">
            <w:pPr>
              <w:pStyle w:val="BodyLeft"/>
            </w:pPr>
            <w:r w:rsidRPr="00A84A8D">
              <w:t>Financial instrument is valued by:</w:t>
            </w:r>
          </w:p>
          <w:p w14:paraId="6CAF7C54" w14:textId="77777777" w:rsidR="00B957F4" w:rsidRPr="00A84A8D" w:rsidRDefault="00B957F4" w:rsidP="00796D2F">
            <w:pPr>
              <w:pStyle w:val="BodyLeft"/>
            </w:pPr>
            <w:r w:rsidRPr="00A84A8D">
              <w:t>1 - market prices for that instrument</w:t>
            </w:r>
          </w:p>
          <w:p w14:paraId="2341A5A4" w14:textId="77777777" w:rsidR="00B957F4" w:rsidRPr="00A84A8D" w:rsidRDefault="00B957F4" w:rsidP="00796D2F">
            <w:pPr>
              <w:pStyle w:val="BodyLeft"/>
            </w:pPr>
            <w:r w:rsidRPr="00A84A8D">
              <w:t>2 - marked-to-market</w:t>
            </w:r>
          </w:p>
          <w:p w14:paraId="287C59A0" w14:textId="77777777" w:rsidR="00B957F4" w:rsidRPr="00A84A8D" w:rsidRDefault="00B957F4" w:rsidP="00796D2F">
            <w:pPr>
              <w:pStyle w:val="BodyLeft"/>
            </w:pPr>
            <w:r w:rsidRPr="00A84A8D">
              <w:t>3 - market-consistent valuation not applicable.</w:t>
            </w:r>
          </w:p>
        </w:tc>
      </w:tr>
      <w:tr w:rsidR="00B957F4" w:rsidRPr="00A84A8D" w14:paraId="21DBB62F"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686A34E2" w14:textId="77777777" w:rsidR="00B957F4" w:rsidRPr="00A84A8D" w:rsidRDefault="00B957F4" w:rsidP="00796D2F">
            <w:pPr>
              <w:rPr>
                <w:rFonts w:ascii="Verdana" w:hAnsi="Verdana"/>
              </w:rPr>
            </w:pPr>
            <w:r w:rsidRPr="00A84A8D">
              <w:rPr>
                <w:rFonts w:ascii="Verdana" w:hAnsi="Verdana"/>
              </w:rPr>
              <w:t>C0080</w:t>
            </w:r>
          </w:p>
          <w:p w14:paraId="4D7B9EB6"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A849971" w14:textId="77777777" w:rsidR="00B957F4" w:rsidRPr="00A84A8D" w:rsidRDefault="00B957F4" w:rsidP="00796D2F">
            <w:pPr>
              <w:pStyle w:val="BodyLeft"/>
            </w:pPr>
            <w:r w:rsidRPr="00A84A8D">
              <w:t>Acquisition value</w:t>
            </w:r>
          </w:p>
        </w:tc>
        <w:tc>
          <w:tcPr>
            <w:tcW w:w="5386" w:type="dxa"/>
            <w:tcBorders>
              <w:top w:val="single" w:sz="4" w:space="0" w:color="auto"/>
              <w:left w:val="single" w:sz="4" w:space="0" w:color="auto"/>
              <w:bottom w:val="single" w:sz="4" w:space="0" w:color="auto"/>
              <w:right w:val="single" w:sz="4" w:space="0" w:color="auto"/>
            </w:tcBorders>
          </w:tcPr>
          <w:p w14:paraId="6BFF380C" w14:textId="77777777" w:rsidR="00B957F4" w:rsidRPr="00A84A8D" w:rsidRDefault="00B957F4" w:rsidP="00796D2F">
            <w:pPr>
              <w:pStyle w:val="BodyLeft"/>
            </w:pPr>
            <w:r w:rsidRPr="00A84A8D">
              <w:t xml:space="preserve">Total acquisition value for assets </w:t>
            </w:r>
            <w:proofErr w:type="gramStart"/>
            <w:r w:rsidRPr="00A84A8D">
              <w:t>held,</w:t>
            </w:r>
            <w:proofErr w:type="gramEnd"/>
            <w:r w:rsidRPr="00A84A8D">
              <w:t xml:space="preserve"> clean value without accrued interest.</w:t>
            </w:r>
          </w:p>
          <w:p w14:paraId="391626CF" w14:textId="331AFE4A" w:rsidR="00B957F4" w:rsidRPr="00A84A8D" w:rsidRDefault="00B957F4" w:rsidP="00796D2F">
            <w:pPr>
              <w:pStyle w:val="BodyLeft"/>
            </w:pPr>
            <w:r w:rsidRPr="00A84A8D">
              <w:t xml:space="preserve">Not applicable to CIC categories 7 - Cash and deposits and 8 - Mortgages and Loans. </w:t>
            </w:r>
          </w:p>
        </w:tc>
      </w:tr>
      <w:tr w:rsidR="00B957F4" w:rsidRPr="00A84A8D" w14:paraId="305C2197"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04E8DA88" w14:textId="77777777" w:rsidR="00B957F4" w:rsidRPr="00A84A8D" w:rsidRDefault="00B957F4" w:rsidP="00796D2F">
            <w:pPr>
              <w:rPr>
                <w:rFonts w:ascii="Verdana" w:hAnsi="Verdana"/>
              </w:rPr>
            </w:pPr>
            <w:r w:rsidRPr="00A84A8D">
              <w:rPr>
                <w:rFonts w:ascii="Verdana" w:hAnsi="Verdana"/>
              </w:rPr>
              <w:t>C0090</w:t>
            </w:r>
          </w:p>
          <w:p w14:paraId="74144262"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4843A588" w14:textId="77777777" w:rsidR="00B957F4" w:rsidRPr="00A84A8D" w:rsidRDefault="00B957F4" w:rsidP="00796D2F">
            <w:pPr>
              <w:pStyle w:val="BodyLeft"/>
            </w:pPr>
            <w:r w:rsidRPr="00A84A8D">
              <w:t>Accrued interest</w:t>
            </w:r>
          </w:p>
        </w:tc>
        <w:tc>
          <w:tcPr>
            <w:tcW w:w="5386" w:type="dxa"/>
            <w:tcBorders>
              <w:top w:val="single" w:sz="4" w:space="0" w:color="auto"/>
              <w:left w:val="single" w:sz="4" w:space="0" w:color="auto"/>
              <w:bottom w:val="single" w:sz="4" w:space="0" w:color="auto"/>
              <w:right w:val="single" w:sz="4" w:space="0" w:color="auto"/>
            </w:tcBorders>
          </w:tcPr>
          <w:p w14:paraId="66323D07" w14:textId="2D9A2E1B" w:rsidR="00B957F4" w:rsidRPr="00A84A8D" w:rsidRDefault="00B957F4" w:rsidP="00796D2F">
            <w:pPr>
              <w:pStyle w:val="BodyLeft"/>
            </w:pPr>
            <w:r w:rsidRPr="00A84A8D">
              <w:t xml:space="preserve">Quantify the amount of accrued interest after the last coupon date for interest bearing assets. </w:t>
            </w:r>
            <w:r w:rsidR="009E7382" w:rsidRPr="00A84A8D">
              <w:t>Note that this value is also part of item Market Asset Value.</w:t>
            </w:r>
          </w:p>
        </w:tc>
      </w:tr>
      <w:tr w:rsidR="00B957F4" w:rsidRPr="00A84A8D" w14:paraId="3D99BA5F"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598174D9" w14:textId="77777777" w:rsidR="00B957F4" w:rsidRPr="00A84A8D" w:rsidRDefault="00B957F4" w:rsidP="00796D2F">
            <w:pPr>
              <w:rPr>
                <w:rFonts w:ascii="Verdana" w:hAnsi="Verdana"/>
              </w:rPr>
            </w:pPr>
            <w:r w:rsidRPr="00A84A8D">
              <w:rPr>
                <w:rFonts w:ascii="Verdana" w:hAnsi="Verdana"/>
              </w:rPr>
              <w:lastRenderedPageBreak/>
              <w:t>C0100</w:t>
            </w:r>
          </w:p>
        </w:tc>
        <w:tc>
          <w:tcPr>
            <w:tcW w:w="2268" w:type="dxa"/>
            <w:tcBorders>
              <w:top w:val="single" w:sz="4" w:space="0" w:color="auto"/>
              <w:left w:val="single" w:sz="4" w:space="0" w:color="auto"/>
              <w:bottom w:val="single" w:sz="4" w:space="0" w:color="auto"/>
              <w:right w:val="single" w:sz="4" w:space="0" w:color="auto"/>
            </w:tcBorders>
          </w:tcPr>
          <w:p w14:paraId="566C7E40" w14:textId="77777777" w:rsidR="00B957F4" w:rsidRPr="00A84A8D" w:rsidRDefault="00B957F4" w:rsidP="00796D2F">
            <w:pPr>
              <w:pStyle w:val="BodyLeft"/>
            </w:pPr>
            <w:r w:rsidRPr="00A84A8D">
              <w:t>Market Asset Value</w:t>
            </w:r>
          </w:p>
        </w:tc>
        <w:tc>
          <w:tcPr>
            <w:tcW w:w="5386" w:type="dxa"/>
            <w:tcBorders>
              <w:top w:val="single" w:sz="4" w:space="0" w:color="auto"/>
              <w:left w:val="single" w:sz="4" w:space="0" w:color="auto"/>
              <w:bottom w:val="single" w:sz="4" w:space="0" w:color="auto"/>
              <w:right w:val="single" w:sz="4" w:space="0" w:color="auto"/>
            </w:tcBorders>
          </w:tcPr>
          <w:p w14:paraId="1B3439CA" w14:textId="77777777" w:rsidR="00B957F4" w:rsidRPr="00A84A8D" w:rsidRDefault="00B957F4" w:rsidP="00796D2F">
            <w:pPr>
              <w:pStyle w:val="BodyLeft"/>
            </w:pPr>
            <w:r w:rsidRPr="00A84A8D">
              <w:t>Market value of the assets</w:t>
            </w:r>
          </w:p>
        </w:tc>
      </w:tr>
    </w:tbl>
    <w:p w14:paraId="4D8FACFF" w14:textId="77777777" w:rsidR="00B957F4" w:rsidRPr="00A84A8D" w:rsidRDefault="00B957F4" w:rsidP="00B957F4">
      <w:pPr>
        <w:pStyle w:val="Heading5"/>
        <w:rPr>
          <w:rStyle w:val="Bold"/>
          <w:rFonts w:ascii="Verdana" w:hAnsi="Verdana"/>
          <w:color w:val="auto"/>
        </w:rPr>
      </w:pPr>
      <w:bookmarkStart w:id="25" w:name="_Toc477445264"/>
      <w:r w:rsidRPr="00A84A8D">
        <w:rPr>
          <w:rStyle w:val="Bold"/>
          <w:rFonts w:ascii="Verdana" w:hAnsi="Verdana"/>
          <w:color w:val="auto"/>
        </w:rPr>
        <w:t>Information on assets</w:t>
      </w:r>
      <w:bookmarkEnd w:id="2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028D1F0E"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BEC8E5A"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5D1DD2C2"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tcPr>
          <w:p w14:paraId="5C2B41EE" w14:textId="77777777" w:rsidR="00B957F4" w:rsidRPr="00A84A8D" w:rsidRDefault="00B957F4" w:rsidP="00796D2F">
            <w:pPr>
              <w:pStyle w:val="BodyLeft"/>
              <w:rPr>
                <w:rStyle w:val="Bold"/>
              </w:rPr>
            </w:pPr>
            <w:r w:rsidRPr="00A84A8D">
              <w:rPr>
                <w:rStyle w:val="Bold"/>
              </w:rPr>
              <w:t>INSTRUCTION</w:t>
            </w:r>
          </w:p>
        </w:tc>
      </w:tr>
      <w:tr w:rsidR="00B957F4" w:rsidRPr="00A84A8D" w14:paraId="50465A66" w14:textId="77777777" w:rsidTr="00796D2F">
        <w:trPr>
          <w:trHeight w:val="490"/>
        </w:trPr>
        <w:tc>
          <w:tcPr>
            <w:tcW w:w="2093" w:type="dxa"/>
          </w:tcPr>
          <w:p w14:paraId="7AED1C85" w14:textId="77777777" w:rsidR="00B957F4" w:rsidRPr="00A84A8D" w:rsidRDefault="00B957F4" w:rsidP="00796D2F">
            <w:pPr>
              <w:rPr>
                <w:rFonts w:ascii="Verdana" w:hAnsi="Verdana"/>
              </w:rPr>
            </w:pPr>
            <w:r w:rsidRPr="00A84A8D">
              <w:rPr>
                <w:rFonts w:ascii="Verdana" w:hAnsi="Verdana"/>
              </w:rPr>
              <w:t>C0002</w:t>
            </w:r>
          </w:p>
        </w:tc>
        <w:tc>
          <w:tcPr>
            <w:tcW w:w="2268" w:type="dxa"/>
          </w:tcPr>
          <w:p w14:paraId="756C229C" w14:textId="77777777" w:rsidR="00B957F4" w:rsidRPr="00A84A8D" w:rsidRDefault="00B957F4" w:rsidP="00796D2F">
            <w:pPr>
              <w:pStyle w:val="BodyLeft"/>
              <w:rPr>
                <w:rStyle w:val="Bold"/>
              </w:rPr>
            </w:pPr>
            <w:r w:rsidRPr="00A84A8D">
              <w:t>Pension fund identification code</w:t>
            </w:r>
          </w:p>
        </w:tc>
        <w:tc>
          <w:tcPr>
            <w:tcW w:w="5386" w:type="dxa"/>
          </w:tcPr>
          <w:p w14:paraId="5078BB06" w14:textId="77777777" w:rsidR="00B957F4" w:rsidRPr="00A84A8D" w:rsidRDefault="00B957F4" w:rsidP="00796D2F">
            <w:pPr>
              <w:rPr>
                <w:rFonts w:ascii="Verdana" w:hAnsi="Verdana"/>
              </w:rPr>
            </w:pPr>
            <w:r w:rsidRPr="00A84A8D">
              <w:rPr>
                <w:rFonts w:ascii="Verdana" w:hAnsi="Verdana"/>
              </w:rPr>
              <w:t>Identification code of the pension fund:  Legal Entity Identifier (“LEI”)</w:t>
            </w:r>
          </w:p>
          <w:p w14:paraId="42ABB4DD" w14:textId="46616F22" w:rsidR="00B957F4" w:rsidRPr="003C1E0E" w:rsidRDefault="00B957F4" w:rsidP="00796D2F">
            <w:pPr>
              <w:rPr>
                <w:rStyle w:val="Bold"/>
                <w:rFonts w:ascii="Verdana" w:hAnsi="Verdana"/>
                <w:lang w:val="en-US"/>
              </w:rPr>
            </w:pPr>
            <w:r w:rsidRPr="00A84A8D">
              <w:rPr>
                <w:rFonts w:ascii="Verdana" w:hAnsi="Verdana"/>
              </w:rPr>
              <w:t>Only if the pension fund does not have a LEI code</w:t>
            </w:r>
            <w:r w:rsidR="004D1672" w:rsidRPr="00A84A8D">
              <w:rPr>
                <w:rFonts w:ascii="Verdana" w:hAnsi="Verdana"/>
              </w:rPr>
              <w:t xml:space="preserve"> and not in the scope of the mandatory individual reporting</w:t>
            </w:r>
            <w:r w:rsidRPr="00A84A8D">
              <w:rPr>
                <w:rFonts w:ascii="Verdana" w:hAnsi="Verdana"/>
              </w:rPr>
              <w:t>: identification code used in the local market, attributed by supervisory authority. This code should be the code used to identify codes in EIOPA register on IORPs.</w:t>
            </w:r>
          </w:p>
        </w:tc>
      </w:tr>
      <w:tr w:rsidR="00B957F4" w:rsidRPr="00A84A8D" w14:paraId="3D3E0BA2"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3606EC46" w14:textId="77777777" w:rsidR="00B957F4" w:rsidRPr="00A84A8D" w:rsidRDefault="00B957F4" w:rsidP="00796D2F">
            <w:pPr>
              <w:rPr>
                <w:rFonts w:ascii="Verdana" w:hAnsi="Verdana"/>
              </w:rPr>
            </w:pPr>
            <w:r w:rsidRPr="00A84A8D">
              <w:rPr>
                <w:rFonts w:ascii="Verdana" w:hAnsi="Verdana"/>
              </w:rPr>
              <w:t>C0010</w:t>
            </w:r>
          </w:p>
          <w:p w14:paraId="42A2FE8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020AD391" w14:textId="77777777" w:rsidR="00B957F4" w:rsidRPr="00A84A8D" w:rsidRDefault="00B957F4" w:rsidP="00796D2F">
            <w:pPr>
              <w:pStyle w:val="BodyLeft"/>
            </w:pPr>
            <w:r w:rsidRPr="00A84A8D">
              <w:t>Asset ID Code</w:t>
            </w:r>
          </w:p>
        </w:tc>
        <w:tc>
          <w:tcPr>
            <w:tcW w:w="5386" w:type="dxa"/>
            <w:tcBorders>
              <w:top w:val="single" w:sz="4" w:space="0" w:color="auto"/>
              <w:left w:val="single" w:sz="4" w:space="0" w:color="auto"/>
              <w:bottom w:val="single" w:sz="4" w:space="0" w:color="auto"/>
              <w:right w:val="single" w:sz="4" w:space="0" w:color="auto"/>
            </w:tcBorders>
          </w:tcPr>
          <w:p w14:paraId="74630B55" w14:textId="77777777" w:rsidR="00B957F4" w:rsidRPr="00A84A8D" w:rsidRDefault="00B957F4" w:rsidP="00796D2F">
            <w:pPr>
              <w:pStyle w:val="BodyLeft"/>
            </w:pPr>
            <w:r w:rsidRPr="00A84A8D">
              <w:t xml:space="preserve">Asset ID code using: </w:t>
            </w:r>
            <w:r w:rsidRPr="00A84A8D">
              <w:br/>
              <w:t xml:space="preserve">  - ISO 6166 code of ISIN</w:t>
            </w:r>
          </w:p>
          <w:p w14:paraId="16B6BBC9" w14:textId="77777777" w:rsidR="00B957F4" w:rsidRPr="00A84A8D" w:rsidRDefault="00B957F4" w:rsidP="00796D2F">
            <w:pPr>
              <w:pStyle w:val="BodyLeft"/>
            </w:pPr>
            <w:r w:rsidRPr="00A84A8D">
              <w:t>Only if ISIN code is not available:</w:t>
            </w:r>
            <w:r w:rsidRPr="00A84A8D">
              <w:br/>
              <w:t xml:space="preserve">  - Other recognised codes (e.g.: CUSIP, Bloomberg Ticker, Reuters RIC)</w:t>
            </w:r>
            <w:r w:rsidRPr="00A84A8D">
              <w:br/>
              <w:t xml:space="preserve">  - Code attributed, when other recognised codes are not available. This code must be unique and kept consistent over time.</w:t>
            </w:r>
          </w:p>
          <w:p w14:paraId="7B4EDAD1" w14:textId="77777777" w:rsidR="00B957F4" w:rsidRPr="00A84A8D" w:rsidRDefault="00B957F4" w:rsidP="00796D2F">
            <w:pPr>
              <w:pStyle w:val="BodyLeft"/>
            </w:pPr>
            <w:r w:rsidRPr="00A84A8D">
              <w:t xml:space="preserve">When the same Asset ID Code needs to be reported for one asset that is issued in 2 or more different currencies, it is necessary to </w:t>
            </w:r>
            <w:proofErr w:type="gramStart"/>
            <w:r w:rsidRPr="00A84A8D">
              <w:t>specify  the</w:t>
            </w:r>
            <w:proofErr w:type="gramEnd"/>
            <w:r w:rsidRPr="00A84A8D">
              <w:t xml:space="preserve"> Asset ID code and the ISO 4217 alphabetic code of the currency, as in the following example: “code + EUR”</w:t>
            </w:r>
          </w:p>
          <w:p w14:paraId="1B2D8B19" w14:textId="77777777" w:rsidR="00B957F4" w:rsidRPr="00A84A8D" w:rsidRDefault="00B957F4" w:rsidP="00796D2F">
            <w:pPr>
              <w:pStyle w:val="BodyLeft"/>
            </w:pPr>
            <w:r w:rsidRPr="00A84A8D">
              <w:t>The asset ID code should be aligned with the asset code used in C0010.</w:t>
            </w:r>
          </w:p>
        </w:tc>
      </w:tr>
      <w:tr w:rsidR="00B957F4" w:rsidRPr="00A84A8D" w14:paraId="591418A9"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0511F9E" w14:textId="77777777" w:rsidR="00B957F4" w:rsidRPr="00A84A8D" w:rsidRDefault="00B957F4" w:rsidP="00796D2F">
            <w:pPr>
              <w:rPr>
                <w:rFonts w:ascii="Verdana" w:hAnsi="Verdana"/>
              </w:rPr>
            </w:pPr>
            <w:r w:rsidRPr="00A84A8D">
              <w:rPr>
                <w:rFonts w:ascii="Verdana" w:hAnsi="Verdana"/>
              </w:rPr>
              <w:t>C0020</w:t>
            </w:r>
          </w:p>
          <w:p w14:paraId="1336BB1B"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35B4B1F5" w14:textId="77777777" w:rsidR="00B957F4" w:rsidRPr="00A84A8D" w:rsidRDefault="00B957F4" w:rsidP="00796D2F">
            <w:pPr>
              <w:pStyle w:val="BodyLeft"/>
            </w:pPr>
            <w:r w:rsidRPr="00A84A8D">
              <w:t>Asset ID Code Type</w:t>
            </w:r>
          </w:p>
        </w:tc>
        <w:tc>
          <w:tcPr>
            <w:tcW w:w="5386" w:type="dxa"/>
            <w:tcBorders>
              <w:top w:val="single" w:sz="4" w:space="0" w:color="auto"/>
              <w:left w:val="single" w:sz="4" w:space="0" w:color="auto"/>
              <w:bottom w:val="single" w:sz="4" w:space="0" w:color="auto"/>
              <w:right w:val="single" w:sz="4" w:space="0" w:color="auto"/>
            </w:tcBorders>
          </w:tcPr>
          <w:p w14:paraId="701BD1DA" w14:textId="77777777" w:rsidR="00B957F4" w:rsidRPr="00A84A8D" w:rsidRDefault="00B957F4" w:rsidP="00796D2F">
            <w:pPr>
              <w:pStyle w:val="BodyLeft"/>
            </w:pPr>
            <w:r w:rsidRPr="00A84A8D">
              <w:t>Type of ID Code used for the “Asset ID Code” item. One of the options in the following closed list shall be used:</w:t>
            </w:r>
          </w:p>
          <w:p w14:paraId="764E8DD4" w14:textId="77777777" w:rsidR="00B957F4" w:rsidRPr="00A84A8D" w:rsidRDefault="00B957F4" w:rsidP="00796D2F">
            <w:pPr>
              <w:pStyle w:val="BodyLeft"/>
            </w:pPr>
            <w:r w:rsidRPr="00A84A8D">
              <w:t>1 - ISO 6166 for ISIN code</w:t>
            </w:r>
          </w:p>
          <w:p w14:paraId="3EA4051D" w14:textId="77777777" w:rsidR="00B957F4" w:rsidRPr="00A84A8D" w:rsidRDefault="00B957F4" w:rsidP="00796D2F">
            <w:pPr>
              <w:pStyle w:val="BodyLeft"/>
            </w:pPr>
            <w:r w:rsidRPr="00A84A8D">
              <w:t>2 - CUSIP (The Committee on Uniform Securities Identification Procedures number assigned by the CUSIP Service Bureau for U.S. and Canadian companies)</w:t>
            </w:r>
          </w:p>
          <w:p w14:paraId="3564F032" w14:textId="77777777" w:rsidR="00B957F4" w:rsidRPr="00A84A8D" w:rsidRDefault="00B957F4" w:rsidP="00796D2F">
            <w:pPr>
              <w:pStyle w:val="BodyLeft"/>
            </w:pPr>
            <w:r w:rsidRPr="00A84A8D">
              <w:t>3 - SEDOL (Stock Exchange Daily Official List for the London Stock Exchange)</w:t>
            </w:r>
          </w:p>
          <w:p w14:paraId="7C5F6CA7" w14:textId="77777777" w:rsidR="00B957F4" w:rsidRPr="00A84A8D" w:rsidRDefault="00B957F4" w:rsidP="00796D2F">
            <w:pPr>
              <w:pStyle w:val="BodyLeft"/>
            </w:pPr>
            <w:r w:rsidRPr="00A84A8D">
              <w:t>4 - WKN (</w:t>
            </w:r>
            <w:proofErr w:type="spellStart"/>
            <w:r w:rsidRPr="00A84A8D">
              <w:t>Wertpapier</w:t>
            </w:r>
            <w:proofErr w:type="spellEnd"/>
            <w:r w:rsidRPr="00A84A8D">
              <w:t xml:space="preserve"> Kenn-</w:t>
            </w:r>
            <w:proofErr w:type="spellStart"/>
            <w:r w:rsidRPr="00A84A8D">
              <w:t>Nummer</w:t>
            </w:r>
            <w:proofErr w:type="spellEnd"/>
            <w:r w:rsidRPr="00A84A8D">
              <w:t>, the alphanumeric German identification number)</w:t>
            </w:r>
          </w:p>
          <w:p w14:paraId="73D82F3C" w14:textId="77777777" w:rsidR="00B957F4" w:rsidRPr="00A84A8D" w:rsidRDefault="00B957F4" w:rsidP="00796D2F">
            <w:pPr>
              <w:pStyle w:val="BodyLeft"/>
            </w:pPr>
            <w:r w:rsidRPr="00A84A8D">
              <w:lastRenderedPageBreak/>
              <w:t>5 - Bloomberg Ticker (Bloomberg letters code that identify a company's securities)</w:t>
            </w:r>
          </w:p>
          <w:p w14:paraId="479918A4" w14:textId="77777777" w:rsidR="00B957F4" w:rsidRPr="00A84A8D" w:rsidRDefault="00B957F4" w:rsidP="00796D2F">
            <w:pPr>
              <w:pStyle w:val="BodyLeft"/>
            </w:pPr>
            <w:r w:rsidRPr="00A84A8D">
              <w:t>6 - BBGID (The Bloomberg Global ID)</w:t>
            </w:r>
          </w:p>
          <w:p w14:paraId="5753318E" w14:textId="77777777" w:rsidR="00B957F4" w:rsidRPr="00A84A8D" w:rsidRDefault="00B957F4" w:rsidP="00796D2F">
            <w:pPr>
              <w:pStyle w:val="BodyLeft"/>
              <w:rPr>
                <w:lang w:val="de-DE"/>
              </w:rPr>
            </w:pPr>
            <w:r w:rsidRPr="00A84A8D">
              <w:rPr>
                <w:lang w:val="de-DE"/>
              </w:rPr>
              <w:t>7 - Reuters RIC (Reuters instrument code)+</w:t>
            </w:r>
          </w:p>
          <w:p w14:paraId="2DA0F698" w14:textId="77777777" w:rsidR="00B957F4" w:rsidRPr="00A84A8D" w:rsidRDefault="00B957F4" w:rsidP="00796D2F">
            <w:pPr>
              <w:pStyle w:val="BodyLeft"/>
              <w:rPr>
                <w:lang w:val="fr-BE"/>
              </w:rPr>
            </w:pPr>
            <w:r w:rsidRPr="00A84A8D">
              <w:rPr>
                <w:lang w:val="fr-BE"/>
              </w:rPr>
              <w:t>8 – FIGI (Financial Instrument Global Identifier)</w:t>
            </w:r>
          </w:p>
          <w:p w14:paraId="1320EF2D" w14:textId="77777777" w:rsidR="00B957F4" w:rsidRPr="00A84A8D" w:rsidRDefault="00B957F4" w:rsidP="00796D2F">
            <w:pPr>
              <w:pStyle w:val="BodyLeft"/>
            </w:pPr>
            <w:r w:rsidRPr="00A84A8D">
              <w:t xml:space="preserve">9 - Other code by members of the Association </w:t>
            </w:r>
            <w:proofErr w:type="gramStart"/>
            <w:r w:rsidRPr="00A84A8D">
              <w:t>of  National</w:t>
            </w:r>
            <w:proofErr w:type="gramEnd"/>
            <w:r w:rsidRPr="00A84A8D">
              <w:t xml:space="preserve"> Numbering Agencies</w:t>
            </w:r>
          </w:p>
          <w:p w14:paraId="71844F89" w14:textId="77777777" w:rsidR="00B957F4" w:rsidRPr="00A84A8D" w:rsidRDefault="00B957F4" w:rsidP="00796D2F">
            <w:pPr>
              <w:pStyle w:val="BodyLeft"/>
            </w:pPr>
            <w:r w:rsidRPr="00A84A8D">
              <w:t xml:space="preserve">99 - Code attributed </w:t>
            </w:r>
          </w:p>
          <w:p w14:paraId="7BEC31D4" w14:textId="77777777" w:rsidR="00B957F4" w:rsidRPr="00A84A8D" w:rsidRDefault="00B957F4" w:rsidP="00796D2F">
            <w:pPr>
              <w:pStyle w:val="BodyLeft"/>
            </w:pPr>
            <w:r w:rsidRPr="00A84A8D">
              <w:t xml:space="preserve">When the same Asset ID Code needs to be reported for one asset that is issued in 2 or more different currencies and the code in C0040 is defined by Asset ID code and the ISO 4217 alphabetic code of the currency, the Asset ID Code Type shall refer to option 9 and the option of the original Asset ID Code, as in the following example for which the code reported was ISIN </w:t>
            </w:r>
            <w:proofErr w:type="spellStart"/>
            <w:r w:rsidRPr="00A84A8D">
              <w:t>code+currency</w:t>
            </w:r>
            <w:proofErr w:type="spellEnd"/>
            <w:r w:rsidRPr="00A84A8D">
              <w:t>: “9/1”..</w:t>
            </w:r>
          </w:p>
          <w:p w14:paraId="2F4083FC" w14:textId="0EE797C1" w:rsidR="00B957F4" w:rsidRPr="00A84A8D" w:rsidRDefault="00B957F4" w:rsidP="00796D2F">
            <w:pPr>
              <w:pStyle w:val="BodyLeft"/>
            </w:pPr>
            <w:r w:rsidRPr="00A84A8D">
              <w:t>The asset ID code should be aligned with the asset code used in C0020</w:t>
            </w:r>
            <w:r w:rsidR="00BB094B" w:rsidRPr="00A84A8D">
              <w:t xml:space="preserve"> of the template ‘Information of positions held</w:t>
            </w:r>
            <w:r w:rsidRPr="00A84A8D">
              <w:t>.</w:t>
            </w:r>
          </w:p>
        </w:tc>
      </w:tr>
      <w:tr w:rsidR="00B957F4" w:rsidRPr="00A84A8D" w14:paraId="1CEB8056"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7302FB7C" w14:textId="77777777" w:rsidR="00B957F4" w:rsidRPr="00A84A8D" w:rsidRDefault="00B957F4" w:rsidP="00796D2F">
            <w:pPr>
              <w:rPr>
                <w:rFonts w:ascii="Verdana" w:hAnsi="Verdana"/>
              </w:rPr>
            </w:pPr>
            <w:r w:rsidRPr="00A84A8D">
              <w:rPr>
                <w:rFonts w:ascii="Verdana" w:hAnsi="Verdana"/>
              </w:rPr>
              <w:lastRenderedPageBreak/>
              <w:t>C0130</w:t>
            </w:r>
          </w:p>
          <w:p w14:paraId="5476BA0F"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69CCAE95" w14:textId="77777777" w:rsidR="00B957F4" w:rsidRPr="00A84A8D" w:rsidRDefault="00B957F4" w:rsidP="00796D2F">
            <w:pPr>
              <w:pStyle w:val="BodyLeft"/>
            </w:pPr>
            <w:r w:rsidRPr="00A84A8D">
              <w:t>Item Title</w:t>
            </w:r>
          </w:p>
        </w:tc>
        <w:tc>
          <w:tcPr>
            <w:tcW w:w="5386" w:type="dxa"/>
            <w:tcBorders>
              <w:top w:val="single" w:sz="4" w:space="0" w:color="auto"/>
              <w:left w:val="single" w:sz="4" w:space="0" w:color="auto"/>
              <w:bottom w:val="single" w:sz="4" w:space="0" w:color="auto"/>
              <w:right w:val="single" w:sz="4" w:space="0" w:color="auto"/>
            </w:tcBorders>
          </w:tcPr>
          <w:p w14:paraId="6C5281DD" w14:textId="65B587B3" w:rsidR="00B957F4" w:rsidRPr="00A84A8D" w:rsidRDefault="00B957F4" w:rsidP="00796D2F">
            <w:pPr>
              <w:rPr>
                <w:rFonts w:ascii="Verdana" w:hAnsi="Verdana"/>
              </w:rPr>
            </w:pPr>
            <w:r w:rsidRPr="00A84A8D">
              <w:rPr>
                <w:rFonts w:ascii="Verdana" w:hAnsi="Verdana"/>
              </w:rPr>
              <w:t xml:space="preserve">Name of the asset </w:t>
            </w:r>
          </w:p>
          <w:p w14:paraId="344CDF2A" w14:textId="77777777" w:rsidR="00B957F4" w:rsidRPr="00A84A8D" w:rsidRDefault="00B957F4" w:rsidP="00796D2F">
            <w:pPr>
              <w:rPr>
                <w:rFonts w:ascii="Verdana" w:hAnsi="Verdana"/>
              </w:rPr>
            </w:pPr>
            <w:r w:rsidRPr="00A84A8D">
              <w:rPr>
                <w:rFonts w:ascii="Verdana" w:hAnsi="Verdana"/>
              </w:rPr>
              <w:t>The following shall be considered:</w:t>
            </w:r>
          </w:p>
          <w:p w14:paraId="041A2D0C" w14:textId="0023CDE6" w:rsidR="00B957F4" w:rsidRPr="00A84A8D" w:rsidRDefault="00665980" w:rsidP="00796D2F">
            <w:pPr>
              <w:pStyle w:val="ListParagraph"/>
              <w:rPr>
                <w:szCs w:val="22"/>
              </w:rPr>
            </w:pPr>
            <w:r w:rsidRPr="00A84A8D">
              <w:rPr>
                <w:szCs w:val="22"/>
              </w:rPr>
              <w:t xml:space="preserve">Regarding CIC 87 and CIC 88, </w:t>
            </w:r>
            <w:r w:rsidR="00B957F4" w:rsidRPr="00A84A8D">
              <w:rPr>
                <w:szCs w:val="22"/>
              </w:rPr>
              <w:t xml:space="preserve">this item shall contain “Loans to AMSB members” </w:t>
            </w:r>
            <w:proofErr w:type="gramStart"/>
            <w:r w:rsidR="00B957F4" w:rsidRPr="00A84A8D">
              <w:rPr>
                <w:szCs w:val="22"/>
              </w:rPr>
              <w:t>i.e.</w:t>
            </w:r>
            <w:proofErr w:type="gramEnd"/>
            <w:r w:rsidR="00B957F4" w:rsidRPr="00A84A8D">
              <w:rPr>
                <w:szCs w:val="22"/>
              </w:rPr>
              <w:t xml:space="preserve"> loans to the Administrative, Management and Supervisory Body ("AMSB") or “Loans to other natural persons”, according to its nature, as those assets are not required to be individualised. Loans to other than natural persons shall be reported line–by–line. </w:t>
            </w:r>
          </w:p>
          <w:p w14:paraId="7B3ED037" w14:textId="789EAB4C" w:rsidR="00B957F4" w:rsidRPr="00A84A8D" w:rsidRDefault="00B957F4" w:rsidP="00796D2F">
            <w:pPr>
              <w:pStyle w:val="ListParagraph"/>
              <w:rPr>
                <w:szCs w:val="22"/>
              </w:rPr>
            </w:pPr>
            <w:r w:rsidRPr="00A84A8D">
              <w:rPr>
                <w:szCs w:val="22"/>
              </w:rPr>
              <w:t xml:space="preserve">This item is not applicable for CIC 95 – Plant and equipment (for own use) as those assets are not required to be individualised, CIC 71 and CIC 75 (unless required by the national supervisory authority). </w:t>
            </w:r>
          </w:p>
          <w:p w14:paraId="6C4B398B" w14:textId="7619DA89" w:rsidR="00B957F4" w:rsidRPr="00A84A8D" w:rsidRDefault="00B957F4" w:rsidP="00796D2F">
            <w:pPr>
              <w:pStyle w:val="BodyLeft"/>
            </w:pPr>
          </w:p>
        </w:tc>
      </w:tr>
      <w:tr w:rsidR="00B957F4" w:rsidRPr="00A84A8D" w14:paraId="1ECDE414"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1A71A05" w14:textId="77777777" w:rsidR="00B957F4" w:rsidRPr="00A84A8D" w:rsidRDefault="00B957F4" w:rsidP="00796D2F">
            <w:pPr>
              <w:rPr>
                <w:rFonts w:ascii="Verdana" w:hAnsi="Verdana"/>
              </w:rPr>
            </w:pPr>
            <w:r w:rsidRPr="00A84A8D">
              <w:rPr>
                <w:rFonts w:ascii="Verdana" w:hAnsi="Verdana"/>
              </w:rPr>
              <w:t>C0140</w:t>
            </w:r>
          </w:p>
          <w:p w14:paraId="529DDCD3"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0D2D6E89" w14:textId="77777777" w:rsidR="00B957F4" w:rsidRPr="00A84A8D" w:rsidRDefault="00B957F4" w:rsidP="00796D2F">
            <w:pPr>
              <w:pStyle w:val="BodyLeft"/>
            </w:pPr>
            <w:r w:rsidRPr="00A84A8D">
              <w:t>Issuer Name</w:t>
            </w:r>
          </w:p>
        </w:tc>
        <w:tc>
          <w:tcPr>
            <w:tcW w:w="5386" w:type="dxa"/>
            <w:tcBorders>
              <w:top w:val="single" w:sz="4" w:space="0" w:color="auto"/>
              <w:left w:val="single" w:sz="4" w:space="0" w:color="auto"/>
              <w:bottom w:val="single" w:sz="4" w:space="0" w:color="auto"/>
              <w:right w:val="single" w:sz="4" w:space="0" w:color="auto"/>
            </w:tcBorders>
          </w:tcPr>
          <w:p w14:paraId="22F6361E" w14:textId="77777777" w:rsidR="00B957F4" w:rsidRPr="00A84A8D" w:rsidRDefault="00B957F4" w:rsidP="00796D2F">
            <w:pPr>
              <w:pStyle w:val="BodyLeft"/>
            </w:pPr>
            <w:r w:rsidRPr="00A84A8D">
              <w:t xml:space="preserve">Name of the issuer, defined as the entity that issues assets to investors.  </w:t>
            </w:r>
          </w:p>
          <w:p w14:paraId="5A86E727" w14:textId="77777777" w:rsidR="00B957F4" w:rsidRPr="00A84A8D" w:rsidRDefault="00B957F4" w:rsidP="00796D2F">
            <w:pPr>
              <w:pStyle w:val="BodyLeft"/>
            </w:pPr>
            <w:r w:rsidRPr="00A84A8D">
              <w:lastRenderedPageBreak/>
              <w:t xml:space="preserve">When available, this item corresponds to the entity name in the LEI database. When this is not available corresponds to the legal name. </w:t>
            </w:r>
          </w:p>
          <w:p w14:paraId="045E9D3C" w14:textId="77777777" w:rsidR="00B957F4" w:rsidRPr="00A84A8D" w:rsidRDefault="00B957F4" w:rsidP="00796D2F">
            <w:pPr>
              <w:pStyle w:val="BodyLeft"/>
            </w:pPr>
            <w:r w:rsidRPr="00A84A8D">
              <w:t>Regarding Investment fund/shares/undertakings, the issuer name is the name of the fund manager.</w:t>
            </w:r>
          </w:p>
          <w:p w14:paraId="3CC2C703" w14:textId="77777777" w:rsidR="00B957F4" w:rsidRPr="00A84A8D" w:rsidRDefault="00B957F4" w:rsidP="00796D2F">
            <w:pPr>
              <w:pStyle w:val="BodyLeft"/>
            </w:pPr>
            <w:r w:rsidRPr="00A84A8D">
              <w:t>The following shall be considered:</w:t>
            </w:r>
          </w:p>
          <w:p w14:paraId="17598B1E" w14:textId="7D8F74B8" w:rsidR="00B957F4" w:rsidRPr="00A84A8D" w:rsidRDefault="00B957F4" w:rsidP="00796D2F">
            <w:pPr>
              <w:pStyle w:val="BodyLeft"/>
            </w:pPr>
            <w:r w:rsidRPr="00A84A8D">
              <w:t>-</w:t>
            </w:r>
            <w:r w:rsidRPr="00A84A8D">
              <w:tab/>
              <w:t xml:space="preserve">Regarding CIC category 4 – Collective Investments Undertakings, the issuer name is the name of the fund manager (entity). The authorised management company who can and is responsible for managing the fund is the one to be reported </w:t>
            </w:r>
            <w:proofErr w:type="gramStart"/>
            <w:r w:rsidRPr="00A84A8D">
              <w:t>regardless</w:t>
            </w:r>
            <w:proofErr w:type="gramEnd"/>
            <w:r w:rsidR="00665980" w:rsidRPr="00A84A8D">
              <w:t xml:space="preserve"> if</w:t>
            </w:r>
            <w:r w:rsidRPr="00A84A8D">
              <w:t xml:space="preserve"> some activities have been outsourced, including the actual management of the portfolio, i.e. the decision on buying/selling;</w:t>
            </w:r>
          </w:p>
          <w:p w14:paraId="613ACD3F" w14:textId="77777777" w:rsidR="00B957F4" w:rsidRPr="00A84A8D" w:rsidRDefault="00B957F4" w:rsidP="00796D2F">
            <w:pPr>
              <w:pStyle w:val="BodyLeft"/>
            </w:pPr>
            <w:r w:rsidRPr="00A84A8D">
              <w:t>-</w:t>
            </w:r>
            <w:r w:rsidRPr="00A84A8D">
              <w:tab/>
              <w:t xml:space="preserve">Regarding CIC category 7 – Cash and deposits (excluding CIC 71 and CIC 75), the issuer name is the name of the depositary </w:t>
            </w:r>
            <w:proofErr w:type="gramStart"/>
            <w:r w:rsidRPr="00A84A8D">
              <w:t>entity;</w:t>
            </w:r>
            <w:proofErr w:type="gramEnd"/>
          </w:p>
          <w:p w14:paraId="27E0D170" w14:textId="67B0CB4E" w:rsidR="00B957F4" w:rsidRPr="00A84A8D" w:rsidRDefault="00B957F4" w:rsidP="00796D2F">
            <w:pPr>
              <w:pStyle w:val="BodyLeft"/>
            </w:pPr>
            <w:r w:rsidRPr="00A84A8D">
              <w:t>-</w:t>
            </w:r>
            <w:r w:rsidRPr="00A84A8D">
              <w:tab/>
            </w:r>
            <w:r w:rsidR="00665980" w:rsidRPr="00A84A8D">
              <w:t xml:space="preserve">Regarding CIC 87 and CIC 88, </w:t>
            </w:r>
            <w:r w:rsidRPr="00A84A8D">
              <w:t xml:space="preserve">this item shall contain “Loans to AMSB members” or “Loans to other natural persons”, according to its nature, as those assets are not required to be </w:t>
            </w:r>
            <w:proofErr w:type="gramStart"/>
            <w:r w:rsidRPr="00A84A8D">
              <w:t>individualised;</w:t>
            </w:r>
            <w:proofErr w:type="gramEnd"/>
          </w:p>
          <w:p w14:paraId="76CF9093" w14:textId="7B2A0821" w:rsidR="00B957F4" w:rsidRPr="00A84A8D" w:rsidRDefault="00B957F4" w:rsidP="00796D2F">
            <w:pPr>
              <w:pStyle w:val="BodyLeft"/>
            </w:pPr>
            <w:r w:rsidRPr="00A84A8D">
              <w:t>-</w:t>
            </w:r>
            <w:r w:rsidRPr="00A84A8D">
              <w:tab/>
              <w:t>Regarding CIC 8 – Mortgages and Loans, other than</w:t>
            </w:r>
            <w:r w:rsidR="002D2301" w:rsidRPr="00A84A8D">
              <w:t xml:space="preserve"> </w:t>
            </w:r>
            <w:r w:rsidR="00665980" w:rsidRPr="00A84A8D">
              <w:t xml:space="preserve">CIC 87 and CIC </w:t>
            </w:r>
            <w:proofErr w:type="gramStart"/>
            <w:r w:rsidR="00665980" w:rsidRPr="00A84A8D">
              <w:t>88</w:t>
            </w:r>
            <w:r w:rsidRPr="00A84A8D">
              <w:t xml:space="preserve">  the</w:t>
            </w:r>
            <w:proofErr w:type="gramEnd"/>
            <w:r w:rsidRPr="00A84A8D">
              <w:t xml:space="preserve"> information shall relate to the borrower;</w:t>
            </w:r>
          </w:p>
          <w:p w14:paraId="13EA3DE8" w14:textId="77777777" w:rsidR="00B957F4" w:rsidRPr="00A84A8D" w:rsidRDefault="00B957F4" w:rsidP="00796D2F">
            <w:pPr>
              <w:pStyle w:val="BodyLeft"/>
            </w:pPr>
            <w:r w:rsidRPr="00A84A8D">
              <w:t>-</w:t>
            </w:r>
            <w:r w:rsidRPr="00A84A8D">
              <w:tab/>
              <w:t xml:space="preserve">This item is not applicable for CIC 71, CIC 75 and CIC category 9 – Property. </w:t>
            </w:r>
          </w:p>
          <w:p w14:paraId="1C55B357" w14:textId="77777777" w:rsidR="00B957F4" w:rsidRPr="00A84A8D" w:rsidRDefault="00B957F4" w:rsidP="00796D2F">
            <w:pPr>
              <w:pStyle w:val="BodyLeft"/>
            </w:pPr>
          </w:p>
        </w:tc>
      </w:tr>
      <w:tr w:rsidR="00B957F4" w:rsidRPr="00A84A8D" w14:paraId="57C531B1"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5BB39414" w14:textId="77777777" w:rsidR="00B957F4" w:rsidRPr="00A84A8D" w:rsidRDefault="00B957F4" w:rsidP="00796D2F">
            <w:pPr>
              <w:rPr>
                <w:rFonts w:ascii="Verdana" w:hAnsi="Verdana"/>
              </w:rPr>
            </w:pPr>
            <w:r w:rsidRPr="00A84A8D">
              <w:rPr>
                <w:rFonts w:ascii="Verdana" w:hAnsi="Verdana"/>
              </w:rPr>
              <w:lastRenderedPageBreak/>
              <w:t>C0150</w:t>
            </w:r>
          </w:p>
          <w:p w14:paraId="1344A1AE"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4AFB3E97" w14:textId="77777777" w:rsidR="00B957F4" w:rsidRPr="00A84A8D" w:rsidRDefault="00B957F4" w:rsidP="00796D2F">
            <w:pPr>
              <w:pStyle w:val="BodyLeft"/>
            </w:pPr>
            <w:r w:rsidRPr="00A84A8D">
              <w:t>Issuer Code</w:t>
            </w:r>
          </w:p>
        </w:tc>
        <w:tc>
          <w:tcPr>
            <w:tcW w:w="5386" w:type="dxa"/>
            <w:tcBorders>
              <w:top w:val="single" w:sz="4" w:space="0" w:color="auto"/>
              <w:left w:val="single" w:sz="4" w:space="0" w:color="auto"/>
              <w:bottom w:val="single" w:sz="4" w:space="0" w:color="auto"/>
              <w:right w:val="single" w:sz="4" w:space="0" w:color="auto"/>
            </w:tcBorders>
          </w:tcPr>
          <w:p w14:paraId="239D1168" w14:textId="1686DF4A" w:rsidR="00B957F4" w:rsidRPr="00A84A8D" w:rsidRDefault="00B957F4" w:rsidP="00796D2F">
            <w:pPr>
              <w:pStyle w:val="BodyLeft"/>
            </w:pPr>
            <w:r w:rsidRPr="00A84A8D">
              <w:t>Issuer code using the LEI. If LEI code is not available this item shall not be reported.</w:t>
            </w:r>
          </w:p>
          <w:p w14:paraId="5BB1817F" w14:textId="77777777" w:rsidR="00B957F4" w:rsidRPr="00A84A8D" w:rsidRDefault="00B957F4" w:rsidP="00796D2F">
            <w:pPr>
              <w:pStyle w:val="BodyLeft"/>
            </w:pPr>
          </w:p>
          <w:p w14:paraId="43C1C040" w14:textId="77777777" w:rsidR="00B957F4" w:rsidRPr="00A84A8D" w:rsidRDefault="00B957F4" w:rsidP="00796D2F">
            <w:pPr>
              <w:rPr>
                <w:rFonts w:ascii="Verdana" w:hAnsi="Verdana"/>
              </w:rPr>
            </w:pPr>
            <w:r w:rsidRPr="00A84A8D">
              <w:rPr>
                <w:rFonts w:ascii="Verdana" w:hAnsi="Verdana"/>
              </w:rPr>
              <w:t>The following shall be considered:</w:t>
            </w:r>
          </w:p>
          <w:p w14:paraId="7AF92C4A" w14:textId="4FCCFEB9" w:rsidR="00B957F4" w:rsidRPr="00A84A8D" w:rsidRDefault="00B957F4" w:rsidP="00796D2F">
            <w:pPr>
              <w:rPr>
                <w:rFonts w:ascii="Verdana" w:hAnsi="Verdana"/>
              </w:rPr>
            </w:pPr>
            <w:r w:rsidRPr="00A84A8D">
              <w:rPr>
                <w:rFonts w:ascii="Verdana" w:hAnsi="Verdana"/>
              </w:rPr>
              <w:t xml:space="preserve">Regarding CIC category 4 – Collective Investments Undertakings, the issuer code is the code of the fund manager (entity). The authorised management company who can and is responsible for managing the fund is the one to be reported </w:t>
            </w:r>
            <w:proofErr w:type="gramStart"/>
            <w:r w:rsidRPr="00A84A8D">
              <w:rPr>
                <w:rFonts w:ascii="Verdana" w:hAnsi="Verdana"/>
              </w:rPr>
              <w:t>regardless</w:t>
            </w:r>
            <w:proofErr w:type="gramEnd"/>
            <w:r w:rsidRPr="00A84A8D">
              <w:rPr>
                <w:rFonts w:ascii="Verdana" w:hAnsi="Verdana"/>
              </w:rPr>
              <w:t xml:space="preserve"> </w:t>
            </w:r>
            <w:r w:rsidR="003A5679" w:rsidRPr="00A84A8D">
              <w:rPr>
                <w:rFonts w:ascii="Verdana" w:hAnsi="Verdana"/>
              </w:rPr>
              <w:t xml:space="preserve">if </w:t>
            </w:r>
            <w:r w:rsidRPr="00A84A8D">
              <w:rPr>
                <w:rFonts w:ascii="Verdana" w:hAnsi="Verdana"/>
              </w:rPr>
              <w:t xml:space="preserve">some activities have been outsourced, including the </w:t>
            </w:r>
            <w:r w:rsidRPr="00A84A8D">
              <w:rPr>
                <w:rFonts w:ascii="Verdana" w:hAnsi="Verdana"/>
              </w:rPr>
              <w:lastRenderedPageBreak/>
              <w:t>actual management of the portfolio, i.e. the decision on buying/selling;</w:t>
            </w:r>
          </w:p>
          <w:p w14:paraId="4425194E" w14:textId="77777777" w:rsidR="00B957F4" w:rsidRPr="00A84A8D" w:rsidRDefault="00B957F4" w:rsidP="00796D2F">
            <w:pPr>
              <w:rPr>
                <w:rFonts w:ascii="Verdana" w:hAnsi="Verdana"/>
              </w:rPr>
            </w:pPr>
            <w:r w:rsidRPr="00A84A8D">
              <w:rPr>
                <w:rFonts w:ascii="Verdana" w:hAnsi="Verdana"/>
              </w:rPr>
              <w:t>Regarding CIC category 7 – Cash and deposits (excluding CIC 71 and CIC 75), the issuer code is the code of the depositary entity</w:t>
            </w:r>
          </w:p>
          <w:p w14:paraId="5E489A14" w14:textId="12347E3D" w:rsidR="00B957F4" w:rsidRPr="00A84A8D" w:rsidRDefault="00B957F4" w:rsidP="00796D2F">
            <w:pPr>
              <w:rPr>
                <w:rFonts w:ascii="Verdana" w:hAnsi="Verdana"/>
              </w:rPr>
            </w:pPr>
            <w:r w:rsidRPr="00A84A8D">
              <w:rPr>
                <w:rFonts w:ascii="Verdana" w:hAnsi="Verdana"/>
              </w:rPr>
              <w:t xml:space="preserve">Regarding CIC 8 – Mortgages and Loans, other than </w:t>
            </w:r>
            <w:r w:rsidR="003A5679" w:rsidRPr="00A84A8D">
              <w:rPr>
                <w:rFonts w:ascii="Verdana" w:hAnsi="Verdana"/>
              </w:rPr>
              <w:t xml:space="preserve">CIC 87 and CIC 88 </w:t>
            </w:r>
            <w:r w:rsidRPr="00A84A8D">
              <w:rPr>
                <w:rFonts w:ascii="Verdana" w:hAnsi="Verdana"/>
              </w:rPr>
              <w:t xml:space="preserve">the information shall relate to the </w:t>
            </w:r>
            <w:proofErr w:type="gramStart"/>
            <w:r w:rsidRPr="00A84A8D">
              <w:rPr>
                <w:rFonts w:ascii="Verdana" w:hAnsi="Verdana"/>
              </w:rPr>
              <w:t>borrower;</w:t>
            </w:r>
            <w:proofErr w:type="gramEnd"/>
          </w:p>
          <w:p w14:paraId="224BDBD1" w14:textId="7495DD83" w:rsidR="00B957F4" w:rsidRPr="00A84A8D" w:rsidRDefault="00B957F4" w:rsidP="00796D2F">
            <w:pPr>
              <w:rPr>
                <w:rFonts w:ascii="Verdana" w:hAnsi="Verdana"/>
              </w:rPr>
            </w:pPr>
            <w:r w:rsidRPr="00A84A8D">
              <w:rPr>
                <w:rFonts w:ascii="Verdana" w:hAnsi="Verdana"/>
              </w:rPr>
              <w:t>This item is not applicable for CIC 71, CIC 75</w:t>
            </w:r>
            <w:r w:rsidR="003A5679" w:rsidRPr="00A84A8D">
              <w:rPr>
                <w:rFonts w:ascii="Verdana" w:hAnsi="Verdana"/>
              </w:rPr>
              <w:t xml:space="preserve"> </w:t>
            </w:r>
            <w:r w:rsidRPr="00A84A8D">
              <w:rPr>
                <w:rFonts w:ascii="Verdana" w:hAnsi="Verdana"/>
              </w:rPr>
              <w:t xml:space="preserve">and CIC category 9 – </w:t>
            </w:r>
            <w:proofErr w:type="gramStart"/>
            <w:r w:rsidRPr="00A84A8D">
              <w:rPr>
                <w:rFonts w:ascii="Verdana" w:hAnsi="Verdana"/>
              </w:rPr>
              <w:t>Property;</w:t>
            </w:r>
            <w:proofErr w:type="gramEnd"/>
            <w:r w:rsidRPr="00A84A8D">
              <w:rPr>
                <w:rFonts w:ascii="Verdana" w:hAnsi="Verdana"/>
              </w:rPr>
              <w:t xml:space="preserve"> </w:t>
            </w:r>
          </w:p>
          <w:p w14:paraId="533C9FA4" w14:textId="40888D60" w:rsidR="00B957F4" w:rsidRPr="00A84A8D" w:rsidRDefault="00B957F4" w:rsidP="00796D2F">
            <w:pPr>
              <w:pStyle w:val="BodyLeft"/>
            </w:pPr>
            <w:r w:rsidRPr="00A84A8D">
              <w:t xml:space="preserve">This item is not applicable to </w:t>
            </w:r>
            <w:r w:rsidR="003A5679" w:rsidRPr="00A84A8D">
              <w:t>CIC 87 and CIC 88.</w:t>
            </w:r>
          </w:p>
        </w:tc>
      </w:tr>
      <w:tr w:rsidR="00B957F4" w:rsidRPr="00A84A8D" w14:paraId="37981501"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43102858" w14:textId="77777777" w:rsidR="00B957F4" w:rsidRPr="00A84A8D" w:rsidRDefault="00B957F4" w:rsidP="00796D2F">
            <w:pPr>
              <w:rPr>
                <w:rFonts w:ascii="Verdana" w:hAnsi="Verdana"/>
              </w:rPr>
            </w:pPr>
            <w:r w:rsidRPr="00A84A8D">
              <w:rPr>
                <w:rFonts w:ascii="Verdana" w:hAnsi="Verdana"/>
              </w:rPr>
              <w:lastRenderedPageBreak/>
              <w:t>C0160</w:t>
            </w:r>
          </w:p>
          <w:p w14:paraId="5DE89806"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3F1D1923" w14:textId="77777777" w:rsidR="00B957F4" w:rsidRPr="00A84A8D" w:rsidRDefault="00B957F4" w:rsidP="00796D2F">
            <w:pPr>
              <w:pStyle w:val="BodyLeft"/>
            </w:pPr>
            <w:r w:rsidRPr="00A84A8D">
              <w:t>Type of issuer code</w:t>
            </w:r>
          </w:p>
        </w:tc>
        <w:tc>
          <w:tcPr>
            <w:tcW w:w="5386" w:type="dxa"/>
            <w:tcBorders>
              <w:top w:val="single" w:sz="4" w:space="0" w:color="auto"/>
              <w:left w:val="single" w:sz="4" w:space="0" w:color="auto"/>
              <w:bottom w:val="single" w:sz="4" w:space="0" w:color="auto"/>
              <w:right w:val="single" w:sz="4" w:space="0" w:color="auto"/>
            </w:tcBorders>
          </w:tcPr>
          <w:p w14:paraId="5A5A3053" w14:textId="77777777" w:rsidR="00B957F4" w:rsidRPr="00A84A8D" w:rsidRDefault="00B957F4" w:rsidP="00796D2F">
            <w:pPr>
              <w:pStyle w:val="BodyLeft"/>
            </w:pPr>
            <w:r w:rsidRPr="00A84A8D">
              <w:t>Identification of the type of code used for the “Issuer Code” item. One of the options in the following closed list shall be used:</w:t>
            </w:r>
          </w:p>
          <w:p w14:paraId="50FCCD79" w14:textId="77777777" w:rsidR="00B957F4" w:rsidRPr="00A84A8D" w:rsidRDefault="00B957F4" w:rsidP="00796D2F">
            <w:pPr>
              <w:pStyle w:val="BodyLeft"/>
            </w:pPr>
            <w:r w:rsidRPr="00A84A8D">
              <w:t>1 – LEI</w:t>
            </w:r>
          </w:p>
          <w:p w14:paraId="0D637553" w14:textId="77777777" w:rsidR="00B957F4" w:rsidRPr="00A84A8D" w:rsidRDefault="00B957F4" w:rsidP="00796D2F">
            <w:pPr>
              <w:pStyle w:val="BodyLeft"/>
            </w:pPr>
            <w:r w:rsidRPr="00A84A8D">
              <w:t>9 – None</w:t>
            </w:r>
          </w:p>
          <w:p w14:paraId="3B98A6E0" w14:textId="51A47471" w:rsidR="00B957F4" w:rsidRPr="00A84A8D" w:rsidRDefault="00B957F4" w:rsidP="00796D2F">
            <w:pPr>
              <w:pStyle w:val="BodyLeft"/>
            </w:pPr>
            <w:r w:rsidRPr="00A84A8D">
              <w:t xml:space="preserve">This item is not applicable to </w:t>
            </w:r>
            <w:r w:rsidR="003A5679" w:rsidRPr="00A84A8D">
              <w:t>CIC 87 and CIC 88</w:t>
            </w:r>
          </w:p>
          <w:p w14:paraId="6A46C247" w14:textId="77777777" w:rsidR="00B957F4" w:rsidRPr="00A84A8D" w:rsidRDefault="00B957F4" w:rsidP="00796D2F">
            <w:pPr>
              <w:pStyle w:val="BodyLeft"/>
            </w:pPr>
            <w:r w:rsidRPr="00A84A8D">
              <w:t>This item is not applicable for CIC 71, CIC 75 and CIC category 9 – Property.</w:t>
            </w:r>
          </w:p>
        </w:tc>
      </w:tr>
      <w:tr w:rsidR="00B957F4" w:rsidRPr="00A84A8D" w14:paraId="6B0CE1B6"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606AA0D3" w14:textId="77777777" w:rsidR="00B957F4" w:rsidRPr="00A84A8D" w:rsidRDefault="00B957F4" w:rsidP="00796D2F">
            <w:pPr>
              <w:rPr>
                <w:rFonts w:ascii="Verdana" w:hAnsi="Verdana"/>
              </w:rPr>
            </w:pPr>
            <w:r w:rsidRPr="00A84A8D">
              <w:rPr>
                <w:rFonts w:ascii="Verdana" w:hAnsi="Verdana"/>
              </w:rPr>
              <w:t>C0170</w:t>
            </w:r>
          </w:p>
          <w:p w14:paraId="75A8BA35"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64FC713F" w14:textId="77777777" w:rsidR="00B957F4" w:rsidRPr="00A84A8D" w:rsidRDefault="00B957F4" w:rsidP="00796D2F">
            <w:pPr>
              <w:pStyle w:val="BodyLeft"/>
            </w:pPr>
            <w:r w:rsidRPr="00A84A8D">
              <w:t>Issuer Sector</w:t>
            </w:r>
          </w:p>
        </w:tc>
        <w:tc>
          <w:tcPr>
            <w:tcW w:w="5386" w:type="dxa"/>
            <w:tcBorders>
              <w:top w:val="single" w:sz="4" w:space="0" w:color="auto"/>
              <w:left w:val="single" w:sz="4" w:space="0" w:color="auto"/>
              <w:bottom w:val="single" w:sz="4" w:space="0" w:color="auto"/>
              <w:right w:val="single" w:sz="4" w:space="0" w:color="auto"/>
            </w:tcBorders>
          </w:tcPr>
          <w:p w14:paraId="4391709A" w14:textId="568EE809" w:rsidR="00B957F4" w:rsidRPr="00A84A8D" w:rsidRDefault="00B957F4" w:rsidP="00796D2F">
            <w:pPr>
              <w:pStyle w:val="BodyLeft"/>
            </w:pPr>
            <w:r w:rsidRPr="00A84A8D">
              <w:t xml:space="preserve">Economic sector of issuer based on the latest version of NACE code (as published in EC Regulation). For NACE sections A to N full four-digit reporting of the NACE codes is required, </w:t>
            </w:r>
            <w:proofErr w:type="gramStart"/>
            <w:r w:rsidRPr="00A84A8D">
              <w:t>i.e.</w:t>
            </w:r>
            <w:proofErr w:type="gramEnd"/>
            <w:r w:rsidRPr="00A84A8D">
              <w:t xml:space="preserve"> the letter identifying the Section followed by the 4 digits code for the class shall be used (e.g. ‘K6411’). For the remaining sections the letter reference of the NACE code identifying the Section shall be used as a minimum for identifying sectors (</w:t>
            </w:r>
            <w:proofErr w:type="gramStart"/>
            <w:r w:rsidRPr="00A84A8D">
              <w:t>e.g.</w:t>
            </w:r>
            <w:proofErr w:type="gramEnd"/>
            <w:r w:rsidRPr="00A84A8D">
              <w:t xml:space="preserve"> ‘</w:t>
            </w:r>
            <w:r w:rsidR="00FE3247" w:rsidRPr="00A84A8D">
              <w:t>P</w:t>
            </w:r>
            <w:r w:rsidRPr="00A84A8D">
              <w:t>’ or ‘</w:t>
            </w:r>
            <w:r w:rsidR="00FE3247" w:rsidRPr="00A84A8D">
              <w:t>P</w:t>
            </w:r>
            <w:r w:rsidRPr="00A84A8D">
              <w:t xml:space="preserve">0111’ would be acceptable). </w:t>
            </w:r>
          </w:p>
          <w:p w14:paraId="3D99A14E" w14:textId="77777777" w:rsidR="00B957F4" w:rsidRPr="00A84A8D" w:rsidRDefault="00B957F4" w:rsidP="00796D2F">
            <w:pPr>
              <w:pStyle w:val="BodyLeft"/>
            </w:pPr>
          </w:p>
          <w:p w14:paraId="49CE139D" w14:textId="77777777" w:rsidR="00B957F4" w:rsidRPr="00A84A8D" w:rsidRDefault="00B957F4" w:rsidP="00796D2F">
            <w:pPr>
              <w:rPr>
                <w:rFonts w:ascii="Verdana" w:hAnsi="Verdana"/>
              </w:rPr>
            </w:pPr>
            <w:r w:rsidRPr="00A84A8D">
              <w:rPr>
                <w:rFonts w:ascii="Verdana" w:hAnsi="Verdana"/>
              </w:rPr>
              <w:t>The following shall be considered:</w:t>
            </w:r>
          </w:p>
          <w:p w14:paraId="01D3458E" w14:textId="77777777" w:rsidR="00B957F4" w:rsidRPr="00A84A8D" w:rsidRDefault="00B957F4" w:rsidP="00796D2F">
            <w:pPr>
              <w:rPr>
                <w:rFonts w:ascii="Verdana" w:hAnsi="Verdana"/>
              </w:rPr>
            </w:pPr>
            <w:r w:rsidRPr="00A84A8D">
              <w:rPr>
                <w:rFonts w:ascii="Verdana" w:hAnsi="Verdana"/>
              </w:rPr>
              <w:t xml:space="preserve">Regarding CIC category 4 – Collective Investments Undertakings, the issuer sector is the sector of the fund </w:t>
            </w:r>
            <w:proofErr w:type="gramStart"/>
            <w:r w:rsidRPr="00A84A8D">
              <w:rPr>
                <w:rFonts w:ascii="Verdana" w:hAnsi="Verdana"/>
              </w:rPr>
              <w:t>manager;</w:t>
            </w:r>
            <w:proofErr w:type="gramEnd"/>
          </w:p>
          <w:p w14:paraId="2120120F" w14:textId="77777777" w:rsidR="00B957F4" w:rsidRPr="00A84A8D" w:rsidRDefault="00B957F4" w:rsidP="00796D2F">
            <w:pPr>
              <w:rPr>
                <w:rFonts w:ascii="Verdana" w:hAnsi="Verdana"/>
              </w:rPr>
            </w:pPr>
            <w:r w:rsidRPr="00A84A8D">
              <w:rPr>
                <w:rFonts w:ascii="Verdana" w:hAnsi="Verdana"/>
              </w:rPr>
              <w:t>Regarding CIC category 7 – Cash and deposits (excluding CIC 71 and CIC 75), the issuer sector is the sector of the depositary entity</w:t>
            </w:r>
          </w:p>
          <w:p w14:paraId="66618923" w14:textId="4368848D" w:rsidR="00B957F4" w:rsidRPr="00A84A8D" w:rsidRDefault="00B957F4" w:rsidP="00796D2F">
            <w:pPr>
              <w:rPr>
                <w:rFonts w:ascii="Verdana" w:hAnsi="Verdana"/>
              </w:rPr>
            </w:pPr>
            <w:r w:rsidRPr="00A84A8D">
              <w:rPr>
                <w:rFonts w:ascii="Verdana" w:hAnsi="Verdana"/>
              </w:rPr>
              <w:lastRenderedPageBreak/>
              <w:t xml:space="preserve">Regarding CIC category 8 – Mortgages and Loans, other than </w:t>
            </w:r>
            <w:r w:rsidR="004142F7" w:rsidRPr="00A84A8D">
              <w:rPr>
                <w:rFonts w:ascii="Verdana" w:hAnsi="Verdana"/>
              </w:rPr>
              <w:t>87 and 88</w:t>
            </w:r>
            <w:r w:rsidRPr="00A84A8D">
              <w:rPr>
                <w:rFonts w:ascii="Verdana" w:hAnsi="Verdana"/>
              </w:rPr>
              <w:t xml:space="preserve"> the information shall relate to the </w:t>
            </w:r>
            <w:proofErr w:type="gramStart"/>
            <w:r w:rsidRPr="00A84A8D">
              <w:rPr>
                <w:rFonts w:ascii="Verdana" w:hAnsi="Verdana"/>
              </w:rPr>
              <w:t>borrower;</w:t>
            </w:r>
            <w:proofErr w:type="gramEnd"/>
          </w:p>
          <w:p w14:paraId="46D703B1" w14:textId="1BB1E28D" w:rsidR="00B957F4" w:rsidRPr="00A84A8D" w:rsidRDefault="00B957F4" w:rsidP="00796D2F">
            <w:pPr>
              <w:rPr>
                <w:rFonts w:ascii="Verdana" w:hAnsi="Verdana"/>
              </w:rPr>
            </w:pPr>
            <w:r w:rsidRPr="00A84A8D">
              <w:rPr>
                <w:rFonts w:ascii="Verdana" w:hAnsi="Verdana"/>
              </w:rPr>
              <w:t xml:space="preserve">This item is not applicable for CIC 71, CIC 75, CIC 09 and CIC category 9 – </w:t>
            </w:r>
            <w:proofErr w:type="gramStart"/>
            <w:r w:rsidRPr="00A84A8D">
              <w:rPr>
                <w:rFonts w:ascii="Verdana" w:hAnsi="Verdana"/>
              </w:rPr>
              <w:t>Property;</w:t>
            </w:r>
            <w:proofErr w:type="gramEnd"/>
            <w:r w:rsidRPr="00A84A8D">
              <w:rPr>
                <w:rFonts w:ascii="Verdana" w:hAnsi="Verdana"/>
              </w:rPr>
              <w:t xml:space="preserve"> </w:t>
            </w:r>
          </w:p>
          <w:p w14:paraId="1E0AA4A5" w14:textId="77777777" w:rsidR="00B957F4" w:rsidRPr="00A84A8D" w:rsidRDefault="00B957F4" w:rsidP="00796D2F">
            <w:pPr>
              <w:pStyle w:val="BodyLeft"/>
            </w:pPr>
            <w:r w:rsidRPr="00A84A8D">
              <w:t>This item is not applicable to CIC category 8 – Mortgages and Loans, when relating to mortgage and loans to natural persons.</w:t>
            </w:r>
          </w:p>
          <w:p w14:paraId="41B5806E" w14:textId="7ED06170" w:rsidR="001B1719" w:rsidRPr="00A84A8D" w:rsidRDefault="001B1719" w:rsidP="00796D2F">
            <w:pPr>
              <w:pStyle w:val="BodyLeft"/>
            </w:pPr>
          </w:p>
        </w:tc>
      </w:tr>
      <w:tr w:rsidR="00B957F4" w:rsidRPr="00A84A8D" w14:paraId="50A5D5E0"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683BF694" w14:textId="77777777" w:rsidR="00B957F4" w:rsidRPr="00A84A8D" w:rsidRDefault="00B957F4" w:rsidP="00796D2F">
            <w:pPr>
              <w:rPr>
                <w:rFonts w:ascii="Verdana" w:hAnsi="Verdana"/>
              </w:rPr>
            </w:pPr>
            <w:r w:rsidRPr="00A84A8D">
              <w:rPr>
                <w:rFonts w:ascii="Verdana" w:hAnsi="Verdana"/>
              </w:rPr>
              <w:lastRenderedPageBreak/>
              <w:t>C0180</w:t>
            </w:r>
          </w:p>
          <w:p w14:paraId="5F6F8885"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54D540B7" w14:textId="77777777" w:rsidR="00B957F4" w:rsidRPr="00A84A8D" w:rsidRDefault="00B957F4" w:rsidP="00796D2F">
            <w:pPr>
              <w:pStyle w:val="BodyLeft"/>
            </w:pPr>
            <w:r w:rsidRPr="00A84A8D">
              <w:t>Issuer Group</w:t>
            </w:r>
          </w:p>
        </w:tc>
        <w:tc>
          <w:tcPr>
            <w:tcW w:w="5386" w:type="dxa"/>
            <w:tcBorders>
              <w:top w:val="single" w:sz="4" w:space="0" w:color="auto"/>
              <w:left w:val="single" w:sz="4" w:space="0" w:color="auto"/>
              <w:bottom w:val="single" w:sz="4" w:space="0" w:color="auto"/>
              <w:right w:val="single" w:sz="4" w:space="0" w:color="auto"/>
            </w:tcBorders>
          </w:tcPr>
          <w:p w14:paraId="142083A0" w14:textId="10E6FF04" w:rsidR="00B957F4" w:rsidRPr="00A84A8D" w:rsidRDefault="00B957F4" w:rsidP="00796D2F">
            <w:pPr>
              <w:pStyle w:val="BodyLeft"/>
            </w:pPr>
            <w:r w:rsidRPr="00A84A8D">
              <w:t xml:space="preserve">Name of issuer’s ultimate parent entity. For collective investment undertakings the ultimate parent of the fund manager (entity) should be reported. </w:t>
            </w:r>
          </w:p>
          <w:p w14:paraId="3E664E1E" w14:textId="77777777" w:rsidR="00B957F4" w:rsidRPr="00A84A8D" w:rsidRDefault="00B957F4" w:rsidP="00796D2F">
            <w:pPr>
              <w:pStyle w:val="BodyLeft"/>
            </w:pPr>
            <w:r w:rsidRPr="00A84A8D">
              <w:t xml:space="preserve">The ultimate parent is defined as the controlling enterprise of a group. </w:t>
            </w:r>
          </w:p>
          <w:p w14:paraId="75CFA931" w14:textId="77777777" w:rsidR="00B957F4" w:rsidRPr="00A84A8D" w:rsidRDefault="00B957F4" w:rsidP="00796D2F">
            <w:pPr>
              <w:pStyle w:val="BodyLeft"/>
            </w:pPr>
            <w:r w:rsidRPr="00A84A8D">
              <w:t xml:space="preserve">Where a controlling enterprise and one or several controlled enterprises are combined under the common management of the controlling enterprise, they form a group; the individual enterprises are group member companies. Where a control agreement is in place between enterprises, or where one enterprise has been integrated into another, the enterprises are to be regarded as enterprises combined under common management. The assumption is that a controlled enterprise forms a group with the controlling enterprise. </w:t>
            </w:r>
          </w:p>
          <w:p w14:paraId="3A9AA3E7" w14:textId="77777777" w:rsidR="00B957F4" w:rsidRPr="00A84A8D" w:rsidRDefault="00B957F4" w:rsidP="00796D2F">
            <w:pPr>
              <w:pStyle w:val="BodyLeft"/>
            </w:pPr>
            <w:r w:rsidRPr="00A84A8D">
              <w:t>Where legally independent enterprises are combined under common management without one enterprise being controlled by the other, they likewise form a group of enterprises; the individual enterprises are group member companies.</w:t>
            </w:r>
          </w:p>
          <w:p w14:paraId="598EAC5C" w14:textId="04F355C9" w:rsidR="00B957F4" w:rsidRPr="00A84A8D" w:rsidRDefault="00B957F4" w:rsidP="00796D2F">
            <w:pPr>
              <w:pStyle w:val="BodyLeft"/>
            </w:pPr>
            <w:r w:rsidRPr="00A84A8D">
              <w:t xml:space="preserve">The ultimate parent should be understood at least as ultimate consolidation entity, defined as the </w:t>
            </w:r>
            <w:proofErr w:type="gramStart"/>
            <w:r w:rsidRPr="00A84A8D">
              <w:t>highest level</w:t>
            </w:r>
            <w:proofErr w:type="gramEnd"/>
            <w:r w:rsidRPr="00A84A8D">
              <w:t xml:space="preserve"> legal entity preparing consolidated financial statements (including the expectation of the national supervisory authority in this area). </w:t>
            </w:r>
          </w:p>
          <w:p w14:paraId="51771E49" w14:textId="77777777" w:rsidR="00B957F4" w:rsidRPr="00A84A8D" w:rsidRDefault="00B957F4" w:rsidP="00796D2F">
            <w:pPr>
              <w:pStyle w:val="BodyLeft"/>
            </w:pPr>
            <w:r w:rsidRPr="00A84A8D">
              <w:t>When available, this item corresponds to the entity name in the LEI database. When this is not available corresponds to the legal name.</w:t>
            </w:r>
          </w:p>
          <w:p w14:paraId="61D1C0B1" w14:textId="77777777" w:rsidR="00B957F4" w:rsidRPr="00A84A8D" w:rsidRDefault="00B957F4" w:rsidP="00796D2F">
            <w:pPr>
              <w:rPr>
                <w:rFonts w:ascii="Verdana" w:hAnsi="Verdana"/>
              </w:rPr>
            </w:pPr>
            <w:r w:rsidRPr="00A84A8D">
              <w:rPr>
                <w:rFonts w:ascii="Verdana" w:hAnsi="Verdana"/>
              </w:rPr>
              <w:t>The following shall be considered:</w:t>
            </w:r>
          </w:p>
          <w:p w14:paraId="46DA2EE7" w14:textId="08D1E631" w:rsidR="00B957F4" w:rsidRPr="00A84A8D" w:rsidRDefault="00B957F4" w:rsidP="00796D2F">
            <w:pPr>
              <w:rPr>
                <w:rFonts w:ascii="Verdana" w:hAnsi="Verdana"/>
              </w:rPr>
            </w:pPr>
            <w:r w:rsidRPr="00A84A8D">
              <w:rPr>
                <w:rFonts w:ascii="Verdana" w:hAnsi="Verdana"/>
              </w:rPr>
              <w:lastRenderedPageBreak/>
              <w:t xml:space="preserve">Regarding CIC category 4 – Collective Investments Undertakings, the ultimate parent of the fund manager (entity) should be </w:t>
            </w:r>
            <w:proofErr w:type="gramStart"/>
            <w:r w:rsidRPr="00A84A8D">
              <w:rPr>
                <w:rFonts w:ascii="Verdana" w:hAnsi="Verdana"/>
              </w:rPr>
              <w:t>reported;</w:t>
            </w:r>
            <w:proofErr w:type="gramEnd"/>
          </w:p>
          <w:p w14:paraId="3B461D46" w14:textId="77777777" w:rsidR="00B957F4" w:rsidRPr="00A84A8D" w:rsidRDefault="00B957F4" w:rsidP="00796D2F">
            <w:pPr>
              <w:rPr>
                <w:rFonts w:ascii="Verdana" w:hAnsi="Verdana"/>
              </w:rPr>
            </w:pPr>
            <w:r w:rsidRPr="00A84A8D">
              <w:rPr>
                <w:rFonts w:ascii="Verdana" w:hAnsi="Verdana"/>
              </w:rPr>
              <w:t>Regarding CIC category 7 – Cash and deposits (excluding CIC 71 and CIC 75), the group relation relates to the depositary entity</w:t>
            </w:r>
          </w:p>
          <w:p w14:paraId="0BDDD99B" w14:textId="699CDEF4" w:rsidR="00B957F4" w:rsidRPr="00A84A8D" w:rsidRDefault="00B957F4" w:rsidP="00796D2F">
            <w:pPr>
              <w:rPr>
                <w:rFonts w:ascii="Verdana" w:hAnsi="Verdana"/>
              </w:rPr>
            </w:pPr>
            <w:bookmarkStart w:id="26" w:name="_Hlk122594520"/>
            <w:r w:rsidRPr="00A84A8D">
              <w:rPr>
                <w:rFonts w:ascii="Verdana" w:hAnsi="Verdana"/>
              </w:rPr>
              <w:t xml:space="preserve">Regarding CIC 8 – Mortgages and Loans, other than </w:t>
            </w:r>
            <w:r w:rsidR="00B46FAE" w:rsidRPr="00A84A8D">
              <w:rPr>
                <w:rFonts w:ascii="Verdana" w:hAnsi="Verdana"/>
              </w:rPr>
              <w:t xml:space="preserve">CIC 87 and CIC 88 </w:t>
            </w:r>
            <w:bookmarkEnd w:id="26"/>
            <w:r w:rsidRPr="00A84A8D">
              <w:rPr>
                <w:rFonts w:ascii="Verdana" w:hAnsi="Verdana"/>
              </w:rPr>
              <w:t xml:space="preserve">the group relation relates to the </w:t>
            </w:r>
            <w:proofErr w:type="gramStart"/>
            <w:r w:rsidRPr="00A84A8D">
              <w:rPr>
                <w:rFonts w:ascii="Verdana" w:hAnsi="Verdana"/>
              </w:rPr>
              <w:t>borrower;</w:t>
            </w:r>
            <w:proofErr w:type="gramEnd"/>
          </w:p>
          <w:p w14:paraId="58F1B43F" w14:textId="325773E8" w:rsidR="00B957F4" w:rsidRPr="00A84A8D" w:rsidRDefault="00B957F4" w:rsidP="00796D2F">
            <w:pPr>
              <w:rPr>
                <w:rFonts w:ascii="Verdana" w:hAnsi="Verdana"/>
              </w:rPr>
            </w:pPr>
            <w:r w:rsidRPr="00A84A8D">
              <w:rPr>
                <w:rFonts w:ascii="Verdana" w:hAnsi="Verdana"/>
              </w:rPr>
              <w:t xml:space="preserve">This item is not applicable for </w:t>
            </w:r>
            <w:r w:rsidR="00B46FAE" w:rsidRPr="00A84A8D">
              <w:rPr>
                <w:rFonts w:ascii="Verdana" w:hAnsi="Verdana"/>
              </w:rPr>
              <w:t>CIC 87 and CIC 88</w:t>
            </w:r>
          </w:p>
          <w:p w14:paraId="4B9CC3C8" w14:textId="77777777" w:rsidR="00B957F4" w:rsidRPr="00A84A8D" w:rsidRDefault="00B957F4" w:rsidP="00796D2F">
            <w:pPr>
              <w:rPr>
                <w:rFonts w:ascii="Verdana" w:hAnsi="Verdana"/>
              </w:rPr>
            </w:pPr>
            <w:r w:rsidRPr="00A84A8D">
              <w:rPr>
                <w:rFonts w:ascii="Verdana" w:hAnsi="Verdana"/>
              </w:rPr>
              <w:t xml:space="preserve">This item is not applicable for CIC 71, CIC 75, CIC 09 and CIC category 9 – Property. </w:t>
            </w:r>
          </w:p>
          <w:p w14:paraId="580FA2E7" w14:textId="77777777" w:rsidR="00B957F4" w:rsidRPr="00A84A8D" w:rsidRDefault="00B957F4" w:rsidP="00796D2F">
            <w:pPr>
              <w:rPr>
                <w:rFonts w:ascii="Verdana" w:hAnsi="Verdana"/>
              </w:rPr>
            </w:pPr>
            <w:r w:rsidRPr="00A84A8D">
              <w:rPr>
                <w:rFonts w:ascii="Verdana" w:hAnsi="Verdana"/>
              </w:rPr>
              <w:t>This item is not applicable for bonds issued by:</w:t>
            </w:r>
          </w:p>
          <w:p w14:paraId="6AE94A30" w14:textId="77777777" w:rsidR="00B957F4" w:rsidRPr="00A84A8D" w:rsidRDefault="00B957F4" w:rsidP="00796D2F">
            <w:pPr>
              <w:rPr>
                <w:rFonts w:ascii="Verdana" w:hAnsi="Verdana"/>
              </w:rPr>
            </w:pPr>
            <w:r w:rsidRPr="00A84A8D">
              <w:rPr>
                <w:rFonts w:ascii="Verdana" w:hAnsi="Verdana"/>
              </w:rPr>
              <w:t>– a central government</w:t>
            </w:r>
          </w:p>
          <w:p w14:paraId="12CFFE37" w14:textId="77777777" w:rsidR="00B957F4" w:rsidRPr="00A84A8D" w:rsidRDefault="00B957F4" w:rsidP="00796D2F">
            <w:pPr>
              <w:rPr>
                <w:rFonts w:ascii="Verdana" w:hAnsi="Verdana"/>
              </w:rPr>
            </w:pPr>
            <w:r w:rsidRPr="00A84A8D">
              <w:rPr>
                <w:rFonts w:ascii="Verdana" w:hAnsi="Verdana"/>
              </w:rPr>
              <w:t>– a local government,</w:t>
            </w:r>
          </w:p>
          <w:p w14:paraId="50583150" w14:textId="77777777" w:rsidR="00B957F4" w:rsidRPr="00A84A8D" w:rsidRDefault="00B957F4" w:rsidP="00796D2F">
            <w:pPr>
              <w:rPr>
                <w:rFonts w:ascii="Verdana" w:hAnsi="Verdana"/>
              </w:rPr>
            </w:pPr>
            <w:r w:rsidRPr="00A84A8D">
              <w:rPr>
                <w:rFonts w:ascii="Verdana" w:hAnsi="Verdana"/>
              </w:rPr>
              <w:t>– a government agency,</w:t>
            </w:r>
          </w:p>
          <w:p w14:paraId="62689FC7" w14:textId="77777777" w:rsidR="00B957F4" w:rsidRPr="00A84A8D" w:rsidRDefault="00B957F4" w:rsidP="00796D2F">
            <w:pPr>
              <w:rPr>
                <w:rFonts w:ascii="Verdana" w:hAnsi="Verdana"/>
              </w:rPr>
            </w:pPr>
            <w:r w:rsidRPr="00A84A8D">
              <w:rPr>
                <w:rFonts w:ascii="Verdana" w:hAnsi="Verdana"/>
              </w:rPr>
              <w:t>– a central bank,</w:t>
            </w:r>
          </w:p>
          <w:p w14:paraId="62C68DB3" w14:textId="77777777" w:rsidR="00B957F4" w:rsidRPr="00A84A8D" w:rsidRDefault="00B957F4" w:rsidP="00796D2F">
            <w:pPr>
              <w:rPr>
                <w:rFonts w:ascii="Verdana" w:hAnsi="Verdana"/>
              </w:rPr>
            </w:pPr>
            <w:r w:rsidRPr="00A84A8D">
              <w:rPr>
                <w:rFonts w:ascii="Verdana" w:hAnsi="Verdana"/>
              </w:rPr>
              <w:t>– the group/entity itself,</w:t>
            </w:r>
          </w:p>
          <w:p w14:paraId="76370841" w14:textId="77777777" w:rsidR="00B957F4" w:rsidRPr="00A84A8D" w:rsidRDefault="00B957F4" w:rsidP="00796D2F">
            <w:pPr>
              <w:rPr>
                <w:rFonts w:ascii="Verdana" w:hAnsi="Verdana"/>
              </w:rPr>
            </w:pPr>
            <w:r w:rsidRPr="00A84A8D">
              <w:rPr>
                <w:rFonts w:ascii="Verdana" w:hAnsi="Verdana"/>
              </w:rPr>
              <w:t xml:space="preserve">– a supranational organisation (as long as no </w:t>
            </w:r>
          </w:p>
          <w:p w14:paraId="3844ABF6" w14:textId="77777777" w:rsidR="00B957F4" w:rsidRPr="00A84A8D" w:rsidRDefault="00B957F4" w:rsidP="00796D2F">
            <w:pPr>
              <w:rPr>
                <w:rFonts w:ascii="Verdana" w:hAnsi="Verdana"/>
              </w:rPr>
            </w:pPr>
            <w:r w:rsidRPr="00A84A8D">
              <w:rPr>
                <w:rFonts w:ascii="Verdana" w:hAnsi="Verdana"/>
              </w:rPr>
              <w:t>issuer group exists).</w:t>
            </w:r>
          </w:p>
          <w:p w14:paraId="3D85CA11" w14:textId="77777777" w:rsidR="00B957F4" w:rsidRPr="00A84A8D" w:rsidRDefault="00B957F4" w:rsidP="00796D2F">
            <w:pPr>
              <w:pStyle w:val="BodyLeft"/>
              <w:rPr>
                <w:lang w:val="de-DE"/>
              </w:rPr>
            </w:pPr>
          </w:p>
        </w:tc>
      </w:tr>
      <w:tr w:rsidR="00B957F4" w:rsidRPr="00A84A8D" w14:paraId="508672E6"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050ADB34" w14:textId="77777777" w:rsidR="00B957F4" w:rsidRPr="00A84A8D" w:rsidRDefault="00B957F4" w:rsidP="00796D2F">
            <w:pPr>
              <w:rPr>
                <w:rFonts w:ascii="Verdana" w:hAnsi="Verdana"/>
              </w:rPr>
            </w:pPr>
            <w:r w:rsidRPr="00A84A8D">
              <w:rPr>
                <w:rFonts w:ascii="Verdana" w:hAnsi="Verdana"/>
              </w:rPr>
              <w:lastRenderedPageBreak/>
              <w:t>C0190</w:t>
            </w:r>
          </w:p>
          <w:p w14:paraId="0C8811CA"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5B1F3930" w14:textId="77777777" w:rsidR="00B957F4" w:rsidRPr="00A84A8D" w:rsidRDefault="00B957F4" w:rsidP="00796D2F">
            <w:pPr>
              <w:pStyle w:val="BodyLeft"/>
            </w:pPr>
            <w:r w:rsidRPr="00A84A8D">
              <w:t>Issuer Group Code</w:t>
            </w:r>
          </w:p>
        </w:tc>
        <w:tc>
          <w:tcPr>
            <w:tcW w:w="5386" w:type="dxa"/>
            <w:tcBorders>
              <w:top w:val="single" w:sz="4" w:space="0" w:color="auto"/>
              <w:left w:val="single" w:sz="4" w:space="0" w:color="auto"/>
              <w:bottom w:val="single" w:sz="4" w:space="0" w:color="auto"/>
              <w:right w:val="single" w:sz="4" w:space="0" w:color="auto"/>
            </w:tcBorders>
          </w:tcPr>
          <w:p w14:paraId="57E1D93A" w14:textId="77777777" w:rsidR="00B957F4" w:rsidRPr="00A84A8D" w:rsidRDefault="00B957F4" w:rsidP="00796D2F">
            <w:pPr>
              <w:pStyle w:val="BodyLeft"/>
            </w:pPr>
            <w:r w:rsidRPr="00A84A8D">
              <w:t>Issuer group’s identification using the Legal Entity Identifier (LEI).</w:t>
            </w:r>
            <w:r w:rsidRPr="00A84A8D">
              <w:br/>
              <w:t>If LEI code is not available, this item shall not be reported.</w:t>
            </w:r>
          </w:p>
          <w:p w14:paraId="0E576A67" w14:textId="77777777" w:rsidR="00B957F4" w:rsidRPr="00A84A8D" w:rsidRDefault="00B957F4" w:rsidP="00796D2F">
            <w:pPr>
              <w:pStyle w:val="BodyLeft"/>
            </w:pPr>
          </w:p>
          <w:p w14:paraId="4A99AD36" w14:textId="77777777" w:rsidR="00B957F4" w:rsidRPr="00A84A8D" w:rsidRDefault="00B957F4" w:rsidP="00796D2F">
            <w:pPr>
              <w:rPr>
                <w:rFonts w:ascii="Verdana" w:hAnsi="Verdana"/>
              </w:rPr>
            </w:pPr>
            <w:r w:rsidRPr="00A84A8D">
              <w:rPr>
                <w:rFonts w:ascii="Verdana" w:hAnsi="Verdana"/>
              </w:rPr>
              <w:t>The following shall be considered:</w:t>
            </w:r>
          </w:p>
          <w:p w14:paraId="0496C883" w14:textId="60064C64" w:rsidR="00B957F4" w:rsidRPr="00A84A8D" w:rsidRDefault="00B957F4" w:rsidP="00796D2F">
            <w:pPr>
              <w:rPr>
                <w:rFonts w:ascii="Verdana" w:hAnsi="Verdana"/>
              </w:rPr>
            </w:pPr>
            <w:r w:rsidRPr="00A84A8D">
              <w:rPr>
                <w:rFonts w:ascii="Verdana" w:hAnsi="Verdana"/>
              </w:rPr>
              <w:t xml:space="preserve">Regarding CIC category 4 – Collective Investments Undertakings, the ultimate parent of the fund manager (entity) should be </w:t>
            </w:r>
            <w:proofErr w:type="gramStart"/>
            <w:r w:rsidRPr="00A84A8D">
              <w:rPr>
                <w:rFonts w:ascii="Verdana" w:hAnsi="Verdana"/>
              </w:rPr>
              <w:t>reported;</w:t>
            </w:r>
            <w:proofErr w:type="gramEnd"/>
          </w:p>
          <w:p w14:paraId="2796FF8A" w14:textId="77777777" w:rsidR="00B957F4" w:rsidRPr="00A84A8D" w:rsidRDefault="00B957F4" w:rsidP="00796D2F">
            <w:pPr>
              <w:rPr>
                <w:rFonts w:ascii="Verdana" w:hAnsi="Verdana"/>
              </w:rPr>
            </w:pPr>
            <w:r w:rsidRPr="00A84A8D">
              <w:rPr>
                <w:rFonts w:ascii="Verdana" w:hAnsi="Verdana"/>
              </w:rPr>
              <w:lastRenderedPageBreak/>
              <w:t>Regarding CIC category 7 – Cash and deposits (excluding CIC 71 and CIC 75), the group relation relates to the depositary entity</w:t>
            </w:r>
          </w:p>
          <w:p w14:paraId="66D62294" w14:textId="6CAD929C" w:rsidR="00B957F4" w:rsidRPr="00A84A8D" w:rsidRDefault="00B957F4" w:rsidP="00796D2F">
            <w:pPr>
              <w:rPr>
                <w:rFonts w:ascii="Verdana" w:hAnsi="Verdana"/>
              </w:rPr>
            </w:pPr>
            <w:r w:rsidRPr="00A84A8D">
              <w:rPr>
                <w:rFonts w:ascii="Verdana" w:hAnsi="Verdana"/>
              </w:rPr>
              <w:t xml:space="preserve">Regarding CIC 8 – Mortgages and Loans, other than </w:t>
            </w:r>
            <w:r w:rsidR="00B46FAE" w:rsidRPr="00A84A8D">
              <w:rPr>
                <w:rFonts w:ascii="Verdana" w:hAnsi="Verdana"/>
              </w:rPr>
              <w:t xml:space="preserve">CIC 87 and CIC </w:t>
            </w:r>
            <w:proofErr w:type="gramStart"/>
            <w:r w:rsidR="00B46FAE" w:rsidRPr="00A84A8D">
              <w:rPr>
                <w:rFonts w:ascii="Verdana" w:hAnsi="Verdana"/>
              </w:rPr>
              <w:t xml:space="preserve">88 </w:t>
            </w:r>
            <w:r w:rsidRPr="00A84A8D">
              <w:rPr>
                <w:rFonts w:ascii="Verdana" w:hAnsi="Verdana"/>
              </w:rPr>
              <w:t xml:space="preserve"> the</w:t>
            </w:r>
            <w:proofErr w:type="gramEnd"/>
            <w:r w:rsidRPr="00A84A8D">
              <w:rPr>
                <w:rFonts w:ascii="Verdana" w:hAnsi="Verdana"/>
              </w:rPr>
              <w:t xml:space="preserve"> group relation relates to the borrower;</w:t>
            </w:r>
          </w:p>
          <w:p w14:paraId="3FF9729D" w14:textId="59DE554B" w:rsidR="00B957F4" w:rsidRPr="00A84A8D" w:rsidRDefault="00B957F4" w:rsidP="00796D2F">
            <w:pPr>
              <w:rPr>
                <w:rFonts w:ascii="Verdana" w:hAnsi="Verdana"/>
              </w:rPr>
            </w:pPr>
            <w:r w:rsidRPr="00A84A8D">
              <w:rPr>
                <w:rFonts w:ascii="Verdana" w:hAnsi="Verdana"/>
              </w:rPr>
              <w:t xml:space="preserve">This item is not applicable for </w:t>
            </w:r>
            <w:r w:rsidR="00B46FAE" w:rsidRPr="00A84A8D">
              <w:rPr>
                <w:rFonts w:ascii="Verdana" w:hAnsi="Verdana"/>
              </w:rPr>
              <w:t>CIC 87 and CIC 88</w:t>
            </w:r>
            <w:r w:rsidRPr="00A84A8D">
              <w:rPr>
                <w:rFonts w:ascii="Verdana" w:hAnsi="Verdana"/>
              </w:rPr>
              <w:t>)</w:t>
            </w:r>
          </w:p>
          <w:p w14:paraId="5FAECB9F" w14:textId="77777777" w:rsidR="00B957F4" w:rsidRPr="00A84A8D" w:rsidRDefault="00B957F4" w:rsidP="00796D2F">
            <w:pPr>
              <w:pStyle w:val="BodyLeft"/>
            </w:pPr>
            <w:r w:rsidRPr="00A84A8D">
              <w:t>This item is not applicable for CIC 71, CIC 75, CIC 09 and CIC category 9 – Property.</w:t>
            </w:r>
          </w:p>
          <w:p w14:paraId="4FC683C1" w14:textId="77777777" w:rsidR="00B957F4" w:rsidRPr="00A84A8D" w:rsidRDefault="00B957F4" w:rsidP="00796D2F">
            <w:pPr>
              <w:rPr>
                <w:rFonts w:ascii="Verdana" w:hAnsi="Verdana"/>
              </w:rPr>
            </w:pPr>
          </w:p>
          <w:p w14:paraId="0DB959A9" w14:textId="77777777" w:rsidR="00B957F4" w:rsidRPr="00A84A8D" w:rsidRDefault="00B957F4" w:rsidP="00796D2F">
            <w:pPr>
              <w:rPr>
                <w:rFonts w:ascii="Verdana" w:hAnsi="Verdana"/>
              </w:rPr>
            </w:pPr>
            <w:r w:rsidRPr="00A84A8D">
              <w:rPr>
                <w:rFonts w:ascii="Verdana" w:hAnsi="Verdana"/>
              </w:rPr>
              <w:t>This item is not applicable for bonds issued by:</w:t>
            </w:r>
          </w:p>
          <w:p w14:paraId="1AB15401" w14:textId="77777777" w:rsidR="00B957F4" w:rsidRPr="00A84A8D" w:rsidRDefault="00B957F4" w:rsidP="00796D2F">
            <w:pPr>
              <w:rPr>
                <w:rFonts w:ascii="Verdana" w:hAnsi="Verdana"/>
              </w:rPr>
            </w:pPr>
            <w:r w:rsidRPr="00A84A8D">
              <w:rPr>
                <w:rFonts w:ascii="Verdana" w:hAnsi="Verdana"/>
              </w:rPr>
              <w:t>– a central government</w:t>
            </w:r>
          </w:p>
          <w:p w14:paraId="1FF07944" w14:textId="77777777" w:rsidR="00B957F4" w:rsidRPr="00A84A8D" w:rsidRDefault="00B957F4" w:rsidP="00796D2F">
            <w:pPr>
              <w:rPr>
                <w:rFonts w:ascii="Verdana" w:hAnsi="Verdana"/>
              </w:rPr>
            </w:pPr>
            <w:r w:rsidRPr="00A84A8D">
              <w:rPr>
                <w:rFonts w:ascii="Verdana" w:hAnsi="Verdana"/>
              </w:rPr>
              <w:t>– a local government,</w:t>
            </w:r>
          </w:p>
          <w:p w14:paraId="6768E371" w14:textId="77777777" w:rsidR="00B957F4" w:rsidRPr="00A84A8D" w:rsidRDefault="00B957F4" w:rsidP="00796D2F">
            <w:pPr>
              <w:rPr>
                <w:rFonts w:ascii="Verdana" w:hAnsi="Verdana"/>
              </w:rPr>
            </w:pPr>
            <w:r w:rsidRPr="00A84A8D">
              <w:rPr>
                <w:rFonts w:ascii="Verdana" w:hAnsi="Verdana"/>
              </w:rPr>
              <w:t>– a government agency,</w:t>
            </w:r>
          </w:p>
          <w:p w14:paraId="3DEA59AA" w14:textId="77777777" w:rsidR="00B957F4" w:rsidRPr="00A84A8D" w:rsidRDefault="00B957F4" w:rsidP="00796D2F">
            <w:pPr>
              <w:rPr>
                <w:rFonts w:ascii="Verdana" w:hAnsi="Verdana"/>
              </w:rPr>
            </w:pPr>
            <w:r w:rsidRPr="00A84A8D">
              <w:rPr>
                <w:rFonts w:ascii="Verdana" w:hAnsi="Verdana"/>
              </w:rPr>
              <w:t>– a central bank,</w:t>
            </w:r>
          </w:p>
          <w:p w14:paraId="627EB303" w14:textId="77777777" w:rsidR="00B957F4" w:rsidRPr="00A84A8D" w:rsidRDefault="00B957F4" w:rsidP="00796D2F">
            <w:pPr>
              <w:rPr>
                <w:rFonts w:ascii="Verdana" w:hAnsi="Verdana"/>
              </w:rPr>
            </w:pPr>
            <w:r w:rsidRPr="00A84A8D">
              <w:rPr>
                <w:rFonts w:ascii="Verdana" w:hAnsi="Verdana"/>
              </w:rPr>
              <w:t>– the group/entity itself,</w:t>
            </w:r>
          </w:p>
          <w:p w14:paraId="31A65547" w14:textId="77777777" w:rsidR="00B957F4" w:rsidRPr="00A84A8D" w:rsidRDefault="00B957F4" w:rsidP="00796D2F">
            <w:pPr>
              <w:rPr>
                <w:rFonts w:ascii="Verdana" w:hAnsi="Verdana"/>
              </w:rPr>
            </w:pPr>
            <w:r w:rsidRPr="00A84A8D">
              <w:rPr>
                <w:rFonts w:ascii="Verdana" w:hAnsi="Verdana"/>
              </w:rPr>
              <w:t xml:space="preserve">– a supranational organisation (as long as no </w:t>
            </w:r>
          </w:p>
          <w:p w14:paraId="552260CE" w14:textId="77777777" w:rsidR="00B957F4" w:rsidRPr="00A84A8D" w:rsidRDefault="00B957F4" w:rsidP="00796D2F">
            <w:pPr>
              <w:rPr>
                <w:rFonts w:ascii="Verdana" w:hAnsi="Verdana"/>
              </w:rPr>
            </w:pPr>
            <w:r w:rsidRPr="00A84A8D">
              <w:rPr>
                <w:rFonts w:ascii="Verdana" w:hAnsi="Verdana"/>
              </w:rPr>
              <w:t>issuer group exists).</w:t>
            </w:r>
          </w:p>
          <w:p w14:paraId="22E89AC6" w14:textId="77777777" w:rsidR="00B957F4" w:rsidRPr="00A84A8D" w:rsidRDefault="00B957F4" w:rsidP="00796D2F">
            <w:pPr>
              <w:pStyle w:val="BodyLeft"/>
            </w:pPr>
          </w:p>
        </w:tc>
      </w:tr>
      <w:tr w:rsidR="00B957F4" w:rsidRPr="00A84A8D" w14:paraId="5690F675"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50F2BAA5" w14:textId="77777777" w:rsidR="00B957F4" w:rsidRPr="00A84A8D" w:rsidRDefault="00B957F4" w:rsidP="00796D2F">
            <w:pPr>
              <w:rPr>
                <w:rFonts w:ascii="Verdana" w:hAnsi="Verdana"/>
              </w:rPr>
            </w:pPr>
            <w:r w:rsidRPr="00A84A8D">
              <w:rPr>
                <w:rFonts w:ascii="Verdana" w:hAnsi="Verdana"/>
              </w:rPr>
              <w:lastRenderedPageBreak/>
              <w:t>C0200</w:t>
            </w:r>
          </w:p>
          <w:p w14:paraId="0AEF24A9"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35E1D45" w14:textId="77777777" w:rsidR="00B957F4" w:rsidRPr="00A84A8D" w:rsidRDefault="00B957F4" w:rsidP="00796D2F">
            <w:pPr>
              <w:pStyle w:val="BodyLeft"/>
            </w:pPr>
            <w:r w:rsidRPr="00A84A8D">
              <w:t>Type of issuer group code</w:t>
            </w:r>
          </w:p>
        </w:tc>
        <w:tc>
          <w:tcPr>
            <w:tcW w:w="5386" w:type="dxa"/>
            <w:tcBorders>
              <w:top w:val="single" w:sz="4" w:space="0" w:color="auto"/>
              <w:left w:val="single" w:sz="4" w:space="0" w:color="auto"/>
              <w:bottom w:val="single" w:sz="4" w:space="0" w:color="auto"/>
              <w:right w:val="single" w:sz="4" w:space="0" w:color="auto"/>
            </w:tcBorders>
          </w:tcPr>
          <w:p w14:paraId="1C95AA8C" w14:textId="77777777" w:rsidR="00B957F4" w:rsidRPr="00A84A8D" w:rsidRDefault="00B957F4" w:rsidP="00796D2F">
            <w:pPr>
              <w:pStyle w:val="BodyLeft"/>
            </w:pPr>
            <w:r w:rsidRPr="00A84A8D">
              <w:t>Code used for the “Issuer Group Code” item:</w:t>
            </w:r>
            <w:r w:rsidRPr="00A84A8D">
              <w:br/>
              <w:t xml:space="preserve">1 - LEI </w:t>
            </w:r>
          </w:p>
          <w:p w14:paraId="34BC8577" w14:textId="77777777" w:rsidR="00B957F4" w:rsidRPr="00A84A8D" w:rsidRDefault="00B957F4" w:rsidP="00796D2F">
            <w:pPr>
              <w:pStyle w:val="BodyLeft"/>
            </w:pPr>
            <w:r w:rsidRPr="00A84A8D">
              <w:t>9 – None</w:t>
            </w:r>
          </w:p>
          <w:p w14:paraId="5472E390" w14:textId="2849961C" w:rsidR="00B957F4" w:rsidRPr="00A84A8D" w:rsidRDefault="00B957F4" w:rsidP="00796D2F">
            <w:pPr>
              <w:pStyle w:val="BodyLeft"/>
            </w:pPr>
          </w:p>
        </w:tc>
      </w:tr>
      <w:tr w:rsidR="00B957F4" w:rsidRPr="00A84A8D" w14:paraId="2D5F4E46"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24BDCF8" w14:textId="77777777" w:rsidR="00B957F4" w:rsidRPr="00A84A8D" w:rsidRDefault="00B957F4" w:rsidP="00796D2F">
            <w:pPr>
              <w:rPr>
                <w:rFonts w:ascii="Verdana" w:hAnsi="Verdana"/>
              </w:rPr>
            </w:pPr>
            <w:r w:rsidRPr="00A84A8D">
              <w:rPr>
                <w:rFonts w:ascii="Verdana" w:hAnsi="Verdana"/>
              </w:rPr>
              <w:t>C0210</w:t>
            </w:r>
          </w:p>
          <w:p w14:paraId="0368D03E"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67098C33" w14:textId="77777777" w:rsidR="00B957F4" w:rsidRPr="00A84A8D" w:rsidRDefault="00B957F4" w:rsidP="00796D2F">
            <w:pPr>
              <w:pStyle w:val="BodyLeft"/>
            </w:pPr>
            <w:r w:rsidRPr="00A84A8D">
              <w:t>Issuer Country</w:t>
            </w:r>
          </w:p>
        </w:tc>
        <w:tc>
          <w:tcPr>
            <w:tcW w:w="5386" w:type="dxa"/>
            <w:tcBorders>
              <w:top w:val="single" w:sz="4" w:space="0" w:color="auto"/>
              <w:left w:val="single" w:sz="4" w:space="0" w:color="auto"/>
              <w:bottom w:val="single" w:sz="4" w:space="0" w:color="auto"/>
              <w:right w:val="single" w:sz="4" w:space="0" w:color="auto"/>
            </w:tcBorders>
          </w:tcPr>
          <w:p w14:paraId="74546AC6" w14:textId="77777777" w:rsidR="00B957F4" w:rsidRPr="00A84A8D" w:rsidRDefault="00B957F4" w:rsidP="00796D2F">
            <w:pPr>
              <w:pStyle w:val="BodyLeft"/>
            </w:pPr>
            <w:r w:rsidRPr="00A84A8D">
              <w:t xml:space="preserve">ISO 3166-1 alpha-2 code of the country of localisation of the issuer. </w:t>
            </w:r>
          </w:p>
          <w:p w14:paraId="65911D7F" w14:textId="77777777" w:rsidR="00B957F4" w:rsidRPr="00A84A8D" w:rsidRDefault="00B957F4" w:rsidP="00796D2F">
            <w:pPr>
              <w:pStyle w:val="BodyLeft"/>
            </w:pPr>
            <w:r w:rsidRPr="00A84A8D">
              <w:t>The localisation of the issuer is assessed by the address of the entity issuing the asset.</w:t>
            </w:r>
          </w:p>
          <w:p w14:paraId="0B257CD0" w14:textId="77777777" w:rsidR="00B957F4" w:rsidRPr="00A84A8D" w:rsidRDefault="00B957F4" w:rsidP="00796D2F">
            <w:pPr>
              <w:rPr>
                <w:rFonts w:ascii="Verdana" w:hAnsi="Verdana"/>
              </w:rPr>
            </w:pPr>
            <w:r w:rsidRPr="00A84A8D">
              <w:rPr>
                <w:rFonts w:ascii="Verdana" w:hAnsi="Verdana"/>
              </w:rPr>
              <w:t>The following shall be considered:</w:t>
            </w:r>
          </w:p>
          <w:p w14:paraId="3831EBB7" w14:textId="5643B581" w:rsidR="00B957F4" w:rsidRPr="00A84A8D" w:rsidRDefault="00B957F4" w:rsidP="00796D2F">
            <w:pPr>
              <w:rPr>
                <w:rFonts w:ascii="Verdana" w:hAnsi="Verdana"/>
              </w:rPr>
            </w:pPr>
            <w:r w:rsidRPr="00A84A8D">
              <w:rPr>
                <w:rFonts w:ascii="Verdana" w:hAnsi="Verdana"/>
              </w:rPr>
              <w:t>Regarding CIC category 4 – Collective Investments Undertakings, the issuer country is the country of the fund manager (entity</w:t>
            </w:r>
            <w:proofErr w:type="gramStart"/>
            <w:r w:rsidRPr="00A84A8D">
              <w:rPr>
                <w:rFonts w:ascii="Verdana" w:hAnsi="Verdana"/>
              </w:rPr>
              <w:t>);</w:t>
            </w:r>
            <w:proofErr w:type="gramEnd"/>
          </w:p>
          <w:p w14:paraId="6E2C8F23" w14:textId="77777777" w:rsidR="00B957F4" w:rsidRPr="00A84A8D" w:rsidRDefault="00B957F4" w:rsidP="00796D2F">
            <w:pPr>
              <w:rPr>
                <w:rFonts w:ascii="Verdana" w:hAnsi="Verdana"/>
              </w:rPr>
            </w:pPr>
            <w:r w:rsidRPr="00A84A8D">
              <w:rPr>
                <w:rFonts w:ascii="Verdana" w:hAnsi="Verdana"/>
              </w:rPr>
              <w:t>Regarding CIC category 7 – Cash and deposits (excluding CIC 71 and CIC 75), the issuer country is the country of the depositary entity</w:t>
            </w:r>
          </w:p>
          <w:p w14:paraId="3E7C32BE" w14:textId="7E96F8B1" w:rsidR="00B957F4" w:rsidRPr="00A84A8D" w:rsidRDefault="00B957F4" w:rsidP="00796D2F">
            <w:pPr>
              <w:rPr>
                <w:rFonts w:ascii="Verdana" w:hAnsi="Verdana"/>
              </w:rPr>
            </w:pPr>
            <w:r w:rsidRPr="00A84A8D">
              <w:rPr>
                <w:rFonts w:ascii="Verdana" w:hAnsi="Verdana"/>
              </w:rPr>
              <w:lastRenderedPageBreak/>
              <w:t xml:space="preserve">Regarding CIC 8 – Mortgages and Loans, other than </w:t>
            </w:r>
            <w:r w:rsidR="00B46FAE" w:rsidRPr="00A84A8D">
              <w:rPr>
                <w:rFonts w:ascii="Verdana" w:hAnsi="Verdana"/>
              </w:rPr>
              <w:t xml:space="preserve">CIC 87 and CIC 88 </w:t>
            </w:r>
            <w:r w:rsidRPr="00A84A8D">
              <w:rPr>
                <w:rFonts w:ascii="Verdana" w:hAnsi="Verdana"/>
              </w:rPr>
              <w:t xml:space="preserve">the information shall relate to the </w:t>
            </w:r>
            <w:proofErr w:type="gramStart"/>
            <w:r w:rsidRPr="00A84A8D">
              <w:rPr>
                <w:rFonts w:ascii="Verdana" w:hAnsi="Verdana"/>
              </w:rPr>
              <w:t>borrower;</w:t>
            </w:r>
            <w:proofErr w:type="gramEnd"/>
          </w:p>
          <w:p w14:paraId="3DB374C5" w14:textId="478BE231" w:rsidR="00B957F4" w:rsidRPr="00A84A8D" w:rsidRDefault="00B957F4" w:rsidP="00796D2F">
            <w:pPr>
              <w:rPr>
                <w:rFonts w:ascii="Verdana" w:hAnsi="Verdana"/>
              </w:rPr>
            </w:pPr>
            <w:r w:rsidRPr="00A84A8D">
              <w:rPr>
                <w:rFonts w:ascii="Verdana" w:hAnsi="Verdana"/>
              </w:rPr>
              <w:t xml:space="preserve">This item is not applicable to </w:t>
            </w:r>
            <w:r w:rsidR="00B46FAE" w:rsidRPr="00A84A8D">
              <w:rPr>
                <w:rFonts w:ascii="Verdana" w:hAnsi="Verdana"/>
              </w:rPr>
              <w:t>CIC 87 and CIC 88</w:t>
            </w:r>
          </w:p>
          <w:p w14:paraId="289389ED" w14:textId="7FB7D809" w:rsidR="00B957F4" w:rsidRPr="00A84A8D" w:rsidRDefault="00B957F4" w:rsidP="00796D2F">
            <w:pPr>
              <w:rPr>
                <w:rFonts w:ascii="Verdana" w:hAnsi="Verdana"/>
              </w:rPr>
            </w:pPr>
            <w:r w:rsidRPr="00A84A8D">
              <w:rPr>
                <w:rFonts w:ascii="Verdana" w:hAnsi="Verdana"/>
              </w:rPr>
              <w:t xml:space="preserve">This item is not applicable for CIC 71, CIC 75, CIC 09 and CIC category 9 – </w:t>
            </w:r>
            <w:proofErr w:type="gramStart"/>
            <w:r w:rsidRPr="00A84A8D">
              <w:rPr>
                <w:rFonts w:ascii="Verdana" w:hAnsi="Verdana"/>
              </w:rPr>
              <w:t>Property;</w:t>
            </w:r>
            <w:proofErr w:type="gramEnd"/>
            <w:r w:rsidRPr="00A84A8D">
              <w:rPr>
                <w:rFonts w:ascii="Verdana" w:hAnsi="Verdana"/>
              </w:rPr>
              <w:t xml:space="preserve"> </w:t>
            </w:r>
          </w:p>
          <w:p w14:paraId="26307E05" w14:textId="77777777" w:rsidR="00B957F4" w:rsidRPr="00A84A8D" w:rsidRDefault="00B957F4" w:rsidP="00796D2F">
            <w:pPr>
              <w:pStyle w:val="BodyLeft"/>
            </w:pPr>
            <w:r w:rsidRPr="00A84A8D">
              <w:t>One of the options shall be used:</w:t>
            </w:r>
            <w:r w:rsidRPr="00A84A8D">
              <w:br/>
              <w:t xml:space="preserve">  - ISO 3166-1 alpha-2 code;</w:t>
            </w:r>
            <w:r w:rsidRPr="00A84A8D">
              <w:br/>
              <w:t xml:space="preserve">  - XA: Supranational issuers (public institutions established by a commitment between national states, e.g. issued by a multilateral development bank as referred to in paragraph 2 of Article 117 of Regulation (EU) No 575/2013 or issued by an international organisation referred to in Article 118 of Regulation (EU) No 575/2013, with exemption of ‘European Union Institutions’);</w:t>
            </w:r>
            <w:r w:rsidRPr="00A84A8D">
              <w:br/>
              <w:t xml:space="preserve">  - EU: European Union Institutions (as defined in Title III Article 13 of the Treaty (2016/C 202/01)).</w:t>
            </w:r>
          </w:p>
        </w:tc>
      </w:tr>
      <w:tr w:rsidR="00B957F4" w:rsidRPr="00A84A8D" w14:paraId="78457BED"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3C4A9FB5" w14:textId="77777777" w:rsidR="00B957F4" w:rsidRPr="00A84A8D" w:rsidRDefault="00B957F4" w:rsidP="00796D2F">
            <w:pPr>
              <w:rPr>
                <w:rFonts w:ascii="Verdana" w:hAnsi="Verdana"/>
              </w:rPr>
            </w:pPr>
            <w:r w:rsidRPr="00A84A8D">
              <w:rPr>
                <w:rFonts w:ascii="Verdana" w:hAnsi="Verdana"/>
              </w:rPr>
              <w:lastRenderedPageBreak/>
              <w:t>C0220</w:t>
            </w:r>
          </w:p>
          <w:p w14:paraId="15DDB926"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7614AAD6" w14:textId="77777777" w:rsidR="00B957F4" w:rsidRPr="00A84A8D" w:rsidRDefault="00B957F4" w:rsidP="00796D2F">
            <w:pPr>
              <w:pStyle w:val="BodyLeft"/>
            </w:pPr>
            <w:r w:rsidRPr="00A84A8D">
              <w:t>Currency</w:t>
            </w:r>
          </w:p>
        </w:tc>
        <w:tc>
          <w:tcPr>
            <w:tcW w:w="5386" w:type="dxa"/>
            <w:tcBorders>
              <w:top w:val="single" w:sz="4" w:space="0" w:color="auto"/>
              <w:left w:val="single" w:sz="4" w:space="0" w:color="auto"/>
              <w:bottom w:val="single" w:sz="4" w:space="0" w:color="auto"/>
              <w:right w:val="single" w:sz="4" w:space="0" w:color="auto"/>
            </w:tcBorders>
          </w:tcPr>
          <w:p w14:paraId="11EAD140" w14:textId="77777777" w:rsidR="00B957F4" w:rsidRPr="00A84A8D" w:rsidRDefault="00B957F4" w:rsidP="00796D2F">
            <w:pPr>
              <w:pStyle w:val="BodyLeft"/>
            </w:pPr>
            <w:r w:rsidRPr="00A84A8D">
              <w:t xml:space="preserve">ISO 4217 alphabetic code of the currency of the issue. </w:t>
            </w:r>
          </w:p>
          <w:p w14:paraId="786A4150" w14:textId="77777777" w:rsidR="00B957F4" w:rsidRPr="00A84A8D" w:rsidRDefault="00B957F4" w:rsidP="00796D2F">
            <w:pPr>
              <w:rPr>
                <w:rFonts w:ascii="Verdana" w:hAnsi="Verdana"/>
              </w:rPr>
            </w:pPr>
            <w:r w:rsidRPr="00A84A8D">
              <w:rPr>
                <w:rFonts w:ascii="Verdana" w:hAnsi="Verdana"/>
              </w:rPr>
              <w:t>The following shall be considered:</w:t>
            </w:r>
          </w:p>
          <w:p w14:paraId="1F589BB1" w14:textId="77777777" w:rsidR="00B957F4" w:rsidRPr="00A84A8D" w:rsidRDefault="00B957F4" w:rsidP="00796D2F">
            <w:pPr>
              <w:rPr>
                <w:rFonts w:ascii="Verdana" w:hAnsi="Verdana"/>
              </w:rPr>
            </w:pPr>
            <w:r w:rsidRPr="00A84A8D">
              <w:rPr>
                <w:rFonts w:ascii="Verdana" w:hAnsi="Verdana"/>
              </w:rPr>
              <w:t xml:space="preserve">This item is not applicable for CIC category 8 – Mortgages and Loans (for mortgages and loans to natural persons, as those assets are not required to be individualised), CIC 75, CIC 09 and for CIC 95 Plant and equipment (for own use) for the same </w:t>
            </w:r>
            <w:proofErr w:type="gramStart"/>
            <w:r w:rsidRPr="00A84A8D">
              <w:rPr>
                <w:rFonts w:ascii="Verdana" w:hAnsi="Verdana"/>
              </w:rPr>
              <w:t>reason;</w:t>
            </w:r>
            <w:proofErr w:type="gramEnd"/>
          </w:p>
          <w:p w14:paraId="25599212" w14:textId="77777777" w:rsidR="00B957F4" w:rsidRPr="00A84A8D" w:rsidRDefault="00B957F4" w:rsidP="00796D2F">
            <w:pPr>
              <w:pStyle w:val="BodyLeft"/>
            </w:pPr>
            <w:r w:rsidRPr="00A84A8D">
              <w:t>Regarding CIC Category 9 - Property, excluding CIC 95 Plant and equipment (for own use), the currency corresponds to the currency in which the investment was made.</w:t>
            </w:r>
          </w:p>
        </w:tc>
      </w:tr>
      <w:tr w:rsidR="00B957F4" w:rsidRPr="00A84A8D" w14:paraId="556F771C"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CB02691" w14:textId="77777777" w:rsidR="00B957F4" w:rsidRPr="00A84A8D" w:rsidRDefault="00B957F4" w:rsidP="00796D2F">
            <w:pPr>
              <w:rPr>
                <w:rFonts w:ascii="Verdana" w:hAnsi="Verdana"/>
              </w:rPr>
            </w:pPr>
            <w:r w:rsidRPr="00A84A8D">
              <w:rPr>
                <w:rFonts w:ascii="Verdana" w:hAnsi="Verdana"/>
              </w:rPr>
              <w:t>C0230</w:t>
            </w:r>
          </w:p>
          <w:p w14:paraId="2CC438B5"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7EC03BC9" w14:textId="77777777" w:rsidR="00B957F4" w:rsidRPr="00A84A8D" w:rsidRDefault="00B957F4" w:rsidP="00796D2F">
            <w:pPr>
              <w:pStyle w:val="BodyLeft"/>
            </w:pPr>
            <w:r w:rsidRPr="00A84A8D">
              <w:t>CIC</w:t>
            </w:r>
          </w:p>
        </w:tc>
        <w:tc>
          <w:tcPr>
            <w:tcW w:w="5386" w:type="dxa"/>
            <w:tcBorders>
              <w:top w:val="single" w:sz="4" w:space="0" w:color="auto"/>
              <w:left w:val="single" w:sz="4" w:space="0" w:color="auto"/>
              <w:bottom w:val="single" w:sz="4" w:space="0" w:color="auto"/>
              <w:right w:val="single" w:sz="4" w:space="0" w:color="auto"/>
            </w:tcBorders>
          </w:tcPr>
          <w:p w14:paraId="2FC28B87" w14:textId="36A04FA1" w:rsidR="00B957F4" w:rsidRPr="00A84A8D" w:rsidRDefault="00B957F4" w:rsidP="00796D2F">
            <w:pPr>
              <w:pStyle w:val="BodyLeft"/>
            </w:pPr>
            <w:r w:rsidRPr="00A84A8D">
              <w:t>Complementary Identification Code used to classify assets</w:t>
            </w:r>
            <w:r w:rsidR="00B46FAE" w:rsidRPr="00A84A8D">
              <w:t xml:space="preserve"> as set out in</w:t>
            </w:r>
            <w:r w:rsidR="006F6956" w:rsidRPr="00A84A8D">
              <w:t xml:space="preserve"> the annex of the technical instructions</w:t>
            </w:r>
            <w:r w:rsidRPr="00A84A8D">
              <w:t>.</w:t>
            </w:r>
            <w:r w:rsidR="00B46FAE" w:rsidRPr="00A84A8D">
              <w:t xml:space="preserve"> When classifying an asset using the CIC table, undertakings shall take into consideration the most representative risk to which the asset is exposed to.</w:t>
            </w:r>
            <w:r w:rsidRPr="00A84A8D">
              <w:t xml:space="preserve"> </w:t>
            </w:r>
          </w:p>
        </w:tc>
      </w:tr>
      <w:tr w:rsidR="00B957F4" w:rsidRPr="00A84A8D" w14:paraId="563C6A37"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30394870" w14:textId="77777777" w:rsidR="00B957F4" w:rsidRPr="00A84A8D" w:rsidRDefault="00B957F4" w:rsidP="00796D2F">
            <w:pPr>
              <w:rPr>
                <w:rFonts w:ascii="Verdana" w:hAnsi="Verdana"/>
              </w:rPr>
            </w:pPr>
            <w:r w:rsidRPr="00A84A8D">
              <w:rPr>
                <w:rFonts w:ascii="Verdana" w:hAnsi="Verdana"/>
              </w:rPr>
              <w:t>C0240</w:t>
            </w:r>
          </w:p>
          <w:p w14:paraId="209CAD4F"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35B16127" w14:textId="77777777" w:rsidR="00B957F4" w:rsidRPr="00A84A8D" w:rsidRDefault="00B957F4" w:rsidP="00796D2F">
            <w:pPr>
              <w:pStyle w:val="BodyLeft"/>
            </w:pPr>
            <w:r w:rsidRPr="00A84A8D">
              <w:t>Alternative investment</w:t>
            </w:r>
          </w:p>
        </w:tc>
        <w:tc>
          <w:tcPr>
            <w:tcW w:w="5386" w:type="dxa"/>
            <w:tcBorders>
              <w:top w:val="single" w:sz="4" w:space="0" w:color="auto"/>
              <w:left w:val="single" w:sz="4" w:space="0" w:color="auto"/>
              <w:bottom w:val="single" w:sz="4" w:space="0" w:color="auto"/>
              <w:right w:val="single" w:sz="4" w:space="0" w:color="auto"/>
            </w:tcBorders>
          </w:tcPr>
          <w:p w14:paraId="70E8EA82" w14:textId="77777777" w:rsidR="00B957F4" w:rsidRPr="00A84A8D" w:rsidRDefault="00B957F4" w:rsidP="00796D2F">
            <w:pPr>
              <w:pStyle w:val="BodyLeft"/>
            </w:pPr>
            <w:r w:rsidRPr="00A84A8D">
              <w:t xml:space="preserve">Alternative investment (Art. 4 (1) of Directive 2011/61/EU (AIFMD)): </w:t>
            </w:r>
          </w:p>
          <w:p w14:paraId="32797929" w14:textId="77777777" w:rsidR="00B957F4" w:rsidRPr="00A84A8D" w:rsidRDefault="00B957F4" w:rsidP="00796D2F">
            <w:pPr>
              <w:pStyle w:val="BodyLeft"/>
            </w:pPr>
            <w:r w:rsidRPr="00A84A8D">
              <w:lastRenderedPageBreak/>
              <w:t xml:space="preserve">1 - Alternative investment </w:t>
            </w:r>
          </w:p>
          <w:p w14:paraId="7929DE27" w14:textId="77777777" w:rsidR="00B957F4" w:rsidRPr="00A84A8D" w:rsidRDefault="00B957F4" w:rsidP="00796D2F">
            <w:pPr>
              <w:pStyle w:val="BodyLeft"/>
            </w:pPr>
            <w:r w:rsidRPr="00A84A8D">
              <w:t>2 - No alternative investment</w:t>
            </w:r>
          </w:p>
        </w:tc>
      </w:tr>
      <w:tr w:rsidR="00B957F4" w:rsidRPr="00A84A8D" w14:paraId="1862F866"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66C3971F" w14:textId="77777777" w:rsidR="00B957F4" w:rsidRPr="00A84A8D" w:rsidRDefault="00B957F4" w:rsidP="00796D2F">
            <w:pPr>
              <w:rPr>
                <w:rFonts w:ascii="Verdana" w:hAnsi="Verdana"/>
              </w:rPr>
            </w:pPr>
            <w:r w:rsidRPr="00A84A8D">
              <w:rPr>
                <w:rFonts w:ascii="Verdana" w:hAnsi="Verdana"/>
              </w:rPr>
              <w:lastRenderedPageBreak/>
              <w:t>C0241</w:t>
            </w:r>
          </w:p>
        </w:tc>
        <w:tc>
          <w:tcPr>
            <w:tcW w:w="2268" w:type="dxa"/>
            <w:tcBorders>
              <w:top w:val="single" w:sz="4" w:space="0" w:color="auto"/>
              <w:left w:val="single" w:sz="4" w:space="0" w:color="auto"/>
              <w:bottom w:val="single" w:sz="4" w:space="0" w:color="auto"/>
              <w:right w:val="single" w:sz="4" w:space="0" w:color="auto"/>
            </w:tcBorders>
          </w:tcPr>
          <w:p w14:paraId="7889639D" w14:textId="77777777" w:rsidR="00B957F4" w:rsidRPr="00A84A8D" w:rsidRDefault="00B957F4" w:rsidP="00796D2F">
            <w:pPr>
              <w:pStyle w:val="BodyLeft"/>
            </w:pPr>
            <w:r w:rsidRPr="00A84A8D">
              <w:t>Bail-in rules</w:t>
            </w:r>
          </w:p>
        </w:tc>
        <w:tc>
          <w:tcPr>
            <w:tcW w:w="5386" w:type="dxa"/>
            <w:tcBorders>
              <w:top w:val="single" w:sz="4" w:space="0" w:color="auto"/>
              <w:left w:val="single" w:sz="4" w:space="0" w:color="auto"/>
              <w:bottom w:val="single" w:sz="4" w:space="0" w:color="auto"/>
              <w:right w:val="single" w:sz="4" w:space="0" w:color="auto"/>
            </w:tcBorders>
          </w:tcPr>
          <w:p w14:paraId="49BF78B1" w14:textId="77777777" w:rsidR="00B957F4" w:rsidRPr="00A84A8D" w:rsidRDefault="00B957F4" w:rsidP="00796D2F">
            <w:pPr>
              <w:pStyle w:val="BodyLeft"/>
            </w:pPr>
            <w:r w:rsidRPr="00A84A8D">
              <w:t xml:space="preserve">Identify if the asset is subject to bail-in rules, in line with Art. 43 and 44 of the Directive 2014/59/EU (the Bank Recovery and Resolution Directive - BRRD). One of the options in the following closed list shall be used: </w:t>
            </w:r>
          </w:p>
          <w:p w14:paraId="5186057A" w14:textId="77777777" w:rsidR="00B957F4" w:rsidRPr="00A84A8D" w:rsidRDefault="00B957F4" w:rsidP="00796D2F">
            <w:pPr>
              <w:pStyle w:val="BodyLeft"/>
            </w:pPr>
            <w:r w:rsidRPr="00A84A8D">
              <w:t xml:space="preserve">1 – </w:t>
            </w:r>
            <w:proofErr w:type="gramStart"/>
            <w:r w:rsidRPr="00A84A8D">
              <w:t>Yes;</w:t>
            </w:r>
            <w:proofErr w:type="gramEnd"/>
            <w:r w:rsidRPr="00A84A8D">
              <w:t xml:space="preserve"> </w:t>
            </w:r>
          </w:p>
          <w:p w14:paraId="1D8CF7BB" w14:textId="77777777" w:rsidR="00B957F4" w:rsidRPr="00A84A8D" w:rsidRDefault="00B957F4" w:rsidP="00796D2F">
            <w:pPr>
              <w:pStyle w:val="BodyLeft"/>
            </w:pPr>
            <w:r w:rsidRPr="00A84A8D">
              <w:t xml:space="preserve">2 – </w:t>
            </w:r>
            <w:proofErr w:type="gramStart"/>
            <w:r w:rsidRPr="00A84A8D">
              <w:t>No;</w:t>
            </w:r>
            <w:proofErr w:type="gramEnd"/>
            <w:r w:rsidRPr="00A84A8D">
              <w:t xml:space="preserve"> </w:t>
            </w:r>
          </w:p>
          <w:p w14:paraId="440895AD" w14:textId="77777777" w:rsidR="00B957F4" w:rsidRPr="00A84A8D" w:rsidRDefault="00B957F4" w:rsidP="00796D2F">
            <w:pPr>
              <w:pStyle w:val="BodyLeft"/>
            </w:pPr>
            <w:r w:rsidRPr="00A84A8D">
              <w:t>9 – Not applicable.</w:t>
            </w:r>
          </w:p>
        </w:tc>
      </w:tr>
      <w:tr w:rsidR="00B957F4" w:rsidRPr="00A84A8D" w14:paraId="406DF7DD"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4CD72707" w14:textId="370BE6C8" w:rsidR="00B957F4" w:rsidRPr="00A84A8D" w:rsidRDefault="002D2301" w:rsidP="00796D2F">
            <w:pPr>
              <w:rPr>
                <w:rFonts w:ascii="Verdana" w:hAnsi="Verdana"/>
              </w:rPr>
            </w:pPr>
            <w:r w:rsidRPr="00A84A8D">
              <w:rPr>
                <w:rFonts w:ascii="Verdana" w:hAnsi="Verdana"/>
              </w:rPr>
              <w:t>C024</w:t>
            </w:r>
            <w:r w:rsidR="003531AA" w:rsidRPr="00A84A8D">
              <w:rPr>
                <w:rFonts w:ascii="Verdana" w:hAnsi="Verdana"/>
              </w:rPr>
              <w:t>2</w:t>
            </w:r>
          </w:p>
        </w:tc>
        <w:tc>
          <w:tcPr>
            <w:tcW w:w="2268" w:type="dxa"/>
            <w:tcBorders>
              <w:top w:val="single" w:sz="4" w:space="0" w:color="auto"/>
              <w:left w:val="single" w:sz="4" w:space="0" w:color="auto"/>
              <w:bottom w:val="single" w:sz="4" w:space="0" w:color="auto"/>
              <w:right w:val="single" w:sz="4" w:space="0" w:color="auto"/>
            </w:tcBorders>
          </w:tcPr>
          <w:p w14:paraId="750113A0" w14:textId="77777777" w:rsidR="00B957F4" w:rsidRPr="00A84A8D" w:rsidRDefault="00B957F4" w:rsidP="00796D2F">
            <w:pPr>
              <w:pStyle w:val="BodyLeft"/>
            </w:pPr>
            <w:proofErr w:type="gramStart"/>
            <w:r w:rsidRPr="00A84A8D">
              <w:t>Crypto-assets</w:t>
            </w:r>
            <w:proofErr w:type="gramEnd"/>
          </w:p>
        </w:tc>
        <w:tc>
          <w:tcPr>
            <w:tcW w:w="5386" w:type="dxa"/>
            <w:tcBorders>
              <w:top w:val="single" w:sz="4" w:space="0" w:color="auto"/>
              <w:left w:val="single" w:sz="4" w:space="0" w:color="auto"/>
              <w:bottom w:val="single" w:sz="4" w:space="0" w:color="auto"/>
              <w:right w:val="single" w:sz="4" w:space="0" w:color="auto"/>
            </w:tcBorders>
          </w:tcPr>
          <w:p w14:paraId="455AEA65" w14:textId="77777777" w:rsidR="00B957F4" w:rsidRPr="00A84A8D" w:rsidRDefault="00B957F4" w:rsidP="00796D2F">
            <w:pPr>
              <w:pStyle w:val="BodyLeft"/>
            </w:pPr>
            <w:r w:rsidRPr="00A84A8D">
              <w:t xml:space="preserve">Identify assets linked to </w:t>
            </w:r>
            <w:proofErr w:type="gramStart"/>
            <w:r w:rsidRPr="00A84A8D">
              <w:t>crypto-assets</w:t>
            </w:r>
            <w:proofErr w:type="gramEnd"/>
            <w:r w:rsidRPr="00A84A8D">
              <w:t>.</w:t>
            </w:r>
          </w:p>
          <w:p w14:paraId="4BDEF58A" w14:textId="77777777" w:rsidR="00B957F4" w:rsidRPr="00A84A8D" w:rsidRDefault="00B957F4" w:rsidP="00796D2F">
            <w:pPr>
              <w:pStyle w:val="BodyLeft"/>
            </w:pPr>
            <w:proofErr w:type="gramStart"/>
            <w:r w:rsidRPr="00A84A8D">
              <w:t>Crypto-asset</w:t>
            </w:r>
            <w:proofErr w:type="gramEnd"/>
            <w:r w:rsidRPr="00A84A8D">
              <w:t xml:space="preserve"> means a digital representation of value or rights which may be transferred and stored electronically, using distributed ledger technology or similar technology. </w:t>
            </w:r>
          </w:p>
          <w:p w14:paraId="437E8899" w14:textId="77777777" w:rsidR="00B957F4" w:rsidRPr="00A84A8D" w:rsidRDefault="00B957F4" w:rsidP="00796D2F">
            <w:pPr>
              <w:pStyle w:val="BodyLeft"/>
            </w:pPr>
            <w:r w:rsidRPr="00A84A8D">
              <w:t xml:space="preserve">One of the options in the following closed list shall be used: </w:t>
            </w:r>
          </w:p>
          <w:p w14:paraId="684B2AC6" w14:textId="77777777" w:rsidR="00B957F4" w:rsidRPr="00A84A8D" w:rsidRDefault="00B957F4" w:rsidP="00796D2F">
            <w:pPr>
              <w:pStyle w:val="BodyLeft"/>
            </w:pPr>
            <w:r w:rsidRPr="00A84A8D">
              <w:t xml:space="preserve">1 – Electronic money token - a type of crypto-asset the main purpose of which is to be used as a means of exchange and that purports to maintain a stable value by referring to the value of a fiat currency that is legal </w:t>
            </w:r>
            <w:proofErr w:type="gramStart"/>
            <w:r w:rsidRPr="00A84A8D">
              <w:t>tender;</w:t>
            </w:r>
            <w:proofErr w:type="gramEnd"/>
            <w:r w:rsidRPr="00A84A8D">
              <w:t xml:space="preserve"> </w:t>
            </w:r>
          </w:p>
          <w:p w14:paraId="26B4DBED" w14:textId="77777777" w:rsidR="00B957F4" w:rsidRPr="00A84A8D" w:rsidRDefault="00B957F4" w:rsidP="00796D2F">
            <w:pPr>
              <w:pStyle w:val="BodyLeft"/>
            </w:pPr>
            <w:r w:rsidRPr="00A84A8D">
              <w:t xml:space="preserve">2 – Asset-referenced token - a type of crypto-asset that purports to maintain a stable value by referring to the value of several fiat currencies that are legal tender, one or several commodities or one or several crypto-assets, or a combination of such </w:t>
            </w:r>
            <w:proofErr w:type="gramStart"/>
            <w:r w:rsidRPr="00A84A8D">
              <w:t>assets;</w:t>
            </w:r>
            <w:proofErr w:type="gramEnd"/>
            <w:r w:rsidRPr="00A84A8D">
              <w:t xml:space="preserve"> </w:t>
            </w:r>
          </w:p>
          <w:p w14:paraId="0365DF74" w14:textId="77777777" w:rsidR="00B957F4" w:rsidRPr="00A84A8D" w:rsidRDefault="00B957F4" w:rsidP="00796D2F">
            <w:pPr>
              <w:pStyle w:val="BodyLeft"/>
            </w:pPr>
            <w:r w:rsidRPr="00A84A8D">
              <w:t xml:space="preserve">3- Utility token - a type of crypto-asset which is intended to provide digital access to a good or service, available on DLT, and is only accepted by the issuer of that </w:t>
            </w:r>
            <w:proofErr w:type="gramStart"/>
            <w:r w:rsidRPr="00A84A8D">
              <w:t>token;</w:t>
            </w:r>
            <w:proofErr w:type="gramEnd"/>
            <w:r w:rsidRPr="00A84A8D">
              <w:t xml:space="preserve"> </w:t>
            </w:r>
          </w:p>
          <w:p w14:paraId="763A1C23" w14:textId="77777777" w:rsidR="00B957F4" w:rsidRPr="00A84A8D" w:rsidRDefault="00B957F4" w:rsidP="00796D2F">
            <w:pPr>
              <w:pStyle w:val="BodyLeft"/>
            </w:pPr>
            <w:r w:rsidRPr="00A84A8D">
              <w:t xml:space="preserve">4 – Other crypto-assets </w:t>
            </w:r>
          </w:p>
          <w:p w14:paraId="2E5650FE" w14:textId="32D42760" w:rsidR="00B957F4" w:rsidRPr="00A84A8D" w:rsidRDefault="00B957F4" w:rsidP="00796D2F">
            <w:pPr>
              <w:pStyle w:val="BodyLeft"/>
            </w:pPr>
            <w:r w:rsidRPr="00A84A8D">
              <w:t>5 - No</w:t>
            </w:r>
          </w:p>
        </w:tc>
      </w:tr>
      <w:tr w:rsidR="00B957F4" w:rsidRPr="00A84A8D" w14:paraId="6B80A7FA"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39A5952C" w14:textId="77777777" w:rsidR="00B957F4" w:rsidRPr="00A84A8D" w:rsidRDefault="00B957F4" w:rsidP="00796D2F">
            <w:pPr>
              <w:rPr>
                <w:rFonts w:ascii="Verdana" w:hAnsi="Verdana"/>
              </w:rPr>
            </w:pPr>
            <w:r w:rsidRPr="00A84A8D">
              <w:rPr>
                <w:rFonts w:ascii="Verdana" w:hAnsi="Verdana"/>
              </w:rPr>
              <w:t>C0250</w:t>
            </w:r>
          </w:p>
          <w:p w14:paraId="20587D52"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7DCC7F70" w14:textId="77777777" w:rsidR="00B957F4" w:rsidRPr="00A84A8D" w:rsidRDefault="00B957F4" w:rsidP="00796D2F">
            <w:pPr>
              <w:pStyle w:val="BodyLeft"/>
            </w:pPr>
            <w:r w:rsidRPr="00A84A8D">
              <w:t>External rating</w:t>
            </w:r>
          </w:p>
        </w:tc>
        <w:tc>
          <w:tcPr>
            <w:tcW w:w="5386" w:type="dxa"/>
            <w:tcBorders>
              <w:top w:val="single" w:sz="4" w:space="0" w:color="auto"/>
              <w:left w:val="single" w:sz="4" w:space="0" w:color="auto"/>
              <w:bottom w:val="single" w:sz="4" w:space="0" w:color="auto"/>
              <w:right w:val="single" w:sz="4" w:space="0" w:color="auto"/>
            </w:tcBorders>
          </w:tcPr>
          <w:p w14:paraId="2941E4EC" w14:textId="77777777" w:rsidR="00B957F4" w:rsidRPr="00A84A8D" w:rsidRDefault="00B957F4" w:rsidP="00796D2F">
            <w:pPr>
              <w:pStyle w:val="BodyLeft"/>
            </w:pPr>
            <w:r w:rsidRPr="00A84A8D">
              <w:t xml:space="preserve">Rating of the asset at the reporting reference date issued by the nominated credit assessment institution (ECAI). </w:t>
            </w:r>
          </w:p>
          <w:p w14:paraId="5B30F1BF" w14:textId="5EA15421" w:rsidR="005868D2" w:rsidRPr="00A84A8D" w:rsidRDefault="005868D2" w:rsidP="005868D2">
            <w:pPr>
              <w:pStyle w:val="NormalLeft"/>
              <w:rPr>
                <w:rFonts w:ascii="Verdana" w:hAnsi="Verdana"/>
                <w:sz w:val="22"/>
                <w:szCs w:val="22"/>
                <w:lang w:val="en-GB"/>
              </w:rPr>
            </w:pPr>
            <w:r w:rsidRPr="00A84A8D">
              <w:rPr>
                <w:rFonts w:ascii="Verdana" w:hAnsi="Verdana"/>
                <w:sz w:val="22"/>
                <w:szCs w:val="22"/>
                <w:lang w:val="en-GB"/>
              </w:rPr>
              <w:t xml:space="preserve">Applicable at least to CIC categories 1 - Government bonds, 2 – Corporate bonds, 5 - Structured notes, 6 - Collateralised securities, </w:t>
            </w:r>
            <w:r w:rsidR="00B326D7" w:rsidRPr="00A84A8D">
              <w:rPr>
                <w:rFonts w:ascii="Verdana" w:hAnsi="Verdana"/>
                <w:sz w:val="22"/>
                <w:szCs w:val="22"/>
                <w:lang w:val="en-GB"/>
              </w:rPr>
              <w:lastRenderedPageBreak/>
              <w:t xml:space="preserve">CIC 8 - Mortgages and </w:t>
            </w:r>
            <w:proofErr w:type="gramStart"/>
            <w:r w:rsidR="00B326D7" w:rsidRPr="00A84A8D">
              <w:rPr>
                <w:rFonts w:ascii="Verdana" w:hAnsi="Verdana"/>
                <w:sz w:val="22"/>
                <w:szCs w:val="22"/>
                <w:lang w:val="en-GB"/>
              </w:rPr>
              <w:t>Loans  (</w:t>
            </w:r>
            <w:proofErr w:type="gramEnd"/>
            <w:r w:rsidR="00B326D7" w:rsidRPr="00A84A8D">
              <w:rPr>
                <w:rFonts w:ascii="Verdana" w:hAnsi="Verdana"/>
                <w:sz w:val="22"/>
                <w:szCs w:val="22"/>
                <w:lang w:val="en-GB"/>
              </w:rPr>
              <w:t>other than 87 and CIC 88)</w:t>
            </w:r>
            <w:r w:rsidRPr="00A84A8D">
              <w:rPr>
                <w:rFonts w:ascii="Verdana" w:hAnsi="Verdana"/>
                <w:sz w:val="22"/>
                <w:szCs w:val="22"/>
                <w:lang w:val="en-GB"/>
              </w:rPr>
              <w:t>, where available.</w:t>
            </w:r>
          </w:p>
          <w:p w14:paraId="494B5ECD" w14:textId="77777777" w:rsidR="00B957F4" w:rsidRPr="00A84A8D" w:rsidRDefault="00B957F4" w:rsidP="00796D2F">
            <w:pPr>
              <w:pStyle w:val="BodyLeft"/>
            </w:pPr>
            <w:r w:rsidRPr="00A84A8D">
              <w:t xml:space="preserve">If an issue rating is not </w:t>
            </w:r>
            <w:proofErr w:type="gramStart"/>
            <w:r w:rsidRPr="00A84A8D">
              <w:t>available</w:t>
            </w:r>
            <w:proofErr w:type="gramEnd"/>
            <w:r w:rsidRPr="00A84A8D">
              <w:t xml:space="preserve"> the item should be left blank.</w:t>
            </w:r>
          </w:p>
        </w:tc>
      </w:tr>
      <w:tr w:rsidR="00B957F4" w:rsidRPr="00A84A8D" w14:paraId="37782D8D"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41B902ED" w14:textId="77777777" w:rsidR="00B957F4" w:rsidRPr="00A84A8D" w:rsidRDefault="00B957F4" w:rsidP="00796D2F">
            <w:pPr>
              <w:rPr>
                <w:rFonts w:ascii="Verdana" w:hAnsi="Verdana"/>
              </w:rPr>
            </w:pPr>
            <w:r w:rsidRPr="00A84A8D">
              <w:rPr>
                <w:rFonts w:ascii="Verdana" w:hAnsi="Verdana"/>
              </w:rPr>
              <w:lastRenderedPageBreak/>
              <w:t>C0260</w:t>
            </w:r>
          </w:p>
          <w:p w14:paraId="71B22785"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5AA308F5" w14:textId="77777777" w:rsidR="00B957F4" w:rsidRPr="00A84A8D" w:rsidRDefault="00B957F4" w:rsidP="00796D2F">
            <w:pPr>
              <w:pStyle w:val="BodyLeft"/>
            </w:pPr>
            <w:r w:rsidRPr="00A84A8D">
              <w:t>Nominated ECAI</w:t>
            </w:r>
          </w:p>
        </w:tc>
        <w:tc>
          <w:tcPr>
            <w:tcW w:w="5386" w:type="dxa"/>
            <w:tcBorders>
              <w:top w:val="single" w:sz="4" w:space="0" w:color="auto"/>
              <w:left w:val="single" w:sz="4" w:space="0" w:color="auto"/>
              <w:bottom w:val="single" w:sz="4" w:space="0" w:color="auto"/>
              <w:right w:val="single" w:sz="4" w:space="0" w:color="auto"/>
            </w:tcBorders>
          </w:tcPr>
          <w:p w14:paraId="3B9B91B8" w14:textId="77777777" w:rsidR="00B957F4" w:rsidRPr="00A84A8D" w:rsidRDefault="00B957F4" w:rsidP="00796D2F">
            <w:pPr>
              <w:pStyle w:val="BodyLeft"/>
            </w:pPr>
            <w:r w:rsidRPr="00A84A8D">
              <w:t>Credit assessment institution (ECAI) giving the external rating, by using the name of the ECAI as published on ESMA's website. In case of ratings issued by subsidiaries of the ECAI please report the parent ECAI (the reference is to ESMA list of credit rating agencies registered or certified in accordance with Regulation (EC) No 1060/2009 of the European Parliament and of the Council of 16 September 2009 on credit rating agencies).</w:t>
            </w:r>
          </w:p>
          <w:p w14:paraId="5A321D34" w14:textId="77777777" w:rsidR="00B957F4" w:rsidRPr="00A84A8D" w:rsidRDefault="00B957F4" w:rsidP="00796D2F">
            <w:pPr>
              <w:pStyle w:val="BodyLeft"/>
            </w:pPr>
            <w:r w:rsidRPr="00A84A8D">
              <w:t>This item shall be reported when External rating (C0250) is reported.</w:t>
            </w:r>
          </w:p>
          <w:p w14:paraId="4F973A2B" w14:textId="03719305" w:rsidR="00B957F4" w:rsidRPr="00A84A8D" w:rsidRDefault="00B957F4" w:rsidP="00796D2F">
            <w:pPr>
              <w:rPr>
                <w:rFonts w:ascii="Verdana" w:hAnsi="Verdana"/>
              </w:rPr>
            </w:pPr>
            <w:r w:rsidRPr="00A84A8D">
              <w:rPr>
                <w:rFonts w:ascii="Verdana" w:hAnsi="Verdana"/>
              </w:rPr>
              <w:t xml:space="preserve">Applicable at least to CIC categories 1 - Government bonds, 2 – Corporate bonds, 5 - Structured notes, 6 - Collateralised securities and 8 - Mortgages and Loans (other than </w:t>
            </w:r>
            <w:r w:rsidR="005868D2" w:rsidRPr="00A84A8D">
              <w:rPr>
                <w:rFonts w:ascii="Verdana" w:hAnsi="Verdana"/>
              </w:rPr>
              <w:t>CIC87 and CIC88</w:t>
            </w:r>
            <w:r w:rsidRPr="00A84A8D">
              <w:rPr>
                <w:rFonts w:ascii="Verdana" w:hAnsi="Verdana"/>
              </w:rPr>
              <w:t>), where available.</w:t>
            </w:r>
          </w:p>
          <w:p w14:paraId="779F5B22" w14:textId="65225C1F" w:rsidR="00B957F4" w:rsidRPr="00A84A8D" w:rsidRDefault="00B957F4" w:rsidP="00796D2F">
            <w:pPr>
              <w:pStyle w:val="BodyLeft"/>
            </w:pPr>
          </w:p>
        </w:tc>
      </w:tr>
      <w:tr w:rsidR="00B957F4" w:rsidRPr="00A84A8D" w14:paraId="2A5AAB61"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87839FD" w14:textId="77777777" w:rsidR="00B957F4" w:rsidRPr="00A84A8D" w:rsidRDefault="00B957F4" w:rsidP="00796D2F">
            <w:pPr>
              <w:rPr>
                <w:rFonts w:ascii="Verdana" w:hAnsi="Verdana"/>
              </w:rPr>
            </w:pPr>
            <w:r w:rsidRPr="00A84A8D">
              <w:rPr>
                <w:rFonts w:ascii="Verdana" w:hAnsi="Verdana"/>
              </w:rPr>
              <w:t>C0270</w:t>
            </w:r>
          </w:p>
          <w:p w14:paraId="5755687D"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02966B7D" w14:textId="77777777" w:rsidR="00B957F4" w:rsidRPr="00A84A8D" w:rsidRDefault="00B957F4" w:rsidP="00796D2F">
            <w:pPr>
              <w:pStyle w:val="BodyLeft"/>
            </w:pPr>
            <w:r w:rsidRPr="00A84A8D">
              <w:t>Duration</w:t>
            </w:r>
          </w:p>
        </w:tc>
        <w:tc>
          <w:tcPr>
            <w:tcW w:w="5386" w:type="dxa"/>
            <w:tcBorders>
              <w:top w:val="single" w:sz="4" w:space="0" w:color="auto"/>
              <w:left w:val="single" w:sz="4" w:space="0" w:color="auto"/>
              <w:bottom w:val="single" w:sz="4" w:space="0" w:color="auto"/>
              <w:right w:val="single" w:sz="4" w:space="0" w:color="auto"/>
            </w:tcBorders>
          </w:tcPr>
          <w:p w14:paraId="5FA65959" w14:textId="3721DB58" w:rsidR="00B957F4" w:rsidRPr="00A84A8D" w:rsidRDefault="00B957F4" w:rsidP="00796D2F">
            <w:pPr>
              <w:pStyle w:val="BodyLeft"/>
            </w:pPr>
            <w:r w:rsidRPr="00A84A8D">
              <w:t xml:space="preserve">Asset duration, defined as the ’residual modified duration’ (modified duration calculated based on the remaining time for maturity of the security, counted from the reporting reference date). For assets without fixed maturity the first call date shall be used but the probability of the call option being exercised shall be </w:t>
            </w:r>
            <w:proofErr w:type="gramStart"/>
            <w:r w:rsidRPr="00A84A8D">
              <w:t>taken into account</w:t>
            </w:r>
            <w:proofErr w:type="gramEnd"/>
            <w:r w:rsidRPr="00A84A8D">
              <w:t>. The duration shall be calculated based on economic value.</w:t>
            </w:r>
          </w:p>
          <w:p w14:paraId="7E0C835A" w14:textId="28E87F1C" w:rsidR="00B957F4" w:rsidRPr="00A84A8D" w:rsidRDefault="00B957F4" w:rsidP="00796D2F">
            <w:pPr>
              <w:pStyle w:val="BodyLeft"/>
            </w:pPr>
            <w:r w:rsidRPr="00A84A8D">
              <w:t xml:space="preserve">Only applies to CIC categories 1 – Government bonds, 2 – Corporate bonds, 4 – Collective Investments Undertakings (when applicable, </w:t>
            </w:r>
            <w:proofErr w:type="gramStart"/>
            <w:r w:rsidRPr="00A84A8D">
              <w:t>e.g.</w:t>
            </w:r>
            <w:proofErr w:type="gramEnd"/>
            <w:r w:rsidRPr="00A84A8D">
              <w:t xml:space="preserve"> for collective investment undertaking mainly invested in bonds), 5 - Structured notes and 6 – Collateralised securities.</w:t>
            </w:r>
          </w:p>
          <w:p w14:paraId="1E577C94" w14:textId="63E6132A" w:rsidR="001114B5" w:rsidRPr="00A84A8D" w:rsidRDefault="001114B5" w:rsidP="001114B5">
            <w:pPr>
              <w:pStyle w:val="BodyLeft"/>
            </w:pPr>
            <w:r w:rsidRPr="00A84A8D">
              <w:t xml:space="preserve">For variable interest rate bonds or loans, duration should be equivalent to the modified duration of a fixed interest rate bond or loan of the same maturity and with coupon payments equal to the forward interest </w:t>
            </w:r>
            <w:proofErr w:type="gramStart"/>
            <w:r w:rsidRPr="00A84A8D">
              <w:t>rate;</w:t>
            </w:r>
            <w:proofErr w:type="gramEnd"/>
          </w:p>
          <w:p w14:paraId="65B47F5B" w14:textId="7234EDB8" w:rsidR="001114B5" w:rsidRPr="00A84A8D" w:rsidRDefault="001114B5" w:rsidP="001114B5">
            <w:pPr>
              <w:pStyle w:val="BodyLeft"/>
            </w:pPr>
            <w:r w:rsidRPr="00A84A8D">
              <w:lastRenderedPageBreak/>
              <w:t xml:space="preserve">When determining the duration of bonds and loans with call options </w:t>
            </w:r>
            <w:r w:rsidR="001F4EEC" w:rsidRPr="00A84A8D">
              <w:t>IORPs</w:t>
            </w:r>
            <w:r w:rsidRPr="00A84A8D">
              <w:t xml:space="preserve"> should take into account that they may not be called by the borrower in the event that its creditworthiness deteriorates, credit spreads </w:t>
            </w:r>
            <w:proofErr w:type="gramStart"/>
            <w:r w:rsidRPr="00A84A8D">
              <w:t>widen</w:t>
            </w:r>
            <w:proofErr w:type="gramEnd"/>
            <w:r w:rsidRPr="00A84A8D">
              <w:t xml:space="preserve"> or interest rates increase.</w:t>
            </w:r>
          </w:p>
          <w:p w14:paraId="0BBE9B5B" w14:textId="43E6886D" w:rsidR="001114B5" w:rsidRPr="00A84A8D" w:rsidRDefault="001114B5" w:rsidP="00796D2F">
            <w:pPr>
              <w:pStyle w:val="BodyLeft"/>
            </w:pPr>
          </w:p>
        </w:tc>
      </w:tr>
      <w:tr w:rsidR="00B957F4" w:rsidRPr="00A84A8D" w14:paraId="20F51A2D"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45EC2E00" w14:textId="77777777" w:rsidR="00B957F4" w:rsidRPr="00A84A8D" w:rsidRDefault="00B957F4" w:rsidP="00796D2F">
            <w:pPr>
              <w:rPr>
                <w:rFonts w:ascii="Verdana" w:hAnsi="Verdana"/>
              </w:rPr>
            </w:pPr>
            <w:r w:rsidRPr="00A84A8D">
              <w:rPr>
                <w:rFonts w:ascii="Verdana" w:hAnsi="Verdana"/>
              </w:rPr>
              <w:lastRenderedPageBreak/>
              <w:t>C0280</w:t>
            </w:r>
          </w:p>
          <w:p w14:paraId="10ADA1FA"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702B9D7A" w14:textId="77777777" w:rsidR="00B957F4" w:rsidRPr="00A84A8D" w:rsidRDefault="00B957F4" w:rsidP="00796D2F">
            <w:pPr>
              <w:pStyle w:val="BodyLeft"/>
            </w:pPr>
            <w:r w:rsidRPr="00A84A8D">
              <w:t>Maturity date</w:t>
            </w:r>
          </w:p>
        </w:tc>
        <w:tc>
          <w:tcPr>
            <w:tcW w:w="5386" w:type="dxa"/>
            <w:tcBorders>
              <w:top w:val="single" w:sz="4" w:space="0" w:color="auto"/>
              <w:left w:val="single" w:sz="4" w:space="0" w:color="auto"/>
              <w:bottom w:val="single" w:sz="4" w:space="0" w:color="auto"/>
              <w:right w:val="single" w:sz="4" w:space="0" w:color="auto"/>
            </w:tcBorders>
          </w:tcPr>
          <w:p w14:paraId="54455139" w14:textId="77777777" w:rsidR="00B957F4" w:rsidRPr="00A84A8D" w:rsidRDefault="00B957F4" w:rsidP="00796D2F">
            <w:pPr>
              <w:pStyle w:val="BodyLeft"/>
            </w:pPr>
            <w:r w:rsidRPr="00A84A8D">
              <w:t>ISO 8601 (</w:t>
            </w:r>
            <w:proofErr w:type="spellStart"/>
            <w:r w:rsidRPr="00A84A8D">
              <w:t>yyyy</w:t>
            </w:r>
            <w:proofErr w:type="spellEnd"/>
            <w:r w:rsidRPr="00A84A8D">
              <w:t xml:space="preserve">-mm-dd) code of the maturity date. </w:t>
            </w:r>
          </w:p>
          <w:p w14:paraId="0249D3F3" w14:textId="77777777" w:rsidR="00B957F4" w:rsidRPr="00A84A8D" w:rsidRDefault="00B957F4" w:rsidP="00796D2F">
            <w:pPr>
              <w:pStyle w:val="BodyLeft"/>
            </w:pPr>
            <w:r w:rsidRPr="00A84A8D">
              <w:t>For perpetual securities use “9999-12-31”</w:t>
            </w:r>
          </w:p>
          <w:p w14:paraId="7DBFAC4C" w14:textId="7A611B3A" w:rsidR="00B957F4" w:rsidRPr="00A84A8D" w:rsidRDefault="00B957F4" w:rsidP="00796D2F">
            <w:pPr>
              <w:rPr>
                <w:rFonts w:ascii="Verdana" w:hAnsi="Verdana"/>
              </w:rPr>
            </w:pPr>
            <w:r w:rsidRPr="00A84A8D">
              <w:rPr>
                <w:rFonts w:ascii="Verdana" w:hAnsi="Verdana"/>
              </w:rPr>
              <w:t xml:space="preserve">Only applicable for CIC categories 1 – Government bonds, 2 – Corporate bonds, 5 – Structured notes, 6 – Collateralised securities, and 8 – Mortgages and Loans, CIC 74 and CIC </w:t>
            </w:r>
            <w:proofErr w:type="gramStart"/>
            <w:r w:rsidRPr="00A84A8D">
              <w:rPr>
                <w:rFonts w:ascii="Verdana" w:hAnsi="Verdana"/>
              </w:rPr>
              <w:t>79.It</w:t>
            </w:r>
            <w:proofErr w:type="gramEnd"/>
            <w:r w:rsidRPr="00A84A8D">
              <w:rPr>
                <w:rFonts w:ascii="Verdana" w:hAnsi="Verdana"/>
              </w:rPr>
              <w:t xml:space="preserve"> corresponds always to the maturity date, even for callable securities. </w:t>
            </w:r>
          </w:p>
          <w:p w14:paraId="3D41D0D4" w14:textId="77777777" w:rsidR="00B957F4" w:rsidRPr="00A84A8D" w:rsidRDefault="00B957F4" w:rsidP="00796D2F">
            <w:pPr>
              <w:pStyle w:val="BodyLeft"/>
            </w:pPr>
            <w:r w:rsidRPr="00A84A8D">
              <w:t>For CIC category 8, regarding loans and mortgages to individuals, the weighted (based on the loan amount) remaining maturity is to be reported.</w:t>
            </w:r>
          </w:p>
        </w:tc>
      </w:tr>
      <w:tr w:rsidR="00B957F4" w:rsidRPr="00A84A8D" w14:paraId="59D45A84"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75F9FCEC" w14:textId="77777777" w:rsidR="00B957F4" w:rsidRPr="00A84A8D" w:rsidRDefault="00B957F4" w:rsidP="00796D2F">
            <w:pPr>
              <w:rPr>
                <w:rFonts w:ascii="Verdana" w:hAnsi="Verdana"/>
              </w:rPr>
            </w:pPr>
            <w:r w:rsidRPr="00A84A8D">
              <w:rPr>
                <w:rFonts w:ascii="Verdana" w:hAnsi="Verdana"/>
              </w:rPr>
              <w:t>C0370</w:t>
            </w:r>
          </w:p>
        </w:tc>
        <w:tc>
          <w:tcPr>
            <w:tcW w:w="2268" w:type="dxa"/>
            <w:tcBorders>
              <w:top w:val="single" w:sz="4" w:space="0" w:color="auto"/>
              <w:left w:val="single" w:sz="4" w:space="0" w:color="auto"/>
              <w:bottom w:val="single" w:sz="4" w:space="0" w:color="auto"/>
              <w:right w:val="single" w:sz="4" w:space="0" w:color="auto"/>
            </w:tcBorders>
          </w:tcPr>
          <w:p w14:paraId="1268DC01" w14:textId="77777777" w:rsidR="00B957F4" w:rsidRPr="00A84A8D" w:rsidRDefault="00B957F4" w:rsidP="00796D2F">
            <w:pPr>
              <w:pStyle w:val="BodyLeft"/>
            </w:pPr>
            <w:r w:rsidRPr="00A84A8D">
              <w:t>Unit price</w:t>
            </w:r>
          </w:p>
        </w:tc>
        <w:tc>
          <w:tcPr>
            <w:tcW w:w="5386" w:type="dxa"/>
            <w:tcBorders>
              <w:top w:val="single" w:sz="4" w:space="0" w:color="auto"/>
              <w:left w:val="single" w:sz="4" w:space="0" w:color="auto"/>
              <w:bottom w:val="single" w:sz="4" w:space="0" w:color="auto"/>
              <w:right w:val="single" w:sz="4" w:space="0" w:color="auto"/>
            </w:tcBorders>
          </w:tcPr>
          <w:p w14:paraId="5BCCC5FD" w14:textId="77777777" w:rsidR="00B957F4" w:rsidRPr="00A84A8D" w:rsidRDefault="00B957F4" w:rsidP="00796D2F">
            <w:pPr>
              <w:pStyle w:val="BodyLeft"/>
            </w:pPr>
            <w:r w:rsidRPr="00A84A8D">
              <w:t>Market price per unit.</w:t>
            </w:r>
          </w:p>
        </w:tc>
      </w:tr>
      <w:tr w:rsidR="00B957F4" w:rsidRPr="00A84A8D" w14:paraId="5B2786DC"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42A17177" w14:textId="77777777" w:rsidR="00B957F4" w:rsidRPr="00A84A8D" w:rsidRDefault="00B957F4" w:rsidP="00796D2F">
            <w:pPr>
              <w:rPr>
                <w:rFonts w:ascii="Verdana" w:hAnsi="Verdana"/>
              </w:rPr>
            </w:pPr>
            <w:r w:rsidRPr="00A84A8D">
              <w:rPr>
                <w:rFonts w:ascii="Verdana" w:hAnsi="Verdana"/>
              </w:rPr>
              <w:t>C0380</w:t>
            </w:r>
          </w:p>
        </w:tc>
        <w:tc>
          <w:tcPr>
            <w:tcW w:w="2268" w:type="dxa"/>
            <w:tcBorders>
              <w:top w:val="single" w:sz="4" w:space="0" w:color="auto"/>
              <w:left w:val="single" w:sz="4" w:space="0" w:color="auto"/>
              <w:bottom w:val="single" w:sz="4" w:space="0" w:color="auto"/>
              <w:right w:val="single" w:sz="4" w:space="0" w:color="auto"/>
            </w:tcBorders>
          </w:tcPr>
          <w:p w14:paraId="468AB134" w14:textId="77777777" w:rsidR="00B957F4" w:rsidRPr="00A84A8D" w:rsidRDefault="00B957F4" w:rsidP="00796D2F">
            <w:pPr>
              <w:pStyle w:val="BodyLeft"/>
            </w:pPr>
            <w:r w:rsidRPr="00A84A8D">
              <w:t xml:space="preserve">Unit percentage of </w:t>
            </w:r>
            <w:proofErr w:type="spellStart"/>
            <w:r w:rsidRPr="00A84A8D">
              <w:t>par amount</w:t>
            </w:r>
            <w:proofErr w:type="spellEnd"/>
            <w:r w:rsidRPr="00A84A8D">
              <w:t xml:space="preserve"> price</w:t>
            </w:r>
          </w:p>
        </w:tc>
        <w:tc>
          <w:tcPr>
            <w:tcW w:w="5386" w:type="dxa"/>
            <w:tcBorders>
              <w:top w:val="single" w:sz="4" w:space="0" w:color="auto"/>
              <w:left w:val="single" w:sz="4" w:space="0" w:color="auto"/>
              <w:bottom w:val="single" w:sz="4" w:space="0" w:color="auto"/>
              <w:right w:val="single" w:sz="4" w:space="0" w:color="auto"/>
            </w:tcBorders>
          </w:tcPr>
          <w:p w14:paraId="51BD02F6" w14:textId="77777777" w:rsidR="00B957F4" w:rsidRPr="00A84A8D" w:rsidRDefault="00B957F4" w:rsidP="00796D2F">
            <w:pPr>
              <w:pStyle w:val="BodyLeft"/>
            </w:pPr>
            <w:r w:rsidRPr="00A84A8D">
              <w:t>Percentage of the aggregated nominal amount.</w:t>
            </w:r>
          </w:p>
        </w:tc>
      </w:tr>
    </w:tbl>
    <w:p w14:paraId="166D8A8E" w14:textId="77777777" w:rsidR="00B957F4" w:rsidRPr="00A84A8D" w:rsidRDefault="00B957F4" w:rsidP="00B957F4">
      <w:pPr>
        <w:pStyle w:val="Heading4"/>
      </w:pPr>
      <w:bookmarkStart w:id="27" w:name="_Toc484604320"/>
      <w:bookmarkStart w:id="28" w:name="_Toc484788330"/>
      <w:bookmarkStart w:id="29" w:name="_Toc485028005"/>
    </w:p>
    <w:p w14:paraId="7239643B" w14:textId="239988F2" w:rsidR="00B957F4" w:rsidRPr="00A84A8D" w:rsidRDefault="00AE4ACD" w:rsidP="00B326D7">
      <w:pPr>
        <w:spacing w:after="200" w:line="276" w:lineRule="auto"/>
      </w:pPr>
      <w:r w:rsidRPr="00A84A8D">
        <w:rPr>
          <w:rFonts w:ascii="Verdana" w:hAnsi="Verdana"/>
          <w:b/>
          <w:bCs/>
        </w:rPr>
        <w:t>C</w:t>
      </w:r>
      <w:r w:rsidR="00B957F4" w:rsidRPr="00A84A8D">
        <w:rPr>
          <w:rFonts w:ascii="Verdana" w:hAnsi="Verdana"/>
          <w:b/>
          <w:bCs/>
        </w:rPr>
        <w:t>ollective investment undertakings - look through</w:t>
      </w:r>
      <w:bookmarkEnd w:id="27"/>
      <w:bookmarkEnd w:id="28"/>
      <w:r w:rsidR="00B957F4" w:rsidRPr="00A84A8D">
        <w:rPr>
          <w:rFonts w:ascii="Verdana" w:hAnsi="Verdana"/>
          <w:b/>
          <w:bCs/>
        </w:rPr>
        <w:t xml:space="preserve"> approach</w:t>
      </w:r>
      <w:bookmarkEnd w:id="29"/>
      <w:r w:rsidR="00B957F4" w:rsidRPr="00A84A8D">
        <w:rPr>
          <w:rFonts w:ascii="Verdana" w:hAnsi="Verdana"/>
          <w:b/>
          <w:bCs/>
        </w:rPr>
        <w:t xml:space="preserve"> (PF.06.03.24)</w:t>
      </w:r>
    </w:p>
    <w:p w14:paraId="1EC72F9C" w14:textId="77777777" w:rsidR="00B957F4" w:rsidRPr="00A84A8D" w:rsidRDefault="00B957F4" w:rsidP="00B42144">
      <w:pPr>
        <w:rPr>
          <w:rFonts w:ascii="Verdana" w:hAnsi="Verdana"/>
        </w:rPr>
      </w:pPr>
    </w:p>
    <w:p w14:paraId="3759F6CF" w14:textId="2D8BE484" w:rsidR="008D5C53" w:rsidRPr="00A84A8D" w:rsidRDefault="008D5C53" w:rsidP="00B326D7">
      <w:pPr>
        <w:jc w:val="both"/>
        <w:rPr>
          <w:rFonts w:ascii="Verdana" w:hAnsi="Verdana"/>
        </w:rPr>
      </w:pPr>
      <w:r w:rsidRPr="00A84A8D">
        <w:rPr>
          <w:rFonts w:ascii="Verdana" w:hAnsi="Verdana"/>
        </w:rPr>
        <w:t>For the purposes of providing individual information at Member State level, NCAs shall submit the following information on an annual basis. Only those IORPs that are included in the scope of the mandatory individual reporting as referred to in Article 1.1</w:t>
      </w:r>
      <w:r w:rsidR="00757BDE" w:rsidRPr="00A84A8D">
        <w:rPr>
          <w:rFonts w:ascii="Verdana" w:hAnsi="Verdana"/>
        </w:rPr>
        <w:t>4</w:t>
      </w:r>
      <w:r w:rsidR="00313C4D" w:rsidRPr="00A84A8D">
        <w:rPr>
          <w:rFonts w:ascii="Verdana" w:hAnsi="Verdana"/>
        </w:rPr>
        <w:t xml:space="preserve"> </w:t>
      </w:r>
      <w:r w:rsidRPr="00A84A8D">
        <w:rPr>
          <w:rFonts w:ascii="Verdana" w:hAnsi="Verdana"/>
        </w:rPr>
        <w:t xml:space="preserve">of </w:t>
      </w:r>
      <w:r w:rsidRPr="00897EF2">
        <w:rPr>
          <w:rFonts w:ascii="Verdana" w:hAnsi="Verdana"/>
        </w:rPr>
        <w:t xml:space="preserve">Decision </w:t>
      </w:r>
      <w:r w:rsidR="00557AC8">
        <w:rPr>
          <w:rFonts w:ascii="Verdana" w:hAnsi="Verdana"/>
        </w:rPr>
        <w:t>23/030</w:t>
      </w:r>
      <w:r w:rsidRPr="00897EF2">
        <w:rPr>
          <w:rFonts w:ascii="Verdana" w:hAnsi="Verdana"/>
        </w:rPr>
        <w:t xml:space="preserve"> are required to report this template.</w:t>
      </w:r>
    </w:p>
    <w:p w14:paraId="5A7A3708" w14:textId="0A01550C" w:rsidR="00B957F4" w:rsidRPr="00A84A8D" w:rsidRDefault="00B957F4" w:rsidP="00B326D7">
      <w:pPr>
        <w:jc w:val="both"/>
        <w:rPr>
          <w:rFonts w:ascii="Verdana" w:hAnsi="Verdana"/>
        </w:rPr>
      </w:pPr>
      <w:r w:rsidRPr="00A84A8D">
        <w:rPr>
          <w:rFonts w:ascii="Verdana" w:hAnsi="Verdana"/>
        </w:rPr>
        <w:t xml:space="preserve">In the template 'collective investment undertakings - look through approach' (PF.06.03.24), the following information about all collective investment undertakings held shall be reported, if the total value invested in collective investment </w:t>
      </w:r>
      <w:proofErr w:type="gramStart"/>
      <w:r w:rsidRPr="00A84A8D">
        <w:rPr>
          <w:rFonts w:ascii="Verdana" w:hAnsi="Verdana"/>
        </w:rPr>
        <w:t>undertakings  exceeds</w:t>
      </w:r>
      <w:proofErr w:type="gramEnd"/>
      <w:r w:rsidRPr="00A84A8D">
        <w:rPr>
          <w:rFonts w:ascii="Verdana" w:hAnsi="Verdana"/>
        </w:rPr>
        <w:t xml:space="preserve"> 10% of the total value of investments. The look-through information may cover only 90% of the total value of the collective investment undertakings. In that case, the remaining 10% (non-material residual values) shall be reported in PF.06.03.24 as 'CIC_4', country 'AA' and "Aggregated currencies due to application of threshold". </w:t>
      </w:r>
    </w:p>
    <w:p w14:paraId="1D9E1310" w14:textId="77777777" w:rsidR="00B957F4" w:rsidRPr="00A84A8D" w:rsidRDefault="00B957F4" w:rsidP="00B957F4">
      <w:pPr>
        <w:pStyle w:val="Heading4"/>
      </w:pPr>
    </w:p>
    <w:tbl>
      <w:tblPr>
        <w:tblW w:w="4965" w:type="pct"/>
        <w:tblCellMar>
          <w:left w:w="70" w:type="dxa"/>
          <w:right w:w="70" w:type="dxa"/>
        </w:tblCellMar>
        <w:tblLook w:val="04A0" w:firstRow="1" w:lastRow="0" w:firstColumn="1" w:lastColumn="0" w:noHBand="0" w:noVBand="1"/>
      </w:tblPr>
      <w:tblGrid>
        <w:gridCol w:w="2023"/>
        <w:gridCol w:w="2234"/>
        <w:gridCol w:w="5306"/>
      </w:tblGrid>
      <w:tr w:rsidR="00B957F4" w:rsidRPr="00A84A8D" w14:paraId="0BB5835A" w14:textId="77777777" w:rsidTr="00796D2F">
        <w:trPr>
          <w:trHeight w:val="300"/>
        </w:trPr>
        <w:tc>
          <w:tcPr>
            <w:tcW w:w="10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E0888" w14:textId="77777777" w:rsidR="00B957F4" w:rsidRPr="00A84A8D" w:rsidRDefault="00B957F4" w:rsidP="00796D2F">
            <w:pPr>
              <w:rPr>
                <w:rFonts w:ascii="Verdana" w:hAnsi="Verdana"/>
              </w:rPr>
            </w:pP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A1A54" w14:textId="77777777" w:rsidR="00B957F4" w:rsidRPr="00A84A8D" w:rsidRDefault="00B957F4" w:rsidP="00796D2F">
            <w:pPr>
              <w:pStyle w:val="BodyLeft"/>
              <w:rPr>
                <w:rStyle w:val="Bold"/>
              </w:rPr>
            </w:pPr>
            <w:r w:rsidRPr="00A84A8D">
              <w:rPr>
                <w:rStyle w:val="Bold"/>
              </w:rPr>
              <w:t>ITEM</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0E8F3" w14:textId="77777777" w:rsidR="00B957F4" w:rsidRPr="00A84A8D" w:rsidRDefault="00B957F4" w:rsidP="00796D2F">
            <w:pPr>
              <w:pStyle w:val="BodyLeft"/>
              <w:rPr>
                <w:rStyle w:val="Bold"/>
              </w:rPr>
            </w:pPr>
            <w:r w:rsidRPr="00A84A8D">
              <w:rPr>
                <w:rStyle w:val="Bold"/>
              </w:rPr>
              <w:t>INSTRUCTIONS</w:t>
            </w:r>
          </w:p>
        </w:tc>
      </w:tr>
      <w:tr w:rsidR="00B957F4" w:rsidRPr="00A84A8D" w14:paraId="4580451B" w14:textId="77777777" w:rsidTr="00796D2F">
        <w:trPr>
          <w:trHeight w:val="557"/>
        </w:trPr>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4D7CDBB3" w14:textId="77777777" w:rsidR="00B957F4" w:rsidRPr="00A84A8D" w:rsidRDefault="00B957F4" w:rsidP="00796D2F">
            <w:pPr>
              <w:rPr>
                <w:rFonts w:ascii="Verdana" w:hAnsi="Verdana"/>
              </w:rPr>
            </w:pPr>
            <w:r w:rsidRPr="00A84A8D">
              <w:rPr>
                <w:rFonts w:ascii="Verdana" w:hAnsi="Verdana"/>
                <w:lang w:val="pt-PT"/>
              </w:rPr>
              <w:t>C0010</w:t>
            </w:r>
          </w:p>
          <w:p w14:paraId="4A055138" w14:textId="77777777" w:rsidR="00B957F4" w:rsidRPr="00A84A8D" w:rsidRDefault="00B957F4" w:rsidP="00796D2F">
            <w:pPr>
              <w:rPr>
                <w:rFonts w:ascii="Verdana" w:hAnsi="Verdana"/>
                <w:lang w:val="pt-PT"/>
              </w:rPr>
            </w:pPr>
          </w:p>
        </w:tc>
        <w:tc>
          <w:tcPr>
            <w:tcW w:w="1168" w:type="pct"/>
            <w:tcBorders>
              <w:top w:val="single" w:sz="4" w:space="0" w:color="auto"/>
              <w:left w:val="nil"/>
              <w:bottom w:val="single" w:sz="4" w:space="0" w:color="auto"/>
              <w:right w:val="single" w:sz="4" w:space="0" w:color="auto"/>
            </w:tcBorders>
            <w:shd w:val="clear" w:color="auto" w:fill="auto"/>
            <w:hideMark/>
          </w:tcPr>
          <w:p w14:paraId="4909C076" w14:textId="77777777" w:rsidR="00B957F4" w:rsidRPr="00A84A8D" w:rsidRDefault="00B957F4" w:rsidP="00796D2F">
            <w:pPr>
              <w:pStyle w:val="BodyLeft"/>
            </w:pPr>
            <w:r w:rsidRPr="00A84A8D">
              <w:t>Collective Investments Undertaking ID Code</w:t>
            </w:r>
          </w:p>
        </w:tc>
        <w:tc>
          <w:tcPr>
            <w:tcW w:w="2774" w:type="pct"/>
            <w:tcBorders>
              <w:top w:val="single" w:sz="4" w:space="0" w:color="auto"/>
              <w:left w:val="nil"/>
              <w:bottom w:val="single" w:sz="4" w:space="0" w:color="auto"/>
              <w:right w:val="single" w:sz="4" w:space="0" w:color="auto"/>
            </w:tcBorders>
            <w:shd w:val="clear" w:color="000000" w:fill="FFFFFF"/>
            <w:hideMark/>
          </w:tcPr>
          <w:p w14:paraId="16295705" w14:textId="77777777" w:rsidR="00B957F4" w:rsidRPr="00A84A8D" w:rsidRDefault="00B957F4" w:rsidP="00796D2F">
            <w:pPr>
              <w:pStyle w:val="BodyLeft"/>
            </w:pPr>
            <w:r w:rsidRPr="00A84A8D">
              <w:t xml:space="preserve">Asset ID code using: </w:t>
            </w:r>
            <w:r w:rsidRPr="00A84A8D">
              <w:br/>
              <w:t xml:space="preserve">  - ISO 6166 code of ISIN </w:t>
            </w:r>
          </w:p>
          <w:p w14:paraId="4AFC20B9" w14:textId="77777777" w:rsidR="00B957F4" w:rsidRPr="00A84A8D" w:rsidRDefault="00B957F4" w:rsidP="00796D2F">
            <w:pPr>
              <w:pStyle w:val="BodyLeft"/>
            </w:pPr>
            <w:r w:rsidRPr="00A84A8D">
              <w:t>Only if ISIN code is not available:</w:t>
            </w:r>
            <w:r w:rsidRPr="00A84A8D">
              <w:br/>
              <w:t xml:space="preserve">  - Other recognised codes (e.g.: CUSIP, Bloomberg Ticker, Reuters RIC)</w:t>
            </w:r>
            <w:r w:rsidRPr="00A84A8D">
              <w:br/>
              <w:t xml:space="preserve">  - Code attributed, when other recognised codes are not available, and must be consistent over time</w:t>
            </w:r>
          </w:p>
        </w:tc>
      </w:tr>
      <w:tr w:rsidR="00B957F4" w:rsidRPr="00A84A8D" w14:paraId="6521BF39" w14:textId="77777777" w:rsidTr="00796D2F">
        <w:trPr>
          <w:trHeight w:val="487"/>
        </w:trPr>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64E7E5DD" w14:textId="77777777" w:rsidR="00B957F4" w:rsidRPr="00A84A8D" w:rsidRDefault="00B957F4" w:rsidP="00796D2F">
            <w:pPr>
              <w:rPr>
                <w:rFonts w:ascii="Verdana" w:hAnsi="Verdana"/>
              </w:rPr>
            </w:pPr>
            <w:r w:rsidRPr="00A84A8D">
              <w:rPr>
                <w:rFonts w:ascii="Verdana" w:hAnsi="Verdana"/>
              </w:rPr>
              <w:t>C0020</w:t>
            </w:r>
          </w:p>
          <w:p w14:paraId="2F6A2CF2" w14:textId="77777777" w:rsidR="00B957F4" w:rsidRPr="00A84A8D" w:rsidRDefault="00B957F4" w:rsidP="00796D2F">
            <w:pPr>
              <w:rPr>
                <w:rFonts w:ascii="Verdana" w:hAnsi="Verdana"/>
              </w:rPr>
            </w:pPr>
          </w:p>
        </w:tc>
        <w:tc>
          <w:tcPr>
            <w:tcW w:w="1168" w:type="pct"/>
            <w:tcBorders>
              <w:top w:val="single" w:sz="4" w:space="0" w:color="auto"/>
              <w:left w:val="nil"/>
              <w:bottom w:val="single" w:sz="4" w:space="0" w:color="auto"/>
              <w:right w:val="single" w:sz="4" w:space="0" w:color="auto"/>
            </w:tcBorders>
            <w:shd w:val="clear" w:color="auto" w:fill="auto"/>
            <w:hideMark/>
          </w:tcPr>
          <w:p w14:paraId="174B1BB4" w14:textId="77777777" w:rsidR="00B957F4" w:rsidRPr="00A84A8D" w:rsidRDefault="00B957F4" w:rsidP="00796D2F">
            <w:pPr>
              <w:pStyle w:val="BodyLeft"/>
            </w:pPr>
            <w:r w:rsidRPr="00A84A8D">
              <w:t>Collective Investments Undertaking ID Code type</w:t>
            </w:r>
          </w:p>
        </w:tc>
        <w:tc>
          <w:tcPr>
            <w:tcW w:w="2774" w:type="pct"/>
            <w:tcBorders>
              <w:top w:val="single" w:sz="4" w:space="0" w:color="auto"/>
              <w:left w:val="nil"/>
              <w:bottom w:val="single" w:sz="4" w:space="0" w:color="auto"/>
              <w:right w:val="single" w:sz="4" w:space="0" w:color="auto"/>
            </w:tcBorders>
            <w:shd w:val="clear" w:color="000000" w:fill="FFFFFF"/>
            <w:hideMark/>
          </w:tcPr>
          <w:p w14:paraId="37728F6C" w14:textId="77777777" w:rsidR="00B957F4" w:rsidRPr="00A84A8D" w:rsidRDefault="00B957F4" w:rsidP="00796D2F">
            <w:pPr>
              <w:pStyle w:val="BodyLeft"/>
            </w:pPr>
            <w:r w:rsidRPr="00A84A8D">
              <w:t>Type of ID Code used for the “Asset ID Code” item:</w:t>
            </w:r>
          </w:p>
          <w:p w14:paraId="40F50391" w14:textId="77777777" w:rsidR="00B957F4" w:rsidRPr="00A84A8D" w:rsidRDefault="00B957F4" w:rsidP="00796D2F">
            <w:pPr>
              <w:pStyle w:val="BodyLeft"/>
            </w:pPr>
            <w:r w:rsidRPr="00A84A8D">
              <w:t>1 - ISO/6166 for ISIN</w:t>
            </w:r>
          </w:p>
          <w:p w14:paraId="1296A9A5" w14:textId="77777777" w:rsidR="00B957F4" w:rsidRPr="00A84A8D" w:rsidRDefault="00B957F4" w:rsidP="00796D2F">
            <w:pPr>
              <w:pStyle w:val="BodyLeft"/>
            </w:pPr>
            <w:r w:rsidRPr="00A84A8D">
              <w:t>2 – CUSIP (The Committee on Uniform Securities Identification Procedures number assigned by the CUSIP Service Bureau for U.S. and Canadian companies)</w:t>
            </w:r>
          </w:p>
          <w:p w14:paraId="38F6DBDC" w14:textId="77777777" w:rsidR="00B957F4" w:rsidRPr="00A84A8D" w:rsidRDefault="00B957F4" w:rsidP="00796D2F">
            <w:pPr>
              <w:pStyle w:val="BodyLeft"/>
            </w:pPr>
            <w:r w:rsidRPr="00A84A8D">
              <w:t>3 – SEDOL (Stock Exchange Daily Official List for the London Stock Exchange)</w:t>
            </w:r>
          </w:p>
          <w:p w14:paraId="715D543F" w14:textId="77777777" w:rsidR="00B957F4" w:rsidRPr="00A84A8D" w:rsidRDefault="00B957F4" w:rsidP="00796D2F">
            <w:pPr>
              <w:pStyle w:val="BodyLeft"/>
            </w:pPr>
            <w:r w:rsidRPr="00A84A8D">
              <w:t>4 – WKN (</w:t>
            </w:r>
            <w:proofErr w:type="spellStart"/>
            <w:r w:rsidRPr="00A84A8D">
              <w:t>Wertpapier</w:t>
            </w:r>
            <w:proofErr w:type="spellEnd"/>
            <w:r w:rsidRPr="00A84A8D">
              <w:t xml:space="preserve"> Kenn-</w:t>
            </w:r>
            <w:proofErr w:type="spellStart"/>
            <w:r w:rsidRPr="00A84A8D">
              <w:t>Nummer</w:t>
            </w:r>
            <w:proofErr w:type="spellEnd"/>
            <w:r w:rsidRPr="00A84A8D">
              <w:t>, the alphanumeric German identification number)</w:t>
            </w:r>
          </w:p>
          <w:p w14:paraId="2475E01C" w14:textId="77777777" w:rsidR="00B957F4" w:rsidRPr="00A84A8D" w:rsidRDefault="00B957F4" w:rsidP="00796D2F">
            <w:pPr>
              <w:pStyle w:val="BodyLeft"/>
            </w:pPr>
            <w:r w:rsidRPr="00A84A8D">
              <w:t>5 - Bloomberg Ticker (Bloomberg letters code that identify a company's securities)</w:t>
            </w:r>
          </w:p>
          <w:p w14:paraId="59236950" w14:textId="77777777" w:rsidR="00B957F4" w:rsidRPr="00A84A8D" w:rsidRDefault="00B957F4" w:rsidP="00796D2F">
            <w:pPr>
              <w:pStyle w:val="BodyLeft"/>
            </w:pPr>
            <w:r w:rsidRPr="00A84A8D">
              <w:t>6 - BBGID (The Bloomberg Global ID)</w:t>
            </w:r>
          </w:p>
          <w:p w14:paraId="3E8C056B" w14:textId="77777777" w:rsidR="00B957F4" w:rsidRPr="00A84A8D" w:rsidRDefault="00B957F4" w:rsidP="00796D2F">
            <w:pPr>
              <w:pStyle w:val="BodyLeft"/>
              <w:rPr>
                <w:lang w:val="de-DE"/>
              </w:rPr>
            </w:pPr>
            <w:r w:rsidRPr="00A84A8D">
              <w:rPr>
                <w:lang w:val="de-DE"/>
              </w:rPr>
              <w:t>7 - Reuters RIC (Reuters instrument code)</w:t>
            </w:r>
          </w:p>
          <w:p w14:paraId="1CB8AE2B" w14:textId="77777777" w:rsidR="00B957F4" w:rsidRPr="00A84A8D" w:rsidRDefault="00B957F4" w:rsidP="00796D2F">
            <w:pPr>
              <w:pStyle w:val="BodyLeft"/>
              <w:rPr>
                <w:lang w:val="fr-BE"/>
              </w:rPr>
            </w:pPr>
            <w:r w:rsidRPr="00A84A8D">
              <w:rPr>
                <w:lang w:val="fr-FR"/>
              </w:rPr>
              <w:t xml:space="preserve">8 – </w:t>
            </w:r>
            <w:r w:rsidRPr="00A84A8D">
              <w:rPr>
                <w:lang w:val="fr-BE"/>
              </w:rPr>
              <w:t>FIGI (Financial Instrument Global Identifier)</w:t>
            </w:r>
          </w:p>
          <w:p w14:paraId="73FE685B" w14:textId="77777777" w:rsidR="00B957F4" w:rsidRPr="00A84A8D" w:rsidRDefault="00B957F4" w:rsidP="00796D2F">
            <w:pPr>
              <w:pStyle w:val="BodyLeft"/>
            </w:pPr>
            <w:r w:rsidRPr="00A84A8D">
              <w:t>9 – Other code by members of the Association of National Numbering Agencies</w:t>
            </w:r>
          </w:p>
          <w:p w14:paraId="01F668DE" w14:textId="77777777" w:rsidR="00B957F4" w:rsidRPr="00A84A8D" w:rsidRDefault="00B957F4" w:rsidP="00796D2F">
            <w:pPr>
              <w:pStyle w:val="BodyLeft"/>
            </w:pPr>
            <w:r w:rsidRPr="00A84A8D">
              <w:t>99 - Code attributed by Pension fund</w:t>
            </w:r>
          </w:p>
        </w:tc>
      </w:tr>
      <w:tr w:rsidR="00B957F4" w:rsidRPr="00A84A8D" w14:paraId="284E22AB" w14:textId="77777777" w:rsidTr="00796D2F">
        <w:trPr>
          <w:trHeight w:val="428"/>
        </w:trPr>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5AB1DEDA" w14:textId="77777777" w:rsidR="00B957F4" w:rsidRPr="00A84A8D" w:rsidRDefault="00B957F4" w:rsidP="00796D2F">
            <w:pPr>
              <w:rPr>
                <w:rFonts w:ascii="Verdana" w:hAnsi="Verdana"/>
              </w:rPr>
            </w:pPr>
            <w:r w:rsidRPr="00A84A8D">
              <w:rPr>
                <w:rFonts w:ascii="Verdana" w:hAnsi="Verdana"/>
                <w:lang w:val="pt-PT"/>
              </w:rPr>
              <w:t>C0030</w:t>
            </w:r>
          </w:p>
          <w:p w14:paraId="74BF2650" w14:textId="77777777" w:rsidR="00B957F4" w:rsidRPr="00A84A8D" w:rsidRDefault="00B957F4" w:rsidP="00796D2F">
            <w:pPr>
              <w:rPr>
                <w:rFonts w:ascii="Verdana" w:hAnsi="Verdana"/>
                <w:lang w:val="pt-PT"/>
              </w:rPr>
            </w:pPr>
          </w:p>
        </w:tc>
        <w:tc>
          <w:tcPr>
            <w:tcW w:w="1168" w:type="pct"/>
            <w:tcBorders>
              <w:top w:val="single" w:sz="4" w:space="0" w:color="auto"/>
              <w:left w:val="nil"/>
              <w:bottom w:val="single" w:sz="4" w:space="0" w:color="auto"/>
              <w:right w:val="single" w:sz="4" w:space="0" w:color="auto"/>
            </w:tcBorders>
            <w:shd w:val="clear" w:color="auto" w:fill="auto"/>
            <w:hideMark/>
          </w:tcPr>
          <w:p w14:paraId="642DB216" w14:textId="77777777" w:rsidR="00B957F4" w:rsidRPr="00A84A8D" w:rsidRDefault="00B957F4" w:rsidP="00796D2F">
            <w:pPr>
              <w:pStyle w:val="BodyLeft"/>
              <w:rPr>
                <w:lang w:val="pt-PT"/>
              </w:rPr>
            </w:pPr>
            <w:r w:rsidRPr="00A84A8D">
              <w:rPr>
                <w:lang w:val="pt-PT"/>
              </w:rPr>
              <w:t>Underlying asset category</w:t>
            </w:r>
          </w:p>
        </w:tc>
        <w:tc>
          <w:tcPr>
            <w:tcW w:w="2774" w:type="pct"/>
            <w:tcBorders>
              <w:top w:val="single" w:sz="4" w:space="0" w:color="auto"/>
              <w:left w:val="nil"/>
              <w:bottom w:val="single" w:sz="4" w:space="0" w:color="auto"/>
              <w:right w:val="single" w:sz="4" w:space="0" w:color="auto"/>
            </w:tcBorders>
            <w:shd w:val="clear" w:color="auto" w:fill="auto"/>
            <w:hideMark/>
          </w:tcPr>
          <w:p w14:paraId="4815ECE7" w14:textId="77777777" w:rsidR="00B957F4" w:rsidRPr="00A84A8D" w:rsidRDefault="00B957F4" w:rsidP="00796D2F">
            <w:pPr>
              <w:pStyle w:val="BodyLeft"/>
              <w:rPr>
                <w:lang w:val="en-US"/>
              </w:rPr>
            </w:pPr>
            <w:r w:rsidRPr="00A84A8D">
              <w:t>A</w:t>
            </w:r>
            <w:proofErr w:type="spellStart"/>
            <w:r w:rsidRPr="00A84A8D">
              <w:rPr>
                <w:lang w:val="en-US"/>
              </w:rPr>
              <w:t>sset</w:t>
            </w:r>
            <w:proofErr w:type="spellEnd"/>
            <w:r w:rsidRPr="00A84A8D">
              <w:rPr>
                <w:lang w:val="en-US"/>
              </w:rPr>
              <w:t xml:space="preserve"> categories, receivables and derivatives within the investment fund:</w:t>
            </w:r>
            <w:r w:rsidRPr="00A84A8D">
              <w:rPr>
                <w:lang w:val="en-US"/>
              </w:rPr>
              <w:br/>
              <w:t>1 - Government bonds</w:t>
            </w:r>
          </w:p>
          <w:p w14:paraId="0C2E3DE0" w14:textId="77777777" w:rsidR="00B957F4" w:rsidRPr="00A84A8D" w:rsidRDefault="00B957F4" w:rsidP="00796D2F">
            <w:pPr>
              <w:pStyle w:val="BodyLeft"/>
              <w:rPr>
                <w:lang w:val="en-US"/>
              </w:rPr>
            </w:pPr>
            <w:r w:rsidRPr="00A84A8D">
              <w:rPr>
                <w:lang w:val="en-US"/>
              </w:rPr>
              <w:t>2 - Corporate bonds</w:t>
            </w:r>
          </w:p>
          <w:p w14:paraId="650879B0" w14:textId="77777777" w:rsidR="00B957F4" w:rsidRPr="00A84A8D" w:rsidRDefault="00B957F4" w:rsidP="00796D2F">
            <w:pPr>
              <w:pStyle w:val="BodyLeft"/>
              <w:rPr>
                <w:lang w:val="en-US"/>
              </w:rPr>
            </w:pPr>
            <w:r w:rsidRPr="00A84A8D">
              <w:rPr>
                <w:lang w:val="en-US"/>
              </w:rPr>
              <w:t>3L - Listed equity</w:t>
            </w:r>
          </w:p>
          <w:p w14:paraId="11314170" w14:textId="77777777" w:rsidR="00B957F4" w:rsidRPr="00A84A8D" w:rsidRDefault="00B957F4" w:rsidP="00796D2F">
            <w:pPr>
              <w:pStyle w:val="BodyLeft"/>
              <w:rPr>
                <w:lang w:val="en-US"/>
              </w:rPr>
            </w:pPr>
            <w:r w:rsidRPr="00A84A8D">
              <w:rPr>
                <w:lang w:val="en-US"/>
              </w:rPr>
              <w:t>3X - Unlisted equity</w:t>
            </w:r>
          </w:p>
          <w:p w14:paraId="29A819C4" w14:textId="7028634E" w:rsidR="00B957F4" w:rsidRPr="00A84A8D" w:rsidRDefault="00B957F4" w:rsidP="00796D2F">
            <w:pPr>
              <w:pStyle w:val="BodyLeft"/>
              <w:rPr>
                <w:lang w:val="en-US"/>
              </w:rPr>
            </w:pPr>
            <w:r w:rsidRPr="00A84A8D">
              <w:rPr>
                <w:lang w:val="en-US"/>
              </w:rPr>
              <w:t>4 - Collective investment undertakings</w:t>
            </w:r>
          </w:p>
          <w:p w14:paraId="30F130E5" w14:textId="77777777" w:rsidR="00B957F4" w:rsidRPr="00A84A8D" w:rsidRDefault="00B957F4" w:rsidP="00796D2F">
            <w:pPr>
              <w:pStyle w:val="BodyLeft"/>
              <w:rPr>
                <w:lang w:val="en-US"/>
              </w:rPr>
            </w:pPr>
            <w:r w:rsidRPr="00A84A8D">
              <w:rPr>
                <w:lang w:val="en-US"/>
              </w:rPr>
              <w:t>5 - Structured notes</w:t>
            </w:r>
          </w:p>
          <w:p w14:paraId="2FED9FFA" w14:textId="77777777" w:rsidR="00B957F4" w:rsidRPr="00A84A8D" w:rsidRDefault="00B957F4" w:rsidP="00796D2F">
            <w:pPr>
              <w:pStyle w:val="BodyLeft"/>
              <w:rPr>
                <w:lang w:val="en-US"/>
              </w:rPr>
            </w:pPr>
            <w:r w:rsidRPr="00A84A8D">
              <w:rPr>
                <w:lang w:val="en-US"/>
              </w:rPr>
              <w:t xml:space="preserve">6 - </w:t>
            </w:r>
            <w:proofErr w:type="spellStart"/>
            <w:r w:rsidRPr="00A84A8D">
              <w:rPr>
                <w:lang w:val="en-US"/>
              </w:rPr>
              <w:t>Collateralised</w:t>
            </w:r>
            <w:proofErr w:type="spellEnd"/>
            <w:r w:rsidRPr="00A84A8D">
              <w:rPr>
                <w:lang w:val="en-US"/>
              </w:rPr>
              <w:t xml:space="preserve"> securities</w:t>
            </w:r>
          </w:p>
          <w:p w14:paraId="4A1F0B0B" w14:textId="77777777" w:rsidR="00B957F4" w:rsidRPr="00A84A8D" w:rsidRDefault="00B957F4" w:rsidP="00796D2F">
            <w:pPr>
              <w:pStyle w:val="BodyLeft"/>
              <w:rPr>
                <w:lang w:val="en-US"/>
              </w:rPr>
            </w:pPr>
            <w:r w:rsidRPr="00A84A8D">
              <w:rPr>
                <w:lang w:val="en-US"/>
              </w:rPr>
              <w:t>7 - Cash and deposits</w:t>
            </w:r>
          </w:p>
          <w:p w14:paraId="23F77AF1" w14:textId="77777777" w:rsidR="00B957F4" w:rsidRPr="00A84A8D" w:rsidRDefault="00B957F4" w:rsidP="00796D2F">
            <w:pPr>
              <w:pStyle w:val="BodyLeft"/>
              <w:rPr>
                <w:lang w:val="en-US"/>
              </w:rPr>
            </w:pPr>
            <w:r w:rsidRPr="00A84A8D">
              <w:rPr>
                <w:lang w:val="en-US"/>
              </w:rPr>
              <w:t>8 - Mortgages and loans</w:t>
            </w:r>
          </w:p>
          <w:p w14:paraId="68343023" w14:textId="77777777" w:rsidR="00B957F4" w:rsidRPr="00A84A8D" w:rsidRDefault="00B957F4" w:rsidP="00796D2F">
            <w:pPr>
              <w:pStyle w:val="BodyLeft"/>
              <w:rPr>
                <w:lang w:val="en-US"/>
              </w:rPr>
            </w:pPr>
            <w:r w:rsidRPr="00A84A8D">
              <w:rPr>
                <w:lang w:val="en-US"/>
              </w:rPr>
              <w:t>9 - Properties</w:t>
            </w:r>
          </w:p>
          <w:p w14:paraId="35279E95" w14:textId="77777777" w:rsidR="00B957F4" w:rsidRPr="00A84A8D" w:rsidRDefault="00B957F4" w:rsidP="00796D2F">
            <w:pPr>
              <w:pStyle w:val="BodyLeft"/>
              <w:rPr>
                <w:lang w:val="en-US"/>
              </w:rPr>
            </w:pPr>
            <w:r w:rsidRPr="00A84A8D">
              <w:rPr>
                <w:lang w:val="en-US"/>
              </w:rPr>
              <w:t>0 - Other investments (including receivables)</w:t>
            </w:r>
          </w:p>
          <w:p w14:paraId="4BFB9B3C" w14:textId="77777777" w:rsidR="00B957F4" w:rsidRPr="00A84A8D" w:rsidRDefault="00B957F4" w:rsidP="00796D2F">
            <w:pPr>
              <w:pStyle w:val="BodyLeft"/>
              <w:rPr>
                <w:lang w:val="en-US"/>
              </w:rPr>
            </w:pPr>
            <w:r w:rsidRPr="00A84A8D">
              <w:rPr>
                <w:lang w:val="en-US"/>
              </w:rPr>
              <w:t>A – Futures</w:t>
            </w:r>
          </w:p>
          <w:p w14:paraId="0E7F3639" w14:textId="77777777" w:rsidR="00B957F4" w:rsidRPr="00A84A8D" w:rsidRDefault="00B957F4" w:rsidP="00796D2F">
            <w:pPr>
              <w:pStyle w:val="BodyLeft"/>
              <w:rPr>
                <w:lang w:val="en-US"/>
              </w:rPr>
            </w:pPr>
            <w:r w:rsidRPr="00A84A8D">
              <w:rPr>
                <w:lang w:val="en-US"/>
              </w:rPr>
              <w:t>B – Call Options</w:t>
            </w:r>
          </w:p>
          <w:p w14:paraId="414FF1FD" w14:textId="77777777" w:rsidR="00B957F4" w:rsidRPr="00A84A8D" w:rsidRDefault="00B957F4" w:rsidP="00796D2F">
            <w:pPr>
              <w:pStyle w:val="BodyLeft"/>
              <w:rPr>
                <w:lang w:val="en-US"/>
              </w:rPr>
            </w:pPr>
            <w:r w:rsidRPr="00A84A8D">
              <w:rPr>
                <w:lang w:val="en-US"/>
              </w:rPr>
              <w:t>C – Put Options</w:t>
            </w:r>
          </w:p>
          <w:p w14:paraId="3303431D" w14:textId="77777777" w:rsidR="00B957F4" w:rsidRPr="00A84A8D" w:rsidRDefault="00B957F4" w:rsidP="00796D2F">
            <w:pPr>
              <w:pStyle w:val="BodyLeft"/>
              <w:rPr>
                <w:lang w:val="en-US"/>
              </w:rPr>
            </w:pPr>
            <w:r w:rsidRPr="00A84A8D">
              <w:rPr>
                <w:lang w:val="en-US"/>
              </w:rPr>
              <w:t>D – Swaps</w:t>
            </w:r>
          </w:p>
          <w:p w14:paraId="1F327EF6" w14:textId="77777777" w:rsidR="00B957F4" w:rsidRPr="00A84A8D" w:rsidRDefault="00B957F4" w:rsidP="00796D2F">
            <w:pPr>
              <w:pStyle w:val="BodyLeft"/>
              <w:rPr>
                <w:lang w:val="en-US"/>
              </w:rPr>
            </w:pPr>
            <w:r w:rsidRPr="00A84A8D">
              <w:rPr>
                <w:lang w:val="en-US"/>
              </w:rPr>
              <w:t>E – Forwards</w:t>
            </w:r>
          </w:p>
          <w:p w14:paraId="6F3D6B85" w14:textId="77777777" w:rsidR="00B957F4" w:rsidRPr="00A84A8D" w:rsidRDefault="00B957F4" w:rsidP="00796D2F">
            <w:pPr>
              <w:pStyle w:val="BodyLeft"/>
              <w:rPr>
                <w:lang w:val="en-US"/>
              </w:rPr>
            </w:pPr>
            <w:r w:rsidRPr="00A84A8D">
              <w:rPr>
                <w:lang w:val="en-US"/>
              </w:rPr>
              <w:t>F – Credit derivatives</w:t>
            </w:r>
          </w:p>
          <w:p w14:paraId="2252CA73" w14:textId="77777777" w:rsidR="00B957F4" w:rsidRPr="00A84A8D" w:rsidRDefault="00B957F4" w:rsidP="00796D2F">
            <w:pPr>
              <w:pStyle w:val="BodyLeft"/>
              <w:rPr>
                <w:lang w:val="en-US"/>
              </w:rPr>
            </w:pPr>
            <w:r w:rsidRPr="00A84A8D">
              <w:rPr>
                <w:lang w:val="en-US"/>
              </w:rPr>
              <w:t>L - Liabilities</w:t>
            </w:r>
          </w:p>
          <w:p w14:paraId="5D2D5E70" w14:textId="77777777" w:rsidR="00B957F4" w:rsidRPr="00A84A8D" w:rsidRDefault="00B957F4" w:rsidP="00796D2F">
            <w:pPr>
              <w:pStyle w:val="BodyLeft"/>
              <w:rPr>
                <w:lang w:val="en-US"/>
              </w:rPr>
            </w:pPr>
          </w:p>
          <w:p w14:paraId="308CE586" w14:textId="77777777" w:rsidR="00B957F4" w:rsidRPr="00A84A8D" w:rsidRDefault="00B957F4" w:rsidP="00796D2F">
            <w:pPr>
              <w:pStyle w:val="BodyLeft"/>
              <w:rPr>
                <w:lang w:val="en-US"/>
              </w:rPr>
            </w:pPr>
            <w:r w:rsidRPr="00A84A8D">
              <w:rPr>
                <w:lang w:val="en-US"/>
              </w:rPr>
              <w:t xml:space="preserve">When the look-through </w:t>
            </w:r>
            <w:r w:rsidRPr="00A84A8D">
              <w:t>applies to</w:t>
            </w:r>
            <w:r w:rsidRPr="00A84A8D">
              <w:rPr>
                <w:lang w:val="en-US"/>
              </w:rPr>
              <w:t xml:space="preserve"> a fund of funds, category “4 - Investment fund/share Units” shall be used only for non-material residual values. </w:t>
            </w:r>
          </w:p>
        </w:tc>
      </w:tr>
      <w:tr w:rsidR="00B957F4" w:rsidRPr="00A84A8D" w14:paraId="413F8294" w14:textId="77777777" w:rsidTr="00796D2F">
        <w:trPr>
          <w:trHeight w:val="2479"/>
        </w:trPr>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5894BD8E" w14:textId="77777777" w:rsidR="00B957F4" w:rsidRPr="00A84A8D" w:rsidRDefault="00B957F4" w:rsidP="00796D2F">
            <w:pPr>
              <w:rPr>
                <w:rFonts w:ascii="Verdana" w:hAnsi="Verdana"/>
              </w:rPr>
            </w:pPr>
            <w:r w:rsidRPr="00A84A8D">
              <w:rPr>
                <w:rFonts w:ascii="Verdana" w:hAnsi="Verdana"/>
                <w:lang w:val="pt-PT"/>
              </w:rPr>
              <w:t>C0040</w:t>
            </w:r>
          </w:p>
          <w:p w14:paraId="5D38DCB5" w14:textId="77777777" w:rsidR="00B957F4" w:rsidRPr="00A84A8D" w:rsidRDefault="00B957F4" w:rsidP="00796D2F">
            <w:pPr>
              <w:rPr>
                <w:rFonts w:ascii="Verdana" w:hAnsi="Verdana"/>
                <w:lang w:val="pt-PT"/>
              </w:rPr>
            </w:pPr>
          </w:p>
        </w:tc>
        <w:tc>
          <w:tcPr>
            <w:tcW w:w="1168" w:type="pct"/>
            <w:tcBorders>
              <w:top w:val="single" w:sz="4" w:space="0" w:color="auto"/>
              <w:left w:val="single" w:sz="4" w:space="0" w:color="auto"/>
              <w:bottom w:val="single" w:sz="4" w:space="0" w:color="auto"/>
              <w:right w:val="single" w:sz="4" w:space="0" w:color="auto"/>
            </w:tcBorders>
            <w:shd w:val="clear" w:color="auto" w:fill="auto"/>
            <w:hideMark/>
          </w:tcPr>
          <w:p w14:paraId="6977E9B6" w14:textId="77777777" w:rsidR="00B957F4" w:rsidRPr="00A84A8D" w:rsidRDefault="00B957F4" w:rsidP="00796D2F">
            <w:pPr>
              <w:pStyle w:val="BodyLeft"/>
              <w:rPr>
                <w:lang w:val="pt-PT"/>
              </w:rPr>
            </w:pPr>
            <w:r w:rsidRPr="00A84A8D">
              <w:rPr>
                <w:lang w:val="pt-PT"/>
              </w:rPr>
              <w:t>Country  of issue</w:t>
            </w:r>
          </w:p>
        </w:tc>
        <w:tc>
          <w:tcPr>
            <w:tcW w:w="2774" w:type="pct"/>
            <w:tcBorders>
              <w:top w:val="single" w:sz="4" w:space="0" w:color="auto"/>
              <w:left w:val="single" w:sz="4" w:space="0" w:color="auto"/>
              <w:bottom w:val="single" w:sz="4" w:space="0" w:color="auto"/>
              <w:right w:val="single" w:sz="4" w:space="0" w:color="auto"/>
            </w:tcBorders>
            <w:shd w:val="clear" w:color="auto" w:fill="auto"/>
            <w:hideMark/>
          </w:tcPr>
          <w:p w14:paraId="384DE2C7" w14:textId="77777777" w:rsidR="00B957F4" w:rsidRPr="00A84A8D" w:rsidRDefault="00B957F4" w:rsidP="00796D2F">
            <w:pPr>
              <w:pStyle w:val="BodyLeft"/>
            </w:pPr>
            <w:r w:rsidRPr="00A84A8D">
              <w:t>Country of localisation of the issuer, assessed by the address of the entity issuing the asset.</w:t>
            </w:r>
          </w:p>
          <w:p w14:paraId="1F01C935" w14:textId="77777777" w:rsidR="00B957F4" w:rsidRPr="00A84A8D" w:rsidRDefault="00B957F4" w:rsidP="00796D2F">
            <w:pPr>
              <w:pStyle w:val="BodyLeft"/>
            </w:pPr>
            <w:r w:rsidRPr="00A84A8D">
              <w:t xml:space="preserve">One of the options shall be used: </w:t>
            </w:r>
            <w:r w:rsidRPr="00A84A8D">
              <w:br/>
              <w:t xml:space="preserve">  - ISO 3166-1 alpha-2 code</w:t>
            </w:r>
            <w:r w:rsidRPr="00A84A8D">
              <w:br/>
              <w:t xml:space="preserve">  - XA: Supranational issuers</w:t>
            </w:r>
            <w:r w:rsidRPr="00A84A8D">
              <w:br/>
              <w:t xml:space="preserve">  - EU: European Union Institutions</w:t>
            </w:r>
          </w:p>
          <w:p w14:paraId="2290B2B9" w14:textId="77777777" w:rsidR="00B957F4" w:rsidRPr="00A84A8D" w:rsidRDefault="00B957F4" w:rsidP="00796D2F">
            <w:pPr>
              <w:pStyle w:val="BodyLeft"/>
            </w:pPr>
            <w:r w:rsidRPr="00A84A8D">
              <w:t xml:space="preserve">  - AA: aggregated countries due to application of threshold</w:t>
            </w:r>
          </w:p>
          <w:p w14:paraId="24252D17" w14:textId="2C664DA2" w:rsidR="00B957F4" w:rsidRPr="00A84A8D" w:rsidRDefault="00B957F4" w:rsidP="00796D2F">
            <w:pPr>
              <w:pStyle w:val="BodyLeft"/>
            </w:pPr>
            <w:r w:rsidRPr="00A84A8D">
              <w:t>This item is not applicable to Categories 8 and 9 as reported in C0030.</w:t>
            </w:r>
          </w:p>
        </w:tc>
      </w:tr>
      <w:tr w:rsidR="00B957F4" w:rsidRPr="00A84A8D" w14:paraId="7CD91608" w14:textId="77777777" w:rsidTr="00796D2F">
        <w:trPr>
          <w:trHeight w:val="1255"/>
        </w:trPr>
        <w:tc>
          <w:tcPr>
            <w:tcW w:w="1058" w:type="pct"/>
            <w:tcBorders>
              <w:top w:val="single" w:sz="4" w:space="0" w:color="auto"/>
              <w:left w:val="single" w:sz="4" w:space="0" w:color="auto"/>
              <w:bottom w:val="nil"/>
              <w:right w:val="single" w:sz="4" w:space="0" w:color="auto"/>
            </w:tcBorders>
            <w:shd w:val="clear" w:color="auto" w:fill="auto"/>
            <w:hideMark/>
          </w:tcPr>
          <w:p w14:paraId="3C813C96" w14:textId="77777777" w:rsidR="00B957F4" w:rsidRPr="00A84A8D" w:rsidRDefault="00B957F4" w:rsidP="00796D2F">
            <w:pPr>
              <w:rPr>
                <w:rFonts w:ascii="Verdana" w:hAnsi="Verdana"/>
              </w:rPr>
            </w:pPr>
            <w:r w:rsidRPr="00A84A8D">
              <w:rPr>
                <w:rFonts w:ascii="Verdana" w:hAnsi="Verdana"/>
                <w:lang w:val="en-US"/>
              </w:rPr>
              <w:t>C0050</w:t>
            </w:r>
          </w:p>
          <w:p w14:paraId="44FE11A5" w14:textId="77777777" w:rsidR="00B957F4" w:rsidRPr="00A84A8D" w:rsidRDefault="00B957F4" w:rsidP="00796D2F">
            <w:pPr>
              <w:rPr>
                <w:rFonts w:ascii="Verdana" w:hAnsi="Verdana"/>
                <w:lang w:val="en-US"/>
              </w:rPr>
            </w:pPr>
          </w:p>
        </w:tc>
        <w:tc>
          <w:tcPr>
            <w:tcW w:w="1168" w:type="pct"/>
            <w:tcBorders>
              <w:top w:val="single" w:sz="4" w:space="0" w:color="auto"/>
              <w:left w:val="nil"/>
              <w:bottom w:val="nil"/>
              <w:right w:val="single" w:sz="4" w:space="0" w:color="auto"/>
            </w:tcBorders>
            <w:shd w:val="clear" w:color="auto" w:fill="auto"/>
            <w:hideMark/>
          </w:tcPr>
          <w:p w14:paraId="61F7C7E6" w14:textId="77777777" w:rsidR="00B957F4" w:rsidRPr="00A84A8D" w:rsidRDefault="00B957F4" w:rsidP="00796D2F">
            <w:pPr>
              <w:pStyle w:val="BodyLeft"/>
              <w:rPr>
                <w:lang w:val="en-US"/>
              </w:rPr>
            </w:pPr>
            <w:r w:rsidRPr="00A84A8D">
              <w:rPr>
                <w:lang w:val="en-US"/>
              </w:rPr>
              <w:t xml:space="preserve">Currency </w:t>
            </w:r>
          </w:p>
        </w:tc>
        <w:tc>
          <w:tcPr>
            <w:tcW w:w="2774" w:type="pct"/>
            <w:tcBorders>
              <w:top w:val="single" w:sz="4" w:space="0" w:color="auto"/>
              <w:left w:val="nil"/>
              <w:bottom w:val="nil"/>
              <w:right w:val="single" w:sz="4" w:space="0" w:color="auto"/>
            </w:tcBorders>
            <w:shd w:val="clear" w:color="auto" w:fill="auto"/>
            <w:hideMark/>
          </w:tcPr>
          <w:p w14:paraId="79BC9E0A" w14:textId="77777777" w:rsidR="00B957F4" w:rsidRPr="00A84A8D" w:rsidRDefault="00B957F4" w:rsidP="00796D2F">
            <w:pPr>
              <w:pStyle w:val="BodyLeft"/>
            </w:pPr>
            <w:r w:rsidRPr="00A84A8D">
              <w:t>C</w:t>
            </w:r>
            <w:proofErr w:type="spellStart"/>
            <w:r w:rsidRPr="00A84A8D">
              <w:rPr>
                <w:lang w:val="en-US"/>
              </w:rPr>
              <w:t>urrency</w:t>
            </w:r>
            <w:proofErr w:type="spellEnd"/>
            <w:r w:rsidRPr="00A84A8D">
              <w:rPr>
                <w:lang w:val="en-US"/>
              </w:rPr>
              <w:t xml:space="preserve"> of the asset category is the reporting currency or a foreign currency. All other currencies than the reporting currency are referred to as foreign currencies:</w:t>
            </w:r>
            <w:r w:rsidRPr="00A84A8D">
              <w:rPr>
                <w:lang w:val="en-US"/>
              </w:rPr>
              <w:br/>
              <w:t>1 - Reporting currency</w:t>
            </w:r>
            <w:r w:rsidRPr="00A84A8D">
              <w:rPr>
                <w:lang w:val="en-US"/>
              </w:rPr>
              <w:br/>
              <w:t>2 - Foreign currency</w:t>
            </w:r>
          </w:p>
          <w:p w14:paraId="5407DD84" w14:textId="77777777" w:rsidR="00B957F4" w:rsidRPr="00A84A8D" w:rsidRDefault="00B957F4" w:rsidP="00796D2F">
            <w:pPr>
              <w:pStyle w:val="BodyLeft"/>
            </w:pPr>
            <w:r w:rsidRPr="00A84A8D">
              <w:t>3 – Aggregated currencies due to application of threshold.</w:t>
            </w:r>
          </w:p>
          <w:p w14:paraId="4CCA02C5" w14:textId="77777777" w:rsidR="00B957F4" w:rsidRPr="00A84A8D" w:rsidRDefault="00B957F4" w:rsidP="00796D2F">
            <w:pPr>
              <w:pStyle w:val="BodyLeft"/>
              <w:rPr>
                <w:lang w:val="en-US"/>
              </w:rPr>
            </w:pPr>
          </w:p>
        </w:tc>
      </w:tr>
      <w:tr w:rsidR="00B957F4" w:rsidRPr="00A84A8D" w14:paraId="093B384F" w14:textId="77777777" w:rsidTr="00796D2F">
        <w:trPr>
          <w:trHeight w:val="1020"/>
        </w:trPr>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2F2F2246" w14:textId="77777777" w:rsidR="00B957F4" w:rsidRPr="00A84A8D" w:rsidRDefault="00B957F4" w:rsidP="00796D2F">
            <w:pPr>
              <w:rPr>
                <w:rFonts w:ascii="Verdana" w:hAnsi="Verdana"/>
              </w:rPr>
            </w:pPr>
            <w:r w:rsidRPr="00A84A8D">
              <w:rPr>
                <w:rFonts w:ascii="Verdana" w:hAnsi="Verdana"/>
                <w:lang w:val="pt-PT"/>
              </w:rPr>
              <w:t>C0060</w:t>
            </w:r>
          </w:p>
          <w:p w14:paraId="3E42AA87" w14:textId="77777777" w:rsidR="00B957F4" w:rsidRPr="00A84A8D" w:rsidRDefault="00B957F4" w:rsidP="00796D2F">
            <w:pPr>
              <w:rPr>
                <w:rFonts w:ascii="Verdana" w:hAnsi="Verdana"/>
                <w:lang w:val="pt-PT"/>
              </w:rPr>
            </w:pPr>
          </w:p>
        </w:tc>
        <w:tc>
          <w:tcPr>
            <w:tcW w:w="1168" w:type="pct"/>
            <w:tcBorders>
              <w:top w:val="single" w:sz="4" w:space="0" w:color="auto"/>
              <w:left w:val="nil"/>
              <w:bottom w:val="single" w:sz="4" w:space="0" w:color="auto"/>
              <w:right w:val="single" w:sz="4" w:space="0" w:color="auto"/>
            </w:tcBorders>
            <w:shd w:val="clear" w:color="auto" w:fill="auto"/>
            <w:hideMark/>
          </w:tcPr>
          <w:p w14:paraId="1E94C161" w14:textId="77777777" w:rsidR="00B957F4" w:rsidRPr="00A84A8D" w:rsidRDefault="00B957F4" w:rsidP="00796D2F">
            <w:pPr>
              <w:pStyle w:val="BodyLeft"/>
              <w:rPr>
                <w:lang w:val="pt-PT"/>
              </w:rPr>
            </w:pPr>
            <w:r w:rsidRPr="00A84A8D">
              <w:rPr>
                <w:lang w:val="pt-PT"/>
              </w:rPr>
              <w:t>Total amount</w:t>
            </w:r>
          </w:p>
        </w:tc>
        <w:tc>
          <w:tcPr>
            <w:tcW w:w="2774" w:type="pct"/>
            <w:tcBorders>
              <w:top w:val="single" w:sz="4" w:space="0" w:color="auto"/>
              <w:left w:val="nil"/>
              <w:bottom w:val="single" w:sz="4" w:space="0" w:color="auto"/>
              <w:right w:val="single" w:sz="4" w:space="0" w:color="auto"/>
            </w:tcBorders>
            <w:shd w:val="clear" w:color="auto" w:fill="auto"/>
            <w:hideMark/>
          </w:tcPr>
          <w:p w14:paraId="4BCB72E4" w14:textId="6BBD1AF6" w:rsidR="00B957F4" w:rsidRPr="00A84A8D" w:rsidRDefault="00B957F4" w:rsidP="00796D2F">
            <w:pPr>
              <w:pStyle w:val="BodyLeft"/>
              <w:rPr>
                <w:lang w:val="en-US"/>
              </w:rPr>
            </w:pPr>
            <w:r w:rsidRPr="00A84A8D">
              <w:rPr>
                <w:lang w:val="en-US"/>
              </w:rPr>
              <w:t xml:space="preserve">Total amount invested by asset category, </w:t>
            </w:r>
            <w:proofErr w:type="gramStart"/>
            <w:r w:rsidRPr="00A84A8D">
              <w:rPr>
                <w:lang w:val="en-US"/>
              </w:rPr>
              <w:t>country</w:t>
            </w:r>
            <w:proofErr w:type="gramEnd"/>
            <w:r w:rsidRPr="00A84A8D">
              <w:rPr>
                <w:lang w:val="en-US"/>
              </w:rPr>
              <w:t xml:space="preserve"> and currency through collective investment undertakings. </w:t>
            </w:r>
          </w:p>
          <w:p w14:paraId="570367B3" w14:textId="77777777" w:rsidR="00B957F4" w:rsidRPr="00A84A8D" w:rsidRDefault="00B957F4" w:rsidP="00796D2F">
            <w:pPr>
              <w:pStyle w:val="BodyLeft"/>
              <w:rPr>
                <w:lang w:val="en-US"/>
              </w:rPr>
            </w:pPr>
            <w:r w:rsidRPr="00A84A8D">
              <w:rPr>
                <w:lang w:val="en-US"/>
              </w:rPr>
              <w:t>For liabilities</w:t>
            </w:r>
            <w:r w:rsidRPr="00A84A8D">
              <w:t xml:space="preserve"> (L)</w:t>
            </w:r>
            <w:r w:rsidRPr="00A84A8D">
              <w:rPr>
                <w:lang w:val="en-US"/>
              </w:rPr>
              <w:t xml:space="preserve"> a positive amount shall be reported.</w:t>
            </w:r>
            <w:r w:rsidRPr="00A84A8D">
              <w:t xml:space="preserve"> However, when reporting derivatives (A to F) if the amount corresponds to a </w:t>
            </w:r>
            <w:proofErr w:type="gramStart"/>
            <w:r w:rsidRPr="00A84A8D">
              <w:t>liability</w:t>
            </w:r>
            <w:proofErr w:type="gramEnd"/>
            <w:r w:rsidRPr="00A84A8D">
              <w:t xml:space="preserve"> it shall be reported as a negative amount.</w:t>
            </w:r>
          </w:p>
          <w:p w14:paraId="38AE13D2" w14:textId="77777777" w:rsidR="00B957F4" w:rsidRPr="00A84A8D" w:rsidRDefault="00B957F4" w:rsidP="00796D2F">
            <w:pPr>
              <w:pStyle w:val="BodyLeft"/>
            </w:pPr>
            <w:r w:rsidRPr="00A84A8D">
              <w:t>Therefore, f</w:t>
            </w:r>
            <w:r w:rsidRPr="00A84A8D">
              <w:rPr>
                <w:lang w:val="en-US"/>
              </w:rPr>
              <w:t>or derivatives</w:t>
            </w:r>
            <w:r w:rsidRPr="00A84A8D">
              <w:t>,</w:t>
            </w:r>
            <w:r w:rsidRPr="00A84A8D">
              <w:rPr>
                <w:lang w:val="en-US"/>
              </w:rPr>
              <w:t xml:space="preserve"> the </w:t>
            </w:r>
            <w:r w:rsidRPr="00A84A8D">
              <w:t>t</w:t>
            </w:r>
            <w:proofErr w:type="spellStart"/>
            <w:r w:rsidRPr="00A84A8D">
              <w:rPr>
                <w:lang w:val="en-US"/>
              </w:rPr>
              <w:t>otal</w:t>
            </w:r>
            <w:proofErr w:type="spellEnd"/>
            <w:r w:rsidRPr="00A84A8D">
              <w:rPr>
                <w:lang w:val="en-US"/>
              </w:rPr>
              <w:t xml:space="preserve"> amount can be positive (if an asset) or negative (if a liability).</w:t>
            </w:r>
          </w:p>
        </w:tc>
      </w:tr>
    </w:tbl>
    <w:p w14:paraId="3FEBDA15" w14:textId="77777777" w:rsidR="00B957F4" w:rsidRPr="00A84A8D" w:rsidRDefault="00B957F4" w:rsidP="00B957F4">
      <w:pPr>
        <w:pStyle w:val="Heading4"/>
      </w:pPr>
      <w:bookmarkStart w:id="30" w:name="_Toc484604321"/>
      <w:bookmarkStart w:id="31" w:name="_Toc484788331"/>
      <w:bookmarkStart w:id="32" w:name="_Toc485028006"/>
      <w:r w:rsidRPr="00A84A8D">
        <w:t>Open derivatives (PF.08.01.24, PF.08.01.26)</w:t>
      </w:r>
    </w:p>
    <w:p w14:paraId="561A37FC" w14:textId="1166F1C8" w:rsidR="00B957F4" w:rsidRPr="00A84A8D" w:rsidRDefault="00B957F4" w:rsidP="00B957F4">
      <w:pPr>
        <w:pStyle w:val="Heading4"/>
        <w:rPr>
          <w:b w:val="0"/>
        </w:rPr>
      </w:pPr>
      <w:r w:rsidRPr="00897EF2">
        <w:rPr>
          <w:b w:val="0"/>
        </w:rPr>
        <w:t xml:space="preserve">This section relates to quarterly and annual submission of information for individual entities and aggregate reporting. </w:t>
      </w:r>
      <w:r w:rsidR="002D1F7B" w:rsidRPr="00897EF2">
        <w:rPr>
          <w:b w:val="0"/>
        </w:rPr>
        <w:t>Only those IORPs that are included in the scope of the mandatory individual reporting as referred to in Article 1.1</w:t>
      </w:r>
      <w:r w:rsidR="00313C4D" w:rsidRPr="00897EF2">
        <w:rPr>
          <w:b w:val="0"/>
        </w:rPr>
        <w:t>4</w:t>
      </w:r>
      <w:r w:rsidR="00BF50A4" w:rsidRPr="00897EF2">
        <w:rPr>
          <w:b w:val="0"/>
        </w:rPr>
        <w:t>(a)</w:t>
      </w:r>
      <w:r w:rsidR="002D1F7B" w:rsidRPr="00897EF2">
        <w:rPr>
          <w:b w:val="0"/>
        </w:rPr>
        <w:t xml:space="preserve"> of Decision </w:t>
      </w:r>
      <w:r w:rsidR="00557AC8">
        <w:rPr>
          <w:b w:val="0"/>
        </w:rPr>
        <w:t>23/030</w:t>
      </w:r>
      <w:r w:rsidR="00897EF2" w:rsidRPr="00897EF2">
        <w:rPr>
          <w:b w:val="0"/>
        </w:rPr>
        <w:t xml:space="preserve"> </w:t>
      </w:r>
      <w:r w:rsidR="002D1F7B" w:rsidRPr="00897EF2">
        <w:rPr>
          <w:b w:val="0"/>
        </w:rPr>
        <w:t>are required to report this template quarterly.</w:t>
      </w:r>
    </w:p>
    <w:p w14:paraId="46E2AF04" w14:textId="77777777" w:rsidR="00B957F4" w:rsidRPr="00A84A8D" w:rsidRDefault="00B957F4" w:rsidP="00B957F4">
      <w:pPr>
        <w:pStyle w:val="Heading4"/>
        <w:rPr>
          <w:b w:val="0"/>
        </w:rPr>
      </w:pPr>
      <w:r w:rsidRPr="00A84A8D">
        <w:rPr>
          <w:b w:val="0"/>
        </w:rPr>
        <w:t>The derivatives categories referred to in this template are the ones defined in Annex IV – Assets Categories of this Regulation and references to CIC codes refer to Annex VI – CIC table of this Regulation. This template contains an item–by–item list of derivatives held directly by the undertaking (</w:t>
      </w:r>
      <w:proofErr w:type="gramStart"/>
      <w:r w:rsidRPr="00A84A8D">
        <w:rPr>
          <w:b w:val="0"/>
        </w:rPr>
        <w:t>i.e.</w:t>
      </w:r>
      <w:proofErr w:type="gramEnd"/>
      <w:r w:rsidRPr="00A84A8D">
        <w:rPr>
          <w:b w:val="0"/>
        </w:rPr>
        <w:t xml:space="preserve"> not on a look–through basis), classifiable as asset categories A to F. </w:t>
      </w:r>
    </w:p>
    <w:p w14:paraId="0160F896" w14:textId="4F03A47A" w:rsidR="00B957F4" w:rsidRPr="00A84A8D" w:rsidRDefault="00B957F4" w:rsidP="00B957F4">
      <w:pPr>
        <w:pStyle w:val="Heading4"/>
        <w:rPr>
          <w:b w:val="0"/>
        </w:rPr>
      </w:pPr>
      <w:r w:rsidRPr="00A84A8D">
        <w:rPr>
          <w:b w:val="0"/>
        </w:rPr>
        <w:t xml:space="preserve">Derivatives are considered assets if their </w:t>
      </w:r>
      <w:r w:rsidR="001F4EEC" w:rsidRPr="00A84A8D">
        <w:rPr>
          <w:b w:val="0"/>
        </w:rPr>
        <w:t>market value</w:t>
      </w:r>
      <w:r w:rsidRPr="00A84A8D">
        <w:rPr>
          <w:b w:val="0"/>
        </w:rPr>
        <w:t xml:space="preserve"> is positive or zero. They are considered liabilities if their </w:t>
      </w:r>
      <w:r w:rsidR="001F4EEC" w:rsidRPr="00A84A8D">
        <w:rPr>
          <w:b w:val="0"/>
        </w:rPr>
        <w:t>market value</w:t>
      </w:r>
      <w:r w:rsidRPr="00A84A8D">
        <w:rPr>
          <w:b w:val="0"/>
        </w:rPr>
        <w:t xml:space="preserve"> is negative. Both derivatives considered as assets or considered as liabilities shall be included.</w:t>
      </w:r>
    </w:p>
    <w:p w14:paraId="002D3497" w14:textId="77777777" w:rsidR="00B957F4" w:rsidRPr="00A84A8D" w:rsidRDefault="00B957F4" w:rsidP="00B957F4">
      <w:pPr>
        <w:pStyle w:val="Heading4"/>
        <w:rPr>
          <w:b w:val="0"/>
        </w:rPr>
      </w:pPr>
      <w:r w:rsidRPr="00A84A8D">
        <w:rPr>
          <w:b w:val="0"/>
        </w:rPr>
        <w:t xml:space="preserve">Information shall include all derivatives contracts that existed during the reporting period and were not closed prior to the reporting reference date. </w:t>
      </w:r>
    </w:p>
    <w:p w14:paraId="61472AC5" w14:textId="77777777" w:rsidR="00B957F4" w:rsidRPr="00A84A8D" w:rsidRDefault="00B957F4" w:rsidP="00B957F4">
      <w:pPr>
        <w:pStyle w:val="Heading4"/>
        <w:rPr>
          <w:b w:val="0"/>
        </w:rPr>
      </w:pPr>
      <w:r w:rsidRPr="00A84A8D">
        <w:rPr>
          <w:b w:val="0"/>
        </w:rPr>
        <w:t xml:space="preserve">If there are frequent trades on the same derivative, resulting in multiple open positions, the derivative can be reported on an aggregated or net basis, as long as all the relevant characteristics are common and following the specific instruction for each relevant item. </w:t>
      </w:r>
    </w:p>
    <w:p w14:paraId="0240A976" w14:textId="77777777" w:rsidR="00B957F4" w:rsidRPr="00A84A8D" w:rsidRDefault="00B957F4" w:rsidP="00B957F4">
      <w:pPr>
        <w:pStyle w:val="Heading4"/>
        <w:rPr>
          <w:b w:val="0"/>
        </w:rPr>
      </w:pPr>
      <w:r w:rsidRPr="00A84A8D">
        <w:rPr>
          <w:b w:val="0"/>
        </w:rPr>
        <w:t xml:space="preserve">Items shall be reported with positive values unless otherwise stated in the respective instructions. </w:t>
      </w:r>
    </w:p>
    <w:p w14:paraId="05B1D270" w14:textId="77777777" w:rsidR="00B957F4" w:rsidRPr="00A84A8D" w:rsidRDefault="00B957F4" w:rsidP="00B957F4">
      <w:pPr>
        <w:pStyle w:val="Heading4"/>
        <w:rPr>
          <w:b w:val="0"/>
        </w:rPr>
      </w:pPr>
      <w:r w:rsidRPr="00A84A8D">
        <w:rPr>
          <w:b w:val="0"/>
        </w:rPr>
        <w:t xml:space="preserve">A derivative is a financial instrument or other contract with all three of the following characteristics: </w:t>
      </w:r>
    </w:p>
    <w:p w14:paraId="11E2B981" w14:textId="77777777" w:rsidR="00B957F4" w:rsidRPr="00A84A8D" w:rsidRDefault="00B957F4" w:rsidP="00B957F4">
      <w:pPr>
        <w:pStyle w:val="Heading4"/>
        <w:numPr>
          <w:ilvl w:val="0"/>
          <w:numId w:val="18"/>
        </w:numPr>
        <w:rPr>
          <w:b w:val="0"/>
        </w:rPr>
      </w:pPr>
      <w:r w:rsidRPr="00A84A8D">
        <w:rPr>
          <w:b w:val="0"/>
        </w:rPr>
        <w:t xml:space="preserve">Its value changes in response to the change in a specified interest rate, financial instrument price, commodity price, foreign exchange rate, index of prices or rates, credit rating or credit index, or other variable, provided in the case of a non–financial variable that the variable is not specific to a party to the contract (sometimes called the ‘underlying’). </w:t>
      </w:r>
    </w:p>
    <w:p w14:paraId="41F357C8" w14:textId="77777777" w:rsidR="00B957F4" w:rsidRPr="00A84A8D" w:rsidRDefault="00B957F4" w:rsidP="00B957F4">
      <w:pPr>
        <w:pStyle w:val="Heading4"/>
        <w:numPr>
          <w:ilvl w:val="0"/>
          <w:numId w:val="18"/>
        </w:numPr>
        <w:rPr>
          <w:b w:val="0"/>
        </w:rPr>
      </w:pPr>
      <w:r w:rsidRPr="00A84A8D">
        <w:rPr>
          <w:b w:val="0"/>
        </w:rPr>
        <w:t xml:space="preserve">It requires no initial net investment or an initial net investment that is smaller than would be required for other types of contracts that would be expected to have a similar response to changes in market factors. </w:t>
      </w:r>
    </w:p>
    <w:p w14:paraId="2F7B5AA7" w14:textId="77777777" w:rsidR="00B957F4" w:rsidRPr="00A84A8D" w:rsidRDefault="00B957F4" w:rsidP="00B957F4">
      <w:pPr>
        <w:pStyle w:val="Heading4"/>
        <w:numPr>
          <w:ilvl w:val="0"/>
          <w:numId w:val="18"/>
        </w:numPr>
        <w:rPr>
          <w:b w:val="0"/>
        </w:rPr>
      </w:pPr>
      <w:r w:rsidRPr="00A84A8D">
        <w:rPr>
          <w:b w:val="0"/>
        </w:rPr>
        <w:t xml:space="preserve">It is settled at a future date. </w:t>
      </w:r>
    </w:p>
    <w:p w14:paraId="2A51834C" w14:textId="77777777" w:rsidR="00B957F4" w:rsidRPr="00A84A8D" w:rsidRDefault="00B957F4" w:rsidP="00B957F4">
      <w:pPr>
        <w:pStyle w:val="Heading4"/>
        <w:rPr>
          <w:b w:val="0"/>
        </w:rPr>
      </w:pPr>
      <w:r w:rsidRPr="00A84A8D">
        <w:rPr>
          <w:b w:val="0"/>
        </w:rPr>
        <w:t xml:space="preserve">This template comprises two tables: Information on positions held and Information on derivatives. </w:t>
      </w:r>
    </w:p>
    <w:p w14:paraId="1426D128" w14:textId="77777777" w:rsidR="00B957F4" w:rsidRPr="00A84A8D" w:rsidRDefault="00B957F4" w:rsidP="00B957F4">
      <w:pPr>
        <w:pStyle w:val="Heading4"/>
        <w:rPr>
          <w:b w:val="0"/>
        </w:rPr>
      </w:pPr>
      <w:r w:rsidRPr="00A84A8D">
        <w:rPr>
          <w:b w:val="0"/>
        </w:rPr>
        <w:t xml:space="preserve">On the table Information on positions held, each derivative shall be reported separately in as many rows as needed in order to properly fill in all non-monetary variables, requested in that table. If for the same derivative two values can be attributed to one variable, then this derivative needs to be reported in more than one line. </w:t>
      </w:r>
    </w:p>
    <w:p w14:paraId="30329724" w14:textId="77777777" w:rsidR="00B957F4" w:rsidRPr="00A84A8D" w:rsidRDefault="00B957F4" w:rsidP="00B957F4">
      <w:pPr>
        <w:pStyle w:val="Heading4"/>
        <w:rPr>
          <w:b w:val="0"/>
        </w:rPr>
      </w:pPr>
      <w:r w:rsidRPr="00A84A8D">
        <w:rPr>
          <w:b w:val="0"/>
        </w:rPr>
        <w:t xml:space="preserve">In particular, for derivatives that have more than a pair of currencies, it shall be split into the pair components and reported in different rows. </w:t>
      </w:r>
    </w:p>
    <w:p w14:paraId="1FDD0EFB" w14:textId="77777777" w:rsidR="00B957F4" w:rsidRPr="00A84A8D" w:rsidRDefault="00B957F4" w:rsidP="00B957F4">
      <w:pPr>
        <w:pStyle w:val="Heading4"/>
        <w:rPr>
          <w:b w:val="0"/>
        </w:rPr>
      </w:pPr>
      <w:r w:rsidRPr="00A84A8D">
        <w:rPr>
          <w:b w:val="0"/>
        </w:rPr>
        <w:t xml:space="preserve">On the table Information on derivative, each derivative shall be reported separately, with one row for each derivative, filling in all variables requested in that table. </w:t>
      </w:r>
    </w:p>
    <w:p w14:paraId="7E9470EC" w14:textId="77777777" w:rsidR="00B957F4" w:rsidRPr="00A84A8D" w:rsidRDefault="00B957F4" w:rsidP="00B957F4">
      <w:pPr>
        <w:pStyle w:val="Heading4"/>
        <w:rPr>
          <w:b w:val="0"/>
        </w:rPr>
      </w:pPr>
      <w:r w:rsidRPr="00A84A8D">
        <w:rPr>
          <w:b w:val="0"/>
        </w:rPr>
        <w:t xml:space="preserve">The information regarding the External rating (C0290) and Nominated ECAI (C0300) may be limited (not reported) in the following circumstances: </w:t>
      </w:r>
    </w:p>
    <w:p w14:paraId="1FBD015A" w14:textId="7C016E0F" w:rsidR="00B957F4" w:rsidRPr="00A84A8D" w:rsidRDefault="00B957F4" w:rsidP="00B957F4">
      <w:pPr>
        <w:pStyle w:val="Heading4"/>
        <w:numPr>
          <w:ilvl w:val="0"/>
          <w:numId w:val="19"/>
        </w:numPr>
        <w:rPr>
          <w:b w:val="0"/>
        </w:rPr>
      </w:pPr>
      <w:r w:rsidRPr="00A84A8D">
        <w:rPr>
          <w:b w:val="0"/>
        </w:rPr>
        <w:t xml:space="preserve">through a decision of the national supervisory authority; or </w:t>
      </w:r>
    </w:p>
    <w:p w14:paraId="30E997AA" w14:textId="29EDF99D" w:rsidR="00B957F4" w:rsidRPr="00A84A8D" w:rsidRDefault="00B957F4" w:rsidP="00B957F4">
      <w:pPr>
        <w:pStyle w:val="Heading4"/>
        <w:numPr>
          <w:ilvl w:val="0"/>
          <w:numId w:val="19"/>
        </w:numPr>
        <w:rPr>
          <w:b w:val="0"/>
        </w:rPr>
      </w:pPr>
      <w:r w:rsidRPr="00A84A8D">
        <w:rPr>
          <w:b w:val="0"/>
        </w:rPr>
        <w:t xml:space="preserve">through a decision of the national supervisory authority in the cases where the </w:t>
      </w:r>
      <w:r w:rsidR="001F4EEC" w:rsidRPr="00A84A8D">
        <w:rPr>
          <w:b w:val="0"/>
        </w:rPr>
        <w:t>IORPs</w:t>
      </w:r>
      <w:r w:rsidRPr="00A84A8D">
        <w:rPr>
          <w:b w:val="0"/>
        </w:rPr>
        <w:t xml:space="preserve"> have in place outsourcing arrangements in the area of investments that lead to this specific information not being available directly to the undertaking.</w:t>
      </w:r>
    </w:p>
    <w:p w14:paraId="0C6C108E" w14:textId="77777777" w:rsidR="00B957F4" w:rsidRPr="00A84A8D" w:rsidRDefault="00B957F4" w:rsidP="00B957F4">
      <w:pPr>
        <w:pStyle w:val="Heading4"/>
        <w:ind w:left="720"/>
        <w:rPr>
          <w:b w:val="0"/>
        </w:rPr>
      </w:pPr>
    </w:p>
    <w:tbl>
      <w:tblPr>
        <w:tblStyle w:val="TableGrid"/>
        <w:tblW w:w="9323" w:type="dxa"/>
        <w:tblInd w:w="5" w:type="dxa"/>
        <w:tblCellMar>
          <w:left w:w="108" w:type="dxa"/>
          <w:right w:w="78" w:type="dxa"/>
        </w:tblCellMar>
        <w:tblLook w:val="04A0" w:firstRow="1" w:lastRow="0" w:firstColumn="1" w:lastColumn="0" w:noHBand="0" w:noVBand="1"/>
      </w:tblPr>
      <w:tblGrid>
        <w:gridCol w:w="1224"/>
        <w:gridCol w:w="2403"/>
        <w:gridCol w:w="5696"/>
      </w:tblGrid>
      <w:tr w:rsidR="00B957F4" w:rsidRPr="00A84A8D" w14:paraId="61148DB7" w14:textId="77777777" w:rsidTr="00796D2F">
        <w:trPr>
          <w:trHeight w:val="468"/>
        </w:trPr>
        <w:tc>
          <w:tcPr>
            <w:tcW w:w="3627" w:type="dxa"/>
            <w:gridSpan w:val="2"/>
            <w:tcBorders>
              <w:top w:val="single" w:sz="4" w:space="0" w:color="000000"/>
              <w:left w:val="single" w:sz="4" w:space="0" w:color="000000"/>
              <w:bottom w:val="single" w:sz="4" w:space="0" w:color="000000"/>
              <w:right w:val="nil"/>
            </w:tcBorders>
            <w:tcMar>
              <w:top w:w="15" w:type="dxa"/>
              <w:left w:w="108" w:type="dxa"/>
              <w:bottom w:w="0" w:type="dxa"/>
              <w:right w:w="78" w:type="dxa"/>
            </w:tcMar>
            <w:vAlign w:val="bottom"/>
            <w:hideMark/>
          </w:tcPr>
          <w:p w14:paraId="28C3C91E" w14:textId="77777777" w:rsidR="00B957F4" w:rsidRPr="00A84A8D" w:rsidRDefault="00B957F4" w:rsidP="00796D2F">
            <w:pPr>
              <w:rPr>
                <w:rFonts w:ascii="Verdana" w:eastAsia="Calibri" w:hAnsi="Verdana" w:cs="Calibri"/>
              </w:rPr>
            </w:pPr>
            <w:r w:rsidRPr="00A84A8D">
              <w:rPr>
                <w:rFonts w:ascii="Verdana" w:eastAsia="Times New Roman" w:hAnsi="Verdana" w:cs="Times New Roman"/>
                <w:b/>
              </w:rPr>
              <w:t>Information on positions held</w:t>
            </w:r>
            <w:r w:rsidRPr="00A84A8D">
              <w:rPr>
                <w:rFonts w:ascii="Verdana" w:eastAsia="Times New Roman" w:hAnsi="Verdana" w:cs="Times New Roman"/>
              </w:rPr>
              <w:t xml:space="preserve"> </w:t>
            </w:r>
          </w:p>
          <w:p w14:paraId="7A0739D8" w14:textId="77777777" w:rsidR="00B957F4" w:rsidRPr="00A84A8D" w:rsidRDefault="00B957F4" w:rsidP="00796D2F">
            <w:pPr>
              <w:ind w:left="504"/>
              <w:rPr>
                <w:rFonts w:ascii="Verdana" w:hAnsi="Verdana"/>
              </w:rPr>
            </w:pPr>
            <w:r w:rsidRPr="00A84A8D">
              <w:rPr>
                <w:rFonts w:ascii="Verdana" w:eastAsia="Times New Roman" w:hAnsi="Verdana" w:cs="Times New Roman"/>
              </w:rPr>
              <w:t xml:space="preserve"> </w:t>
            </w:r>
          </w:p>
        </w:tc>
        <w:tc>
          <w:tcPr>
            <w:tcW w:w="5696" w:type="dxa"/>
            <w:tcBorders>
              <w:top w:val="single" w:sz="4" w:space="0" w:color="000000"/>
              <w:left w:val="nil"/>
              <w:bottom w:val="single" w:sz="4" w:space="0" w:color="000000"/>
              <w:right w:val="single" w:sz="4" w:space="0" w:color="000000"/>
            </w:tcBorders>
            <w:tcMar>
              <w:top w:w="15" w:type="dxa"/>
              <w:left w:w="108" w:type="dxa"/>
              <w:bottom w:w="0" w:type="dxa"/>
              <w:right w:w="78" w:type="dxa"/>
            </w:tcMar>
            <w:vAlign w:val="center"/>
            <w:hideMark/>
          </w:tcPr>
          <w:p w14:paraId="02430B48" w14:textId="77777777" w:rsidR="00B957F4" w:rsidRPr="00A84A8D" w:rsidRDefault="00B957F4" w:rsidP="00796D2F">
            <w:pPr>
              <w:rPr>
                <w:rFonts w:ascii="Verdana" w:hAnsi="Verdana"/>
              </w:rPr>
            </w:pPr>
            <w:r w:rsidRPr="00A84A8D">
              <w:rPr>
                <w:rFonts w:ascii="Verdana" w:eastAsia="Times New Roman" w:hAnsi="Verdana" w:cs="Times New Roman"/>
              </w:rPr>
              <w:t xml:space="preserve"> </w:t>
            </w:r>
          </w:p>
        </w:tc>
      </w:tr>
      <w:tr w:rsidR="00B957F4" w:rsidRPr="00A84A8D" w14:paraId="5B240985" w14:textId="77777777" w:rsidTr="00796D2F">
        <w:trPr>
          <w:trHeight w:val="476"/>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tcPr>
          <w:p w14:paraId="6C8D8709" w14:textId="77777777" w:rsidR="00B957F4" w:rsidRPr="00A84A8D" w:rsidRDefault="00B957F4" w:rsidP="00796D2F">
            <w:pPr>
              <w:rPr>
                <w:rFonts w:ascii="Verdana" w:hAnsi="Verdana"/>
              </w:rPr>
            </w:pP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hideMark/>
          </w:tcPr>
          <w:p w14:paraId="0C826826" w14:textId="77777777" w:rsidR="00B957F4" w:rsidRPr="00A84A8D" w:rsidRDefault="00B957F4" w:rsidP="00796D2F">
            <w:pPr>
              <w:ind w:right="35"/>
              <w:jc w:val="center"/>
              <w:rPr>
                <w:rFonts w:ascii="Verdana" w:hAnsi="Verdana"/>
              </w:rPr>
            </w:pPr>
            <w:r w:rsidRPr="00A84A8D">
              <w:rPr>
                <w:rFonts w:ascii="Verdana" w:eastAsia="Times New Roman" w:hAnsi="Verdana" w:cs="Times New Roman"/>
                <w:b/>
              </w:rPr>
              <w:t xml:space="preserve">ITEM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hideMark/>
          </w:tcPr>
          <w:p w14:paraId="01E2214C" w14:textId="77777777" w:rsidR="00B957F4" w:rsidRPr="00A84A8D" w:rsidRDefault="00B957F4" w:rsidP="00796D2F">
            <w:pPr>
              <w:ind w:right="36"/>
              <w:jc w:val="center"/>
              <w:rPr>
                <w:rFonts w:ascii="Verdana" w:hAnsi="Verdana"/>
              </w:rPr>
            </w:pPr>
            <w:r w:rsidRPr="00A84A8D">
              <w:rPr>
                <w:rFonts w:ascii="Verdana" w:eastAsia="Times New Roman" w:hAnsi="Verdana" w:cs="Times New Roman"/>
                <w:b/>
              </w:rPr>
              <w:t xml:space="preserve">INSTRUCTIONS </w:t>
            </w:r>
          </w:p>
        </w:tc>
      </w:tr>
      <w:tr w:rsidR="00B957F4" w:rsidRPr="00A84A8D" w14:paraId="4277EC10" w14:textId="77777777" w:rsidTr="00796D2F">
        <w:trPr>
          <w:trHeight w:val="475"/>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vAlign w:val="center"/>
            <w:hideMark/>
          </w:tcPr>
          <w:p w14:paraId="108E13E8" w14:textId="77777777" w:rsidR="00B957F4" w:rsidRPr="00A84A8D" w:rsidRDefault="00B957F4" w:rsidP="00796D2F">
            <w:pPr>
              <w:rPr>
                <w:rFonts w:ascii="Verdana" w:hAnsi="Verdana"/>
              </w:rPr>
            </w:pPr>
            <w:r w:rsidRPr="00A84A8D">
              <w:rPr>
                <w:rFonts w:ascii="Verdana" w:eastAsia="Times New Roman" w:hAnsi="Verdana" w:cs="Times New Roman"/>
              </w:rPr>
              <w:t xml:space="preserve">C0001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vAlign w:val="center"/>
            <w:hideMark/>
          </w:tcPr>
          <w:p w14:paraId="359E5491" w14:textId="77777777" w:rsidR="00B957F4" w:rsidRPr="00A84A8D" w:rsidRDefault="00B957F4" w:rsidP="00796D2F">
            <w:pPr>
              <w:rPr>
                <w:rFonts w:ascii="Verdana" w:hAnsi="Verdana"/>
              </w:rPr>
            </w:pPr>
            <w:r w:rsidRPr="00A84A8D">
              <w:rPr>
                <w:rFonts w:ascii="Verdana" w:eastAsia="Times New Roman" w:hAnsi="Verdana" w:cs="Times New Roman"/>
              </w:rPr>
              <w:t xml:space="preserve">Line identification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hideMark/>
          </w:tcPr>
          <w:p w14:paraId="161F1BBD" w14:textId="77777777" w:rsidR="00B957F4" w:rsidRPr="00A84A8D" w:rsidRDefault="00B957F4" w:rsidP="00796D2F">
            <w:pPr>
              <w:rPr>
                <w:rFonts w:ascii="Verdana" w:hAnsi="Verdana"/>
              </w:rPr>
            </w:pPr>
            <w:r w:rsidRPr="00A84A8D">
              <w:rPr>
                <w:rFonts w:ascii="Verdana" w:eastAsia="Times New Roman" w:hAnsi="Verdana" w:cs="Times New Roman"/>
              </w:rPr>
              <w:t xml:space="preserve">Artificial column code assuring uniqueness of a row </w:t>
            </w:r>
          </w:p>
        </w:tc>
      </w:tr>
      <w:tr w:rsidR="00B957F4" w:rsidRPr="00A84A8D" w14:paraId="6553BE91" w14:textId="77777777" w:rsidTr="00B42144">
        <w:tblPrEx>
          <w:tblCellMar>
            <w:left w:w="0" w:type="dxa"/>
          </w:tblCellMar>
        </w:tblPrEx>
        <w:trPr>
          <w:trHeight w:val="1006"/>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hideMark/>
          </w:tcPr>
          <w:p w14:paraId="0DA809D1" w14:textId="77777777" w:rsidR="00B957F4" w:rsidRPr="00A84A8D" w:rsidRDefault="00B957F4" w:rsidP="00796D2F">
            <w:pPr>
              <w:rPr>
                <w:rFonts w:ascii="Verdana" w:hAnsi="Verdana"/>
              </w:rPr>
            </w:pPr>
            <w:r w:rsidRPr="00A84A8D">
              <w:rPr>
                <w:rFonts w:ascii="Verdana" w:eastAsia="Times New Roman" w:hAnsi="Verdana" w:cs="Times New Roman"/>
              </w:rPr>
              <w:t xml:space="preserve">C0002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hideMark/>
          </w:tcPr>
          <w:p w14:paraId="028D4EE7" w14:textId="77777777" w:rsidR="00B957F4" w:rsidRPr="00A84A8D" w:rsidRDefault="00B957F4" w:rsidP="00B957F4">
            <w:pPr>
              <w:rPr>
                <w:rFonts w:ascii="Verdana" w:hAnsi="Verdana"/>
              </w:rPr>
            </w:pPr>
            <w:r w:rsidRPr="00A84A8D">
              <w:rPr>
                <w:rFonts w:ascii="Verdana" w:eastAsia="Times New Roman" w:hAnsi="Verdana" w:cs="Times New Roman"/>
              </w:rPr>
              <w:t xml:space="preserve">Pension fund identification code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vAlign w:val="bottom"/>
            <w:hideMark/>
          </w:tcPr>
          <w:p w14:paraId="02189B56" w14:textId="77777777" w:rsidR="00B957F4" w:rsidRPr="00A84A8D" w:rsidRDefault="00B957F4" w:rsidP="00796D2F">
            <w:pPr>
              <w:spacing w:after="136"/>
              <w:rPr>
                <w:rFonts w:ascii="Verdana" w:hAnsi="Verdana"/>
              </w:rPr>
            </w:pPr>
            <w:r w:rsidRPr="00A84A8D">
              <w:rPr>
                <w:rFonts w:ascii="Verdana" w:eastAsia="Times New Roman" w:hAnsi="Verdana" w:cs="Times New Roman"/>
              </w:rPr>
              <w:t xml:space="preserve">Identification code of the pension fund: </w:t>
            </w:r>
          </w:p>
          <w:p w14:paraId="050BD431" w14:textId="77777777" w:rsidR="00B957F4" w:rsidRPr="00A84A8D" w:rsidRDefault="00B957F4" w:rsidP="00796D2F">
            <w:pPr>
              <w:spacing w:after="101"/>
              <w:rPr>
                <w:rFonts w:ascii="Verdana" w:hAnsi="Verdana"/>
              </w:rPr>
            </w:pPr>
            <w:r w:rsidRPr="00A84A8D">
              <w:rPr>
                <w:rFonts w:ascii="Verdana" w:eastAsia="Times New Roman" w:hAnsi="Verdana" w:cs="Times New Roman"/>
              </w:rPr>
              <w:t xml:space="preserve"> – Legal Entity Identifier (“LEI”) </w:t>
            </w:r>
          </w:p>
          <w:p w14:paraId="31D80AC7" w14:textId="463B0B11" w:rsidR="00B957F4" w:rsidRPr="00A84A8D" w:rsidRDefault="00B957F4" w:rsidP="00796D2F">
            <w:pPr>
              <w:rPr>
                <w:rFonts w:ascii="Verdana" w:hAnsi="Verdana"/>
              </w:rPr>
            </w:pPr>
            <w:r w:rsidRPr="00A84A8D">
              <w:rPr>
                <w:rFonts w:ascii="Verdana" w:eastAsia="Times New Roman" w:hAnsi="Verdana" w:cs="Times New Roman"/>
              </w:rPr>
              <w:t xml:space="preserve"> Only if the pension fund does not have a LEI code</w:t>
            </w:r>
            <w:r w:rsidR="004D1672" w:rsidRPr="00A84A8D">
              <w:rPr>
                <w:rFonts w:ascii="Verdana" w:eastAsia="Times New Roman" w:hAnsi="Verdana" w:cs="Times New Roman"/>
              </w:rPr>
              <w:t xml:space="preserve"> </w:t>
            </w:r>
            <w:r w:rsidR="004D1672" w:rsidRPr="00A84A8D">
              <w:rPr>
                <w:rFonts w:ascii="Verdana" w:hAnsi="Verdana"/>
              </w:rPr>
              <w:t>and not in the scope of the mandatory individual reporting</w:t>
            </w:r>
            <w:r w:rsidRPr="00A84A8D">
              <w:rPr>
                <w:rFonts w:ascii="Verdana" w:eastAsia="Times New Roman" w:hAnsi="Verdana" w:cs="Times New Roman"/>
              </w:rPr>
              <w:t xml:space="preserve">: identification code used in the local market, attributed by supervisory authority. This code should be the code used to identify codes in EIOPA register on IORPs. </w:t>
            </w:r>
          </w:p>
          <w:p w14:paraId="4822423B" w14:textId="77777777" w:rsidR="00B957F4" w:rsidRPr="00A84A8D" w:rsidRDefault="00B957F4" w:rsidP="00B957F4">
            <w:pPr>
              <w:rPr>
                <w:rFonts w:ascii="Verdana" w:hAnsi="Verdana"/>
              </w:rPr>
            </w:pPr>
            <w:r w:rsidRPr="00A84A8D">
              <w:rPr>
                <w:rFonts w:ascii="Verdana" w:eastAsia="Times New Roman" w:hAnsi="Verdana" w:cs="Times New Roman"/>
              </w:rPr>
              <w:t xml:space="preserve"> </w:t>
            </w:r>
          </w:p>
        </w:tc>
      </w:tr>
      <w:tr w:rsidR="00B957F4" w:rsidRPr="00A84A8D" w14:paraId="532BE9DE" w14:textId="77777777" w:rsidTr="00796D2F">
        <w:trPr>
          <w:trHeight w:val="3029"/>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hideMark/>
          </w:tcPr>
          <w:p w14:paraId="58C29CD6" w14:textId="77777777" w:rsidR="00B957F4" w:rsidRPr="00A84A8D" w:rsidRDefault="00B957F4" w:rsidP="00796D2F">
            <w:pPr>
              <w:rPr>
                <w:rFonts w:ascii="Verdana" w:hAnsi="Verdana"/>
              </w:rPr>
            </w:pPr>
            <w:r w:rsidRPr="00A84A8D">
              <w:rPr>
                <w:rFonts w:ascii="Verdana" w:eastAsia="Times New Roman" w:hAnsi="Verdana" w:cs="Times New Roman"/>
              </w:rPr>
              <w:t xml:space="preserve">C0010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hideMark/>
          </w:tcPr>
          <w:p w14:paraId="3D07A79E" w14:textId="77777777" w:rsidR="00B957F4" w:rsidRPr="00A84A8D" w:rsidRDefault="00B957F4" w:rsidP="00796D2F">
            <w:pPr>
              <w:rPr>
                <w:rFonts w:ascii="Verdana" w:hAnsi="Verdana"/>
              </w:rPr>
            </w:pPr>
            <w:r w:rsidRPr="00A84A8D">
              <w:rPr>
                <w:rFonts w:ascii="Verdana" w:eastAsia="Times New Roman" w:hAnsi="Verdana" w:cs="Times New Roman"/>
              </w:rPr>
              <w:t xml:space="preserve">Derivative ID Code and Type of code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78" w:type="dxa"/>
            </w:tcMar>
            <w:vAlign w:val="bottom"/>
            <w:hideMark/>
          </w:tcPr>
          <w:p w14:paraId="69B6251F" w14:textId="77777777" w:rsidR="00B957F4" w:rsidRPr="00A84A8D" w:rsidRDefault="00B957F4" w:rsidP="00796D2F">
            <w:pPr>
              <w:rPr>
                <w:rFonts w:ascii="Verdana" w:hAnsi="Verdana"/>
              </w:rPr>
            </w:pPr>
            <w:r w:rsidRPr="00A84A8D">
              <w:rPr>
                <w:rFonts w:ascii="Verdana" w:eastAsia="Times New Roman" w:hAnsi="Verdana" w:cs="Times New Roman"/>
              </w:rPr>
              <w:t xml:space="preserve">This information combines data about Derivative ID Code (columns </w:t>
            </w:r>
          </w:p>
          <w:p w14:paraId="0BBB1678" w14:textId="77777777" w:rsidR="00B957F4" w:rsidRPr="00A84A8D" w:rsidRDefault="00B957F4" w:rsidP="00796D2F">
            <w:pPr>
              <w:spacing w:after="61" w:line="300" w:lineRule="auto"/>
              <w:ind w:right="287"/>
              <w:rPr>
                <w:rFonts w:ascii="Verdana" w:hAnsi="Verdana"/>
              </w:rPr>
            </w:pPr>
            <w:r w:rsidRPr="00A84A8D">
              <w:rPr>
                <w:rFonts w:ascii="Verdana" w:eastAsia="Times New Roman" w:hAnsi="Verdana" w:cs="Times New Roman"/>
              </w:rPr>
              <w:t xml:space="preserve">C0010 and C0110 from BoS decision) and Derivative ID Code Type (columns C0020 and C0120 from BoS decision) Derivative ID code using:  </w:t>
            </w:r>
          </w:p>
          <w:p w14:paraId="2359A4E8" w14:textId="77777777" w:rsidR="00B957F4" w:rsidRPr="00A84A8D" w:rsidRDefault="00B957F4" w:rsidP="00796D2F">
            <w:pPr>
              <w:numPr>
                <w:ilvl w:val="0"/>
                <w:numId w:val="20"/>
              </w:numPr>
              <w:spacing w:after="101"/>
              <w:rPr>
                <w:rFonts w:ascii="Verdana" w:hAnsi="Verdana"/>
              </w:rPr>
            </w:pPr>
            <w:r w:rsidRPr="00A84A8D">
              <w:rPr>
                <w:rFonts w:ascii="Verdana" w:eastAsia="Times New Roman" w:hAnsi="Verdana" w:cs="Times New Roman"/>
              </w:rPr>
              <w:t xml:space="preserve">ISO 6166 code of ISIN </w:t>
            </w:r>
          </w:p>
          <w:p w14:paraId="41180B4F" w14:textId="77777777" w:rsidR="00B957F4" w:rsidRPr="00A84A8D" w:rsidRDefault="00B957F4" w:rsidP="00796D2F">
            <w:pPr>
              <w:spacing w:after="99"/>
              <w:rPr>
                <w:rFonts w:ascii="Verdana" w:hAnsi="Verdana"/>
              </w:rPr>
            </w:pPr>
            <w:r w:rsidRPr="00A84A8D">
              <w:rPr>
                <w:rFonts w:ascii="Verdana" w:eastAsia="Times New Roman" w:hAnsi="Verdana" w:cs="Times New Roman"/>
              </w:rPr>
              <w:t xml:space="preserve">Only if ISIN code is not available: </w:t>
            </w:r>
          </w:p>
          <w:p w14:paraId="5276A3EC" w14:textId="77777777" w:rsidR="00B957F4" w:rsidRPr="00A84A8D" w:rsidRDefault="00B957F4" w:rsidP="00796D2F">
            <w:pPr>
              <w:numPr>
                <w:ilvl w:val="0"/>
                <w:numId w:val="20"/>
              </w:numPr>
              <w:spacing w:after="120"/>
              <w:rPr>
                <w:rFonts w:ascii="Verdana" w:hAnsi="Verdana"/>
              </w:rPr>
            </w:pPr>
            <w:r w:rsidRPr="00A84A8D">
              <w:rPr>
                <w:rFonts w:ascii="Verdana" w:eastAsia="Times New Roman" w:hAnsi="Verdana" w:cs="Times New Roman"/>
              </w:rPr>
              <w:t xml:space="preserve">Other recognised codes (e.g.: CUSIP, Bloomberg Ticker, Reuters RIC) </w:t>
            </w:r>
          </w:p>
          <w:p w14:paraId="2C7B86DA" w14:textId="77777777" w:rsidR="00B957F4" w:rsidRPr="00A84A8D" w:rsidRDefault="00B957F4" w:rsidP="00796D2F">
            <w:pPr>
              <w:numPr>
                <w:ilvl w:val="0"/>
                <w:numId w:val="20"/>
              </w:numPr>
              <w:rPr>
                <w:rFonts w:ascii="Verdana" w:hAnsi="Verdana"/>
              </w:rPr>
            </w:pPr>
            <w:r w:rsidRPr="00A84A8D">
              <w:rPr>
                <w:rFonts w:ascii="Verdana" w:eastAsia="Times New Roman" w:hAnsi="Verdana" w:cs="Times New Roman"/>
              </w:rPr>
              <w:t xml:space="preserve">Code </w:t>
            </w:r>
            <w:proofErr w:type="gramStart"/>
            <w:r w:rsidRPr="00A84A8D">
              <w:rPr>
                <w:rFonts w:ascii="Verdana" w:eastAsia="Times New Roman" w:hAnsi="Verdana" w:cs="Times New Roman"/>
              </w:rPr>
              <w:t>attributed, when</w:t>
            </w:r>
            <w:proofErr w:type="gramEnd"/>
            <w:r w:rsidRPr="00A84A8D">
              <w:rPr>
                <w:rFonts w:ascii="Verdana" w:eastAsia="Times New Roman" w:hAnsi="Verdana" w:cs="Times New Roman"/>
              </w:rPr>
              <w:t xml:space="preserve"> other recognised codes are not available. </w:t>
            </w:r>
          </w:p>
          <w:p w14:paraId="19F1252D" w14:textId="77777777" w:rsidR="00B957F4" w:rsidRPr="00A84A8D" w:rsidRDefault="00B957F4" w:rsidP="00796D2F">
            <w:pPr>
              <w:rPr>
                <w:rFonts w:ascii="Verdana" w:hAnsi="Verdana"/>
              </w:rPr>
            </w:pPr>
            <w:r w:rsidRPr="00A84A8D">
              <w:rPr>
                <w:rFonts w:ascii="Verdana" w:eastAsia="Times New Roman" w:hAnsi="Verdana" w:cs="Times New Roman"/>
              </w:rPr>
              <w:t xml:space="preserve">This code must be unique and kept consistent over time. </w:t>
            </w:r>
          </w:p>
        </w:tc>
      </w:tr>
    </w:tbl>
    <w:p w14:paraId="56B7BE2B" w14:textId="77777777" w:rsidR="00B957F4" w:rsidRPr="00A84A8D" w:rsidRDefault="00B957F4" w:rsidP="00B957F4">
      <w:pPr>
        <w:spacing w:after="0"/>
        <w:ind w:left="-1440" w:right="10471"/>
        <w:rPr>
          <w:rFonts w:ascii="Verdana" w:eastAsia="Calibri" w:hAnsi="Verdana" w:cs="Calibri"/>
        </w:rPr>
      </w:pPr>
    </w:p>
    <w:tbl>
      <w:tblPr>
        <w:tblStyle w:val="TableGrid"/>
        <w:tblW w:w="9323" w:type="dxa"/>
        <w:tblInd w:w="5" w:type="dxa"/>
        <w:tblCellMar>
          <w:left w:w="108" w:type="dxa"/>
          <w:bottom w:w="4" w:type="dxa"/>
          <w:right w:w="78" w:type="dxa"/>
        </w:tblCellMar>
        <w:tblLook w:val="04A0" w:firstRow="1" w:lastRow="0" w:firstColumn="1" w:lastColumn="0" w:noHBand="0" w:noVBand="1"/>
      </w:tblPr>
      <w:tblGrid>
        <w:gridCol w:w="1224"/>
        <w:gridCol w:w="2403"/>
        <w:gridCol w:w="5696"/>
      </w:tblGrid>
      <w:tr w:rsidR="00B957F4" w:rsidRPr="00A84A8D" w14:paraId="68FA794C" w14:textId="77777777" w:rsidTr="00796D2F">
        <w:trPr>
          <w:trHeight w:val="8471"/>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tcPr>
          <w:p w14:paraId="62074D43" w14:textId="77777777" w:rsidR="00B957F4" w:rsidRPr="00A84A8D" w:rsidRDefault="00B957F4" w:rsidP="00796D2F">
            <w:pPr>
              <w:rPr>
                <w:rFonts w:ascii="Verdana" w:hAnsi="Verdana"/>
              </w:rPr>
            </w:pP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tcPr>
          <w:p w14:paraId="4D2BF4C8" w14:textId="77777777" w:rsidR="00B957F4" w:rsidRPr="00A84A8D" w:rsidRDefault="00B957F4" w:rsidP="00796D2F">
            <w:pPr>
              <w:rPr>
                <w:rFonts w:ascii="Verdana" w:hAnsi="Verdana"/>
              </w:rPr>
            </w:pP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vAlign w:val="bottom"/>
            <w:hideMark/>
          </w:tcPr>
          <w:p w14:paraId="2A5A76A6" w14:textId="77777777" w:rsidR="00B957F4" w:rsidRPr="00A84A8D" w:rsidRDefault="00B957F4" w:rsidP="00796D2F">
            <w:pPr>
              <w:spacing w:after="150" w:line="247" w:lineRule="auto"/>
              <w:rPr>
                <w:rFonts w:ascii="Verdana" w:hAnsi="Verdana"/>
              </w:rPr>
            </w:pPr>
            <w:r w:rsidRPr="00A84A8D">
              <w:rPr>
                <w:rFonts w:ascii="Verdana" w:eastAsia="Times New Roman" w:hAnsi="Verdana" w:cs="Times New Roman"/>
              </w:rPr>
              <w:t>When the same Derivative ID Code needs to be reported for one derivative that is issued in two or more different currencies, it is necessary to specify the Derivative ID code and the ISO 4217 alphabetic code of the currency, as in the following example: “</w:t>
            </w:r>
            <w:proofErr w:type="spellStart"/>
            <w:r w:rsidRPr="00A84A8D">
              <w:rPr>
                <w:rFonts w:ascii="Verdana" w:eastAsia="Times New Roman" w:hAnsi="Verdana" w:cs="Times New Roman"/>
              </w:rPr>
              <w:t>code+EUR</w:t>
            </w:r>
            <w:proofErr w:type="spellEnd"/>
            <w:r w:rsidRPr="00A84A8D">
              <w:rPr>
                <w:rFonts w:ascii="Verdana" w:eastAsia="Times New Roman" w:hAnsi="Verdana" w:cs="Times New Roman"/>
              </w:rPr>
              <w:t xml:space="preserve">”. </w:t>
            </w:r>
          </w:p>
          <w:p w14:paraId="6B86778C" w14:textId="77777777" w:rsidR="00B957F4" w:rsidRPr="00A84A8D" w:rsidRDefault="00B957F4" w:rsidP="00796D2F">
            <w:pPr>
              <w:spacing w:after="101"/>
              <w:rPr>
                <w:rFonts w:ascii="Verdana" w:hAnsi="Verdana"/>
              </w:rPr>
            </w:pPr>
            <w:r w:rsidRPr="00A84A8D">
              <w:rPr>
                <w:rFonts w:ascii="Verdana" w:eastAsia="Times New Roman" w:hAnsi="Verdana" w:cs="Times New Roman"/>
              </w:rPr>
              <w:t xml:space="preserve">Type of ID Code used for the “Derivative ID Code” item: </w:t>
            </w:r>
          </w:p>
          <w:p w14:paraId="20A52D5F" w14:textId="29B70661" w:rsidR="00B957F4" w:rsidRPr="00A84A8D" w:rsidRDefault="00AE4ACD" w:rsidP="00B326D7">
            <w:pPr>
              <w:spacing w:after="101"/>
              <w:rPr>
                <w:rFonts w:ascii="Verdana" w:hAnsi="Verdana"/>
              </w:rPr>
            </w:pPr>
            <w:r w:rsidRPr="00A84A8D">
              <w:rPr>
                <w:rFonts w:ascii="Verdana" w:eastAsia="Times New Roman" w:hAnsi="Verdana" w:cs="Times New Roman"/>
              </w:rPr>
              <w:t xml:space="preserve">1 </w:t>
            </w:r>
            <w:r w:rsidR="00B957F4" w:rsidRPr="00A84A8D">
              <w:rPr>
                <w:rFonts w:ascii="Verdana" w:eastAsia="Times New Roman" w:hAnsi="Verdana" w:cs="Times New Roman"/>
              </w:rPr>
              <w:t xml:space="preserve">- ISO 6166 for ISIN code </w:t>
            </w:r>
          </w:p>
          <w:p w14:paraId="7BCA648F" w14:textId="4341EDA8" w:rsidR="00B957F4" w:rsidRPr="00A84A8D" w:rsidRDefault="00AE4ACD" w:rsidP="00B326D7">
            <w:pPr>
              <w:spacing w:after="121" w:line="237" w:lineRule="auto"/>
              <w:rPr>
                <w:rFonts w:ascii="Verdana" w:hAnsi="Verdana"/>
              </w:rPr>
            </w:pPr>
            <w:r w:rsidRPr="00A84A8D">
              <w:rPr>
                <w:rFonts w:ascii="Verdana" w:eastAsia="Times New Roman" w:hAnsi="Verdana" w:cs="Times New Roman"/>
              </w:rPr>
              <w:t xml:space="preserve">2 </w:t>
            </w:r>
            <w:r w:rsidR="00B957F4" w:rsidRPr="00A84A8D">
              <w:rPr>
                <w:rFonts w:ascii="Verdana" w:eastAsia="Times New Roman" w:hAnsi="Verdana" w:cs="Times New Roman"/>
              </w:rPr>
              <w:t xml:space="preserve">- CUSIP (The Committee on Uniform Securities Identification Procedures number assigned by the CUSIP Service Bureau for U.S. and Canadian companies) </w:t>
            </w:r>
          </w:p>
          <w:p w14:paraId="1E80B3FE" w14:textId="10B3A452" w:rsidR="00B957F4" w:rsidRPr="00A84A8D" w:rsidRDefault="00AE4ACD" w:rsidP="00B326D7">
            <w:pPr>
              <w:spacing w:after="121"/>
              <w:rPr>
                <w:rFonts w:ascii="Verdana" w:hAnsi="Verdana"/>
              </w:rPr>
            </w:pPr>
            <w:r w:rsidRPr="00A84A8D">
              <w:rPr>
                <w:rFonts w:ascii="Verdana" w:eastAsia="Times New Roman" w:hAnsi="Verdana" w:cs="Times New Roman"/>
              </w:rPr>
              <w:t xml:space="preserve">3 </w:t>
            </w:r>
            <w:r w:rsidR="00B957F4" w:rsidRPr="00A84A8D">
              <w:rPr>
                <w:rFonts w:ascii="Verdana" w:eastAsia="Times New Roman" w:hAnsi="Verdana" w:cs="Times New Roman"/>
              </w:rPr>
              <w:t xml:space="preserve">- SEDOL (Stock Exchange Daily Official List for the London Stock Exchange) </w:t>
            </w:r>
          </w:p>
          <w:p w14:paraId="4A85DC6F" w14:textId="23EE16AC" w:rsidR="00B957F4" w:rsidRPr="00A84A8D" w:rsidRDefault="00AE4ACD" w:rsidP="00B326D7">
            <w:pPr>
              <w:spacing w:after="121"/>
              <w:rPr>
                <w:rFonts w:ascii="Verdana" w:hAnsi="Verdana"/>
              </w:rPr>
            </w:pPr>
            <w:r w:rsidRPr="00A84A8D">
              <w:rPr>
                <w:rFonts w:ascii="Verdana" w:eastAsia="Times New Roman" w:hAnsi="Verdana" w:cs="Times New Roman"/>
              </w:rPr>
              <w:t xml:space="preserve">4 </w:t>
            </w:r>
            <w:r w:rsidR="00B957F4" w:rsidRPr="00A84A8D">
              <w:rPr>
                <w:rFonts w:ascii="Verdana" w:eastAsia="Times New Roman" w:hAnsi="Verdana" w:cs="Times New Roman"/>
              </w:rPr>
              <w:t>– WKN (</w:t>
            </w:r>
            <w:proofErr w:type="spellStart"/>
            <w:r w:rsidR="00B957F4" w:rsidRPr="00A84A8D">
              <w:rPr>
                <w:rFonts w:ascii="Verdana" w:eastAsia="Times New Roman" w:hAnsi="Verdana" w:cs="Times New Roman"/>
              </w:rPr>
              <w:t>Wertpapier</w:t>
            </w:r>
            <w:proofErr w:type="spellEnd"/>
            <w:r w:rsidR="00B957F4" w:rsidRPr="00A84A8D">
              <w:rPr>
                <w:rFonts w:ascii="Verdana" w:eastAsia="Times New Roman" w:hAnsi="Verdana" w:cs="Times New Roman"/>
              </w:rPr>
              <w:t xml:space="preserve"> Kenn-</w:t>
            </w:r>
            <w:proofErr w:type="spellStart"/>
            <w:r w:rsidR="00B957F4" w:rsidRPr="00A84A8D">
              <w:rPr>
                <w:rFonts w:ascii="Verdana" w:eastAsia="Times New Roman" w:hAnsi="Verdana" w:cs="Times New Roman"/>
              </w:rPr>
              <w:t>Nummer</w:t>
            </w:r>
            <w:proofErr w:type="spellEnd"/>
            <w:r w:rsidR="00B957F4" w:rsidRPr="00A84A8D">
              <w:rPr>
                <w:rFonts w:ascii="Verdana" w:eastAsia="Times New Roman" w:hAnsi="Verdana" w:cs="Times New Roman"/>
              </w:rPr>
              <w:t xml:space="preserve">, the alphanumeric German identification number) </w:t>
            </w:r>
          </w:p>
          <w:p w14:paraId="0C665AE8" w14:textId="7D544B1B" w:rsidR="00B957F4" w:rsidRPr="00A84A8D" w:rsidRDefault="00AE4ACD" w:rsidP="00B326D7">
            <w:pPr>
              <w:spacing w:after="122" w:line="235" w:lineRule="auto"/>
              <w:rPr>
                <w:rFonts w:ascii="Verdana" w:hAnsi="Verdana"/>
              </w:rPr>
            </w:pPr>
            <w:r w:rsidRPr="00A84A8D">
              <w:rPr>
                <w:rFonts w:ascii="Verdana" w:eastAsia="Times New Roman" w:hAnsi="Verdana" w:cs="Times New Roman"/>
              </w:rPr>
              <w:t xml:space="preserve">5 </w:t>
            </w:r>
            <w:r w:rsidR="00B957F4" w:rsidRPr="00A84A8D">
              <w:rPr>
                <w:rFonts w:ascii="Verdana" w:eastAsia="Times New Roman" w:hAnsi="Verdana" w:cs="Times New Roman"/>
              </w:rPr>
              <w:t xml:space="preserve">- Bloomberg Ticker (Bloomberg letters code that identify a company's securities) </w:t>
            </w:r>
          </w:p>
          <w:p w14:paraId="4DBA1BD2" w14:textId="618022A6" w:rsidR="00B957F4" w:rsidRPr="00A84A8D" w:rsidRDefault="00AE4ACD" w:rsidP="00B326D7">
            <w:pPr>
              <w:spacing w:after="101"/>
              <w:rPr>
                <w:rFonts w:ascii="Verdana" w:hAnsi="Verdana"/>
              </w:rPr>
            </w:pPr>
            <w:r w:rsidRPr="00A84A8D">
              <w:rPr>
                <w:rFonts w:ascii="Verdana" w:eastAsia="Times New Roman" w:hAnsi="Verdana" w:cs="Times New Roman"/>
              </w:rPr>
              <w:t xml:space="preserve">6 </w:t>
            </w:r>
            <w:r w:rsidR="00B957F4" w:rsidRPr="00A84A8D">
              <w:rPr>
                <w:rFonts w:ascii="Verdana" w:eastAsia="Times New Roman" w:hAnsi="Verdana" w:cs="Times New Roman"/>
              </w:rPr>
              <w:t xml:space="preserve">- BBGID (The Bloomberg Global ID) </w:t>
            </w:r>
          </w:p>
          <w:p w14:paraId="77CA2133" w14:textId="49EB097B" w:rsidR="00B957F4" w:rsidRPr="00A84A8D" w:rsidRDefault="00AE4ACD" w:rsidP="00B326D7">
            <w:pPr>
              <w:spacing w:after="102"/>
              <w:rPr>
                <w:rFonts w:ascii="Verdana" w:hAnsi="Verdana"/>
                <w:lang w:val="nl-BE"/>
              </w:rPr>
            </w:pPr>
            <w:r w:rsidRPr="00A84A8D">
              <w:rPr>
                <w:rFonts w:ascii="Verdana" w:eastAsia="Times New Roman" w:hAnsi="Verdana" w:cs="Times New Roman"/>
                <w:lang w:val="nl-BE"/>
              </w:rPr>
              <w:t xml:space="preserve">7 </w:t>
            </w:r>
            <w:r w:rsidR="00B957F4" w:rsidRPr="00A84A8D">
              <w:rPr>
                <w:rFonts w:ascii="Verdana" w:eastAsia="Times New Roman" w:hAnsi="Verdana" w:cs="Times New Roman"/>
                <w:lang w:val="nl-BE"/>
              </w:rPr>
              <w:t xml:space="preserve">- Reuters RIC (Reuters instrument code) </w:t>
            </w:r>
          </w:p>
          <w:p w14:paraId="2068A088" w14:textId="790DDE2E" w:rsidR="00B957F4" w:rsidRPr="00A84A8D" w:rsidRDefault="00AE4ACD" w:rsidP="00B326D7">
            <w:pPr>
              <w:spacing w:after="101"/>
              <w:rPr>
                <w:rFonts w:ascii="Verdana" w:hAnsi="Verdana"/>
              </w:rPr>
            </w:pPr>
            <w:r w:rsidRPr="00A84A8D">
              <w:rPr>
                <w:rFonts w:ascii="Verdana" w:eastAsia="Times New Roman" w:hAnsi="Verdana" w:cs="Times New Roman"/>
              </w:rPr>
              <w:t xml:space="preserve">8 </w:t>
            </w:r>
            <w:r w:rsidR="00B957F4" w:rsidRPr="00A84A8D">
              <w:rPr>
                <w:rFonts w:ascii="Verdana" w:eastAsia="Times New Roman" w:hAnsi="Verdana" w:cs="Times New Roman"/>
              </w:rPr>
              <w:t xml:space="preserve">– FIGI (Financial Instrument Global Identifier) </w:t>
            </w:r>
          </w:p>
          <w:p w14:paraId="7483D951" w14:textId="5DE83760" w:rsidR="00B957F4" w:rsidRPr="00A84A8D" w:rsidRDefault="00AE4ACD" w:rsidP="00B326D7">
            <w:pPr>
              <w:rPr>
                <w:rFonts w:ascii="Verdana" w:eastAsia="Times New Roman" w:hAnsi="Verdana" w:cs="Times New Roman"/>
              </w:rPr>
            </w:pPr>
            <w:r w:rsidRPr="00A84A8D">
              <w:rPr>
                <w:rFonts w:ascii="Verdana" w:eastAsia="Times New Roman" w:hAnsi="Verdana" w:cs="Times New Roman"/>
              </w:rPr>
              <w:t xml:space="preserve">9 </w:t>
            </w:r>
            <w:r w:rsidR="00B957F4" w:rsidRPr="00A84A8D">
              <w:rPr>
                <w:rFonts w:ascii="Verdana" w:eastAsia="Times New Roman" w:hAnsi="Verdana" w:cs="Times New Roman"/>
              </w:rPr>
              <w:t xml:space="preserve">- Other code by members of the Association of National Numbering Agencies </w:t>
            </w:r>
          </w:p>
          <w:p w14:paraId="0134E2E7" w14:textId="77777777" w:rsidR="00B957F4" w:rsidRPr="00A84A8D" w:rsidRDefault="00B957F4" w:rsidP="00796D2F">
            <w:pPr>
              <w:spacing w:after="101"/>
              <w:rPr>
                <w:rFonts w:ascii="Verdana" w:hAnsi="Verdana"/>
              </w:rPr>
            </w:pPr>
            <w:r w:rsidRPr="00A84A8D">
              <w:rPr>
                <w:rFonts w:ascii="Verdana" w:eastAsia="Times New Roman" w:hAnsi="Verdana" w:cs="Times New Roman"/>
              </w:rPr>
              <w:t xml:space="preserve">99 - Code attributed  </w:t>
            </w:r>
          </w:p>
          <w:p w14:paraId="64F16FBD" w14:textId="77777777" w:rsidR="00B957F4" w:rsidRPr="00A84A8D" w:rsidRDefault="00B957F4" w:rsidP="00796D2F">
            <w:pPr>
              <w:ind w:right="228"/>
              <w:rPr>
                <w:rFonts w:ascii="Verdana" w:eastAsia="Times New Roman" w:hAnsi="Verdana" w:cs="Times New Roman"/>
              </w:rPr>
            </w:pPr>
            <w:r w:rsidRPr="00A84A8D">
              <w:rPr>
                <w:rFonts w:ascii="Verdana" w:eastAsia="Times New Roman" w:hAnsi="Verdana" w:cs="Times New Roman"/>
              </w:rPr>
              <w:t>When the same Derivative ID Code needs to be reported for one derivative that is issued in two or more different currencies, it is necessary to specify the Derivative ID code and the ISO 4217 alphabetic code of the currency, as in the following example: “</w:t>
            </w:r>
            <w:proofErr w:type="spellStart"/>
            <w:r w:rsidRPr="00A84A8D">
              <w:rPr>
                <w:rFonts w:ascii="Verdana" w:eastAsia="Times New Roman" w:hAnsi="Verdana" w:cs="Times New Roman"/>
              </w:rPr>
              <w:t>code+EUR</w:t>
            </w:r>
            <w:proofErr w:type="spellEnd"/>
            <w:r w:rsidRPr="00A84A8D">
              <w:rPr>
                <w:rFonts w:ascii="Verdana" w:eastAsia="Times New Roman" w:hAnsi="Verdana" w:cs="Times New Roman"/>
              </w:rPr>
              <w:t xml:space="preserve">”. In this case Derivative ID Code Type shall refer to option 99 and the option of the original Derivative ID Code, as in the following example for which the code reported was ISIN code </w:t>
            </w:r>
            <w:r w:rsidRPr="00A84A8D">
              <w:rPr>
                <w:rFonts w:ascii="Verdana" w:eastAsia="Times New Roman" w:hAnsi="Verdana" w:cs="Times New Roman"/>
              </w:rPr>
              <w:tab/>
              <w:t xml:space="preserve">+currency: “99/1”. </w:t>
            </w:r>
          </w:p>
          <w:p w14:paraId="1D588BDE" w14:textId="77777777" w:rsidR="00B957F4" w:rsidRPr="00A84A8D" w:rsidRDefault="00B957F4" w:rsidP="00796D2F">
            <w:pPr>
              <w:ind w:right="228"/>
              <w:rPr>
                <w:rFonts w:ascii="Verdana" w:hAnsi="Verdana"/>
              </w:rPr>
            </w:pPr>
          </w:p>
        </w:tc>
      </w:tr>
      <w:tr w:rsidR="00B957F4" w:rsidRPr="00A84A8D" w14:paraId="4EFB9544" w14:textId="77777777" w:rsidTr="00897EF2">
        <w:trPr>
          <w:trHeight w:val="2636"/>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tcPr>
          <w:p w14:paraId="6C0C348B"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C0011</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tcPr>
          <w:p w14:paraId="2B48B3D4"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Unique Transactions Identifier</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tcPr>
          <w:p w14:paraId="1F27A542" w14:textId="77777777" w:rsidR="00B957F4" w:rsidRPr="00A84A8D" w:rsidRDefault="00B957F4" w:rsidP="00796D2F">
            <w:pPr>
              <w:spacing w:after="150" w:line="247" w:lineRule="auto"/>
              <w:rPr>
                <w:rFonts w:ascii="Verdana" w:eastAsia="Times New Roman" w:hAnsi="Verdana" w:cs="Times New Roman"/>
              </w:rPr>
            </w:pPr>
            <w:r w:rsidRPr="00A84A8D">
              <w:rPr>
                <w:rFonts w:ascii="Verdana" w:eastAsia="Times New Roman" w:hAnsi="Verdana" w:cs="Times New Roman"/>
              </w:rPr>
              <w:t>Identify the Trade IDs used in the trade reports to trade repositories according to Regulation (EU) No 648/2012 of the European Parliament and of the Council on OTC derivatives, central counterparties and trade repositories. As many Trade IDs as needed to build the position being reported should be reported in this item. The trade IDs shall be reported separated by commas.</w:t>
            </w:r>
          </w:p>
        </w:tc>
      </w:tr>
      <w:tr w:rsidR="00B957F4" w:rsidRPr="00A84A8D" w14:paraId="1E579537" w14:textId="77777777" w:rsidTr="00796D2F">
        <w:trPr>
          <w:trHeight w:val="2100"/>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249A25B3" w14:textId="77777777" w:rsidR="00B957F4" w:rsidRPr="00A84A8D" w:rsidRDefault="00B957F4" w:rsidP="00796D2F">
            <w:pPr>
              <w:rPr>
                <w:rFonts w:ascii="Verdana" w:hAnsi="Verdana"/>
              </w:rPr>
            </w:pPr>
            <w:r w:rsidRPr="00A84A8D">
              <w:rPr>
                <w:rFonts w:ascii="Verdana" w:eastAsia="Times New Roman" w:hAnsi="Verdana" w:cs="Times New Roman"/>
              </w:rPr>
              <w:t xml:space="preserve">C0030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48A50F41" w14:textId="77777777" w:rsidR="00B957F4" w:rsidRPr="00A84A8D" w:rsidRDefault="00B957F4" w:rsidP="00796D2F">
            <w:pPr>
              <w:rPr>
                <w:rFonts w:ascii="Verdana" w:hAnsi="Verdana"/>
              </w:rPr>
            </w:pPr>
            <w:r w:rsidRPr="00A84A8D">
              <w:rPr>
                <w:rFonts w:ascii="Verdana" w:eastAsia="Times New Roman" w:hAnsi="Verdana" w:cs="Times New Roman"/>
              </w:rPr>
              <w:t xml:space="preserve">Portfolio/pension scheme type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vAlign w:val="bottom"/>
            <w:hideMark/>
          </w:tcPr>
          <w:p w14:paraId="7F471889" w14:textId="77777777" w:rsidR="00B957F4" w:rsidRPr="00A84A8D" w:rsidRDefault="00B957F4" w:rsidP="00796D2F">
            <w:pPr>
              <w:spacing w:after="121"/>
              <w:rPr>
                <w:rFonts w:ascii="Verdana" w:hAnsi="Verdana"/>
              </w:rPr>
            </w:pPr>
            <w:r w:rsidRPr="00A84A8D">
              <w:rPr>
                <w:rFonts w:ascii="Verdana" w:eastAsia="Times New Roman" w:hAnsi="Verdana" w:cs="Times New Roman"/>
              </w:rPr>
              <w:t xml:space="preserve">Financial instrument is linked to a specific portfolio, which ID is to be reported here; - or if not attributable to a specific portfolio, it is linked to a scheme type: </w:t>
            </w:r>
          </w:p>
          <w:p w14:paraId="65853D7F" w14:textId="77777777" w:rsidR="00B957F4" w:rsidRPr="00A84A8D" w:rsidRDefault="00B957F4" w:rsidP="00796D2F">
            <w:pPr>
              <w:numPr>
                <w:ilvl w:val="0"/>
                <w:numId w:val="22"/>
              </w:numPr>
              <w:spacing w:after="104"/>
              <w:ind w:hanging="151"/>
              <w:rPr>
                <w:rFonts w:ascii="Verdana" w:hAnsi="Verdana"/>
              </w:rPr>
            </w:pPr>
            <w:r w:rsidRPr="00A84A8D">
              <w:rPr>
                <w:rFonts w:ascii="Verdana" w:eastAsia="Times New Roman" w:hAnsi="Verdana" w:cs="Times New Roman"/>
              </w:rPr>
              <w:t xml:space="preserve">– DB scheme </w:t>
            </w:r>
          </w:p>
          <w:p w14:paraId="4395298C" w14:textId="77777777" w:rsidR="00B957F4" w:rsidRPr="00A84A8D" w:rsidRDefault="00B957F4" w:rsidP="00796D2F">
            <w:pPr>
              <w:numPr>
                <w:ilvl w:val="0"/>
                <w:numId w:val="22"/>
              </w:numPr>
              <w:spacing w:after="102"/>
              <w:ind w:hanging="151"/>
              <w:rPr>
                <w:rFonts w:ascii="Verdana" w:hAnsi="Verdana"/>
              </w:rPr>
            </w:pPr>
            <w:r w:rsidRPr="00A84A8D">
              <w:rPr>
                <w:rFonts w:ascii="Verdana" w:eastAsia="Times New Roman" w:hAnsi="Verdana" w:cs="Times New Roman"/>
              </w:rPr>
              <w:t xml:space="preserve">– DC scheme </w:t>
            </w:r>
          </w:p>
          <w:p w14:paraId="4C67B5BA" w14:textId="77777777" w:rsidR="00B957F4" w:rsidRPr="00A84A8D" w:rsidRDefault="00B957F4" w:rsidP="00796D2F">
            <w:pPr>
              <w:numPr>
                <w:ilvl w:val="0"/>
                <w:numId w:val="22"/>
              </w:numPr>
              <w:ind w:hanging="151"/>
              <w:rPr>
                <w:rFonts w:ascii="Verdana" w:hAnsi="Verdana"/>
              </w:rPr>
            </w:pPr>
            <w:r w:rsidRPr="00A84A8D">
              <w:rPr>
                <w:rFonts w:ascii="Verdana" w:eastAsia="Times New Roman" w:hAnsi="Verdana" w:cs="Times New Roman"/>
              </w:rPr>
              <w:t xml:space="preserve">–cannot be allocated to a scheme type or specific portfolio </w:t>
            </w:r>
          </w:p>
          <w:p w14:paraId="41B3808E" w14:textId="77777777" w:rsidR="00B957F4" w:rsidRPr="00A84A8D" w:rsidRDefault="00B957F4" w:rsidP="00796D2F">
            <w:pPr>
              <w:numPr>
                <w:ilvl w:val="0"/>
                <w:numId w:val="22"/>
              </w:numPr>
              <w:ind w:hanging="151"/>
              <w:rPr>
                <w:rFonts w:ascii="Verdana" w:hAnsi="Verdana"/>
              </w:rPr>
            </w:pPr>
            <w:r w:rsidRPr="00A84A8D">
              <w:rPr>
                <w:rFonts w:ascii="Verdana" w:eastAsia="Times New Roman" w:hAnsi="Verdana" w:cs="Times New Roman"/>
              </w:rPr>
              <w:t xml:space="preserve">- cannot be allocated to occupational or personal pension portfolio </w:t>
            </w:r>
          </w:p>
        </w:tc>
      </w:tr>
      <w:tr w:rsidR="00B957F4" w:rsidRPr="00A84A8D" w14:paraId="73BFE889" w14:textId="77777777" w:rsidTr="00B326D7">
        <w:trPr>
          <w:trHeight w:val="826"/>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2104195A" w14:textId="77777777" w:rsidR="00B957F4" w:rsidRPr="00A84A8D" w:rsidRDefault="00B957F4" w:rsidP="00796D2F">
            <w:pPr>
              <w:rPr>
                <w:rFonts w:ascii="Verdana" w:hAnsi="Verdana"/>
              </w:rPr>
            </w:pPr>
            <w:r w:rsidRPr="00A84A8D">
              <w:rPr>
                <w:rFonts w:ascii="Verdana" w:eastAsia="Times New Roman" w:hAnsi="Verdana" w:cs="Times New Roman"/>
              </w:rPr>
              <w:t xml:space="preserve">C0090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354D5847" w14:textId="77777777" w:rsidR="00B957F4" w:rsidRPr="00A84A8D" w:rsidRDefault="00B957F4" w:rsidP="00796D2F">
            <w:pPr>
              <w:rPr>
                <w:rFonts w:ascii="Verdana" w:hAnsi="Verdana"/>
              </w:rPr>
            </w:pPr>
            <w:r w:rsidRPr="00A84A8D">
              <w:rPr>
                <w:rFonts w:ascii="Verdana" w:eastAsia="Times New Roman" w:hAnsi="Verdana" w:cs="Times New Roman"/>
              </w:rPr>
              <w:t xml:space="preserve">Instrument underlying the derivative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734079AD" w14:textId="298DB655" w:rsidR="00B957F4" w:rsidRPr="00A84A8D" w:rsidRDefault="00B957F4" w:rsidP="00796D2F">
            <w:pPr>
              <w:spacing w:after="189" w:line="283" w:lineRule="auto"/>
              <w:rPr>
                <w:rFonts w:ascii="Verdana" w:hAnsi="Verdana"/>
              </w:rPr>
            </w:pPr>
            <w:r w:rsidRPr="00A84A8D">
              <w:rPr>
                <w:rFonts w:ascii="Verdana" w:eastAsia="Times New Roman" w:hAnsi="Verdana" w:cs="Times New Roman"/>
              </w:rPr>
              <w:t xml:space="preserve">ID Code of the instrument (asset or liability) underlying the derivative contract. This item is to be provided only for derivatives that have a single or multiple underlying instruments in the </w:t>
            </w:r>
            <w:r w:rsidR="001F4EEC" w:rsidRPr="00A84A8D">
              <w:rPr>
                <w:rFonts w:ascii="Verdana" w:eastAsia="Times New Roman" w:hAnsi="Verdana" w:cs="Times New Roman"/>
              </w:rPr>
              <w:t>IORPs</w:t>
            </w:r>
            <w:r w:rsidRPr="00A84A8D">
              <w:rPr>
                <w:rFonts w:ascii="Verdana" w:eastAsia="Times New Roman" w:hAnsi="Verdana" w:cs="Times New Roman"/>
              </w:rPr>
              <w:t xml:space="preserve">’ portfolio. An index is considered a single instrument and shall be reported.  </w:t>
            </w:r>
          </w:p>
          <w:p w14:paraId="0B88D28B" w14:textId="77777777" w:rsidR="00B957F4" w:rsidRPr="00A84A8D" w:rsidRDefault="00B957F4" w:rsidP="00796D2F">
            <w:pPr>
              <w:spacing w:line="276" w:lineRule="auto"/>
              <w:rPr>
                <w:rFonts w:ascii="Verdana" w:hAnsi="Verdana"/>
              </w:rPr>
            </w:pPr>
            <w:r w:rsidRPr="00A84A8D">
              <w:rPr>
                <w:rFonts w:ascii="Verdana" w:eastAsia="Times New Roman" w:hAnsi="Verdana" w:cs="Times New Roman"/>
              </w:rPr>
              <w:t xml:space="preserve">Identification code of the instrument underlying the derivative using the following priority:   </w:t>
            </w:r>
          </w:p>
          <w:p w14:paraId="1B01D92B" w14:textId="77777777" w:rsidR="00B957F4" w:rsidRPr="00A84A8D" w:rsidRDefault="00B957F4" w:rsidP="00796D2F">
            <w:pPr>
              <w:numPr>
                <w:ilvl w:val="0"/>
                <w:numId w:val="23"/>
              </w:numPr>
              <w:spacing w:after="16"/>
              <w:ind w:hanging="151"/>
              <w:rPr>
                <w:rFonts w:ascii="Verdana" w:hAnsi="Verdana"/>
              </w:rPr>
            </w:pPr>
            <w:r w:rsidRPr="00A84A8D">
              <w:rPr>
                <w:rFonts w:ascii="Verdana" w:eastAsia="Times New Roman" w:hAnsi="Verdana" w:cs="Times New Roman"/>
              </w:rPr>
              <w:t xml:space="preserve">ISO 6166 code of ISIN when </w:t>
            </w:r>
            <w:proofErr w:type="gramStart"/>
            <w:r w:rsidRPr="00A84A8D">
              <w:rPr>
                <w:rFonts w:ascii="Verdana" w:eastAsia="Times New Roman" w:hAnsi="Verdana" w:cs="Times New Roman"/>
              </w:rPr>
              <w:t>available;</w:t>
            </w:r>
            <w:proofErr w:type="gramEnd"/>
          </w:p>
          <w:p w14:paraId="30F502B7" w14:textId="77777777" w:rsidR="00B957F4" w:rsidRPr="00A84A8D" w:rsidRDefault="00B957F4" w:rsidP="00796D2F">
            <w:pPr>
              <w:numPr>
                <w:ilvl w:val="0"/>
                <w:numId w:val="23"/>
              </w:numPr>
              <w:spacing w:after="15"/>
              <w:ind w:hanging="151"/>
              <w:rPr>
                <w:rFonts w:ascii="Verdana" w:hAnsi="Verdana"/>
              </w:rPr>
            </w:pPr>
            <w:r w:rsidRPr="00A84A8D">
              <w:rPr>
                <w:rFonts w:ascii="Verdana" w:eastAsia="Times New Roman" w:hAnsi="Verdana" w:cs="Times New Roman"/>
              </w:rPr>
              <w:t xml:space="preserve">Other recognised codes (e.g.: CUSIP, Bloomberg Ticker, </w:t>
            </w:r>
          </w:p>
          <w:p w14:paraId="4275F3E2" w14:textId="77777777" w:rsidR="00B957F4" w:rsidRPr="00A84A8D" w:rsidRDefault="00B957F4" w:rsidP="00796D2F">
            <w:pPr>
              <w:spacing w:after="15"/>
              <w:rPr>
                <w:rFonts w:ascii="Verdana" w:hAnsi="Verdana"/>
              </w:rPr>
            </w:pPr>
            <w:r w:rsidRPr="00A84A8D">
              <w:rPr>
                <w:rFonts w:ascii="Verdana" w:eastAsia="Times New Roman" w:hAnsi="Verdana" w:cs="Times New Roman"/>
              </w:rPr>
              <w:t>Reuters RIC</w:t>
            </w:r>
            <w:proofErr w:type="gramStart"/>
            <w:r w:rsidRPr="00A84A8D">
              <w:rPr>
                <w:rFonts w:ascii="Verdana" w:eastAsia="Times New Roman" w:hAnsi="Verdana" w:cs="Times New Roman"/>
              </w:rPr>
              <w:t>) ;</w:t>
            </w:r>
            <w:proofErr w:type="gramEnd"/>
          </w:p>
          <w:p w14:paraId="4219F0EE" w14:textId="77777777" w:rsidR="00B957F4" w:rsidRPr="00A84A8D" w:rsidRDefault="00B957F4" w:rsidP="00796D2F">
            <w:pPr>
              <w:numPr>
                <w:ilvl w:val="0"/>
                <w:numId w:val="23"/>
              </w:numPr>
              <w:spacing w:after="15"/>
              <w:ind w:hanging="151"/>
              <w:rPr>
                <w:rFonts w:ascii="Verdana" w:eastAsia="Times New Roman" w:hAnsi="Verdana" w:cs="Times New Roman"/>
              </w:rPr>
            </w:pPr>
            <w:r w:rsidRPr="00A84A8D">
              <w:rPr>
                <w:rFonts w:ascii="Verdana" w:eastAsia="Times New Roman" w:hAnsi="Verdana" w:cs="Times New Roman"/>
              </w:rPr>
              <w:t xml:space="preserve">Code attributed by the undertaking for the underlying instrument when the options above are not available, and must be unique and consistent over time for that </w:t>
            </w:r>
            <w:proofErr w:type="gramStart"/>
            <w:r w:rsidRPr="00A84A8D">
              <w:rPr>
                <w:rFonts w:ascii="Verdana" w:eastAsia="Times New Roman" w:hAnsi="Verdana" w:cs="Times New Roman"/>
              </w:rPr>
              <w:t>instrument;</w:t>
            </w:r>
            <w:proofErr w:type="gramEnd"/>
            <w:r w:rsidRPr="00A84A8D">
              <w:rPr>
                <w:rFonts w:ascii="Verdana" w:eastAsia="Times New Roman" w:hAnsi="Verdana" w:cs="Times New Roman"/>
              </w:rPr>
              <w:t xml:space="preserve"> </w:t>
            </w:r>
          </w:p>
          <w:p w14:paraId="783CAD67" w14:textId="77777777" w:rsidR="00B957F4" w:rsidRPr="00A84A8D" w:rsidRDefault="00B957F4" w:rsidP="00796D2F">
            <w:pPr>
              <w:spacing w:after="120" w:line="273" w:lineRule="auto"/>
              <w:rPr>
                <w:rFonts w:ascii="Verdana" w:hAnsi="Verdana"/>
              </w:rPr>
            </w:pPr>
            <w:r w:rsidRPr="00A84A8D">
              <w:rPr>
                <w:rFonts w:ascii="Verdana" w:eastAsia="Times New Roman" w:hAnsi="Verdana" w:cs="Times New Roman"/>
              </w:rPr>
              <w:t>– “Multiple assets/liabilities</w:t>
            </w:r>
            <w:proofErr w:type="gramStart"/>
            <w:r w:rsidRPr="00A84A8D">
              <w:rPr>
                <w:rFonts w:ascii="Verdana" w:eastAsia="Times New Roman" w:hAnsi="Verdana" w:cs="Times New Roman"/>
              </w:rPr>
              <w:t>”, if</w:t>
            </w:r>
            <w:proofErr w:type="gramEnd"/>
            <w:r w:rsidRPr="00A84A8D">
              <w:rPr>
                <w:rFonts w:ascii="Verdana" w:eastAsia="Times New Roman" w:hAnsi="Verdana" w:cs="Times New Roman"/>
              </w:rPr>
              <w:t xml:space="preserve"> the underlying assets or liabilities are more than one. </w:t>
            </w:r>
          </w:p>
          <w:p w14:paraId="4AD54B8B" w14:textId="77777777" w:rsidR="00B957F4" w:rsidRPr="00A84A8D" w:rsidRDefault="00B957F4" w:rsidP="00796D2F">
            <w:pPr>
              <w:rPr>
                <w:rFonts w:ascii="Verdana" w:hAnsi="Verdana"/>
              </w:rPr>
            </w:pPr>
            <w:r w:rsidRPr="00A84A8D">
              <w:rPr>
                <w:rFonts w:ascii="Verdana" w:eastAsia="Times New Roman" w:hAnsi="Verdana" w:cs="Times New Roman"/>
              </w:rPr>
              <w:t xml:space="preserve">If the underlying is an index, then the code of the index shall be reported.  </w:t>
            </w:r>
          </w:p>
        </w:tc>
      </w:tr>
      <w:tr w:rsidR="00B957F4" w:rsidRPr="00A84A8D" w14:paraId="5EBAC87A" w14:textId="77777777" w:rsidTr="00796D2F">
        <w:tblPrEx>
          <w:tblCellMar>
            <w:bottom w:w="0" w:type="dxa"/>
            <w:right w:w="66" w:type="dxa"/>
          </w:tblCellMar>
        </w:tblPrEx>
        <w:trPr>
          <w:trHeight w:val="6894"/>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6" w:type="dxa"/>
            </w:tcMar>
            <w:hideMark/>
          </w:tcPr>
          <w:p w14:paraId="2448D631" w14:textId="77777777" w:rsidR="00B957F4" w:rsidRPr="00A84A8D" w:rsidRDefault="00B957F4" w:rsidP="00796D2F">
            <w:pPr>
              <w:rPr>
                <w:rFonts w:ascii="Verdana" w:hAnsi="Verdana"/>
              </w:rPr>
            </w:pPr>
            <w:r w:rsidRPr="00A84A8D">
              <w:rPr>
                <w:rFonts w:ascii="Verdana" w:eastAsia="Times New Roman" w:hAnsi="Verdana" w:cs="Times New Roman"/>
              </w:rPr>
              <w:t xml:space="preserve">C0110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6" w:type="dxa"/>
            </w:tcMar>
            <w:hideMark/>
          </w:tcPr>
          <w:p w14:paraId="194DEA8C" w14:textId="77777777" w:rsidR="00B957F4" w:rsidRPr="00A84A8D" w:rsidRDefault="00B957F4" w:rsidP="00796D2F">
            <w:pPr>
              <w:rPr>
                <w:rFonts w:ascii="Verdana" w:hAnsi="Verdana"/>
              </w:rPr>
            </w:pPr>
            <w:r w:rsidRPr="00A84A8D">
              <w:rPr>
                <w:rFonts w:ascii="Verdana" w:eastAsia="Times New Roman" w:hAnsi="Verdana" w:cs="Times New Roman"/>
              </w:rPr>
              <w:t xml:space="preserve">Use of derivative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6" w:type="dxa"/>
            </w:tcMar>
            <w:hideMark/>
          </w:tcPr>
          <w:p w14:paraId="5D2BC10B" w14:textId="77777777" w:rsidR="00B957F4" w:rsidRPr="00A84A8D" w:rsidRDefault="00B957F4" w:rsidP="00796D2F">
            <w:pPr>
              <w:spacing w:after="202" w:line="273" w:lineRule="auto"/>
              <w:rPr>
                <w:rFonts w:ascii="Verdana" w:hAnsi="Verdana"/>
              </w:rPr>
            </w:pPr>
            <w:r w:rsidRPr="00A84A8D">
              <w:rPr>
                <w:rFonts w:ascii="Verdana" w:eastAsia="Times New Roman" w:hAnsi="Verdana" w:cs="Times New Roman"/>
              </w:rPr>
              <w:t xml:space="preserve">Describe the use of the derivative (micro / macro hedge, efficient portfolio management).  </w:t>
            </w:r>
          </w:p>
          <w:p w14:paraId="7299A812" w14:textId="77777777" w:rsidR="00B957F4" w:rsidRPr="00A84A8D" w:rsidRDefault="00B957F4" w:rsidP="00796D2F">
            <w:pPr>
              <w:spacing w:after="199" w:line="273" w:lineRule="auto"/>
              <w:rPr>
                <w:rFonts w:ascii="Verdana" w:hAnsi="Verdana"/>
              </w:rPr>
            </w:pPr>
            <w:r w:rsidRPr="00A84A8D">
              <w:rPr>
                <w:rFonts w:ascii="Verdana" w:eastAsia="Times New Roman" w:hAnsi="Verdana" w:cs="Times New Roman"/>
              </w:rPr>
              <w:t xml:space="preserve">Micro hedge refers to derivatives covering a single financial instrument (asset or liability), forecasted transaction or other liability.  </w:t>
            </w:r>
          </w:p>
          <w:p w14:paraId="0BD1BC05" w14:textId="77777777" w:rsidR="00B957F4" w:rsidRPr="00A84A8D" w:rsidRDefault="00B957F4" w:rsidP="00796D2F">
            <w:pPr>
              <w:spacing w:after="198" w:line="276" w:lineRule="auto"/>
              <w:rPr>
                <w:rFonts w:ascii="Verdana" w:hAnsi="Verdana"/>
              </w:rPr>
            </w:pPr>
            <w:r w:rsidRPr="00A84A8D">
              <w:rPr>
                <w:rFonts w:ascii="Verdana" w:eastAsia="Times New Roman" w:hAnsi="Verdana" w:cs="Times New Roman"/>
              </w:rPr>
              <w:t xml:space="preserve">Macro hedge refers to derivatives covering a set of financial instruments (assets or liabilities), forecasted transactions or other liabilities.  </w:t>
            </w:r>
          </w:p>
          <w:p w14:paraId="0826BA80" w14:textId="77777777" w:rsidR="00B957F4" w:rsidRPr="00A84A8D" w:rsidRDefault="00B957F4" w:rsidP="00796D2F">
            <w:pPr>
              <w:spacing w:after="2" w:line="273" w:lineRule="auto"/>
              <w:rPr>
                <w:rFonts w:ascii="Verdana" w:hAnsi="Verdana"/>
              </w:rPr>
            </w:pPr>
            <w:r w:rsidRPr="00A84A8D">
              <w:rPr>
                <w:rFonts w:ascii="Verdana" w:eastAsia="Times New Roman" w:hAnsi="Verdana" w:cs="Times New Roman"/>
              </w:rPr>
              <w:t xml:space="preserve">Efficient portfolio management refers usually to operations where the manager wishes to improve a portfolio’ income by exchanging a (lower) cash–flow pattern by another with a higher value, using a derivative or set of derivatives, without changing the asset’ portfolio composition, having a lower investment amount and less transaction costs.  </w:t>
            </w:r>
          </w:p>
          <w:p w14:paraId="50CD7A32" w14:textId="77777777" w:rsidR="00B957F4" w:rsidRPr="00A84A8D" w:rsidRDefault="00B957F4" w:rsidP="00796D2F">
            <w:pPr>
              <w:spacing w:after="15"/>
              <w:rPr>
                <w:rFonts w:ascii="Verdana" w:hAnsi="Verdana"/>
              </w:rPr>
            </w:pPr>
            <w:r w:rsidRPr="00A84A8D">
              <w:rPr>
                <w:rFonts w:ascii="Verdana" w:eastAsia="Times New Roman" w:hAnsi="Verdana" w:cs="Times New Roman"/>
              </w:rPr>
              <w:t xml:space="preserve"> </w:t>
            </w:r>
          </w:p>
          <w:p w14:paraId="75D5A4C1" w14:textId="77777777" w:rsidR="00B957F4" w:rsidRPr="00A84A8D" w:rsidRDefault="00B957F4" w:rsidP="00796D2F">
            <w:pPr>
              <w:spacing w:after="18"/>
              <w:rPr>
                <w:rFonts w:ascii="Verdana" w:hAnsi="Verdana"/>
              </w:rPr>
            </w:pPr>
            <w:r w:rsidRPr="00A84A8D">
              <w:rPr>
                <w:rFonts w:ascii="Verdana" w:eastAsia="Times New Roman" w:hAnsi="Verdana" w:cs="Times New Roman"/>
              </w:rPr>
              <w:t xml:space="preserve">One of the options in the following closed list shall be used: </w:t>
            </w:r>
          </w:p>
          <w:p w14:paraId="201E8317" w14:textId="77777777" w:rsidR="00B957F4" w:rsidRPr="00A84A8D" w:rsidRDefault="00B957F4" w:rsidP="00796D2F">
            <w:pPr>
              <w:numPr>
                <w:ilvl w:val="0"/>
                <w:numId w:val="24"/>
              </w:numPr>
              <w:spacing w:after="18"/>
              <w:rPr>
                <w:rFonts w:ascii="Verdana" w:hAnsi="Verdana"/>
              </w:rPr>
            </w:pPr>
            <w:r w:rsidRPr="00A84A8D">
              <w:rPr>
                <w:rFonts w:ascii="Verdana" w:eastAsia="Times New Roman" w:hAnsi="Verdana" w:cs="Times New Roman"/>
              </w:rPr>
              <w:t xml:space="preserve">– Micro hedge </w:t>
            </w:r>
          </w:p>
          <w:p w14:paraId="4D97D050" w14:textId="77777777" w:rsidR="00B957F4" w:rsidRPr="00A84A8D" w:rsidRDefault="00B957F4" w:rsidP="00796D2F">
            <w:pPr>
              <w:numPr>
                <w:ilvl w:val="0"/>
                <w:numId w:val="24"/>
              </w:numPr>
              <w:spacing w:after="16"/>
              <w:rPr>
                <w:rFonts w:ascii="Verdana" w:hAnsi="Verdana"/>
              </w:rPr>
            </w:pPr>
            <w:r w:rsidRPr="00A84A8D">
              <w:rPr>
                <w:rFonts w:ascii="Verdana" w:eastAsia="Times New Roman" w:hAnsi="Verdana" w:cs="Times New Roman"/>
              </w:rPr>
              <w:t xml:space="preserve">– Macro hedge </w:t>
            </w:r>
          </w:p>
          <w:p w14:paraId="541F676D" w14:textId="77777777" w:rsidR="00B957F4" w:rsidRPr="00A84A8D" w:rsidRDefault="00B957F4" w:rsidP="00796D2F">
            <w:pPr>
              <w:numPr>
                <w:ilvl w:val="0"/>
                <w:numId w:val="24"/>
              </w:numPr>
              <w:spacing w:after="35" w:line="276" w:lineRule="auto"/>
              <w:rPr>
                <w:rFonts w:ascii="Verdana" w:hAnsi="Verdana"/>
              </w:rPr>
            </w:pPr>
            <w:r w:rsidRPr="00A84A8D">
              <w:rPr>
                <w:rFonts w:ascii="Verdana" w:eastAsia="Times New Roman" w:hAnsi="Verdana" w:cs="Times New Roman"/>
              </w:rPr>
              <w:t xml:space="preserve">– Matching assets and liabilities cash–flows used in the context of matching adjustment portfolios  </w:t>
            </w:r>
          </w:p>
          <w:p w14:paraId="53CF9CAF" w14:textId="77777777" w:rsidR="00B957F4" w:rsidRPr="00A84A8D" w:rsidRDefault="00B957F4" w:rsidP="00796D2F">
            <w:pPr>
              <w:numPr>
                <w:ilvl w:val="0"/>
                <w:numId w:val="24"/>
              </w:numPr>
              <w:rPr>
                <w:rFonts w:ascii="Verdana" w:hAnsi="Verdana"/>
              </w:rPr>
            </w:pPr>
            <w:r w:rsidRPr="00A84A8D">
              <w:rPr>
                <w:rFonts w:ascii="Verdana" w:eastAsia="Times New Roman" w:hAnsi="Verdana" w:cs="Times New Roman"/>
              </w:rPr>
              <w:t xml:space="preserve">– Efficient portfolio management, other than “Matching assets and liabilities cash–flows used in the context of matching adjustment portfolios” </w:t>
            </w:r>
          </w:p>
        </w:tc>
      </w:tr>
      <w:tr w:rsidR="00B957F4" w:rsidRPr="00A84A8D" w14:paraId="3E76AC49" w14:textId="77777777" w:rsidTr="00B326D7">
        <w:tblPrEx>
          <w:tblCellMar>
            <w:right w:w="66" w:type="dxa"/>
          </w:tblCellMar>
        </w:tblPrEx>
        <w:trPr>
          <w:trHeight w:val="826"/>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6" w:type="dxa"/>
            </w:tcMar>
            <w:hideMark/>
          </w:tcPr>
          <w:p w14:paraId="3EA9E788" w14:textId="77777777" w:rsidR="00B957F4" w:rsidRPr="00A84A8D" w:rsidRDefault="00B957F4" w:rsidP="00796D2F">
            <w:pPr>
              <w:rPr>
                <w:rFonts w:ascii="Verdana" w:hAnsi="Verdana"/>
              </w:rPr>
            </w:pPr>
            <w:r w:rsidRPr="00A84A8D">
              <w:rPr>
                <w:rFonts w:ascii="Verdana" w:eastAsia="Times New Roman" w:hAnsi="Verdana" w:cs="Times New Roman"/>
              </w:rPr>
              <w:t xml:space="preserve">C0130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6" w:type="dxa"/>
            </w:tcMar>
            <w:hideMark/>
          </w:tcPr>
          <w:p w14:paraId="172425E0" w14:textId="77777777" w:rsidR="00B957F4" w:rsidRPr="00A84A8D" w:rsidRDefault="00B957F4" w:rsidP="00796D2F">
            <w:pPr>
              <w:rPr>
                <w:rFonts w:ascii="Verdana" w:hAnsi="Verdana"/>
              </w:rPr>
            </w:pPr>
            <w:r w:rsidRPr="00A84A8D">
              <w:rPr>
                <w:rFonts w:ascii="Verdana" w:eastAsia="Times New Roman" w:hAnsi="Verdana" w:cs="Times New Roman"/>
              </w:rPr>
              <w:t xml:space="preserve">Notional amount of the derivative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6" w:type="dxa"/>
            </w:tcMar>
            <w:hideMark/>
          </w:tcPr>
          <w:p w14:paraId="60CDB134" w14:textId="77777777" w:rsidR="00B957F4" w:rsidRPr="00A84A8D" w:rsidRDefault="00B957F4" w:rsidP="00796D2F">
            <w:pPr>
              <w:spacing w:after="216"/>
              <w:rPr>
                <w:rFonts w:ascii="Verdana" w:eastAsia="Times New Roman" w:hAnsi="Verdana" w:cs="Times New Roman"/>
              </w:rPr>
            </w:pPr>
            <w:r w:rsidRPr="00A84A8D">
              <w:rPr>
                <w:rFonts w:ascii="Verdana" w:eastAsia="Times New Roman" w:hAnsi="Verdana" w:cs="Times New Roman"/>
              </w:rPr>
              <w:t>The amount covered or exposed to the derivative, reported in the original currency.</w:t>
            </w:r>
          </w:p>
          <w:p w14:paraId="4E1405E3" w14:textId="77777777" w:rsidR="00B957F4" w:rsidRPr="00A84A8D" w:rsidRDefault="00B957F4" w:rsidP="00796D2F">
            <w:pPr>
              <w:spacing w:after="216"/>
              <w:rPr>
                <w:rFonts w:ascii="Verdana" w:hAnsi="Verdana"/>
              </w:rPr>
            </w:pPr>
            <w:r w:rsidRPr="00A84A8D">
              <w:rPr>
                <w:rFonts w:ascii="Verdana" w:eastAsia="Times New Roman" w:hAnsi="Verdana" w:cs="Times New Roman"/>
              </w:rPr>
              <w:cr/>
              <w:t xml:space="preserve">For futures and options corresponds to contract size multiplied by the trigger value and by the number of contracts reported in that line. For swaps and </w:t>
            </w:r>
            <w:proofErr w:type="gramStart"/>
            <w:r w:rsidRPr="00A84A8D">
              <w:rPr>
                <w:rFonts w:ascii="Verdana" w:eastAsia="Times New Roman" w:hAnsi="Verdana" w:cs="Times New Roman"/>
              </w:rPr>
              <w:t>forwards</w:t>
            </w:r>
            <w:proofErr w:type="gramEnd"/>
            <w:r w:rsidRPr="00A84A8D">
              <w:rPr>
                <w:rFonts w:ascii="Verdana" w:eastAsia="Times New Roman" w:hAnsi="Verdana" w:cs="Times New Roman"/>
              </w:rPr>
              <w:t xml:space="preserve"> it corresponds to the contract amount of the contracts reported in that line. When the trigger value corresponds to a range, the average value of the range shall be used. </w:t>
            </w:r>
          </w:p>
          <w:p w14:paraId="7132A1D0" w14:textId="77777777" w:rsidR="00B957F4" w:rsidRPr="00A84A8D" w:rsidRDefault="00B957F4" w:rsidP="00796D2F">
            <w:pPr>
              <w:ind w:right="15"/>
              <w:rPr>
                <w:rFonts w:ascii="Verdana" w:hAnsi="Verdana"/>
              </w:rPr>
            </w:pPr>
            <w:r w:rsidRPr="00A84A8D">
              <w:rPr>
                <w:rFonts w:ascii="Verdana" w:eastAsia="Times New Roman" w:hAnsi="Verdana" w:cs="Times New Roman"/>
              </w:rPr>
              <w:t xml:space="preserve">The notional amount refers to the amount that is being hedged / invested (when not covering risks). If several trades occur, it shall be the net amount at the reporting date. </w:t>
            </w:r>
          </w:p>
        </w:tc>
      </w:tr>
    </w:tbl>
    <w:p w14:paraId="69BC52F2" w14:textId="77777777" w:rsidR="00B957F4" w:rsidRPr="00A84A8D" w:rsidRDefault="00B957F4" w:rsidP="00B957F4">
      <w:pPr>
        <w:spacing w:after="0"/>
        <w:ind w:left="-1440" w:right="10471"/>
        <w:rPr>
          <w:rFonts w:ascii="Verdana" w:eastAsia="Calibri" w:hAnsi="Verdana" w:cs="Calibri"/>
        </w:rPr>
      </w:pPr>
    </w:p>
    <w:tbl>
      <w:tblPr>
        <w:tblStyle w:val="TableGrid"/>
        <w:tblW w:w="9323" w:type="dxa"/>
        <w:tblInd w:w="5" w:type="dxa"/>
        <w:tblCellMar>
          <w:left w:w="108" w:type="dxa"/>
          <w:right w:w="39" w:type="dxa"/>
        </w:tblCellMar>
        <w:tblLook w:val="04A0" w:firstRow="1" w:lastRow="0" w:firstColumn="1" w:lastColumn="0" w:noHBand="0" w:noVBand="1"/>
      </w:tblPr>
      <w:tblGrid>
        <w:gridCol w:w="1224"/>
        <w:gridCol w:w="2403"/>
        <w:gridCol w:w="5696"/>
      </w:tblGrid>
      <w:tr w:rsidR="00B957F4" w:rsidRPr="00A84A8D" w14:paraId="023C9E4C" w14:textId="77777777" w:rsidTr="00796D2F">
        <w:trPr>
          <w:trHeight w:val="6822"/>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78C6F35D" w14:textId="77777777" w:rsidR="00B957F4" w:rsidRPr="00A84A8D" w:rsidRDefault="00B957F4" w:rsidP="00796D2F">
            <w:pPr>
              <w:rPr>
                <w:rFonts w:ascii="Verdana" w:hAnsi="Verdana"/>
              </w:rPr>
            </w:pPr>
            <w:r w:rsidRPr="00A84A8D">
              <w:rPr>
                <w:rFonts w:ascii="Verdana" w:eastAsia="Times New Roman" w:hAnsi="Verdana" w:cs="Times New Roman"/>
              </w:rPr>
              <w:t xml:space="preserve">C0140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037334BE" w14:textId="77777777" w:rsidR="00B957F4" w:rsidRPr="00A84A8D" w:rsidRDefault="00B957F4" w:rsidP="00796D2F">
            <w:pPr>
              <w:rPr>
                <w:rFonts w:ascii="Verdana" w:hAnsi="Verdana"/>
              </w:rPr>
            </w:pPr>
            <w:r w:rsidRPr="00A84A8D">
              <w:rPr>
                <w:rFonts w:ascii="Verdana" w:eastAsia="Times New Roman" w:hAnsi="Verdana" w:cs="Times New Roman"/>
              </w:rPr>
              <w:t xml:space="preserve">Buyer/Seller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75BB1D89" w14:textId="77777777" w:rsidR="00B957F4" w:rsidRPr="00A84A8D" w:rsidRDefault="00B957F4" w:rsidP="00796D2F">
            <w:pPr>
              <w:spacing w:after="217"/>
              <w:rPr>
                <w:rFonts w:ascii="Verdana" w:hAnsi="Verdana"/>
              </w:rPr>
            </w:pPr>
            <w:r w:rsidRPr="00A84A8D">
              <w:rPr>
                <w:rFonts w:ascii="Verdana" w:eastAsia="Times New Roman" w:hAnsi="Verdana" w:cs="Times New Roman"/>
              </w:rPr>
              <w:t xml:space="preserve">Only for futures and options, swaps and credit derivatives contracts.  </w:t>
            </w:r>
          </w:p>
          <w:p w14:paraId="2668F9AC" w14:textId="77777777" w:rsidR="00B957F4" w:rsidRPr="00A84A8D" w:rsidRDefault="00B957F4" w:rsidP="00796D2F">
            <w:pPr>
              <w:spacing w:after="214"/>
              <w:rPr>
                <w:rFonts w:ascii="Verdana" w:hAnsi="Verdana"/>
              </w:rPr>
            </w:pPr>
            <w:r w:rsidRPr="00A84A8D">
              <w:rPr>
                <w:rFonts w:ascii="Verdana" w:eastAsia="Times New Roman" w:hAnsi="Verdana" w:cs="Times New Roman"/>
              </w:rPr>
              <w:t xml:space="preserve">Identify whether the derivative contract was bought or sold.  </w:t>
            </w:r>
          </w:p>
          <w:p w14:paraId="243EFA5A" w14:textId="77777777" w:rsidR="00B957F4" w:rsidRPr="00A84A8D" w:rsidRDefault="00B957F4" w:rsidP="00796D2F">
            <w:pPr>
              <w:spacing w:after="202" w:line="273" w:lineRule="auto"/>
              <w:rPr>
                <w:rFonts w:ascii="Verdana" w:hAnsi="Verdana"/>
              </w:rPr>
            </w:pPr>
            <w:r w:rsidRPr="00A84A8D">
              <w:rPr>
                <w:rFonts w:ascii="Verdana" w:eastAsia="Times New Roman" w:hAnsi="Verdana" w:cs="Times New Roman"/>
              </w:rPr>
              <w:t xml:space="preserve">The buyer and seller position for swaps is defined relatively to the security or notional amount and the swap flows.  </w:t>
            </w:r>
          </w:p>
          <w:p w14:paraId="1F171162" w14:textId="77777777" w:rsidR="00B957F4" w:rsidRPr="00A84A8D" w:rsidRDefault="00B957F4" w:rsidP="00796D2F">
            <w:pPr>
              <w:spacing w:after="198" w:line="273" w:lineRule="auto"/>
              <w:rPr>
                <w:rFonts w:ascii="Verdana" w:hAnsi="Verdana"/>
              </w:rPr>
            </w:pPr>
            <w:r w:rsidRPr="00A84A8D">
              <w:rPr>
                <w:rFonts w:ascii="Verdana" w:eastAsia="Times New Roman" w:hAnsi="Verdana" w:cs="Times New Roman"/>
              </w:rPr>
              <w:t xml:space="preserve">A seller of a swap owns the security or notional amount at the contract inception and agrees to deliver during the contract term that security or notional amount, including any other outflows related to the contract, when applicable. </w:t>
            </w:r>
          </w:p>
          <w:p w14:paraId="5302A967" w14:textId="77777777" w:rsidR="00B957F4" w:rsidRPr="00A84A8D" w:rsidRDefault="00B957F4" w:rsidP="00796D2F">
            <w:pPr>
              <w:spacing w:after="199" w:line="273" w:lineRule="auto"/>
              <w:ind w:right="1"/>
              <w:rPr>
                <w:rFonts w:ascii="Verdana" w:hAnsi="Verdana"/>
              </w:rPr>
            </w:pPr>
            <w:r w:rsidRPr="00A84A8D">
              <w:rPr>
                <w:rFonts w:ascii="Verdana" w:eastAsia="Times New Roman" w:hAnsi="Verdana" w:cs="Times New Roman"/>
              </w:rPr>
              <w:t xml:space="preserve">A buyer of a swap will own the security or the notional amount at the end of the derivatives contract and will receive during the contract term that security or notional amount, including any other inflows related to the contract, when applicable. </w:t>
            </w:r>
          </w:p>
          <w:p w14:paraId="2829B53A" w14:textId="77777777" w:rsidR="00B957F4" w:rsidRPr="00A84A8D" w:rsidRDefault="00B957F4" w:rsidP="00796D2F">
            <w:pPr>
              <w:spacing w:after="7" w:line="273" w:lineRule="auto"/>
              <w:ind w:right="55"/>
              <w:rPr>
                <w:rFonts w:ascii="Verdana" w:hAnsi="Verdana"/>
              </w:rPr>
            </w:pPr>
            <w:r w:rsidRPr="00A84A8D">
              <w:rPr>
                <w:rFonts w:ascii="Verdana" w:eastAsia="Times New Roman" w:hAnsi="Verdana" w:cs="Times New Roman"/>
              </w:rPr>
              <w:t xml:space="preserve">One of the options in the following closed list shall be used, with the exception of Interest Rate Swaps: </w:t>
            </w:r>
          </w:p>
          <w:p w14:paraId="631A3F9F" w14:textId="77777777" w:rsidR="00B957F4" w:rsidRPr="00A84A8D" w:rsidRDefault="00B957F4" w:rsidP="00796D2F">
            <w:pPr>
              <w:numPr>
                <w:ilvl w:val="0"/>
                <w:numId w:val="25"/>
              </w:numPr>
              <w:spacing w:after="20"/>
              <w:ind w:hanging="151"/>
              <w:rPr>
                <w:rFonts w:ascii="Verdana" w:hAnsi="Verdana"/>
              </w:rPr>
            </w:pPr>
            <w:r w:rsidRPr="00A84A8D">
              <w:rPr>
                <w:rFonts w:ascii="Verdana" w:eastAsia="Times New Roman" w:hAnsi="Verdana" w:cs="Times New Roman"/>
              </w:rPr>
              <w:t xml:space="preserve">– Buyer  </w:t>
            </w:r>
          </w:p>
          <w:p w14:paraId="01079088" w14:textId="77777777" w:rsidR="00B957F4" w:rsidRPr="00A84A8D" w:rsidRDefault="00B957F4" w:rsidP="00796D2F">
            <w:pPr>
              <w:numPr>
                <w:ilvl w:val="0"/>
                <w:numId w:val="25"/>
              </w:numPr>
              <w:spacing w:after="214"/>
              <w:ind w:hanging="151"/>
              <w:rPr>
                <w:rFonts w:ascii="Verdana" w:hAnsi="Verdana"/>
              </w:rPr>
            </w:pPr>
            <w:r w:rsidRPr="00A84A8D">
              <w:rPr>
                <w:rFonts w:ascii="Verdana" w:eastAsia="Times New Roman" w:hAnsi="Verdana" w:cs="Times New Roman"/>
              </w:rPr>
              <w:t xml:space="preserve">– Seller </w:t>
            </w:r>
          </w:p>
          <w:p w14:paraId="1A4055C0" w14:textId="77777777" w:rsidR="00B957F4" w:rsidRPr="00A84A8D" w:rsidRDefault="00B957F4" w:rsidP="00796D2F">
            <w:pPr>
              <w:spacing w:after="5"/>
              <w:rPr>
                <w:rFonts w:ascii="Verdana" w:hAnsi="Verdana"/>
              </w:rPr>
            </w:pPr>
            <w:r w:rsidRPr="00A84A8D">
              <w:rPr>
                <w:rFonts w:ascii="Verdana" w:eastAsia="Times New Roman" w:hAnsi="Verdana" w:cs="Times New Roman"/>
              </w:rPr>
              <w:t xml:space="preserve">For interest rate swaps one of the options in the following closed list shall be use: </w:t>
            </w:r>
          </w:p>
          <w:p w14:paraId="31265DE6" w14:textId="77777777" w:rsidR="00B957F4" w:rsidRPr="00A84A8D" w:rsidRDefault="00B957F4" w:rsidP="00796D2F">
            <w:pPr>
              <w:numPr>
                <w:ilvl w:val="0"/>
                <w:numId w:val="25"/>
              </w:numPr>
              <w:ind w:hanging="151"/>
              <w:rPr>
                <w:rFonts w:ascii="Verdana" w:hAnsi="Verdana"/>
              </w:rPr>
            </w:pPr>
            <w:r w:rsidRPr="00A84A8D">
              <w:rPr>
                <w:rFonts w:ascii="Verdana" w:eastAsia="Times New Roman" w:hAnsi="Verdana" w:cs="Times New Roman"/>
              </w:rPr>
              <w:t xml:space="preserve">– FX–FL: Deliver fixed–for–floating  </w:t>
            </w:r>
          </w:p>
          <w:p w14:paraId="27ED19E9" w14:textId="77777777" w:rsidR="00B957F4" w:rsidRPr="00A84A8D" w:rsidRDefault="00B957F4" w:rsidP="00796D2F">
            <w:pPr>
              <w:numPr>
                <w:ilvl w:val="0"/>
                <w:numId w:val="25"/>
              </w:numPr>
              <w:ind w:hanging="151"/>
              <w:rPr>
                <w:rFonts w:ascii="Verdana" w:hAnsi="Verdana"/>
              </w:rPr>
            </w:pPr>
            <w:r w:rsidRPr="00A84A8D">
              <w:rPr>
                <w:rFonts w:ascii="Verdana" w:eastAsia="Times New Roman" w:hAnsi="Verdana" w:cs="Times New Roman"/>
              </w:rPr>
              <w:t xml:space="preserve">– FX–FX: Deliver fixed–for–fixed  </w:t>
            </w:r>
          </w:p>
          <w:p w14:paraId="4E07B734" w14:textId="77777777" w:rsidR="00B957F4" w:rsidRPr="00A84A8D" w:rsidRDefault="00B957F4" w:rsidP="00796D2F">
            <w:pPr>
              <w:numPr>
                <w:ilvl w:val="0"/>
                <w:numId w:val="25"/>
              </w:numPr>
              <w:ind w:hanging="151"/>
              <w:rPr>
                <w:rFonts w:ascii="Verdana" w:hAnsi="Verdana"/>
              </w:rPr>
            </w:pPr>
            <w:r w:rsidRPr="00A84A8D">
              <w:rPr>
                <w:rFonts w:ascii="Verdana" w:eastAsia="Times New Roman" w:hAnsi="Verdana" w:cs="Times New Roman"/>
              </w:rPr>
              <w:t xml:space="preserve">– FL–FX: Deliver floating–for–fixed </w:t>
            </w:r>
          </w:p>
          <w:p w14:paraId="190C26E3" w14:textId="77777777" w:rsidR="00B957F4" w:rsidRPr="00A84A8D" w:rsidRDefault="00B957F4" w:rsidP="00796D2F">
            <w:pPr>
              <w:numPr>
                <w:ilvl w:val="0"/>
                <w:numId w:val="25"/>
              </w:numPr>
              <w:ind w:hanging="151"/>
              <w:rPr>
                <w:rFonts w:ascii="Verdana" w:hAnsi="Verdana"/>
              </w:rPr>
            </w:pPr>
            <w:r w:rsidRPr="00A84A8D">
              <w:rPr>
                <w:rFonts w:ascii="Verdana" w:eastAsia="Times New Roman" w:hAnsi="Verdana" w:cs="Times New Roman"/>
              </w:rPr>
              <w:t xml:space="preserve">– FL–FL: Deliver floating–for–floating </w:t>
            </w:r>
          </w:p>
        </w:tc>
      </w:tr>
      <w:tr w:rsidR="00B957F4" w:rsidRPr="00A84A8D" w14:paraId="09E582AD" w14:textId="77777777" w:rsidTr="00796D2F">
        <w:trPr>
          <w:trHeight w:val="924"/>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A917630" w14:textId="77777777" w:rsidR="00B957F4" w:rsidRPr="00A84A8D" w:rsidRDefault="00B957F4" w:rsidP="00796D2F">
            <w:pPr>
              <w:rPr>
                <w:rFonts w:ascii="Verdana" w:hAnsi="Verdana"/>
              </w:rPr>
            </w:pPr>
            <w:r w:rsidRPr="00A84A8D">
              <w:rPr>
                <w:rFonts w:ascii="Verdana" w:eastAsia="Times New Roman" w:hAnsi="Verdana" w:cs="Times New Roman"/>
              </w:rPr>
              <w:t xml:space="preserve">C0150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9701290" w14:textId="77777777" w:rsidR="00B957F4" w:rsidRPr="00A84A8D" w:rsidRDefault="00B957F4" w:rsidP="00796D2F">
            <w:pPr>
              <w:rPr>
                <w:rFonts w:ascii="Verdana" w:hAnsi="Verdana"/>
              </w:rPr>
            </w:pPr>
            <w:r w:rsidRPr="00A84A8D">
              <w:rPr>
                <w:rFonts w:ascii="Verdana" w:eastAsia="Times New Roman" w:hAnsi="Verdana" w:cs="Times New Roman"/>
              </w:rPr>
              <w:t xml:space="preserve">Premium paid to date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0B850A36" w14:textId="77777777" w:rsidR="00B957F4" w:rsidRPr="00A84A8D" w:rsidRDefault="00B957F4" w:rsidP="00796D2F">
            <w:pPr>
              <w:rPr>
                <w:rFonts w:ascii="Verdana" w:hAnsi="Verdana"/>
              </w:rPr>
            </w:pPr>
            <w:r w:rsidRPr="00A84A8D">
              <w:rPr>
                <w:rFonts w:ascii="Verdana" w:eastAsia="Times New Roman" w:hAnsi="Verdana" w:cs="Times New Roman"/>
              </w:rPr>
              <w:t xml:space="preserve">The payment made (if bought), for options and also </w:t>
            </w:r>
            <w:proofErr w:type="gramStart"/>
            <w:r w:rsidRPr="00A84A8D">
              <w:rPr>
                <w:rFonts w:ascii="Verdana" w:eastAsia="Times New Roman" w:hAnsi="Verdana" w:cs="Times New Roman"/>
              </w:rPr>
              <w:t>up–front</w:t>
            </w:r>
            <w:proofErr w:type="gramEnd"/>
            <w:r w:rsidRPr="00A84A8D">
              <w:rPr>
                <w:rFonts w:ascii="Verdana" w:eastAsia="Times New Roman" w:hAnsi="Verdana" w:cs="Times New Roman"/>
              </w:rPr>
              <w:t xml:space="preserve"> and periodical premium amounts paid for swaps, since the moment the undertaking entered in the derivative.  </w:t>
            </w:r>
          </w:p>
        </w:tc>
      </w:tr>
      <w:tr w:rsidR="00B957F4" w:rsidRPr="00A84A8D" w14:paraId="6779518F" w14:textId="77777777" w:rsidTr="00796D2F">
        <w:trPr>
          <w:trHeight w:val="1004"/>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44D2DE25" w14:textId="77777777" w:rsidR="00B957F4" w:rsidRPr="00A84A8D" w:rsidRDefault="00B957F4" w:rsidP="00796D2F">
            <w:pPr>
              <w:rPr>
                <w:rFonts w:ascii="Verdana" w:hAnsi="Verdana"/>
              </w:rPr>
            </w:pPr>
            <w:r w:rsidRPr="00A84A8D">
              <w:rPr>
                <w:rFonts w:ascii="Verdana" w:eastAsia="Times New Roman" w:hAnsi="Verdana" w:cs="Times New Roman"/>
              </w:rPr>
              <w:t xml:space="preserve">C0160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8A10D3A" w14:textId="77777777" w:rsidR="00B957F4" w:rsidRPr="00A84A8D" w:rsidRDefault="00B957F4" w:rsidP="00796D2F">
            <w:pPr>
              <w:rPr>
                <w:rFonts w:ascii="Verdana" w:hAnsi="Verdana"/>
              </w:rPr>
            </w:pPr>
            <w:r w:rsidRPr="00A84A8D">
              <w:rPr>
                <w:rFonts w:ascii="Verdana" w:eastAsia="Times New Roman" w:hAnsi="Verdana" w:cs="Times New Roman"/>
              </w:rPr>
              <w:t xml:space="preserve">Premium received to date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05855778" w14:textId="77777777" w:rsidR="00B957F4" w:rsidRPr="00A84A8D" w:rsidRDefault="00B957F4" w:rsidP="00796D2F">
            <w:pPr>
              <w:rPr>
                <w:rFonts w:ascii="Verdana" w:hAnsi="Verdana"/>
              </w:rPr>
            </w:pPr>
            <w:r w:rsidRPr="00A84A8D">
              <w:rPr>
                <w:rFonts w:ascii="Verdana" w:eastAsia="Times New Roman" w:hAnsi="Verdana" w:cs="Times New Roman"/>
              </w:rPr>
              <w:t xml:space="preserve">The payment received (if sold), for options and also </w:t>
            </w:r>
            <w:proofErr w:type="gramStart"/>
            <w:r w:rsidRPr="00A84A8D">
              <w:rPr>
                <w:rFonts w:ascii="Verdana" w:eastAsia="Times New Roman" w:hAnsi="Verdana" w:cs="Times New Roman"/>
              </w:rPr>
              <w:t>up–front</w:t>
            </w:r>
            <w:proofErr w:type="gramEnd"/>
            <w:r w:rsidRPr="00A84A8D">
              <w:rPr>
                <w:rFonts w:ascii="Verdana" w:eastAsia="Times New Roman" w:hAnsi="Verdana" w:cs="Times New Roman"/>
              </w:rPr>
              <w:t xml:space="preserve"> and periodical premium amounts received for swaps, since the moment the undertaking entered in the derivative. </w:t>
            </w:r>
          </w:p>
        </w:tc>
      </w:tr>
      <w:tr w:rsidR="00B957F4" w:rsidRPr="00A84A8D" w14:paraId="26ED012E" w14:textId="77777777" w:rsidTr="00796D2F">
        <w:trPr>
          <w:trHeight w:val="1798"/>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343AD948" w14:textId="77777777" w:rsidR="00B957F4" w:rsidRPr="00A84A8D" w:rsidRDefault="00B957F4" w:rsidP="00796D2F">
            <w:pPr>
              <w:rPr>
                <w:rFonts w:ascii="Verdana" w:hAnsi="Verdana"/>
              </w:rPr>
            </w:pPr>
            <w:r w:rsidRPr="00A84A8D">
              <w:rPr>
                <w:rFonts w:ascii="Verdana" w:eastAsia="Times New Roman" w:hAnsi="Verdana" w:cs="Times New Roman"/>
              </w:rPr>
              <w:t xml:space="preserve">C0170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50AE5C12" w14:textId="77777777" w:rsidR="00B957F4" w:rsidRPr="00A84A8D" w:rsidRDefault="00B957F4" w:rsidP="00796D2F">
            <w:pPr>
              <w:rPr>
                <w:rFonts w:ascii="Verdana" w:hAnsi="Verdana"/>
              </w:rPr>
            </w:pPr>
            <w:r w:rsidRPr="00A84A8D">
              <w:rPr>
                <w:rFonts w:ascii="Verdana" w:eastAsia="Times New Roman" w:hAnsi="Verdana" w:cs="Times New Roman"/>
              </w:rPr>
              <w:t xml:space="preserve">Number of contracts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4C0F123A" w14:textId="77777777" w:rsidR="00B957F4" w:rsidRPr="00A84A8D" w:rsidRDefault="00B957F4" w:rsidP="00796D2F">
            <w:pPr>
              <w:ind w:right="233"/>
              <w:rPr>
                <w:rFonts w:ascii="Verdana" w:eastAsia="Times New Roman" w:hAnsi="Verdana" w:cs="Times New Roman"/>
              </w:rPr>
            </w:pPr>
            <w:r w:rsidRPr="00A84A8D">
              <w:rPr>
                <w:rFonts w:ascii="Verdana" w:eastAsia="Times New Roman" w:hAnsi="Verdana" w:cs="Times New Roman"/>
              </w:rPr>
              <w:t xml:space="preserve">Number of similar derivative contracts reported in the line. It shall be the number of contracts entered into. For Over–The–Counter derivatives, e.g., one swap contract, “1” shall be reported, if ten swaps with the same characteristics, “10” shall be reported. </w:t>
            </w:r>
          </w:p>
          <w:p w14:paraId="793B264A" w14:textId="77777777" w:rsidR="00B957F4" w:rsidRPr="00A84A8D" w:rsidRDefault="00B957F4" w:rsidP="00796D2F">
            <w:pPr>
              <w:ind w:right="233"/>
              <w:rPr>
                <w:rFonts w:ascii="Verdana" w:eastAsia="Times New Roman" w:hAnsi="Verdana" w:cs="Times New Roman"/>
              </w:rPr>
            </w:pPr>
          </w:p>
          <w:p w14:paraId="6D38E24F" w14:textId="77777777" w:rsidR="00B957F4" w:rsidRPr="00A84A8D" w:rsidRDefault="00B957F4" w:rsidP="00796D2F">
            <w:pPr>
              <w:ind w:right="233"/>
              <w:rPr>
                <w:rFonts w:ascii="Verdana" w:eastAsia="Times New Roman" w:hAnsi="Verdana" w:cs="Times New Roman"/>
              </w:rPr>
            </w:pPr>
            <w:r w:rsidRPr="00A84A8D">
              <w:rPr>
                <w:rFonts w:ascii="Verdana" w:eastAsia="Times New Roman" w:hAnsi="Verdana" w:cs="Times New Roman"/>
              </w:rPr>
              <w:t>The number of contracts can be non-</w:t>
            </w:r>
            <w:proofErr w:type="gramStart"/>
            <w:r w:rsidRPr="00A84A8D">
              <w:rPr>
                <w:rFonts w:ascii="Verdana" w:eastAsia="Times New Roman" w:hAnsi="Verdana" w:cs="Times New Roman"/>
              </w:rPr>
              <w:t>integer, when</w:t>
            </w:r>
            <w:proofErr w:type="gramEnd"/>
            <w:r w:rsidRPr="00A84A8D">
              <w:rPr>
                <w:rFonts w:ascii="Verdana" w:eastAsia="Times New Roman" w:hAnsi="Verdana" w:cs="Times New Roman"/>
              </w:rPr>
              <w:t xml:space="preserve"> there’s a </w:t>
            </w:r>
          </w:p>
          <w:p w14:paraId="3A4EF39A" w14:textId="77777777" w:rsidR="00B957F4" w:rsidRPr="00A84A8D" w:rsidRDefault="00B957F4" w:rsidP="00796D2F">
            <w:pPr>
              <w:ind w:right="233"/>
              <w:rPr>
                <w:rFonts w:ascii="Verdana" w:eastAsia="Times New Roman" w:hAnsi="Verdana" w:cs="Times New Roman"/>
              </w:rPr>
            </w:pPr>
            <w:r w:rsidRPr="00A84A8D">
              <w:rPr>
                <w:rFonts w:ascii="Verdana" w:eastAsia="Times New Roman" w:hAnsi="Verdana" w:cs="Times New Roman"/>
              </w:rPr>
              <w:t>need to split contracts.</w:t>
            </w:r>
            <w:r w:rsidRPr="00A84A8D">
              <w:rPr>
                <w:rFonts w:ascii="Verdana" w:eastAsia="Times New Roman" w:hAnsi="Verdana" w:cs="Times New Roman"/>
              </w:rPr>
              <w:cr/>
            </w:r>
          </w:p>
          <w:p w14:paraId="01E41B03" w14:textId="77777777" w:rsidR="00B957F4" w:rsidRPr="00A84A8D" w:rsidRDefault="00B957F4" w:rsidP="00796D2F">
            <w:pPr>
              <w:ind w:right="233"/>
              <w:rPr>
                <w:rFonts w:ascii="Verdana" w:hAnsi="Verdana"/>
              </w:rPr>
            </w:pPr>
            <w:r w:rsidRPr="00A84A8D">
              <w:rPr>
                <w:rFonts w:ascii="Verdana" w:eastAsia="Times New Roman" w:hAnsi="Verdana" w:cs="Times New Roman"/>
              </w:rPr>
              <w:t xml:space="preserve">The number of contracts shall be the ones outstanding at the reporting date. </w:t>
            </w:r>
          </w:p>
        </w:tc>
      </w:tr>
      <w:tr w:rsidR="00B957F4" w:rsidRPr="00A84A8D" w14:paraId="26D2F074" w14:textId="77777777" w:rsidTr="00796D2F">
        <w:trPr>
          <w:trHeight w:val="3056"/>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D53194D" w14:textId="77777777" w:rsidR="00B957F4" w:rsidRPr="00A84A8D" w:rsidRDefault="00B957F4" w:rsidP="00796D2F">
            <w:pPr>
              <w:rPr>
                <w:rFonts w:ascii="Verdana" w:hAnsi="Verdana"/>
              </w:rPr>
            </w:pPr>
            <w:r w:rsidRPr="00A84A8D">
              <w:rPr>
                <w:rFonts w:ascii="Verdana" w:eastAsia="Times New Roman" w:hAnsi="Verdana" w:cs="Times New Roman"/>
              </w:rPr>
              <w:t xml:space="preserve">C0180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27FE9CC7" w14:textId="77777777" w:rsidR="00B957F4" w:rsidRPr="00A84A8D" w:rsidRDefault="00B957F4" w:rsidP="00796D2F">
            <w:pPr>
              <w:rPr>
                <w:rFonts w:ascii="Verdana" w:hAnsi="Verdana"/>
              </w:rPr>
            </w:pPr>
            <w:r w:rsidRPr="00A84A8D">
              <w:rPr>
                <w:rFonts w:ascii="Verdana" w:eastAsia="Times New Roman" w:hAnsi="Verdana" w:cs="Times New Roman"/>
              </w:rPr>
              <w:t xml:space="preserve">Contract size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DD1573B" w14:textId="77777777" w:rsidR="00B957F4" w:rsidRPr="00A84A8D" w:rsidRDefault="00B957F4" w:rsidP="00796D2F">
            <w:pPr>
              <w:spacing w:line="273" w:lineRule="auto"/>
              <w:ind w:right="72"/>
              <w:rPr>
                <w:rFonts w:ascii="Verdana" w:hAnsi="Verdana"/>
              </w:rPr>
            </w:pPr>
            <w:r w:rsidRPr="00A84A8D">
              <w:rPr>
                <w:rFonts w:ascii="Verdana" w:eastAsia="Times New Roman" w:hAnsi="Verdana" w:cs="Times New Roman"/>
              </w:rPr>
              <w:t>Number of underlying assets in the contract (</w:t>
            </w:r>
            <w:proofErr w:type="gramStart"/>
            <w:r w:rsidRPr="00A84A8D">
              <w:rPr>
                <w:rFonts w:ascii="Verdana" w:eastAsia="Times New Roman" w:hAnsi="Verdana" w:cs="Times New Roman"/>
              </w:rPr>
              <w:t>e.g.</w:t>
            </w:r>
            <w:proofErr w:type="gramEnd"/>
            <w:r w:rsidRPr="00A84A8D">
              <w:rPr>
                <w:rFonts w:ascii="Verdana" w:eastAsia="Times New Roman" w:hAnsi="Verdana" w:cs="Times New Roman"/>
              </w:rPr>
              <w:t xml:space="preserve"> for equity futures it is the number of equities to be delivered per derivative contract at maturity, for bond futures it is the reference amount underlying each contract). </w:t>
            </w:r>
          </w:p>
          <w:p w14:paraId="130C6394" w14:textId="77777777" w:rsidR="00B957F4" w:rsidRPr="00A84A8D" w:rsidRDefault="00B957F4" w:rsidP="00796D2F">
            <w:pPr>
              <w:spacing w:after="202" w:line="273" w:lineRule="auto"/>
              <w:ind w:right="1"/>
              <w:rPr>
                <w:rFonts w:ascii="Verdana" w:hAnsi="Verdana"/>
              </w:rPr>
            </w:pPr>
            <w:r w:rsidRPr="00A84A8D">
              <w:rPr>
                <w:rFonts w:ascii="Verdana" w:eastAsia="Times New Roman" w:hAnsi="Verdana" w:cs="Times New Roman"/>
              </w:rPr>
              <w:t xml:space="preserve">The way the contract size is defined varies according with the type of instrument. For futures on </w:t>
            </w:r>
            <w:proofErr w:type="gramStart"/>
            <w:r w:rsidRPr="00A84A8D">
              <w:rPr>
                <w:rFonts w:ascii="Verdana" w:eastAsia="Times New Roman" w:hAnsi="Verdana" w:cs="Times New Roman"/>
              </w:rPr>
              <w:t>equities</w:t>
            </w:r>
            <w:proofErr w:type="gramEnd"/>
            <w:r w:rsidRPr="00A84A8D">
              <w:rPr>
                <w:rFonts w:ascii="Verdana" w:eastAsia="Times New Roman" w:hAnsi="Verdana" w:cs="Times New Roman"/>
              </w:rPr>
              <w:t xml:space="preserve"> it is common to find the contract size defined as a function of the number of shares underlying the contract. </w:t>
            </w:r>
          </w:p>
          <w:p w14:paraId="5D54E308"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 xml:space="preserve">For futures on bonds, it is the bond nominal amount underlying the contract. </w:t>
            </w:r>
          </w:p>
          <w:p w14:paraId="1C968193" w14:textId="77777777" w:rsidR="00B957F4" w:rsidRPr="00A84A8D" w:rsidRDefault="00B957F4" w:rsidP="00796D2F">
            <w:pPr>
              <w:rPr>
                <w:rFonts w:ascii="Verdana" w:eastAsia="Times New Roman" w:hAnsi="Verdana" w:cs="Times New Roman"/>
              </w:rPr>
            </w:pPr>
          </w:p>
          <w:p w14:paraId="54F5ABCF"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Only applicable for futures and options.</w:t>
            </w:r>
          </w:p>
          <w:p w14:paraId="6FCD0202" w14:textId="77777777" w:rsidR="00B957F4" w:rsidRPr="00A84A8D" w:rsidRDefault="00B957F4" w:rsidP="00796D2F">
            <w:pPr>
              <w:rPr>
                <w:rFonts w:ascii="Verdana" w:hAnsi="Verdana"/>
              </w:rPr>
            </w:pPr>
          </w:p>
        </w:tc>
      </w:tr>
      <w:tr w:rsidR="00B957F4" w:rsidRPr="00A84A8D" w14:paraId="1A5E96C8" w14:textId="77777777" w:rsidTr="00796D2F">
        <w:trPr>
          <w:trHeight w:val="1469"/>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055F5102" w14:textId="77777777" w:rsidR="00B957F4" w:rsidRPr="00A84A8D" w:rsidRDefault="00B957F4" w:rsidP="00796D2F">
            <w:pPr>
              <w:rPr>
                <w:rFonts w:ascii="Verdana" w:hAnsi="Verdana"/>
              </w:rPr>
            </w:pPr>
            <w:r w:rsidRPr="00A84A8D">
              <w:rPr>
                <w:rFonts w:ascii="Verdana" w:eastAsia="Times New Roman" w:hAnsi="Verdana" w:cs="Times New Roman"/>
              </w:rPr>
              <w:t xml:space="preserve">C0190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34B37C6A" w14:textId="77777777" w:rsidR="00B957F4" w:rsidRPr="00A84A8D" w:rsidRDefault="00B957F4" w:rsidP="00796D2F">
            <w:pPr>
              <w:rPr>
                <w:rFonts w:ascii="Verdana" w:hAnsi="Verdana"/>
              </w:rPr>
            </w:pPr>
            <w:r w:rsidRPr="00A84A8D">
              <w:rPr>
                <w:rFonts w:ascii="Verdana" w:eastAsia="Times New Roman" w:hAnsi="Verdana" w:cs="Times New Roman"/>
              </w:rPr>
              <w:t xml:space="preserve">Maximum loss under unwinding event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4B8BB4F" w14:textId="77777777" w:rsidR="00B957F4" w:rsidRPr="00A84A8D" w:rsidRDefault="00B957F4" w:rsidP="00796D2F">
            <w:pPr>
              <w:spacing w:after="202" w:line="273" w:lineRule="auto"/>
              <w:rPr>
                <w:rFonts w:ascii="Verdana" w:hAnsi="Verdana"/>
              </w:rPr>
            </w:pPr>
            <w:r w:rsidRPr="00A84A8D">
              <w:rPr>
                <w:rFonts w:ascii="Verdana" w:eastAsia="Times New Roman" w:hAnsi="Verdana" w:cs="Times New Roman"/>
              </w:rPr>
              <w:t xml:space="preserve">Maximum amount of loss if an unwinding event occurs. Applicable to CIC category F. </w:t>
            </w:r>
          </w:p>
          <w:p w14:paraId="1DF6A682" w14:textId="77777777" w:rsidR="00B957F4" w:rsidRPr="00A84A8D" w:rsidRDefault="00B957F4" w:rsidP="00796D2F">
            <w:pPr>
              <w:rPr>
                <w:rFonts w:ascii="Verdana" w:hAnsi="Verdana"/>
              </w:rPr>
            </w:pPr>
            <w:r w:rsidRPr="00A84A8D">
              <w:rPr>
                <w:rFonts w:ascii="Verdana" w:eastAsia="Times New Roman" w:hAnsi="Verdana" w:cs="Times New Roman"/>
              </w:rPr>
              <w:t xml:space="preserve">Where a credit derivative is 100% collateralised, the maximum loss under an unwinding event is zero. </w:t>
            </w:r>
          </w:p>
        </w:tc>
      </w:tr>
      <w:tr w:rsidR="00B957F4" w:rsidRPr="00A84A8D" w14:paraId="0BC48B17" w14:textId="77777777" w:rsidTr="00796D2F">
        <w:trPr>
          <w:trHeight w:val="1726"/>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39CB2A0F" w14:textId="77777777" w:rsidR="00B957F4" w:rsidRPr="00A84A8D" w:rsidRDefault="00B957F4" w:rsidP="00796D2F">
            <w:pPr>
              <w:rPr>
                <w:rFonts w:ascii="Verdana" w:hAnsi="Verdana"/>
              </w:rPr>
            </w:pPr>
            <w:r w:rsidRPr="00A84A8D">
              <w:rPr>
                <w:rFonts w:ascii="Verdana" w:eastAsia="Times New Roman" w:hAnsi="Verdana" w:cs="Times New Roman"/>
              </w:rPr>
              <w:t xml:space="preserve">C0200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42194C27" w14:textId="77777777" w:rsidR="00B957F4" w:rsidRPr="00A84A8D" w:rsidRDefault="00B957F4" w:rsidP="00796D2F">
            <w:pPr>
              <w:rPr>
                <w:rFonts w:ascii="Verdana" w:hAnsi="Verdana"/>
              </w:rPr>
            </w:pPr>
            <w:r w:rsidRPr="00A84A8D">
              <w:rPr>
                <w:rFonts w:ascii="Verdana" w:eastAsia="Times New Roman" w:hAnsi="Verdana" w:cs="Times New Roman"/>
              </w:rPr>
              <w:t xml:space="preserve">Swap outflow amount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5F8B51AD" w14:textId="77777777" w:rsidR="00B957F4" w:rsidRPr="00A84A8D" w:rsidRDefault="00B957F4" w:rsidP="00796D2F">
            <w:pPr>
              <w:spacing w:after="202" w:line="273" w:lineRule="auto"/>
              <w:rPr>
                <w:rFonts w:ascii="Verdana" w:hAnsi="Verdana"/>
              </w:rPr>
            </w:pPr>
            <w:r w:rsidRPr="00A84A8D">
              <w:rPr>
                <w:rFonts w:ascii="Verdana" w:eastAsia="Times New Roman" w:hAnsi="Verdana" w:cs="Times New Roman"/>
              </w:rPr>
              <w:t xml:space="preserve">Amount delivered under the swap contract (other than premiums), during the reporting period. Corresponds to interest paid for interest rate swaps and amounts delivered for currency swaps, credit swaps, total return swaps and other swaps. </w:t>
            </w:r>
          </w:p>
          <w:p w14:paraId="7EC94E0F" w14:textId="77777777" w:rsidR="00B957F4" w:rsidRPr="00A84A8D" w:rsidRDefault="00B957F4" w:rsidP="00796D2F">
            <w:pPr>
              <w:rPr>
                <w:rFonts w:ascii="Verdana" w:hAnsi="Verdana"/>
              </w:rPr>
            </w:pPr>
            <w:r w:rsidRPr="00A84A8D">
              <w:rPr>
                <w:rFonts w:ascii="Verdana" w:eastAsia="Times New Roman" w:hAnsi="Verdana" w:cs="Times New Roman"/>
              </w:rPr>
              <w:t xml:space="preserve">In the cases where the settlement is made on a net basis then only one of the items C0200 and C0210 shall be reported. </w:t>
            </w:r>
          </w:p>
        </w:tc>
      </w:tr>
      <w:tr w:rsidR="00B957F4" w:rsidRPr="00A84A8D" w14:paraId="6BB1F98A" w14:textId="77777777" w:rsidTr="00B326D7">
        <w:trPr>
          <w:trHeight w:val="1110"/>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0E18ABBA" w14:textId="77777777" w:rsidR="00B957F4" w:rsidRPr="00A84A8D" w:rsidRDefault="00B957F4" w:rsidP="00796D2F">
            <w:pPr>
              <w:rPr>
                <w:rFonts w:ascii="Verdana" w:hAnsi="Verdana"/>
              </w:rPr>
            </w:pPr>
            <w:r w:rsidRPr="00A84A8D">
              <w:rPr>
                <w:rFonts w:ascii="Verdana" w:eastAsia="Times New Roman" w:hAnsi="Verdana" w:cs="Times New Roman"/>
              </w:rPr>
              <w:t xml:space="preserve">C0210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380C527" w14:textId="77777777" w:rsidR="00B957F4" w:rsidRPr="00A84A8D" w:rsidRDefault="00B957F4" w:rsidP="00796D2F">
            <w:pPr>
              <w:rPr>
                <w:rFonts w:ascii="Verdana" w:hAnsi="Verdana"/>
              </w:rPr>
            </w:pPr>
            <w:r w:rsidRPr="00A84A8D">
              <w:rPr>
                <w:rFonts w:ascii="Verdana" w:eastAsia="Times New Roman" w:hAnsi="Verdana" w:cs="Times New Roman"/>
              </w:rPr>
              <w:t xml:space="preserve">Swap inflow amount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5E18470D" w14:textId="77777777" w:rsidR="00B957F4" w:rsidRPr="00A84A8D" w:rsidRDefault="00B957F4" w:rsidP="00796D2F">
            <w:pPr>
              <w:spacing w:after="202" w:line="273" w:lineRule="auto"/>
              <w:rPr>
                <w:rFonts w:ascii="Verdana" w:hAnsi="Verdana"/>
              </w:rPr>
            </w:pPr>
            <w:r w:rsidRPr="00A84A8D">
              <w:rPr>
                <w:rFonts w:ascii="Verdana" w:eastAsia="Times New Roman" w:hAnsi="Verdana" w:cs="Times New Roman"/>
              </w:rPr>
              <w:t xml:space="preserve">Amount received under the swap contract (other than premiums), during the reporting period. Corresponds to interest received for interest rate swaps and amounts received for currency swaps, credit swaps, total return swaps and other swaps. </w:t>
            </w:r>
          </w:p>
          <w:p w14:paraId="646AAE6A" w14:textId="77777777" w:rsidR="00B957F4" w:rsidRPr="00A84A8D" w:rsidRDefault="00B957F4" w:rsidP="00796D2F">
            <w:pPr>
              <w:rPr>
                <w:rFonts w:ascii="Verdana" w:hAnsi="Verdana"/>
              </w:rPr>
            </w:pPr>
            <w:r w:rsidRPr="00A84A8D">
              <w:rPr>
                <w:rFonts w:ascii="Verdana" w:eastAsia="Times New Roman" w:hAnsi="Verdana" w:cs="Times New Roman"/>
              </w:rPr>
              <w:t xml:space="preserve">In the cases where the settlement is made on a net basis then only one of the items C0200 and C0210 shall be reported. </w:t>
            </w:r>
          </w:p>
        </w:tc>
      </w:tr>
      <w:tr w:rsidR="00B957F4" w:rsidRPr="00A84A8D" w14:paraId="4E62C081" w14:textId="77777777" w:rsidTr="00796D2F">
        <w:trPr>
          <w:trHeight w:val="2792"/>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25BF0597" w14:textId="77777777" w:rsidR="00B957F4" w:rsidRPr="00A84A8D" w:rsidRDefault="00B957F4" w:rsidP="00796D2F">
            <w:pPr>
              <w:rPr>
                <w:rFonts w:ascii="Verdana" w:hAnsi="Verdana"/>
              </w:rPr>
            </w:pPr>
            <w:r w:rsidRPr="00A84A8D">
              <w:rPr>
                <w:rFonts w:ascii="Verdana" w:eastAsia="Times New Roman" w:hAnsi="Verdana" w:cs="Times New Roman"/>
              </w:rPr>
              <w:t xml:space="preserve">C0220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2C463F68" w14:textId="77777777" w:rsidR="00B957F4" w:rsidRPr="00A84A8D" w:rsidRDefault="00B957F4" w:rsidP="00796D2F">
            <w:pPr>
              <w:rPr>
                <w:rFonts w:ascii="Verdana" w:hAnsi="Verdana"/>
              </w:rPr>
            </w:pPr>
            <w:r w:rsidRPr="00A84A8D">
              <w:rPr>
                <w:rFonts w:ascii="Verdana" w:eastAsia="Times New Roman" w:hAnsi="Verdana" w:cs="Times New Roman"/>
              </w:rPr>
              <w:t xml:space="preserve">Initial date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1DFB528C" w14:textId="77777777" w:rsidR="00B957F4" w:rsidRPr="00A84A8D" w:rsidRDefault="00B957F4" w:rsidP="00796D2F">
            <w:pPr>
              <w:spacing w:line="273" w:lineRule="auto"/>
              <w:rPr>
                <w:rFonts w:ascii="Verdana" w:hAnsi="Verdana"/>
              </w:rPr>
            </w:pPr>
            <w:r w:rsidRPr="00A84A8D">
              <w:rPr>
                <w:rFonts w:ascii="Verdana" w:eastAsia="Times New Roman" w:hAnsi="Verdana" w:cs="Times New Roman"/>
              </w:rPr>
              <w:t>Identify the ISO 8601 (</w:t>
            </w:r>
            <w:proofErr w:type="spellStart"/>
            <w:r w:rsidRPr="00A84A8D">
              <w:rPr>
                <w:rFonts w:ascii="Verdana" w:eastAsia="Times New Roman" w:hAnsi="Verdana" w:cs="Times New Roman"/>
              </w:rPr>
              <w:t>yyyy</w:t>
            </w:r>
            <w:proofErr w:type="spellEnd"/>
            <w:r w:rsidRPr="00A84A8D">
              <w:rPr>
                <w:rFonts w:ascii="Verdana" w:eastAsia="Times New Roman" w:hAnsi="Verdana" w:cs="Times New Roman"/>
              </w:rPr>
              <w:t xml:space="preserve">–mm–dd) code of the date when obligations under the contract come into effect.  </w:t>
            </w:r>
          </w:p>
          <w:p w14:paraId="4D9A8F90" w14:textId="77777777" w:rsidR="00B957F4" w:rsidRPr="00A84A8D" w:rsidRDefault="00B957F4" w:rsidP="00796D2F">
            <w:pPr>
              <w:spacing w:after="198" w:line="273" w:lineRule="auto"/>
              <w:rPr>
                <w:rFonts w:ascii="Verdana" w:hAnsi="Verdana"/>
              </w:rPr>
            </w:pPr>
            <w:r w:rsidRPr="00A84A8D">
              <w:rPr>
                <w:rFonts w:ascii="Verdana" w:eastAsia="Times New Roman" w:hAnsi="Verdana" w:cs="Times New Roman"/>
              </w:rPr>
              <w:t xml:space="preserve">When various dates occur for the same derivative, report only the one regarding the first trade date of the derivative and only one row for each derivative (no different rows for each trade) reflecting the total amount invested in that derivative considering the different dates of trade. </w:t>
            </w:r>
          </w:p>
          <w:p w14:paraId="3D8264D3" w14:textId="77777777" w:rsidR="00B957F4" w:rsidRPr="00A84A8D" w:rsidRDefault="00B957F4" w:rsidP="00796D2F">
            <w:pPr>
              <w:rPr>
                <w:rFonts w:ascii="Verdana" w:hAnsi="Verdana"/>
              </w:rPr>
            </w:pPr>
            <w:r w:rsidRPr="00A84A8D">
              <w:rPr>
                <w:rFonts w:ascii="Verdana" w:eastAsia="Times New Roman" w:hAnsi="Verdana" w:cs="Times New Roman"/>
              </w:rPr>
              <w:t xml:space="preserve">In case of novation, the novation date becomes the trade date for that derivative. </w:t>
            </w:r>
          </w:p>
        </w:tc>
      </w:tr>
      <w:tr w:rsidR="00B957F4" w:rsidRPr="00A84A8D" w14:paraId="38B9FCB3" w14:textId="77777777" w:rsidTr="00796D2F">
        <w:trPr>
          <w:trHeight w:val="1301"/>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3D7FE423" w14:textId="77777777" w:rsidR="00B957F4" w:rsidRPr="00A84A8D" w:rsidRDefault="00B957F4" w:rsidP="00796D2F">
            <w:pPr>
              <w:rPr>
                <w:rFonts w:ascii="Verdana" w:hAnsi="Verdana"/>
              </w:rPr>
            </w:pPr>
            <w:r w:rsidRPr="00A84A8D">
              <w:rPr>
                <w:rFonts w:ascii="Verdana" w:eastAsia="Times New Roman" w:hAnsi="Verdana" w:cs="Times New Roman"/>
              </w:rPr>
              <w:t xml:space="preserve">C0230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6E5FF34B" w14:textId="77777777" w:rsidR="00B957F4" w:rsidRPr="00A84A8D" w:rsidRDefault="00B957F4" w:rsidP="00796D2F">
            <w:pPr>
              <w:rPr>
                <w:rFonts w:ascii="Verdana" w:hAnsi="Verdana"/>
              </w:rPr>
            </w:pPr>
            <w:r w:rsidRPr="00A84A8D">
              <w:rPr>
                <w:rFonts w:ascii="Verdana" w:eastAsia="Times New Roman" w:hAnsi="Verdana" w:cs="Times New Roman"/>
              </w:rPr>
              <w:t xml:space="preserve">Duration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7205899E" w14:textId="77777777" w:rsidR="00B957F4" w:rsidRPr="00A84A8D" w:rsidRDefault="00B957F4" w:rsidP="00796D2F">
            <w:pPr>
              <w:spacing w:after="2" w:line="273" w:lineRule="auto"/>
              <w:rPr>
                <w:rFonts w:ascii="Verdana" w:hAnsi="Verdana"/>
              </w:rPr>
            </w:pPr>
            <w:r w:rsidRPr="00A84A8D">
              <w:rPr>
                <w:rFonts w:ascii="Verdana" w:eastAsia="Times New Roman" w:hAnsi="Verdana" w:cs="Times New Roman"/>
              </w:rPr>
              <w:t xml:space="preserve">Derivative duration, defined as the residual modified duration, for derivatives for which a duration measure is applicable. </w:t>
            </w:r>
          </w:p>
          <w:p w14:paraId="597D5886" w14:textId="77777777" w:rsidR="00B957F4" w:rsidRPr="00A84A8D" w:rsidRDefault="00B957F4" w:rsidP="00796D2F">
            <w:pPr>
              <w:rPr>
                <w:rFonts w:ascii="Verdana" w:hAnsi="Verdana"/>
              </w:rPr>
            </w:pPr>
            <w:r w:rsidRPr="00A84A8D">
              <w:rPr>
                <w:rFonts w:ascii="Verdana" w:eastAsia="Times New Roman" w:hAnsi="Verdana" w:cs="Times New Roman"/>
              </w:rPr>
              <w:t xml:space="preserve">Calculated as the net duration between in and out flows from the derivative, when applicable. </w:t>
            </w:r>
          </w:p>
        </w:tc>
      </w:tr>
      <w:tr w:rsidR="00B957F4" w:rsidRPr="00A84A8D" w14:paraId="70F20980" w14:textId="77777777" w:rsidTr="00796D2F">
        <w:trPr>
          <w:trHeight w:val="790"/>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522027B5" w14:textId="77777777" w:rsidR="00B957F4" w:rsidRPr="00A84A8D" w:rsidRDefault="00B957F4" w:rsidP="00796D2F">
            <w:pPr>
              <w:rPr>
                <w:rFonts w:ascii="Verdana" w:hAnsi="Verdana"/>
              </w:rPr>
            </w:pPr>
            <w:r w:rsidRPr="00A84A8D">
              <w:rPr>
                <w:rFonts w:ascii="Verdana" w:eastAsia="Times New Roman" w:hAnsi="Verdana" w:cs="Times New Roman"/>
              </w:rPr>
              <w:t xml:space="preserve">C0240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36A02BF0" w14:textId="77777777" w:rsidR="00B957F4" w:rsidRPr="00A84A8D" w:rsidRDefault="00B957F4" w:rsidP="00796D2F">
            <w:pPr>
              <w:rPr>
                <w:rFonts w:ascii="Verdana" w:hAnsi="Verdana"/>
              </w:rPr>
            </w:pPr>
            <w:r w:rsidRPr="00A84A8D">
              <w:rPr>
                <w:rFonts w:ascii="Verdana" w:eastAsia="Times New Roman" w:hAnsi="Verdana" w:cs="Times New Roman"/>
              </w:rPr>
              <w:t xml:space="preserve">Market value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39C26038" w14:textId="77777777" w:rsidR="00B957F4" w:rsidRPr="00A84A8D" w:rsidRDefault="00B957F4" w:rsidP="00796D2F">
            <w:pPr>
              <w:rPr>
                <w:rFonts w:ascii="Verdana" w:hAnsi="Verdana"/>
              </w:rPr>
            </w:pPr>
            <w:r w:rsidRPr="00A84A8D">
              <w:rPr>
                <w:rFonts w:ascii="Verdana" w:eastAsia="Times New Roman" w:hAnsi="Verdana" w:cs="Times New Roman"/>
              </w:rPr>
              <w:t xml:space="preserve">Market value of the assets </w:t>
            </w:r>
          </w:p>
        </w:tc>
      </w:tr>
      <w:tr w:rsidR="00B957F4" w:rsidRPr="00A84A8D" w14:paraId="17833F4D" w14:textId="77777777" w:rsidTr="00796D2F">
        <w:trPr>
          <w:trHeight w:val="1705"/>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10636671" w14:textId="77777777" w:rsidR="00B957F4" w:rsidRPr="00A84A8D" w:rsidRDefault="00B957F4" w:rsidP="00796D2F">
            <w:pPr>
              <w:rPr>
                <w:rFonts w:ascii="Verdana" w:hAnsi="Verdana"/>
              </w:rPr>
            </w:pPr>
            <w:r w:rsidRPr="00A84A8D">
              <w:rPr>
                <w:rFonts w:ascii="Verdana" w:eastAsia="Times New Roman" w:hAnsi="Verdana" w:cs="Times New Roman"/>
              </w:rPr>
              <w:t xml:space="preserve">C0250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505DC91A" w14:textId="77777777" w:rsidR="00B957F4" w:rsidRPr="00A84A8D" w:rsidRDefault="00B957F4" w:rsidP="00796D2F">
            <w:pPr>
              <w:rPr>
                <w:rFonts w:ascii="Verdana" w:hAnsi="Verdana"/>
              </w:rPr>
            </w:pPr>
            <w:r w:rsidRPr="00A84A8D">
              <w:rPr>
                <w:rFonts w:ascii="Verdana" w:eastAsia="Times New Roman" w:hAnsi="Verdana" w:cs="Times New Roman"/>
              </w:rPr>
              <w:t xml:space="preserve">Valuation method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39" w:type="dxa"/>
            </w:tcMar>
            <w:hideMark/>
          </w:tcPr>
          <w:p w14:paraId="38F8D24C" w14:textId="77777777" w:rsidR="00B957F4" w:rsidRPr="00A84A8D" w:rsidRDefault="00B957F4" w:rsidP="00796D2F">
            <w:pPr>
              <w:spacing w:after="121" w:line="273" w:lineRule="auto"/>
              <w:rPr>
                <w:rFonts w:ascii="Verdana" w:hAnsi="Verdana"/>
              </w:rPr>
            </w:pPr>
            <w:r w:rsidRPr="00A84A8D">
              <w:rPr>
                <w:rFonts w:ascii="Verdana" w:eastAsia="Times New Roman" w:hAnsi="Verdana" w:cs="Times New Roman"/>
              </w:rPr>
              <w:t xml:space="preserve">Identify the valuation method used when valuing derivatives. One of the options in the following closed list shall be used: </w:t>
            </w:r>
          </w:p>
          <w:p w14:paraId="3CA87E02" w14:textId="77777777" w:rsidR="00B957F4" w:rsidRPr="00A84A8D" w:rsidRDefault="00B957F4" w:rsidP="00796D2F">
            <w:pPr>
              <w:numPr>
                <w:ilvl w:val="0"/>
                <w:numId w:val="26"/>
              </w:numPr>
              <w:spacing w:after="101"/>
              <w:ind w:hanging="151"/>
              <w:rPr>
                <w:rFonts w:ascii="Verdana" w:hAnsi="Verdana"/>
              </w:rPr>
            </w:pPr>
            <w:r w:rsidRPr="00A84A8D">
              <w:rPr>
                <w:rFonts w:ascii="Verdana" w:eastAsia="Times New Roman" w:hAnsi="Verdana" w:cs="Times New Roman"/>
              </w:rPr>
              <w:t xml:space="preserve">- market prices for that instrument </w:t>
            </w:r>
          </w:p>
          <w:p w14:paraId="26F6E8BF" w14:textId="77777777" w:rsidR="00B957F4" w:rsidRPr="00A84A8D" w:rsidRDefault="00B957F4" w:rsidP="00796D2F">
            <w:pPr>
              <w:numPr>
                <w:ilvl w:val="0"/>
                <w:numId w:val="26"/>
              </w:numPr>
              <w:ind w:hanging="151"/>
              <w:rPr>
                <w:rFonts w:ascii="Verdana" w:hAnsi="Verdana"/>
              </w:rPr>
            </w:pPr>
            <w:r w:rsidRPr="00A84A8D">
              <w:rPr>
                <w:rFonts w:ascii="Verdana" w:eastAsia="Times New Roman" w:hAnsi="Verdana" w:cs="Times New Roman"/>
              </w:rPr>
              <w:t xml:space="preserve">- marked-to-market </w:t>
            </w:r>
          </w:p>
          <w:p w14:paraId="694BAEF1" w14:textId="77777777" w:rsidR="00B957F4" w:rsidRPr="00A84A8D" w:rsidRDefault="00B957F4" w:rsidP="00796D2F">
            <w:pPr>
              <w:numPr>
                <w:ilvl w:val="0"/>
                <w:numId w:val="26"/>
              </w:numPr>
              <w:ind w:hanging="151"/>
              <w:rPr>
                <w:rFonts w:ascii="Verdana" w:hAnsi="Verdana"/>
              </w:rPr>
            </w:pPr>
            <w:r w:rsidRPr="00A84A8D">
              <w:rPr>
                <w:rFonts w:ascii="Verdana" w:eastAsia="Times New Roman" w:hAnsi="Verdana" w:cs="Times New Roman"/>
              </w:rPr>
              <w:t xml:space="preserve">- market-consistent valuation not applicable. </w:t>
            </w:r>
          </w:p>
        </w:tc>
      </w:tr>
    </w:tbl>
    <w:p w14:paraId="21202818" w14:textId="77777777" w:rsidR="00B957F4" w:rsidRPr="00A84A8D" w:rsidRDefault="00B957F4" w:rsidP="00B957F4">
      <w:pPr>
        <w:spacing w:after="0"/>
        <w:ind w:left="-5"/>
        <w:rPr>
          <w:rFonts w:ascii="Verdana" w:eastAsia="Calibri" w:hAnsi="Verdana" w:cs="Calibri"/>
        </w:rPr>
      </w:pPr>
      <w:r w:rsidRPr="00A84A8D">
        <w:rPr>
          <w:rFonts w:ascii="Verdana" w:eastAsia="Times New Roman" w:hAnsi="Verdana" w:cs="Times New Roman"/>
          <w:b/>
        </w:rPr>
        <w:t xml:space="preserve">Information on derivatives </w:t>
      </w:r>
    </w:p>
    <w:tbl>
      <w:tblPr>
        <w:tblStyle w:val="TableGrid"/>
        <w:tblW w:w="9323" w:type="dxa"/>
        <w:tblInd w:w="5" w:type="dxa"/>
        <w:tblCellMar>
          <w:top w:w="14" w:type="dxa"/>
          <w:left w:w="108" w:type="dxa"/>
          <w:right w:w="115" w:type="dxa"/>
        </w:tblCellMar>
        <w:tblLook w:val="04A0" w:firstRow="1" w:lastRow="0" w:firstColumn="1" w:lastColumn="0" w:noHBand="0" w:noVBand="1"/>
      </w:tblPr>
      <w:tblGrid>
        <w:gridCol w:w="1224"/>
        <w:gridCol w:w="2403"/>
        <w:gridCol w:w="5696"/>
      </w:tblGrid>
      <w:tr w:rsidR="00B957F4" w:rsidRPr="00A84A8D" w14:paraId="4C92E15F" w14:textId="77777777" w:rsidTr="00796D2F">
        <w:trPr>
          <w:trHeight w:val="338"/>
        </w:trPr>
        <w:tc>
          <w:tcPr>
            <w:tcW w:w="1224" w:type="dxa"/>
            <w:tcBorders>
              <w:top w:val="single" w:sz="4" w:space="0" w:color="000000"/>
              <w:left w:val="single" w:sz="4" w:space="0" w:color="000000"/>
              <w:bottom w:val="single" w:sz="4" w:space="0" w:color="000000"/>
              <w:right w:val="single" w:sz="4" w:space="0" w:color="000000"/>
            </w:tcBorders>
            <w:hideMark/>
          </w:tcPr>
          <w:p w14:paraId="69AEE041" w14:textId="77777777" w:rsidR="00B957F4" w:rsidRPr="00A84A8D" w:rsidRDefault="00B957F4" w:rsidP="00796D2F">
            <w:pPr>
              <w:rPr>
                <w:rFonts w:ascii="Verdana" w:hAnsi="Verdana"/>
              </w:rPr>
            </w:pPr>
            <w:r w:rsidRPr="00A84A8D">
              <w:rPr>
                <w:rFonts w:ascii="Verdana" w:eastAsia="Times New Roman" w:hAnsi="Verdana" w:cs="Times New Roman"/>
                <w:b/>
              </w:rPr>
              <w:t xml:space="preserve"> </w:t>
            </w:r>
          </w:p>
        </w:tc>
        <w:tc>
          <w:tcPr>
            <w:tcW w:w="2403" w:type="dxa"/>
            <w:tcBorders>
              <w:top w:val="single" w:sz="4" w:space="0" w:color="000000"/>
              <w:left w:val="single" w:sz="4" w:space="0" w:color="000000"/>
              <w:bottom w:val="single" w:sz="4" w:space="0" w:color="000000"/>
              <w:right w:val="single" w:sz="4" w:space="0" w:color="000000"/>
            </w:tcBorders>
            <w:hideMark/>
          </w:tcPr>
          <w:p w14:paraId="74DE1F03" w14:textId="77777777" w:rsidR="00B957F4" w:rsidRPr="00A84A8D" w:rsidRDefault="00B957F4" w:rsidP="00796D2F">
            <w:pPr>
              <w:ind w:left="3"/>
              <w:jc w:val="center"/>
              <w:rPr>
                <w:rFonts w:ascii="Verdana" w:hAnsi="Verdana"/>
              </w:rPr>
            </w:pPr>
            <w:r w:rsidRPr="00A84A8D">
              <w:rPr>
                <w:rFonts w:ascii="Verdana" w:eastAsia="Times New Roman" w:hAnsi="Verdana" w:cs="Times New Roman"/>
                <w:b/>
              </w:rPr>
              <w:t xml:space="preserve">ITEM </w:t>
            </w:r>
          </w:p>
        </w:tc>
        <w:tc>
          <w:tcPr>
            <w:tcW w:w="5696" w:type="dxa"/>
            <w:tcBorders>
              <w:top w:val="single" w:sz="4" w:space="0" w:color="000000"/>
              <w:left w:val="single" w:sz="4" w:space="0" w:color="000000"/>
              <w:bottom w:val="single" w:sz="4" w:space="0" w:color="000000"/>
              <w:right w:val="single" w:sz="4" w:space="0" w:color="000000"/>
            </w:tcBorders>
            <w:hideMark/>
          </w:tcPr>
          <w:p w14:paraId="0858AA88" w14:textId="77777777" w:rsidR="00B957F4" w:rsidRPr="00A84A8D" w:rsidRDefault="00B957F4" w:rsidP="00796D2F">
            <w:pPr>
              <w:ind w:left="2"/>
              <w:jc w:val="center"/>
              <w:rPr>
                <w:rFonts w:ascii="Verdana" w:hAnsi="Verdana"/>
              </w:rPr>
            </w:pPr>
            <w:r w:rsidRPr="00A84A8D">
              <w:rPr>
                <w:rFonts w:ascii="Verdana" w:eastAsia="Times New Roman" w:hAnsi="Verdana" w:cs="Times New Roman"/>
                <w:b/>
              </w:rPr>
              <w:t xml:space="preserve">INSTRUCTIONS </w:t>
            </w:r>
          </w:p>
        </w:tc>
      </w:tr>
      <w:tr w:rsidR="00B957F4" w:rsidRPr="00A84A8D" w14:paraId="21DE1D2E" w14:textId="77777777" w:rsidTr="00796D2F">
        <w:tblPrEx>
          <w:tblCellMar>
            <w:top w:w="0" w:type="dxa"/>
            <w:bottom w:w="4" w:type="dxa"/>
            <w:right w:w="78" w:type="dxa"/>
          </w:tblCellMar>
        </w:tblPrEx>
        <w:trPr>
          <w:trHeight w:val="1980"/>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39DCDBAB" w14:textId="77777777" w:rsidR="00B957F4" w:rsidRPr="00A84A8D" w:rsidRDefault="00B957F4" w:rsidP="00796D2F">
            <w:pPr>
              <w:rPr>
                <w:rFonts w:ascii="Verdana" w:hAnsi="Verdana"/>
              </w:rPr>
            </w:pPr>
            <w:r w:rsidRPr="00A84A8D">
              <w:rPr>
                <w:rFonts w:ascii="Verdana" w:eastAsia="Times New Roman" w:hAnsi="Verdana" w:cs="Times New Roman"/>
              </w:rPr>
              <w:t>C0002</w:t>
            </w:r>
            <w:r w:rsidRPr="00A84A8D">
              <w:rPr>
                <w:rFonts w:ascii="Verdana" w:eastAsia="Times New Roman" w:hAnsi="Verdana" w:cs="Times New Roman"/>
                <w:b/>
              </w:rPr>
              <w:t xml:space="preserve">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68E40703" w14:textId="77777777" w:rsidR="00B957F4" w:rsidRPr="00A84A8D" w:rsidRDefault="00B957F4" w:rsidP="00796D2F">
            <w:pPr>
              <w:rPr>
                <w:rFonts w:ascii="Verdana" w:hAnsi="Verdana"/>
              </w:rPr>
            </w:pPr>
            <w:r w:rsidRPr="00A84A8D">
              <w:rPr>
                <w:rFonts w:ascii="Verdana" w:eastAsia="Times New Roman" w:hAnsi="Verdana" w:cs="Times New Roman"/>
              </w:rPr>
              <w:t>Pension fund identification code</w:t>
            </w:r>
            <w:r w:rsidRPr="00A84A8D">
              <w:rPr>
                <w:rFonts w:ascii="Verdana" w:eastAsia="Times New Roman" w:hAnsi="Verdana" w:cs="Times New Roman"/>
                <w:b/>
              </w:rPr>
              <w:t xml:space="preserv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vAlign w:val="bottom"/>
            <w:hideMark/>
          </w:tcPr>
          <w:p w14:paraId="0EEDDA68" w14:textId="77777777" w:rsidR="00B957F4" w:rsidRPr="00A84A8D" w:rsidRDefault="00B957F4" w:rsidP="00796D2F">
            <w:pPr>
              <w:spacing w:after="139"/>
              <w:rPr>
                <w:rFonts w:ascii="Verdana" w:hAnsi="Verdana"/>
              </w:rPr>
            </w:pPr>
            <w:r w:rsidRPr="00A84A8D">
              <w:rPr>
                <w:rFonts w:ascii="Verdana" w:eastAsia="Times New Roman" w:hAnsi="Verdana" w:cs="Times New Roman"/>
              </w:rPr>
              <w:t xml:space="preserve">Identification code of the pension fund: </w:t>
            </w:r>
          </w:p>
          <w:p w14:paraId="55E072DD" w14:textId="77777777" w:rsidR="00B957F4" w:rsidRPr="00A84A8D" w:rsidRDefault="00B957F4" w:rsidP="00796D2F">
            <w:pPr>
              <w:spacing w:after="101"/>
              <w:rPr>
                <w:rFonts w:ascii="Verdana" w:hAnsi="Verdana"/>
              </w:rPr>
            </w:pPr>
            <w:r w:rsidRPr="00A84A8D">
              <w:rPr>
                <w:rFonts w:ascii="Verdana" w:eastAsia="Times New Roman" w:hAnsi="Verdana" w:cs="Times New Roman"/>
              </w:rPr>
              <w:t xml:space="preserve"> – Legal Entity Identifier (“LEI”) </w:t>
            </w:r>
          </w:p>
          <w:p w14:paraId="1EA37323" w14:textId="012380A4" w:rsidR="00B957F4" w:rsidRPr="00A84A8D" w:rsidRDefault="00B957F4" w:rsidP="00796D2F">
            <w:pPr>
              <w:spacing w:after="1" w:line="237" w:lineRule="auto"/>
              <w:rPr>
                <w:rFonts w:ascii="Verdana" w:hAnsi="Verdana"/>
              </w:rPr>
            </w:pPr>
            <w:r w:rsidRPr="00A84A8D">
              <w:rPr>
                <w:rFonts w:ascii="Verdana" w:eastAsia="Times New Roman" w:hAnsi="Verdana" w:cs="Times New Roman"/>
              </w:rPr>
              <w:t xml:space="preserve"> Only if the pension fund does not have a LEI code</w:t>
            </w:r>
            <w:r w:rsidR="004D1672" w:rsidRPr="00A84A8D">
              <w:rPr>
                <w:rFonts w:ascii="Verdana" w:eastAsia="Times New Roman" w:hAnsi="Verdana" w:cs="Times New Roman"/>
              </w:rPr>
              <w:t xml:space="preserve"> </w:t>
            </w:r>
            <w:r w:rsidR="004D1672" w:rsidRPr="00A84A8D">
              <w:rPr>
                <w:rFonts w:ascii="Verdana" w:hAnsi="Verdana"/>
              </w:rPr>
              <w:t>and not in the scope of the mandatory individual reporting</w:t>
            </w:r>
            <w:r w:rsidRPr="00A84A8D">
              <w:rPr>
                <w:rFonts w:ascii="Verdana" w:eastAsia="Times New Roman" w:hAnsi="Verdana" w:cs="Times New Roman"/>
              </w:rPr>
              <w:t xml:space="preserve">: identification code used in the local market, attributed by supervisory authority. This code should be the code used to identify codes in EIOPA register on IORPs. </w:t>
            </w:r>
          </w:p>
          <w:p w14:paraId="7F84B9F0" w14:textId="77777777" w:rsidR="00B957F4" w:rsidRPr="00A84A8D" w:rsidRDefault="00B957F4" w:rsidP="00796D2F">
            <w:pPr>
              <w:ind w:left="17"/>
              <w:jc w:val="center"/>
              <w:rPr>
                <w:rFonts w:ascii="Verdana" w:hAnsi="Verdana"/>
              </w:rPr>
            </w:pPr>
            <w:r w:rsidRPr="00A84A8D">
              <w:rPr>
                <w:rFonts w:ascii="Verdana" w:eastAsia="Times New Roman" w:hAnsi="Verdana" w:cs="Times New Roman"/>
                <w:b/>
              </w:rPr>
              <w:t xml:space="preserve"> </w:t>
            </w:r>
          </w:p>
        </w:tc>
      </w:tr>
      <w:tr w:rsidR="00B957F4" w:rsidRPr="00A84A8D" w14:paraId="273557B1" w14:textId="77777777" w:rsidTr="00B326D7">
        <w:tblPrEx>
          <w:tblCellMar>
            <w:bottom w:w="4" w:type="dxa"/>
            <w:right w:w="78" w:type="dxa"/>
          </w:tblCellMar>
        </w:tblPrEx>
        <w:trPr>
          <w:trHeight w:val="1960"/>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61124440" w14:textId="77777777" w:rsidR="00B957F4" w:rsidRPr="00A84A8D" w:rsidRDefault="00B957F4" w:rsidP="00796D2F">
            <w:pPr>
              <w:rPr>
                <w:rFonts w:ascii="Verdana" w:hAnsi="Verdana"/>
              </w:rPr>
            </w:pPr>
            <w:r w:rsidRPr="00A84A8D">
              <w:rPr>
                <w:rFonts w:ascii="Verdana" w:eastAsia="Times New Roman" w:hAnsi="Verdana" w:cs="Times New Roman"/>
              </w:rPr>
              <w:t xml:space="preserve">0010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hideMark/>
          </w:tcPr>
          <w:p w14:paraId="14D14396" w14:textId="77777777" w:rsidR="00B957F4" w:rsidRPr="00A84A8D" w:rsidRDefault="00B957F4" w:rsidP="00796D2F">
            <w:pPr>
              <w:rPr>
                <w:rFonts w:ascii="Verdana" w:hAnsi="Verdana"/>
              </w:rPr>
            </w:pPr>
            <w:r w:rsidRPr="00A84A8D">
              <w:rPr>
                <w:rFonts w:ascii="Verdana" w:eastAsia="Times New Roman" w:hAnsi="Verdana" w:cs="Times New Roman"/>
              </w:rPr>
              <w:t xml:space="preserve">Derivative ID Code and Type of code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4" w:type="dxa"/>
              <w:right w:w="78" w:type="dxa"/>
            </w:tcMar>
            <w:vAlign w:val="bottom"/>
            <w:hideMark/>
          </w:tcPr>
          <w:p w14:paraId="3B1AA064" w14:textId="77777777" w:rsidR="00B957F4" w:rsidRPr="00A84A8D" w:rsidRDefault="00B957F4" w:rsidP="00796D2F">
            <w:pPr>
              <w:rPr>
                <w:rFonts w:ascii="Verdana" w:hAnsi="Verdana"/>
              </w:rPr>
            </w:pPr>
            <w:r w:rsidRPr="00A84A8D">
              <w:rPr>
                <w:rFonts w:ascii="Verdana" w:eastAsia="Times New Roman" w:hAnsi="Verdana" w:cs="Times New Roman"/>
              </w:rPr>
              <w:t xml:space="preserve">This information combines data about Derivative ID Code (columns </w:t>
            </w:r>
          </w:p>
          <w:p w14:paraId="07880070" w14:textId="77777777" w:rsidR="00B957F4" w:rsidRPr="00A84A8D" w:rsidRDefault="00B957F4" w:rsidP="00796D2F">
            <w:pPr>
              <w:spacing w:after="61" w:line="300" w:lineRule="auto"/>
              <w:ind w:right="287"/>
              <w:rPr>
                <w:rFonts w:ascii="Verdana" w:hAnsi="Verdana"/>
              </w:rPr>
            </w:pPr>
            <w:r w:rsidRPr="00A84A8D">
              <w:rPr>
                <w:rFonts w:ascii="Verdana" w:eastAsia="Times New Roman" w:hAnsi="Verdana" w:cs="Times New Roman"/>
              </w:rPr>
              <w:t xml:space="preserve">C0010 and C0110 from BoS decision) and Derivative ID Code Type (columns C0020 and C0120 from BoS decision) Derivative ID code using:  </w:t>
            </w:r>
          </w:p>
          <w:p w14:paraId="07856F94" w14:textId="77777777" w:rsidR="00B957F4" w:rsidRPr="00A84A8D" w:rsidRDefault="00B957F4" w:rsidP="00796D2F">
            <w:pPr>
              <w:numPr>
                <w:ilvl w:val="0"/>
                <w:numId w:val="27"/>
              </w:numPr>
              <w:spacing w:after="101"/>
              <w:rPr>
                <w:rFonts w:ascii="Verdana" w:hAnsi="Verdana"/>
              </w:rPr>
            </w:pPr>
            <w:r w:rsidRPr="00A84A8D">
              <w:rPr>
                <w:rFonts w:ascii="Verdana" w:eastAsia="Times New Roman" w:hAnsi="Verdana" w:cs="Times New Roman"/>
              </w:rPr>
              <w:t xml:space="preserve">ISO 6166 code of ISIN </w:t>
            </w:r>
          </w:p>
          <w:p w14:paraId="25163EA9" w14:textId="77777777" w:rsidR="00B957F4" w:rsidRPr="00A84A8D" w:rsidRDefault="00B957F4" w:rsidP="00796D2F">
            <w:pPr>
              <w:spacing w:after="102"/>
              <w:rPr>
                <w:rFonts w:ascii="Verdana" w:hAnsi="Verdana"/>
              </w:rPr>
            </w:pPr>
            <w:r w:rsidRPr="00A84A8D">
              <w:rPr>
                <w:rFonts w:ascii="Verdana" w:eastAsia="Times New Roman" w:hAnsi="Verdana" w:cs="Times New Roman"/>
              </w:rPr>
              <w:t xml:space="preserve">Only if ISIN code is not available: </w:t>
            </w:r>
          </w:p>
          <w:p w14:paraId="616E8E38" w14:textId="77777777" w:rsidR="00B957F4" w:rsidRPr="00A84A8D" w:rsidRDefault="00B957F4" w:rsidP="00796D2F">
            <w:pPr>
              <w:numPr>
                <w:ilvl w:val="0"/>
                <w:numId w:val="27"/>
              </w:numPr>
              <w:spacing w:after="120"/>
              <w:rPr>
                <w:rFonts w:ascii="Verdana" w:hAnsi="Verdana"/>
              </w:rPr>
            </w:pPr>
            <w:r w:rsidRPr="00A84A8D">
              <w:rPr>
                <w:rFonts w:ascii="Verdana" w:eastAsia="Times New Roman" w:hAnsi="Verdana" w:cs="Times New Roman"/>
              </w:rPr>
              <w:t xml:space="preserve">Other recognised codes (e.g.: CUSIP, Bloomberg Ticker, Reuters RIC) </w:t>
            </w:r>
          </w:p>
          <w:p w14:paraId="6952D65A" w14:textId="77777777" w:rsidR="00B957F4" w:rsidRPr="00A84A8D" w:rsidRDefault="00B957F4" w:rsidP="00796D2F">
            <w:pPr>
              <w:numPr>
                <w:ilvl w:val="0"/>
                <w:numId w:val="27"/>
              </w:numPr>
              <w:spacing w:after="122" w:line="235" w:lineRule="auto"/>
              <w:rPr>
                <w:rFonts w:ascii="Verdana" w:hAnsi="Verdana"/>
              </w:rPr>
            </w:pPr>
            <w:r w:rsidRPr="00A84A8D">
              <w:rPr>
                <w:rFonts w:ascii="Verdana" w:eastAsia="Times New Roman" w:hAnsi="Verdana" w:cs="Times New Roman"/>
              </w:rPr>
              <w:t xml:space="preserve">Code </w:t>
            </w:r>
            <w:proofErr w:type="gramStart"/>
            <w:r w:rsidRPr="00A84A8D">
              <w:rPr>
                <w:rFonts w:ascii="Verdana" w:eastAsia="Times New Roman" w:hAnsi="Verdana" w:cs="Times New Roman"/>
              </w:rPr>
              <w:t>attributed, when</w:t>
            </w:r>
            <w:proofErr w:type="gramEnd"/>
            <w:r w:rsidRPr="00A84A8D">
              <w:rPr>
                <w:rFonts w:ascii="Verdana" w:eastAsia="Times New Roman" w:hAnsi="Verdana" w:cs="Times New Roman"/>
              </w:rPr>
              <w:t xml:space="preserve"> other recognised codes are not available. This code must be unique and kept consistent over time. </w:t>
            </w:r>
          </w:p>
          <w:p w14:paraId="29F63CFF" w14:textId="77777777" w:rsidR="00B957F4" w:rsidRPr="00A84A8D" w:rsidRDefault="00B957F4" w:rsidP="00796D2F">
            <w:pPr>
              <w:spacing w:after="148" w:line="247" w:lineRule="auto"/>
              <w:rPr>
                <w:rFonts w:ascii="Verdana" w:hAnsi="Verdana"/>
              </w:rPr>
            </w:pPr>
            <w:r w:rsidRPr="00A84A8D">
              <w:rPr>
                <w:rFonts w:ascii="Verdana" w:eastAsia="Times New Roman" w:hAnsi="Verdana" w:cs="Times New Roman"/>
              </w:rPr>
              <w:t>When the same Derivative ID Code needs to be reported for one derivative that is issued in two or more different currencies, it is necessary to specify the Derivative ID code and the ISO 4217 alphabetic code of the currency, as in the following example: “</w:t>
            </w:r>
            <w:proofErr w:type="spellStart"/>
            <w:r w:rsidRPr="00A84A8D">
              <w:rPr>
                <w:rFonts w:ascii="Verdana" w:eastAsia="Times New Roman" w:hAnsi="Verdana" w:cs="Times New Roman"/>
              </w:rPr>
              <w:t>code+EUR</w:t>
            </w:r>
            <w:proofErr w:type="spellEnd"/>
            <w:r w:rsidRPr="00A84A8D">
              <w:rPr>
                <w:rFonts w:ascii="Verdana" w:eastAsia="Times New Roman" w:hAnsi="Verdana" w:cs="Times New Roman"/>
              </w:rPr>
              <w:t xml:space="preserve">”. </w:t>
            </w:r>
          </w:p>
          <w:p w14:paraId="668ED79A" w14:textId="77777777" w:rsidR="00B957F4" w:rsidRPr="00A84A8D" w:rsidRDefault="00B957F4" w:rsidP="00796D2F">
            <w:pPr>
              <w:spacing w:after="101"/>
              <w:rPr>
                <w:rFonts w:ascii="Verdana" w:hAnsi="Verdana"/>
              </w:rPr>
            </w:pPr>
            <w:r w:rsidRPr="00A84A8D">
              <w:rPr>
                <w:rFonts w:ascii="Verdana" w:eastAsia="Times New Roman" w:hAnsi="Verdana" w:cs="Times New Roman"/>
              </w:rPr>
              <w:t xml:space="preserve">Type of ID Code used for the “Derivative ID Code” item: </w:t>
            </w:r>
          </w:p>
          <w:p w14:paraId="10F22E67" w14:textId="77777777" w:rsidR="00B957F4" w:rsidRPr="00A84A8D" w:rsidRDefault="00B957F4" w:rsidP="00796D2F">
            <w:pPr>
              <w:numPr>
                <w:ilvl w:val="0"/>
                <w:numId w:val="28"/>
              </w:numPr>
              <w:spacing w:after="101"/>
              <w:rPr>
                <w:rFonts w:ascii="Verdana" w:hAnsi="Verdana"/>
              </w:rPr>
            </w:pPr>
            <w:r w:rsidRPr="00A84A8D">
              <w:rPr>
                <w:rFonts w:ascii="Verdana" w:eastAsia="Times New Roman" w:hAnsi="Verdana" w:cs="Times New Roman"/>
              </w:rPr>
              <w:t xml:space="preserve">- ISO 6166 for ISIN code </w:t>
            </w:r>
          </w:p>
          <w:p w14:paraId="35EAD7C5" w14:textId="77777777" w:rsidR="00B957F4" w:rsidRPr="00A84A8D" w:rsidRDefault="00B957F4" w:rsidP="00796D2F">
            <w:pPr>
              <w:numPr>
                <w:ilvl w:val="0"/>
                <w:numId w:val="28"/>
              </w:numPr>
              <w:spacing w:after="118"/>
              <w:rPr>
                <w:rFonts w:ascii="Verdana" w:hAnsi="Verdana"/>
              </w:rPr>
            </w:pPr>
            <w:r w:rsidRPr="00A84A8D">
              <w:rPr>
                <w:rFonts w:ascii="Verdana" w:eastAsia="Times New Roman" w:hAnsi="Verdana" w:cs="Times New Roman"/>
              </w:rPr>
              <w:t xml:space="preserve">- CUSIP (The Committee on Uniform Securities Identification Procedures number assigned by the CUSIP Service Bureau for U.S. and Canadian companies) </w:t>
            </w:r>
          </w:p>
          <w:p w14:paraId="0D647CCE" w14:textId="77777777" w:rsidR="00B957F4" w:rsidRPr="00A84A8D" w:rsidRDefault="00B957F4" w:rsidP="00796D2F">
            <w:pPr>
              <w:numPr>
                <w:ilvl w:val="0"/>
                <w:numId w:val="28"/>
              </w:numPr>
              <w:spacing w:after="121"/>
              <w:rPr>
                <w:rFonts w:ascii="Verdana" w:hAnsi="Verdana"/>
              </w:rPr>
            </w:pPr>
            <w:r w:rsidRPr="00A84A8D">
              <w:rPr>
                <w:rFonts w:ascii="Verdana" w:eastAsia="Times New Roman" w:hAnsi="Verdana" w:cs="Times New Roman"/>
              </w:rPr>
              <w:t xml:space="preserve">- SEDOL (Stock Exchange Daily Official List for the London Stock Exchange) </w:t>
            </w:r>
          </w:p>
          <w:p w14:paraId="6314B550" w14:textId="77777777" w:rsidR="00B957F4" w:rsidRPr="00A84A8D" w:rsidRDefault="00B957F4" w:rsidP="00796D2F">
            <w:pPr>
              <w:numPr>
                <w:ilvl w:val="0"/>
                <w:numId w:val="28"/>
              </w:numPr>
              <w:spacing w:after="120"/>
              <w:rPr>
                <w:rFonts w:ascii="Verdana" w:hAnsi="Verdana"/>
              </w:rPr>
            </w:pPr>
            <w:r w:rsidRPr="00A84A8D">
              <w:rPr>
                <w:rFonts w:ascii="Verdana" w:eastAsia="Times New Roman" w:hAnsi="Verdana" w:cs="Times New Roman"/>
              </w:rPr>
              <w:t>– WKN (</w:t>
            </w:r>
            <w:proofErr w:type="spellStart"/>
            <w:r w:rsidRPr="00A84A8D">
              <w:rPr>
                <w:rFonts w:ascii="Verdana" w:eastAsia="Times New Roman" w:hAnsi="Verdana" w:cs="Times New Roman"/>
              </w:rPr>
              <w:t>Wertpapier</w:t>
            </w:r>
            <w:proofErr w:type="spellEnd"/>
            <w:r w:rsidRPr="00A84A8D">
              <w:rPr>
                <w:rFonts w:ascii="Verdana" w:eastAsia="Times New Roman" w:hAnsi="Verdana" w:cs="Times New Roman"/>
              </w:rPr>
              <w:t xml:space="preserve"> Kenn-</w:t>
            </w:r>
            <w:proofErr w:type="spellStart"/>
            <w:r w:rsidRPr="00A84A8D">
              <w:rPr>
                <w:rFonts w:ascii="Verdana" w:eastAsia="Times New Roman" w:hAnsi="Verdana" w:cs="Times New Roman"/>
              </w:rPr>
              <w:t>Nummer</w:t>
            </w:r>
            <w:proofErr w:type="spellEnd"/>
            <w:r w:rsidRPr="00A84A8D">
              <w:rPr>
                <w:rFonts w:ascii="Verdana" w:eastAsia="Times New Roman" w:hAnsi="Verdana" w:cs="Times New Roman"/>
              </w:rPr>
              <w:t xml:space="preserve">, the alphanumeric German identification number) </w:t>
            </w:r>
          </w:p>
          <w:p w14:paraId="2C7CAD08" w14:textId="77777777" w:rsidR="00B957F4" w:rsidRPr="00A84A8D" w:rsidRDefault="00B957F4" w:rsidP="00796D2F">
            <w:pPr>
              <w:numPr>
                <w:ilvl w:val="0"/>
                <w:numId w:val="28"/>
              </w:numPr>
              <w:spacing w:after="118"/>
              <w:rPr>
                <w:rFonts w:ascii="Verdana" w:hAnsi="Verdana"/>
              </w:rPr>
            </w:pPr>
            <w:r w:rsidRPr="00A84A8D">
              <w:rPr>
                <w:rFonts w:ascii="Verdana" w:eastAsia="Times New Roman" w:hAnsi="Verdana" w:cs="Times New Roman"/>
              </w:rPr>
              <w:t xml:space="preserve">- Bloomberg Ticker (Bloomberg letters code that identify a company's securities) </w:t>
            </w:r>
          </w:p>
          <w:p w14:paraId="4606E61F" w14:textId="77777777" w:rsidR="00B957F4" w:rsidRPr="00A84A8D" w:rsidRDefault="00B957F4" w:rsidP="00796D2F">
            <w:pPr>
              <w:numPr>
                <w:ilvl w:val="0"/>
                <w:numId w:val="28"/>
              </w:numPr>
              <w:spacing w:after="101"/>
              <w:rPr>
                <w:rFonts w:ascii="Verdana" w:hAnsi="Verdana"/>
              </w:rPr>
            </w:pPr>
            <w:r w:rsidRPr="00A84A8D">
              <w:rPr>
                <w:rFonts w:ascii="Verdana" w:eastAsia="Times New Roman" w:hAnsi="Verdana" w:cs="Times New Roman"/>
              </w:rPr>
              <w:t xml:space="preserve">- BBGID (The Bloomberg Global ID) </w:t>
            </w:r>
          </w:p>
          <w:p w14:paraId="11B7016A" w14:textId="77777777" w:rsidR="00B957F4" w:rsidRPr="00A84A8D" w:rsidRDefault="00B957F4" w:rsidP="00796D2F">
            <w:pPr>
              <w:numPr>
                <w:ilvl w:val="0"/>
                <w:numId w:val="28"/>
              </w:numPr>
              <w:spacing w:after="102"/>
              <w:rPr>
                <w:rFonts w:ascii="Verdana" w:hAnsi="Verdana"/>
                <w:lang w:val="nl-BE"/>
              </w:rPr>
            </w:pPr>
            <w:r w:rsidRPr="00A84A8D">
              <w:rPr>
                <w:rFonts w:ascii="Verdana" w:eastAsia="Times New Roman" w:hAnsi="Verdana" w:cs="Times New Roman"/>
                <w:lang w:val="nl-BE"/>
              </w:rPr>
              <w:t xml:space="preserve">- Reuters RIC (Reuters instrument code) </w:t>
            </w:r>
          </w:p>
          <w:p w14:paraId="34BE044B" w14:textId="77777777" w:rsidR="00B957F4" w:rsidRPr="00A84A8D" w:rsidRDefault="00B957F4" w:rsidP="00796D2F">
            <w:pPr>
              <w:numPr>
                <w:ilvl w:val="0"/>
                <w:numId w:val="28"/>
              </w:numPr>
              <w:spacing w:after="101"/>
              <w:rPr>
                <w:rFonts w:ascii="Verdana" w:hAnsi="Verdana"/>
              </w:rPr>
            </w:pPr>
            <w:r w:rsidRPr="00A84A8D">
              <w:rPr>
                <w:rFonts w:ascii="Verdana" w:eastAsia="Times New Roman" w:hAnsi="Verdana" w:cs="Times New Roman"/>
              </w:rPr>
              <w:t xml:space="preserve">– FIGI (Financial Instrument Global Identifier) </w:t>
            </w:r>
          </w:p>
          <w:p w14:paraId="78B78157" w14:textId="77777777" w:rsidR="00B957F4" w:rsidRPr="00A84A8D" w:rsidRDefault="00B957F4" w:rsidP="00796D2F">
            <w:pPr>
              <w:numPr>
                <w:ilvl w:val="0"/>
                <w:numId w:val="28"/>
              </w:numPr>
              <w:rPr>
                <w:rFonts w:ascii="Verdana" w:hAnsi="Verdana"/>
              </w:rPr>
            </w:pPr>
            <w:r w:rsidRPr="00A84A8D">
              <w:rPr>
                <w:rFonts w:ascii="Verdana" w:eastAsia="Times New Roman" w:hAnsi="Verdana" w:cs="Times New Roman"/>
              </w:rPr>
              <w:t xml:space="preserve">- Other code by members of the Association of National </w:t>
            </w:r>
          </w:p>
          <w:p w14:paraId="32E9ED7A" w14:textId="77777777" w:rsidR="00B957F4" w:rsidRPr="00A84A8D" w:rsidRDefault="00B957F4" w:rsidP="00796D2F">
            <w:pPr>
              <w:spacing w:after="101"/>
              <w:rPr>
                <w:rFonts w:ascii="Verdana" w:hAnsi="Verdana"/>
              </w:rPr>
            </w:pPr>
            <w:r w:rsidRPr="00A84A8D">
              <w:rPr>
                <w:rFonts w:ascii="Verdana" w:eastAsia="Times New Roman" w:hAnsi="Verdana" w:cs="Times New Roman"/>
              </w:rPr>
              <w:t xml:space="preserve">Numbering Agencies </w:t>
            </w:r>
          </w:p>
          <w:p w14:paraId="5348395C" w14:textId="77777777" w:rsidR="00B957F4" w:rsidRPr="00A84A8D" w:rsidRDefault="00B957F4" w:rsidP="00796D2F">
            <w:pPr>
              <w:spacing w:after="99"/>
              <w:rPr>
                <w:rFonts w:ascii="Verdana" w:hAnsi="Verdana"/>
              </w:rPr>
            </w:pPr>
            <w:r w:rsidRPr="00A84A8D">
              <w:rPr>
                <w:rFonts w:ascii="Verdana" w:eastAsia="Times New Roman" w:hAnsi="Verdana" w:cs="Times New Roman"/>
              </w:rPr>
              <w:t xml:space="preserve">99 - Code attributed  </w:t>
            </w:r>
          </w:p>
          <w:p w14:paraId="14CD68AC" w14:textId="77777777" w:rsidR="00B957F4" w:rsidRPr="00A84A8D" w:rsidRDefault="00B957F4" w:rsidP="00796D2F">
            <w:pPr>
              <w:rPr>
                <w:rFonts w:ascii="Verdana" w:hAnsi="Verdana"/>
              </w:rPr>
            </w:pPr>
            <w:r w:rsidRPr="00A84A8D">
              <w:rPr>
                <w:rFonts w:ascii="Verdana" w:eastAsia="Times New Roman" w:hAnsi="Verdana" w:cs="Times New Roman"/>
              </w:rPr>
              <w:t>When the same Derivative ID Code needs to be reported for one derivative that is issued in two or more different currencies, it is necessary to specify the Derivative ID code and the ISO 4217 alphabetic code of the currency, as in the following example: “</w:t>
            </w:r>
            <w:proofErr w:type="spellStart"/>
            <w:r w:rsidRPr="00A84A8D">
              <w:rPr>
                <w:rFonts w:ascii="Verdana" w:eastAsia="Times New Roman" w:hAnsi="Verdana" w:cs="Times New Roman"/>
              </w:rPr>
              <w:t>code+EUR</w:t>
            </w:r>
            <w:proofErr w:type="spellEnd"/>
            <w:r w:rsidRPr="00A84A8D">
              <w:rPr>
                <w:rFonts w:ascii="Verdana" w:eastAsia="Times New Roman" w:hAnsi="Verdana" w:cs="Times New Roman"/>
              </w:rPr>
              <w:t xml:space="preserve">”. In this case Derivative ID Code Type shall refer to option 99 and the option of the original Derivative ID Code, as in the following example for which the code reported was ISIN </w:t>
            </w:r>
            <w:proofErr w:type="spellStart"/>
            <w:r w:rsidRPr="00A84A8D">
              <w:rPr>
                <w:rFonts w:ascii="Verdana" w:eastAsia="Times New Roman" w:hAnsi="Verdana" w:cs="Times New Roman"/>
              </w:rPr>
              <w:t>code+currency</w:t>
            </w:r>
            <w:proofErr w:type="spellEnd"/>
            <w:r w:rsidRPr="00A84A8D">
              <w:rPr>
                <w:rFonts w:ascii="Verdana" w:eastAsia="Times New Roman" w:hAnsi="Verdana" w:cs="Times New Roman"/>
              </w:rPr>
              <w:t xml:space="preserve">: “99/1”. </w:t>
            </w:r>
            <w:r w:rsidRPr="00A84A8D">
              <w:rPr>
                <w:rFonts w:ascii="Verdana" w:eastAsia="Times New Roman" w:hAnsi="Verdana" w:cs="Times New Roman"/>
              </w:rPr>
              <w:tab/>
              <w:t xml:space="preserve"> </w:t>
            </w:r>
          </w:p>
        </w:tc>
      </w:tr>
    </w:tbl>
    <w:p w14:paraId="4471E689" w14:textId="77777777" w:rsidR="00B957F4" w:rsidRPr="00A84A8D" w:rsidRDefault="00B957F4" w:rsidP="00B957F4">
      <w:pPr>
        <w:spacing w:after="0"/>
        <w:ind w:left="-1440" w:right="10471"/>
        <w:rPr>
          <w:rFonts w:ascii="Verdana" w:eastAsia="Calibri" w:hAnsi="Verdana" w:cs="Calibri"/>
        </w:rPr>
      </w:pPr>
    </w:p>
    <w:tbl>
      <w:tblPr>
        <w:tblStyle w:val="TableGrid"/>
        <w:tblW w:w="9323" w:type="dxa"/>
        <w:tblInd w:w="5" w:type="dxa"/>
        <w:tblCellMar>
          <w:left w:w="108" w:type="dxa"/>
          <w:right w:w="99" w:type="dxa"/>
        </w:tblCellMar>
        <w:tblLook w:val="04A0" w:firstRow="1" w:lastRow="0" w:firstColumn="1" w:lastColumn="0" w:noHBand="0" w:noVBand="1"/>
      </w:tblPr>
      <w:tblGrid>
        <w:gridCol w:w="1224"/>
        <w:gridCol w:w="2403"/>
        <w:gridCol w:w="5696"/>
      </w:tblGrid>
      <w:tr w:rsidR="00B957F4" w:rsidRPr="00A84A8D" w14:paraId="255EFB68" w14:textId="77777777" w:rsidTr="00796D2F">
        <w:trPr>
          <w:trHeight w:val="2844"/>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60A5E950" w14:textId="77777777" w:rsidR="00B957F4" w:rsidRPr="00A84A8D" w:rsidRDefault="00B957F4" w:rsidP="00796D2F">
            <w:pPr>
              <w:rPr>
                <w:rFonts w:ascii="Verdana" w:hAnsi="Verdana"/>
              </w:rPr>
            </w:pPr>
            <w:r w:rsidRPr="00A84A8D">
              <w:rPr>
                <w:rFonts w:ascii="Verdana" w:eastAsia="Times New Roman" w:hAnsi="Verdana" w:cs="Times New Roman"/>
              </w:rPr>
              <w:t xml:space="preserve">C0260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57F49035" w14:textId="77777777" w:rsidR="00B957F4" w:rsidRPr="00A84A8D" w:rsidRDefault="00B957F4" w:rsidP="00796D2F">
            <w:pPr>
              <w:rPr>
                <w:rFonts w:ascii="Verdana" w:hAnsi="Verdana"/>
              </w:rPr>
            </w:pPr>
            <w:r w:rsidRPr="00A84A8D">
              <w:rPr>
                <w:rFonts w:ascii="Verdana" w:eastAsia="Times New Roman" w:hAnsi="Verdana" w:cs="Times New Roman"/>
              </w:rPr>
              <w:t xml:space="preserve">Counterparty Name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5C4D1B8B" w14:textId="77777777" w:rsidR="00B957F4" w:rsidRPr="00A84A8D" w:rsidRDefault="00B957F4" w:rsidP="00796D2F">
            <w:pPr>
              <w:spacing w:after="198" w:line="276" w:lineRule="auto"/>
              <w:rPr>
                <w:rFonts w:ascii="Verdana" w:hAnsi="Verdana"/>
              </w:rPr>
            </w:pPr>
            <w:r w:rsidRPr="00A84A8D">
              <w:rPr>
                <w:rFonts w:ascii="Verdana" w:eastAsia="Times New Roman" w:hAnsi="Verdana" w:cs="Times New Roman"/>
              </w:rPr>
              <w:t xml:space="preserve">Name of the counterparty of the derivative. When available, this item corresponds to the entity name in the LEI database. When not available, corresponds to the legal name. </w:t>
            </w:r>
          </w:p>
          <w:p w14:paraId="1526789E" w14:textId="77777777" w:rsidR="00B957F4" w:rsidRPr="00A84A8D" w:rsidRDefault="00B957F4" w:rsidP="00796D2F">
            <w:pPr>
              <w:rPr>
                <w:rFonts w:ascii="Verdana" w:hAnsi="Verdana"/>
              </w:rPr>
            </w:pPr>
            <w:r w:rsidRPr="00A84A8D">
              <w:rPr>
                <w:rFonts w:ascii="Verdana" w:eastAsia="Times New Roman" w:hAnsi="Verdana" w:cs="Times New Roman"/>
              </w:rPr>
              <w:t xml:space="preserve">The following shall be considered:  </w:t>
            </w:r>
          </w:p>
          <w:p w14:paraId="7FEE060F" w14:textId="77777777" w:rsidR="00B957F4" w:rsidRPr="00A84A8D" w:rsidRDefault="00B957F4" w:rsidP="00796D2F">
            <w:pPr>
              <w:numPr>
                <w:ilvl w:val="0"/>
                <w:numId w:val="29"/>
              </w:numPr>
              <w:spacing w:line="244" w:lineRule="auto"/>
              <w:ind w:hanging="360"/>
              <w:rPr>
                <w:rFonts w:ascii="Verdana" w:hAnsi="Verdana"/>
              </w:rPr>
            </w:pPr>
            <w:r w:rsidRPr="00A84A8D">
              <w:rPr>
                <w:rFonts w:ascii="Verdana" w:eastAsia="Times New Roman" w:hAnsi="Verdana" w:cs="Times New Roman"/>
              </w:rPr>
              <w:t xml:space="preserve">Name of the exchange market for exchanged traded derivatives; or </w:t>
            </w:r>
          </w:p>
          <w:p w14:paraId="696B6449" w14:textId="77777777" w:rsidR="00B957F4" w:rsidRPr="00A84A8D" w:rsidRDefault="00B957F4" w:rsidP="00796D2F">
            <w:pPr>
              <w:numPr>
                <w:ilvl w:val="0"/>
                <w:numId w:val="29"/>
              </w:numPr>
              <w:spacing w:after="1"/>
              <w:ind w:hanging="360"/>
              <w:rPr>
                <w:rFonts w:ascii="Verdana" w:hAnsi="Verdana"/>
              </w:rPr>
            </w:pPr>
            <w:r w:rsidRPr="00A84A8D">
              <w:rPr>
                <w:rFonts w:ascii="Verdana" w:eastAsia="Times New Roman" w:hAnsi="Verdana" w:cs="Times New Roman"/>
              </w:rPr>
              <w:t xml:space="preserve">Name of Central Counterparty ("CCP") for Over–The– Counter derivatives where they are cleared through a CCP; or </w:t>
            </w:r>
          </w:p>
          <w:p w14:paraId="57F321A7" w14:textId="77777777" w:rsidR="00B957F4" w:rsidRPr="00A84A8D" w:rsidRDefault="00B957F4" w:rsidP="00796D2F">
            <w:pPr>
              <w:numPr>
                <w:ilvl w:val="0"/>
                <w:numId w:val="29"/>
              </w:numPr>
              <w:ind w:hanging="360"/>
              <w:rPr>
                <w:rFonts w:ascii="Verdana" w:hAnsi="Verdana"/>
              </w:rPr>
            </w:pPr>
            <w:r w:rsidRPr="00A84A8D">
              <w:rPr>
                <w:rFonts w:ascii="Verdana" w:eastAsia="Times New Roman" w:hAnsi="Verdana" w:cs="Times New Roman"/>
              </w:rPr>
              <w:t>Name of the contractual counterparty for the other Over</w:t>
            </w:r>
            <w:proofErr w:type="gramStart"/>
            <w:r w:rsidRPr="00A84A8D">
              <w:rPr>
                <w:rFonts w:ascii="Verdana" w:eastAsia="Times New Roman" w:hAnsi="Verdana" w:cs="Times New Roman"/>
              </w:rPr>
              <w:t>–  The</w:t>
            </w:r>
            <w:proofErr w:type="gramEnd"/>
            <w:r w:rsidRPr="00A84A8D">
              <w:rPr>
                <w:rFonts w:ascii="Verdana" w:eastAsia="Times New Roman" w:hAnsi="Verdana" w:cs="Times New Roman"/>
              </w:rPr>
              <w:t xml:space="preserve">–Counter derivatives.  </w:t>
            </w:r>
          </w:p>
        </w:tc>
      </w:tr>
      <w:tr w:rsidR="00B957F4" w:rsidRPr="00A84A8D" w14:paraId="59D2CA6B" w14:textId="77777777" w:rsidTr="00796D2F">
        <w:trPr>
          <w:trHeight w:val="1525"/>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47DF824C" w14:textId="77777777" w:rsidR="00B957F4" w:rsidRPr="00A84A8D" w:rsidRDefault="00B957F4" w:rsidP="00796D2F">
            <w:pPr>
              <w:rPr>
                <w:rFonts w:ascii="Verdana" w:hAnsi="Verdana"/>
              </w:rPr>
            </w:pPr>
            <w:r w:rsidRPr="00A84A8D">
              <w:rPr>
                <w:rFonts w:ascii="Verdana" w:eastAsia="Times New Roman" w:hAnsi="Verdana" w:cs="Times New Roman"/>
              </w:rPr>
              <w:t xml:space="preserve">C0270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64967C51" w14:textId="77777777" w:rsidR="00B957F4" w:rsidRPr="00A84A8D" w:rsidRDefault="00B957F4" w:rsidP="00796D2F">
            <w:pPr>
              <w:rPr>
                <w:rFonts w:ascii="Verdana" w:hAnsi="Verdana"/>
              </w:rPr>
            </w:pPr>
            <w:r w:rsidRPr="00A84A8D">
              <w:rPr>
                <w:rFonts w:ascii="Verdana" w:eastAsia="Times New Roman" w:hAnsi="Verdana" w:cs="Times New Roman"/>
              </w:rPr>
              <w:t xml:space="preserve">Counterparty Code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7C2C200A" w14:textId="77777777" w:rsidR="00B957F4" w:rsidRPr="00A84A8D" w:rsidRDefault="00B957F4" w:rsidP="00796D2F">
            <w:pPr>
              <w:spacing w:line="273" w:lineRule="auto"/>
              <w:rPr>
                <w:rFonts w:ascii="Verdana" w:eastAsia="Times New Roman" w:hAnsi="Verdana" w:cs="Times New Roman"/>
              </w:rPr>
            </w:pPr>
            <w:r w:rsidRPr="00A84A8D">
              <w:rPr>
                <w:rFonts w:ascii="Verdana" w:eastAsia="Times New Roman" w:hAnsi="Verdana" w:cs="Times New Roman"/>
              </w:rPr>
              <w:t xml:space="preserve">Identification code of the counterparty using the following </w:t>
            </w:r>
          </w:p>
          <w:p w14:paraId="43D6200F" w14:textId="77777777" w:rsidR="00B957F4" w:rsidRPr="00A84A8D" w:rsidRDefault="00B957F4" w:rsidP="00796D2F">
            <w:pPr>
              <w:spacing w:line="273" w:lineRule="auto"/>
              <w:rPr>
                <w:rFonts w:ascii="Verdana" w:eastAsia="Times New Roman" w:hAnsi="Verdana" w:cs="Times New Roman"/>
              </w:rPr>
            </w:pPr>
            <w:r w:rsidRPr="00A84A8D">
              <w:rPr>
                <w:rFonts w:ascii="Verdana" w:eastAsia="Times New Roman" w:hAnsi="Verdana" w:cs="Times New Roman"/>
              </w:rPr>
              <w:t xml:space="preserve">priority: </w:t>
            </w:r>
          </w:p>
          <w:p w14:paraId="0898C62E" w14:textId="77777777" w:rsidR="00B957F4" w:rsidRPr="00A84A8D" w:rsidRDefault="00B957F4" w:rsidP="00796D2F">
            <w:pPr>
              <w:spacing w:line="273" w:lineRule="auto"/>
              <w:rPr>
                <w:rFonts w:ascii="Verdana" w:eastAsia="Times New Roman" w:hAnsi="Verdana" w:cs="Times New Roman"/>
              </w:rPr>
            </w:pPr>
            <w:r w:rsidRPr="00A84A8D">
              <w:rPr>
                <w:rFonts w:ascii="Verdana" w:eastAsia="Times New Roman" w:hAnsi="Verdana" w:cs="Times New Roman"/>
              </w:rPr>
              <w:t xml:space="preserve">– Legal Entity Identifier (LEI) when available </w:t>
            </w:r>
          </w:p>
          <w:p w14:paraId="67F7874F" w14:textId="77777777" w:rsidR="00B957F4" w:rsidRPr="00A84A8D" w:rsidRDefault="00B957F4" w:rsidP="00796D2F">
            <w:pPr>
              <w:spacing w:line="273" w:lineRule="auto"/>
              <w:rPr>
                <w:rFonts w:ascii="Verdana" w:eastAsia="Times New Roman" w:hAnsi="Verdana" w:cs="Times New Roman"/>
              </w:rPr>
            </w:pPr>
            <w:r w:rsidRPr="00A84A8D">
              <w:rPr>
                <w:rFonts w:ascii="Verdana" w:eastAsia="Times New Roman" w:hAnsi="Verdana" w:cs="Times New Roman"/>
              </w:rPr>
              <w:t xml:space="preserve">– Code attributed by the </w:t>
            </w:r>
            <w:proofErr w:type="gramStart"/>
            <w:r w:rsidRPr="00A84A8D">
              <w:rPr>
                <w:rFonts w:ascii="Verdana" w:eastAsia="Times New Roman" w:hAnsi="Verdana" w:cs="Times New Roman"/>
              </w:rPr>
              <w:t>undertaking, when</w:t>
            </w:r>
            <w:proofErr w:type="gramEnd"/>
            <w:r w:rsidRPr="00A84A8D">
              <w:rPr>
                <w:rFonts w:ascii="Verdana" w:eastAsia="Times New Roman" w:hAnsi="Verdana" w:cs="Times New Roman"/>
              </w:rPr>
              <w:t xml:space="preserve"> the LEI is </w:t>
            </w:r>
            <w:proofErr w:type="spellStart"/>
            <w:r w:rsidRPr="00A84A8D">
              <w:rPr>
                <w:rFonts w:ascii="Verdana" w:eastAsia="Times New Roman" w:hAnsi="Verdana" w:cs="Times New Roman"/>
              </w:rPr>
              <w:t>notn’t</w:t>
            </w:r>
            <w:proofErr w:type="spellEnd"/>
          </w:p>
          <w:p w14:paraId="1E0ECF2C"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available, and must be consistent over time.</w:t>
            </w:r>
          </w:p>
          <w:p w14:paraId="392E8CEC" w14:textId="77777777" w:rsidR="00B957F4" w:rsidRPr="00A84A8D" w:rsidRDefault="00B957F4" w:rsidP="00796D2F">
            <w:pPr>
              <w:rPr>
                <w:rFonts w:ascii="Verdana" w:eastAsia="Times New Roman" w:hAnsi="Verdana" w:cs="Times New Roman"/>
              </w:rPr>
            </w:pPr>
          </w:p>
          <w:p w14:paraId="49E10D94" w14:textId="77777777" w:rsidR="00B957F4" w:rsidRPr="00A84A8D" w:rsidRDefault="00B957F4" w:rsidP="00796D2F">
            <w:pPr>
              <w:spacing w:line="273" w:lineRule="auto"/>
              <w:rPr>
                <w:rFonts w:ascii="Verdana" w:hAnsi="Verdana"/>
              </w:rPr>
            </w:pPr>
            <w:r w:rsidRPr="00A84A8D">
              <w:rPr>
                <w:rFonts w:ascii="Verdana" w:eastAsia="Times New Roman" w:hAnsi="Verdana" w:cs="Times New Roman"/>
              </w:rPr>
              <w:t>This item is applicable to all counterparties, including for derivatives cleared through a central counterparty.</w:t>
            </w:r>
          </w:p>
        </w:tc>
      </w:tr>
      <w:tr w:rsidR="00B957F4" w:rsidRPr="00A84A8D" w14:paraId="3E10DB5C" w14:textId="77777777" w:rsidTr="00796D2F">
        <w:trPr>
          <w:trHeight w:val="1560"/>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06AC5B0B" w14:textId="77777777" w:rsidR="00B957F4" w:rsidRPr="00A84A8D" w:rsidRDefault="00B957F4" w:rsidP="00796D2F">
            <w:pPr>
              <w:rPr>
                <w:rFonts w:ascii="Verdana" w:hAnsi="Verdana"/>
              </w:rPr>
            </w:pPr>
            <w:r w:rsidRPr="00A84A8D">
              <w:rPr>
                <w:rFonts w:ascii="Verdana" w:eastAsia="Times New Roman" w:hAnsi="Verdana" w:cs="Times New Roman"/>
              </w:rPr>
              <w:t xml:space="preserve">C0280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1D2D6541" w14:textId="77777777" w:rsidR="00B957F4" w:rsidRPr="00A84A8D" w:rsidRDefault="00B957F4" w:rsidP="00796D2F">
            <w:pPr>
              <w:rPr>
                <w:rFonts w:ascii="Verdana" w:hAnsi="Verdana"/>
              </w:rPr>
            </w:pPr>
            <w:r w:rsidRPr="00A84A8D">
              <w:rPr>
                <w:rFonts w:ascii="Verdana" w:eastAsia="Times New Roman" w:hAnsi="Verdana" w:cs="Times New Roman"/>
              </w:rPr>
              <w:t xml:space="preserve">Type of counterparty code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71922130" w14:textId="77777777" w:rsidR="00B957F4" w:rsidRPr="00A84A8D" w:rsidRDefault="00B957F4" w:rsidP="00796D2F">
            <w:pPr>
              <w:spacing w:after="8" w:line="273" w:lineRule="auto"/>
              <w:rPr>
                <w:rFonts w:ascii="Verdana" w:hAnsi="Verdana"/>
              </w:rPr>
            </w:pPr>
            <w:r w:rsidRPr="00A84A8D">
              <w:rPr>
                <w:rFonts w:ascii="Verdana" w:eastAsia="Times New Roman" w:hAnsi="Verdana" w:cs="Times New Roman"/>
              </w:rPr>
              <w:t xml:space="preserve">Identification of the code used for the “Counterparty Code” item. One of the options in the following closed list shall be used: </w:t>
            </w:r>
          </w:p>
          <w:p w14:paraId="0E101F95" w14:textId="77777777" w:rsidR="00B957F4" w:rsidRPr="00A84A8D" w:rsidRDefault="00B957F4" w:rsidP="00796D2F">
            <w:pPr>
              <w:spacing w:after="20"/>
              <w:rPr>
                <w:rFonts w:ascii="Verdana" w:hAnsi="Verdana"/>
              </w:rPr>
            </w:pPr>
            <w:r w:rsidRPr="00A84A8D">
              <w:rPr>
                <w:rFonts w:ascii="Verdana" w:eastAsia="Times New Roman" w:hAnsi="Verdana" w:cs="Times New Roman"/>
              </w:rPr>
              <w:t xml:space="preserve">1 – LEI  </w:t>
            </w:r>
          </w:p>
          <w:p w14:paraId="1B985566" w14:textId="77777777" w:rsidR="00B957F4" w:rsidRPr="00A84A8D" w:rsidRDefault="00B957F4" w:rsidP="00796D2F">
            <w:pPr>
              <w:rPr>
                <w:rFonts w:ascii="Verdana" w:hAnsi="Verdana"/>
              </w:rPr>
            </w:pPr>
            <w:r w:rsidRPr="00A84A8D">
              <w:rPr>
                <w:rFonts w:ascii="Verdana" w:eastAsia="Times New Roman" w:hAnsi="Verdana" w:cs="Times New Roman"/>
              </w:rPr>
              <w:t>2 – CA (for codes attributed by the IORP)</w:t>
            </w:r>
          </w:p>
        </w:tc>
      </w:tr>
      <w:tr w:rsidR="00B957F4" w:rsidRPr="00A84A8D" w14:paraId="2B3B5934" w14:textId="77777777" w:rsidTr="00796D2F">
        <w:trPr>
          <w:trHeight w:val="2544"/>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27BC1FD5" w14:textId="77777777" w:rsidR="00B957F4" w:rsidRPr="00A84A8D" w:rsidRDefault="00B957F4" w:rsidP="00796D2F">
            <w:pPr>
              <w:rPr>
                <w:rFonts w:ascii="Verdana" w:hAnsi="Verdana"/>
              </w:rPr>
            </w:pPr>
            <w:r w:rsidRPr="00A84A8D">
              <w:rPr>
                <w:rFonts w:ascii="Verdana" w:eastAsia="Times New Roman" w:hAnsi="Verdana" w:cs="Times New Roman"/>
              </w:rPr>
              <w:t xml:space="preserve">C0290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771DE5D3" w14:textId="77777777" w:rsidR="00B957F4" w:rsidRPr="00A84A8D" w:rsidRDefault="00B957F4" w:rsidP="00796D2F">
            <w:pPr>
              <w:rPr>
                <w:rFonts w:ascii="Verdana" w:hAnsi="Verdana"/>
              </w:rPr>
            </w:pPr>
            <w:r w:rsidRPr="00A84A8D">
              <w:rPr>
                <w:rFonts w:ascii="Verdana" w:eastAsia="Times New Roman" w:hAnsi="Verdana" w:cs="Times New Roman"/>
              </w:rPr>
              <w:t xml:space="preserve">External rating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5106B960" w14:textId="77777777" w:rsidR="00B957F4" w:rsidRPr="00A84A8D" w:rsidRDefault="00B957F4" w:rsidP="00796D2F">
            <w:pPr>
              <w:spacing w:after="216"/>
              <w:rPr>
                <w:rFonts w:ascii="Verdana" w:hAnsi="Verdana"/>
              </w:rPr>
            </w:pPr>
            <w:r w:rsidRPr="00A84A8D">
              <w:rPr>
                <w:rFonts w:ascii="Verdana" w:eastAsia="Times New Roman" w:hAnsi="Verdana" w:cs="Times New Roman"/>
              </w:rPr>
              <w:t xml:space="preserve">Only applicable to Over–The–Counter derivatives. </w:t>
            </w:r>
          </w:p>
          <w:p w14:paraId="0A027D1B" w14:textId="77777777" w:rsidR="00B957F4" w:rsidRPr="00A84A8D" w:rsidRDefault="00B957F4" w:rsidP="00796D2F">
            <w:pPr>
              <w:spacing w:after="1" w:line="237" w:lineRule="auto"/>
              <w:rPr>
                <w:rFonts w:ascii="Verdana" w:hAnsi="Verdana"/>
              </w:rPr>
            </w:pPr>
            <w:r w:rsidRPr="00A84A8D">
              <w:rPr>
                <w:rFonts w:ascii="Verdana" w:eastAsia="Times New Roman" w:hAnsi="Verdana" w:cs="Times New Roman"/>
              </w:rPr>
              <w:t xml:space="preserve">The rating of the counterparty of the derivative at the reporting reference date as provided by the nominated credit assessment institution (ECAI). </w:t>
            </w:r>
          </w:p>
          <w:p w14:paraId="1C86377F" w14:textId="77777777" w:rsidR="00B957F4" w:rsidRPr="00A84A8D" w:rsidRDefault="00B957F4" w:rsidP="00796D2F">
            <w:pPr>
              <w:rPr>
                <w:rFonts w:ascii="Verdana" w:hAnsi="Verdana"/>
              </w:rPr>
            </w:pPr>
            <w:r w:rsidRPr="00A84A8D">
              <w:rPr>
                <w:rFonts w:ascii="Verdana" w:eastAsia="Times New Roman" w:hAnsi="Verdana" w:cs="Times New Roman"/>
              </w:rPr>
              <w:t xml:space="preserve"> </w:t>
            </w:r>
          </w:p>
          <w:p w14:paraId="640BCFF0" w14:textId="77777777" w:rsidR="00B957F4" w:rsidRPr="00A84A8D" w:rsidRDefault="00B957F4" w:rsidP="00796D2F">
            <w:pPr>
              <w:rPr>
                <w:rFonts w:ascii="Verdana" w:hAnsi="Verdana"/>
              </w:rPr>
            </w:pPr>
            <w:r w:rsidRPr="00A84A8D">
              <w:rPr>
                <w:rFonts w:ascii="Verdana" w:eastAsia="Times New Roman" w:hAnsi="Verdana" w:cs="Times New Roman"/>
              </w:rPr>
              <w:t xml:space="preserve">If an issuer rating is not available, the item should be left blank. </w:t>
            </w:r>
          </w:p>
          <w:p w14:paraId="34350AFF" w14:textId="77777777" w:rsidR="00B957F4" w:rsidRPr="00A84A8D" w:rsidRDefault="00B957F4" w:rsidP="00796D2F">
            <w:pPr>
              <w:rPr>
                <w:rFonts w:ascii="Verdana" w:hAnsi="Verdana"/>
              </w:rPr>
            </w:pPr>
            <w:r w:rsidRPr="00A84A8D">
              <w:rPr>
                <w:rFonts w:ascii="Verdana" w:eastAsia="Times New Roman" w:hAnsi="Verdana" w:cs="Times New Roman"/>
              </w:rPr>
              <w:t xml:space="preserve"> </w:t>
            </w:r>
          </w:p>
          <w:p w14:paraId="71F3A62F" w14:textId="63AADC39" w:rsidR="00B957F4" w:rsidRPr="00A84A8D" w:rsidRDefault="00B957F4" w:rsidP="00796D2F">
            <w:pPr>
              <w:rPr>
                <w:rFonts w:ascii="Verdana" w:hAnsi="Verdana"/>
              </w:rPr>
            </w:pPr>
          </w:p>
        </w:tc>
      </w:tr>
      <w:tr w:rsidR="00B957F4" w:rsidRPr="00A84A8D" w14:paraId="72FB2B90" w14:textId="77777777" w:rsidTr="00796D2F">
        <w:trPr>
          <w:trHeight w:val="4937"/>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1ED9EABF" w14:textId="77777777" w:rsidR="00B957F4" w:rsidRPr="00A84A8D" w:rsidRDefault="00B957F4" w:rsidP="00796D2F">
            <w:pPr>
              <w:rPr>
                <w:rFonts w:ascii="Verdana" w:hAnsi="Verdana"/>
              </w:rPr>
            </w:pPr>
            <w:r w:rsidRPr="00A84A8D">
              <w:rPr>
                <w:rFonts w:ascii="Verdana" w:eastAsia="Times New Roman" w:hAnsi="Verdana" w:cs="Times New Roman"/>
              </w:rPr>
              <w:t xml:space="preserve">C0300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290F6679" w14:textId="77777777" w:rsidR="00B957F4" w:rsidRPr="00A84A8D" w:rsidRDefault="00B957F4" w:rsidP="00796D2F">
            <w:pPr>
              <w:rPr>
                <w:rFonts w:ascii="Verdana" w:hAnsi="Verdana"/>
              </w:rPr>
            </w:pPr>
            <w:r w:rsidRPr="00A84A8D">
              <w:rPr>
                <w:rFonts w:ascii="Verdana" w:eastAsia="Times New Roman" w:hAnsi="Verdana" w:cs="Times New Roman"/>
              </w:rPr>
              <w:t xml:space="preserve">Nominated ECAI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9" w:type="dxa"/>
            </w:tcMar>
            <w:hideMark/>
          </w:tcPr>
          <w:p w14:paraId="4EDAF591" w14:textId="77777777" w:rsidR="00B957F4" w:rsidRPr="00A84A8D" w:rsidRDefault="00B957F4" w:rsidP="00796D2F">
            <w:pPr>
              <w:spacing w:after="2" w:line="273" w:lineRule="auto"/>
              <w:ind w:right="7"/>
              <w:rPr>
                <w:rFonts w:ascii="Verdana" w:eastAsia="Times New Roman" w:hAnsi="Verdana" w:cs="Times New Roman"/>
              </w:rPr>
            </w:pPr>
            <w:r w:rsidRPr="00A84A8D">
              <w:rPr>
                <w:rFonts w:ascii="Verdana" w:eastAsia="Times New Roman" w:hAnsi="Verdana" w:cs="Times New Roman"/>
              </w:rPr>
              <w:t>Identify the credit assessment institution (ECAI) giving the external rating in C0290, by using the following name of the ECAI as published on ESMA's website. In case of ratings issued by subsidiaries of the ECAI please report the parent ECAI (the reference is to ESMA list of credit rating agencies registered or certified in accordance with Regulation (EC) No 1060/2009 of the European Parliament and of the Council of 16 September 2009 on credit rating agencies).</w:t>
            </w:r>
          </w:p>
          <w:p w14:paraId="410B8BB3" w14:textId="77777777" w:rsidR="00B957F4" w:rsidRPr="00A84A8D" w:rsidRDefault="00B957F4" w:rsidP="00796D2F">
            <w:pPr>
              <w:spacing w:after="2" w:line="273" w:lineRule="auto"/>
              <w:ind w:right="7"/>
              <w:rPr>
                <w:rFonts w:ascii="Verdana" w:hAnsi="Verdana"/>
              </w:rPr>
            </w:pPr>
            <w:r w:rsidRPr="00A84A8D">
              <w:rPr>
                <w:rFonts w:ascii="Verdana" w:eastAsia="Times New Roman" w:hAnsi="Verdana" w:cs="Times New Roman"/>
              </w:rPr>
              <w:t xml:space="preserve">This item shall be reported when External rating (C0290) is reported. </w:t>
            </w:r>
          </w:p>
        </w:tc>
      </w:tr>
      <w:tr w:rsidR="00B957F4" w:rsidRPr="00A84A8D" w14:paraId="57FE2E4F" w14:textId="77777777" w:rsidTr="00796D2F">
        <w:tblPrEx>
          <w:tblCellMar>
            <w:right w:w="61" w:type="dxa"/>
          </w:tblCellMar>
        </w:tblPrEx>
        <w:trPr>
          <w:trHeight w:val="1997"/>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28C335D7" w14:textId="77777777" w:rsidR="00B957F4" w:rsidRPr="00A84A8D" w:rsidRDefault="00B957F4" w:rsidP="00796D2F">
            <w:pPr>
              <w:rPr>
                <w:rFonts w:ascii="Verdana" w:hAnsi="Verdana"/>
              </w:rPr>
            </w:pPr>
            <w:r w:rsidRPr="00A84A8D">
              <w:rPr>
                <w:rFonts w:ascii="Verdana" w:eastAsia="Times New Roman" w:hAnsi="Verdana" w:cs="Times New Roman"/>
              </w:rPr>
              <w:t xml:space="preserve">C0330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63F53CC4" w14:textId="77777777" w:rsidR="00B957F4" w:rsidRPr="00A84A8D" w:rsidRDefault="00B957F4" w:rsidP="00796D2F">
            <w:pPr>
              <w:rPr>
                <w:rFonts w:ascii="Verdana" w:hAnsi="Verdana"/>
              </w:rPr>
            </w:pPr>
            <w:r w:rsidRPr="00A84A8D">
              <w:rPr>
                <w:rFonts w:ascii="Verdana" w:eastAsia="Times New Roman" w:hAnsi="Verdana" w:cs="Times New Roman"/>
              </w:rPr>
              <w:t xml:space="preserve">Counterparty group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522905DE" w14:textId="77777777" w:rsidR="00B957F4" w:rsidRPr="00A84A8D" w:rsidRDefault="00B957F4" w:rsidP="00796D2F">
            <w:pPr>
              <w:spacing w:after="198" w:line="276" w:lineRule="auto"/>
              <w:rPr>
                <w:rFonts w:ascii="Verdana" w:hAnsi="Verdana"/>
              </w:rPr>
            </w:pPr>
            <w:r w:rsidRPr="00A84A8D">
              <w:rPr>
                <w:rFonts w:ascii="Verdana" w:eastAsia="Times New Roman" w:hAnsi="Verdana" w:cs="Times New Roman"/>
              </w:rPr>
              <w:t xml:space="preserve">Only applicable to Over–The–Counter derivatives, regarding contractual counterparties other than an exchange market and Central Counterparty (CCP). </w:t>
            </w:r>
          </w:p>
          <w:p w14:paraId="0AD2E740" w14:textId="77777777" w:rsidR="00B957F4" w:rsidRPr="00A84A8D" w:rsidRDefault="00B957F4" w:rsidP="00796D2F">
            <w:pPr>
              <w:rPr>
                <w:rFonts w:ascii="Verdana" w:hAnsi="Verdana"/>
              </w:rPr>
            </w:pPr>
            <w:r w:rsidRPr="00A84A8D">
              <w:rPr>
                <w:rFonts w:ascii="Verdana" w:eastAsia="Times New Roman" w:hAnsi="Verdana" w:cs="Times New Roman"/>
              </w:rPr>
              <w:t xml:space="preserve">Name of the ultimate parent entity of counterparty. When available, this item corresponds to the entity name in the LEI database. When not available, corresponds to the legal name. </w:t>
            </w:r>
          </w:p>
        </w:tc>
      </w:tr>
      <w:tr w:rsidR="00B957F4" w:rsidRPr="00A84A8D" w14:paraId="3F7E92D3" w14:textId="77777777" w:rsidTr="00796D2F">
        <w:tblPrEx>
          <w:tblCellMar>
            <w:right w:w="61" w:type="dxa"/>
          </w:tblCellMar>
        </w:tblPrEx>
        <w:trPr>
          <w:trHeight w:val="2261"/>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4D435F0C" w14:textId="77777777" w:rsidR="00B957F4" w:rsidRPr="00A84A8D" w:rsidRDefault="00B957F4" w:rsidP="00796D2F">
            <w:pPr>
              <w:rPr>
                <w:rFonts w:ascii="Verdana" w:hAnsi="Verdana"/>
              </w:rPr>
            </w:pPr>
            <w:r w:rsidRPr="00A84A8D">
              <w:rPr>
                <w:rFonts w:ascii="Verdana" w:eastAsia="Times New Roman" w:hAnsi="Verdana" w:cs="Times New Roman"/>
              </w:rPr>
              <w:t xml:space="preserve">C0340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2CA21ABD" w14:textId="77777777" w:rsidR="00B957F4" w:rsidRPr="00A84A8D" w:rsidRDefault="00B957F4" w:rsidP="00796D2F">
            <w:pPr>
              <w:rPr>
                <w:rFonts w:ascii="Verdana" w:hAnsi="Verdana"/>
              </w:rPr>
            </w:pPr>
            <w:r w:rsidRPr="00A84A8D">
              <w:rPr>
                <w:rFonts w:ascii="Verdana" w:eastAsia="Times New Roman" w:hAnsi="Verdana" w:cs="Times New Roman"/>
              </w:rPr>
              <w:t xml:space="preserve">Counterparty group code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61E89428" w14:textId="77777777" w:rsidR="00B957F4" w:rsidRPr="00A84A8D" w:rsidRDefault="00B957F4" w:rsidP="00796D2F">
            <w:pPr>
              <w:spacing w:after="198" w:line="276" w:lineRule="auto"/>
              <w:rPr>
                <w:rFonts w:ascii="Verdana" w:hAnsi="Verdana"/>
              </w:rPr>
            </w:pPr>
            <w:r w:rsidRPr="00A84A8D">
              <w:rPr>
                <w:rFonts w:ascii="Verdana" w:eastAsia="Times New Roman" w:hAnsi="Verdana" w:cs="Times New Roman"/>
              </w:rPr>
              <w:t xml:space="preserve">Only applicable to Over–The–Counter derivatives, regarding contractual counterparties other than an exchange market and Central Counterparty (CCP). </w:t>
            </w:r>
          </w:p>
          <w:p w14:paraId="3288B805" w14:textId="77777777" w:rsidR="00B957F4" w:rsidRPr="00A84A8D" w:rsidRDefault="00B957F4" w:rsidP="00796D2F">
            <w:pPr>
              <w:spacing w:after="2" w:line="273" w:lineRule="auto"/>
              <w:rPr>
                <w:rFonts w:ascii="Verdana" w:eastAsia="Times New Roman" w:hAnsi="Verdana" w:cs="Times New Roman"/>
              </w:rPr>
            </w:pPr>
            <w:r w:rsidRPr="00A84A8D">
              <w:rPr>
                <w:rFonts w:ascii="Verdana" w:eastAsia="Times New Roman" w:hAnsi="Verdana" w:cs="Times New Roman"/>
              </w:rPr>
              <w:t xml:space="preserve">Identification code of the counterparty using the following </w:t>
            </w:r>
          </w:p>
          <w:p w14:paraId="42086A76" w14:textId="77777777" w:rsidR="00B957F4" w:rsidRPr="00A84A8D" w:rsidRDefault="00B957F4" w:rsidP="00796D2F">
            <w:pPr>
              <w:spacing w:after="2" w:line="273" w:lineRule="auto"/>
              <w:rPr>
                <w:rFonts w:ascii="Verdana" w:eastAsia="Times New Roman" w:hAnsi="Verdana" w:cs="Times New Roman"/>
              </w:rPr>
            </w:pPr>
            <w:r w:rsidRPr="00A84A8D">
              <w:rPr>
                <w:rFonts w:ascii="Verdana" w:eastAsia="Times New Roman" w:hAnsi="Verdana" w:cs="Times New Roman"/>
              </w:rPr>
              <w:t xml:space="preserve">priority: </w:t>
            </w:r>
          </w:p>
          <w:p w14:paraId="57E9181E" w14:textId="77777777" w:rsidR="00B957F4" w:rsidRPr="00A84A8D" w:rsidRDefault="00B957F4" w:rsidP="00796D2F">
            <w:pPr>
              <w:spacing w:after="2" w:line="273" w:lineRule="auto"/>
              <w:rPr>
                <w:rFonts w:ascii="Verdana" w:eastAsia="Times New Roman" w:hAnsi="Verdana" w:cs="Times New Roman"/>
              </w:rPr>
            </w:pPr>
            <w:r w:rsidRPr="00A84A8D">
              <w:rPr>
                <w:rFonts w:ascii="Verdana" w:eastAsia="Times New Roman" w:hAnsi="Verdana" w:cs="Times New Roman"/>
              </w:rPr>
              <w:t xml:space="preserve">– Legal Entity Identifier (LEI) when available </w:t>
            </w:r>
          </w:p>
          <w:p w14:paraId="244F1C47" w14:textId="77777777" w:rsidR="00B957F4" w:rsidRPr="00A84A8D" w:rsidRDefault="00B957F4" w:rsidP="00796D2F">
            <w:pPr>
              <w:spacing w:after="2" w:line="273" w:lineRule="auto"/>
              <w:rPr>
                <w:rFonts w:ascii="Verdana" w:eastAsia="Times New Roman" w:hAnsi="Verdana" w:cs="Times New Roman"/>
              </w:rPr>
            </w:pPr>
            <w:r w:rsidRPr="00A84A8D">
              <w:rPr>
                <w:rFonts w:ascii="Verdana" w:eastAsia="Times New Roman" w:hAnsi="Verdana" w:cs="Times New Roman"/>
              </w:rPr>
              <w:t xml:space="preserve">– Code attributed by the </w:t>
            </w:r>
            <w:proofErr w:type="gramStart"/>
            <w:r w:rsidRPr="00A84A8D">
              <w:rPr>
                <w:rFonts w:ascii="Verdana" w:eastAsia="Times New Roman" w:hAnsi="Verdana" w:cs="Times New Roman"/>
              </w:rPr>
              <w:t>undertaking, when</w:t>
            </w:r>
            <w:proofErr w:type="gramEnd"/>
            <w:r w:rsidRPr="00A84A8D">
              <w:rPr>
                <w:rFonts w:ascii="Verdana" w:eastAsia="Times New Roman" w:hAnsi="Verdana" w:cs="Times New Roman"/>
              </w:rPr>
              <w:t xml:space="preserve"> the LEI is not</w:t>
            </w:r>
          </w:p>
          <w:p w14:paraId="09FCA06B" w14:textId="77777777" w:rsidR="00B957F4" w:rsidRPr="00A84A8D" w:rsidRDefault="00B957F4" w:rsidP="00796D2F">
            <w:pPr>
              <w:spacing w:after="2" w:line="273" w:lineRule="auto"/>
              <w:rPr>
                <w:rFonts w:ascii="Verdana" w:eastAsia="Times New Roman" w:hAnsi="Verdana" w:cs="Times New Roman"/>
              </w:rPr>
            </w:pPr>
            <w:r w:rsidRPr="00A84A8D">
              <w:rPr>
                <w:rFonts w:ascii="Verdana" w:eastAsia="Times New Roman" w:hAnsi="Verdana" w:cs="Times New Roman"/>
              </w:rPr>
              <w:t>available, and must be consistent over time</w:t>
            </w:r>
          </w:p>
          <w:p w14:paraId="3BA2ED6E" w14:textId="77777777" w:rsidR="00B957F4" w:rsidRPr="00A84A8D" w:rsidRDefault="00B957F4" w:rsidP="00796D2F">
            <w:pPr>
              <w:rPr>
                <w:rFonts w:ascii="Verdana" w:eastAsia="Times New Roman" w:hAnsi="Verdana" w:cs="Times New Roman"/>
              </w:rPr>
            </w:pPr>
          </w:p>
          <w:p w14:paraId="747B7684" w14:textId="77777777" w:rsidR="00B957F4" w:rsidRPr="00A84A8D" w:rsidRDefault="00B957F4" w:rsidP="00796D2F">
            <w:pPr>
              <w:rPr>
                <w:rFonts w:ascii="Verdana" w:hAnsi="Verdana"/>
              </w:rPr>
            </w:pPr>
            <w:r w:rsidRPr="00A84A8D">
              <w:rPr>
                <w:rFonts w:ascii="Verdana" w:eastAsia="Times New Roman" w:hAnsi="Verdana" w:cs="Times New Roman"/>
              </w:rPr>
              <w:t xml:space="preserve">When non-applicable, this item shall not be reported. </w:t>
            </w:r>
          </w:p>
        </w:tc>
      </w:tr>
      <w:tr w:rsidR="00B957F4" w:rsidRPr="00A84A8D" w14:paraId="526F7476" w14:textId="77777777" w:rsidTr="00796D2F">
        <w:tblPrEx>
          <w:tblCellMar>
            <w:right w:w="61" w:type="dxa"/>
          </w:tblCellMar>
        </w:tblPrEx>
        <w:trPr>
          <w:trHeight w:val="1270"/>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75D37FA4" w14:textId="77777777" w:rsidR="00B957F4" w:rsidRPr="00A84A8D" w:rsidRDefault="00B957F4" w:rsidP="00796D2F">
            <w:pPr>
              <w:rPr>
                <w:rFonts w:ascii="Verdana" w:hAnsi="Verdana"/>
              </w:rPr>
            </w:pPr>
            <w:r w:rsidRPr="00A84A8D">
              <w:rPr>
                <w:rFonts w:ascii="Verdana" w:eastAsia="Times New Roman" w:hAnsi="Verdana" w:cs="Times New Roman"/>
              </w:rPr>
              <w:t xml:space="preserve">C0350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4DD4B25C" w14:textId="77777777" w:rsidR="00B957F4" w:rsidRPr="00A84A8D" w:rsidRDefault="00B957F4" w:rsidP="00796D2F">
            <w:pPr>
              <w:ind w:right="19"/>
              <w:rPr>
                <w:rFonts w:ascii="Verdana" w:hAnsi="Verdana"/>
              </w:rPr>
            </w:pPr>
            <w:r w:rsidRPr="00A84A8D">
              <w:rPr>
                <w:rFonts w:ascii="Verdana" w:eastAsia="Times New Roman" w:hAnsi="Verdana" w:cs="Times New Roman"/>
              </w:rPr>
              <w:t xml:space="preserve">Type of counterparty group code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73CB4FF5" w14:textId="77777777" w:rsidR="00B957F4" w:rsidRPr="00A84A8D" w:rsidRDefault="00B957F4" w:rsidP="00796D2F">
            <w:pPr>
              <w:spacing w:after="3" w:line="276" w:lineRule="auto"/>
              <w:ind w:right="104"/>
              <w:rPr>
                <w:rFonts w:ascii="Verdana" w:eastAsia="Times New Roman" w:hAnsi="Verdana" w:cs="Times New Roman"/>
              </w:rPr>
            </w:pPr>
            <w:r w:rsidRPr="00A84A8D">
              <w:rPr>
                <w:rFonts w:ascii="Verdana" w:eastAsia="Times New Roman" w:hAnsi="Verdana" w:cs="Times New Roman"/>
              </w:rPr>
              <w:t xml:space="preserve">Identification of the code used for the “Counterparty group Code” item. One of the options in the following closed list shall be used: </w:t>
            </w:r>
          </w:p>
          <w:p w14:paraId="59C7505B" w14:textId="77777777" w:rsidR="00B957F4" w:rsidRPr="00A84A8D" w:rsidRDefault="00B957F4" w:rsidP="00796D2F">
            <w:pPr>
              <w:spacing w:after="3" w:line="276" w:lineRule="auto"/>
              <w:ind w:right="104"/>
              <w:rPr>
                <w:rFonts w:ascii="Verdana" w:eastAsia="Times New Roman" w:hAnsi="Verdana" w:cs="Times New Roman"/>
              </w:rPr>
            </w:pPr>
            <w:r w:rsidRPr="00A84A8D">
              <w:rPr>
                <w:rFonts w:ascii="Verdana" w:eastAsia="Times New Roman" w:hAnsi="Verdana" w:cs="Times New Roman"/>
              </w:rPr>
              <w:t xml:space="preserve">1 – LEI  </w:t>
            </w:r>
          </w:p>
          <w:p w14:paraId="4E6291B1" w14:textId="77777777" w:rsidR="00B957F4" w:rsidRPr="00A84A8D" w:rsidRDefault="00B957F4" w:rsidP="00796D2F">
            <w:pPr>
              <w:spacing w:after="3" w:line="276" w:lineRule="auto"/>
              <w:ind w:right="104"/>
              <w:rPr>
                <w:rFonts w:ascii="Verdana" w:eastAsia="Times New Roman" w:hAnsi="Verdana" w:cs="Times New Roman"/>
              </w:rPr>
            </w:pPr>
            <w:r w:rsidRPr="00A84A8D">
              <w:rPr>
                <w:rFonts w:ascii="Verdana" w:eastAsia="Times New Roman" w:hAnsi="Verdana" w:cs="Times New Roman"/>
              </w:rPr>
              <w:t>2 – CA (for codes attributed by the undertaking)</w:t>
            </w:r>
          </w:p>
          <w:p w14:paraId="367C1CF3" w14:textId="30A13684" w:rsidR="00B957F4" w:rsidRPr="00A84A8D" w:rsidRDefault="00B957F4" w:rsidP="00796D2F">
            <w:pPr>
              <w:rPr>
                <w:rFonts w:ascii="Verdana" w:hAnsi="Verdana"/>
              </w:rPr>
            </w:pPr>
          </w:p>
        </w:tc>
      </w:tr>
      <w:tr w:rsidR="00B957F4" w:rsidRPr="00A84A8D" w14:paraId="269BB498" w14:textId="77777777" w:rsidTr="00796D2F">
        <w:tblPrEx>
          <w:tblCellMar>
            <w:right w:w="61" w:type="dxa"/>
          </w:tblCellMar>
        </w:tblPrEx>
        <w:trPr>
          <w:trHeight w:val="595"/>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18D3B912" w14:textId="77777777" w:rsidR="00B957F4" w:rsidRPr="00A84A8D" w:rsidRDefault="00B957F4" w:rsidP="00796D2F">
            <w:pPr>
              <w:rPr>
                <w:rFonts w:ascii="Verdana" w:hAnsi="Verdana"/>
              </w:rPr>
            </w:pPr>
            <w:r w:rsidRPr="00A84A8D">
              <w:rPr>
                <w:rFonts w:ascii="Verdana" w:eastAsia="Times New Roman" w:hAnsi="Verdana" w:cs="Times New Roman"/>
              </w:rPr>
              <w:t xml:space="preserve">C0360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0D6FB817" w14:textId="77777777" w:rsidR="00B957F4" w:rsidRPr="00A84A8D" w:rsidRDefault="00B957F4" w:rsidP="00796D2F">
            <w:pPr>
              <w:rPr>
                <w:rFonts w:ascii="Verdana" w:hAnsi="Verdana"/>
              </w:rPr>
            </w:pPr>
            <w:r w:rsidRPr="00A84A8D">
              <w:rPr>
                <w:rFonts w:ascii="Verdana" w:eastAsia="Times New Roman" w:hAnsi="Verdana" w:cs="Times New Roman"/>
              </w:rPr>
              <w:t xml:space="preserve">Contract name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11F607F3" w14:textId="77777777" w:rsidR="00B957F4" w:rsidRPr="00A84A8D" w:rsidRDefault="00B957F4" w:rsidP="00796D2F">
            <w:pPr>
              <w:rPr>
                <w:rFonts w:ascii="Verdana" w:hAnsi="Verdana"/>
              </w:rPr>
            </w:pPr>
            <w:r w:rsidRPr="00A84A8D">
              <w:rPr>
                <w:rFonts w:ascii="Verdana" w:eastAsia="Times New Roman" w:hAnsi="Verdana" w:cs="Times New Roman"/>
              </w:rPr>
              <w:t xml:space="preserve">Name of the derivative contract. </w:t>
            </w:r>
          </w:p>
        </w:tc>
      </w:tr>
      <w:tr w:rsidR="00B957F4" w:rsidRPr="00A84A8D" w14:paraId="6E33A790" w14:textId="77777777" w:rsidTr="00796D2F">
        <w:tblPrEx>
          <w:tblCellMar>
            <w:right w:w="61" w:type="dxa"/>
          </w:tblCellMar>
        </w:tblPrEx>
        <w:trPr>
          <w:trHeight w:val="1214"/>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3E6BF15A" w14:textId="77777777" w:rsidR="00B957F4" w:rsidRPr="00A84A8D" w:rsidRDefault="00B957F4" w:rsidP="00796D2F">
            <w:pPr>
              <w:rPr>
                <w:rFonts w:ascii="Verdana" w:hAnsi="Verdana"/>
              </w:rPr>
            </w:pPr>
            <w:r w:rsidRPr="00A84A8D">
              <w:rPr>
                <w:rFonts w:ascii="Verdana" w:eastAsia="Times New Roman" w:hAnsi="Verdana" w:cs="Times New Roman"/>
              </w:rPr>
              <w:t xml:space="preserve">C0370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4E16E422" w14:textId="77777777" w:rsidR="00B957F4" w:rsidRPr="00A84A8D" w:rsidRDefault="00B957F4" w:rsidP="00796D2F">
            <w:pPr>
              <w:rPr>
                <w:rFonts w:ascii="Verdana" w:hAnsi="Verdana"/>
              </w:rPr>
            </w:pPr>
            <w:r w:rsidRPr="00A84A8D">
              <w:rPr>
                <w:rFonts w:ascii="Verdana" w:eastAsia="Times New Roman" w:hAnsi="Verdana" w:cs="Times New Roman"/>
              </w:rPr>
              <w:t xml:space="preserve">Currency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5F3ACF68" w14:textId="77777777" w:rsidR="00B957F4" w:rsidRPr="00A84A8D" w:rsidRDefault="00B957F4" w:rsidP="00796D2F">
            <w:pPr>
              <w:rPr>
                <w:rFonts w:ascii="Verdana" w:hAnsi="Verdana"/>
              </w:rPr>
            </w:pPr>
            <w:r w:rsidRPr="00A84A8D">
              <w:rPr>
                <w:rFonts w:ascii="Verdana" w:eastAsia="Times New Roman" w:hAnsi="Verdana" w:cs="Times New Roman"/>
              </w:rPr>
              <w:t xml:space="preserve">Identify the ISO 4217 alphabetic code of the currency of the derivative, i.e., currency of the notional amount of the derivative (e.g.: option having as underlying an amount in USD, currency for which the notional amount is expressed contractually for FX swap, etc.).  </w:t>
            </w:r>
          </w:p>
        </w:tc>
      </w:tr>
      <w:tr w:rsidR="00B957F4" w:rsidRPr="00A84A8D" w14:paraId="4EF3A3F7" w14:textId="77777777" w:rsidTr="00796D2F">
        <w:tblPrEx>
          <w:tblCellMar>
            <w:right w:w="61" w:type="dxa"/>
          </w:tblCellMar>
        </w:tblPrEx>
        <w:trPr>
          <w:trHeight w:val="1214"/>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4EB036E6"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C0371</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5936EB7F"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Currency of price</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2AF54E17"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 xml:space="preserve">Identify the ISO 4217 alphabetic code of the currency of the </w:t>
            </w:r>
          </w:p>
          <w:p w14:paraId="1FC191DD"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 xml:space="preserve">price of the derivative, i.e., currency of the amount </w:t>
            </w:r>
          </w:p>
          <w:p w14:paraId="741C8289"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exchanged against the notional amount of the derivative.</w:t>
            </w:r>
          </w:p>
          <w:p w14:paraId="21650635" w14:textId="77777777" w:rsidR="00422F8B" w:rsidRPr="00A84A8D" w:rsidRDefault="00422F8B" w:rsidP="00796D2F">
            <w:pPr>
              <w:rPr>
                <w:rFonts w:ascii="Verdana" w:eastAsia="Times New Roman" w:hAnsi="Verdana" w:cs="Times New Roman"/>
              </w:rPr>
            </w:pPr>
          </w:p>
          <w:p w14:paraId="60058607" w14:textId="3BABED08" w:rsidR="00422F8B" w:rsidRPr="00A84A8D" w:rsidRDefault="00422F8B" w:rsidP="00796D2F">
            <w:pPr>
              <w:rPr>
                <w:rFonts w:ascii="Verdana" w:eastAsia="Times New Roman" w:hAnsi="Verdana" w:cs="Times New Roman"/>
              </w:rPr>
            </w:pPr>
            <w:r w:rsidRPr="00A84A8D">
              <w:rPr>
                <w:rFonts w:ascii="Verdana" w:eastAsia="Times New Roman" w:hAnsi="Verdana" w:cs="Times New Roman"/>
              </w:rPr>
              <w:t>For example, if the undertaking is paying (or receiving) currency A for the notional amount (currency B), the currency of the price is A. The currency of the notional amount is B, reported in (C0370).</w:t>
            </w:r>
          </w:p>
        </w:tc>
      </w:tr>
      <w:tr w:rsidR="00B957F4" w:rsidRPr="00A84A8D" w14:paraId="65D5BD53" w14:textId="77777777" w:rsidTr="00796D2F">
        <w:tblPrEx>
          <w:tblCellMar>
            <w:right w:w="61" w:type="dxa"/>
          </w:tblCellMar>
        </w:tblPrEx>
        <w:trPr>
          <w:trHeight w:val="1532"/>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73E62A5F" w14:textId="77777777" w:rsidR="00B957F4" w:rsidRPr="00A84A8D" w:rsidRDefault="00B957F4" w:rsidP="00796D2F">
            <w:pPr>
              <w:rPr>
                <w:rFonts w:ascii="Verdana" w:hAnsi="Verdana"/>
              </w:rPr>
            </w:pPr>
            <w:r w:rsidRPr="00A84A8D">
              <w:rPr>
                <w:rFonts w:ascii="Verdana" w:eastAsia="Times New Roman" w:hAnsi="Verdana" w:cs="Times New Roman"/>
              </w:rPr>
              <w:t xml:space="preserve">C0380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5FF47113" w14:textId="77777777" w:rsidR="00B957F4" w:rsidRPr="00A84A8D" w:rsidRDefault="00B957F4" w:rsidP="00796D2F">
            <w:pPr>
              <w:rPr>
                <w:rFonts w:ascii="Verdana" w:hAnsi="Verdana"/>
              </w:rPr>
            </w:pPr>
            <w:r w:rsidRPr="00A84A8D">
              <w:rPr>
                <w:rFonts w:ascii="Verdana" w:eastAsia="Times New Roman" w:hAnsi="Verdana" w:cs="Times New Roman"/>
              </w:rPr>
              <w:t xml:space="preserve">CIC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3FA2DBC4" w14:textId="07EA46EF" w:rsidR="00B957F4" w:rsidRPr="00A84A8D" w:rsidRDefault="00B957F4" w:rsidP="001F4EEC">
            <w:pPr>
              <w:ind w:right="1"/>
              <w:rPr>
                <w:rFonts w:ascii="Verdana" w:hAnsi="Verdana"/>
              </w:rPr>
            </w:pPr>
            <w:r w:rsidRPr="00A84A8D">
              <w:rPr>
                <w:rFonts w:ascii="Verdana" w:eastAsia="Times New Roman" w:hAnsi="Verdana" w:cs="Times New Roman"/>
              </w:rPr>
              <w:t>Complementary Identification Code used to classify assets</w:t>
            </w:r>
            <w:r w:rsidR="000B02D5" w:rsidRPr="00A84A8D">
              <w:rPr>
                <w:rFonts w:ascii="Verdana" w:eastAsia="Times New Roman" w:hAnsi="Verdana" w:cs="Times New Roman"/>
              </w:rPr>
              <w:t xml:space="preserve"> as set out in the annex of the technical instructions</w:t>
            </w:r>
            <w:r w:rsidRPr="00A84A8D">
              <w:rPr>
                <w:rFonts w:ascii="Verdana" w:eastAsia="Times New Roman" w:hAnsi="Verdana" w:cs="Times New Roman"/>
              </w:rPr>
              <w:t xml:space="preserve">. When classifying derivatives using the CIC table, </w:t>
            </w:r>
            <w:r w:rsidR="001F4EEC" w:rsidRPr="00A84A8D">
              <w:rPr>
                <w:rFonts w:ascii="Verdana" w:eastAsia="Times New Roman" w:hAnsi="Verdana" w:cs="Times New Roman"/>
              </w:rPr>
              <w:t>IORPs</w:t>
            </w:r>
            <w:r w:rsidRPr="00A84A8D">
              <w:rPr>
                <w:rFonts w:ascii="Verdana" w:eastAsia="Times New Roman" w:hAnsi="Verdana" w:cs="Times New Roman"/>
              </w:rPr>
              <w:t xml:space="preserve"> shall take into consideration the most representative risk to which the derivative is exposed to. </w:t>
            </w:r>
          </w:p>
        </w:tc>
      </w:tr>
      <w:tr w:rsidR="00B957F4" w:rsidRPr="00A84A8D" w14:paraId="0B3FB396" w14:textId="77777777" w:rsidTr="00796D2F">
        <w:tblPrEx>
          <w:tblCellMar>
            <w:right w:w="61" w:type="dxa"/>
          </w:tblCellMar>
        </w:tblPrEx>
        <w:trPr>
          <w:trHeight w:val="2542"/>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53CD1229" w14:textId="77777777" w:rsidR="00B957F4" w:rsidRPr="00A84A8D" w:rsidRDefault="00B957F4" w:rsidP="00796D2F">
            <w:pPr>
              <w:rPr>
                <w:rFonts w:ascii="Verdana" w:hAnsi="Verdana"/>
              </w:rPr>
            </w:pPr>
            <w:r w:rsidRPr="00A84A8D">
              <w:rPr>
                <w:rFonts w:ascii="Verdana" w:eastAsia="Times New Roman" w:hAnsi="Verdana" w:cs="Times New Roman"/>
              </w:rPr>
              <w:t xml:space="preserve">C0390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7D3E9624" w14:textId="77777777" w:rsidR="00B957F4" w:rsidRPr="00A84A8D" w:rsidRDefault="00B957F4" w:rsidP="00796D2F">
            <w:pPr>
              <w:rPr>
                <w:rFonts w:ascii="Verdana" w:hAnsi="Verdana"/>
              </w:rPr>
            </w:pPr>
            <w:r w:rsidRPr="00A84A8D">
              <w:rPr>
                <w:rFonts w:ascii="Verdana" w:eastAsia="Times New Roman" w:hAnsi="Verdana" w:cs="Times New Roman"/>
              </w:rPr>
              <w:t xml:space="preserve">Trigger value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6512EED1" w14:textId="77777777" w:rsidR="00B957F4" w:rsidRPr="00A84A8D" w:rsidRDefault="00B957F4" w:rsidP="00796D2F">
            <w:pPr>
              <w:spacing w:after="1"/>
              <w:rPr>
                <w:rFonts w:ascii="Verdana" w:hAnsi="Verdana"/>
              </w:rPr>
            </w:pPr>
            <w:r w:rsidRPr="00A84A8D">
              <w:rPr>
                <w:rFonts w:ascii="Verdana" w:eastAsia="Times New Roman" w:hAnsi="Verdana" w:cs="Times New Roman"/>
              </w:rPr>
              <w:t xml:space="preserve">Reference price for futures, strike price for options (for bonds, price shall be a percentage of the </w:t>
            </w:r>
            <w:proofErr w:type="spellStart"/>
            <w:r w:rsidRPr="00A84A8D">
              <w:rPr>
                <w:rFonts w:ascii="Verdana" w:eastAsia="Times New Roman" w:hAnsi="Verdana" w:cs="Times New Roman"/>
              </w:rPr>
              <w:t>par amount</w:t>
            </w:r>
            <w:proofErr w:type="spellEnd"/>
            <w:r w:rsidRPr="00A84A8D">
              <w:rPr>
                <w:rFonts w:ascii="Verdana" w:eastAsia="Times New Roman" w:hAnsi="Verdana" w:cs="Times New Roman"/>
              </w:rPr>
              <w:t xml:space="preserve">), currency exchange rate or interest rate for forwards, etc. </w:t>
            </w:r>
          </w:p>
          <w:p w14:paraId="2260BEFD" w14:textId="77777777" w:rsidR="00B957F4" w:rsidRPr="00A84A8D" w:rsidRDefault="00B957F4" w:rsidP="00796D2F">
            <w:pPr>
              <w:rPr>
                <w:rFonts w:ascii="Verdana" w:hAnsi="Verdana"/>
              </w:rPr>
            </w:pPr>
            <w:r w:rsidRPr="00A84A8D">
              <w:rPr>
                <w:rFonts w:ascii="Verdana" w:eastAsia="Times New Roman" w:hAnsi="Verdana" w:cs="Times New Roman"/>
              </w:rPr>
              <w:t xml:space="preserve">Not applicable to CIC D3 – Interest rate and currency swaps. For CIC F1 – Credit default swaps it shall not be completed if not possible. </w:t>
            </w:r>
          </w:p>
          <w:p w14:paraId="748BBB6F" w14:textId="77777777" w:rsidR="00B957F4" w:rsidRPr="00A84A8D" w:rsidRDefault="00B957F4" w:rsidP="00796D2F">
            <w:pPr>
              <w:ind w:right="24"/>
              <w:rPr>
                <w:rFonts w:ascii="Verdana" w:hAnsi="Verdana"/>
              </w:rPr>
            </w:pPr>
            <w:r w:rsidRPr="00A84A8D">
              <w:rPr>
                <w:rFonts w:ascii="Verdana" w:eastAsia="Times New Roman" w:hAnsi="Verdana" w:cs="Times New Roman"/>
              </w:rPr>
              <w:t xml:space="preserve">In the case of more than one trigger over time, report the next trigger occurring. </w:t>
            </w:r>
          </w:p>
          <w:p w14:paraId="2FA29520" w14:textId="77777777" w:rsidR="00B957F4" w:rsidRPr="00A84A8D" w:rsidRDefault="00B957F4" w:rsidP="00796D2F">
            <w:pPr>
              <w:rPr>
                <w:rFonts w:ascii="Verdana" w:hAnsi="Verdana"/>
              </w:rPr>
            </w:pPr>
            <w:r w:rsidRPr="00A84A8D">
              <w:rPr>
                <w:rFonts w:ascii="Verdana" w:eastAsia="Times New Roman" w:hAnsi="Verdana" w:cs="Times New Roman"/>
              </w:rPr>
              <w:t>When the derivative has a range of trigger values, report the set separated by comma ‘,’ if the range is not continuous and report the range separated by ‘</w:t>
            </w:r>
            <w:proofErr w:type="gramStart"/>
            <w:r w:rsidRPr="00A84A8D">
              <w:rPr>
                <w:rFonts w:ascii="Verdana" w:eastAsia="Times New Roman" w:hAnsi="Verdana" w:cs="Times New Roman"/>
              </w:rPr>
              <w:t>-‘</w:t>
            </w:r>
            <w:proofErr w:type="gramEnd"/>
            <w:r w:rsidRPr="00A84A8D">
              <w:rPr>
                <w:rFonts w:ascii="Verdana" w:eastAsia="Times New Roman" w:hAnsi="Verdana" w:cs="Times New Roman"/>
              </w:rPr>
              <w:t xml:space="preserve">if it is continuous. </w:t>
            </w:r>
          </w:p>
        </w:tc>
      </w:tr>
      <w:tr w:rsidR="00B957F4" w:rsidRPr="00A84A8D" w14:paraId="6449B2F7" w14:textId="77777777" w:rsidTr="00796D2F">
        <w:tblPrEx>
          <w:tblCellMar>
            <w:right w:w="61" w:type="dxa"/>
          </w:tblCellMar>
        </w:tblPrEx>
        <w:trPr>
          <w:trHeight w:val="3385"/>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25D9357F" w14:textId="77777777" w:rsidR="00B957F4" w:rsidRPr="00A84A8D" w:rsidRDefault="00B957F4" w:rsidP="00796D2F">
            <w:pPr>
              <w:rPr>
                <w:rFonts w:ascii="Verdana" w:hAnsi="Verdana"/>
              </w:rPr>
            </w:pPr>
            <w:r w:rsidRPr="00A84A8D">
              <w:rPr>
                <w:rFonts w:ascii="Verdana" w:eastAsia="Times New Roman" w:hAnsi="Verdana" w:cs="Times New Roman"/>
              </w:rPr>
              <w:t xml:space="preserve">C0400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18E5FEDD" w14:textId="77777777" w:rsidR="00B957F4" w:rsidRPr="00A84A8D" w:rsidRDefault="00B957F4" w:rsidP="00796D2F">
            <w:pPr>
              <w:rPr>
                <w:rFonts w:ascii="Verdana" w:hAnsi="Verdana"/>
              </w:rPr>
            </w:pPr>
            <w:r w:rsidRPr="00A84A8D">
              <w:rPr>
                <w:rFonts w:ascii="Verdana" w:eastAsia="Times New Roman" w:hAnsi="Verdana" w:cs="Times New Roman"/>
              </w:rPr>
              <w:t xml:space="preserve">Unwind trigger of contract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4A6F20D4" w14:textId="77777777" w:rsidR="00B957F4" w:rsidRPr="00A84A8D" w:rsidRDefault="00B957F4" w:rsidP="00796D2F">
            <w:pPr>
              <w:spacing w:after="3" w:line="273" w:lineRule="auto"/>
              <w:rPr>
                <w:rFonts w:ascii="Verdana" w:hAnsi="Verdana"/>
              </w:rPr>
            </w:pPr>
            <w:r w:rsidRPr="00A84A8D">
              <w:rPr>
                <w:rFonts w:ascii="Verdana" w:eastAsia="Times New Roman" w:hAnsi="Verdana" w:cs="Times New Roman"/>
              </w:rPr>
              <w:t xml:space="preserve">Identify the event that causes the unwinding of the contract, out of the regular expiration or term conditions. One of the options in the following closed list shall be used: </w:t>
            </w:r>
          </w:p>
          <w:p w14:paraId="244B35DE" w14:textId="77777777" w:rsidR="00B957F4" w:rsidRPr="00A84A8D" w:rsidRDefault="00B957F4" w:rsidP="00796D2F">
            <w:pPr>
              <w:numPr>
                <w:ilvl w:val="0"/>
                <w:numId w:val="32"/>
              </w:numPr>
              <w:spacing w:after="16"/>
              <w:rPr>
                <w:rFonts w:ascii="Verdana" w:hAnsi="Verdana"/>
              </w:rPr>
            </w:pPr>
            <w:r w:rsidRPr="00A84A8D">
              <w:rPr>
                <w:rFonts w:ascii="Verdana" w:eastAsia="Times New Roman" w:hAnsi="Verdana" w:cs="Times New Roman"/>
              </w:rPr>
              <w:t xml:space="preserve">– Bankruptcy of the underlying or reference entity </w:t>
            </w:r>
          </w:p>
          <w:p w14:paraId="745E38BF" w14:textId="77777777" w:rsidR="00B957F4" w:rsidRPr="00A84A8D" w:rsidRDefault="00B957F4" w:rsidP="00796D2F">
            <w:pPr>
              <w:numPr>
                <w:ilvl w:val="0"/>
                <w:numId w:val="32"/>
              </w:numPr>
              <w:spacing w:after="16"/>
              <w:rPr>
                <w:rFonts w:ascii="Verdana" w:hAnsi="Verdana"/>
              </w:rPr>
            </w:pPr>
            <w:r w:rsidRPr="00A84A8D">
              <w:rPr>
                <w:rFonts w:ascii="Verdana" w:eastAsia="Times New Roman" w:hAnsi="Verdana" w:cs="Times New Roman"/>
              </w:rPr>
              <w:t xml:space="preserve">– Adverse fall in value of the underlying reference asset </w:t>
            </w:r>
          </w:p>
          <w:p w14:paraId="5DB3F2F1" w14:textId="77777777" w:rsidR="00B957F4" w:rsidRPr="00A84A8D" w:rsidRDefault="00B957F4" w:rsidP="00796D2F">
            <w:pPr>
              <w:numPr>
                <w:ilvl w:val="0"/>
                <w:numId w:val="32"/>
              </w:numPr>
              <w:spacing w:after="16"/>
              <w:rPr>
                <w:rFonts w:ascii="Verdana" w:hAnsi="Verdana"/>
              </w:rPr>
            </w:pPr>
            <w:r w:rsidRPr="00A84A8D">
              <w:rPr>
                <w:rFonts w:ascii="Verdana" w:eastAsia="Times New Roman" w:hAnsi="Verdana" w:cs="Times New Roman"/>
              </w:rPr>
              <w:t xml:space="preserve">– Adverse change in credit rating of the underlying assets or entity </w:t>
            </w:r>
          </w:p>
          <w:p w14:paraId="5B7BF59E" w14:textId="77777777" w:rsidR="00B957F4" w:rsidRPr="00A84A8D" w:rsidRDefault="00B957F4" w:rsidP="00796D2F">
            <w:pPr>
              <w:numPr>
                <w:ilvl w:val="0"/>
                <w:numId w:val="32"/>
              </w:numPr>
              <w:spacing w:after="3" w:line="273" w:lineRule="auto"/>
              <w:rPr>
                <w:rFonts w:ascii="Verdana" w:hAnsi="Verdana"/>
              </w:rPr>
            </w:pPr>
            <w:r w:rsidRPr="00A84A8D">
              <w:rPr>
                <w:rFonts w:ascii="Verdana" w:eastAsia="Times New Roman" w:hAnsi="Verdana" w:cs="Times New Roman"/>
              </w:rPr>
              <w:t xml:space="preserve">– Novation, </w:t>
            </w:r>
            <w:proofErr w:type="gramStart"/>
            <w:r w:rsidRPr="00A84A8D">
              <w:rPr>
                <w:rFonts w:ascii="Verdana" w:eastAsia="Times New Roman" w:hAnsi="Verdana" w:cs="Times New Roman"/>
              </w:rPr>
              <w:t>i.e.</w:t>
            </w:r>
            <w:proofErr w:type="gramEnd"/>
            <w:r w:rsidRPr="00A84A8D">
              <w:rPr>
                <w:rFonts w:ascii="Verdana" w:eastAsia="Times New Roman" w:hAnsi="Verdana" w:cs="Times New Roman"/>
              </w:rPr>
              <w:t xml:space="preserve"> the act of replacing an obligation under the derivative with a new obligation, or replacing a party of the derivative with a new party </w:t>
            </w:r>
          </w:p>
          <w:p w14:paraId="3D8AA815" w14:textId="77777777" w:rsidR="00B957F4" w:rsidRPr="00A84A8D" w:rsidRDefault="00B957F4" w:rsidP="00796D2F">
            <w:pPr>
              <w:numPr>
                <w:ilvl w:val="0"/>
                <w:numId w:val="32"/>
              </w:numPr>
              <w:spacing w:after="16"/>
              <w:rPr>
                <w:rFonts w:ascii="Verdana" w:hAnsi="Verdana"/>
              </w:rPr>
            </w:pPr>
            <w:r w:rsidRPr="00A84A8D">
              <w:rPr>
                <w:rFonts w:ascii="Verdana" w:eastAsia="Times New Roman" w:hAnsi="Verdana" w:cs="Times New Roman"/>
              </w:rPr>
              <w:t xml:space="preserve">– Multiple events or a combination of events </w:t>
            </w:r>
          </w:p>
          <w:p w14:paraId="0B5F06DF" w14:textId="77777777" w:rsidR="00B957F4" w:rsidRPr="00A84A8D" w:rsidRDefault="00B957F4" w:rsidP="00796D2F">
            <w:pPr>
              <w:numPr>
                <w:ilvl w:val="0"/>
                <w:numId w:val="32"/>
              </w:numPr>
              <w:spacing w:after="17"/>
              <w:rPr>
                <w:rFonts w:ascii="Verdana" w:hAnsi="Verdana"/>
              </w:rPr>
            </w:pPr>
            <w:r w:rsidRPr="00A84A8D">
              <w:rPr>
                <w:rFonts w:ascii="Verdana" w:eastAsia="Times New Roman" w:hAnsi="Verdana" w:cs="Times New Roman"/>
              </w:rPr>
              <w:t xml:space="preserve">– Other events not covered by the previous options </w:t>
            </w:r>
          </w:p>
          <w:p w14:paraId="5797594D" w14:textId="77777777" w:rsidR="00B957F4" w:rsidRPr="00A84A8D" w:rsidRDefault="00B957F4" w:rsidP="00796D2F">
            <w:pPr>
              <w:tabs>
                <w:tab w:val="center" w:pos="2247"/>
              </w:tabs>
              <w:rPr>
                <w:rFonts w:ascii="Verdana" w:hAnsi="Verdana"/>
              </w:rPr>
            </w:pPr>
            <w:r w:rsidRPr="00A84A8D">
              <w:rPr>
                <w:rFonts w:ascii="Verdana" w:eastAsia="Times New Roman" w:hAnsi="Verdana" w:cs="Times New Roman"/>
              </w:rPr>
              <w:t xml:space="preserve">9 – No unwind trigger </w:t>
            </w:r>
            <w:r w:rsidRPr="00A84A8D">
              <w:rPr>
                <w:rFonts w:ascii="Verdana" w:eastAsia="Times New Roman" w:hAnsi="Verdana" w:cs="Times New Roman"/>
              </w:rPr>
              <w:tab/>
              <w:t xml:space="preserve"> </w:t>
            </w:r>
          </w:p>
        </w:tc>
      </w:tr>
      <w:tr w:rsidR="00B957F4" w:rsidRPr="00A84A8D" w14:paraId="26E1219A" w14:textId="77777777" w:rsidTr="00796D2F">
        <w:tblPrEx>
          <w:tblCellMar>
            <w:right w:w="61" w:type="dxa"/>
          </w:tblCellMar>
        </w:tblPrEx>
        <w:trPr>
          <w:trHeight w:val="1003"/>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7A639F52" w14:textId="77777777" w:rsidR="00B957F4" w:rsidRPr="00A84A8D" w:rsidRDefault="00B957F4" w:rsidP="00796D2F">
            <w:pPr>
              <w:rPr>
                <w:rFonts w:ascii="Verdana" w:hAnsi="Verdana"/>
              </w:rPr>
            </w:pPr>
            <w:r w:rsidRPr="00A84A8D">
              <w:rPr>
                <w:rFonts w:ascii="Verdana" w:eastAsia="Times New Roman" w:hAnsi="Verdana" w:cs="Times New Roman"/>
              </w:rPr>
              <w:t xml:space="preserve">C0430 </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5AE3F4B7" w14:textId="77777777" w:rsidR="00B957F4" w:rsidRPr="00A84A8D" w:rsidRDefault="00B957F4" w:rsidP="00796D2F">
            <w:pPr>
              <w:rPr>
                <w:rFonts w:ascii="Verdana" w:hAnsi="Verdana"/>
              </w:rPr>
            </w:pPr>
            <w:r w:rsidRPr="00A84A8D">
              <w:rPr>
                <w:rFonts w:ascii="Verdana" w:eastAsia="Times New Roman" w:hAnsi="Verdana" w:cs="Times New Roman"/>
              </w:rPr>
              <w:t xml:space="preserve">Maturity date </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hideMark/>
          </w:tcPr>
          <w:p w14:paraId="762FE7EB" w14:textId="77777777" w:rsidR="00B957F4" w:rsidRPr="00A84A8D" w:rsidRDefault="00B957F4" w:rsidP="00796D2F">
            <w:pPr>
              <w:rPr>
                <w:rFonts w:ascii="Verdana" w:hAnsi="Verdana"/>
              </w:rPr>
            </w:pPr>
            <w:r w:rsidRPr="00A84A8D">
              <w:rPr>
                <w:rFonts w:ascii="Verdana" w:eastAsia="Times New Roman" w:hAnsi="Verdana" w:cs="Times New Roman"/>
              </w:rPr>
              <w:t>Identify the contractually defined ISO 8601 (</w:t>
            </w:r>
            <w:proofErr w:type="spellStart"/>
            <w:r w:rsidRPr="00A84A8D">
              <w:rPr>
                <w:rFonts w:ascii="Verdana" w:eastAsia="Times New Roman" w:hAnsi="Verdana" w:cs="Times New Roman"/>
              </w:rPr>
              <w:t>yyyy</w:t>
            </w:r>
            <w:proofErr w:type="spellEnd"/>
            <w:r w:rsidRPr="00A84A8D">
              <w:rPr>
                <w:rFonts w:ascii="Verdana" w:eastAsia="Times New Roman" w:hAnsi="Verdana" w:cs="Times New Roman"/>
              </w:rPr>
              <w:t xml:space="preserve">–mm–dd) code of the date of close of the derivative contract, whether at maturity date, expiring date for options (European or American), etc. </w:t>
            </w:r>
          </w:p>
        </w:tc>
      </w:tr>
      <w:tr w:rsidR="00B957F4" w:rsidRPr="00A84A8D" w14:paraId="07585E52" w14:textId="77777777" w:rsidTr="00796D2F">
        <w:tblPrEx>
          <w:tblCellMar>
            <w:right w:w="61" w:type="dxa"/>
          </w:tblCellMar>
        </w:tblPrEx>
        <w:trPr>
          <w:trHeight w:val="1003"/>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25D2D4E8"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C0440</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243E9875"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Swap delivered</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106B819F"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Identify what the undertaking delivers under the swap contract (E.g.: Euribor+0.5%; 2.3%; EUR).</w:t>
            </w:r>
          </w:p>
        </w:tc>
      </w:tr>
      <w:tr w:rsidR="00B957F4" w:rsidRPr="00A84A8D" w14:paraId="0250395A" w14:textId="77777777" w:rsidTr="00796D2F">
        <w:tblPrEx>
          <w:tblCellMar>
            <w:right w:w="61" w:type="dxa"/>
          </w:tblCellMar>
        </w:tblPrEx>
        <w:trPr>
          <w:trHeight w:val="1003"/>
        </w:trPr>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6427340C"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C0450</w:t>
            </w:r>
          </w:p>
        </w:tc>
        <w:tc>
          <w:tcPr>
            <w:tcW w:w="240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4F049C68"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Swap received</w:t>
            </w:r>
          </w:p>
        </w:tc>
        <w:tc>
          <w:tcPr>
            <w:tcW w:w="569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1" w:type="dxa"/>
            </w:tcMar>
          </w:tcPr>
          <w:p w14:paraId="7EF118C5" w14:textId="77777777" w:rsidR="00B957F4" w:rsidRPr="00A84A8D" w:rsidRDefault="00B957F4" w:rsidP="00796D2F">
            <w:pPr>
              <w:rPr>
                <w:rFonts w:ascii="Verdana" w:eastAsia="Times New Roman" w:hAnsi="Verdana" w:cs="Times New Roman"/>
              </w:rPr>
            </w:pPr>
            <w:r w:rsidRPr="00A84A8D">
              <w:rPr>
                <w:rFonts w:ascii="Verdana" w:eastAsia="Times New Roman" w:hAnsi="Verdana" w:cs="Times New Roman"/>
              </w:rPr>
              <w:t>Identify what the undertaking receives under the swap contract (E.g.: Euribor+0.5%; 2.3%; EUR).</w:t>
            </w:r>
          </w:p>
        </w:tc>
      </w:tr>
    </w:tbl>
    <w:p w14:paraId="74C8F37C" w14:textId="77777777" w:rsidR="00B957F4" w:rsidRPr="00A84A8D" w:rsidRDefault="00B957F4" w:rsidP="00B957F4">
      <w:pPr>
        <w:pStyle w:val="Heading4"/>
      </w:pPr>
      <w:r w:rsidRPr="00A84A8D">
        <w:t>Investment income</w:t>
      </w:r>
      <w:bookmarkEnd w:id="30"/>
      <w:bookmarkEnd w:id="31"/>
      <w:bookmarkEnd w:id="32"/>
      <w:r w:rsidRPr="00A84A8D">
        <w:t xml:space="preserve"> (PF.09.02.24)</w:t>
      </w:r>
    </w:p>
    <w:p w14:paraId="5C31D50E" w14:textId="52E09297" w:rsidR="00B957F4" w:rsidRPr="00A84A8D" w:rsidRDefault="00B957F4" w:rsidP="00B957F4">
      <w:pPr>
        <w:pStyle w:val="Heading4"/>
        <w:rPr>
          <w:b w:val="0"/>
        </w:rPr>
      </w:pPr>
      <w:r w:rsidRPr="00A84A8D">
        <w:rPr>
          <w:b w:val="0"/>
        </w:rPr>
        <w:t xml:space="preserve">For the purposes of providing individual and aggregate information at Member State level, NCAs shall submit the following information on an annual basis. </w:t>
      </w:r>
    </w:p>
    <w:p w14:paraId="0C64987B" w14:textId="77777777" w:rsidR="00F03413" w:rsidRPr="00A84A8D" w:rsidRDefault="00F03413" w:rsidP="00B957F4">
      <w:pPr>
        <w:pStyle w:val="Heading4"/>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5386"/>
      </w:tblGrid>
      <w:tr w:rsidR="00B957F4" w:rsidRPr="00A84A8D" w14:paraId="23A82B78" w14:textId="77777777" w:rsidTr="00796D2F">
        <w:trPr>
          <w:trHeight w:val="490"/>
        </w:trPr>
        <w:tc>
          <w:tcPr>
            <w:tcW w:w="2093" w:type="dxa"/>
          </w:tcPr>
          <w:p w14:paraId="7EC76169" w14:textId="77777777" w:rsidR="00B957F4" w:rsidRPr="00A84A8D" w:rsidRDefault="00B957F4" w:rsidP="00796D2F">
            <w:pPr>
              <w:rPr>
                <w:rFonts w:ascii="Verdana" w:hAnsi="Verdana"/>
              </w:rPr>
            </w:pPr>
          </w:p>
        </w:tc>
        <w:tc>
          <w:tcPr>
            <w:tcW w:w="2268" w:type="dxa"/>
          </w:tcPr>
          <w:p w14:paraId="41F0E57E" w14:textId="77777777" w:rsidR="00B957F4" w:rsidRPr="00A84A8D" w:rsidRDefault="00B957F4" w:rsidP="00796D2F">
            <w:pPr>
              <w:pStyle w:val="BodyLeft"/>
              <w:rPr>
                <w:rStyle w:val="Bold"/>
              </w:rPr>
            </w:pPr>
            <w:r w:rsidRPr="00A84A8D">
              <w:rPr>
                <w:rStyle w:val="Bold"/>
              </w:rPr>
              <w:t>ITEM</w:t>
            </w:r>
          </w:p>
        </w:tc>
        <w:tc>
          <w:tcPr>
            <w:tcW w:w="5386" w:type="dxa"/>
          </w:tcPr>
          <w:p w14:paraId="51A0DF6D" w14:textId="77777777" w:rsidR="00B957F4" w:rsidRPr="00A84A8D" w:rsidRDefault="00B957F4" w:rsidP="00796D2F">
            <w:pPr>
              <w:pStyle w:val="BodyLeft"/>
              <w:rPr>
                <w:rStyle w:val="Bold"/>
              </w:rPr>
            </w:pPr>
            <w:r w:rsidRPr="00A84A8D">
              <w:rPr>
                <w:rStyle w:val="Bold"/>
              </w:rPr>
              <w:t>INSTRUCTIONS</w:t>
            </w:r>
          </w:p>
        </w:tc>
      </w:tr>
      <w:tr w:rsidR="00B957F4" w:rsidRPr="00A84A8D" w14:paraId="50169864"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05987064" w14:textId="77777777" w:rsidR="00B957F4" w:rsidRPr="00A84A8D" w:rsidRDefault="00B957F4" w:rsidP="00796D2F">
            <w:pPr>
              <w:rPr>
                <w:rFonts w:ascii="Verdana" w:hAnsi="Verdana"/>
              </w:rPr>
            </w:pPr>
            <w:r w:rsidRPr="00A84A8D">
              <w:rPr>
                <w:rFonts w:ascii="Verdana" w:hAnsi="Verdana"/>
              </w:rPr>
              <w:t>C0010-C0040/R0010</w:t>
            </w:r>
          </w:p>
          <w:p w14:paraId="441C5EFB"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0F7494EF" w14:textId="77777777" w:rsidR="00B957F4" w:rsidRPr="00A84A8D" w:rsidRDefault="00B957F4" w:rsidP="00796D2F">
            <w:pPr>
              <w:pStyle w:val="BodyLeft"/>
            </w:pPr>
            <w:r w:rsidRPr="00A84A8D">
              <w:t>Dividends</w:t>
            </w:r>
          </w:p>
        </w:tc>
        <w:tc>
          <w:tcPr>
            <w:tcW w:w="5386" w:type="dxa"/>
            <w:tcBorders>
              <w:top w:val="single" w:sz="4" w:space="0" w:color="auto"/>
              <w:left w:val="single" w:sz="4" w:space="0" w:color="auto"/>
              <w:bottom w:val="single" w:sz="4" w:space="0" w:color="auto"/>
              <w:right w:val="single" w:sz="4" w:space="0" w:color="auto"/>
            </w:tcBorders>
          </w:tcPr>
          <w:p w14:paraId="06824ED3" w14:textId="77777777" w:rsidR="00B957F4" w:rsidRPr="00A84A8D" w:rsidRDefault="00B957F4" w:rsidP="00796D2F">
            <w:pPr>
              <w:pStyle w:val="BodyLeft"/>
            </w:pPr>
            <w:r w:rsidRPr="00A84A8D">
              <w:t>Dividends received, including from assets that have been sold or matured.</w:t>
            </w:r>
          </w:p>
        </w:tc>
      </w:tr>
      <w:tr w:rsidR="00B957F4" w:rsidRPr="00A84A8D" w14:paraId="6958F533"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0DE126D2" w14:textId="77777777" w:rsidR="00B957F4" w:rsidRPr="00A84A8D" w:rsidRDefault="00B957F4" w:rsidP="00796D2F">
            <w:pPr>
              <w:rPr>
                <w:rFonts w:ascii="Verdana" w:hAnsi="Verdana"/>
              </w:rPr>
            </w:pPr>
            <w:r w:rsidRPr="00A84A8D">
              <w:rPr>
                <w:rFonts w:ascii="Verdana" w:hAnsi="Verdana"/>
              </w:rPr>
              <w:t>C0010-C0040/R0020</w:t>
            </w:r>
          </w:p>
          <w:p w14:paraId="119B0EBF"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049181AB" w14:textId="77777777" w:rsidR="00B957F4" w:rsidRPr="00A84A8D" w:rsidRDefault="00B957F4" w:rsidP="00796D2F">
            <w:pPr>
              <w:pStyle w:val="BodyLeft"/>
            </w:pPr>
            <w:r w:rsidRPr="00A84A8D">
              <w:t>Interest</w:t>
            </w:r>
          </w:p>
        </w:tc>
        <w:tc>
          <w:tcPr>
            <w:tcW w:w="5386" w:type="dxa"/>
            <w:tcBorders>
              <w:top w:val="single" w:sz="4" w:space="0" w:color="auto"/>
              <w:left w:val="single" w:sz="4" w:space="0" w:color="auto"/>
              <w:bottom w:val="single" w:sz="4" w:space="0" w:color="auto"/>
              <w:right w:val="single" w:sz="4" w:space="0" w:color="auto"/>
            </w:tcBorders>
          </w:tcPr>
          <w:p w14:paraId="5D282D26" w14:textId="77777777" w:rsidR="00B957F4" w:rsidRPr="00A84A8D" w:rsidRDefault="00B957F4" w:rsidP="00796D2F">
            <w:pPr>
              <w:pStyle w:val="BodyLeft"/>
            </w:pPr>
            <w:r w:rsidRPr="00A84A8D">
              <w:t xml:space="preserve">Interest payments received, including from assets that have been sold or matured or when the coupon is received. </w:t>
            </w:r>
          </w:p>
        </w:tc>
      </w:tr>
      <w:tr w:rsidR="00B957F4" w:rsidRPr="00A84A8D" w14:paraId="79FE9014"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14C3A309" w14:textId="77777777" w:rsidR="00B957F4" w:rsidRPr="00A84A8D" w:rsidRDefault="00B957F4" w:rsidP="00796D2F">
            <w:pPr>
              <w:rPr>
                <w:rFonts w:ascii="Verdana" w:hAnsi="Verdana"/>
              </w:rPr>
            </w:pPr>
            <w:r w:rsidRPr="00A84A8D">
              <w:rPr>
                <w:rFonts w:ascii="Verdana" w:hAnsi="Verdana"/>
              </w:rPr>
              <w:t>C0010-C0040/R0030</w:t>
            </w:r>
          </w:p>
          <w:p w14:paraId="30524D43"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606AD7A2" w14:textId="77777777" w:rsidR="00B957F4" w:rsidRPr="00A84A8D" w:rsidRDefault="00B957F4" w:rsidP="00796D2F">
            <w:pPr>
              <w:pStyle w:val="BodyLeft"/>
            </w:pPr>
            <w:r w:rsidRPr="00A84A8D">
              <w:t>Rent</w:t>
            </w:r>
          </w:p>
        </w:tc>
        <w:tc>
          <w:tcPr>
            <w:tcW w:w="5386" w:type="dxa"/>
            <w:tcBorders>
              <w:top w:val="single" w:sz="4" w:space="0" w:color="auto"/>
              <w:left w:val="single" w:sz="4" w:space="0" w:color="auto"/>
              <w:bottom w:val="single" w:sz="4" w:space="0" w:color="auto"/>
              <w:right w:val="single" w:sz="4" w:space="0" w:color="auto"/>
            </w:tcBorders>
          </w:tcPr>
          <w:p w14:paraId="7DDF48F3" w14:textId="77777777" w:rsidR="00B957F4" w:rsidRPr="00A84A8D" w:rsidRDefault="00B957F4" w:rsidP="00796D2F">
            <w:pPr>
              <w:pStyle w:val="BodyLeft"/>
            </w:pPr>
            <w:r w:rsidRPr="00A84A8D">
              <w:t>Rent payments received from renting out real estate or other property, plants or equipment.</w:t>
            </w:r>
          </w:p>
        </w:tc>
      </w:tr>
      <w:tr w:rsidR="00B957F4" w:rsidRPr="00A84A8D" w14:paraId="09606F30"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35EA4E92" w14:textId="77777777" w:rsidR="00B957F4" w:rsidRPr="00A84A8D" w:rsidRDefault="00B957F4" w:rsidP="00796D2F">
            <w:pPr>
              <w:rPr>
                <w:rFonts w:ascii="Verdana" w:hAnsi="Verdana"/>
              </w:rPr>
            </w:pPr>
            <w:r w:rsidRPr="00A84A8D">
              <w:rPr>
                <w:rFonts w:ascii="Verdana" w:hAnsi="Verdana"/>
              </w:rPr>
              <w:t>C0010-C0040/R0040</w:t>
            </w:r>
          </w:p>
          <w:p w14:paraId="78D501E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EB67347" w14:textId="77777777" w:rsidR="00B957F4" w:rsidRPr="00A84A8D" w:rsidRDefault="00B957F4" w:rsidP="00796D2F">
            <w:pPr>
              <w:pStyle w:val="BodyLeft"/>
            </w:pPr>
            <w:r w:rsidRPr="00A84A8D">
              <w:t>Realised gains and losses</w:t>
            </w:r>
          </w:p>
        </w:tc>
        <w:tc>
          <w:tcPr>
            <w:tcW w:w="5386" w:type="dxa"/>
            <w:tcBorders>
              <w:top w:val="single" w:sz="4" w:space="0" w:color="auto"/>
              <w:left w:val="single" w:sz="4" w:space="0" w:color="auto"/>
              <w:bottom w:val="single" w:sz="4" w:space="0" w:color="auto"/>
              <w:right w:val="single" w:sz="4" w:space="0" w:color="auto"/>
            </w:tcBorders>
          </w:tcPr>
          <w:p w14:paraId="5871308D" w14:textId="77777777" w:rsidR="00B957F4" w:rsidRPr="00A84A8D" w:rsidRDefault="00B957F4" w:rsidP="00796D2F">
            <w:pPr>
              <w:pStyle w:val="BodyLeft"/>
            </w:pPr>
            <w:r w:rsidRPr="00A84A8D">
              <w:t xml:space="preserve">Realised capital gains and losses carried through the profit and loss account. Capital gains and losses arise from the variation between the valuation of investments at the beginning of the accounting period (or at purchase, if later) and their valuation at the end of the accounting period (or at sale, if earlier) (code 48 01 1 according to Annex I of Regulation 250/2009). </w:t>
            </w:r>
          </w:p>
        </w:tc>
      </w:tr>
      <w:tr w:rsidR="00B957F4" w:rsidRPr="00A84A8D" w14:paraId="3D1732AC"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53962F5F" w14:textId="77777777" w:rsidR="00B957F4" w:rsidRPr="00A84A8D" w:rsidRDefault="00B957F4" w:rsidP="00796D2F">
            <w:pPr>
              <w:rPr>
                <w:rFonts w:ascii="Verdana" w:hAnsi="Verdana"/>
              </w:rPr>
            </w:pPr>
            <w:r w:rsidRPr="00A84A8D">
              <w:rPr>
                <w:rFonts w:ascii="Verdana" w:hAnsi="Verdana"/>
              </w:rPr>
              <w:t>C0010-C0040/R0050</w:t>
            </w:r>
          </w:p>
          <w:p w14:paraId="43A42C6C"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0C490E11" w14:textId="77777777" w:rsidR="00B957F4" w:rsidRPr="00A84A8D" w:rsidRDefault="00B957F4" w:rsidP="00796D2F">
            <w:pPr>
              <w:pStyle w:val="BodyLeft"/>
            </w:pPr>
            <w:r w:rsidRPr="00A84A8D">
              <w:t>Unrealised gains and losses</w:t>
            </w:r>
          </w:p>
        </w:tc>
        <w:tc>
          <w:tcPr>
            <w:tcW w:w="5386" w:type="dxa"/>
            <w:tcBorders>
              <w:top w:val="single" w:sz="4" w:space="0" w:color="auto"/>
              <w:left w:val="single" w:sz="4" w:space="0" w:color="auto"/>
              <w:bottom w:val="single" w:sz="4" w:space="0" w:color="auto"/>
              <w:right w:val="single" w:sz="4" w:space="0" w:color="auto"/>
            </w:tcBorders>
          </w:tcPr>
          <w:p w14:paraId="69AD6C0E" w14:textId="77777777" w:rsidR="00B957F4" w:rsidRPr="00A84A8D" w:rsidRDefault="00B957F4" w:rsidP="00796D2F">
            <w:pPr>
              <w:pStyle w:val="BodyLeft"/>
            </w:pPr>
            <w:r w:rsidRPr="00A84A8D">
              <w:t>Unrealised capital gains and losses, not carried through the profit and loss account. Capital gains and losses arise from the variation between the valuation of investments at the beginning of the accounting period (or at purchase, if later) and their valuation at the end of the accounting period (or at sale, if earlier) (code 48 01 1 according to Annex I of Regulation 250/2009).</w:t>
            </w:r>
          </w:p>
        </w:tc>
      </w:tr>
      <w:tr w:rsidR="00B957F4" w:rsidRPr="00A84A8D" w14:paraId="285783BD"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3DFFC54E" w14:textId="77777777" w:rsidR="00B957F4" w:rsidRPr="00A84A8D" w:rsidRDefault="00B957F4" w:rsidP="00796D2F">
            <w:pPr>
              <w:rPr>
                <w:rFonts w:ascii="Verdana" w:hAnsi="Verdana"/>
              </w:rPr>
            </w:pPr>
            <w:r w:rsidRPr="00A84A8D">
              <w:rPr>
                <w:rFonts w:ascii="Verdana" w:hAnsi="Verdana"/>
              </w:rPr>
              <w:t>C0010-C0040/R0060</w:t>
            </w:r>
          </w:p>
          <w:p w14:paraId="18410C7E"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288F85F" w14:textId="77777777" w:rsidR="00B957F4" w:rsidRPr="00A84A8D" w:rsidRDefault="00B957F4" w:rsidP="00796D2F">
            <w:pPr>
              <w:pStyle w:val="BodyLeft"/>
            </w:pPr>
            <w:r w:rsidRPr="00A84A8D">
              <w:t>Other investment income</w:t>
            </w:r>
          </w:p>
        </w:tc>
        <w:tc>
          <w:tcPr>
            <w:tcW w:w="5386" w:type="dxa"/>
            <w:tcBorders>
              <w:top w:val="single" w:sz="4" w:space="0" w:color="auto"/>
              <w:left w:val="single" w:sz="4" w:space="0" w:color="auto"/>
              <w:bottom w:val="single" w:sz="4" w:space="0" w:color="auto"/>
              <w:right w:val="single" w:sz="4" w:space="0" w:color="auto"/>
            </w:tcBorders>
          </w:tcPr>
          <w:p w14:paraId="2BAD09A3" w14:textId="77777777" w:rsidR="00B957F4" w:rsidRPr="00A84A8D" w:rsidRDefault="00B957F4" w:rsidP="00796D2F">
            <w:pPr>
              <w:pStyle w:val="BodyLeft"/>
            </w:pPr>
            <w:r w:rsidRPr="00A84A8D">
              <w:t>Other investment income, not mentioned elsewhere.</w:t>
            </w:r>
          </w:p>
        </w:tc>
      </w:tr>
      <w:tr w:rsidR="00B957F4" w:rsidRPr="00A84A8D" w14:paraId="5C6FE359" w14:textId="77777777" w:rsidTr="00796D2F">
        <w:trPr>
          <w:trHeight w:val="481"/>
        </w:trPr>
        <w:tc>
          <w:tcPr>
            <w:tcW w:w="2093" w:type="dxa"/>
            <w:tcBorders>
              <w:top w:val="single" w:sz="4" w:space="0" w:color="auto"/>
              <w:left w:val="single" w:sz="4" w:space="0" w:color="auto"/>
              <w:bottom w:val="single" w:sz="4" w:space="0" w:color="auto"/>
              <w:right w:val="single" w:sz="4" w:space="0" w:color="auto"/>
            </w:tcBorders>
          </w:tcPr>
          <w:p w14:paraId="4065B51D" w14:textId="77777777" w:rsidR="00B957F4" w:rsidRPr="00A84A8D" w:rsidRDefault="00B957F4" w:rsidP="00796D2F">
            <w:pPr>
              <w:rPr>
                <w:rFonts w:ascii="Verdana" w:hAnsi="Verdana"/>
              </w:rPr>
            </w:pPr>
            <w:r w:rsidRPr="00A84A8D">
              <w:rPr>
                <w:rFonts w:ascii="Verdana" w:hAnsi="Verdana"/>
              </w:rPr>
              <w:t>C0010-C0040/R0070</w:t>
            </w:r>
          </w:p>
          <w:p w14:paraId="18E1F001"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2EC1215E" w14:textId="77777777" w:rsidR="00B957F4" w:rsidRPr="00A84A8D" w:rsidRDefault="00B957F4" w:rsidP="00796D2F">
            <w:pPr>
              <w:pStyle w:val="BodyLeft"/>
            </w:pPr>
            <w:r w:rsidRPr="00A84A8D">
              <w:t>Total investment income</w:t>
            </w:r>
          </w:p>
        </w:tc>
        <w:tc>
          <w:tcPr>
            <w:tcW w:w="5386" w:type="dxa"/>
            <w:tcBorders>
              <w:top w:val="single" w:sz="4" w:space="0" w:color="auto"/>
              <w:left w:val="single" w:sz="4" w:space="0" w:color="auto"/>
              <w:bottom w:val="single" w:sz="4" w:space="0" w:color="auto"/>
              <w:right w:val="single" w:sz="4" w:space="0" w:color="auto"/>
            </w:tcBorders>
          </w:tcPr>
          <w:p w14:paraId="4229E62B" w14:textId="77777777" w:rsidR="00B957F4" w:rsidRPr="00A84A8D" w:rsidRDefault="00B957F4" w:rsidP="00796D2F">
            <w:pPr>
              <w:pStyle w:val="BodyLeft"/>
            </w:pPr>
            <w:r w:rsidRPr="00A84A8D">
              <w:t>Total value of investment income (code 48 01 0 according to Annex I of Regulation 250/2009).</w:t>
            </w:r>
          </w:p>
        </w:tc>
      </w:tr>
    </w:tbl>
    <w:p w14:paraId="4B71C478" w14:textId="77777777" w:rsidR="00B957F4" w:rsidRPr="00A84A8D" w:rsidRDefault="00B957F4" w:rsidP="00B957F4">
      <w:pPr>
        <w:rPr>
          <w:rFonts w:ascii="Verdana" w:hAnsi="Verdana"/>
        </w:rPr>
      </w:pPr>
      <w:bookmarkStart w:id="33" w:name="_Toc484604322"/>
    </w:p>
    <w:p w14:paraId="668B0216" w14:textId="77777777" w:rsidR="00B957F4" w:rsidRPr="00A84A8D" w:rsidRDefault="00B957F4" w:rsidP="00B957F4">
      <w:pPr>
        <w:pStyle w:val="Heading4"/>
      </w:pPr>
      <w:bookmarkStart w:id="34" w:name="_Toc484788332"/>
      <w:bookmarkStart w:id="35" w:name="_Toc485028007"/>
      <w:r w:rsidRPr="00A84A8D">
        <w:t>Changes in technical provisions</w:t>
      </w:r>
      <w:bookmarkEnd w:id="33"/>
      <w:bookmarkEnd w:id="34"/>
      <w:bookmarkEnd w:id="35"/>
      <w:r w:rsidRPr="00A84A8D">
        <w:t xml:space="preserve"> (PF.29.05.24)</w:t>
      </w:r>
    </w:p>
    <w:p w14:paraId="7DDC05AB" w14:textId="690D0061" w:rsidR="00B957F4" w:rsidRPr="00A84A8D" w:rsidRDefault="00B957F4" w:rsidP="00B957F4">
      <w:pPr>
        <w:pStyle w:val="Heading4"/>
        <w:rPr>
          <w:b w:val="0"/>
        </w:rPr>
      </w:pPr>
      <w:r w:rsidRPr="00A84A8D">
        <w:rPr>
          <w:b w:val="0"/>
        </w:rPr>
        <w:t xml:space="preserve">For the purposes of providing individual and aggregate information at Member State level, NCAs shall submit the following information on an annual basis and </w:t>
      </w:r>
      <w:r w:rsidR="00820223">
        <w:rPr>
          <w:b w:val="0"/>
        </w:rPr>
        <w:t xml:space="preserve">mandatory </w:t>
      </w:r>
      <w:r w:rsidRPr="00A84A8D">
        <w:rPr>
          <w:b w:val="0"/>
        </w:rPr>
        <w:t xml:space="preserve">for DB schemes only. </w:t>
      </w:r>
    </w:p>
    <w:p w14:paraId="7CD25EBD" w14:textId="77777777" w:rsidR="00B957F4" w:rsidRPr="00A84A8D" w:rsidRDefault="00B957F4" w:rsidP="00B957F4">
      <w:pPr>
        <w:pStyle w:val="Heading4"/>
        <w:rPr>
          <w:b w:val="0"/>
        </w:rPr>
      </w:pPr>
    </w:p>
    <w:tbl>
      <w:tblPr>
        <w:tblW w:w="9781" w:type="dxa"/>
        <w:tblInd w:w="-34" w:type="dxa"/>
        <w:tblLook w:val="04A0" w:firstRow="1" w:lastRow="0" w:firstColumn="1" w:lastColumn="0" w:noHBand="0" w:noVBand="1"/>
      </w:tblPr>
      <w:tblGrid>
        <w:gridCol w:w="2098"/>
        <w:gridCol w:w="2297"/>
        <w:gridCol w:w="5386"/>
      </w:tblGrid>
      <w:tr w:rsidR="00B957F4" w:rsidRPr="00A84A8D" w14:paraId="555D4F0B" w14:textId="77777777" w:rsidTr="00796D2F">
        <w:trPr>
          <w:trHeight w:val="300"/>
        </w:trPr>
        <w:tc>
          <w:tcPr>
            <w:tcW w:w="2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896EF9" w14:textId="77777777" w:rsidR="00B957F4" w:rsidRPr="00A84A8D" w:rsidRDefault="00B957F4" w:rsidP="00796D2F">
            <w:pPr>
              <w:rPr>
                <w:rFonts w:ascii="Verdana" w:hAnsi="Verdana"/>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3191B"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6E1B3" w14:textId="77777777" w:rsidR="00B957F4" w:rsidRPr="00A84A8D" w:rsidRDefault="00B957F4" w:rsidP="00796D2F">
            <w:pPr>
              <w:pStyle w:val="BodyLeft"/>
              <w:rPr>
                <w:rStyle w:val="Bold"/>
              </w:rPr>
            </w:pPr>
            <w:r w:rsidRPr="00A84A8D">
              <w:rPr>
                <w:rStyle w:val="Bold"/>
              </w:rPr>
              <w:t>INSTRUCTIONS</w:t>
            </w:r>
          </w:p>
        </w:tc>
      </w:tr>
      <w:tr w:rsidR="00B957F4" w:rsidRPr="00A84A8D" w14:paraId="00C1B8CA" w14:textId="77777777" w:rsidTr="00796D2F">
        <w:trPr>
          <w:trHeight w:val="428"/>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77AE299E" w14:textId="77777777" w:rsidR="00B957F4" w:rsidRPr="00A84A8D" w:rsidRDefault="00B957F4" w:rsidP="00796D2F">
            <w:pPr>
              <w:rPr>
                <w:rFonts w:ascii="Verdana" w:hAnsi="Verdana"/>
              </w:rPr>
            </w:pPr>
            <w:r w:rsidRPr="00A84A8D">
              <w:rPr>
                <w:rFonts w:ascii="Verdana" w:hAnsi="Verdana"/>
              </w:rPr>
              <w:t>C0010-C0040/R0010</w:t>
            </w:r>
          </w:p>
          <w:p w14:paraId="6F7F7D52" w14:textId="77777777" w:rsidR="00B957F4" w:rsidRPr="00A84A8D" w:rsidRDefault="00B957F4" w:rsidP="00796D2F">
            <w:pPr>
              <w:rPr>
                <w:rFonts w:ascii="Verdana" w:hAnsi="Verdana"/>
              </w:rPr>
            </w:pP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08F7946D" w14:textId="77777777" w:rsidR="00B957F4" w:rsidRPr="00A84A8D" w:rsidRDefault="00B957F4" w:rsidP="00796D2F">
            <w:pPr>
              <w:pStyle w:val="BodyLeft"/>
            </w:pPr>
            <w:r w:rsidRPr="00A84A8D">
              <w:t>Opening technical provision</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1D05C0CA" w14:textId="77777777" w:rsidR="00B957F4" w:rsidRPr="00A84A8D" w:rsidRDefault="00B957F4" w:rsidP="00796D2F">
            <w:pPr>
              <w:pStyle w:val="BodyLeft"/>
            </w:pPr>
            <w:r w:rsidRPr="00A84A8D">
              <w:t>Value of technical provisions in the opening balance sheet of the reporting period.</w:t>
            </w:r>
          </w:p>
        </w:tc>
      </w:tr>
      <w:tr w:rsidR="00B957F4" w:rsidRPr="00A84A8D" w14:paraId="2CD153EC" w14:textId="77777777" w:rsidTr="00796D2F">
        <w:trPr>
          <w:trHeight w:val="768"/>
        </w:trPr>
        <w:tc>
          <w:tcPr>
            <w:tcW w:w="2098" w:type="dxa"/>
            <w:tcBorders>
              <w:top w:val="single" w:sz="4" w:space="0" w:color="auto"/>
              <w:left w:val="single" w:sz="4" w:space="0" w:color="auto"/>
              <w:bottom w:val="single" w:sz="4" w:space="0" w:color="auto"/>
              <w:right w:val="single" w:sz="4" w:space="0" w:color="auto"/>
            </w:tcBorders>
            <w:shd w:val="clear" w:color="auto" w:fill="auto"/>
          </w:tcPr>
          <w:p w14:paraId="22DAC1BA" w14:textId="77777777" w:rsidR="00B957F4" w:rsidRPr="00A84A8D" w:rsidRDefault="00B957F4" w:rsidP="00796D2F">
            <w:pPr>
              <w:rPr>
                <w:rFonts w:ascii="Verdana" w:hAnsi="Verdana"/>
              </w:rPr>
            </w:pPr>
            <w:r w:rsidRPr="00A84A8D">
              <w:rPr>
                <w:rFonts w:ascii="Verdana" w:hAnsi="Verdana"/>
              </w:rPr>
              <w:t>C0010-C0040/R0020</w:t>
            </w:r>
          </w:p>
          <w:p w14:paraId="3D46B3B8" w14:textId="77777777" w:rsidR="00B957F4" w:rsidRPr="00A84A8D" w:rsidRDefault="00B957F4" w:rsidP="00796D2F">
            <w:pPr>
              <w:rPr>
                <w:rFonts w:ascii="Verdana" w:hAnsi="Verdan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C697332" w14:textId="77777777" w:rsidR="00B957F4" w:rsidRPr="00A84A8D" w:rsidRDefault="00B957F4" w:rsidP="00796D2F">
            <w:pPr>
              <w:pStyle w:val="BodyLeft"/>
            </w:pPr>
            <w:r w:rsidRPr="00A84A8D">
              <w:t>Past service cost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4752320" w14:textId="77777777" w:rsidR="00B957F4" w:rsidRPr="00A84A8D" w:rsidRDefault="00B957F4" w:rsidP="00796D2F">
            <w:pPr>
              <w:pStyle w:val="BodyLeft"/>
            </w:pPr>
            <w:r w:rsidRPr="00A84A8D">
              <w:t xml:space="preserve">Accrual of obligations during the reporting period. </w:t>
            </w:r>
          </w:p>
        </w:tc>
      </w:tr>
      <w:tr w:rsidR="00B957F4" w:rsidRPr="00A84A8D" w14:paraId="5BB491BA" w14:textId="77777777" w:rsidTr="00796D2F">
        <w:trPr>
          <w:trHeight w:val="757"/>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758D61A4" w14:textId="77777777" w:rsidR="00B957F4" w:rsidRPr="00A84A8D" w:rsidRDefault="00B957F4" w:rsidP="00796D2F">
            <w:pPr>
              <w:rPr>
                <w:rFonts w:ascii="Verdana" w:hAnsi="Verdana"/>
              </w:rPr>
            </w:pPr>
            <w:r w:rsidRPr="00A84A8D">
              <w:rPr>
                <w:rFonts w:ascii="Verdana" w:hAnsi="Verdana"/>
              </w:rPr>
              <w:t>C0010-C0040/R0030</w:t>
            </w:r>
          </w:p>
          <w:p w14:paraId="4BE7D9C5" w14:textId="77777777" w:rsidR="00B957F4" w:rsidRPr="00A84A8D" w:rsidRDefault="00B957F4" w:rsidP="00796D2F">
            <w:pPr>
              <w:rPr>
                <w:rFonts w:ascii="Verdana" w:hAnsi="Verdana"/>
              </w:rPr>
            </w:pP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89A4AE3" w14:textId="77777777" w:rsidR="00B957F4" w:rsidRPr="00A84A8D" w:rsidRDefault="00B957F4" w:rsidP="00796D2F">
            <w:pPr>
              <w:pStyle w:val="BodyLeft"/>
            </w:pPr>
            <w:r w:rsidRPr="00A84A8D">
              <w:t xml:space="preserve">Change in discount rate </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7237A4A7" w14:textId="77777777" w:rsidR="00B957F4" w:rsidRPr="00A84A8D" w:rsidRDefault="00B957F4" w:rsidP="00796D2F">
            <w:pPr>
              <w:pStyle w:val="BodyLeft"/>
            </w:pPr>
            <w:r w:rsidRPr="00A84A8D">
              <w:t>Effect of unwinding of the discount rate and any change in the discount rate used.</w:t>
            </w:r>
          </w:p>
        </w:tc>
      </w:tr>
      <w:tr w:rsidR="00B957F4" w:rsidRPr="00A84A8D" w14:paraId="4DC20E3D" w14:textId="77777777" w:rsidTr="00796D2F">
        <w:trPr>
          <w:trHeight w:val="774"/>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39477E89" w14:textId="77777777" w:rsidR="00B957F4" w:rsidRPr="00A84A8D" w:rsidRDefault="00B957F4" w:rsidP="00796D2F">
            <w:pPr>
              <w:rPr>
                <w:rFonts w:ascii="Verdana" w:hAnsi="Verdana"/>
              </w:rPr>
            </w:pPr>
            <w:r w:rsidRPr="00A84A8D">
              <w:rPr>
                <w:rFonts w:ascii="Verdana" w:hAnsi="Verdana"/>
              </w:rPr>
              <w:t>C0010-C0040/R0040</w:t>
            </w:r>
          </w:p>
          <w:p w14:paraId="06CE322D" w14:textId="77777777" w:rsidR="00B957F4" w:rsidRPr="00A84A8D" w:rsidRDefault="00B957F4" w:rsidP="00796D2F">
            <w:pPr>
              <w:rPr>
                <w:rFonts w:ascii="Verdana" w:hAnsi="Verdana"/>
              </w:rPr>
            </w:pP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2F67AB1C" w14:textId="77777777" w:rsidR="00B957F4" w:rsidRPr="00A84A8D" w:rsidRDefault="00B957F4" w:rsidP="00796D2F">
            <w:pPr>
              <w:pStyle w:val="BodyLeft"/>
            </w:pPr>
            <w:r w:rsidRPr="00A84A8D">
              <w:t>Experience adjustments</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371C24F1" w14:textId="77777777" w:rsidR="00B957F4" w:rsidRPr="00A84A8D" w:rsidRDefault="00B957F4" w:rsidP="00796D2F">
            <w:pPr>
              <w:pStyle w:val="BodyLeft"/>
            </w:pPr>
            <w:r w:rsidRPr="00A84A8D">
              <w:t>Changes in assumptions based on experience.</w:t>
            </w:r>
          </w:p>
        </w:tc>
      </w:tr>
      <w:tr w:rsidR="00B957F4" w:rsidRPr="00A84A8D" w14:paraId="28B4CF83" w14:textId="77777777" w:rsidTr="00796D2F">
        <w:trPr>
          <w:trHeight w:val="609"/>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28A90816" w14:textId="77777777" w:rsidR="00B957F4" w:rsidRPr="00A84A8D" w:rsidRDefault="00B957F4" w:rsidP="00796D2F">
            <w:pPr>
              <w:rPr>
                <w:rFonts w:ascii="Verdana" w:hAnsi="Verdana"/>
              </w:rPr>
            </w:pPr>
            <w:r w:rsidRPr="00A84A8D">
              <w:rPr>
                <w:rFonts w:ascii="Verdana" w:hAnsi="Verdana"/>
              </w:rPr>
              <w:t>C0010-C0040/R0050</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77A80A3B" w14:textId="77777777" w:rsidR="00B957F4" w:rsidRPr="00A84A8D" w:rsidRDefault="00B957F4" w:rsidP="00796D2F">
            <w:pPr>
              <w:pStyle w:val="BodyLeft"/>
            </w:pPr>
            <w:r w:rsidRPr="00A84A8D">
              <w:t xml:space="preserve">Other changes </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049D7C43" w14:textId="77777777" w:rsidR="00B957F4" w:rsidRPr="00A84A8D" w:rsidRDefault="00B957F4" w:rsidP="00796D2F">
            <w:pPr>
              <w:pStyle w:val="BodyLeft"/>
            </w:pPr>
            <w:r w:rsidRPr="00A84A8D">
              <w:t xml:space="preserve">Other changes not mentioned elsewhere. </w:t>
            </w:r>
          </w:p>
        </w:tc>
      </w:tr>
      <w:tr w:rsidR="00B957F4" w:rsidRPr="00A84A8D" w14:paraId="0C5A2476" w14:textId="77777777" w:rsidTr="00796D2F">
        <w:trPr>
          <w:trHeight w:val="561"/>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3B899EC5" w14:textId="77777777" w:rsidR="00B957F4" w:rsidRPr="00A84A8D" w:rsidRDefault="00B957F4" w:rsidP="00796D2F">
            <w:pPr>
              <w:rPr>
                <w:rFonts w:ascii="Verdana" w:hAnsi="Verdana"/>
              </w:rPr>
            </w:pPr>
            <w:r w:rsidRPr="00A84A8D">
              <w:rPr>
                <w:rFonts w:ascii="Verdana" w:hAnsi="Verdana"/>
              </w:rPr>
              <w:t>C0010-C0040/R0060</w:t>
            </w:r>
          </w:p>
          <w:p w14:paraId="299CBEAA" w14:textId="77777777" w:rsidR="00B957F4" w:rsidRPr="00A84A8D" w:rsidRDefault="00B957F4" w:rsidP="00796D2F">
            <w:pPr>
              <w:rPr>
                <w:rFonts w:ascii="Verdana" w:hAnsi="Verdana"/>
              </w:rPr>
            </w:pP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7D4B4417" w14:textId="77777777" w:rsidR="00B957F4" w:rsidRPr="00A84A8D" w:rsidRDefault="00B957F4" w:rsidP="00796D2F">
            <w:pPr>
              <w:pStyle w:val="BodyLeft"/>
            </w:pPr>
            <w:r w:rsidRPr="00A84A8D">
              <w:t xml:space="preserve">Closing technical provisions </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4B80195F" w14:textId="77777777" w:rsidR="00B957F4" w:rsidRPr="00A84A8D" w:rsidRDefault="00B957F4" w:rsidP="00796D2F">
            <w:pPr>
              <w:pStyle w:val="BodyLeft"/>
            </w:pPr>
            <w:r w:rsidRPr="00A84A8D">
              <w:t>Value of technical provisions at the end of the reporting period.</w:t>
            </w:r>
          </w:p>
        </w:tc>
      </w:tr>
    </w:tbl>
    <w:p w14:paraId="7B8B9A75" w14:textId="5C9E0188" w:rsidR="00C94A18" w:rsidRPr="00A84A8D" w:rsidRDefault="00C94A18">
      <w:pPr>
        <w:rPr>
          <w:rFonts w:ascii="Verdana" w:hAnsi="Verdana"/>
        </w:rPr>
      </w:pPr>
      <w:bookmarkStart w:id="36" w:name="_Toc484604323"/>
      <w:bookmarkStart w:id="37" w:name="_Toc484788333"/>
      <w:bookmarkStart w:id="38" w:name="_Toc485028008"/>
    </w:p>
    <w:p w14:paraId="289DAFAC" w14:textId="77777777" w:rsidR="00313C4D" w:rsidRPr="00A84A8D" w:rsidRDefault="00313C4D" w:rsidP="00B957F4">
      <w:pPr>
        <w:pStyle w:val="Heading4"/>
      </w:pPr>
    </w:p>
    <w:p w14:paraId="63ACEAF7" w14:textId="564ED066" w:rsidR="00B957F4" w:rsidRPr="00A84A8D" w:rsidRDefault="00B957F4" w:rsidP="00B957F4">
      <w:pPr>
        <w:pStyle w:val="Heading4"/>
      </w:pPr>
      <w:r w:rsidRPr="00A84A8D">
        <w:t>Cash-Flows (PF.29.06.24)</w:t>
      </w:r>
    </w:p>
    <w:p w14:paraId="35B17F94" w14:textId="35BCB7EE" w:rsidR="00B957F4" w:rsidRPr="00A84A8D" w:rsidRDefault="00B957F4" w:rsidP="00B957F4">
      <w:pPr>
        <w:pStyle w:val="Heading4"/>
        <w:rPr>
          <w:b w:val="0"/>
        </w:rPr>
      </w:pPr>
      <w:r w:rsidRPr="00A84A8D">
        <w:rPr>
          <w:b w:val="0"/>
        </w:rPr>
        <w:t xml:space="preserve">For the purposes of providing individual information at Member State level, NCAs shall submit the following information on an annual basis and </w:t>
      </w:r>
      <w:r w:rsidR="00820223">
        <w:rPr>
          <w:b w:val="0"/>
        </w:rPr>
        <w:t xml:space="preserve">mandatory </w:t>
      </w:r>
      <w:r w:rsidRPr="00A84A8D">
        <w:rPr>
          <w:b w:val="0"/>
        </w:rPr>
        <w:t xml:space="preserve">for </w:t>
      </w:r>
      <w:r w:rsidR="003E38D0" w:rsidRPr="00A84A8D">
        <w:rPr>
          <w:b w:val="0"/>
        </w:rPr>
        <w:t xml:space="preserve">traditional </w:t>
      </w:r>
      <w:r w:rsidRPr="00A84A8D">
        <w:rPr>
          <w:b w:val="0"/>
        </w:rPr>
        <w:t>DB schemes only.</w:t>
      </w:r>
      <w:r w:rsidR="003E38D0" w:rsidRPr="00A84A8D">
        <w:rPr>
          <w:b w:val="0"/>
        </w:rPr>
        <w:t xml:space="preserve"> These are schemes where the benefit is guaranteed based on a formula as opposed to DB schemes </w:t>
      </w:r>
      <w:r w:rsidR="003E38D0" w:rsidRPr="00897EF2">
        <w:rPr>
          <w:b w:val="0"/>
        </w:rPr>
        <w:t>which could also be classified as DC with guarantees.</w:t>
      </w:r>
      <w:r w:rsidR="003E38D0" w:rsidRPr="00897EF2">
        <w:t xml:space="preserve"> </w:t>
      </w:r>
      <w:r w:rsidRPr="00897EF2">
        <w:rPr>
          <w:b w:val="0"/>
        </w:rPr>
        <w:t xml:space="preserve"> </w:t>
      </w:r>
      <w:r w:rsidR="00F03413" w:rsidRPr="00897EF2">
        <w:rPr>
          <w:b w:val="0"/>
        </w:rPr>
        <w:t>Only those IORPs that are included in the scope of the mandatory individual reporting as referred to in Article 1.1</w:t>
      </w:r>
      <w:r w:rsidR="00757BDE" w:rsidRPr="00897EF2">
        <w:rPr>
          <w:b w:val="0"/>
        </w:rPr>
        <w:t>4</w:t>
      </w:r>
      <w:r w:rsidR="00065C09" w:rsidRPr="00897EF2">
        <w:rPr>
          <w:b w:val="0"/>
        </w:rPr>
        <w:t>(a)</w:t>
      </w:r>
      <w:r w:rsidR="00F03413" w:rsidRPr="00897EF2">
        <w:rPr>
          <w:b w:val="0"/>
        </w:rPr>
        <w:t xml:space="preserve"> of Decision </w:t>
      </w:r>
      <w:r w:rsidR="00557AC8">
        <w:rPr>
          <w:b w:val="0"/>
        </w:rPr>
        <w:t>23/030</w:t>
      </w:r>
      <w:r w:rsidR="00F03413" w:rsidRPr="00897EF2">
        <w:rPr>
          <w:b w:val="0"/>
        </w:rPr>
        <w:t xml:space="preserve"> required to report this template.</w:t>
      </w:r>
      <w:r w:rsidR="00065C09" w:rsidRPr="00897EF2">
        <w:rPr>
          <w:b w:val="0"/>
        </w:rPr>
        <w:t xml:space="preserve"> Reporting of cash flows of DC</w:t>
      </w:r>
      <w:r w:rsidR="003E38D0" w:rsidRPr="00897EF2">
        <w:rPr>
          <w:b w:val="0"/>
        </w:rPr>
        <w:t xml:space="preserve"> and other DB </w:t>
      </w:r>
      <w:r w:rsidR="00065C09" w:rsidRPr="00897EF2">
        <w:rPr>
          <w:b w:val="0"/>
        </w:rPr>
        <w:t xml:space="preserve">schemes is </w:t>
      </w:r>
      <w:r w:rsidR="003C17A3" w:rsidRPr="00897EF2">
        <w:rPr>
          <w:b w:val="0"/>
        </w:rPr>
        <w:t>voluntary</w:t>
      </w:r>
      <w:r w:rsidR="00065C09" w:rsidRPr="00897EF2">
        <w:rPr>
          <w:b w:val="0"/>
        </w:rPr>
        <w:t>.</w:t>
      </w:r>
    </w:p>
    <w:p w14:paraId="75781B04" w14:textId="77777777" w:rsidR="00B957F4" w:rsidRPr="00A84A8D" w:rsidRDefault="00B957F4" w:rsidP="00B957F4">
      <w:pPr>
        <w:pStyle w:val="BodyLeft"/>
        <w:jc w:val="both"/>
      </w:pPr>
      <w:r w:rsidRPr="00A84A8D">
        <w:t>Only cash flows relating to current members and beneficiaries should be considered ('closed modelling'), notwithstanding that cash flows for security and benefit adjustment mechanisms may depend on a national 'open modelling' approach.</w:t>
      </w:r>
    </w:p>
    <w:p w14:paraId="1BB168E2" w14:textId="34C6CC57" w:rsidR="00B957F4" w:rsidRPr="00A84A8D" w:rsidRDefault="00B957F4" w:rsidP="003C17A3">
      <w:pPr>
        <w:pStyle w:val="BodyLeft"/>
        <w:jc w:val="both"/>
      </w:pPr>
      <w:r w:rsidRPr="00A84A8D">
        <w:t>Cash flows should be projected over the full lifetime of the pension obligations</w:t>
      </w:r>
      <w:r w:rsidR="003C17A3" w:rsidRPr="00A84A8D">
        <w:t xml:space="preserve"> and should reflect expected realistic future demographic, legal, medical, technological, social or economic developments over the lifetime of the pension obligations.</w:t>
      </w:r>
    </w:p>
    <w:p w14:paraId="00116678" w14:textId="6BB3D0F7" w:rsidR="00B957F4" w:rsidRPr="00A84A8D" w:rsidRDefault="00B957F4" w:rsidP="00B957F4">
      <w:pPr>
        <w:pStyle w:val="BodyLeft"/>
      </w:pPr>
      <w:r w:rsidRPr="00A84A8D">
        <w:t xml:space="preserve">Cash flows projections should be consistent with existing national IORP </w:t>
      </w:r>
      <w:proofErr w:type="gramStart"/>
      <w:r w:rsidRPr="00A84A8D">
        <w:t>systems,</w:t>
      </w:r>
      <w:r w:rsidR="003C17A3" w:rsidRPr="00A84A8D">
        <w:t xml:space="preserve"> </w:t>
      </w:r>
      <w:r w:rsidRPr="00A84A8D">
        <w:t xml:space="preserve"> including</w:t>
      </w:r>
      <w:proofErr w:type="gramEnd"/>
      <w:r w:rsidRPr="00A84A8D">
        <w:t xml:space="preserve"> the national supervisory framework</w:t>
      </w:r>
      <w:r w:rsidR="003C17A3" w:rsidRPr="00A84A8D">
        <w:t xml:space="preserve"> and assumptions</w:t>
      </w:r>
      <w:r w:rsidRPr="00A84A8D">
        <w:t>.</w:t>
      </w:r>
    </w:p>
    <w:p w14:paraId="66E588D7" w14:textId="1A326416" w:rsidR="00B957F4" w:rsidRPr="00A84A8D" w:rsidRDefault="00B957F4" w:rsidP="00B957F4">
      <w:pPr>
        <w:pStyle w:val="Heading4"/>
        <w:rPr>
          <w:b w:val="0"/>
        </w:rPr>
      </w:pPr>
    </w:p>
    <w:tbl>
      <w:tblPr>
        <w:tblW w:w="9781" w:type="dxa"/>
        <w:tblInd w:w="-34" w:type="dxa"/>
        <w:tblLayout w:type="fixed"/>
        <w:tblLook w:val="04A0" w:firstRow="1" w:lastRow="0" w:firstColumn="1" w:lastColumn="0" w:noHBand="0" w:noVBand="1"/>
      </w:tblPr>
      <w:tblGrid>
        <w:gridCol w:w="2127"/>
        <w:gridCol w:w="2268"/>
        <w:gridCol w:w="5386"/>
      </w:tblGrid>
      <w:tr w:rsidR="00B957F4" w:rsidRPr="00A84A8D" w14:paraId="61A20B27" w14:textId="77777777" w:rsidTr="00796D2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0553F"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335D8"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55EC9" w14:textId="77777777" w:rsidR="00B957F4" w:rsidRPr="00A84A8D" w:rsidRDefault="00B957F4" w:rsidP="00796D2F">
            <w:pPr>
              <w:pStyle w:val="BodyLeft"/>
              <w:rPr>
                <w:rStyle w:val="Bold"/>
              </w:rPr>
            </w:pPr>
            <w:r w:rsidRPr="00A84A8D">
              <w:rPr>
                <w:rStyle w:val="Bold"/>
              </w:rPr>
              <w:t>INSTRUCTIONS</w:t>
            </w:r>
          </w:p>
        </w:tc>
      </w:tr>
      <w:tr w:rsidR="00B957F4" w:rsidRPr="00A84A8D" w14:paraId="43955A48"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092B19C" w14:textId="77777777" w:rsidR="00B957F4" w:rsidRPr="00A84A8D" w:rsidRDefault="00B957F4" w:rsidP="00796D2F">
            <w:pPr>
              <w:rPr>
                <w:rFonts w:ascii="Verdana" w:hAnsi="Verdana"/>
              </w:rPr>
            </w:pPr>
            <w:r w:rsidRPr="00A84A8D">
              <w:rPr>
                <w:rFonts w:ascii="Verdana" w:hAnsi="Verdana"/>
              </w:rPr>
              <w:t>C0010/R0010– R0330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B46A5D" w14:textId="25BAB48A" w:rsidR="00B957F4" w:rsidRPr="00A84A8D" w:rsidRDefault="003E38D0" w:rsidP="00796D2F">
            <w:pPr>
              <w:pStyle w:val="BodyLeft"/>
            </w:pPr>
            <w:r w:rsidRPr="00A84A8D">
              <w:t xml:space="preserve">Traditional </w:t>
            </w:r>
            <w:r w:rsidR="00D96226" w:rsidRPr="00A84A8D">
              <w:t xml:space="preserve">DB </w:t>
            </w:r>
            <w:r w:rsidR="00B957F4" w:rsidRPr="00A84A8D">
              <w:t>Cash out-flows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2615092" w14:textId="77777777" w:rsidR="00B957F4" w:rsidRPr="00A84A8D" w:rsidRDefault="00B957F4" w:rsidP="00796D2F">
            <w:pPr>
              <w:pStyle w:val="BodyLeft"/>
            </w:pPr>
            <w:r w:rsidRPr="00A84A8D">
              <w:t>Amount of cash out-flows expected for each year from year 1 to year 30, aggregated for the interval of years 31 to 40, aggregated for the interval of years 41 to 50 and aggregated for all the years after year 50.</w:t>
            </w:r>
          </w:p>
          <w:p w14:paraId="2A5CC243" w14:textId="77777777" w:rsidR="00B957F4" w:rsidRPr="00A84A8D" w:rsidRDefault="00B957F4" w:rsidP="00796D2F">
            <w:pPr>
              <w:pStyle w:val="BodyLeft"/>
            </w:pPr>
          </w:p>
        </w:tc>
      </w:tr>
      <w:tr w:rsidR="00B957F4" w:rsidRPr="00A84A8D" w14:paraId="21586312" w14:textId="77777777" w:rsidTr="00897EF2">
        <w:trPr>
          <w:trHeight w:val="1662"/>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3B5631B" w14:textId="636214EA" w:rsidR="00B957F4" w:rsidRPr="00A84A8D" w:rsidRDefault="00B957F4" w:rsidP="00796D2F">
            <w:pPr>
              <w:rPr>
                <w:rFonts w:ascii="Verdana" w:hAnsi="Verdana"/>
              </w:rPr>
            </w:pPr>
            <w:r w:rsidRPr="00A84A8D">
              <w:rPr>
                <w:rFonts w:ascii="Verdana" w:hAnsi="Verdana"/>
              </w:rPr>
              <w:t>C00</w:t>
            </w:r>
            <w:r w:rsidR="003C17A3" w:rsidRPr="00A84A8D">
              <w:rPr>
                <w:rFonts w:ascii="Verdana" w:hAnsi="Verdana"/>
              </w:rPr>
              <w:t>2</w:t>
            </w:r>
            <w:r w:rsidRPr="00A84A8D">
              <w:rPr>
                <w:rFonts w:ascii="Verdana" w:hAnsi="Verdana"/>
              </w:rPr>
              <w:t>0/R0010– R0330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A7F2AD" w14:textId="1C341031" w:rsidR="00B957F4" w:rsidRPr="00A84A8D" w:rsidRDefault="003E38D0" w:rsidP="00796D2F">
            <w:pPr>
              <w:pStyle w:val="BodyLeft"/>
            </w:pPr>
            <w:r w:rsidRPr="00A84A8D">
              <w:t xml:space="preserve">Traditional </w:t>
            </w:r>
            <w:r w:rsidR="00D96226" w:rsidRPr="00A84A8D">
              <w:t xml:space="preserve">DB </w:t>
            </w:r>
            <w:r w:rsidR="00B957F4" w:rsidRPr="00A84A8D">
              <w:t>Cash in-flows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7A07294" w14:textId="2531BAB8" w:rsidR="00B957F4" w:rsidRPr="00A84A8D" w:rsidRDefault="00B957F4" w:rsidP="00796D2F">
            <w:pPr>
              <w:pStyle w:val="BodyLeft"/>
            </w:pPr>
            <w:r w:rsidRPr="00A84A8D">
              <w:t>Amount of cash in–flows expected for each year from year 1 to year 30, aggregated for the interval of years 31 to 40, aggregated for the interval of years 41 to 50 and aggregated for all the years after year 50.</w:t>
            </w:r>
          </w:p>
        </w:tc>
      </w:tr>
      <w:tr w:rsidR="003C17A3" w:rsidRPr="00A84A8D" w14:paraId="10398460" w14:textId="77777777" w:rsidTr="00B326D7">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A29CF9C" w14:textId="77777777" w:rsidR="003C17A3" w:rsidRPr="00A84A8D" w:rsidRDefault="003C17A3" w:rsidP="003C17A3">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0E712E" w14:textId="52EEDDA2" w:rsidR="003C17A3" w:rsidRPr="00A84A8D" w:rsidRDefault="003C17A3" w:rsidP="003C17A3">
            <w:pPr>
              <w:pStyle w:val="BodyLeft"/>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218E5EE" w14:textId="30B96E30" w:rsidR="003C17A3" w:rsidRPr="00A84A8D" w:rsidRDefault="003C17A3" w:rsidP="003C17A3">
            <w:pPr>
              <w:pStyle w:val="BodyLeft"/>
            </w:pPr>
            <w:r w:rsidRPr="00A84A8D">
              <w:rPr>
                <w:rStyle w:val="Bold"/>
              </w:rPr>
              <w:t>INSTRUCTIONS</w:t>
            </w:r>
          </w:p>
        </w:tc>
      </w:tr>
      <w:tr w:rsidR="003C17A3" w:rsidRPr="00A84A8D" w14:paraId="59EFFF4F" w14:textId="77777777" w:rsidTr="00B326D7">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58C4958" w14:textId="30788C45" w:rsidR="003C17A3" w:rsidRPr="00A84A8D" w:rsidRDefault="003C17A3" w:rsidP="003C17A3">
            <w:pPr>
              <w:rPr>
                <w:rFonts w:ascii="Verdana" w:hAnsi="Verdana"/>
              </w:rPr>
            </w:pPr>
            <w:r w:rsidRPr="00A84A8D">
              <w:rPr>
                <w:rFonts w:ascii="Verdana" w:hAnsi="Verdana"/>
              </w:rPr>
              <w:t>C0030/R0010– R0330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E67841" w14:textId="4F9B00D6" w:rsidR="003C17A3" w:rsidRPr="00A84A8D" w:rsidRDefault="003C17A3" w:rsidP="003C17A3">
            <w:pPr>
              <w:pStyle w:val="BodyLeft"/>
              <w:rPr>
                <w:rStyle w:val="Bold"/>
              </w:rPr>
            </w:pPr>
            <w:r w:rsidRPr="00A84A8D">
              <w:t>DC</w:t>
            </w:r>
            <w:r w:rsidR="003E38D0" w:rsidRPr="00A84A8D">
              <w:t xml:space="preserve"> and other DB</w:t>
            </w:r>
            <w:r w:rsidRPr="00A84A8D">
              <w:t xml:space="preserve"> Cash out-flows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02383CD" w14:textId="77777777" w:rsidR="003C17A3" w:rsidRPr="00A84A8D" w:rsidRDefault="003C17A3" w:rsidP="003C17A3">
            <w:pPr>
              <w:pStyle w:val="BodyLeft"/>
            </w:pPr>
            <w:r w:rsidRPr="00A84A8D">
              <w:t>Amount of cash out-flows expected for each year from year 1 to year 30, aggregated for the interval of years 31 to 40, aggregated for the interval of years 41 to 50 and aggregated for all the years after year 50.</w:t>
            </w:r>
          </w:p>
          <w:p w14:paraId="61A033CC" w14:textId="77777777" w:rsidR="003C17A3" w:rsidRPr="00A84A8D" w:rsidRDefault="003C17A3" w:rsidP="003C17A3">
            <w:pPr>
              <w:pStyle w:val="BodyLeft"/>
              <w:rPr>
                <w:rStyle w:val="Bold"/>
              </w:rPr>
            </w:pPr>
          </w:p>
        </w:tc>
      </w:tr>
      <w:tr w:rsidR="003C17A3" w:rsidRPr="00A84A8D" w14:paraId="43ABCEE3" w14:textId="77777777" w:rsidTr="003C17A3">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0C356C87" w14:textId="6106A845" w:rsidR="003C17A3" w:rsidRPr="00A84A8D" w:rsidRDefault="003C17A3" w:rsidP="003C17A3">
            <w:pPr>
              <w:rPr>
                <w:rFonts w:ascii="Verdana" w:hAnsi="Verdana"/>
              </w:rPr>
            </w:pPr>
            <w:r w:rsidRPr="00A84A8D">
              <w:rPr>
                <w:rFonts w:ascii="Verdana" w:hAnsi="Verdana"/>
              </w:rPr>
              <w:t>C0040/R0010– R0330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911DC7" w14:textId="74DB7356" w:rsidR="003C17A3" w:rsidRPr="00A84A8D" w:rsidRDefault="003C17A3" w:rsidP="003C17A3">
            <w:pPr>
              <w:pStyle w:val="BodyLeft"/>
            </w:pPr>
            <w:r w:rsidRPr="00A84A8D">
              <w:t xml:space="preserve">DC </w:t>
            </w:r>
            <w:r w:rsidR="003E38D0" w:rsidRPr="00A84A8D">
              <w:t xml:space="preserve">and other DB </w:t>
            </w:r>
            <w:r w:rsidRPr="00A84A8D">
              <w:t>Cash in-flows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23057F9" w14:textId="178A273A" w:rsidR="003C17A3" w:rsidRPr="00A84A8D" w:rsidRDefault="003C17A3" w:rsidP="003C17A3">
            <w:pPr>
              <w:pStyle w:val="BodyLeft"/>
            </w:pPr>
            <w:r w:rsidRPr="00A84A8D">
              <w:t>Amount of cash in–flows expected for each year from year 1 to year 30, aggregated for the interval of years 31 to 40, aggregated for the interval of years 41 to 50 and aggregated for all the years after year 50.</w:t>
            </w:r>
          </w:p>
        </w:tc>
      </w:tr>
    </w:tbl>
    <w:p w14:paraId="56DD7212" w14:textId="77777777" w:rsidR="00B957F4" w:rsidRPr="00A84A8D" w:rsidRDefault="00B957F4" w:rsidP="00B957F4">
      <w:pPr>
        <w:pStyle w:val="Heading4"/>
      </w:pPr>
    </w:p>
    <w:p w14:paraId="7C94C44A" w14:textId="77777777" w:rsidR="00B957F4" w:rsidRPr="00A84A8D" w:rsidRDefault="00B957F4" w:rsidP="00B957F4">
      <w:pPr>
        <w:pStyle w:val="Heading4"/>
      </w:pPr>
      <w:r w:rsidRPr="00A84A8D">
        <w:t>Member data</w:t>
      </w:r>
      <w:bookmarkEnd w:id="36"/>
      <w:bookmarkEnd w:id="37"/>
      <w:bookmarkEnd w:id="38"/>
      <w:r w:rsidRPr="00A84A8D">
        <w:t xml:space="preserve"> (PF.50.01.24 and PF.50.01.28)</w:t>
      </w:r>
    </w:p>
    <w:p w14:paraId="723B35A7" w14:textId="37D834E5" w:rsidR="00B957F4" w:rsidRPr="00A84A8D" w:rsidRDefault="00B957F4" w:rsidP="00B957F4">
      <w:pPr>
        <w:pStyle w:val="Heading4"/>
        <w:rPr>
          <w:b w:val="0"/>
        </w:rPr>
      </w:pPr>
      <w:r w:rsidRPr="00A84A8D">
        <w:rPr>
          <w:b w:val="0"/>
        </w:rPr>
        <w:t xml:space="preserve">For the purposes of providing individual and aggregate information at Member State level, NCAs shall submit the following information on an annual basis. </w:t>
      </w:r>
    </w:p>
    <w:p w14:paraId="648641B9" w14:textId="77777777" w:rsidR="00B957F4" w:rsidRPr="00A84A8D" w:rsidRDefault="00B957F4" w:rsidP="00B957F4">
      <w:pPr>
        <w:pStyle w:val="Heading4"/>
        <w:rPr>
          <w:rStyle w:val="Bold"/>
        </w:rPr>
      </w:pPr>
    </w:p>
    <w:tbl>
      <w:tblPr>
        <w:tblW w:w="9781" w:type="dxa"/>
        <w:tblInd w:w="-34" w:type="dxa"/>
        <w:tblLayout w:type="fixed"/>
        <w:tblLook w:val="04A0" w:firstRow="1" w:lastRow="0" w:firstColumn="1" w:lastColumn="0" w:noHBand="0" w:noVBand="1"/>
      </w:tblPr>
      <w:tblGrid>
        <w:gridCol w:w="2127"/>
        <w:gridCol w:w="2268"/>
        <w:gridCol w:w="5386"/>
      </w:tblGrid>
      <w:tr w:rsidR="00B957F4" w:rsidRPr="00A84A8D" w14:paraId="700708B3" w14:textId="77777777" w:rsidTr="00796D2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4525E"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92CE"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49438" w14:textId="77777777" w:rsidR="00B957F4" w:rsidRPr="00A84A8D" w:rsidRDefault="00B957F4" w:rsidP="00796D2F">
            <w:pPr>
              <w:pStyle w:val="BodyLeft"/>
              <w:rPr>
                <w:rStyle w:val="Bold"/>
              </w:rPr>
            </w:pPr>
            <w:r w:rsidRPr="00A84A8D">
              <w:rPr>
                <w:rStyle w:val="Bold"/>
              </w:rPr>
              <w:t>INSTRUCTIONS</w:t>
            </w:r>
          </w:p>
        </w:tc>
      </w:tr>
      <w:tr w:rsidR="00B957F4" w:rsidRPr="00A84A8D" w14:paraId="42728B94"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8E5AB7E" w14:textId="77777777" w:rsidR="00B957F4" w:rsidRPr="00A84A8D" w:rsidRDefault="00B957F4" w:rsidP="00796D2F">
            <w:pPr>
              <w:rPr>
                <w:rFonts w:ascii="Verdana" w:hAnsi="Verdana"/>
              </w:rPr>
            </w:pPr>
            <w:r w:rsidRPr="00A84A8D">
              <w:rPr>
                <w:rFonts w:ascii="Verdana" w:hAnsi="Verdana"/>
              </w:rPr>
              <w:t>C0010-C0040/R0010</w:t>
            </w:r>
          </w:p>
          <w:p w14:paraId="7DF0F356"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B42008" w14:textId="77777777" w:rsidR="00B957F4" w:rsidRPr="00A84A8D" w:rsidRDefault="00B957F4" w:rsidP="00796D2F">
            <w:pPr>
              <w:pStyle w:val="BodyLeft"/>
            </w:pPr>
            <w:r w:rsidRPr="00A84A8D">
              <w:t>Active members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3D9B10" w14:textId="77777777" w:rsidR="00B957F4" w:rsidRPr="00A84A8D" w:rsidRDefault="00B957F4" w:rsidP="00796D2F">
            <w:pPr>
              <w:pStyle w:val="BodyLeft"/>
            </w:pPr>
            <w:r w:rsidRPr="00A84A8D">
              <w:t>Total number of active members (code 48 70 4 according to Annex I of Regulation 250/2009). If active members participate in both DB and DC schemes of the IORP, an appropriate split needs to be applied.</w:t>
            </w:r>
          </w:p>
        </w:tc>
      </w:tr>
      <w:tr w:rsidR="00B957F4" w:rsidRPr="00A84A8D" w14:paraId="464DF273"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F6193A4" w14:textId="77777777" w:rsidR="00B957F4" w:rsidRPr="00A84A8D" w:rsidRDefault="00B957F4" w:rsidP="00796D2F">
            <w:pPr>
              <w:rPr>
                <w:rFonts w:ascii="Verdana" w:hAnsi="Verdana"/>
              </w:rPr>
            </w:pPr>
            <w:r w:rsidRPr="00A84A8D">
              <w:rPr>
                <w:rFonts w:ascii="Verdana" w:hAnsi="Verdana"/>
              </w:rPr>
              <w:t>C0010-C0040/R0020</w:t>
            </w:r>
          </w:p>
          <w:p w14:paraId="1D69E37B"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48A48D" w14:textId="77777777" w:rsidR="00B957F4" w:rsidRPr="00A84A8D" w:rsidRDefault="00B957F4" w:rsidP="00796D2F">
            <w:pPr>
              <w:pStyle w:val="BodyLeft"/>
            </w:pPr>
            <w:r w:rsidRPr="00A84A8D">
              <w:t>Deferred members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7DD77E9" w14:textId="77777777" w:rsidR="00B957F4" w:rsidRPr="00A84A8D" w:rsidRDefault="00B957F4" w:rsidP="00796D2F">
            <w:pPr>
              <w:pStyle w:val="BodyLeft"/>
            </w:pPr>
            <w:r w:rsidRPr="00A84A8D">
              <w:t>Total number of deferred members (code 48 70 5 according to Annex I of Regulation 250/2009).</w:t>
            </w:r>
            <w:r w:rsidRPr="00A84A8D">
              <w:rPr>
                <w:lang w:eastAsia="en-US"/>
              </w:rPr>
              <w:t xml:space="preserve"> </w:t>
            </w:r>
            <w:r w:rsidRPr="00A84A8D">
              <w:t>If deferred members participate in both DB and DC schemes of the IORP, an appropriate split needs to be applied.</w:t>
            </w:r>
          </w:p>
        </w:tc>
      </w:tr>
      <w:tr w:rsidR="00B957F4" w:rsidRPr="00A84A8D" w14:paraId="1AD9575D"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75AF73A" w14:textId="77777777" w:rsidR="00B957F4" w:rsidRPr="00A84A8D" w:rsidRDefault="00B957F4" w:rsidP="00796D2F">
            <w:pPr>
              <w:rPr>
                <w:rFonts w:ascii="Verdana" w:hAnsi="Verdana"/>
              </w:rPr>
            </w:pPr>
            <w:r w:rsidRPr="00A84A8D">
              <w:rPr>
                <w:rFonts w:ascii="Verdana" w:hAnsi="Verdana"/>
              </w:rPr>
              <w:t>C0010-C0040/R0030</w:t>
            </w:r>
          </w:p>
          <w:p w14:paraId="37CB308E"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12922E" w14:textId="77777777" w:rsidR="00B957F4" w:rsidRPr="00A84A8D" w:rsidRDefault="00B957F4" w:rsidP="00796D2F">
            <w:pPr>
              <w:pStyle w:val="BodyLeft"/>
            </w:pPr>
            <w:r w:rsidRPr="00A84A8D">
              <w:t>Beneficiaries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87E92FA" w14:textId="1C3F78C3" w:rsidR="00B957F4" w:rsidRPr="00A84A8D" w:rsidRDefault="00B957F4" w:rsidP="00796D2F">
            <w:pPr>
              <w:pStyle w:val="BodyLeft"/>
            </w:pPr>
            <w:r w:rsidRPr="00A84A8D">
              <w:t>Total number of beneficiaries</w:t>
            </w:r>
            <w:r w:rsidR="00AF6550" w:rsidRPr="00A84A8D">
              <w:t xml:space="preserve"> (retired members and other beneficiaries)</w:t>
            </w:r>
            <w:r w:rsidRPr="00A84A8D">
              <w:t>. If beneficiaries benefit from both DB and DC schemes of the IORP, an appropriate split needs to be applied.</w:t>
            </w:r>
          </w:p>
        </w:tc>
      </w:tr>
    </w:tbl>
    <w:p w14:paraId="1EF95CC2" w14:textId="77777777" w:rsidR="00B957F4" w:rsidRPr="00A84A8D" w:rsidRDefault="00B957F4" w:rsidP="00B957F4">
      <w:pPr>
        <w:pStyle w:val="Heading5"/>
        <w:rPr>
          <w:rStyle w:val="Bold"/>
          <w:rFonts w:ascii="Verdana" w:hAnsi="Verdana"/>
          <w:color w:val="auto"/>
        </w:rPr>
      </w:pPr>
      <w:r w:rsidRPr="00A84A8D">
        <w:rPr>
          <w:rStyle w:val="Bold"/>
          <w:rFonts w:ascii="Verdana" w:hAnsi="Verdana"/>
          <w:color w:val="auto"/>
        </w:rPr>
        <w:t>Flow data</w:t>
      </w:r>
    </w:p>
    <w:tbl>
      <w:tblPr>
        <w:tblW w:w="9781" w:type="dxa"/>
        <w:tblInd w:w="-34" w:type="dxa"/>
        <w:tblLayout w:type="fixed"/>
        <w:tblLook w:val="04A0" w:firstRow="1" w:lastRow="0" w:firstColumn="1" w:lastColumn="0" w:noHBand="0" w:noVBand="1"/>
      </w:tblPr>
      <w:tblGrid>
        <w:gridCol w:w="2127"/>
        <w:gridCol w:w="2268"/>
        <w:gridCol w:w="5386"/>
      </w:tblGrid>
      <w:tr w:rsidR="00B957F4" w:rsidRPr="00A84A8D" w14:paraId="6D737F93" w14:textId="77777777" w:rsidTr="00796D2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84D60"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D3FFB"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4D6F" w14:textId="77777777" w:rsidR="00B957F4" w:rsidRPr="00A84A8D" w:rsidRDefault="00B957F4" w:rsidP="00796D2F">
            <w:pPr>
              <w:pStyle w:val="BodyLeft"/>
              <w:rPr>
                <w:rStyle w:val="Bold"/>
              </w:rPr>
            </w:pPr>
            <w:r w:rsidRPr="00A84A8D">
              <w:rPr>
                <w:rStyle w:val="Bold"/>
              </w:rPr>
              <w:t>INSTRUCTIONS</w:t>
            </w:r>
          </w:p>
        </w:tc>
      </w:tr>
      <w:tr w:rsidR="00B957F4" w:rsidRPr="00A84A8D" w14:paraId="1E1B6163"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02F22BF5" w14:textId="77777777" w:rsidR="00B957F4" w:rsidRPr="00A84A8D" w:rsidRDefault="00B957F4" w:rsidP="00796D2F">
            <w:pPr>
              <w:rPr>
                <w:rFonts w:ascii="Verdana" w:hAnsi="Verdana"/>
              </w:rPr>
            </w:pPr>
            <w:r w:rsidRPr="00A84A8D">
              <w:rPr>
                <w:rFonts w:ascii="Verdana" w:hAnsi="Verdana"/>
              </w:rPr>
              <w:t>C0010-C0040/R0040</w:t>
            </w:r>
          </w:p>
          <w:p w14:paraId="1F8D0BBB"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07C17B" w14:textId="77777777" w:rsidR="00B957F4" w:rsidRPr="00A84A8D" w:rsidRDefault="00B957F4" w:rsidP="00796D2F">
            <w:pPr>
              <w:pStyle w:val="BodyLeft"/>
            </w:pPr>
            <w:r w:rsidRPr="00A84A8D">
              <w:t>New members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1964D2C" w14:textId="77777777" w:rsidR="00B957F4" w:rsidRPr="00A84A8D" w:rsidRDefault="00B957F4" w:rsidP="00796D2F">
            <w:pPr>
              <w:pStyle w:val="BodyLeft"/>
            </w:pPr>
            <w:r w:rsidRPr="00A84A8D">
              <w:t>Active members that have joined in the reporting period.</w:t>
            </w:r>
          </w:p>
        </w:tc>
      </w:tr>
      <w:tr w:rsidR="00B957F4" w:rsidRPr="00A84A8D" w14:paraId="64B59356"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B73CE20" w14:textId="77777777" w:rsidR="00B957F4" w:rsidRPr="00A84A8D" w:rsidRDefault="00B957F4" w:rsidP="00796D2F">
            <w:pPr>
              <w:rPr>
                <w:rFonts w:ascii="Verdana" w:hAnsi="Verdana"/>
              </w:rPr>
            </w:pPr>
            <w:r w:rsidRPr="00A84A8D">
              <w:rPr>
                <w:rFonts w:ascii="Verdana" w:hAnsi="Verdana"/>
              </w:rPr>
              <w:t>C0010-C0040/R0050</w:t>
            </w:r>
          </w:p>
          <w:p w14:paraId="44B75177"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BD2E64" w14:textId="77777777" w:rsidR="00B957F4" w:rsidRPr="00A84A8D" w:rsidRDefault="00B957F4" w:rsidP="00796D2F">
            <w:pPr>
              <w:pStyle w:val="BodyLeft"/>
            </w:pPr>
            <w:r w:rsidRPr="00A84A8D">
              <w:t>Deaths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A9808E" w14:textId="77777777" w:rsidR="00B957F4" w:rsidRPr="00A84A8D" w:rsidRDefault="00B957F4" w:rsidP="00796D2F">
            <w:pPr>
              <w:pStyle w:val="BodyLeft"/>
            </w:pPr>
            <w:r w:rsidRPr="00A84A8D">
              <w:t>Members that have died in the reporting period.</w:t>
            </w:r>
          </w:p>
        </w:tc>
      </w:tr>
      <w:tr w:rsidR="00B957F4" w:rsidRPr="00A84A8D" w14:paraId="360B5094"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4E23C96" w14:textId="77777777" w:rsidR="00B957F4" w:rsidRPr="00A84A8D" w:rsidRDefault="00B957F4" w:rsidP="00796D2F">
            <w:pPr>
              <w:rPr>
                <w:rFonts w:ascii="Verdana" w:hAnsi="Verdana"/>
              </w:rPr>
            </w:pPr>
            <w:r w:rsidRPr="00A84A8D">
              <w:rPr>
                <w:rFonts w:ascii="Verdana" w:hAnsi="Verdana"/>
              </w:rPr>
              <w:t>C0010-C0040/R0060</w:t>
            </w:r>
          </w:p>
          <w:p w14:paraId="163B010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A2A49B" w14:textId="77777777" w:rsidR="00B957F4" w:rsidRPr="00A84A8D" w:rsidRDefault="00B957F4" w:rsidP="00796D2F">
            <w:pPr>
              <w:pStyle w:val="BodyLeft"/>
            </w:pPr>
            <w:r w:rsidRPr="00A84A8D">
              <w:t>Commutations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91CA51" w14:textId="77777777" w:rsidR="00B957F4" w:rsidRPr="00A84A8D" w:rsidRDefault="00B957F4" w:rsidP="00796D2F">
            <w:pPr>
              <w:pStyle w:val="BodyLeft"/>
            </w:pPr>
            <w:r w:rsidRPr="00A84A8D">
              <w:t>Active or deferred members that are giving up part or all of their claims in exchange for a one-off payment.</w:t>
            </w:r>
          </w:p>
        </w:tc>
      </w:tr>
      <w:tr w:rsidR="00B957F4" w:rsidRPr="00A84A8D" w14:paraId="440C4730"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B1F1EB8" w14:textId="77777777" w:rsidR="00B957F4" w:rsidRPr="00A84A8D" w:rsidRDefault="00B957F4" w:rsidP="00796D2F">
            <w:pPr>
              <w:rPr>
                <w:rFonts w:ascii="Verdana" w:hAnsi="Verdana"/>
              </w:rPr>
            </w:pPr>
            <w:r w:rsidRPr="00A84A8D">
              <w:rPr>
                <w:rFonts w:ascii="Verdana" w:hAnsi="Verdana"/>
              </w:rPr>
              <w:t>C0010-C0040/R0070</w:t>
            </w:r>
          </w:p>
          <w:p w14:paraId="23EA7AB2"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71D042" w14:textId="77777777" w:rsidR="00B957F4" w:rsidRPr="00A84A8D" w:rsidRDefault="00B957F4" w:rsidP="00796D2F">
            <w:pPr>
              <w:pStyle w:val="BodyLeft"/>
            </w:pPr>
            <w:r w:rsidRPr="00A84A8D">
              <w:t>Other exits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4F6CC3" w14:textId="77777777" w:rsidR="00B957F4" w:rsidRPr="00A84A8D" w:rsidRDefault="00B957F4" w:rsidP="00796D2F">
            <w:pPr>
              <w:pStyle w:val="BodyLeft"/>
            </w:pPr>
            <w:r w:rsidRPr="00A84A8D">
              <w:t>Active or deferred members leaving for reasons other than mentioned elsewhere.</w:t>
            </w:r>
          </w:p>
        </w:tc>
      </w:tr>
      <w:tr w:rsidR="00B957F4" w:rsidRPr="00A84A8D" w14:paraId="46DA7185"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613C7D1" w14:textId="77777777" w:rsidR="00B957F4" w:rsidRPr="00A84A8D" w:rsidRDefault="00B957F4" w:rsidP="00796D2F">
            <w:pPr>
              <w:rPr>
                <w:rFonts w:ascii="Verdana" w:hAnsi="Verdana"/>
              </w:rPr>
            </w:pPr>
            <w:r w:rsidRPr="00A84A8D">
              <w:rPr>
                <w:rFonts w:ascii="Verdana" w:hAnsi="Verdana"/>
              </w:rPr>
              <w:t>C0010-C0040/R0080</w:t>
            </w:r>
          </w:p>
          <w:p w14:paraId="5FE56C6C"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7D60B8" w14:textId="77777777" w:rsidR="00B957F4" w:rsidRPr="00A84A8D" w:rsidRDefault="00B957F4" w:rsidP="00796D2F">
            <w:pPr>
              <w:pStyle w:val="BodyLeft"/>
            </w:pPr>
            <w:r w:rsidRPr="00A84A8D">
              <w:t>New beneficiaries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7F46BDB" w14:textId="77777777" w:rsidR="00B957F4" w:rsidRPr="00A84A8D" w:rsidRDefault="00B957F4" w:rsidP="00796D2F">
            <w:pPr>
              <w:pStyle w:val="BodyLeft"/>
            </w:pPr>
            <w:r w:rsidRPr="00A84A8D">
              <w:t>Total number of new beneficiaries in the reporting period.</w:t>
            </w:r>
          </w:p>
        </w:tc>
      </w:tr>
      <w:tr w:rsidR="00B957F4" w:rsidRPr="00A84A8D" w14:paraId="5D970777"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541E7AA" w14:textId="77777777" w:rsidR="00B957F4" w:rsidRPr="00A84A8D" w:rsidRDefault="00B957F4" w:rsidP="00796D2F">
            <w:pPr>
              <w:rPr>
                <w:rFonts w:ascii="Verdana" w:hAnsi="Verdana"/>
              </w:rPr>
            </w:pPr>
            <w:r w:rsidRPr="00A84A8D">
              <w:rPr>
                <w:rFonts w:ascii="Verdana" w:hAnsi="Verdana"/>
              </w:rPr>
              <w:t>C0010-C0040/R0090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613143" w14:textId="77777777" w:rsidR="00B957F4" w:rsidRPr="00A84A8D" w:rsidRDefault="00B957F4" w:rsidP="00796D2F">
            <w:pPr>
              <w:pStyle w:val="BodyLeft"/>
            </w:pPr>
            <w:r w:rsidRPr="00A84A8D">
              <w:t>Of which new retired members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7AB9C47" w14:textId="77777777" w:rsidR="00B957F4" w:rsidRPr="00A84A8D" w:rsidRDefault="00B957F4" w:rsidP="00796D2F">
            <w:pPr>
              <w:pStyle w:val="BodyLeft"/>
            </w:pPr>
            <w:r w:rsidRPr="00A84A8D">
              <w:t>Active and deferred members that have retired over the past year.</w:t>
            </w:r>
          </w:p>
        </w:tc>
      </w:tr>
    </w:tbl>
    <w:p w14:paraId="06063880" w14:textId="77777777" w:rsidR="00B957F4" w:rsidRPr="00A84A8D" w:rsidRDefault="00B957F4" w:rsidP="00B957F4">
      <w:pPr>
        <w:pStyle w:val="Heading4"/>
      </w:pPr>
      <w:bookmarkStart w:id="39" w:name="_Toc484604324"/>
      <w:bookmarkStart w:id="40" w:name="_Toc484788334"/>
      <w:bookmarkStart w:id="41" w:name="_Toc485028009"/>
    </w:p>
    <w:p w14:paraId="37B238ED" w14:textId="77777777" w:rsidR="00B957F4" w:rsidRPr="00A84A8D" w:rsidRDefault="00B957F4" w:rsidP="00B957F4">
      <w:pPr>
        <w:pStyle w:val="Heading4"/>
      </w:pPr>
      <w:r w:rsidRPr="00A84A8D">
        <w:t>Contributions, benefits paid and transfers</w:t>
      </w:r>
      <w:bookmarkEnd w:id="39"/>
      <w:bookmarkEnd w:id="40"/>
      <w:bookmarkEnd w:id="41"/>
      <w:r w:rsidRPr="00A84A8D">
        <w:t xml:space="preserve"> (PF.51.01.24 and PF.51.01.28)</w:t>
      </w:r>
    </w:p>
    <w:p w14:paraId="0A9C1D83" w14:textId="77777777" w:rsidR="006E03ED" w:rsidRPr="00A84A8D" w:rsidRDefault="00B957F4" w:rsidP="00B957F4">
      <w:pPr>
        <w:pStyle w:val="Heading4"/>
        <w:rPr>
          <w:b w:val="0"/>
        </w:rPr>
      </w:pPr>
      <w:r w:rsidRPr="00A84A8D">
        <w:rPr>
          <w:b w:val="0"/>
        </w:rPr>
        <w:t>For the purposes of providing individual and aggregate information at Member State level, NCAs shall submit the following information on an annual basis.</w:t>
      </w:r>
    </w:p>
    <w:p w14:paraId="4B3EBF4D" w14:textId="1B729526" w:rsidR="00B957F4" w:rsidRPr="00A84A8D" w:rsidRDefault="006E03ED" w:rsidP="00B957F4">
      <w:pPr>
        <w:pStyle w:val="Heading4"/>
        <w:rPr>
          <w:b w:val="0"/>
        </w:rPr>
      </w:pPr>
      <w:r w:rsidRPr="00A84A8D">
        <w:rPr>
          <w:b w:val="0"/>
        </w:rPr>
        <w:t>Items shall be reported with positive values unless these are negative contributions/payments.</w:t>
      </w:r>
      <w:r w:rsidR="00B957F4" w:rsidRPr="00A84A8D">
        <w:rPr>
          <w:b w:val="0"/>
        </w:rPr>
        <w:t xml:space="preserve"> </w:t>
      </w:r>
    </w:p>
    <w:p w14:paraId="413DD9B2" w14:textId="77777777" w:rsidR="00B957F4" w:rsidRPr="00897EF2" w:rsidRDefault="00B957F4" w:rsidP="00B957F4">
      <w:pPr>
        <w:pStyle w:val="Heading5"/>
        <w:rPr>
          <w:rStyle w:val="Bold"/>
          <w:rFonts w:ascii="Verdana" w:hAnsi="Verdana"/>
          <w:color w:val="auto"/>
        </w:rPr>
      </w:pPr>
      <w:r w:rsidRPr="00897EF2">
        <w:rPr>
          <w:rStyle w:val="Bold"/>
          <w:rFonts w:ascii="Verdana" w:hAnsi="Verdana"/>
          <w:color w:val="auto"/>
        </w:rPr>
        <w:t>Contributions</w:t>
      </w:r>
    </w:p>
    <w:tbl>
      <w:tblPr>
        <w:tblW w:w="9781" w:type="dxa"/>
        <w:tblInd w:w="-34" w:type="dxa"/>
        <w:tblLayout w:type="fixed"/>
        <w:tblLook w:val="04A0" w:firstRow="1" w:lastRow="0" w:firstColumn="1" w:lastColumn="0" w:noHBand="0" w:noVBand="1"/>
      </w:tblPr>
      <w:tblGrid>
        <w:gridCol w:w="2127"/>
        <w:gridCol w:w="2268"/>
        <w:gridCol w:w="5386"/>
      </w:tblGrid>
      <w:tr w:rsidR="00B957F4" w:rsidRPr="00A84A8D" w14:paraId="07182F5F" w14:textId="77777777" w:rsidTr="00796D2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54AA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D72A3"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390D6" w14:textId="77777777" w:rsidR="00B957F4" w:rsidRPr="00A84A8D" w:rsidRDefault="00B957F4" w:rsidP="00796D2F">
            <w:pPr>
              <w:pStyle w:val="BodyLeft"/>
              <w:rPr>
                <w:rStyle w:val="Bold"/>
              </w:rPr>
            </w:pPr>
            <w:r w:rsidRPr="00A84A8D">
              <w:rPr>
                <w:rStyle w:val="Bold"/>
              </w:rPr>
              <w:t>INSTRUCTIONS</w:t>
            </w:r>
          </w:p>
        </w:tc>
      </w:tr>
      <w:tr w:rsidR="00B957F4" w:rsidRPr="00A84A8D" w14:paraId="75B8D010"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5DE09E1" w14:textId="77777777" w:rsidR="00B957F4" w:rsidRPr="00A84A8D" w:rsidRDefault="00B957F4" w:rsidP="00796D2F">
            <w:pPr>
              <w:rPr>
                <w:rFonts w:ascii="Verdana" w:hAnsi="Verdana"/>
              </w:rPr>
            </w:pPr>
            <w:r w:rsidRPr="00A84A8D">
              <w:rPr>
                <w:rFonts w:ascii="Verdana" w:hAnsi="Verdana"/>
              </w:rPr>
              <w:t>C0010-C0040/R0010</w:t>
            </w:r>
          </w:p>
          <w:p w14:paraId="722DE9AE"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6ABC75" w14:textId="77777777" w:rsidR="00B957F4" w:rsidRPr="00A84A8D" w:rsidRDefault="00B957F4" w:rsidP="00796D2F">
            <w:pPr>
              <w:pStyle w:val="BodyLeft"/>
            </w:pPr>
            <w:r w:rsidRPr="00A84A8D">
              <w:t>Total gross contributions receivable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7CCC546" w14:textId="77777777" w:rsidR="00B957F4" w:rsidRPr="00A84A8D" w:rsidRDefault="00B957F4" w:rsidP="00796D2F">
            <w:pPr>
              <w:pStyle w:val="BodyLeft"/>
            </w:pPr>
            <w:r w:rsidRPr="00A84A8D">
              <w:t>Total value of contributions receivable during the reporting period.</w:t>
            </w:r>
          </w:p>
        </w:tc>
      </w:tr>
      <w:tr w:rsidR="00B957F4" w:rsidRPr="00A84A8D" w14:paraId="32498E4F"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E12FA83" w14:textId="77777777" w:rsidR="00B957F4" w:rsidRPr="00A84A8D" w:rsidRDefault="00B957F4" w:rsidP="00796D2F">
            <w:pPr>
              <w:rPr>
                <w:rFonts w:ascii="Verdana" w:hAnsi="Verdana"/>
              </w:rPr>
            </w:pPr>
            <w:r w:rsidRPr="00A84A8D">
              <w:rPr>
                <w:rFonts w:ascii="Verdana" w:hAnsi="Verdana"/>
              </w:rPr>
              <w:t>C0010-C0040/R0020</w:t>
            </w:r>
          </w:p>
          <w:p w14:paraId="49214171"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D85B54" w14:textId="77777777" w:rsidR="00B957F4" w:rsidRPr="00A84A8D" w:rsidRDefault="00B957F4" w:rsidP="00796D2F">
            <w:pPr>
              <w:pStyle w:val="BodyLeft"/>
            </w:pPr>
            <w:r w:rsidRPr="00A84A8D">
              <w:t>Contributions by members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6345FBC" w14:textId="77777777" w:rsidR="00B957F4" w:rsidRPr="00A84A8D" w:rsidRDefault="00B957F4" w:rsidP="00796D2F">
            <w:pPr>
              <w:pStyle w:val="BodyLeft"/>
            </w:pPr>
            <w:r w:rsidRPr="00A84A8D">
              <w:t>Contributions receivable from members (code 48 00 1 according to Annex I of Regulation 250/2009).</w:t>
            </w:r>
          </w:p>
        </w:tc>
      </w:tr>
      <w:tr w:rsidR="00B957F4" w:rsidRPr="00A84A8D" w14:paraId="087FA6F5"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AE52C76" w14:textId="77777777" w:rsidR="00B957F4" w:rsidRPr="00A84A8D" w:rsidRDefault="00B957F4" w:rsidP="00796D2F">
            <w:pPr>
              <w:rPr>
                <w:rFonts w:ascii="Verdana" w:hAnsi="Verdana"/>
              </w:rPr>
            </w:pPr>
            <w:r w:rsidRPr="00A84A8D">
              <w:rPr>
                <w:rFonts w:ascii="Verdana" w:hAnsi="Verdana"/>
              </w:rPr>
              <w:t>C0010-C0040/R0030</w:t>
            </w:r>
          </w:p>
          <w:p w14:paraId="54E79ACF"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2ADF46" w14:textId="77777777" w:rsidR="00B957F4" w:rsidRPr="00A84A8D" w:rsidRDefault="00B957F4" w:rsidP="00796D2F">
            <w:pPr>
              <w:pStyle w:val="BodyLeft"/>
            </w:pPr>
            <w:r w:rsidRPr="00A84A8D">
              <w:t>Contributions by sponsors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BC465BC" w14:textId="77777777" w:rsidR="00B957F4" w:rsidRPr="00A84A8D" w:rsidRDefault="00B957F4" w:rsidP="00796D2F">
            <w:pPr>
              <w:pStyle w:val="BodyLeft"/>
            </w:pPr>
            <w:r w:rsidRPr="00A84A8D">
              <w:t>Contributions receivable from sponsors (code 48 00 2 according to Annex I of Regulation 250/2009).</w:t>
            </w:r>
          </w:p>
        </w:tc>
      </w:tr>
      <w:tr w:rsidR="00B957F4" w:rsidRPr="00A84A8D" w14:paraId="4C97C09E"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434A753" w14:textId="77777777" w:rsidR="00B957F4" w:rsidRPr="00A84A8D" w:rsidRDefault="00B957F4" w:rsidP="00796D2F">
            <w:pPr>
              <w:rPr>
                <w:rFonts w:ascii="Verdana" w:hAnsi="Verdana"/>
              </w:rPr>
            </w:pPr>
            <w:r w:rsidRPr="00A84A8D">
              <w:rPr>
                <w:rFonts w:ascii="Verdana" w:hAnsi="Verdana"/>
              </w:rPr>
              <w:t>C0010-C0040/R0040</w:t>
            </w:r>
          </w:p>
          <w:p w14:paraId="1303D5F9"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347B7D" w14:textId="77777777" w:rsidR="00B957F4" w:rsidRPr="00A84A8D" w:rsidRDefault="00B957F4" w:rsidP="00796D2F">
            <w:pPr>
              <w:pStyle w:val="BodyLeft"/>
            </w:pPr>
            <w:r w:rsidRPr="00A84A8D">
              <w:t>Reinsurance contributions ceded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9722F92" w14:textId="77777777" w:rsidR="00B957F4" w:rsidRPr="00A84A8D" w:rsidRDefault="00B957F4" w:rsidP="00796D2F">
            <w:pPr>
              <w:pStyle w:val="BodyLeft"/>
            </w:pPr>
            <w:r w:rsidRPr="00A84A8D">
              <w:t>Insurance premiums payable for risks ceded to insurance or reinsurance enterprises (code 48 05 0 according to Annex I of Regulation 250/2009).</w:t>
            </w:r>
          </w:p>
        </w:tc>
      </w:tr>
      <w:tr w:rsidR="00B957F4" w:rsidRPr="00A84A8D" w14:paraId="425087DE"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4C5394C" w14:textId="77777777" w:rsidR="00B957F4" w:rsidRPr="00A84A8D" w:rsidRDefault="00B957F4" w:rsidP="00796D2F">
            <w:pPr>
              <w:rPr>
                <w:rFonts w:ascii="Verdana" w:hAnsi="Verdana"/>
              </w:rPr>
            </w:pPr>
            <w:r w:rsidRPr="00A84A8D">
              <w:rPr>
                <w:rFonts w:ascii="Verdana" w:hAnsi="Verdana"/>
              </w:rPr>
              <w:t>C0010-C0040/R0050</w:t>
            </w:r>
          </w:p>
          <w:p w14:paraId="4D3418E3"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AB951A" w14:textId="77777777" w:rsidR="00B957F4" w:rsidRPr="00A84A8D" w:rsidRDefault="00B957F4" w:rsidP="00796D2F">
            <w:pPr>
              <w:pStyle w:val="BodyLeft"/>
            </w:pPr>
            <w:r w:rsidRPr="00A84A8D">
              <w:t>Total net contributions receivable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840213" w14:textId="77777777" w:rsidR="00B957F4" w:rsidRPr="00A84A8D" w:rsidRDefault="00B957F4" w:rsidP="00796D2F">
            <w:pPr>
              <w:pStyle w:val="BodyLeft"/>
            </w:pPr>
            <w:r w:rsidRPr="00A84A8D">
              <w:t>Total value of contributions receivable during the reporting period less reinsurance contributions ceded.</w:t>
            </w:r>
          </w:p>
        </w:tc>
      </w:tr>
    </w:tbl>
    <w:p w14:paraId="267917F5" w14:textId="77777777" w:rsidR="00B957F4" w:rsidRPr="00A84A8D" w:rsidRDefault="00B957F4" w:rsidP="00B957F4">
      <w:pPr>
        <w:pStyle w:val="Heading5"/>
        <w:rPr>
          <w:rStyle w:val="Bold"/>
          <w:rFonts w:ascii="Verdana" w:hAnsi="Verdana"/>
          <w:color w:val="auto"/>
        </w:rPr>
      </w:pPr>
      <w:r w:rsidRPr="00A84A8D">
        <w:rPr>
          <w:rStyle w:val="Bold"/>
          <w:rFonts w:ascii="Verdana" w:hAnsi="Verdana"/>
          <w:color w:val="auto"/>
        </w:rPr>
        <w:t>Benefits payments</w:t>
      </w:r>
    </w:p>
    <w:tbl>
      <w:tblPr>
        <w:tblW w:w="9781" w:type="dxa"/>
        <w:tblInd w:w="-34" w:type="dxa"/>
        <w:tblLayout w:type="fixed"/>
        <w:tblLook w:val="04A0" w:firstRow="1" w:lastRow="0" w:firstColumn="1" w:lastColumn="0" w:noHBand="0" w:noVBand="1"/>
      </w:tblPr>
      <w:tblGrid>
        <w:gridCol w:w="2127"/>
        <w:gridCol w:w="2268"/>
        <w:gridCol w:w="5386"/>
      </w:tblGrid>
      <w:tr w:rsidR="00B957F4" w:rsidRPr="00A84A8D" w14:paraId="600B9C67" w14:textId="77777777" w:rsidTr="00796D2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8D059"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D9E9B"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A6398" w14:textId="77777777" w:rsidR="00B957F4" w:rsidRPr="00A84A8D" w:rsidRDefault="00B957F4" w:rsidP="00796D2F">
            <w:pPr>
              <w:pStyle w:val="BodyLeft"/>
              <w:rPr>
                <w:rStyle w:val="Bold"/>
              </w:rPr>
            </w:pPr>
            <w:r w:rsidRPr="00A84A8D">
              <w:rPr>
                <w:rStyle w:val="Bold"/>
              </w:rPr>
              <w:t>INSTRUCTIONS</w:t>
            </w:r>
          </w:p>
        </w:tc>
      </w:tr>
      <w:tr w:rsidR="00B957F4" w:rsidRPr="00A84A8D" w14:paraId="5C1FE777"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87C019F" w14:textId="77777777" w:rsidR="00B957F4" w:rsidRPr="00A84A8D" w:rsidRDefault="00B957F4" w:rsidP="00796D2F">
            <w:pPr>
              <w:rPr>
                <w:rFonts w:ascii="Verdana" w:hAnsi="Verdana"/>
              </w:rPr>
            </w:pPr>
            <w:r w:rsidRPr="00A84A8D">
              <w:rPr>
                <w:rFonts w:ascii="Verdana" w:hAnsi="Verdana"/>
              </w:rPr>
              <w:t>C0010-C0040/R0060</w:t>
            </w:r>
          </w:p>
          <w:p w14:paraId="08570150"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DA17A8" w14:textId="77777777" w:rsidR="00B957F4" w:rsidRPr="00A84A8D" w:rsidRDefault="00B957F4" w:rsidP="00796D2F">
            <w:pPr>
              <w:pStyle w:val="BodyLeft"/>
            </w:pPr>
            <w:r w:rsidRPr="00A84A8D">
              <w:t>Total gross benefits payable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5CA4759" w14:textId="77777777" w:rsidR="00B957F4" w:rsidRPr="00A84A8D" w:rsidRDefault="00B957F4" w:rsidP="00796D2F">
            <w:pPr>
              <w:pStyle w:val="BodyLeft"/>
            </w:pPr>
            <w:r w:rsidRPr="00A84A8D">
              <w:t xml:space="preserve">Total value of benefits paid, gross of reinsurance payments received. </w:t>
            </w:r>
          </w:p>
        </w:tc>
      </w:tr>
      <w:tr w:rsidR="00B957F4" w:rsidRPr="00A84A8D" w14:paraId="26451059"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EFF9AAB" w14:textId="77777777" w:rsidR="00B957F4" w:rsidRPr="00A84A8D" w:rsidRDefault="00B957F4" w:rsidP="00796D2F">
            <w:pPr>
              <w:rPr>
                <w:rFonts w:ascii="Verdana" w:hAnsi="Verdana"/>
              </w:rPr>
            </w:pPr>
            <w:r w:rsidRPr="00A84A8D">
              <w:rPr>
                <w:rFonts w:ascii="Verdana" w:hAnsi="Verdana"/>
              </w:rPr>
              <w:t>C0010-C0040/R0070</w:t>
            </w:r>
          </w:p>
          <w:p w14:paraId="3EDD752D"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E51E22" w14:textId="77777777" w:rsidR="00B957F4" w:rsidRPr="00A84A8D" w:rsidRDefault="00B957F4" w:rsidP="00796D2F">
            <w:pPr>
              <w:pStyle w:val="BodyLeft"/>
            </w:pPr>
            <w:r w:rsidRPr="00A84A8D">
              <w:t>of which Gross benefits payable for retirement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0C1CF94" w14:textId="77777777" w:rsidR="00B957F4" w:rsidRPr="00A84A8D" w:rsidRDefault="00B957F4" w:rsidP="00796D2F">
            <w:pPr>
              <w:pStyle w:val="BodyLeft"/>
            </w:pPr>
            <w:r w:rsidRPr="00A84A8D">
              <w:t xml:space="preserve">Total value of benefits paid for retirement purposes. </w:t>
            </w:r>
          </w:p>
        </w:tc>
      </w:tr>
      <w:tr w:rsidR="00B957F4" w:rsidRPr="00A84A8D" w14:paraId="42F0EF6A"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290E6EC" w14:textId="77777777" w:rsidR="00B957F4" w:rsidRPr="00A84A8D" w:rsidRDefault="00B957F4" w:rsidP="00796D2F">
            <w:pPr>
              <w:rPr>
                <w:rFonts w:ascii="Verdana" w:hAnsi="Verdana"/>
              </w:rPr>
            </w:pPr>
            <w:r w:rsidRPr="00A84A8D">
              <w:rPr>
                <w:rFonts w:ascii="Verdana" w:hAnsi="Verdana"/>
              </w:rPr>
              <w:t>C0010-C0040/R0080</w:t>
            </w:r>
          </w:p>
          <w:p w14:paraId="4BF7C0BD"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AA0273" w14:textId="77777777" w:rsidR="00B957F4" w:rsidRPr="00A84A8D" w:rsidRDefault="00B957F4" w:rsidP="00796D2F">
            <w:pPr>
              <w:pStyle w:val="BodyLeft"/>
            </w:pPr>
            <w:r w:rsidRPr="00A84A8D">
              <w:t>of which Gross benefits payable - other benefit payments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72CF647" w14:textId="77777777" w:rsidR="00B957F4" w:rsidRPr="00A84A8D" w:rsidRDefault="00B957F4" w:rsidP="00796D2F">
            <w:pPr>
              <w:pStyle w:val="BodyLeft"/>
            </w:pPr>
            <w:r w:rsidRPr="00A84A8D">
              <w:t>Total value of benefits paid for other purposes than those mentioned elsewhere.</w:t>
            </w:r>
          </w:p>
        </w:tc>
      </w:tr>
      <w:tr w:rsidR="00B957F4" w:rsidRPr="00A84A8D" w14:paraId="4B334148"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01D8562" w14:textId="77777777" w:rsidR="00B957F4" w:rsidRPr="00A84A8D" w:rsidRDefault="00B957F4" w:rsidP="00796D2F">
            <w:pPr>
              <w:rPr>
                <w:rFonts w:ascii="Verdana" w:hAnsi="Verdana"/>
              </w:rPr>
            </w:pPr>
            <w:r w:rsidRPr="00A84A8D">
              <w:rPr>
                <w:rFonts w:ascii="Verdana" w:hAnsi="Verdana"/>
              </w:rPr>
              <w:t>C0010-C0040/R0090</w:t>
            </w:r>
          </w:p>
          <w:p w14:paraId="7792CC33"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B0CB4B" w14:textId="77777777" w:rsidR="00B957F4" w:rsidRPr="00A84A8D" w:rsidRDefault="00B957F4" w:rsidP="00796D2F">
            <w:pPr>
              <w:pStyle w:val="BodyLeft"/>
            </w:pPr>
            <w:r w:rsidRPr="00A84A8D">
              <w:t>Reinsurance benefits receivable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A73E55E" w14:textId="77777777" w:rsidR="00B957F4" w:rsidRPr="00A84A8D" w:rsidRDefault="00B957F4" w:rsidP="00796D2F">
            <w:pPr>
              <w:pStyle w:val="BodyLeft"/>
            </w:pPr>
            <w:r w:rsidRPr="00A84A8D">
              <w:t>Claims receivable from insurance or reinsurance enterprises related to risks ceded (code 48 02 1 according to Annex I of Regulation 250/2009).</w:t>
            </w:r>
          </w:p>
        </w:tc>
      </w:tr>
      <w:tr w:rsidR="00B957F4" w:rsidRPr="00A84A8D" w14:paraId="224D9EA5"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085C43FF" w14:textId="77777777" w:rsidR="00B957F4" w:rsidRPr="00A84A8D" w:rsidRDefault="00B957F4" w:rsidP="00796D2F">
            <w:pPr>
              <w:rPr>
                <w:rFonts w:ascii="Verdana" w:hAnsi="Verdana"/>
              </w:rPr>
            </w:pPr>
            <w:r w:rsidRPr="00A84A8D">
              <w:rPr>
                <w:rFonts w:ascii="Verdana" w:hAnsi="Verdana"/>
              </w:rPr>
              <w:t>C0010-C0040/R0100</w:t>
            </w:r>
          </w:p>
          <w:p w14:paraId="56A94322"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8163B7" w14:textId="77777777" w:rsidR="00B957F4" w:rsidRPr="00A84A8D" w:rsidRDefault="00B957F4" w:rsidP="00796D2F">
            <w:pPr>
              <w:pStyle w:val="BodyLeft"/>
            </w:pPr>
            <w:r w:rsidRPr="00A84A8D">
              <w:t>Total net benefits payable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DB40B2" w14:textId="77777777" w:rsidR="00B957F4" w:rsidRPr="00A84A8D" w:rsidRDefault="00B957F4" w:rsidP="00796D2F">
            <w:pPr>
              <w:pStyle w:val="BodyLeft"/>
            </w:pPr>
            <w:r w:rsidRPr="00A84A8D">
              <w:t xml:space="preserve">Total value of benefits </w:t>
            </w:r>
            <w:proofErr w:type="gramStart"/>
            <w:r w:rsidRPr="00A84A8D">
              <w:t>paid,</w:t>
            </w:r>
            <w:proofErr w:type="gramEnd"/>
            <w:r w:rsidRPr="00A84A8D">
              <w:t xml:space="preserve"> net of reinsurance payments received.</w:t>
            </w:r>
          </w:p>
        </w:tc>
      </w:tr>
    </w:tbl>
    <w:p w14:paraId="16CBD957" w14:textId="77777777" w:rsidR="00B957F4" w:rsidRPr="00A84A8D" w:rsidRDefault="00B957F4" w:rsidP="00B957F4">
      <w:pPr>
        <w:pStyle w:val="Heading5"/>
        <w:rPr>
          <w:rStyle w:val="Bold"/>
          <w:rFonts w:ascii="Verdana" w:hAnsi="Verdana"/>
          <w:color w:val="auto"/>
        </w:rPr>
      </w:pPr>
      <w:r w:rsidRPr="00A84A8D">
        <w:rPr>
          <w:rStyle w:val="Bold"/>
          <w:rFonts w:ascii="Verdana" w:hAnsi="Verdana"/>
          <w:color w:val="auto"/>
        </w:rPr>
        <w:t>Transfers</w:t>
      </w:r>
    </w:p>
    <w:tbl>
      <w:tblPr>
        <w:tblW w:w="9781" w:type="dxa"/>
        <w:tblInd w:w="-34" w:type="dxa"/>
        <w:tblLayout w:type="fixed"/>
        <w:tblLook w:val="04A0" w:firstRow="1" w:lastRow="0" w:firstColumn="1" w:lastColumn="0" w:noHBand="0" w:noVBand="1"/>
      </w:tblPr>
      <w:tblGrid>
        <w:gridCol w:w="2127"/>
        <w:gridCol w:w="2268"/>
        <w:gridCol w:w="5386"/>
      </w:tblGrid>
      <w:tr w:rsidR="00B957F4" w:rsidRPr="00A84A8D" w14:paraId="754E6C33" w14:textId="77777777" w:rsidTr="00796D2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D9754"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33840" w14:textId="77777777" w:rsidR="00B957F4" w:rsidRPr="00A84A8D" w:rsidRDefault="00B957F4" w:rsidP="00796D2F">
            <w:pPr>
              <w:pStyle w:val="BodyLeft"/>
              <w:rPr>
                <w:rStyle w:val="Bold"/>
              </w:rPr>
            </w:pPr>
            <w:r w:rsidRPr="00A84A8D">
              <w:rPr>
                <w:rStyle w:val="Bold"/>
              </w:rPr>
              <w:t>ITEM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1B4B5" w14:textId="77777777" w:rsidR="00B957F4" w:rsidRPr="00A84A8D" w:rsidRDefault="00B957F4" w:rsidP="00796D2F">
            <w:pPr>
              <w:pStyle w:val="BodyLeft"/>
              <w:rPr>
                <w:rStyle w:val="Bold"/>
              </w:rPr>
            </w:pPr>
            <w:r w:rsidRPr="00A84A8D">
              <w:rPr>
                <w:rStyle w:val="Bold"/>
              </w:rPr>
              <w:t>INSTRUCTIONS</w:t>
            </w:r>
          </w:p>
        </w:tc>
      </w:tr>
      <w:tr w:rsidR="00B957F4" w:rsidRPr="00A84A8D" w14:paraId="622581AE"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C99E8AC" w14:textId="77777777" w:rsidR="00B957F4" w:rsidRPr="00A84A8D" w:rsidRDefault="00B957F4" w:rsidP="00796D2F">
            <w:pPr>
              <w:rPr>
                <w:rFonts w:ascii="Verdana" w:hAnsi="Verdana"/>
              </w:rPr>
            </w:pPr>
            <w:r w:rsidRPr="00A84A8D">
              <w:rPr>
                <w:rFonts w:ascii="Verdana" w:hAnsi="Verdana"/>
              </w:rPr>
              <w:t>C0010-C0040/R0110</w:t>
            </w:r>
          </w:p>
          <w:p w14:paraId="177FE9FA"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13FC6FB" w14:textId="77777777" w:rsidR="00B957F4" w:rsidRPr="00A84A8D" w:rsidRDefault="00B957F4" w:rsidP="00796D2F">
            <w:pPr>
              <w:pStyle w:val="BodyLeft"/>
            </w:pPr>
            <w:r w:rsidRPr="00A84A8D">
              <w:t>Transfer-in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6C156A3" w14:textId="77777777" w:rsidR="00B957F4" w:rsidRPr="00A84A8D" w:rsidRDefault="00B957F4" w:rsidP="00796D2F">
            <w:pPr>
              <w:pStyle w:val="BodyLeft"/>
            </w:pPr>
            <w:r w:rsidRPr="00A84A8D">
              <w:t>Value of claims transferred in by new members (code 48 00 3 according to Annex I of Regulation 250/2009).</w:t>
            </w:r>
          </w:p>
        </w:tc>
      </w:tr>
      <w:tr w:rsidR="00B957F4" w:rsidRPr="00A84A8D" w14:paraId="0B58A82E" w14:textId="77777777" w:rsidTr="00796D2F">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3ECE194" w14:textId="77777777" w:rsidR="00B957F4" w:rsidRPr="00A84A8D" w:rsidRDefault="00B957F4" w:rsidP="00796D2F">
            <w:pPr>
              <w:rPr>
                <w:rFonts w:ascii="Verdana" w:hAnsi="Verdana"/>
              </w:rPr>
            </w:pPr>
            <w:r w:rsidRPr="00A84A8D">
              <w:rPr>
                <w:rFonts w:ascii="Verdana" w:hAnsi="Verdana"/>
              </w:rPr>
              <w:t>C0010-C0040/R0120</w:t>
            </w:r>
          </w:p>
          <w:p w14:paraId="4196BDC9" w14:textId="77777777" w:rsidR="00B957F4" w:rsidRPr="00A84A8D" w:rsidRDefault="00B957F4" w:rsidP="00796D2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FBABC0" w14:textId="77777777" w:rsidR="00B957F4" w:rsidRPr="00A84A8D" w:rsidRDefault="00B957F4" w:rsidP="00796D2F">
            <w:pPr>
              <w:pStyle w:val="BodyLeft"/>
            </w:pPr>
            <w:r w:rsidRPr="00A84A8D">
              <w:t>Transfer-out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7F8B586" w14:textId="77777777" w:rsidR="00B957F4" w:rsidRPr="00A84A8D" w:rsidRDefault="00B957F4" w:rsidP="00796D2F">
            <w:pPr>
              <w:pStyle w:val="BodyLeft"/>
            </w:pPr>
            <w:r w:rsidRPr="00A84A8D">
              <w:t>Value of claims transferred out (code 48 03 3 according to Annex I of Regulation 250/2009).</w:t>
            </w:r>
          </w:p>
        </w:tc>
      </w:tr>
      <w:bookmarkEnd w:id="2"/>
      <w:bookmarkEnd w:id="3"/>
    </w:tbl>
    <w:p w14:paraId="63389FA9" w14:textId="77777777" w:rsidR="00B957F4" w:rsidRPr="00A84A8D" w:rsidRDefault="00B957F4" w:rsidP="00B957F4">
      <w:pPr>
        <w:rPr>
          <w:rFonts w:ascii="Verdana" w:hAnsi="Verdana"/>
        </w:rPr>
      </w:pPr>
    </w:p>
    <w:p w14:paraId="0E520405" w14:textId="77777777" w:rsidR="00B957F4" w:rsidRPr="00A84A8D" w:rsidRDefault="00B957F4" w:rsidP="00B957F4">
      <w:pPr>
        <w:pStyle w:val="Heading4"/>
      </w:pPr>
      <w:bookmarkStart w:id="42" w:name="_Toc484604326"/>
      <w:bookmarkStart w:id="43" w:name="_Toc484788336"/>
      <w:bookmarkStart w:id="44" w:name="_Toc485028011"/>
      <w:r w:rsidRPr="00A84A8D">
        <w:t>Expenses</w:t>
      </w:r>
      <w:bookmarkEnd w:id="42"/>
      <w:bookmarkEnd w:id="43"/>
      <w:bookmarkEnd w:id="44"/>
      <w:r w:rsidRPr="00A84A8D">
        <w:t xml:space="preserve"> (PF.05.03.24)</w:t>
      </w:r>
    </w:p>
    <w:p w14:paraId="7B70DD53" w14:textId="76718312" w:rsidR="00B957F4" w:rsidRPr="00A84A8D" w:rsidRDefault="00B957F4" w:rsidP="00B957F4">
      <w:pPr>
        <w:pStyle w:val="Heading4"/>
        <w:rPr>
          <w:b w:val="0"/>
        </w:rPr>
      </w:pPr>
      <w:r w:rsidRPr="00A84A8D">
        <w:rPr>
          <w:b w:val="0"/>
        </w:rPr>
        <w:t xml:space="preserve">For the purposes of providing individual and aggregate information at Member State level, NCAs shall submit the following information on an annual basis. </w:t>
      </w:r>
    </w:p>
    <w:p w14:paraId="33E7AB1F" w14:textId="77777777" w:rsidR="00B957F4" w:rsidRPr="00A84A8D" w:rsidRDefault="00B957F4" w:rsidP="00B957F4">
      <w:pPr>
        <w:pStyle w:val="Heading4"/>
        <w:rPr>
          <w:b w:val="0"/>
        </w:rPr>
      </w:pPr>
      <w:r w:rsidRPr="00A84A8D">
        <w:rPr>
          <w:b w:val="0"/>
        </w:rPr>
        <w:t>The values shall be reported as positive amounts unless they would be reimbursements.</w:t>
      </w:r>
    </w:p>
    <w:p w14:paraId="599C8260" w14:textId="6DC2A012" w:rsidR="00B957F4" w:rsidRPr="00A84A8D" w:rsidRDefault="00B957F4" w:rsidP="00B957F4">
      <w:pPr>
        <w:pStyle w:val="Heading4"/>
        <w:rPr>
          <w:b w:val="0"/>
        </w:rPr>
      </w:pPr>
      <w:r w:rsidRPr="00A84A8D">
        <w:rPr>
          <w:b w:val="0"/>
        </w:rPr>
        <w:t xml:space="preserve">NCAs have the </w:t>
      </w:r>
      <w:r w:rsidR="00FC6C0A" w:rsidRPr="00A84A8D">
        <w:rPr>
          <w:b w:val="0"/>
        </w:rPr>
        <w:t xml:space="preserve">alternative </w:t>
      </w:r>
      <w:r w:rsidRPr="00A84A8D">
        <w:rPr>
          <w:b w:val="0"/>
        </w:rPr>
        <w:t xml:space="preserve">option to report according to </w:t>
      </w:r>
      <w:r w:rsidR="0047231F" w:rsidRPr="00A84A8D">
        <w:rPr>
          <w:b w:val="0"/>
        </w:rPr>
        <w:t xml:space="preserve">national accounting principles, </w:t>
      </w:r>
      <w:r w:rsidRPr="00A84A8D">
        <w:rPr>
          <w:b w:val="0"/>
        </w:rPr>
        <w:t>the definitions as described in EIOPA Opinion on the supervisory reporting of costs and charges of IORPs</w:t>
      </w:r>
      <w:r w:rsidR="0075443E" w:rsidRPr="00A84A8D">
        <w:rPr>
          <w:b w:val="0"/>
        </w:rPr>
        <w:t xml:space="preserve"> </w:t>
      </w:r>
      <w:r w:rsidRPr="00A84A8D">
        <w:rPr>
          <w:b w:val="0"/>
        </w:rPr>
        <w:t xml:space="preserve">or both. </w:t>
      </w:r>
    </w:p>
    <w:p w14:paraId="64428CF7" w14:textId="77777777" w:rsidR="00B957F4" w:rsidRPr="00A84A8D" w:rsidRDefault="00B957F4" w:rsidP="00B957F4">
      <w:pPr>
        <w:pStyle w:val="Heading4"/>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2216"/>
        <w:gridCol w:w="5264"/>
      </w:tblGrid>
      <w:tr w:rsidR="00B957F4" w:rsidRPr="00A84A8D" w14:paraId="4354B7B1" w14:textId="77777777" w:rsidTr="00796D2F">
        <w:tc>
          <w:tcPr>
            <w:tcW w:w="1074" w:type="pct"/>
          </w:tcPr>
          <w:p w14:paraId="6826D5BE" w14:textId="77777777" w:rsidR="00B957F4" w:rsidRPr="00A84A8D" w:rsidRDefault="00B957F4" w:rsidP="00796D2F">
            <w:pPr>
              <w:rPr>
                <w:rFonts w:ascii="Verdana" w:hAnsi="Verdana"/>
              </w:rPr>
            </w:pPr>
          </w:p>
        </w:tc>
        <w:tc>
          <w:tcPr>
            <w:tcW w:w="1163" w:type="pct"/>
          </w:tcPr>
          <w:p w14:paraId="34E2B716" w14:textId="77777777" w:rsidR="00B957F4" w:rsidRPr="00A84A8D" w:rsidRDefault="00B957F4" w:rsidP="00796D2F">
            <w:pPr>
              <w:pStyle w:val="BodyLeft"/>
              <w:rPr>
                <w:rStyle w:val="Bold"/>
              </w:rPr>
            </w:pPr>
            <w:r w:rsidRPr="00A84A8D">
              <w:rPr>
                <w:rStyle w:val="Bold"/>
              </w:rPr>
              <w:t>ITEM</w:t>
            </w:r>
          </w:p>
        </w:tc>
        <w:tc>
          <w:tcPr>
            <w:tcW w:w="2763" w:type="pct"/>
          </w:tcPr>
          <w:p w14:paraId="78969165" w14:textId="77777777" w:rsidR="00B957F4" w:rsidRPr="00A84A8D" w:rsidRDefault="00B957F4" w:rsidP="00796D2F">
            <w:pPr>
              <w:pStyle w:val="BodyLeft"/>
              <w:rPr>
                <w:rStyle w:val="Bold"/>
              </w:rPr>
            </w:pPr>
            <w:r w:rsidRPr="00A84A8D">
              <w:rPr>
                <w:rStyle w:val="Bold"/>
              </w:rPr>
              <w:t>INSTRUCTIONS</w:t>
            </w:r>
          </w:p>
        </w:tc>
      </w:tr>
      <w:tr w:rsidR="00B957F4" w:rsidRPr="00A84A8D" w14:paraId="42EB3DFE" w14:textId="77777777" w:rsidTr="00796D2F">
        <w:tc>
          <w:tcPr>
            <w:tcW w:w="5000" w:type="pct"/>
            <w:gridSpan w:val="3"/>
          </w:tcPr>
          <w:p w14:paraId="2417DFA3" w14:textId="657E461D" w:rsidR="00B957F4" w:rsidRPr="00A84A8D" w:rsidRDefault="00B957F4" w:rsidP="00796D2F">
            <w:pPr>
              <w:pStyle w:val="BodyLeft"/>
              <w:rPr>
                <w:rStyle w:val="Bold"/>
              </w:rPr>
            </w:pPr>
            <w:r w:rsidRPr="00A84A8D">
              <w:rPr>
                <w:rStyle w:val="Bold"/>
              </w:rPr>
              <w:t>National accounting principles</w:t>
            </w:r>
            <w:r w:rsidR="006A163F" w:rsidRPr="00A84A8D">
              <w:rPr>
                <w:rStyle w:val="Bold"/>
              </w:rPr>
              <w:t xml:space="preserve"> (GAAP)</w:t>
            </w:r>
          </w:p>
        </w:tc>
      </w:tr>
      <w:tr w:rsidR="00B957F4" w:rsidRPr="00A84A8D" w14:paraId="76C5B807" w14:textId="77777777" w:rsidTr="00796D2F">
        <w:trPr>
          <w:trHeight w:val="774"/>
        </w:trPr>
        <w:tc>
          <w:tcPr>
            <w:tcW w:w="1074" w:type="pct"/>
          </w:tcPr>
          <w:p w14:paraId="55B60194" w14:textId="77777777" w:rsidR="00B957F4" w:rsidRPr="00A84A8D" w:rsidRDefault="00B957F4" w:rsidP="00796D2F">
            <w:pPr>
              <w:rPr>
                <w:rFonts w:ascii="Verdana" w:hAnsi="Verdana"/>
              </w:rPr>
            </w:pPr>
            <w:r w:rsidRPr="00A84A8D">
              <w:rPr>
                <w:rFonts w:ascii="Verdana" w:hAnsi="Verdana"/>
              </w:rPr>
              <w:t>C0010-C0040/R0010</w:t>
            </w:r>
          </w:p>
          <w:p w14:paraId="42676F78" w14:textId="77777777" w:rsidR="00B957F4" w:rsidRPr="00A84A8D" w:rsidRDefault="00B957F4" w:rsidP="00796D2F">
            <w:pPr>
              <w:rPr>
                <w:rFonts w:ascii="Verdana" w:hAnsi="Verdana"/>
              </w:rPr>
            </w:pPr>
          </w:p>
        </w:tc>
        <w:tc>
          <w:tcPr>
            <w:tcW w:w="1163" w:type="pct"/>
          </w:tcPr>
          <w:p w14:paraId="152C2D3B" w14:textId="77777777" w:rsidR="00B957F4" w:rsidRPr="00A84A8D" w:rsidRDefault="00B957F4" w:rsidP="00796D2F">
            <w:pPr>
              <w:pStyle w:val="BodyLeft"/>
            </w:pPr>
            <w:r w:rsidRPr="00A84A8D">
              <w:t>Administrative expenses</w:t>
            </w:r>
          </w:p>
        </w:tc>
        <w:tc>
          <w:tcPr>
            <w:tcW w:w="2763" w:type="pct"/>
          </w:tcPr>
          <w:p w14:paraId="5ACFF3B8" w14:textId="77777777" w:rsidR="00B957F4" w:rsidRPr="00A84A8D" w:rsidRDefault="00B957F4" w:rsidP="00796D2F">
            <w:pPr>
              <w:pStyle w:val="BodyLeft"/>
            </w:pPr>
            <w:r w:rsidRPr="00A84A8D">
              <w:t>Expenses, in national accounting principles, related the administration of the pension scheme arrangement.</w:t>
            </w:r>
          </w:p>
        </w:tc>
      </w:tr>
      <w:tr w:rsidR="00B957F4" w:rsidRPr="00A84A8D" w14:paraId="79751197" w14:textId="77777777" w:rsidTr="00796D2F">
        <w:trPr>
          <w:trHeight w:val="860"/>
        </w:trPr>
        <w:tc>
          <w:tcPr>
            <w:tcW w:w="1074" w:type="pct"/>
          </w:tcPr>
          <w:p w14:paraId="1A31CABF" w14:textId="77777777" w:rsidR="00B957F4" w:rsidRPr="00A84A8D" w:rsidRDefault="00B957F4" w:rsidP="00796D2F">
            <w:pPr>
              <w:rPr>
                <w:rFonts w:ascii="Verdana" w:hAnsi="Verdana"/>
              </w:rPr>
            </w:pPr>
            <w:r w:rsidRPr="00A84A8D">
              <w:rPr>
                <w:rFonts w:ascii="Verdana" w:hAnsi="Verdana"/>
              </w:rPr>
              <w:t>C0010-C0040/R0020</w:t>
            </w:r>
          </w:p>
          <w:p w14:paraId="033BD1F0" w14:textId="77777777" w:rsidR="00B957F4" w:rsidRPr="00A84A8D" w:rsidRDefault="00B957F4" w:rsidP="00796D2F">
            <w:pPr>
              <w:rPr>
                <w:rFonts w:ascii="Verdana" w:hAnsi="Verdana"/>
              </w:rPr>
            </w:pPr>
          </w:p>
        </w:tc>
        <w:tc>
          <w:tcPr>
            <w:tcW w:w="1163" w:type="pct"/>
          </w:tcPr>
          <w:p w14:paraId="28F1A1C8" w14:textId="77777777" w:rsidR="00B957F4" w:rsidRPr="00A84A8D" w:rsidRDefault="00B957F4" w:rsidP="00796D2F">
            <w:pPr>
              <w:pStyle w:val="BodyLeft"/>
            </w:pPr>
            <w:r w:rsidRPr="00A84A8D">
              <w:t>Investment expenses</w:t>
            </w:r>
          </w:p>
        </w:tc>
        <w:tc>
          <w:tcPr>
            <w:tcW w:w="2763" w:type="pct"/>
          </w:tcPr>
          <w:p w14:paraId="58D834F9" w14:textId="53A3F7B3" w:rsidR="00B957F4" w:rsidRPr="00A84A8D" w:rsidRDefault="00B957F4" w:rsidP="00796D2F">
            <w:pPr>
              <w:pStyle w:val="BodyLeft"/>
            </w:pPr>
            <w:r w:rsidRPr="00A84A8D">
              <w:t>Expenses, in national accounting principles, related to the asset management of the pension scheme arrangement.</w:t>
            </w:r>
          </w:p>
        </w:tc>
      </w:tr>
      <w:tr w:rsidR="00B957F4" w:rsidRPr="00A84A8D" w14:paraId="562DE333" w14:textId="77777777" w:rsidTr="00796D2F">
        <w:tc>
          <w:tcPr>
            <w:tcW w:w="1074" w:type="pct"/>
          </w:tcPr>
          <w:p w14:paraId="1B30C598" w14:textId="77777777" w:rsidR="00B957F4" w:rsidRPr="00A84A8D" w:rsidRDefault="00B957F4" w:rsidP="00796D2F">
            <w:pPr>
              <w:rPr>
                <w:rFonts w:ascii="Verdana" w:hAnsi="Verdana"/>
              </w:rPr>
            </w:pPr>
            <w:r w:rsidRPr="00A84A8D">
              <w:rPr>
                <w:rFonts w:ascii="Verdana" w:hAnsi="Verdana"/>
              </w:rPr>
              <w:t>C0010-C0040/R0030</w:t>
            </w:r>
          </w:p>
          <w:p w14:paraId="391915E3" w14:textId="77777777" w:rsidR="00B957F4" w:rsidRPr="00A84A8D" w:rsidRDefault="00B957F4" w:rsidP="00796D2F">
            <w:pPr>
              <w:rPr>
                <w:rFonts w:ascii="Verdana" w:hAnsi="Verdana"/>
              </w:rPr>
            </w:pPr>
          </w:p>
        </w:tc>
        <w:tc>
          <w:tcPr>
            <w:tcW w:w="1163" w:type="pct"/>
          </w:tcPr>
          <w:p w14:paraId="12696BC0" w14:textId="77777777" w:rsidR="00B957F4" w:rsidRPr="00A84A8D" w:rsidRDefault="00B957F4" w:rsidP="00796D2F">
            <w:pPr>
              <w:pStyle w:val="BodyLeft"/>
            </w:pPr>
            <w:r w:rsidRPr="00A84A8D">
              <w:t>Tax expenses</w:t>
            </w:r>
          </w:p>
          <w:p w14:paraId="715766C2" w14:textId="77777777" w:rsidR="00B957F4" w:rsidRPr="00A84A8D" w:rsidRDefault="00B957F4" w:rsidP="00796D2F">
            <w:pPr>
              <w:pStyle w:val="BodyLeft"/>
            </w:pPr>
          </w:p>
        </w:tc>
        <w:tc>
          <w:tcPr>
            <w:tcW w:w="2763" w:type="pct"/>
          </w:tcPr>
          <w:p w14:paraId="410E21A7" w14:textId="54626F49" w:rsidR="00B957F4" w:rsidRPr="00A84A8D" w:rsidRDefault="00B957F4" w:rsidP="00796D2F">
            <w:pPr>
              <w:pStyle w:val="BodyLeft"/>
            </w:pPr>
            <w:r w:rsidRPr="00A84A8D">
              <w:t xml:space="preserve">Tax expenses, in national accounting principles, incurred in relation to the pension scheme arrangement.  </w:t>
            </w:r>
          </w:p>
        </w:tc>
      </w:tr>
      <w:tr w:rsidR="00B957F4" w:rsidRPr="00A84A8D" w14:paraId="63355B52" w14:textId="77777777" w:rsidTr="00796D2F">
        <w:tc>
          <w:tcPr>
            <w:tcW w:w="1074" w:type="pct"/>
          </w:tcPr>
          <w:p w14:paraId="39720C12" w14:textId="77777777" w:rsidR="00B957F4" w:rsidRPr="00A84A8D" w:rsidRDefault="00B957F4" w:rsidP="00796D2F">
            <w:pPr>
              <w:rPr>
                <w:rFonts w:ascii="Verdana" w:hAnsi="Verdana"/>
              </w:rPr>
            </w:pPr>
            <w:r w:rsidRPr="00A84A8D">
              <w:rPr>
                <w:rFonts w:ascii="Verdana" w:hAnsi="Verdana"/>
              </w:rPr>
              <w:t>C0010-C0040/R0040</w:t>
            </w:r>
          </w:p>
          <w:p w14:paraId="6745E1A2" w14:textId="77777777" w:rsidR="00B957F4" w:rsidRPr="00A84A8D" w:rsidRDefault="00B957F4" w:rsidP="00796D2F">
            <w:pPr>
              <w:rPr>
                <w:rFonts w:ascii="Verdana" w:hAnsi="Verdana"/>
              </w:rPr>
            </w:pPr>
          </w:p>
        </w:tc>
        <w:tc>
          <w:tcPr>
            <w:tcW w:w="1163" w:type="pct"/>
          </w:tcPr>
          <w:p w14:paraId="7EEDEE8C" w14:textId="77777777" w:rsidR="00B957F4" w:rsidRPr="00A84A8D" w:rsidRDefault="00B957F4" w:rsidP="00796D2F">
            <w:pPr>
              <w:pStyle w:val="BodyLeft"/>
            </w:pPr>
            <w:r w:rsidRPr="00A84A8D">
              <w:t>Other costs and expenses</w:t>
            </w:r>
          </w:p>
        </w:tc>
        <w:tc>
          <w:tcPr>
            <w:tcW w:w="2763" w:type="pct"/>
          </w:tcPr>
          <w:p w14:paraId="08E563E1" w14:textId="5F541484" w:rsidR="00B957F4" w:rsidRPr="00A84A8D" w:rsidRDefault="00B957F4" w:rsidP="00796D2F">
            <w:pPr>
              <w:pStyle w:val="BodyLeft"/>
            </w:pPr>
            <w:r w:rsidRPr="00A84A8D">
              <w:t>Other expenses, in national accounting principles, incurred in relation to the pension scheme arrangement, not elsewhere shown.</w:t>
            </w:r>
          </w:p>
        </w:tc>
      </w:tr>
      <w:tr w:rsidR="00B957F4" w:rsidRPr="00A84A8D" w14:paraId="1D8A3A88" w14:textId="77777777" w:rsidTr="00796D2F">
        <w:tc>
          <w:tcPr>
            <w:tcW w:w="1074" w:type="pct"/>
          </w:tcPr>
          <w:p w14:paraId="10FD358E" w14:textId="77777777" w:rsidR="00B957F4" w:rsidRPr="00A84A8D" w:rsidRDefault="00B957F4" w:rsidP="00796D2F">
            <w:pPr>
              <w:rPr>
                <w:rFonts w:ascii="Verdana" w:hAnsi="Verdana"/>
              </w:rPr>
            </w:pPr>
            <w:r w:rsidRPr="00A84A8D">
              <w:rPr>
                <w:rFonts w:ascii="Verdana" w:hAnsi="Verdana"/>
              </w:rPr>
              <w:t>C0010-C0040/R0050</w:t>
            </w:r>
          </w:p>
          <w:p w14:paraId="5CFC371D" w14:textId="77777777" w:rsidR="00B957F4" w:rsidRPr="00A84A8D" w:rsidRDefault="00B957F4" w:rsidP="00796D2F">
            <w:pPr>
              <w:rPr>
                <w:rFonts w:ascii="Verdana" w:hAnsi="Verdana"/>
              </w:rPr>
            </w:pPr>
          </w:p>
        </w:tc>
        <w:tc>
          <w:tcPr>
            <w:tcW w:w="1163" w:type="pct"/>
          </w:tcPr>
          <w:p w14:paraId="52DB4C05" w14:textId="77777777" w:rsidR="00B957F4" w:rsidRPr="00A84A8D" w:rsidRDefault="00B957F4" w:rsidP="00796D2F">
            <w:pPr>
              <w:pStyle w:val="BodyLeft"/>
            </w:pPr>
            <w:r w:rsidRPr="00A84A8D">
              <w:t>Total expenses</w:t>
            </w:r>
          </w:p>
        </w:tc>
        <w:tc>
          <w:tcPr>
            <w:tcW w:w="2763" w:type="pct"/>
          </w:tcPr>
          <w:p w14:paraId="420038A7" w14:textId="37A3F35B" w:rsidR="00B957F4" w:rsidRPr="00A84A8D" w:rsidRDefault="00B957F4" w:rsidP="00796D2F">
            <w:pPr>
              <w:pStyle w:val="BodyLeft"/>
            </w:pPr>
            <w:r w:rsidRPr="00A84A8D">
              <w:t xml:space="preserve">Total value of expenses, in national accounting principles, incurred during the reporting period. </w:t>
            </w:r>
          </w:p>
        </w:tc>
      </w:tr>
      <w:tr w:rsidR="00B957F4" w:rsidRPr="00A84A8D" w14:paraId="677E0FFD" w14:textId="77777777" w:rsidTr="00796D2F">
        <w:tc>
          <w:tcPr>
            <w:tcW w:w="1" w:type="pct"/>
            <w:gridSpan w:val="3"/>
          </w:tcPr>
          <w:p w14:paraId="5AF44168" w14:textId="77777777" w:rsidR="00B957F4" w:rsidRPr="00A84A8D" w:rsidRDefault="00B957F4" w:rsidP="00796D2F">
            <w:pPr>
              <w:pStyle w:val="BodyLeft"/>
              <w:rPr>
                <w:rStyle w:val="Bold"/>
                <w:b w:val="0"/>
              </w:rPr>
            </w:pPr>
            <w:r w:rsidRPr="00897EF2">
              <w:rPr>
                <w:rStyle w:val="Bold"/>
                <w:bCs/>
              </w:rPr>
              <w:t>Costs according to</w:t>
            </w:r>
            <w:r w:rsidRPr="00A84A8D">
              <w:rPr>
                <w:rStyle w:val="Bold"/>
                <w:b w:val="0"/>
              </w:rPr>
              <w:t xml:space="preserve"> </w:t>
            </w:r>
            <w:r w:rsidRPr="00A84A8D">
              <w:rPr>
                <w:b/>
              </w:rPr>
              <w:t>EIOPA Opinion on the supervisory reporting of costs and charges of IORPs</w:t>
            </w:r>
          </w:p>
        </w:tc>
      </w:tr>
      <w:tr w:rsidR="00B957F4" w:rsidRPr="00A84A8D" w14:paraId="216DAB7D" w14:textId="77777777" w:rsidTr="00796D2F">
        <w:tc>
          <w:tcPr>
            <w:tcW w:w="1074" w:type="pct"/>
          </w:tcPr>
          <w:p w14:paraId="6A385B9D" w14:textId="77777777" w:rsidR="00B957F4" w:rsidRPr="00A84A8D" w:rsidRDefault="00B957F4" w:rsidP="00796D2F">
            <w:pPr>
              <w:rPr>
                <w:rFonts w:ascii="Verdana" w:hAnsi="Verdana"/>
              </w:rPr>
            </w:pPr>
            <w:r w:rsidRPr="00A84A8D">
              <w:rPr>
                <w:rFonts w:ascii="Verdana" w:hAnsi="Verdana"/>
              </w:rPr>
              <w:t>C0050-C0080/R0010</w:t>
            </w:r>
          </w:p>
        </w:tc>
        <w:tc>
          <w:tcPr>
            <w:tcW w:w="1163" w:type="pct"/>
          </w:tcPr>
          <w:p w14:paraId="0F1F75CC" w14:textId="77777777" w:rsidR="00B957F4" w:rsidRPr="00A84A8D" w:rsidRDefault="00B957F4" w:rsidP="00796D2F">
            <w:pPr>
              <w:pStyle w:val="BodyLeft"/>
            </w:pPr>
            <w:r w:rsidRPr="00A84A8D">
              <w:t>Administrative expenses</w:t>
            </w:r>
          </w:p>
        </w:tc>
        <w:tc>
          <w:tcPr>
            <w:tcW w:w="2763" w:type="pct"/>
          </w:tcPr>
          <w:p w14:paraId="44F6CBD5" w14:textId="77777777" w:rsidR="00B957F4" w:rsidRPr="00A84A8D" w:rsidRDefault="00B957F4" w:rsidP="00796D2F">
            <w:pPr>
              <w:pStyle w:val="BodyLeft"/>
            </w:pPr>
            <w:r w:rsidRPr="00A84A8D">
              <w:t>All administrative costs of the IORP:</w:t>
            </w:r>
          </w:p>
          <w:p w14:paraId="4AF6711C" w14:textId="77777777" w:rsidR="00B957F4" w:rsidRPr="00A84A8D" w:rsidRDefault="00B957F4" w:rsidP="00796D2F">
            <w:pPr>
              <w:pStyle w:val="BodyLeft"/>
              <w:numPr>
                <w:ilvl w:val="0"/>
                <w:numId w:val="16"/>
              </w:numPr>
            </w:pPr>
            <w:r w:rsidRPr="00A84A8D">
              <w:t xml:space="preserve">Collection of contributions/premiums, pension payments, accrued pension rights, value </w:t>
            </w:r>
            <w:proofErr w:type="gramStart"/>
            <w:r w:rsidRPr="00A84A8D">
              <w:t>transfers;</w:t>
            </w:r>
            <w:proofErr w:type="gramEnd"/>
          </w:p>
          <w:p w14:paraId="6B5E2AFE" w14:textId="77777777" w:rsidR="00B957F4" w:rsidRPr="00A84A8D" w:rsidRDefault="00B957F4" w:rsidP="00796D2F">
            <w:pPr>
              <w:pStyle w:val="BodyLeft"/>
              <w:numPr>
                <w:ilvl w:val="0"/>
                <w:numId w:val="16"/>
              </w:numPr>
            </w:pPr>
            <w:r w:rsidRPr="00A84A8D">
              <w:t xml:space="preserve">General administrative costs such as staff and </w:t>
            </w:r>
            <w:proofErr w:type="gramStart"/>
            <w:r w:rsidRPr="00A84A8D">
              <w:t>premises;</w:t>
            </w:r>
            <w:proofErr w:type="gramEnd"/>
          </w:p>
          <w:p w14:paraId="16A43ABA" w14:textId="77777777" w:rsidR="00B957F4" w:rsidRPr="00A84A8D" w:rsidRDefault="00B957F4" w:rsidP="00796D2F">
            <w:pPr>
              <w:pStyle w:val="BodyLeft"/>
              <w:numPr>
                <w:ilvl w:val="0"/>
                <w:numId w:val="16"/>
              </w:numPr>
            </w:pPr>
            <w:r w:rsidRPr="00A84A8D">
              <w:t xml:space="preserve">Communication to participants and </w:t>
            </w:r>
            <w:proofErr w:type="gramStart"/>
            <w:r w:rsidRPr="00A84A8D">
              <w:t>employer;</w:t>
            </w:r>
            <w:proofErr w:type="gramEnd"/>
          </w:p>
          <w:p w14:paraId="356DAD24" w14:textId="77777777" w:rsidR="00B957F4" w:rsidRPr="00A84A8D" w:rsidRDefault="00B957F4" w:rsidP="00796D2F">
            <w:pPr>
              <w:pStyle w:val="BodyLeft"/>
              <w:numPr>
                <w:ilvl w:val="0"/>
                <w:numId w:val="16"/>
              </w:numPr>
            </w:pPr>
            <w:r w:rsidRPr="00A84A8D">
              <w:t>Oversight (certifying actuary, auditor) and advice (except for asset management related advice</w:t>
            </w:r>
            <w:proofErr w:type="gramStart"/>
            <w:r w:rsidRPr="00A84A8D">
              <w:t>);</w:t>
            </w:r>
            <w:proofErr w:type="gramEnd"/>
          </w:p>
          <w:p w14:paraId="4B980110" w14:textId="77777777" w:rsidR="00B957F4" w:rsidRPr="00A84A8D" w:rsidRDefault="00B957F4" w:rsidP="00796D2F">
            <w:pPr>
              <w:pStyle w:val="BodyLeft"/>
              <w:numPr>
                <w:ilvl w:val="0"/>
                <w:numId w:val="16"/>
              </w:numPr>
            </w:pPr>
            <w:r w:rsidRPr="00A84A8D">
              <w:t>Where applicable, any cost for the distribution of the IORP, including to sponsors</w:t>
            </w:r>
          </w:p>
        </w:tc>
      </w:tr>
      <w:tr w:rsidR="00B957F4" w:rsidRPr="00A84A8D" w14:paraId="359EF740" w14:textId="77777777" w:rsidTr="00796D2F">
        <w:tc>
          <w:tcPr>
            <w:tcW w:w="1074" w:type="pct"/>
          </w:tcPr>
          <w:p w14:paraId="0758AABD" w14:textId="77777777" w:rsidR="00B957F4" w:rsidRPr="00A84A8D" w:rsidRDefault="00B957F4" w:rsidP="00796D2F">
            <w:pPr>
              <w:rPr>
                <w:rFonts w:ascii="Verdana" w:hAnsi="Verdana"/>
              </w:rPr>
            </w:pPr>
            <w:r w:rsidRPr="00A84A8D">
              <w:rPr>
                <w:rFonts w:ascii="Verdana" w:hAnsi="Verdana"/>
              </w:rPr>
              <w:t>C0050-C0080/R0015</w:t>
            </w:r>
          </w:p>
        </w:tc>
        <w:tc>
          <w:tcPr>
            <w:tcW w:w="1163" w:type="pct"/>
          </w:tcPr>
          <w:p w14:paraId="6F9ABD58" w14:textId="77777777" w:rsidR="00B957F4" w:rsidRPr="00A84A8D" w:rsidRDefault="00B957F4" w:rsidP="00796D2F">
            <w:pPr>
              <w:pStyle w:val="BodyLeft"/>
            </w:pPr>
            <w:r w:rsidRPr="00A84A8D">
              <w:t>Of which distribution costs</w:t>
            </w:r>
          </w:p>
        </w:tc>
        <w:tc>
          <w:tcPr>
            <w:tcW w:w="2763" w:type="pct"/>
          </w:tcPr>
          <w:p w14:paraId="1E5ECB03" w14:textId="77777777" w:rsidR="00B957F4" w:rsidRPr="00A84A8D" w:rsidRDefault="00B957F4" w:rsidP="00796D2F">
            <w:pPr>
              <w:pStyle w:val="BodyLeft"/>
            </w:pPr>
            <w:r w:rsidRPr="00A84A8D">
              <w:t>Costs of distribution, including distribution to sponsoring undertakings, where applicable.</w:t>
            </w:r>
          </w:p>
        </w:tc>
      </w:tr>
      <w:tr w:rsidR="00B957F4" w:rsidRPr="00A84A8D" w14:paraId="4C3EDA5C" w14:textId="77777777" w:rsidTr="00C55E78">
        <w:tc>
          <w:tcPr>
            <w:tcW w:w="1074" w:type="pct"/>
          </w:tcPr>
          <w:p w14:paraId="2E801ED4" w14:textId="77777777" w:rsidR="00B957F4" w:rsidRPr="00A84A8D" w:rsidRDefault="00B957F4" w:rsidP="00796D2F">
            <w:pPr>
              <w:rPr>
                <w:rFonts w:ascii="Verdana" w:hAnsi="Verdana"/>
              </w:rPr>
            </w:pPr>
            <w:r w:rsidRPr="00A84A8D">
              <w:rPr>
                <w:rFonts w:ascii="Verdana" w:hAnsi="Verdana"/>
              </w:rPr>
              <w:t>C0050-C0080/R0031</w:t>
            </w:r>
          </w:p>
        </w:tc>
        <w:tc>
          <w:tcPr>
            <w:tcW w:w="1163" w:type="pct"/>
          </w:tcPr>
          <w:p w14:paraId="042B76EC" w14:textId="0152C7B3" w:rsidR="00B957F4" w:rsidRPr="00A84A8D" w:rsidRDefault="00B957F4" w:rsidP="00796D2F">
            <w:pPr>
              <w:pStyle w:val="BodyLeft"/>
            </w:pPr>
            <w:r w:rsidRPr="00A84A8D">
              <w:t>Investment costs</w:t>
            </w:r>
          </w:p>
        </w:tc>
        <w:tc>
          <w:tcPr>
            <w:tcW w:w="2763" w:type="pct"/>
          </w:tcPr>
          <w:p w14:paraId="127DEF4A" w14:textId="5FC3C729" w:rsidR="00B957F4" w:rsidRPr="00A84A8D" w:rsidRDefault="00B957F4" w:rsidP="00796D2F">
            <w:pPr>
              <w:pStyle w:val="BodyLeft"/>
            </w:pPr>
            <w:r w:rsidRPr="00A84A8D">
              <w:t xml:space="preserve">All on-going and one-off investment costs incurred in connection with the management of assets (excluding portfolio transaction costs), which should include: </w:t>
            </w:r>
          </w:p>
          <w:p w14:paraId="04519C2A" w14:textId="77777777" w:rsidR="00B957F4" w:rsidRPr="00A84A8D" w:rsidRDefault="00B957F4" w:rsidP="00F03413">
            <w:pPr>
              <w:pStyle w:val="BodyLeft"/>
              <w:numPr>
                <w:ilvl w:val="0"/>
                <w:numId w:val="14"/>
              </w:numPr>
            </w:pPr>
            <w:r w:rsidRPr="00A84A8D">
              <w:t>Fiduciary fees (risk management fee, remuneration strategic and fiduciary advice, including VAT</w:t>
            </w:r>
            <w:proofErr w:type="gramStart"/>
            <w:r w:rsidRPr="00A84A8D">
              <w:t>);</w:t>
            </w:r>
            <w:proofErr w:type="gramEnd"/>
            <w:r w:rsidRPr="00A84A8D">
              <w:t xml:space="preserve"> </w:t>
            </w:r>
          </w:p>
          <w:p w14:paraId="49E0A62A" w14:textId="77777777" w:rsidR="00B957F4" w:rsidRPr="00A84A8D" w:rsidRDefault="00B957F4" w:rsidP="00F03413">
            <w:pPr>
              <w:pStyle w:val="BodyLeft"/>
              <w:numPr>
                <w:ilvl w:val="0"/>
                <w:numId w:val="14"/>
              </w:numPr>
            </w:pPr>
            <w:r w:rsidRPr="00A84A8D">
              <w:t>Remuneration to the external asset manager for management of (discretionary) portfolios (strategic and investment advice, research, the management of assets and liabilities), including any fees and charges paid through Net Asset Value (less management fee rebate</w:t>
            </w:r>
            <w:proofErr w:type="gramStart"/>
            <w:r w:rsidRPr="00A84A8D">
              <w:t>);</w:t>
            </w:r>
            <w:proofErr w:type="gramEnd"/>
            <w:r w:rsidRPr="00A84A8D">
              <w:t xml:space="preserve"> </w:t>
            </w:r>
          </w:p>
          <w:p w14:paraId="4A5367DB" w14:textId="77777777" w:rsidR="00B957F4" w:rsidRPr="00A84A8D" w:rsidRDefault="00B957F4" w:rsidP="00F03413">
            <w:pPr>
              <w:pStyle w:val="BodyLeft"/>
              <w:numPr>
                <w:ilvl w:val="0"/>
                <w:numId w:val="14"/>
              </w:numPr>
            </w:pPr>
            <w:r w:rsidRPr="00A84A8D">
              <w:t>Remuneration paid to the external asset manager for the management of the investment funds. Services covered by the fund management fee include the day-to-day management of investment funds and portfolios, the administration thereof, reporting and communication with investors, including any fees and charges paid through Net Asset Value (less management fee rebate</w:t>
            </w:r>
            <w:proofErr w:type="gramStart"/>
            <w:r w:rsidRPr="00A84A8D">
              <w:t>);</w:t>
            </w:r>
            <w:proofErr w:type="gramEnd"/>
            <w:r w:rsidRPr="00A84A8D">
              <w:t xml:space="preserve"> </w:t>
            </w:r>
          </w:p>
          <w:p w14:paraId="7CC42B26" w14:textId="74BC6561" w:rsidR="00B957F4" w:rsidRPr="00A84A8D" w:rsidRDefault="00B957F4" w:rsidP="00F03413">
            <w:pPr>
              <w:pStyle w:val="BodyLeft"/>
              <w:numPr>
                <w:ilvl w:val="0"/>
                <w:numId w:val="14"/>
              </w:numPr>
            </w:pPr>
            <w:r w:rsidRPr="00A84A8D">
              <w:t xml:space="preserve">Investment administration: remuneration paid to an administrator for the administration of assets and liabilities in the fund, and for other bookkeeping and reporting activities. Execution of administration of the investments may be outsourced to specialist companies by the pension fund and/or asset </w:t>
            </w:r>
            <w:proofErr w:type="gramStart"/>
            <w:r w:rsidRPr="00A84A8D">
              <w:t>manager;</w:t>
            </w:r>
            <w:proofErr w:type="gramEnd"/>
            <w:r w:rsidRPr="00A84A8D">
              <w:t xml:space="preserve"> </w:t>
            </w:r>
          </w:p>
          <w:p w14:paraId="0CB854E8" w14:textId="77777777" w:rsidR="00B957F4" w:rsidRPr="00A84A8D" w:rsidRDefault="00B957F4" w:rsidP="00F03413">
            <w:pPr>
              <w:pStyle w:val="BodyLeft"/>
              <w:numPr>
                <w:ilvl w:val="0"/>
                <w:numId w:val="14"/>
              </w:numPr>
            </w:pPr>
            <w:r w:rsidRPr="00A84A8D">
              <w:t xml:space="preserve">Internal management costs: all expenses (operational costs) incurred for the internal management of assets, such as personnel costs allocated to the asset management, facility costs or advice costs borne by the </w:t>
            </w:r>
            <w:proofErr w:type="gramStart"/>
            <w:r w:rsidRPr="00A84A8D">
              <w:t>IORP;</w:t>
            </w:r>
            <w:proofErr w:type="gramEnd"/>
            <w:r w:rsidRPr="00A84A8D">
              <w:t xml:space="preserve"> </w:t>
            </w:r>
          </w:p>
          <w:p w14:paraId="169E04C0" w14:textId="77777777" w:rsidR="00B957F4" w:rsidRPr="00A84A8D" w:rsidRDefault="00B957F4" w:rsidP="00F03413">
            <w:pPr>
              <w:pStyle w:val="BodyLeft"/>
              <w:numPr>
                <w:ilvl w:val="0"/>
                <w:numId w:val="14"/>
              </w:numPr>
            </w:pPr>
            <w:r w:rsidRPr="00A84A8D">
              <w:t xml:space="preserve">Custody or safekeeping of securities in a fund, payable by the fund &amp; depositary fees (AIFs), if not reported jointly with investment administration </w:t>
            </w:r>
            <w:proofErr w:type="gramStart"/>
            <w:r w:rsidRPr="00A84A8D">
              <w:t>costs;</w:t>
            </w:r>
            <w:proofErr w:type="gramEnd"/>
          </w:p>
          <w:p w14:paraId="472903A1" w14:textId="77777777" w:rsidR="00B957F4" w:rsidRPr="00A84A8D" w:rsidRDefault="00B957F4" w:rsidP="00F03413">
            <w:pPr>
              <w:pStyle w:val="BodyLeft"/>
              <w:numPr>
                <w:ilvl w:val="0"/>
                <w:numId w:val="14"/>
              </w:numPr>
            </w:pPr>
            <w:r w:rsidRPr="00A84A8D">
              <w:t xml:space="preserve">Other asset management costs: fees incurred for the establishment of funds or partnerships, auditing costs of the investments, consultancy fees, and fees including financing fees, technology costs, performance fees including paid through NAV, tax </w:t>
            </w:r>
            <w:proofErr w:type="gramStart"/>
            <w:r w:rsidRPr="00A84A8D">
              <w:t>advice;</w:t>
            </w:r>
            <w:proofErr w:type="gramEnd"/>
            <w:r w:rsidRPr="00A84A8D">
              <w:t xml:space="preserve"> </w:t>
            </w:r>
          </w:p>
          <w:p w14:paraId="0B7D1514" w14:textId="77777777" w:rsidR="00B957F4" w:rsidRPr="00A84A8D" w:rsidRDefault="00B957F4" w:rsidP="00F03413">
            <w:pPr>
              <w:pStyle w:val="BodyLeft"/>
              <w:numPr>
                <w:ilvl w:val="0"/>
                <w:numId w:val="14"/>
              </w:numPr>
            </w:pPr>
            <w:r w:rsidRPr="00A84A8D">
              <w:t xml:space="preserve">Stock lending and borrowing </w:t>
            </w:r>
            <w:proofErr w:type="gramStart"/>
            <w:r w:rsidRPr="00A84A8D">
              <w:t>fees;</w:t>
            </w:r>
            <w:proofErr w:type="gramEnd"/>
          </w:p>
          <w:p w14:paraId="589E4EB8" w14:textId="77777777" w:rsidR="00B957F4" w:rsidRPr="00A84A8D" w:rsidRDefault="00B957F4" w:rsidP="00C55E78">
            <w:pPr>
              <w:pStyle w:val="BodyLeft"/>
              <w:numPr>
                <w:ilvl w:val="0"/>
                <w:numId w:val="14"/>
              </w:numPr>
            </w:pPr>
            <w:r w:rsidRPr="00A84A8D">
              <w:t>For investments in property: management property expenses</w:t>
            </w:r>
          </w:p>
        </w:tc>
      </w:tr>
      <w:tr w:rsidR="00B957F4" w:rsidRPr="00A84A8D" w14:paraId="4979FF6D" w14:textId="77777777" w:rsidTr="00796D2F">
        <w:tc>
          <w:tcPr>
            <w:tcW w:w="1074" w:type="pct"/>
          </w:tcPr>
          <w:p w14:paraId="224BDC62" w14:textId="77777777" w:rsidR="00B957F4" w:rsidRPr="00A84A8D" w:rsidRDefault="00B957F4" w:rsidP="00796D2F">
            <w:pPr>
              <w:rPr>
                <w:rFonts w:ascii="Verdana" w:hAnsi="Verdana"/>
              </w:rPr>
            </w:pPr>
            <w:r w:rsidRPr="00A84A8D">
              <w:rPr>
                <w:rFonts w:ascii="Verdana" w:hAnsi="Verdana"/>
              </w:rPr>
              <w:t>C0050-C0080/R0032</w:t>
            </w:r>
          </w:p>
        </w:tc>
        <w:tc>
          <w:tcPr>
            <w:tcW w:w="1163" w:type="pct"/>
          </w:tcPr>
          <w:p w14:paraId="535250BA" w14:textId="42D3CA1C" w:rsidR="00B957F4" w:rsidRPr="00A84A8D" w:rsidRDefault="00B957F4" w:rsidP="00796D2F">
            <w:pPr>
              <w:pStyle w:val="BodyLeft"/>
            </w:pPr>
            <w:r w:rsidRPr="00A84A8D">
              <w:t>Transaction costs</w:t>
            </w:r>
          </w:p>
        </w:tc>
        <w:tc>
          <w:tcPr>
            <w:tcW w:w="2763" w:type="pct"/>
          </w:tcPr>
          <w:p w14:paraId="17EFC118" w14:textId="4B41D40B" w:rsidR="00B957F4" w:rsidRPr="00A84A8D" w:rsidRDefault="00B957F4" w:rsidP="00796D2F">
            <w:pPr>
              <w:pStyle w:val="BodyLeft"/>
            </w:pPr>
            <w:r w:rsidRPr="00A84A8D">
              <w:t xml:space="preserve">All transaction costs, which should include costs incurred as a result of the acquisition and disposal of investments, including indirect costs for when part of the portfolio is invested in one or more investment funds: </w:t>
            </w:r>
          </w:p>
          <w:p w14:paraId="63CF812B" w14:textId="77777777" w:rsidR="00B957F4" w:rsidRPr="00A84A8D" w:rsidRDefault="00B957F4" w:rsidP="00F03413">
            <w:pPr>
              <w:pStyle w:val="BodyLeft"/>
              <w:numPr>
                <w:ilvl w:val="0"/>
                <w:numId w:val="15"/>
              </w:numPr>
            </w:pPr>
            <w:r w:rsidRPr="00A84A8D">
              <w:t>Explicit costs such as broker commissions (exchange fees, settlement fees, clearing fees) and transaction taxes (financial transaction tax</w:t>
            </w:r>
            <w:proofErr w:type="gramStart"/>
            <w:r w:rsidRPr="00A84A8D">
              <w:t>);</w:t>
            </w:r>
            <w:proofErr w:type="gramEnd"/>
          </w:p>
          <w:p w14:paraId="2A9B4B74" w14:textId="77777777" w:rsidR="00B957F4" w:rsidRPr="00A84A8D" w:rsidRDefault="00B957F4" w:rsidP="00F03413">
            <w:pPr>
              <w:pStyle w:val="BodyLeft"/>
              <w:numPr>
                <w:ilvl w:val="0"/>
                <w:numId w:val="15"/>
              </w:numPr>
            </w:pPr>
            <w:r w:rsidRPr="00A84A8D">
              <w:t xml:space="preserve">Amounts charged to investors at the entry into or withdrawal from an investment fund, in favour of the fund, the manager, and/or the already existing </w:t>
            </w:r>
            <w:proofErr w:type="gramStart"/>
            <w:r w:rsidRPr="00A84A8D">
              <w:t>investors;</w:t>
            </w:r>
            <w:proofErr w:type="gramEnd"/>
          </w:p>
          <w:p w14:paraId="22AA6C25" w14:textId="77777777" w:rsidR="00B957F4" w:rsidRPr="00A84A8D" w:rsidRDefault="00B957F4" w:rsidP="00F03413">
            <w:pPr>
              <w:pStyle w:val="BodyLeft"/>
              <w:numPr>
                <w:ilvl w:val="0"/>
                <w:numId w:val="15"/>
              </w:numPr>
            </w:pPr>
            <w:r w:rsidRPr="00A84A8D">
              <w:t xml:space="preserve">Indirect transaction costs: subscription and redemption fees charged by underlying investment </w:t>
            </w:r>
            <w:proofErr w:type="gramStart"/>
            <w:r w:rsidRPr="00A84A8D">
              <w:t>funds;</w:t>
            </w:r>
            <w:proofErr w:type="gramEnd"/>
          </w:p>
          <w:p w14:paraId="7F039A75" w14:textId="77777777" w:rsidR="00B957F4" w:rsidRPr="00A84A8D" w:rsidRDefault="00B957F4" w:rsidP="00F03413">
            <w:pPr>
              <w:pStyle w:val="BodyLeft"/>
              <w:numPr>
                <w:ilvl w:val="0"/>
                <w:numId w:val="15"/>
              </w:numPr>
            </w:pPr>
            <w:r w:rsidRPr="00A84A8D">
              <w:t xml:space="preserve">Acquisition costs (within investment funds or, in fund-of-funds structures) such as broken deal expenses, appraisal and auditing fees, fiscal and legal consultancy fees related to transactions, bank </w:t>
            </w:r>
            <w:proofErr w:type="gramStart"/>
            <w:r w:rsidRPr="00A84A8D">
              <w:t>fees;</w:t>
            </w:r>
            <w:proofErr w:type="gramEnd"/>
          </w:p>
          <w:p w14:paraId="48498499" w14:textId="77777777" w:rsidR="00B957F4" w:rsidRPr="00A84A8D" w:rsidRDefault="00B957F4" w:rsidP="00F03413">
            <w:pPr>
              <w:pStyle w:val="BodyLeft"/>
              <w:numPr>
                <w:ilvl w:val="0"/>
                <w:numId w:val="15"/>
              </w:numPr>
            </w:pPr>
            <w:r w:rsidRPr="00A84A8D">
              <w:t xml:space="preserve">Costs of direct investments in private </w:t>
            </w:r>
            <w:proofErr w:type="gramStart"/>
            <w:r w:rsidRPr="00A84A8D">
              <w:t>equity;</w:t>
            </w:r>
            <w:proofErr w:type="gramEnd"/>
          </w:p>
          <w:p w14:paraId="4770B26E" w14:textId="77777777" w:rsidR="00B957F4" w:rsidRPr="00A84A8D" w:rsidRDefault="00B957F4" w:rsidP="00C55E78">
            <w:pPr>
              <w:pStyle w:val="BodyLeft"/>
              <w:numPr>
                <w:ilvl w:val="0"/>
                <w:numId w:val="15"/>
              </w:numPr>
            </w:pPr>
            <w:r w:rsidRPr="00A84A8D">
              <w:t>Implicit transaction costs, which represent the loss of value implied by the difference between the buying or selling price and the mid-market price of the asset (embedded in the bid-offer spread).</w:t>
            </w:r>
          </w:p>
        </w:tc>
      </w:tr>
      <w:tr w:rsidR="00AE4ACD" w:rsidRPr="00A84A8D" w14:paraId="7390B89B" w14:textId="77777777" w:rsidTr="00796D2F">
        <w:tc>
          <w:tcPr>
            <w:tcW w:w="1074" w:type="pct"/>
          </w:tcPr>
          <w:p w14:paraId="6848CDCA" w14:textId="77777777" w:rsidR="00B957F4" w:rsidRPr="00A84A8D" w:rsidRDefault="00B957F4" w:rsidP="00796D2F">
            <w:pPr>
              <w:rPr>
                <w:rFonts w:ascii="Verdana" w:hAnsi="Verdana"/>
              </w:rPr>
            </w:pPr>
            <w:r w:rsidRPr="00A84A8D">
              <w:rPr>
                <w:rFonts w:ascii="Verdana" w:hAnsi="Verdana"/>
              </w:rPr>
              <w:t>C0050-C0080/R0033</w:t>
            </w:r>
          </w:p>
        </w:tc>
        <w:tc>
          <w:tcPr>
            <w:tcW w:w="1163" w:type="pct"/>
          </w:tcPr>
          <w:p w14:paraId="4C0BAC61" w14:textId="77777777" w:rsidR="00B957F4" w:rsidRPr="00A84A8D" w:rsidRDefault="00B957F4" w:rsidP="00796D2F">
            <w:pPr>
              <w:pStyle w:val="BodyLeft"/>
            </w:pPr>
            <w:r w:rsidRPr="00A84A8D">
              <w:t xml:space="preserve">Costs paid by </w:t>
            </w:r>
          </w:p>
          <w:p w14:paraId="76E0D196" w14:textId="77777777" w:rsidR="00B957F4" w:rsidRPr="00A84A8D" w:rsidRDefault="00B957F4" w:rsidP="00796D2F">
            <w:pPr>
              <w:pStyle w:val="BodyLeft"/>
            </w:pPr>
            <w:r w:rsidRPr="00A84A8D">
              <w:t>sponsor</w:t>
            </w:r>
          </w:p>
        </w:tc>
        <w:tc>
          <w:tcPr>
            <w:tcW w:w="2763" w:type="pct"/>
          </w:tcPr>
          <w:p w14:paraId="29D56B38" w14:textId="77777777" w:rsidR="00B957F4" w:rsidRPr="00A84A8D" w:rsidRDefault="00B957F4" w:rsidP="00796D2F">
            <w:pPr>
              <w:pStyle w:val="BodyLeft"/>
            </w:pPr>
            <w:r w:rsidRPr="00A84A8D">
              <w:t xml:space="preserve">Additional costs borne by the sponsor, not charged to the IORP. For </w:t>
            </w:r>
            <w:proofErr w:type="gramStart"/>
            <w:r w:rsidRPr="00A84A8D">
              <w:t>example</w:t>
            </w:r>
            <w:proofErr w:type="gramEnd"/>
            <w:r w:rsidRPr="00A84A8D">
              <w:t xml:space="preserve"> transaction costs (broken deal costs), administrative costs (staff, IT equipment and office).</w:t>
            </w:r>
          </w:p>
        </w:tc>
      </w:tr>
      <w:tr w:rsidR="00B957F4" w:rsidRPr="00A84A8D" w14:paraId="31A477EB" w14:textId="77777777" w:rsidTr="00796D2F">
        <w:tc>
          <w:tcPr>
            <w:tcW w:w="1074" w:type="pct"/>
          </w:tcPr>
          <w:p w14:paraId="52B2923C" w14:textId="732532E9" w:rsidR="00B957F4" w:rsidRPr="00A84A8D" w:rsidRDefault="00B957F4" w:rsidP="00796D2F">
            <w:pPr>
              <w:rPr>
                <w:rFonts w:ascii="Verdana" w:hAnsi="Verdana"/>
              </w:rPr>
            </w:pPr>
            <w:r w:rsidRPr="00A84A8D">
              <w:rPr>
                <w:rFonts w:ascii="Verdana" w:hAnsi="Verdana"/>
              </w:rPr>
              <w:t>C0050-C0080/R0040</w:t>
            </w:r>
          </w:p>
        </w:tc>
        <w:tc>
          <w:tcPr>
            <w:tcW w:w="1163" w:type="pct"/>
          </w:tcPr>
          <w:p w14:paraId="27A0DF8A" w14:textId="77777777" w:rsidR="00B957F4" w:rsidRPr="00A84A8D" w:rsidRDefault="00B957F4" w:rsidP="00796D2F">
            <w:pPr>
              <w:pStyle w:val="BodyLeft"/>
            </w:pPr>
            <w:r w:rsidRPr="00A84A8D">
              <w:t>Other costs and expenses</w:t>
            </w:r>
          </w:p>
        </w:tc>
        <w:tc>
          <w:tcPr>
            <w:tcW w:w="2763" w:type="pct"/>
          </w:tcPr>
          <w:p w14:paraId="61AC7F82" w14:textId="751F0B8E" w:rsidR="00B957F4" w:rsidRPr="00A84A8D" w:rsidRDefault="00B957F4" w:rsidP="00796D2F">
            <w:pPr>
              <w:pStyle w:val="BodyLeft"/>
            </w:pPr>
            <w:r w:rsidRPr="00A84A8D">
              <w:t>Other expenses, incurred in relation to the pension scheme arrangement, not included in C0050-C0080/R0010-R0033.</w:t>
            </w:r>
          </w:p>
        </w:tc>
      </w:tr>
      <w:tr w:rsidR="00B957F4" w:rsidRPr="00A84A8D" w14:paraId="69477CD6" w14:textId="77777777" w:rsidTr="00796D2F">
        <w:tc>
          <w:tcPr>
            <w:tcW w:w="1074" w:type="pct"/>
          </w:tcPr>
          <w:p w14:paraId="0D99361C" w14:textId="1E6EB5C2" w:rsidR="00B957F4" w:rsidRPr="00A84A8D" w:rsidRDefault="00B957F4" w:rsidP="00796D2F">
            <w:pPr>
              <w:rPr>
                <w:rFonts w:ascii="Verdana" w:hAnsi="Verdana"/>
              </w:rPr>
            </w:pPr>
            <w:r w:rsidRPr="00A84A8D">
              <w:rPr>
                <w:rFonts w:ascii="Verdana" w:hAnsi="Verdana"/>
              </w:rPr>
              <w:t>C0050-C0080/R0050</w:t>
            </w:r>
          </w:p>
        </w:tc>
        <w:tc>
          <w:tcPr>
            <w:tcW w:w="1163" w:type="pct"/>
          </w:tcPr>
          <w:p w14:paraId="49BD8B71" w14:textId="77777777" w:rsidR="00B957F4" w:rsidRPr="00A84A8D" w:rsidRDefault="00B957F4" w:rsidP="00796D2F">
            <w:pPr>
              <w:pStyle w:val="BodyLeft"/>
            </w:pPr>
            <w:r w:rsidRPr="00A84A8D">
              <w:t>Total expenses</w:t>
            </w:r>
          </w:p>
        </w:tc>
        <w:tc>
          <w:tcPr>
            <w:tcW w:w="2763" w:type="pct"/>
          </w:tcPr>
          <w:p w14:paraId="079B3B88" w14:textId="183F9C76" w:rsidR="00B957F4" w:rsidRPr="00A84A8D" w:rsidRDefault="00B957F4" w:rsidP="00796D2F">
            <w:pPr>
              <w:pStyle w:val="BodyLeft"/>
            </w:pPr>
            <w:r w:rsidRPr="00A84A8D">
              <w:t>Total value of expenses and including look-through where appropriate, incurred during the reporting period.</w:t>
            </w:r>
          </w:p>
        </w:tc>
      </w:tr>
    </w:tbl>
    <w:p w14:paraId="768D12ED" w14:textId="77777777" w:rsidR="00B957F4" w:rsidRPr="00A84A8D" w:rsidRDefault="00B957F4" w:rsidP="00B957F4">
      <w:pPr>
        <w:pStyle w:val="Heading2"/>
        <w:rPr>
          <w:sz w:val="22"/>
          <w:szCs w:val="22"/>
        </w:rPr>
      </w:pPr>
      <w:bookmarkStart w:id="45" w:name="_Toc484604327"/>
    </w:p>
    <w:p w14:paraId="1D1C1199" w14:textId="77777777" w:rsidR="00B957F4" w:rsidRPr="00A84A8D" w:rsidRDefault="00B957F4" w:rsidP="00B957F4">
      <w:pPr>
        <w:pStyle w:val="Heading4"/>
      </w:pPr>
      <w:bookmarkStart w:id="46" w:name="_Toc484788337"/>
      <w:bookmarkStart w:id="47" w:name="_Toc485028012"/>
      <w:r w:rsidRPr="00A84A8D">
        <w:t>Cross-border activities- individual</w:t>
      </w:r>
      <w:bookmarkEnd w:id="45"/>
      <w:bookmarkEnd w:id="46"/>
      <w:r w:rsidRPr="00A84A8D">
        <w:t xml:space="preserve"> reporting only</w:t>
      </w:r>
      <w:bookmarkEnd w:id="47"/>
      <w:r w:rsidRPr="00A84A8D">
        <w:t xml:space="preserve"> (PF.04.03.24)</w:t>
      </w:r>
    </w:p>
    <w:p w14:paraId="49A3CAF0" w14:textId="4E83688F" w:rsidR="002A15C2" w:rsidRPr="00A84A8D" w:rsidRDefault="00B957F4" w:rsidP="00B326D7">
      <w:pPr>
        <w:spacing w:after="118"/>
        <w:ind w:left="5"/>
        <w:jc w:val="both"/>
        <w:rPr>
          <w:rFonts w:ascii="Verdana" w:hAnsi="Verdana"/>
        </w:rPr>
      </w:pPr>
      <w:r w:rsidRPr="00A84A8D">
        <w:rPr>
          <w:rFonts w:ascii="Verdana" w:hAnsi="Verdana"/>
        </w:rPr>
        <w:t>For the purposes of providing individual information at Member State level about cross-border activities, NCAs shall submit the following information on an annual basis.</w:t>
      </w:r>
      <w:r w:rsidR="002A15C2" w:rsidRPr="00A84A8D">
        <w:rPr>
          <w:rFonts w:ascii="Verdana" w:hAnsi="Verdana"/>
          <w:b/>
        </w:rPr>
        <w:t xml:space="preserve"> </w:t>
      </w:r>
      <w:r w:rsidR="002A15C2" w:rsidRPr="00A84A8D">
        <w:rPr>
          <w:rFonts w:ascii="Verdana" w:hAnsi="Verdana"/>
        </w:rPr>
        <w:t>‘Cross-border activity</w:t>
      </w:r>
      <w:proofErr w:type="gramStart"/>
      <w:r w:rsidR="002A15C2" w:rsidRPr="00A84A8D">
        <w:rPr>
          <w:rFonts w:ascii="Verdana" w:hAnsi="Verdana"/>
        </w:rPr>
        <w:t>’  means</w:t>
      </w:r>
      <w:proofErr w:type="gramEnd"/>
      <w:r w:rsidR="002A15C2" w:rsidRPr="00A84A8D">
        <w:rPr>
          <w:rFonts w:ascii="Verdana" w:hAnsi="Verdana"/>
        </w:rPr>
        <w:t xml:space="preserve"> operating a pension scheme where the relationship between the sponsoring undertaking, and the members and beneficiaries concerned, </w:t>
      </w:r>
      <w:r w:rsidR="0074446B" w:rsidRPr="00A84A8D">
        <w:rPr>
          <w:rFonts w:ascii="Verdana" w:hAnsi="Verdana"/>
        </w:rPr>
        <w:t xml:space="preserve">is </w:t>
      </w:r>
      <w:r w:rsidR="00B425E9" w:rsidRPr="00A84A8D">
        <w:rPr>
          <w:rFonts w:ascii="Verdana" w:hAnsi="Verdana"/>
        </w:rPr>
        <w:t xml:space="preserve">governed </w:t>
      </w:r>
      <w:proofErr w:type="spellStart"/>
      <w:r w:rsidR="00B425E9" w:rsidRPr="00A84A8D">
        <w:rPr>
          <w:rFonts w:ascii="Verdana" w:hAnsi="Verdana"/>
        </w:rPr>
        <w:t>by</w:t>
      </w:r>
      <w:r w:rsidR="002A15C2" w:rsidRPr="00A84A8D">
        <w:rPr>
          <w:rFonts w:ascii="Verdana" w:hAnsi="Verdana"/>
        </w:rPr>
        <w:t>the</w:t>
      </w:r>
      <w:proofErr w:type="spellEnd"/>
      <w:r w:rsidR="002A15C2" w:rsidRPr="00A84A8D">
        <w:rPr>
          <w:rFonts w:ascii="Verdana" w:hAnsi="Verdana"/>
        </w:rPr>
        <w:t xml:space="preserve"> social and labour law relevant to the field of occupational pension schemes of a Member State other than the home Member State.</w:t>
      </w:r>
    </w:p>
    <w:p w14:paraId="07FAB365" w14:textId="77777777" w:rsidR="00B957F4" w:rsidRPr="00A84A8D" w:rsidRDefault="00B957F4" w:rsidP="00B957F4">
      <w:pPr>
        <w:pStyle w:val="Heading4"/>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2275"/>
        <w:gridCol w:w="5264"/>
      </w:tblGrid>
      <w:tr w:rsidR="00B957F4" w:rsidRPr="00A84A8D" w14:paraId="0927478C" w14:textId="77777777" w:rsidTr="00796D2F">
        <w:tc>
          <w:tcPr>
            <w:tcW w:w="1043" w:type="pct"/>
          </w:tcPr>
          <w:p w14:paraId="37C0DDEB" w14:textId="77777777" w:rsidR="00B957F4" w:rsidRPr="00A84A8D" w:rsidRDefault="00B957F4" w:rsidP="00796D2F">
            <w:pPr>
              <w:rPr>
                <w:rFonts w:ascii="Verdana" w:hAnsi="Verdana"/>
              </w:rPr>
            </w:pPr>
          </w:p>
        </w:tc>
        <w:tc>
          <w:tcPr>
            <w:tcW w:w="1194" w:type="pct"/>
          </w:tcPr>
          <w:p w14:paraId="7D0E4AFF" w14:textId="77777777" w:rsidR="00B957F4" w:rsidRPr="00A84A8D" w:rsidRDefault="00B957F4" w:rsidP="00796D2F">
            <w:pPr>
              <w:pStyle w:val="BodyLeft"/>
              <w:rPr>
                <w:rStyle w:val="Bold"/>
              </w:rPr>
            </w:pPr>
            <w:r w:rsidRPr="00A84A8D">
              <w:rPr>
                <w:rStyle w:val="Bold"/>
              </w:rPr>
              <w:t>ITEM</w:t>
            </w:r>
          </w:p>
        </w:tc>
        <w:tc>
          <w:tcPr>
            <w:tcW w:w="2763" w:type="pct"/>
          </w:tcPr>
          <w:p w14:paraId="2860158B" w14:textId="77777777" w:rsidR="00B957F4" w:rsidRPr="00A84A8D" w:rsidRDefault="00B957F4" w:rsidP="00796D2F">
            <w:pPr>
              <w:pStyle w:val="BodyLeft"/>
              <w:rPr>
                <w:rStyle w:val="Bold"/>
              </w:rPr>
            </w:pPr>
            <w:r w:rsidRPr="00A84A8D">
              <w:rPr>
                <w:rStyle w:val="Bold"/>
              </w:rPr>
              <w:t>INSTRUCTIONS</w:t>
            </w:r>
          </w:p>
        </w:tc>
      </w:tr>
      <w:tr w:rsidR="00B957F4" w:rsidRPr="00A84A8D" w14:paraId="5EC02F88" w14:textId="77777777" w:rsidTr="00796D2F">
        <w:tc>
          <w:tcPr>
            <w:tcW w:w="1043" w:type="pct"/>
          </w:tcPr>
          <w:p w14:paraId="42F0755D" w14:textId="77777777" w:rsidR="00B957F4" w:rsidRPr="00A84A8D" w:rsidRDefault="00B957F4" w:rsidP="00796D2F">
            <w:pPr>
              <w:rPr>
                <w:rFonts w:ascii="Verdana" w:hAnsi="Verdana"/>
              </w:rPr>
            </w:pPr>
            <w:r w:rsidRPr="00A84A8D">
              <w:rPr>
                <w:rFonts w:ascii="Verdana" w:hAnsi="Verdana"/>
              </w:rPr>
              <w:t>Z0010</w:t>
            </w:r>
          </w:p>
        </w:tc>
        <w:tc>
          <w:tcPr>
            <w:tcW w:w="1194" w:type="pct"/>
          </w:tcPr>
          <w:p w14:paraId="1DD350C5" w14:textId="4FC4170B" w:rsidR="00B957F4" w:rsidRPr="00A84A8D" w:rsidRDefault="0073779F" w:rsidP="00796D2F">
            <w:pPr>
              <w:pStyle w:val="BodyLeft"/>
              <w:rPr>
                <w:rStyle w:val="Bold"/>
                <w:b w:val="0"/>
              </w:rPr>
            </w:pPr>
            <w:r w:rsidRPr="00A84A8D">
              <w:rPr>
                <w:rStyle w:val="Bold"/>
                <w:b w:val="0"/>
              </w:rPr>
              <w:t>Host countries</w:t>
            </w:r>
          </w:p>
        </w:tc>
        <w:tc>
          <w:tcPr>
            <w:tcW w:w="2763" w:type="pct"/>
          </w:tcPr>
          <w:p w14:paraId="4ECE6331" w14:textId="694C1AAC" w:rsidR="00B957F4" w:rsidRPr="00A84A8D" w:rsidRDefault="00B957F4" w:rsidP="00DC2641">
            <w:pPr>
              <w:pStyle w:val="BodyLeft"/>
              <w:rPr>
                <w:rStyle w:val="Bold"/>
                <w:b w:val="0"/>
              </w:rPr>
            </w:pPr>
            <w:r w:rsidRPr="00A84A8D">
              <w:rPr>
                <w:rStyle w:val="Bold"/>
                <w:b w:val="0"/>
              </w:rPr>
              <w:t xml:space="preserve">ISO 3166–1 alpha–2 code </w:t>
            </w:r>
            <w:r w:rsidR="00DC2641" w:rsidRPr="00A84A8D">
              <w:rPr>
                <w:rStyle w:val="Bold"/>
                <w:b w:val="0"/>
              </w:rPr>
              <w:t xml:space="preserve">of the country where the IORP is active outside its home country. Active means that the IORP is authorised, has finalised the notification procedure with that host country and holds assets and liabilities relating to this </w:t>
            </w:r>
            <w:proofErr w:type="gramStart"/>
            <w:r w:rsidR="00DC2641" w:rsidRPr="00A84A8D">
              <w:rPr>
                <w:rStyle w:val="Bold"/>
                <w:b w:val="0"/>
              </w:rPr>
              <w:t>cross border</w:t>
            </w:r>
            <w:proofErr w:type="gramEnd"/>
            <w:r w:rsidR="00DC2641" w:rsidRPr="00A84A8D">
              <w:rPr>
                <w:rStyle w:val="Bold"/>
                <w:b w:val="0"/>
              </w:rPr>
              <w:t xml:space="preserve"> activity in that host country.</w:t>
            </w:r>
          </w:p>
        </w:tc>
      </w:tr>
      <w:tr w:rsidR="002A15C2" w:rsidRPr="00A84A8D" w:rsidDel="00793BD1" w14:paraId="16454EA0" w14:textId="77777777" w:rsidTr="00796D2F">
        <w:tc>
          <w:tcPr>
            <w:tcW w:w="1043" w:type="pct"/>
          </w:tcPr>
          <w:p w14:paraId="5B1093C3" w14:textId="7250E859" w:rsidR="002A15C2" w:rsidRPr="00A84A8D" w:rsidRDefault="002A15C2" w:rsidP="002A15C2">
            <w:pPr>
              <w:rPr>
                <w:rFonts w:ascii="Verdana" w:hAnsi="Verdana"/>
              </w:rPr>
            </w:pPr>
            <w:r w:rsidRPr="00A84A8D">
              <w:rPr>
                <w:rFonts w:ascii="Verdana" w:hAnsi="Verdana"/>
              </w:rPr>
              <w:t>C0040/R0015</w:t>
            </w:r>
          </w:p>
          <w:p w14:paraId="405F9795" w14:textId="77777777" w:rsidR="002A15C2" w:rsidRPr="00A84A8D" w:rsidDel="00712E90" w:rsidRDefault="002A15C2" w:rsidP="002A15C2">
            <w:pPr>
              <w:rPr>
                <w:rFonts w:ascii="Verdana" w:hAnsi="Verdana"/>
              </w:rPr>
            </w:pPr>
          </w:p>
        </w:tc>
        <w:tc>
          <w:tcPr>
            <w:tcW w:w="1194" w:type="pct"/>
          </w:tcPr>
          <w:p w14:paraId="2E46F976" w14:textId="747F180F" w:rsidR="002A15C2" w:rsidRPr="00A84A8D" w:rsidDel="00793BD1" w:rsidRDefault="002A15C2" w:rsidP="002A15C2">
            <w:pPr>
              <w:pStyle w:val="BodyLeft"/>
            </w:pPr>
            <w:r w:rsidRPr="00A84A8D">
              <w:t>Pension fund category</w:t>
            </w:r>
          </w:p>
        </w:tc>
        <w:tc>
          <w:tcPr>
            <w:tcW w:w="2763" w:type="pct"/>
          </w:tcPr>
          <w:p w14:paraId="18AD2994" w14:textId="4CF2B878" w:rsidR="002A15C2" w:rsidRPr="00A84A8D" w:rsidRDefault="002A15C2" w:rsidP="002A15C2">
            <w:pPr>
              <w:pStyle w:val="BodyLeft"/>
            </w:pPr>
            <w:r w:rsidRPr="00A84A8D">
              <w:t xml:space="preserve">1 – Cross-border activities provided in line with Art. 15(1) of IORP Directive </w:t>
            </w:r>
          </w:p>
          <w:p w14:paraId="4620C21F" w14:textId="0652312E" w:rsidR="002A15C2" w:rsidRPr="00A84A8D" w:rsidRDefault="002A15C2" w:rsidP="002A15C2">
            <w:pPr>
              <w:pStyle w:val="BodyLeft"/>
            </w:pPr>
            <w:r w:rsidRPr="00A84A8D">
              <w:t>2 – Cross-border activities not providing protection in line with Art. 15(1) of IORP Directive</w:t>
            </w:r>
          </w:p>
          <w:p w14:paraId="71C3F14E" w14:textId="77777777" w:rsidR="002A15C2" w:rsidRPr="00A84A8D" w:rsidRDefault="002A15C2" w:rsidP="002A15C2">
            <w:pPr>
              <w:pStyle w:val="BodyLeft"/>
            </w:pPr>
            <w:r w:rsidRPr="00A84A8D">
              <w:t>3 - Occupational retirement business as referred to in Art 4 of IORP Directive.</w:t>
            </w:r>
          </w:p>
          <w:p w14:paraId="050D3992" w14:textId="77777777" w:rsidR="002A15C2" w:rsidRPr="00A84A8D" w:rsidRDefault="002A15C2" w:rsidP="002A15C2">
            <w:pPr>
              <w:pStyle w:val="BodyLeft"/>
            </w:pPr>
            <w:r w:rsidRPr="00A84A8D">
              <w:t>4 - nationally regulated pension fund not regulated by IORP Directive ('non-IORP')</w:t>
            </w:r>
          </w:p>
          <w:p w14:paraId="7B521039" w14:textId="63535FE2" w:rsidR="002A15C2" w:rsidRPr="00A84A8D" w:rsidDel="00793BD1" w:rsidRDefault="002A15C2" w:rsidP="002A15C2">
            <w:pPr>
              <w:pStyle w:val="BodyLeft"/>
            </w:pPr>
          </w:p>
        </w:tc>
      </w:tr>
      <w:tr w:rsidR="002A15C2" w:rsidRPr="00A84A8D" w14:paraId="5F5D0934" w14:textId="77777777" w:rsidTr="00796D2F">
        <w:tc>
          <w:tcPr>
            <w:tcW w:w="1043" w:type="pct"/>
          </w:tcPr>
          <w:p w14:paraId="7BE60399" w14:textId="77777777" w:rsidR="002A15C2" w:rsidRPr="00A84A8D" w:rsidRDefault="002A15C2" w:rsidP="002A15C2">
            <w:pPr>
              <w:rPr>
                <w:rFonts w:ascii="Verdana" w:hAnsi="Verdana"/>
              </w:rPr>
            </w:pPr>
            <w:r w:rsidRPr="00A84A8D">
              <w:rPr>
                <w:rFonts w:ascii="Verdana" w:hAnsi="Verdana"/>
              </w:rPr>
              <w:t>C0040/R0020</w:t>
            </w:r>
          </w:p>
          <w:p w14:paraId="4224FC9E" w14:textId="77777777" w:rsidR="002A15C2" w:rsidRPr="00A84A8D" w:rsidRDefault="002A15C2" w:rsidP="002A15C2">
            <w:pPr>
              <w:rPr>
                <w:rFonts w:ascii="Verdana" w:hAnsi="Verdana"/>
              </w:rPr>
            </w:pPr>
          </w:p>
        </w:tc>
        <w:tc>
          <w:tcPr>
            <w:tcW w:w="1194" w:type="pct"/>
          </w:tcPr>
          <w:p w14:paraId="1FFC12F1" w14:textId="77777777" w:rsidR="002A15C2" w:rsidRPr="00A84A8D" w:rsidRDefault="002A15C2" w:rsidP="002A15C2">
            <w:pPr>
              <w:pStyle w:val="BodyLeft"/>
            </w:pPr>
            <w:r w:rsidRPr="00A84A8D">
              <w:t>Number of sponsoring undertakings</w:t>
            </w:r>
          </w:p>
        </w:tc>
        <w:tc>
          <w:tcPr>
            <w:tcW w:w="2763" w:type="pct"/>
          </w:tcPr>
          <w:p w14:paraId="246F5D5A" w14:textId="27A816BF" w:rsidR="002A15C2" w:rsidRPr="00A84A8D" w:rsidRDefault="002A15C2" w:rsidP="002A15C2">
            <w:pPr>
              <w:pStyle w:val="BodyLeft"/>
            </w:pPr>
            <w:r w:rsidRPr="00A84A8D">
              <w:t xml:space="preserve">Sponsoring undertakings contributing to cross-border activities. </w:t>
            </w:r>
          </w:p>
        </w:tc>
      </w:tr>
      <w:tr w:rsidR="002A15C2" w:rsidRPr="00A84A8D" w14:paraId="49707896" w14:textId="77777777" w:rsidTr="00796D2F">
        <w:tc>
          <w:tcPr>
            <w:tcW w:w="1043" w:type="pct"/>
          </w:tcPr>
          <w:p w14:paraId="0F3702FC" w14:textId="77777777" w:rsidR="002A15C2" w:rsidRPr="00A84A8D" w:rsidRDefault="002A15C2" w:rsidP="002A15C2">
            <w:pPr>
              <w:rPr>
                <w:rFonts w:ascii="Verdana" w:hAnsi="Verdana"/>
              </w:rPr>
            </w:pPr>
            <w:r w:rsidRPr="00A84A8D">
              <w:rPr>
                <w:rFonts w:ascii="Verdana" w:hAnsi="Verdana"/>
              </w:rPr>
              <w:t xml:space="preserve">C0010-C0040/R0040 </w:t>
            </w:r>
          </w:p>
        </w:tc>
        <w:tc>
          <w:tcPr>
            <w:tcW w:w="1194" w:type="pct"/>
          </w:tcPr>
          <w:p w14:paraId="4C7A3106" w14:textId="77777777" w:rsidR="002A15C2" w:rsidRPr="00A84A8D" w:rsidRDefault="002A15C2" w:rsidP="002A15C2">
            <w:pPr>
              <w:pStyle w:val="BodyLeft"/>
            </w:pPr>
            <w:r w:rsidRPr="00A84A8D">
              <w:t>Total assets</w:t>
            </w:r>
          </w:p>
        </w:tc>
        <w:tc>
          <w:tcPr>
            <w:tcW w:w="2763" w:type="pct"/>
          </w:tcPr>
          <w:p w14:paraId="06B784DB" w14:textId="77777777" w:rsidR="002A15C2" w:rsidRPr="00A84A8D" w:rsidRDefault="002A15C2" w:rsidP="002A15C2">
            <w:pPr>
              <w:pStyle w:val="BodyLeft"/>
            </w:pPr>
            <w:r w:rsidRPr="00A84A8D">
              <w:t>Total value of assets held in relation to cross-border activities.</w:t>
            </w:r>
          </w:p>
        </w:tc>
      </w:tr>
      <w:tr w:rsidR="002A15C2" w:rsidRPr="00A84A8D" w14:paraId="3C6056A9" w14:textId="77777777" w:rsidTr="00796D2F">
        <w:tc>
          <w:tcPr>
            <w:tcW w:w="1043" w:type="pct"/>
          </w:tcPr>
          <w:p w14:paraId="7ACEE0B7" w14:textId="77777777" w:rsidR="002A15C2" w:rsidRPr="00A84A8D" w:rsidRDefault="002A15C2" w:rsidP="002A15C2">
            <w:pPr>
              <w:rPr>
                <w:rFonts w:ascii="Verdana" w:hAnsi="Verdana"/>
              </w:rPr>
            </w:pPr>
            <w:r w:rsidRPr="00A84A8D">
              <w:rPr>
                <w:rFonts w:ascii="Verdana" w:hAnsi="Verdana"/>
              </w:rPr>
              <w:t>C0010-C0040/R0050</w:t>
            </w:r>
          </w:p>
          <w:p w14:paraId="6D8FBE98" w14:textId="77777777" w:rsidR="002A15C2" w:rsidRPr="00A84A8D" w:rsidRDefault="002A15C2" w:rsidP="002A15C2">
            <w:pPr>
              <w:rPr>
                <w:rFonts w:ascii="Verdana" w:hAnsi="Verdana"/>
              </w:rPr>
            </w:pPr>
          </w:p>
        </w:tc>
        <w:tc>
          <w:tcPr>
            <w:tcW w:w="1194" w:type="pct"/>
          </w:tcPr>
          <w:p w14:paraId="3E8FBFA2" w14:textId="77777777" w:rsidR="002A15C2" w:rsidRPr="00A84A8D" w:rsidRDefault="002A15C2" w:rsidP="002A15C2">
            <w:pPr>
              <w:pStyle w:val="BodyLeft"/>
            </w:pPr>
            <w:r w:rsidRPr="00A84A8D">
              <w:t xml:space="preserve">Technical provisions </w:t>
            </w:r>
          </w:p>
        </w:tc>
        <w:tc>
          <w:tcPr>
            <w:tcW w:w="2763" w:type="pct"/>
          </w:tcPr>
          <w:p w14:paraId="2BB791C7" w14:textId="77777777" w:rsidR="002A15C2" w:rsidRPr="00A84A8D" w:rsidRDefault="002A15C2" w:rsidP="002A15C2">
            <w:pPr>
              <w:pStyle w:val="BodyLeft"/>
            </w:pPr>
            <w:r w:rsidRPr="00A84A8D">
              <w:t>Total value of technical provisions relating to cross-border activities.</w:t>
            </w:r>
          </w:p>
        </w:tc>
      </w:tr>
      <w:tr w:rsidR="002A15C2" w:rsidRPr="00A84A8D" w14:paraId="65F0D1B7" w14:textId="77777777" w:rsidTr="00796D2F">
        <w:tc>
          <w:tcPr>
            <w:tcW w:w="1043" w:type="pct"/>
          </w:tcPr>
          <w:p w14:paraId="56E9634A" w14:textId="77777777" w:rsidR="002A15C2" w:rsidRPr="00A84A8D" w:rsidRDefault="002A15C2" w:rsidP="002A15C2">
            <w:pPr>
              <w:rPr>
                <w:rFonts w:ascii="Verdana" w:hAnsi="Verdana"/>
              </w:rPr>
            </w:pPr>
            <w:r w:rsidRPr="00A84A8D">
              <w:rPr>
                <w:rFonts w:ascii="Verdana" w:hAnsi="Verdana"/>
              </w:rPr>
              <w:t>C0010-C0040/R0060</w:t>
            </w:r>
          </w:p>
          <w:p w14:paraId="5292FC2D" w14:textId="77777777" w:rsidR="002A15C2" w:rsidRPr="00A84A8D" w:rsidRDefault="002A15C2" w:rsidP="002A15C2">
            <w:pPr>
              <w:rPr>
                <w:rFonts w:ascii="Verdana" w:hAnsi="Verdana"/>
              </w:rPr>
            </w:pPr>
          </w:p>
        </w:tc>
        <w:tc>
          <w:tcPr>
            <w:tcW w:w="1194" w:type="pct"/>
          </w:tcPr>
          <w:p w14:paraId="6BE13292" w14:textId="77777777" w:rsidR="002A15C2" w:rsidRPr="00A84A8D" w:rsidRDefault="002A15C2" w:rsidP="002A15C2">
            <w:pPr>
              <w:pStyle w:val="BodyLeft"/>
            </w:pPr>
            <w:r w:rsidRPr="00A84A8D">
              <w:t>Active members</w:t>
            </w:r>
          </w:p>
        </w:tc>
        <w:tc>
          <w:tcPr>
            <w:tcW w:w="2763" w:type="pct"/>
          </w:tcPr>
          <w:p w14:paraId="395DFE48" w14:textId="77777777" w:rsidR="002A15C2" w:rsidRPr="00A84A8D" w:rsidRDefault="002A15C2" w:rsidP="002A15C2">
            <w:pPr>
              <w:pStyle w:val="BodyLeft"/>
            </w:pPr>
            <w:r w:rsidRPr="00A84A8D">
              <w:t xml:space="preserve">Active members (code 48 70 4 according to Annex I of Regulation 250/2009) relating to cross-border activities. </w:t>
            </w:r>
          </w:p>
        </w:tc>
      </w:tr>
      <w:tr w:rsidR="002A15C2" w:rsidRPr="00A84A8D" w14:paraId="52212C64" w14:textId="77777777" w:rsidTr="00796D2F">
        <w:tc>
          <w:tcPr>
            <w:tcW w:w="1043" w:type="pct"/>
          </w:tcPr>
          <w:p w14:paraId="62AA5735" w14:textId="77777777" w:rsidR="002A15C2" w:rsidRPr="00A84A8D" w:rsidRDefault="002A15C2" w:rsidP="002A15C2">
            <w:pPr>
              <w:rPr>
                <w:rFonts w:ascii="Verdana" w:hAnsi="Verdana"/>
              </w:rPr>
            </w:pPr>
            <w:r w:rsidRPr="00A84A8D">
              <w:rPr>
                <w:rFonts w:ascii="Verdana" w:hAnsi="Verdana"/>
              </w:rPr>
              <w:t>C0010-C0040/R0070</w:t>
            </w:r>
          </w:p>
          <w:p w14:paraId="3BE08484" w14:textId="77777777" w:rsidR="002A15C2" w:rsidRPr="00A84A8D" w:rsidRDefault="002A15C2" w:rsidP="002A15C2">
            <w:pPr>
              <w:rPr>
                <w:rFonts w:ascii="Verdana" w:hAnsi="Verdana"/>
              </w:rPr>
            </w:pPr>
          </w:p>
        </w:tc>
        <w:tc>
          <w:tcPr>
            <w:tcW w:w="1194" w:type="pct"/>
          </w:tcPr>
          <w:p w14:paraId="2F4883E3" w14:textId="77777777" w:rsidR="002A15C2" w:rsidRPr="00A84A8D" w:rsidRDefault="002A15C2" w:rsidP="002A15C2">
            <w:pPr>
              <w:pStyle w:val="BodyLeft"/>
            </w:pPr>
            <w:r w:rsidRPr="00A84A8D">
              <w:t>Deferred members</w:t>
            </w:r>
          </w:p>
        </w:tc>
        <w:tc>
          <w:tcPr>
            <w:tcW w:w="2763" w:type="pct"/>
          </w:tcPr>
          <w:p w14:paraId="0BF85D55" w14:textId="77777777" w:rsidR="002A15C2" w:rsidRPr="00A84A8D" w:rsidRDefault="002A15C2" w:rsidP="002A15C2">
            <w:pPr>
              <w:pStyle w:val="BodyLeft"/>
            </w:pPr>
            <w:r w:rsidRPr="00A84A8D">
              <w:t xml:space="preserve">Deferred members (code 48 70 5 according to Annex I of Regulation 250/2009) relating to cross-border activities. </w:t>
            </w:r>
          </w:p>
        </w:tc>
      </w:tr>
      <w:tr w:rsidR="002A15C2" w:rsidRPr="00A84A8D" w14:paraId="75FBAB6F" w14:textId="77777777" w:rsidTr="00796D2F">
        <w:tc>
          <w:tcPr>
            <w:tcW w:w="1043" w:type="pct"/>
          </w:tcPr>
          <w:p w14:paraId="5DB0E01A" w14:textId="77777777" w:rsidR="002A15C2" w:rsidRPr="00A84A8D" w:rsidRDefault="002A15C2" w:rsidP="002A15C2">
            <w:pPr>
              <w:rPr>
                <w:rFonts w:ascii="Verdana" w:hAnsi="Verdana"/>
              </w:rPr>
            </w:pPr>
            <w:r w:rsidRPr="00A84A8D">
              <w:rPr>
                <w:rFonts w:ascii="Verdana" w:hAnsi="Verdana"/>
              </w:rPr>
              <w:t>C0010-C0040/R0080</w:t>
            </w:r>
          </w:p>
          <w:p w14:paraId="6592353D" w14:textId="77777777" w:rsidR="002A15C2" w:rsidRPr="00A84A8D" w:rsidRDefault="002A15C2" w:rsidP="002A15C2">
            <w:pPr>
              <w:rPr>
                <w:rFonts w:ascii="Verdana" w:hAnsi="Verdana"/>
              </w:rPr>
            </w:pPr>
          </w:p>
        </w:tc>
        <w:tc>
          <w:tcPr>
            <w:tcW w:w="1194" w:type="pct"/>
          </w:tcPr>
          <w:p w14:paraId="35113F4D" w14:textId="77777777" w:rsidR="002A15C2" w:rsidRPr="00A84A8D" w:rsidRDefault="002A15C2" w:rsidP="002A15C2">
            <w:pPr>
              <w:pStyle w:val="BodyLeft"/>
            </w:pPr>
            <w:r w:rsidRPr="00A84A8D">
              <w:t>Beneficiaries</w:t>
            </w:r>
          </w:p>
        </w:tc>
        <w:tc>
          <w:tcPr>
            <w:tcW w:w="2763" w:type="pct"/>
          </w:tcPr>
          <w:p w14:paraId="71B63427" w14:textId="77777777" w:rsidR="002A15C2" w:rsidRPr="00A84A8D" w:rsidRDefault="002A15C2" w:rsidP="002A15C2">
            <w:pPr>
              <w:pStyle w:val="BodyLeft"/>
            </w:pPr>
            <w:r w:rsidRPr="00A84A8D">
              <w:t>Beneficiaries relating to cross-border activities.</w:t>
            </w:r>
          </w:p>
        </w:tc>
      </w:tr>
    </w:tbl>
    <w:p w14:paraId="52ECB77C" w14:textId="77777777" w:rsidR="00B957F4" w:rsidRPr="00A84A8D" w:rsidRDefault="00B957F4" w:rsidP="00B957F4">
      <w:pPr>
        <w:pStyle w:val="Heading2"/>
        <w:rPr>
          <w:sz w:val="22"/>
          <w:szCs w:val="22"/>
        </w:rPr>
      </w:pPr>
      <w:bookmarkStart w:id="48" w:name="_Toc484604328"/>
    </w:p>
    <w:p w14:paraId="5E47FB1E" w14:textId="77777777" w:rsidR="00B957F4" w:rsidRPr="00A84A8D" w:rsidRDefault="00B957F4" w:rsidP="00B957F4">
      <w:pPr>
        <w:pStyle w:val="Heading4"/>
      </w:pPr>
      <w:bookmarkStart w:id="49" w:name="_Toc484788338"/>
      <w:bookmarkStart w:id="50" w:name="_Toc485028013"/>
      <w:r w:rsidRPr="00A84A8D">
        <w:t>Cross-border activities - aggregate</w:t>
      </w:r>
      <w:bookmarkEnd w:id="48"/>
      <w:bookmarkEnd w:id="49"/>
      <w:r w:rsidRPr="00A84A8D">
        <w:t xml:space="preserve"> reporting only</w:t>
      </w:r>
      <w:bookmarkEnd w:id="50"/>
      <w:r w:rsidRPr="00A84A8D">
        <w:t xml:space="preserve"> (PF.04.03.26)</w:t>
      </w:r>
    </w:p>
    <w:p w14:paraId="07706E30" w14:textId="43799E97" w:rsidR="002A15C2" w:rsidRPr="00A84A8D" w:rsidRDefault="00B957F4" w:rsidP="002A15C2">
      <w:pPr>
        <w:spacing w:after="118"/>
        <w:ind w:left="5"/>
        <w:rPr>
          <w:rFonts w:ascii="Verdana" w:hAnsi="Verdana"/>
        </w:rPr>
      </w:pPr>
      <w:r w:rsidRPr="00A84A8D">
        <w:rPr>
          <w:rFonts w:ascii="Verdana" w:hAnsi="Verdana"/>
        </w:rPr>
        <w:t>For the purposes of providing aggregate information at Member State level about cross-border activities, NCAs shall submit the following information on an annual basis.</w:t>
      </w:r>
      <w:r w:rsidR="002A15C2" w:rsidRPr="00A84A8D">
        <w:rPr>
          <w:rFonts w:ascii="Verdana" w:hAnsi="Verdana"/>
          <w:b/>
        </w:rPr>
        <w:t xml:space="preserve"> </w:t>
      </w:r>
      <w:r w:rsidR="002A15C2" w:rsidRPr="00A84A8D">
        <w:rPr>
          <w:rFonts w:ascii="Verdana" w:hAnsi="Verdana"/>
        </w:rPr>
        <w:t>‘Cross-border activity</w:t>
      </w:r>
      <w:proofErr w:type="gramStart"/>
      <w:r w:rsidR="002A15C2" w:rsidRPr="00A84A8D">
        <w:rPr>
          <w:rFonts w:ascii="Verdana" w:hAnsi="Verdana"/>
        </w:rPr>
        <w:t>’  means</w:t>
      </w:r>
      <w:proofErr w:type="gramEnd"/>
      <w:r w:rsidR="002A15C2" w:rsidRPr="00A84A8D">
        <w:rPr>
          <w:rFonts w:ascii="Verdana" w:hAnsi="Verdana"/>
        </w:rPr>
        <w:t xml:space="preserve"> operating a pension scheme where the relationship between the sponsoring undertaking, and the members and beneficiaries concerned, </w:t>
      </w:r>
      <w:r w:rsidR="00962F11" w:rsidRPr="00A84A8D">
        <w:rPr>
          <w:rFonts w:ascii="Verdana" w:hAnsi="Verdana"/>
        </w:rPr>
        <w:t xml:space="preserve">is </w:t>
      </w:r>
      <w:r w:rsidR="00992848" w:rsidRPr="00A84A8D">
        <w:rPr>
          <w:rFonts w:ascii="Verdana" w:hAnsi="Verdana"/>
        </w:rPr>
        <w:t>governed by</w:t>
      </w:r>
      <w:r w:rsidR="002A15C2" w:rsidRPr="00A84A8D">
        <w:rPr>
          <w:rFonts w:ascii="Verdana" w:hAnsi="Verdana"/>
        </w:rPr>
        <w:t xml:space="preserve"> the social and labour law relevant to the field of occupational pension schemes of a Member State other than the home Member State.</w:t>
      </w:r>
    </w:p>
    <w:p w14:paraId="0A799D65" w14:textId="7F3FEE51" w:rsidR="00B957F4" w:rsidRPr="00A84A8D" w:rsidRDefault="00B957F4" w:rsidP="00B957F4">
      <w:pPr>
        <w:pStyle w:val="Heading4"/>
        <w:rPr>
          <w:b w:val="0"/>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218"/>
        <w:gridCol w:w="5207"/>
      </w:tblGrid>
      <w:tr w:rsidR="00B957F4" w:rsidRPr="00A84A8D" w14:paraId="2701C6DF" w14:textId="77777777" w:rsidTr="00796D2F">
        <w:tc>
          <w:tcPr>
            <w:tcW w:w="1103" w:type="pct"/>
            <w:tcBorders>
              <w:top w:val="single" w:sz="4" w:space="0" w:color="auto"/>
              <w:left w:val="single" w:sz="4" w:space="0" w:color="auto"/>
              <w:bottom w:val="single" w:sz="4" w:space="0" w:color="auto"/>
              <w:right w:val="single" w:sz="4" w:space="0" w:color="auto"/>
            </w:tcBorders>
            <w:shd w:val="clear" w:color="auto" w:fill="auto"/>
          </w:tcPr>
          <w:p w14:paraId="3CF733AC"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7286150A" w14:textId="77777777" w:rsidR="00B957F4" w:rsidRPr="00A84A8D" w:rsidRDefault="00B957F4" w:rsidP="00796D2F">
            <w:pPr>
              <w:pStyle w:val="BodyLeft"/>
              <w:rPr>
                <w:rStyle w:val="Bold"/>
              </w:rPr>
            </w:pPr>
            <w:r w:rsidRPr="00A84A8D">
              <w:rPr>
                <w:rStyle w:val="Bold"/>
              </w:rPr>
              <w:t>ITEM</w:t>
            </w:r>
          </w:p>
        </w:tc>
        <w:tc>
          <w:tcPr>
            <w:tcW w:w="2733" w:type="pct"/>
            <w:tcBorders>
              <w:top w:val="single" w:sz="4" w:space="0" w:color="auto"/>
              <w:left w:val="single" w:sz="4" w:space="0" w:color="auto"/>
              <w:bottom w:val="single" w:sz="4" w:space="0" w:color="auto"/>
              <w:right w:val="single" w:sz="4" w:space="0" w:color="auto"/>
            </w:tcBorders>
            <w:shd w:val="clear" w:color="auto" w:fill="auto"/>
          </w:tcPr>
          <w:p w14:paraId="1CE20C62" w14:textId="77777777" w:rsidR="00B957F4" w:rsidRPr="00A84A8D" w:rsidRDefault="00B957F4" w:rsidP="00796D2F">
            <w:pPr>
              <w:pStyle w:val="BodyLeft"/>
              <w:rPr>
                <w:rStyle w:val="Bold"/>
              </w:rPr>
            </w:pPr>
            <w:r w:rsidRPr="00A84A8D">
              <w:rPr>
                <w:rStyle w:val="Bold"/>
              </w:rPr>
              <w:t>INSTRUCTIONS</w:t>
            </w:r>
          </w:p>
        </w:tc>
      </w:tr>
      <w:tr w:rsidR="00B957F4" w:rsidRPr="00A84A8D" w14:paraId="27AA1A00" w14:textId="77777777" w:rsidTr="00796D2F">
        <w:tc>
          <w:tcPr>
            <w:tcW w:w="1103" w:type="pct"/>
            <w:tcBorders>
              <w:top w:val="single" w:sz="4" w:space="0" w:color="auto"/>
              <w:left w:val="single" w:sz="4" w:space="0" w:color="auto"/>
              <w:bottom w:val="single" w:sz="4" w:space="0" w:color="auto"/>
              <w:right w:val="single" w:sz="4" w:space="0" w:color="auto"/>
            </w:tcBorders>
            <w:shd w:val="clear" w:color="auto" w:fill="auto"/>
          </w:tcPr>
          <w:p w14:paraId="0A37267E" w14:textId="77777777" w:rsidR="00B957F4" w:rsidRPr="00A84A8D" w:rsidRDefault="00B957F4" w:rsidP="00796D2F">
            <w:pPr>
              <w:rPr>
                <w:rFonts w:ascii="Verdana" w:hAnsi="Verdana"/>
              </w:rPr>
            </w:pPr>
            <w:r w:rsidRPr="00A84A8D">
              <w:rPr>
                <w:rFonts w:ascii="Verdana" w:hAnsi="Verdana"/>
              </w:rPr>
              <w:t>C0100</w:t>
            </w:r>
          </w:p>
          <w:p w14:paraId="00CC5C36"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AFA2C14" w14:textId="77777777" w:rsidR="00B957F4" w:rsidRPr="00A84A8D" w:rsidRDefault="00B957F4" w:rsidP="00796D2F">
            <w:pPr>
              <w:rPr>
                <w:rFonts w:ascii="Verdana" w:hAnsi="Verdana"/>
              </w:rPr>
            </w:pPr>
            <w:r w:rsidRPr="00A84A8D">
              <w:rPr>
                <w:rFonts w:ascii="Verdana" w:hAnsi="Verdana"/>
              </w:rPr>
              <w:t>Pension fund identification code</w:t>
            </w:r>
          </w:p>
        </w:tc>
        <w:tc>
          <w:tcPr>
            <w:tcW w:w="2733" w:type="pct"/>
            <w:tcBorders>
              <w:top w:val="single" w:sz="4" w:space="0" w:color="auto"/>
              <w:left w:val="single" w:sz="4" w:space="0" w:color="auto"/>
              <w:bottom w:val="single" w:sz="4" w:space="0" w:color="auto"/>
              <w:right w:val="single" w:sz="4" w:space="0" w:color="auto"/>
            </w:tcBorders>
            <w:shd w:val="clear" w:color="000000" w:fill="FFFFFF"/>
          </w:tcPr>
          <w:p w14:paraId="2A79D868" w14:textId="77777777" w:rsidR="00B957F4" w:rsidRPr="00A84A8D" w:rsidRDefault="00B957F4" w:rsidP="00796D2F">
            <w:pPr>
              <w:rPr>
                <w:rFonts w:ascii="Verdana" w:hAnsi="Verdana"/>
              </w:rPr>
            </w:pPr>
            <w:r w:rsidRPr="00A84A8D">
              <w:rPr>
                <w:rFonts w:ascii="Verdana" w:hAnsi="Verdana"/>
              </w:rPr>
              <w:t>Identification code of the Pension fund, using:</w:t>
            </w:r>
          </w:p>
          <w:p w14:paraId="1F6FC442" w14:textId="77777777" w:rsidR="00B957F4" w:rsidRPr="00A84A8D" w:rsidRDefault="00B957F4" w:rsidP="00796D2F">
            <w:pPr>
              <w:rPr>
                <w:rFonts w:ascii="Verdana" w:hAnsi="Verdana"/>
              </w:rPr>
            </w:pPr>
            <w:r w:rsidRPr="00A84A8D">
              <w:rPr>
                <w:rFonts w:ascii="Verdana" w:hAnsi="Verdana"/>
              </w:rPr>
              <w:t>– Legal Entity Identifier (“LEI”)</w:t>
            </w:r>
          </w:p>
          <w:p w14:paraId="1DC8CD7A" w14:textId="52F2A787" w:rsidR="00B957F4" w:rsidRPr="00A84A8D" w:rsidRDefault="00B957F4" w:rsidP="00796D2F">
            <w:pPr>
              <w:rPr>
                <w:rFonts w:ascii="Verdana" w:hAnsi="Verdana"/>
              </w:rPr>
            </w:pPr>
            <w:r w:rsidRPr="00A84A8D">
              <w:rPr>
                <w:rFonts w:ascii="Verdana" w:hAnsi="Verdana"/>
              </w:rPr>
              <w:t>Only if LEI code is not available</w:t>
            </w:r>
            <w:r w:rsidR="004D1672" w:rsidRPr="00A84A8D">
              <w:rPr>
                <w:rFonts w:ascii="Verdana" w:hAnsi="Verdana"/>
              </w:rPr>
              <w:t xml:space="preserve"> and not in the scope of the mandatory individual reporting</w:t>
            </w:r>
            <w:r w:rsidRPr="00A84A8D">
              <w:rPr>
                <w:rFonts w:ascii="Verdana" w:hAnsi="Verdana"/>
              </w:rPr>
              <w:t>:</w:t>
            </w:r>
          </w:p>
          <w:p w14:paraId="3B7F8F52" w14:textId="77777777" w:rsidR="00B957F4" w:rsidRPr="00A84A8D" w:rsidRDefault="00B957F4" w:rsidP="00796D2F">
            <w:pPr>
              <w:rPr>
                <w:rFonts w:ascii="Verdana" w:hAnsi="Verdana"/>
              </w:rPr>
            </w:pPr>
            <w:r w:rsidRPr="00A84A8D">
              <w:rPr>
                <w:rFonts w:ascii="Verdana" w:hAnsi="Verdana"/>
              </w:rPr>
              <w:t>– Identification code used in the local market, attributed by supervisory authority. This code should be aligned with the code used to identify codes in EIOPA register on IORPs.</w:t>
            </w:r>
          </w:p>
        </w:tc>
      </w:tr>
      <w:tr w:rsidR="00B957F4" w:rsidRPr="00A84A8D" w14:paraId="5C633ECF" w14:textId="77777777" w:rsidTr="00796D2F">
        <w:tc>
          <w:tcPr>
            <w:tcW w:w="1103" w:type="pct"/>
            <w:tcBorders>
              <w:top w:val="single" w:sz="4" w:space="0" w:color="auto"/>
              <w:left w:val="single" w:sz="4" w:space="0" w:color="auto"/>
              <w:bottom w:val="single" w:sz="4" w:space="0" w:color="auto"/>
              <w:right w:val="single" w:sz="4" w:space="0" w:color="auto"/>
            </w:tcBorders>
            <w:shd w:val="clear" w:color="auto" w:fill="auto"/>
          </w:tcPr>
          <w:p w14:paraId="43B44A57" w14:textId="77777777" w:rsidR="00B957F4" w:rsidRPr="00A84A8D" w:rsidRDefault="00B957F4" w:rsidP="00796D2F">
            <w:pPr>
              <w:rPr>
                <w:rFonts w:ascii="Verdana" w:hAnsi="Verdana"/>
              </w:rPr>
            </w:pPr>
            <w:r w:rsidRPr="00A84A8D">
              <w:rPr>
                <w:rFonts w:ascii="Verdana" w:hAnsi="Verdana"/>
              </w:rPr>
              <w:t>C0110</w:t>
            </w:r>
          </w:p>
          <w:p w14:paraId="7694CB5C"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454A8DDF" w14:textId="77777777" w:rsidR="00B957F4" w:rsidRPr="00A84A8D" w:rsidRDefault="00B957F4" w:rsidP="00796D2F">
            <w:pPr>
              <w:pStyle w:val="BodyLeft"/>
            </w:pPr>
            <w:r w:rsidRPr="00A84A8D">
              <w:t>Active host country</w:t>
            </w:r>
          </w:p>
        </w:tc>
        <w:tc>
          <w:tcPr>
            <w:tcW w:w="2733" w:type="pct"/>
            <w:tcBorders>
              <w:top w:val="single" w:sz="4" w:space="0" w:color="auto"/>
              <w:left w:val="single" w:sz="4" w:space="0" w:color="auto"/>
              <w:bottom w:val="single" w:sz="4" w:space="0" w:color="auto"/>
              <w:right w:val="single" w:sz="4" w:space="0" w:color="auto"/>
            </w:tcBorders>
            <w:shd w:val="clear" w:color="auto" w:fill="auto"/>
          </w:tcPr>
          <w:p w14:paraId="58316AD1" w14:textId="77777777" w:rsidR="00B957F4" w:rsidRPr="00A84A8D" w:rsidRDefault="00B957F4" w:rsidP="00796D2F">
            <w:pPr>
              <w:pStyle w:val="BodyLeft"/>
            </w:pPr>
            <w:r w:rsidRPr="00A84A8D">
              <w:t>ISO 3166 code(s) of the country(</w:t>
            </w:r>
            <w:proofErr w:type="spellStart"/>
            <w:r w:rsidRPr="00A84A8D">
              <w:t>ies</w:t>
            </w:r>
            <w:proofErr w:type="spellEnd"/>
            <w:r w:rsidRPr="00A84A8D">
              <w:t xml:space="preserve">) where the IORP is active outside its home country. Active means that the IORP is authorised, has finalised the notification procedure with that host country and holds assets and liabilities relating to this </w:t>
            </w:r>
            <w:proofErr w:type="gramStart"/>
            <w:r w:rsidRPr="00A84A8D">
              <w:t>cross border</w:t>
            </w:r>
            <w:proofErr w:type="gramEnd"/>
            <w:r w:rsidRPr="00A84A8D">
              <w:t xml:space="preserve"> activity in that host country. </w:t>
            </w:r>
          </w:p>
          <w:p w14:paraId="7ADBC6B6" w14:textId="77777777" w:rsidR="00B957F4" w:rsidRPr="00A84A8D" w:rsidRDefault="00B957F4" w:rsidP="00796D2F">
            <w:pPr>
              <w:pStyle w:val="BodyLeft"/>
            </w:pPr>
            <w:r w:rsidRPr="00A84A8D">
              <w:t>In case the IORP is active in more than one host country, please split between the ISO 3166 codes using “,”.</w:t>
            </w:r>
          </w:p>
        </w:tc>
      </w:tr>
      <w:tr w:rsidR="00B957F4" w:rsidRPr="00A84A8D" w14:paraId="67399E81" w14:textId="77777777" w:rsidTr="00796D2F">
        <w:tc>
          <w:tcPr>
            <w:tcW w:w="1103" w:type="pct"/>
            <w:tcBorders>
              <w:top w:val="single" w:sz="4" w:space="0" w:color="auto"/>
              <w:left w:val="single" w:sz="4" w:space="0" w:color="auto"/>
              <w:bottom w:val="single" w:sz="4" w:space="0" w:color="auto"/>
              <w:right w:val="single" w:sz="4" w:space="0" w:color="auto"/>
            </w:tcBorders>
            <w:shd w:val="clear" w:color="auto" w:fill="auto"/>
          </w:tcPr>
          <w:p w14:paraId="666D6D6E" w14:textId="77777777" w:rsidR="00B957F4" w:rsidRPr="00A84A8D" w:rsidRDefault="00B957F4" w:rsidP="00796D2F">
            <w:pPr>
              <w:rPr>
                <w:rFonts w:ascii="Verdana" w:hAnsi="Verdana"/>
              </w:rPr>
            </w:pPr>
            <w:r w:rsidRPr="00A84A8D">
              <w:rPr>
                <w:rFonts w:ascii="Verdana" w:hAnsi="Verdana"/>
              </w:rPr>
              <w:t>C0120</w:t>
            </w:r>
          </w:p>
          <w:p w14:paraId="0F0BF3D3"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5895977A" w14:textId="77777777" w:rsidR="00B957F4" w:rsidRPr="00A84A8D" w:rsidRDefault="00B957F4" w:rsidP="00796D2F">
            <w:pPr>
              <w:pStyle w:val="BodyLeft"/>
            </w:pPr>
            <w:r w:rsidRPr="00A84A8D">
              <w:t>Pension fund type</w:t>
            </w:r>
          </w:p>
        </w:tc>
        <w:tc>
          <w:tcPr>
            <w:tcW w:w="2733" w:type="pct"/>
            <w:tcBorders>
              <w:top w:val="single" w:sz="4" w:space="0" w:color="auto"/>
              <w:left w:val="single" w:sz="4" w:space="0" w:color="auto"/>
              <w:bottom w:val="single" w:sz="4" w:space="0" w:color="auto"/>
              <w:right w:val="single" w:sz="4" w:space="0" w:color="auto"/>
            </w:tcBorders>
            <w:shd w:val="clear" w:color="auto" w:fill="auto"/>
          </w:tcPr>
          <w:p w14:paraId="7DE11B80" w14:textId="77777777" w:rsidR="00B957F4" w:rsidRPr="00A84A8D" w:rsidRDefault="00B957F4" w:rsidP="00796D2F">
            <w:pPr>
              <w:pStyle w:val="BodyLeft"/>
            </w:pPr>
            <w:r w:rsidRPr="00A84A8D">
              <w:t xml:space="preserve">Pension fund type: </w:t>
            </w:r>
          </w:p>
          <w:p w14:paraId="3FE90B31" w14:textId="77777777" w:rsidR="00B957F4" w:rsidRPr="00A84A8D" w:rsidRDefault="00B957F4" w:rsidP="00796D2F">
            <w:pPr>
              <w:pStyle w:val="BodyLeft"/>
            </w:pPr>
            <w:r w:rsidRPr="00A84A8D">
              <w:t>1 – cross-border IORP provides DB schemes only</w:t>
            </w:r>
          </w:p>
          <w:p w14:paraId="6A5F1CDB" w14:textId="77777777" w:rsidR="00B957F4" w:rsidRPr="00A84A8D" w:rsidRDefault="00B957F4" w:rsidP="00796D2F">
            <w:pPr>
              <w:pStyle w:val="BodyLeft"/>
            </w:pPr>
            <w:r w:rsidRPr="00A84A8D">
              <w:t>2 – cross-border provides DC schemes only</w:t>
            </w:r>
          </w:p>
          <w:p w14:paraId="5DE2F764" w14:textId="77777777" w:rsidR="00B957F4" w:rsidRPr="00A84A8D" w:rsidRDefault="00B957F4" w:rsidP="00796D2F">
            <w:pPr>
              <w:pStyle w:val="BodyLeft"/>
            </w:pPr>
            <w:r w:rsidRPr="00A84A8D">
              <w:t>3 –mixed cross-border IORP</w:t>
            </w:r>
          </w:p>
        </w:tc>
      </w:tr>
      <w:tr w:rsidR="00B957F4" w:rsidRPr="00A84A8D" w14:paraId="6E71DF7B" w14:textId="77777777" w:rsidTr="00796D2F">
        <w:tc>
          <w:tcPr>
            <w:tcW w:w="1103" w:type="pct"/>
            <w:tcBorders>
              <w:top w:val="single" w:sz="4" w:space="0" w:color="auto"/>
              <w:left w:val="single" w:sz="4" w:space="0" w:color="auto"/>
              <w:bottom w:val="single" w:sz="4" w:space="0" w:color="auto"/>
              <w:right w:val="single" w:sz="4" w:space="0" w:color="auto"/>
            </w:tcBorders>
            <w:shd w:val="clear" w:color="auto" w:fill="auto"/>
          </w:tcPr>
          <w:p w14:paraId="28829946" w14:textId="77777777" w:rsidR="00B957F4" w:rsidRPr="00A84A8D" w:rsidRDefault="00B957F4" w:rsidP="00796D2F">
            <w:pPr>
              <w:rPr>
                <w:rFonts w:ascii="Verdana" w:hAnsi="Verdana"/>
              </w:rPr>
            </w:pPr>
            <w:r w:rsidRPr="00A84A8D">
              <w:rPr>
                <w:rFonts w:ascii="Verdana" w:hAnsi="Verdana"/>
              </w:rPr>
              <w:t>Z0010</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53EE72D" w14:textId="57EE5E90" w:rsidR="00B957F4" w:rsidRPr="00A84A8D" w:rsidRDefault="009F7FC3" w:rsidP="00796D2F">
            <w:pPr>
              <w:pStyle w:val="BodyLeft"/>
            </w:pPr>
            <w:r w:rsidRPr="00A84A8D">
              <w:rPr>
                <w:rStyle w:val="Bold"/>
                <w:b w:val="0"/>
              </w:rPr>
              <w:t>Host countr</w:t>
            </w:r>
            <w:r w:rsidR="00981824" w:rsidRPr="00A84A8D">
              <w:rPr>
                <w:rStyle w:val="Bold"/>
                <w:b w:val="0"/>
              </w:rPr>
              <w:t>ies</w:t>
            </w:r>
          </w:p>
        </w:tc>
        <w:tc>
          <w:tcPr>
            <w:tcW w:w="2733" w:type="pct"/>
            <w:tcBorders>
              <w:top w:val="single" w:sz="4" w:space="0" w:color="auto"/>
              <w:left w:val="single" w:sz="4" w:space="0" w:color="auto"/>
              <w:bottom w:val="single" w:sz="4" w:space="0" w:color="auto"/>
              <w:right w:val="single" w:sz="4" w:space="0" w:color="auto"/>
            </w:tcBorders>
            <w:shd w:val="clear" w:color="auto" w:fill="auto"/>
          </w:tcPr>
          <w:p w14:paraId="49376D88" w14:textId="431AB61A" w:rsidR="00B957F4" w:rsidRPr="00A84A8D" w:rsidRDefault="00DC2641" w:rsidP="0032227A">
            <w:pPr>
              <w:pStyle w:val="BodyLeft"/>
            </w:pPr>
            <w:r w:rsidRPr="00A84A8D">
              <w:rPr>
                <w:rStyle w:val="Bold"/>
                <w:b w:val="0"/>
              </w:rPr>
              <w:t xml:space="preserve">ISO 3166–1 alpha–2 code of the country where the IORP is active outside its home country. Active means that the IORP is authorised, has finalised the notification procedure with that host country and holds assets and liabilities relating to this </w:t>
            </w:r>
            <w:proofErr w:type="gramStart"/>
            <w:r w:rsidRPr="00A84A8D">
              <w:rPr>
                <w:rStyle w:val="Bold"/>
                <w:b w:val="0"/>
              </w:rPr>
              <w:t>cross border</w:t>
            </w:r>
            <w:proofErr w:type="gramEnd"/>
            <w:r w:rsidRPr="00A84A8D">
              <w:rPr>
                <w:rStyle w:val="Bold"/>
                <w:b w:val="0"/>
              </w:rPr>
              <w:t xml:space="preserve"> activity in that host country.</w:t>
            </w:r>
          </w:p>
        </w:tc>
      </w:tr>
      <w:tr w:rsidR="00B957F4" w:rsidRPr="00A84A8D" w14:paraId="6258EB4B"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21977329" w14:textId="77777777" w:rsidR="00B957F4" w:rsidRPr="00A84A8D" w:rsidRDefault="00B957F4" w:rsidP="00796D2F">
            <w:pPr>
              <w:rPr>
                <w:rFonts w:ascii="Verdana" w:hAnsi="Verdana"/>
              </w:rPr>
            </w:pPr>
            <w:r w:rsidRPr="00A84A8D">
              <w:rPr>
                <w:rFonts w:ascii="Verdana" w:hAnsi="Verdana"/>
              </w:rPr>
              <w:t>C0200-C0280/R0015</w:t>
            </w:r>
          </w:p>
          <w:p w14:paraId="4A29C0F0"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3EDB973F" w14:textId="77777777" w:rsidR="00B957F4" w:rsidRPr="00A84A8D" w:rsidRDefault="00B957F4" w:rsidP="00796D2F">
            <w:pPr>
              <w:pStyle w:val="BodyLeft"/>
            </w:pPr>
            <w:r w:rsidRPr="00A84A8D">
              <w:t>Number of active cross-border IORPs</w:t>
            </w:r>
          </w:p>
        </w:tc>
        <w:tc>
          <w:tcPr>
            <w:tcW w:w="2733" w:type="pct"/>
            <w:tcBorders>
              <w:top w:val="single" w:sz="4" w:space="0" w:color="auto"/>
              <w:left w:val="single" w:sz="4" w:space="0" w:color="auto"/>
              <w:bottom w:val="single" w:sz="4" w:space="0" w:color="auto"/>
              <w:right w:val="single" w:sz="4" w:space="0" w:color="auto"/>
            </w:tcBorders>
            <w:hideMark/>
          </w:tcPr>
          <w:p w14:paraId="0946207C" w14:textId="77777777" w:rsidR="00B957F4" w:rsidRPr="00A84A8D" w:rsidRDefault="00B957F4" w:rsidP="00796D2F">
            <w:pPr>
              <w:pStyle w:val="BodyLeft"/>
            </w:pPr>
            <w:r w:rsidRPr="00A84A8D">
              <w:t>Number of active cross-border IORPs</w:t>
            </w:r>
          </w:p>
        </w:tc>
      </w:tr>
      <w:tr w:rsidR="00B957F4" w:rsidRPr="00A84A8D" w14:paraId="3C494C99"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08478992" w14:textId="77777777" w:rsidR="00B957F4" w:rsidRPr="00A84A8D" w:rsidRDefault="00B957F4" w:rsidP="00796D2F">
            <w:pPr>
              <w:rPr>
                <w:rFonts w:ascii="Verdana" w:hAnsi="Verdana"/>
              </w:rPr>
            </w:pPr>
            <w:r w:rsidRPr="00A84A8D">
              <w:rPr>
                <w:rFonts w:ascii="Verdana" w:hAnsi="Verdana"/>
              </w:rPr>
              <w:t>C0200-C0280/R0020</w:t>
            </w:r>
          </w:p>
          <w:p w14:paraId="3B755A0A"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200C0DB9" w14:textId="77777777" w:rsidR="00B957F4" w:rsidRPr="00A84A8D" w:rsidRDefault="00B957F4" w:rsidP="00796D2F">
            <w:pPr>
              <w:pStyle w:val="BodyLeft"/>
            </w:pPr>
            <w:r w:rsidRPr="00A84A8D">
              <w:t>Number of sponsoring undertakings</w:t>
            </w:r>
          </w:p>
        </w:tc>
        <w:tc>
          <w:tcPr>
            <w:tcW w:w="2733" w:type="pct"/>
            <w:tcBorders>
              <w:top w:val="single" w:sz="4" w:space="0" w:color="auto"/>
              <w:left w:val="single" w:sz="4" w:space="0" w:color="auto"/>
              <w:bottom w:val="single" w:sz="4" w:space="0" w:color="auto"/>
              <w:right w:val="single" w:sz="4" w:space="0" w:color="auto"/>
            </w:tcBorders>
            <w:hideMark/>
          </w:tcPr>
          <w:p w14:paraId="09772EC1" w14:textId="77777777" w:rsidR="00B957F4" w:rsidRPr="00A84A8D" w:rsidRDefault="00B957F4" w:rsidP="00796D2F">
            <w:pPr>
              <w:pStyle w:val="BodyLeft"/>
            </w:pPr>
            <w:r w:rsidRPr="00A84A8D">
              <w:t>Sponsoring undertakings contributing to cross-border schemes.</w:t>
            </w:r>
          </w:p>
        </w:tc>
      </w:tr>
      <w:tr w:rsidR="00B957F4" w:rsidRPr="00A84A8D" w14:paraId="1BCDB907"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630C630B" w14:textId="77777777" w:rsidR="00B957F4" w:rsidRPr="00A84A8D" w:rsidRDefault="00B957F4" w:rsidP="00796D2F">
            <w:pPr>
              <w:rPr>
                <w:rFonts w:ascii="Verdana" w:hAnsi="Verdana"/>
              </w:rPr>
            </w:pPr>
            <w:r w:rsidRPr="00A84A8D">
              <w:rPr>
                <w:rFonts w:ascii="Verdana" w:hAnsi="Verdana"/>
              </w:rPr>
              <w:t>C0200-C0280/R0030</w:t>
            </w:r>
          </w:p>
          <w:p w14:paraId="6D40988D"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62294737" w14:textId="77777777" w:rsidR="00B957F4" w:rsidRPr="00A84A8D" w:rsidRDefault="00B957F4" w:rsidP="00796D2F">
            <w:pPr>
              <w:pStyle w:val="BodyLeft"/>
            </w:pPr>
            <w:r w:rsidRPr="00A84A8D">
              <w:t>Number of multiple-employer cross-border IORPs</w:t>
            </w:r>
          </w:p>
        </w:tc>
        <w:tc>
          <w:tcPr>
            <w:tcW w:w="2733" w:type="pct"/>
            <w:tcBorders>
              <w:top w:val="single" w:sz="4" w:space="0" w:color="auto"/>
              <w:left w:val="single" w:sz="4" w:space="0" w:color="auto"/>
              <w:bottom w:val="single" w:sz="4" w:space="0" w:color="auto"/>
              <w:right w:val="single" w:sz="4" w:space="0" w:color="auto"/>
            </w:tcBorders>
            <w:hideMark/>
          </w:tcPr>
          <w:p w14:paraId="649DFBB2" w14:textId="77777777" w:rsidR="00B957F4" w:rsidRPr="00A84A8D" w:rsidRDefault="00B957F4" w:rsidP="00796D2F">
            <w:pPr>
              <w:pStyle w:val="BodyLeft"/>
            </w:pPr>
            <w:r w:rsidRPr="00A84A8D">
              <w:t>The number of multiple employer cross-border IORPs. A multi-employer cross-border IORP is a cross-border IORP open to two or more unrelated employers (not from the same group).</w:t>
            </w:r>
          </w:p>
        </w:tc>
      </w:tr>
      <w:tr w:rsidR="00B957F4" w:rsidRPr="00A84A8D" w14:paraId="158C0209"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3E400175" w14:textId="77777777" w:rsidR="00B957F4" w:rsidRPr="00A84A8D" w:rsidRDefault="00B957F4" w:rsidP="00796D2F">
            <w:pPr>
              <w:rPr>
                <w:rFonts w:ascii="Verdana" w:hAnsi="Verdana"/>
              </w:rPr>
            </w:pPr>
            <w:r w:rsidRPr="00A84A8D">
              <w:rPr>
                <w:rFonts w:ascii="Verdana" w:hAnsi="Verdana"/>
              </w:rPr>
              <w:t>C0200-C0280/R0040</w:t>
            </w:r>
          </w:p>
          <w:p w14:paraId="3884BD05"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575448A6" w14:textId="77777777" w:rsidR="00B957F4" w:rsidRPr="00A84A8D" w:rsidRDefault="00B957F4" w:rsidP="00796D2F">
            <w:pPr>
              <w:pStyle w:val="BodyLeft"/>
            </w:pPr>
            <w:r w:rsidRPr="00A84A8D">
              <w:t>Total assets</w:t>
            </w:r>
          </w:p>
        </w:tc>
        <w:tc>
          <w:tcPr>
            <w:tcW w:w="2733" w:type="pct"/>
            <w:tcBorders>
              <w:top w:val="single" w:sz="4" w:space="0" w:color="auto"/>
              <w:left w:val="single" w:sz="4" w:space="0" w:color="auto"/>
              <w:bottom w:val="single" w:sz="4" w:space="0" w:color="auto"/>
              <w:right w:val="single" w:sz="4" w:space="0" w:color="auto"/>
            </w:tcBorders>
            <w:hideMark/>
          </w:tcPr>
          <w:p w14:paraId="5773EE5B" w14:textId="77777777" w:rsidR="00B957F4" w:rsidRPr="00A84A8D" w:rsidRDefault="00B957F4" w:rsidP="00796D2F">
            <w:pPr>
              <w:pStyle w:val="BodyLeft"/>
            </w:pPr>
            <w:r w:rsidRPr="00A84A8D">
              <w:t>Total value of assets held in relation to cross-border activities.</w:t>
            </w:r>
          </w:p>
        </w:tc>
      </w:tr>
      <w:tr w:rsidR="00B957F4" w:rsidRPr="00A84A8D" w14:paraId="35518709"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3736D91B" w14:textId="77777777" w:rsidR="00B957F4" w:rsidRPr="00A84A8D" w:rsidRDefault="00B957F4" w:rsidP="00796D2F">
            <w:pPr>
              <w:rPr>
                <w:rFonts w:ascii="Verdana" w:hAnsi="Verdana"/>
              </w:rPr>
            </w:pPr>
            <w:r w:rsidRPr="00A84A8D">
              <w:rPr>
                <w:rFonts w:ascii="Verdana" w:hAnsi="Verdana"/>
              </w:rPr>
              <w:t>C0200-C0280/R0050</w:t>
            </w:r>
          </w:p>
          <w:p w14:paraId="4E339F60"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2D75F30D" w14:textId="77777777" w:rsidR="00B957F4" w:rsidRPr="00A84A8D" w:rsidRDefault="00B957F4" w:rsidP="00796D2F">
            <w:pPr>
              <w:pStyle w:val="BodyLeft"/>
            </w:pPr>
            <w:r w:rsidRPr="00A84A8D">
              <w:t>Technical provisions</w:t>
            </w:r>
          </w:p>
        </w:tc>
        <w:tc>
          <w:tcPr>
            <w:tcW w:w="2733" w:type="pct"/>
            <w:tcBorders>
              <w:top w:val="single" w:sz="4" w:space="0" w:color="auto"/>
              <w:left w:val="single" w:sz="4" w:space="0" w:color="auto"/>
              <w:bottom w:val="single" w:sz="4" w:space="0" w:color="auto"/>
              <w:right w:val="single" w:sz="4" w:space="0" w:color="auto"/>
            </w:tcBorders>
            <w:hideMark/>
          </w:tcPr>
          <w:p w14:paraId="20FA1703" w14:textId="77777777" w:rsidR="00B957F4" w:rsidRPr="00A84A8D" w:rsidRDefault="00B957F4" w:rsidP="00796D2F">
            <w:pPr>
              <w:pStyle w:val="BodyLeft"/>
            </w:pPr>
            <w:r w:rsidRPr="00A84A8D">
              <w:t>Total value of technical provisions relating to cross-border activities.</w:t>
            </w:r>
          </w:p>
        </w:tc>
      </w:tr>
      <w:tr w:rsidR="00B957F4" w:rsidRPr="00A84A8D" w14:paraId="1BAE786A"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13B63FE9" w14:textId="77777777" w:rsidR="00B957F4" w:rsidRPr="00A84A8D" w:rsidRDefault="00B957F4" w:rsidP="00796D2F">
            <w:pPr>
              <w:rPr>
                <w:rFonts w:ascii="Verdana" w:hAnsi="Verdana"/>
              </w:rPr>
            </w:pPr>
            <w:r w:rsidRPr="00A84A8D">
              <w:rPr>
                <w:rFonts w:ascii="Verdana" w:hAnsi="Verdana"/>
              </w:rPr>
              <w:t>C0200-C0280/R0060</w:t>
            </w:r>
          </w:p>
          <w:p w14:paraId="51BE86BD"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1543EA3D" w14:textId="77777777" w:rsidR="00B957F4" w:rsidRPr="00A84A8D" w:rsidRDefault="00B957F4" w:rsidP="00796D2F">
            <w:pPr>
              <w:pStyle w:val="BodyLeft"/>
            </w:pPr>
            <w:r w:rsidRPr="00A84A8D">
              <w:t>Active members</w:t>
            </w:r>
          </w:p>
        </w:tc>
        <w:tc>
          <w:tcPr>
            <w:tcW w:w="2733" w:type="pct"/>
            <w:tcBorders>
              <w:top w:val="single" w:sz="4" w:space="0" w:color="auto"/>
              <w:left w:val="single" w:sz="4" w:space="0" w:color="auto"/>
              <w:bottom w:val="single" w:sz="4" w:space="0" w:color="auto"/>
              <w:right w:val="single" w:sz="4" w:space="0" w:color="auto"/>
            </w:tcBorders>
            <w:hideMark/>
          </w:tcPr>
          <w:p w14:paraId="697DD703" w14:textId="77777777" w:rsidR="00B957F4" w:rsidRPr="00A84A8D" w:rsidRDefault="00B957F4" w:rsidP="00796D2F">
            <w:pPr>
              <w:pStyle w:val="BodyLeft"/>
            </w:pPr>
            <w:r w:rsidRPr="00A84A8D">
              <w:t xml:space="preserve">Active members (code 48 70 4 according to Annex I of Regulation 250/2009) relating to cross-border activities. </w:t>
            </w:r>
          </w:p>
        </w:tc>
      </w:tr>
      <w:tr w:rsidR="00B957F4" w:rsidRPr="00A84A8D" w14:paraId="5BCA73C2"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0F4E4AAF" w14:textId="77777777" w:rsidR="00B957F4" w:rsidRPr="00A84A8D" w:rsidRDefault="00B957F4" w:rsidP="00796D2F">
            <w:pPr>
              <w:rPr>
                <w:rFonts w:ascii="Verdana" w:hAnsi="Verdana"/>
              </w:rPr>
            </w:pPr>
            <w:r w:rsidRPr="00A84A8D">
              <w:rPr>
                <w:rFonts w:ascii="Verdana" w:hAnsi="Verdana"/>
              </w:rPr>
              <w:t>C0200-C0280/R0070</w:t>
            </w:r>
          </w:p>
          <w:p w14:paraId="4993DCB0"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48861FDB" w14:textId="77777777" w:rsidR="00B957F4" w:rsidRPr="00A84A8D" w:rsidRDefault="00B957F4" w:rsidP="00796D2F">
            <w:pPr>
              <w:pStyle w:val="BodyLeft"/>
            </w:pPr>
            <w:r w:rsidRPr="00A84A8D">
              <w:t>Deferred members</w:t>
            </w:r>
          </w:p>
        </w:tc>
        <w:tc>
          <w:tcPr>
            <w:tcW w:w="2733" w:type="pct"/>
            <w:tcBorders>
              <w:top w:val="single" w:sz="4" w:space="0" w:color="auto"/>
              <w:left w:val="single" w:sz="4" w:space="0" w:color="auto"/>
              <w:bottom w:val="single" w:sz="4" w:space="0" w:color="auto"/>
              <w:right w:val="single" w:sz="4" w:space="0" w:color="auto"/>
            </w:tcBorders>
            <w:hideMark/>
          </w:tcPr>
          <w:p w14:paraId="5C80FF2E" w14:textId="77777777" w:rsidR="00B957F4" w:rsidRPr="00A84A8D" w:rsidRDefault="00B957F4" w:rsidP="00796D2F">
            <w:pPr>
              <w:pStyle w:val="BodyLeft"/>
            </w:pPr>
            <w:r w:rsidRPr="00A84A8D">
              <w:t xml:space="preserve">Deferred members (code 48 70 5 according to Annex I of Regulation 250/2009) relating to cross-border activities. </w:t>
            </w:r>
          </w:p>
        </w:tc>
      </w:tr>
      <w:tr w:rsidR="00B957F4" w:rsidRPr="00AE4ACD" w14:paraId="4CFC8EEA" w14:textId="77777777" w:rsidTr="00796D2F">
        <w:tc>
          <w:tcPr>
            <w:tcW w:w="1103" w:type="pct"/>
            <w:tcBorders>
              <w:top w:val="single" w:sz="4" w:space="0" w:color="auto"/>
              <w:left w:val="single" w:sz="4" w:space="0" w:color="auto"/>
              <w:bottom w:val="single" w:sz="4" w:space="0" w:color="auto"/>
              <w:right w:val="single" w:sz="4" w:space="0" w:color="auto"/>
            </w:tcBorders>
            <w:hideMark/>
          </w:tcPr>
          <w:p w14:paraId="00C7B079" w14:textId="77777777" w:rsidR="00B957F4" w:rsidRPr="00A84A8D" w:rsidRDefault="00B957F4" w:rsidP="00796D2F">
            <w:pPr>
              <w:rPr>
                <w:rFonts w:ascii="Verdana" w:hAnsi="Verdana"/>
              </w:rPr>
            </w:pPr>
            <w:r w:rsidRPr="00A84A8D">
              <w:rPr>
                <w:rFonts w:ascii="Verdana" w:hAnsi="Verdana"/>
              </w:rPr>
              <w:t>C0200-C01280/R0080</w:t>
            </w:r>
          </w:p>
          <w:p w14:paraId="07C9C104" w14:textId="77777777" w:rsidR="00B957F4" w:rsidRPr="00A84A8D" w:rsidRDefault="00B957F4" w:rsidP="00796D2F">
            <w:pPr>
              <w:rPr>
                <w:rFonts w:ascii="Verdana" w:hAnsi="Verdana"/>
              </w:rPr>
            </w:pPr>
          </w:p>
        </w:tc>
        <w:tc>
          <w:tcPr>
            <w:tcW w:w="1164" w:type="pct"/>
            <w:tcBorders>
              <w:top w:val="single" w:sz="4" w:space="0" w:color="auto"/>
              <w:left w:val="single" w:sz="4" w:space="0" w:color="auto"/>
              <w:bottom w:val="single" w:sz="4" w:space="0" w:color="auto"/>
              <w:right w:val="single" w:sz="4" w:space="0" w:color="auto"/>
            </w:tcBorders>
            <w:hideMark/>
          </w:tcPr>
          <w:p w14:paraId="61FE6CA0" w14:textId="77777777" w:rsidR="00B957F4" w:rsidRPr="00A84A8D" w:rsidRDefault="00B957F4" w:rsidP="00796D2F">
            <w:pPr>
              <w:pStyle w:val="BodyLeft"/>
            </w:pPr>
            <w:r w:rsidRPr="00A84A8D">
              <w:t>Beneficiaries</w:t>
            </w:r>
          </w:p>
        </w:tc>
        <w:tc>
          <w:tcPr>
            <w:tcW w:w="2733" w:type="pct"/>
            <w:tcBorders>
              <w:top w:val="single" w:sz="4" w:space="0" w:color="auto"/>
              <w:left w:val="single" w:sz="4" w:space="0" w:color="auto"/>
              <w:bottom w:val="single" w:sz="4" w:space="0" w:color="auto"/>
              <w:right w:val="single" w:sz="4" w:space="0" w:color="auto"/>
            </w:tcBorders>
            <w:hideMark/>
          </w:tcPr>
          <w:p w14:paraId="789A27FA" w14:textId="77777777" w:rsidR="00B957F4" w:rsidRPr="00313C4D" w:rsidRDefault="00B957F4" w:rsidP="00796D2F">
            <w:pPr>
              <w:pStyle w:val="BodyLeft"/>
            </w:pPr>
            <w:r w:rsidRPr="00A84A8D">
              <w:t>Beneficiaries relating to cross-border activities.</w:t>
            </w:r>
          </w:p>
        </w:tc>
      </w:tr>
    </w:tbl>
    <w:p w14:paraId="3F9F3203" w14:textId="77777777" w:rsidR="00C0464B" w:rsidRPr="00B326D7" w:rsidRDefault="00C0464B" w:rsidP="00AE4ACD">
      <w:pPr>
        <w:rPr>
          <w:rFonts w:ascii="Verdana" w:hAnsi="Verdana"/>
        </w:rPr>
      </w:pPr>
      <w:bookmarkStart w:id="51" w:name="_Toc401925919"/>
      <w:bookmarkEnd w:id="51"/>
    </w:p>
    <w:sectPr w:rsidR="00C0464B" w:rsidRPr="00B326D7">
      <w:headerReference w:type="default" r:id="rId13"/>
      <w:footerReference w:type="even" r:id="rId14"/>
      <w:footerReference w:type="default" r:id="rId15"/>
      <w:footerReference w:type="first" r:id="rId16"/>
      <w:pgSz w:w="11906" w:h="16838"/>
      <w:pgMar w:top="1133" w:right="1133" w:bottom="1140" w:left="1133" w:header="720"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8C2D" w14:textId="77777777" w:rsidR="00815968" w:rsidRDefault="00815968">
      <w:pPr>
        <w:spacing w:after="0" w:line="240" w:lineRule="auto"/>
      </w:pPr>
      <w:r>
        <w:separator/>
      </w:r>
    </w:p>
  </w:endnote>
  <w:endnote w:type="continuationSeparator" w:id="0">
    <w:p w14:paraId="2F8EA9CF" w14:textId="77777777" w:rsidR="00815968" w:rsidRDefault="00815968">
      <w:pPr>
        <w:spacing w:after="0" w:line="240" w:lineRule="auto"/>
      </w:pPr>
      <w:r>
        <w:continuationSeparator/>
      </w:r>
    </w:p>
  </w:endnote>
  <w:endnote w:type="continuationNotice" w:id="1">
    <w:p w14:paraId="3E4780A6" w14:textId="77777777" w:rsidR="00815968" w:rsidRDefault="00815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fficinaSans-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420B" w14:textId="77777777" w:rsidR="00B40738" w:rsidRDefault="00B40738">
    <w:pPr>
      <w:spacing w:after="0"/>
      <w:ind w:right="-56"/>
      <w:jc w:val="right"/>
    </w:pPr>
    <w:r>
      <w:rPr>
        <w:sz w:val="16"/>
      </w:rPr>
      <w:t xml:space="preserve"> </w:t>
    </w:r>
  </w:p>
  <w:p w14:paraId="3DA56F32" w14:textId="77777777" w:rsidR="00B40738" w:rsidRDefault="00B40738">
    <w:pPr>
      <w:spacing w:after="2"/>
      <w:ind w:right="-56"/>
      <w:jc w:val="right"/>
    </w:pPr>
    <w:r>
      <w:rPr>
        <w:sz w:val="16"/>
      </w:rPr>
      <w:t xml:space="preserve"> </w:t>
    </w:r>
  </w:p>
  <w:p w14:paraId="0EA7AAC8" w14:textId="62DC4C3A" w:rsidR="00B40738" w:rsidRDefault="00B40738">
    <w:pPr>
      <w:spacing w:after="0"/>
      <w:ind w:right="1"/>
      <w:jc w:val="center"/>
    </w:pPr>
    <w:r>
      <w:fldChar w:fldCharType="begin"/>
    </w:r>
    <w:r>
      <w:instrText xml:space="preserve"> PAGE   \* MERGEFORMAT </w:instrText>
    </w:r>
    <w:r>
      <w:fldChar w:fldCharType="separate"/>
    </w:r>
    <w:r>
      <w:rPr>
        <w:sz w:val="18"/>
      </w:rPr>
      <w:t>2</w:t>
    </w:r>
    <w:r>
      <w:rPr>
        <w:sz w:val="18"/>
      </w:rPr>
      <w:fldChar w:fldCharType="end"/>
    </w:r>
    <w:r>
      <w:rPr>
        <w:sz w:val="18"/>
      </w:rPr>
      <w:t>/</w:t>
    </w:r>
    <w:fldSimple w:instr=" NUMPAGES   \* MERGEFORMAT ">
      <w:r w:rsidR="004B649F" w:rsidRPr="00B326D7">
        <w:rPr>
          <w:noProof/>
          <w:sz w:val="18"/>
        </w:rPr>
        <w:t>63</w:t>
      </w:r>
    </w:fldSimple>
    <w:r>
      <w:rPr>
        <w:sz w:val="18"/>
      </w:rPr>
      <w:t xml:space="preserve"> </w:t>
    </w:r>
  </w:p>
  <w:p w14:paraId="514F776C" w14:textId="77777777" w:rsidR="00B40738" w:rsidRDefault="00B40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6A04" w14:textId="77777777" w:rsidR="00B40738" w:rsidRDefault="00B40738">
    <w:pPr>
      <w:spacing w:after="0"/>
      <w:ind w:right="-56"/>
      <w:jc w:val="right"/>
    </w:pPr>
    <w:r>
      <w:rPr>
        <w:sz w:val="16"/>
      </w:rPr>
      <w:t xml:space="preserve"> </w:t>
    </w:r>
  </w:p>
  <w:p w14:paraId="71C1CB7B" w14:textId="77777777" w:rsidR="00B40738" w:rsidRDefault="00B40738">
    <w:pPr>
      <w:spacing w:after="2"/>
      <w:ind w:right="-56"/>
      <w:jc w:val="right"/>
    </w:pPr>
    <w:r>
      <w:rPr>
        <w:sz w:val="16"/>
      </w:rPr>
      <w:t xml:space="preserve"> </w:t>
    </w:r>
  </w:p>
  <w:p w14:paraId="32A81815" w14:textId="57B46B98" w:rsidR="00B40738" w:rsidRDefault="00B40738">
    <w:pPr>
      <w:spacing w:after="0"/>
      <w:ind w:right="1"/>
      <w:jc w:val="center"/>
    </w:pPr>
    <w:r>
      <w:fldChar w:fldCharType="begin"/>
    </w:r>
    <w:r>
      <w:instrText xml:space="preserve"> PAGE   \* MERGEFORMAT </w:instrText>
    </w:r>
    <w:r>
      <w:fldChar w:fldCharType="separate"/>
    </w:r>
    <w:r w:rsidR="00C55E78" w:rsidRPr="00C55E78">
      <w:rPr>
        <w:noProof/>
        <w:sz w:val="18"/>
      </w:rPr>
      <w:t>22</w:t>
    </w:r>
    <w:r>
      <w:rPr>
        <w:sz w:val="18"/>
      </w:rPr>
      <w:fldChar w:fldCharType="end"/>
    </w:r>
    <w:r>
      <w:rPr>
        <w:sz w:val="18"/>
      </w:rPr>
      <w:t>/</w:t>
    </w:r>
    <w:fldSimple w:instr=" NUMPAGES   \* MERGEFORMAT ">
      <w:r w:rsidR="00C55E78" w:rsidRPr="00C55E78">
        <w:rPr>
          <w:noProof/>
          <w:sz w:val="18"/>
        </w:rPr>
        <w:t>63</w:t>
      </w:r>
    </w:fldSimple>
    <w:r>
      <w:rPr>
        <w:sz w:val="18"/>
      </w:rPr>
      <w:t xml:space="preserve"> </w:t>
    </w:r>
  </w:p>
  <w:p w14:paraId="75B0B4C4" w14:textId="77777777" w:rsidR="00B40738" w:rsidRDefault="00B407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4E2D" w14:textId="77777777" w:rsidR="00B40738" w:rsidRDefault="00B40738">
    <w:pPr>
      <w:spacing w:after="0"/>
      <w:ind w:right="-56"/>
      <w:jc w:val="right"/>
    </w:pPr>
    <w:r>
      <w:rPr>
        <w:sz w:val="16"/>
      </w:rPr>
      <w:t xml:space="preserve"> </w:t>
    </w:r>
  </w:p>
  <w:p w14:paraId="13290964" w14:textId="77777777" w:rsidR="00B40738" w:rsidRDefault="00B40738">
    <w:pPr>
      <w:spacing w:after="2"/>
      <w:ind w:right="-56"/>
      <w:jc w:val="right"/>
    </w:pPr>
    <w:r>
      <w:rPr>
        <w:sz w:val="16"/>
      </w:rPr>
      <w:t xml:space="preserve"> </w:t>
    </w:r>
  </w:p>
  <w:p w14:paraId="2859EA51" w14:textId="38654B53" w:rsidR="00B40738" w:rsidRDefault="00B40738">
    <w:pPr>
      <w:spacing w:after="0"/>
      <w:ind w:right="1"/>
      <w:jc w:val="center"/>
    </w:pPr>
    <w:r>
      <w:fldChar w:fldCharType="begin"/>
    </w:r>
    <w:r>
      <w:instrText xml:space="preserve"> PAGE   \* MERGEFORMAT </w:instrText>
    </w:r>
    <w:r>
      <w:fldChar w:fldCharType="separate"/>
    </w:r>
    <w:r>
      <w:rPr>
        <w:sz w:val="18"/>
      </w:rPr>
      <w:t>2</w:t>
    </w:r>
    <w:r>
      <w:rPr>
        <w:sz w:val="18"/>
      </w:rPr>
      <w:fldChar w:fldCharType="end"/>
    </w:r>
    <w:r>
      <w:rPr>
        <w:sz w:val="18"/>
      </w:rPr>
      <w:t>/</w:t>
    </w:r>
    <w:fldSimple w:instr=" NUMPAGES   \* MERGEFORMAT ">
      <w:r w:rsidR="004B649F" w:rsidRPr="00B326D7">
        <w:rPr>
          <w:noProof/>
          <w:sz w:val="18"/>
        </w:rPr>
        <w:t>63</w:t>
      </w:r>
    </w:fldSimple>
    <w:r>
      <w:rPr>
        <w:sz w:val="18"/>
      </w:rPr>
      <w:t xml:space="preserve"> </w:t>
    </w:r>
  </w:p>
  <w:p w14:paraId="1C7EE69E" w14:textId="77777777" w:rsidR="00B40738" w:rsidRDefault="00B407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D050" w14:textId="77777777" w:rsidR="00815968" w:rsidRDefault="00815968">
      <w:pPr>
        <w:spacing w:after="0" w:line="240" w:lineRule="auto"/>
      </w:pPr>
      <w:r>
        <w:separator/>
      </w:r>
    </w:p>
  </w:footnote>
  <w:footnote w:type="continuationSeparator" w:id="0">
    <w:p w14:paraId="40D7235A" w14:textId="77777777" w:rsidR="00815968" w:rsidRDefault="00815968">
      <w:pPr>
        <w:spacing w:after="0" w:line="240" w:lineRule="auto"/>
      </w:pPr>
      <w:r>
        <w:continuationSeparator/>
      </w:r>
    </w:p>
  </w:footnote>
  <w:footnote w:type="continuationNotice" w:id="1">
    <w:p w14:paraId="39433AE8" w14:textId="77777777" w:rsidR="00815968" w:rsidRDefault="00815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2B51" w14:textId="77777777" w:rsidR="00AE4ACD" w:rsidRDefault="00AE4ACD">
    <w:pPr>
      <w:pStyle w:val="Header"/>
    </w:pPr>
  </w:p>
  <w:p w14:paraId="2F5EA922" w14:textId="77777777" w:rsidR="00AE4ACD" w:rsidRDefault="00AE4ACD">
    <w:pPr>
      <w:pStyle w:val="Header"/>
    </w:pPr>
  </w:p>
  <w:p w14:paraId="1387E89B" w14:textId="20D1E583" w:rsidR="00B40738" w:rsidRDefault="00901A4B">
    <w:pPr>
      <w:pStyle w:val="Header"/>
    </w:pPr>
    <w:r w:rsidRPr="00F61E73">
      <w:rPr>
        <w:rStyle w:val="Metadata-Blue"/>
        <w:rFonts w:cstheme="minorHAnsi"/>
        <w:noProof/>
        <w:szCs w:val="18"/>
        <w:lang w:eastAsia="en-GB"/>
      </w:rPr>
      <w:drawing>
        <wp:anchor distT="0" distB="0" distL="114300" distR="114300" simplePos="0" relativeHeight="251659264" behindDoc="0" locked="0" layoutInCell="1" allowOverlap="1" wp14:anchorId="7C0D3879" wp14:editId="223C6AE0">
          <wp:simplePos x="0" y="0"/>
          <wp:positionH relativeFrom="page">
            <wp:posOffset>612140</wp:posOffset>
          </wp:positionH>
          <wp:positionV relativeFrom="page">
            <wp:posOffset>288290</wp:posOffset>
          </wp:positionV>
          <wp:extent cx="1692000" cy="565200"/>
          <wp:effectExtent l="0" t="0" r="381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stretch>
                    <a:fillRect/>
                  </a:stretch>
                </pic:blipFill>
                <pic:spPr>
                  <a:xfrm>
                    <a:off x="0" y="0"/>
                    <a:ext cx="16920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634E7F6"/>
    <w:lvl w:ilvl="0">
      <w:start w:val="1"/>
      <w:numFmt w:val="decimal"/>
      <w:pStyle w:val="ListNumber"/>
      <w:lvlText w:val="%1."/>
      <w:lvlJc w:val="left"/>
      <w:pPr>
        <w:tabs>
          <w:tab w:val="num" w:pos="2203"/>
        </w:tabs>
        <w:ind w:left="2203" w:hanging="360"/>
      </w:pPr>
    </w:lvl>
  </w:abstractNum>
  <w:abstractNum w:abstractNumId="1" w15:restartNumberingAfterBreak="0">
    <w:nsid w:val="FFFFFF89"/>
    <w:multiLevelType w:val="singleLevel"/>
    <w:tmpl w:val="27DEC8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4258"/>
    <w:multiLevelType w:val="hybridMultilevel"/>
    <w:tmpl w:val="FE48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C95351"/>
    <w:multiLevelType w:val="multilevel"/>
    <w:tmpl w:val="9DC63D62"/>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lowerLetter"/>
      <w:lvlText w:val="%3)"/>
      <w:lvlJc w:val="left"/>
      <w:pPr>
        <w:ind w:left="1191" w:hanging="1191"/>
      </w:pPr>
      <w:rPr>
        <w:rFonts w:hint="default"/>
        <w:color w:val="auto"/>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4" w15:restartNumberingAfterBreak="0">
    <w:nsid w:val="03172F0D"/>
    <w:multiLevelType w:val="hybridMultilevel"/>
    <w:tmpl w:val="5D560BB2"/>
    <w:lvl w:ilvl="0" w:tplc="A0C65640">
      <w:start w:val="1"/>
      <w:numFmt w:val="decimal"/>
      <w:pStyle w:val="Enumeration"/>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 w15:restartNumberingAfterBreak="0">
    <w:nsid w:val="04B07481"/>
    <w:multiLevelType w:val="multilevel"/>
    <w:tmpl w:val="A48627D8"/>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lowerLetter"/>
      <w:lvlText w:val="%3)"/>
      <w:lvlJc w:val="left"/>
      <w:pPr>
        <w:ind w:left="1191" w:hanging="1191"/>
      </w:pPr>
      <w:rPr>
        <w:rFonts w:hint="default"/>
        <w:color w:val="auto"/>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6" w15:restartNumberingAfterBreak="0">
    <w:nsid w:val="07B02A66"/>
    <w:multiLevelType w:val="hybridMultilevel"/>
    <w:tmpl w:val="A280984E"/>
    <w:lvl w:ilvl="0" w:tplc="72F23724">
      <w:start w:val="1"/>
      <w:numFmt w:val="bullet"/>
      <w:lvlText w:val="-"/>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E92729A">
      <w:start w:val="1"/>
      <w:numFmt w:val="bullet"/>
      <w:lvlText w:val="o"/>
      <w:lvlJc w:val="left"/>
      <w:pPr>
        <w:ind w:left="12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A96D7FE">
      <w:start w:val="1"/>
      <w:numFmt w:val="bullet"/>
      <w:lvlText w:val="▪"/>
      <w:lvlJc w:val="left"/>
      <w:pPr>
        <w:ind w:left="20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24EFEBA">
      <w:start w:val="1"/>
      <w:numFmt w:val="bullet"/>
      <w:lvlText w:val="•"/>
      <w:lvlJc w:val="left"/>
      <w:pPr>
        <w:ind w:left="27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250F574">
      <w:start w:val="1"/>
      <w:numFmt w:val="bullet"/>
      <w:lvlText w:val="o"/>
      <w:lvlJc w:val="left"/>
      <w:pPr>
        <w:ind w:left="34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B2229CA">
      <w:start w:val="1"/>
      <w:numFmt w:val="bullet"/>
      <w:lvlText w:val="▪"/>
      <w:lvlJc w:val="left"/>
      <w:pPr>
        <w:ind w:left="41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B549342">
      <w:start w:val="1"/>
      <w:numFmt w:val="bullet"/>
      <w:lvlText w:val="•"/>
      <w:lvlJc w:val="left"/>
      <w:pPr>
        <w:ind w:left="48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26662CA">
      <w:start w:val="1"/>
      <w:numFmt w:val="bullet"/>
      <w:lvlText w:val="o"/>
      <w:lvlJc w:val="left"/>
      <w:pPr>
        <w:ind w:left="56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74C7524">
      <w:start w:val="1"/>
      <w:numFmt w:val="bullet"/>
      <w:lvlText w:val="▪"/>
      <w:lvlJc w:val="left"/>
      <w:pPr>
        <w:ind w:left="63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08183F09"/>
    <w:multiLevelType w:val="hybridMultilevel"/>
    <w:tmpl w:val="9FB440B8"/>
    <w:lvl w:ilvl="0" w:tplc="49328800">
      <w:numFmt w:val="decimal"/>
      <w:pStyle w:val="Enumerationwithbox"/>
      <w:lvlText w:val="0.%1."/>
      <w:lvlJc w:val="left"/>
      <w:pPr>
        <w:tabs>
          <w:tab w:val="num" w:pos="907"/>
        </w:tabs>
        <w:ind w:left="907" w:hanging="737"/>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96F226A"/>
    <w:multiLevelType w:val="hybridMultilevel"/>
    <w:tmpl w:val="CC22E4EC"/>
    <w:lvl w:ilvl="0" w:tplc="D22C8C8C">
      <w:start w:val="1"/>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11016F4">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1A8DD22">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D9C11E8">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78A9662">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B0EBB7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6232838E">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E9873A0">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4874F3A2">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10D03C35"/>
    <w:multiLevelType w:val="hybridMultilevel"/>
    <w:tmpl w:val="DE120A3E"/>
    <w:lvl w:ilvl="0" w:tplc="66F2C98C">
      <w:start w:val="1"/>
      <w:numFmt w:val="bullet"/>
      <w:lvlText w:val="-"/>
      <w:lvlJc w:val="left"/>
      <w:pPr>
        <w:ind w:left="7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AD9A7B18">
      <w:start w:val="1"/>
      <w:numFmt w:val="bullet"/>
      <w:lvlText w:val="o"/>
      <w:lvlJc w:val="left"/>
      <w:pPr>
        <w:ind w:left="15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694CE1A">
      <w:start w:val="1"/>
      <w:numFmt w:val="bullet"/>
      <w:lvlText w:val="▪"/>
      <w:lvlJc w:val="left"/>
      <w:pPr>
        <w:ind w:left="22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54A80D30">
      <w:start w:val="1"/>
      <w:numFmt w:val="bullet"/>
      <w:lvlText w:val="•"/>
      <w:lvlJc w:val="left"/>
      <w:pPr>
        <w:ind w:left="29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36084E70">
      <w:start w:val="1"/>
      <w:numFmt w:val="bullet"/>
      <w:lvlText w:val="o"/>
      <w:lvlJc w:val="left"/>
      <w:pPr>
        <w:ind w:left="37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4CA5586">
      <w:start w:val="1"/>
      <w:numFmt w:val="bullet"/>
      <w:lvlText w:val="▪"/>
      <w:lvlJc w:val="left"/>
      <w:pPr>
        <w:ind w:left="44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6C9E7DF4">
      <w:start w:val="1"/>
      <w:numFmt w:val="bullet"/>
      <w:lvlText w:val="•"/>
      <w:lvlJc w:val="left"/>
      <w:pPr>
        <w:ind w:left="51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8C062880">
      <w:start w:val="1"/>
      <w:numFmt w:val="bullet"/>
      <w:lvlText w:val="o"/>
      <w:lvlJc w:val="left"/>
      <w:pPr>
        <w:ind w:left="58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1870FC7C">
      <w:start w:val="1"/>
      <w:numFmt w:val="bullet"/>
      <w:lvlText w:val="▪"/>
      <w:lvlJc w:val="left"/>
      <w:pPr>
        <w:ind w:left="65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194A5A0A"/>
    <w:multiLevelType w:val="hybridMultilevel"/>
    <w:tmpl w:val="0BB4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22B4F"/>
    <w:multiLevelType w:val="multilevel"/>
    <w:tmpl w:val="5B24FED6"/>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Roman"/>
      <w:lvlText w:val="%5."/>
      <w:lvlJc w:val="righ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2" w15:restartNumberingAfterBreak="0">
    <w:nsid w:val="23EB387F"/>
    <w:multiLevelType w:val="hybridMultilevel"/>
    <w:tmpl w:val="0E62213E"/>
    <w:lvl w:ilvl="0" w:tplc="CB12FB1C">
      <w:start w:val="1"/>
      <w:numFmt w:val="bullet"/>
      <w:pStyle w:val="Bulletpoints3"/>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59615F0"/>
    <w:multiLevelType w:val="hybridMultilevel"/>
    <w:tmpl w:val="ACBAFBEA"/>
    <w:lvl w:ilvl="0" w:tplc="D2021868">
      <w:start w:val="1"/>
      <w:numFmt w:val="bullet"/>
      <w:lvlText w:val="–"/>
      <w:lvlJc w:val="left"/>
      <w:pPr>
        <w:ind w:left="15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9488D44">
      <w:start w:val="1"/>
      <w:numFmt w:val="bullet"/>
      <w:lvlText w:val="o"/>
      <w:lvlJc w:val="left"/>
      <w:pPr>
        <w:ind w:left="12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8EE6C0C">
      <w:start w:val="1"/>
      <w:numFmt w:val="bullet"/>
      <w:lvlText w:val="▪"/>
      <w:lvlJc w:val="left"/>
      <w:pPr>
        <w:ind w:left="20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D3A5552">
      <w:start w:val="1"/>
      <w:numFmt w:val="bullet"/>
      <w:lvlText w:val="•"/>
      <w:lvlJc w:val="left"/>
      <w:pPr>
        <w:ind w:left="27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EB2677E">
      <w:start w:val="1"/>
      <w:numFmt w:val="bullet"/>
      <w:lvlText w:val="o"/>
      <w:lvlJc w:val="left"/>
      <w:pPr>
        <w:ind w:left="34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1E698C0">
      <w:start w:val="1"/>
      <w:numFmt w:val="bullet"/>
      <w:lvlText w:val="▪"/>
      <w:lvlJc w:val="left"/>
      <w:pPr>
        <w:ind w:left="41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6A3AA5AA">
      <w:start w:val="1"/>
      <w:numFmt w:val="bullet"/>
      <w:lvlText w:val="•"/>
      <w:lvlJc w:val="left"/>
      <w:pPr>
        <w:ind w:left="48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9A895F4">
      <w:start w:val="1"/>
      <w:numFmt w:val="bullet"/>
      <w:lvlText w:val="o"/>
      <w:lvlJc w:val="left"/>
      <w:pPr>
        <w:ind w:left="56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5F4BA24">
      <w:start w:val="1"/>
      <w:numFmt w:val="bullet"/>
      <w:lvlText w:val="▪"/>
      <w:lvlJc w:val="left"/>
      <w:pPr>
        <w:ind w:left="63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2CD22555"/>
    <w:multiLevelType w:val="hybridMultilevel"/>
    <w:tmpl w:val="B554CDC4"/>
    <w:lvl w:ilvl="0" w:tplc="4E00C132">
      <w:start w:val="1"/>
      <w:numFmt w:val="lowerLetter"/>
      <w:lvlText w:val="%1)"/>
      <w:lvlJc w:val="left"/>
      <w:pPr>
        <w:ind w:left="1911" w:hanging="360"/>
      </w:pPr>
      <w:rPr>
        <w:rFonts w:hint="default"/>
        <w:color w:val="auto"/>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15" w15:restartNumberingAfterBreak="0">
    <w:nsid w:val="2D194DC5"/>
    <w:multiLevelType w:val="hybridMultilevel"/>
    <w:tmpl w:val="AA90C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CC55D1"/>
    <w:multiLevelType w:val="hybridMultilevel"/>
    <w:tmpl w:val="CD3C3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CD0A7E"/>
    <w:multiLevelType w:val="hybridMultilevel"/>
    <w:tmpl w:val="8312C960"/>
    <w:lvl w:ilvl="0" w:tplc="24FAD4A4">
      <w:start w:val="1"/>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51A46540">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068BBA2">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B70C1FC">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EE2DB96">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73EE0B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CAE6546">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D8636A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78E2A6A">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32117FA3"/>
    <w:multiLevelType w:val="hybridMultilevel"/>
    <w:tmpl w:val="E056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6DB1"/>
    <w:multiLevelType w:val="multilevel"/>
    <w:tmpl w:val="EDDEDFCC"/>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lowerRoman"/>
      <w:lvlText w:val="%3."/>
      <w:lvlJc w:val="right"/>
      <w:pPr>
        <w:ind w:left="1191" w:hanging="1191"/>
      </w:pPr>
      <w:rPr>
        <w:rFonts w:hint="default"/>
        <w:color w:val="auto"/>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0" w15:restartNumberingAfterBreak="0">
    <w:nsid w:val="3AF05465"/>
    <w:multiLevelType w:val="hybridMultilevel"/>
    <w:tmpl w:val="C01A22D0"/>
    <w:lvl w:ilvl="0" w:tplc="D95ACE0A">
      <w:start w:val="1"/>
      <w:numFmt w:val="decimal"/>
      <w:lvlText w:val="%1"/>
      <w:lvlJc w:val="left"/>
      <w:pPr>
        <w:ind w:left="15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540201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D4467E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7F8F59A">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F8EE0C4">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28A317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F1CECF6">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AEC96F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C5ABB62">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3BA57A95"/>
    <w:multiLevelType w:val="hybridMultilevel"/>
    <w:tmpl w:val="060A0968"/>
    <w:lvl w:ilvl="0" w:tplc="5336A462">
      <w:start w:val="1"/>
      <w:numFmt w:val="bullet"/>
      <w:lvlText w:val="-"/>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778081C">
      <w:start w:val="1"/>
      <w:numFmt w:val="bullet"/>
      <w:lvlText w:val="o"/>
      <w:lvlJc w:val="left"/>
      <w:pPr>
        <w:ind w:left="12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888793A">
      <w:start w:val="1"/>
      <w:numFmt w:val="bullet"/>
      <w:lvlText w:val="▪"/>
      <w:lvlJc w:val="left"/>
      <w:pPr>
        <w:ind w:left="20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470304E">
      <w:start w:val="1"/>
      <w:numFmt w:val="bullet"/>
      <w:lvlText w:val="•"/>
      <w:lvlJc w:val="left"/>
      <w:pPr>
        <w:ind w:left="27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278B268">
      <w:start w:val="1"/>
      <w:numFmt w:val="bullet"/>
      <w:lvlText w:val="o"/>
      <w:lvlJc w:val="left"/>
      <w:pPr>
        <w:ind w:left="34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764D73A">
      <w:start w:val="1"/>
      <w:numFmt w:val="bullet"/>
      <w:lvlText w:val="▪"/>
      <w:lvlJc w:val="left"/>
      <w:pPr>
        <w:ind w:left="41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B000728">
      <w:start w:val="1"/>
      <w:numFmt w:val="bullet"/>
      <w:lvlText w:val="•"/>
      <w:lvlJc w:val="left"/>
      <w:pPr>
        <w:ind w:left="48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762A042">
      <w:start w:val="1"/>
      <w:numFmt w:val="bullet"/>
      <w:lvlText w:val="o"/>
      <w:lvlJc w:val="left"/>
      <w:pPr>
        <w:ind w:left="56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3B62E32">
      <w:start w:val="1"/>
      <w:numFmt w:val="bullet"/>
      <w:lvlText w:val="▪"/>
      <w:lvlJc w:val="left"/>
      <w:pPr>
        <w:ind w:left="63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41A218D6"/>
    <w:multiLevelType w:val="hybridMultilevel"/>
    <w:tmpl w:val="21E22D7C"/>
    <w:lvl w:ilvl="0" w:tplc="28BE89F2">
      <w:start w:val="1"/>
      <w:numFmt w:val="bullet"/>
      <w:pStyle w:val="Bulletpoints2"/>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42445AC5"/>
    <w:multiLevelType w:val="hybridMultilevel"/>
    <w:tmpl w:val="20165B34"/>
    <w:lvl w:ilvl="0" w:tplc="30BCED48">
      <w:start w:val="1"/>
      <w:numFmt w:val="bullet"/>
      <w:lvlText w:val="-"/>
      <w:lvlJc w:val="left"/>
      <w:pPr>
        <w:ind w:left="7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8B4EBD74">
      <w:start w:val="1"/>
      <w:numFmt w:val="bullet"/>
      <w:lvlText w:val="o"/>
      <w:lvlJc w:val="left"/>
      <w:pPr>
        <w:ind w:left="15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ECE9E2A">
      <w:start w:val="1"/>
      <w:numFmt w:val="bullet"/>
      <w:lvlText w:val="▪"/>
      <w:lvlJc w:val="left"/>
      <w:pPr>
        <w:ind w:left="22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4A28EB4">
      <w:start w:val="1"/>
      <w:numFmt w:val="bullet"/>
      <w:lvlText w:val="•"/>
      <w:lvlJc w:val="left"/>
      <w:pPr>
        <w:ind w:left="29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CDEDDE2">
      <w:start w:val="1"/>
      <w:numFmt w:val="bullet"/>
      <w:lvlText w:val="o"/>
      <w:lvlJc w:val="left"/>
      <w:pPr>
        <w:ind w:left="37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74ED268">
      <w:start w:val="1"/>
      <w:numFmt w:val="bullet"/>
      <w:lvlText w:val="▪"/>
      <w:lvlJc w:val="left"/>
      <w:pPr>
        <w:ind w:left="44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F965FEA">
      <w:start w:val="1"/>
      <w:numFmt w:val="bullet"/>
      <w:lvlText w:val="•"/>
      <w:lvlJc w:val="left"/>
      <w:pPr>
        <w:ind w:left="51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63E85C4">
      <w:start w:val="1"/>
      <w:numFmt w:val="bullet"/>
      <w:lvlText w:val="o"/>
      <w:lvlJc w:val="left"/>
      <w:pPr>
        <w:ind w:left="58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982BFCA">
      <w:start w:val="1"/>
      <w:numFmt w:val="bullet"/>
      <w:lvlText w:val="▪"/>
      <w:lvlJc w:val="left"/>
      <w:pPr>
        <w:ind w:left="65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2F875CF"/>
    <w:multiLevelType w:val="hybridMultilevel"/>
    <w:tmpl w:val="CD3C3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66B84"/>
    <w:multiLevelType w:val="hybridMultilevel"/>
    <w:tmpl w:val="FCD8AA46"/>
    <w:lvl w:ilvl="0" w:tplc="A90485FC">
      <w:start w:val="1"/>
      <w:numFmt w:val="decimal"/>
      <w:pStyle w:val="Heading1"/>
      <w:lvlText w:val="%1."/>
      <w:lvlJc w:val="left"/>
      <w:pPr>
        <w:ind w:left="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1" w:tplc="95346F96">
      <w:start w:val="1"/>
      <w:numFmt w:val="lowerLetter"/>
      <w:lvlText w:val="%2"/>
      <w:lvlJc w:val="left"/>
      <w:pPr>
        <w:ind w:left="108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2" w:tplc="4C028082">
      <w:start w:val="1"/>
      <w:numFmt w:val="lowerRoman"/>
      <w:lvlText w:val="%3"/>
      <w:lvlJc w:val="left"/>
      <w:pPr>
        <w:ind w:left="180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3" w:tplc="8AB00D0E">
      <w:start w:val="1"/>
      <w:numFmt w:val="decimal"/>
      <w:lvlText w:val="%4"/>
      <w:lvlJc w:val="left"/>
      <w:pPr>
        <w:ind w:left="252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4" w:tplc="2FC4E6EE">
      <w:start w:val="1"/>
      <w:numFmt w:val="lowerLetter"/>
      <w:lvlText w:val="%5"/>
      <w:lvlJc w:val="left"/>
      <w:pPr>
        <w:ind w:left="324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5" w:tplc="F98CF530">
      <w:start w:val="1"/>
      <w:numFmt w:val="lowerRoman"/>
      <w:lvlText w:val="%6"/>
      <w:lvlJc w:val="left"/>
      <w:pPr>
        <w:ind w:left="396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6" w:tplc="E522DEB6">
      <w:start w:val="1"/>
      <w:numFmt w:val="decimal"/>
      <w:lvlText w:val="%7"/>
      <w:lvlJc w:val="left"/>
      <w:pPr>
        <w:ind w:left="468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7" w:tplc="98E4C976">
      <w:start w:val="1"/>
      <w:numFmt w:val="lowerLetter"/>
      <w:lvlText w:val="%8"/>
      <w:lvlJc w:val="left"/>
      <w:pPr>
        <w:ind w:left="540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8" w:tplc="2F345AC2">
      <w:start w:val="1"/>
      <w:numFmt w:val="lowerRoman"/>
      <w:lvlText w:val="%9"/>
      <w:lvlJc w:val="left"/>
      <w:pPr>
        <w:ind w:left="6120"/>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66B2F34"/>
    <w:multiLevelType w:val="hybridMultilevel"/>
    <w:tmpl w:val="2842C4E2"/>
    <w:lvl w:ilvl="0" w:tplc="A09C1210">
      <w:start w:val="1"/>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4F87596">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22890F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D02D256">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EF8A4F4">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98DCD1CA">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F60E39E">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E92724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D9E05DA">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48BD3937"/>
    <w:multiLevelType w:val="multilevel"/>
    <w:tmpl w:val="7B504502"/>
    <w:styleLink w:val="ListNumbers"/>
    <w:lvl w:ilvl="0">
      <w:start w:val="1"/>
      <w:numFmt w:val="decimal"/>
      <w:pStyle w:val="Enumeration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none"/>
      <w:lvlText w:val=""/>
      <w:lvlJc w:val="left"/>
      <w:pPr>
        <w:ind w:left="1474" w:hanging="34"/>
      </w:pPr>
      <w:rPr>
        <w:rFonts w:hint="default"/>
      </w:rPr>
    </w:lvl>
    <w:lvl w:ilvl="5">
      <w:start w:val="1"/>
      <w:numFmt w:val="none"/>
      <w:lvlText w:val=""/>
      <w:lvlJc w:val="left"/>
      <w:pPr>
        <w:ind w:left="1474" w:firstLine="326"/>
      </w:pPr>
      <w:rPr>
        <w:rFonts w:hint="default"/>
      </w:rPr>
    </w:lvl>
    <w:lvl w:ilvl="6">
      <w:start w:val="1"/>
      <w:numFmt w:val="none"/>
      <w:lvlText w:val="%7"/>
      <w:lvlJc w:val="left"/>
      <w:pPr>
        <w:ind w:left="1474" w:firstLine="686"/>
      </w:pPr>
      <w:rPr>
        <w:rFonts w:hint="default"/>
      </w:rPr>
    </w:lvl>
    <w:lvl w:ilvl="7">
      <w:start w:val="1"/>
      <w:numFmt w:val="none"/>
      <w:lvlText w:val="%8"/>
      <w:lvlJc w:val="left"/>
      <w:pPr>
        <w:ind w:left="1474" w:firstLine="1046"/>
      </w:pPr>
      <w:rPr>
        <w:rFonts w:hint="default"/>
      </w:rPr>
    </w:lvl>
    <w:lvl w:ilvl="8">
      <w:start w:val="1"/>
      <w:numFmt w:val="none"/>
      <w:lvlText w:val="%9"/>
      <w:lvlJc w:val="left"/>
      <w:pPr>
        <w:ind w:left="1474" w:firstLine="1361"/>
      </w:pPr>
      <w:rPr>
        <w:rFonts w:hint="default"/>
      </w:rPr>
    </w:lvl>
  </w:abstractNum>
  <w:abstractNum w:abstractNumId="28" w15:restartNumberingAfterBreak="0">
    <w:nsid w:val="4B524D6B"/>
    <w:multiLevelType w:val="multilevel"/>
    <w:tmpl w:val="77EC063E"/>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Roman"/>
      <w:lvlText w:val="%5."/>
      <w:lvlJc w:val="righ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9" w15:restartNumberingAfterBreak="0">
    <w:nsid w:val="4BF00A89"/>
    <w:multiLevelType w:val="multilevel"/>
    <w:tmpl w:val="98162E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03D7BA4"/>
    <w:multiLevelType w:val="hybridMultilevel"/>
    <w:tmpl w:val="B5EA4B46"/>
    <w:lvl w:ilvl="0" w:tplc="CDAAAD02">
      <w:start w:val="2"/>
      <w:numFmt w:val="bullet"/>
      <w:lvlText w:val="-"/>
      <w:lvlJc w:val="left"/>
      <w:pPr>
        <w:ind w:left="720" w:hanging="360"/>
      </w:pPr>
      <w:rPr>
        <w:rFonts w:ascii="OfficinaSans-Book" w:eastAsiaTheme="minorEastAsia" w:hAnsi="OfficinaSans-Book" w:cs="OfficinaSans-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622F64"/>
    <w:multiLevelType w:val="hybridMultilevel"/>
    <w:tmpl w:val="82F8F792"/>
    <w:lvl w:ilvl="0" w:tplc="61FA3906">
      <w:start w:val="1"/>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6FC3842">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B46014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7620E3E">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6F62872">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EC4C528">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BE0A92A">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3FEEBB4">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EE2B218">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2" w15:restartNumberingAfterBreak="0">
    <w:nsid w:val="543375ED"/>
    <w:multiLevelType w:val="hybridMultilevel"/>
    <w:tmpl w:val="B992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402D4"/>
    <w:multiLevelType w:val="hybridMultilevel"/>
    <w:tmpl w:val="41E08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4699B"/>
    <w:multiLevelType w:val="multilevel"/>
    <w:tmpl w:val="D3200074"/>
    <w:numStyleLink w:val="Style1"/>
  </w:abstractNum>
  <w:abstractNum w:abstractNumId="35" w15:restartNumberingAfterBreak="0">
    <w:nsid w:val="5E9D7846"/>
    <w:multiLevelType w:val="multilevel"/>
    <w:tmpl w:val="E9888C16"/>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lowerLetter"/>
      <w:lvlText w:val="%3)"/>
      <w:lvlJc w:val="left"/>
      <w:pPr>
        <w:ind w:left="1191" w:hanging="1191"/>
      </w:pPr>
      <w:rPr>
        <w:rFonts w:hint="default"/>
        <w:color w:val="auto"/>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6" w15:restartNumberingAfterBreak="0">
    <w:nsid w:val="60421EFD"/>
    <w:multiLevelType w:val="multilevel"/>
    <w:tmpl w:val="0809001D"/>
    <w:styleLink w:val="Style2"/>
    <w:lvl w:ilvl="0">
      <w:start w:val="1"/>
      <w:numFmt w:val="bullet"/>
      <w:lvlText w:val="•"/>
      <w:lvlJc w:val="left"/>
      <w:pPr>
        <w:ind w:left="360" w:hanging="360"/>
      </w:pPr>
      <w:rPr>
        <w:rFonts w:ascii="Verdana" w:hAnsi="Verdana" w:hint="default"/>
        <w:color w:val="auto"/>
      </w:rPr>
    </w:lvl>
    <w:lvl w:ilvl="1">
      <w:start w:val="1"/>
      <w:numFmt w:val="bullet"/>
      <w:lvlText w:val="°"/>
      <w:lvlJc w:val="left"/>
      <w:pPr>
        <w:ind w:left="720" w:hanging="360"/>
      </w:pPr>
      <w:rPr>
        <w:rFonts w:ascii="Verdana" w:hAnsi="Verdana" w:hint="default"/>
        <w:color w:val="auto"/>
      </w:rPr>
    </w:lvl>
    <w:lvl w:ilvl="2">
      <w:start w:val="1"/>
      <w:numFmt w:val="bullet"/>
      <w:lvlText w:val="▪"/>
      <w:lvlJc w:val="left"/>
      <w:pPr>
        <w:ind w:left="1080" w:hanging="360"/>
      </w:pPr>
      <w:rPr>
        <w:rFonts w:ascii="Verdana" w:hAnsi="Verdana" w:hint="default"/>
        <w:color w:val="auto"/>
      </w:rPr>
    </w:lvl>
    <w:lvl w:ilvl="3">
      <w:start w:val="1"/>
      <w:numFmt w:val="bullet"/>
      <w:lvlText w:val="-"/>
      <w:lvlJc w:val="left"/>
      <w:pPr>
        <w:ind w:left="1440" w:hanging="360"/>
      </w:pPr>
      <w:rPr>
        <w:rFonts w:ascii="Verdana" w:hAnsi="Verdana"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83330B"/>
    <w:multiLevelType w:val="hybridMultilevel"/>
    <w:tmpl w:val="DEDAF7AC"/>
    <w:lvl w:ilvl="0" w:tplc="307ED886">
      <w:start w:val="1"/>
      <w:numFmt w:val="decimal"/>
      <w:lvlText w:val="%1"/>
      <w:lvlJc w:val="left"/>
      <w:pPr>
        <w:ind w:left="15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6282372">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C961D80">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7AC2FD0">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920DFAC">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5F8DEF4">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EEA448E">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0FCFFD8">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08A73EA">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8" w15:restartNumberingAfterBreak="0">
    <w:nsid w:val="61B7019A"/>
    <w:multiLevelType w:val="hybridMultilevel"/>
    <w:tmpl w:val="488444C4"/>
    <w:lvl w:ilvl="0" w:tplc="972CEDA0">
      <w:start w:val="1"/>
      <w:numFmt w:val="decimal"/>
      <w:lvlText w:val="%1"/>
      <w:lvlJc w:val="left"/>
      <w:pPr>
        <w:ind w:left="15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3B8094E">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A94781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D1C3F8C">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348F108">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A02D5A8">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B24785C">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E9C13D6">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44294F8">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6A271692"/>
    <w:multiLevelType w:val="multilevel"/>
    <w:tmpl w:val="434ACD0A"/>
    <w:lvl w:ilvl="0">
      <w:start w:val="1"/>
      <w:numFmt w:val="decimal"/>
      <w:lvlText w:val="%1."/>
      <w:lvlJc w:val="left"/>
      <w:pPr>
        <w:ind w:left="0" w:firstLine="0"/>
      </w:pPr>
      <w:rPr>
        <w:rFonts w:hint="default"/>
      </w:rPr>
    </w:lvl>
    <w:lvl w:ilvl="1">
      <w:start w:val="1"/>
      <w:numFmt w:val="lowerLetter"/>
      <w:lvlText w:val="%2)"/>
      <w:lvlJc w:val="left"/>
      <w:pPr>
        <w:ind w:left="737" w:hanging="737"/>
      </w:pPr>
      <w:rPr>
        <w:rFonts w:hint="default"/>
        <w:color w:val="auto"/>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40" w15:restartNumberingAfterBreak="0">
    <w:nsid w:val="6AFD2A13"/>
    <w:multiLevelType w:val="multilevel"/>
    <w:tmpl w:val="A6663C72"/>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lowerLetter"/>
      <w:lvlText w:val="%3)"/>
      <w:lvlJc w:val="left"/>
      <w:pPr>
        <w:ind w:left="1191" w:hanging="1191"/>
      </w:pPr>
      <w:rPr>
        <w:rFonts w:hint="default"/>
        <w:color w:val="auto"/>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41" w15:restartNumberingAfterBreak="0">
    <w:nsid w:val="6E224B81"/>
    <w:multiLevelType w:val="hybridMultilevel"/>
    <w:tmpl w:val="9EA0CD2E"/>
    <w:lvl w:ilvl="0" w:tplc="DE56052E">
      <w:start w:val="1"/>
      <w:numFmt w:val="bullet"/>
      <w:lvlText w:val="-"/>
      <w:lvlJc w:val="left"/>
      <w:pPr>
        <w:ind w:left="3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3E6B468">
      <w:start w:val="1"/>
      <w:numFmt w:val="bullet"/>
      <w:lvlText w:val="o"/>
      <w:lvlJc w:val="left"/>
      <w:pPr>
        <w:ind w:left="15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94E22D68">
      <w:start w:val="1"/>
      <w:numFmt w:val="bullet"/>
      <w:lvlText w:val="▪"/>
      <w:lvlJc w:val="left"/>
      <w:pPr>
        <w:ind w:left="22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4EA2F6E8">
      <w:start w:val="1"/>
      <w:numFmt w:val="bullet"/>
      <w:lvlText w:val="•"/>
      <w:lvlJc w:val="left"/>
      <w:pPr>
        <w:ind w:left="29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B53647CE">
      <w:start w:val="1"/>
      <w:numFmt w:val="bullet"/>
      <w:lvlText w:val="o"/>
      <w:lvlJc w:val="left"/>
      <w:pPr>
        <w:ind w:left="37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27146D00">
      <w:start w:val="1"/>
      <w:numFmt w:val="bullet"/>
      <w:lvlText w:val="▪"/>
      <w:lvlJc w:val="left"/>
      <w:pPr>
        <w:ind w:left="44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1EE810F4">
      <w:start w:val="1"/>
      <w:numFmt w:val="bullet"/>
      <w:lvlText w:val="•"/>
      <w:lvlJc w:val="left"/>
      <w:pPr>
        <w:ind w:left="51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D82EE954">
      <w:start w:val="1"/>
      <w:numFmt w:val="bullet"/>
      <w:lvlText w:val="o"/>
      <w:lvlJc w:val="left"/>
      <w:pPr>
        <w:ind w:left="58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FFE6E956">
      <w:start w:val="1"/>
      <w:numFmt w:val="bullet"/>
      <w:lvlText w:val="▪"/>
      <w:lvlJc w:val="left"/>
      <w:pPr>
        <w:ind w:left="65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42" w15:restartNumberingAfterBreak="0">
    <w:nsid w:val="70083B5E"/>
    <w:multiLevelType w:val="hybridMultilevel"/>
    <w:tmpl w:val="9966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981088"/>
    <w:multiLevelType w:val="multilevel"/>
    <w:tmpl w:val="D3200074"/>
    <w:styleLink w:val="Style1"/>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44" w15:restartNumberingAfterBreak="0">
    <w:nsid w:val="77861B14"/>
    <w:multiLevelType w:val="hybridMultilevel"/>
    <w:tmpl w:val="E8B4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421807"/>
    <w:multiLevelType w:val="multilevel"/>
    <w:tmpl w:val="7B504502"/>
    <w:numStyleLink w:val="ListNumbers"/>
  </w:abstractNum>
  <w:num w:numId="1" w16cid:durableId="82384444">
    <w:abstractNumId w:val="25"/>
  </w:num>
  <w:num w:numId="2" w16cid:durableId="1291285323">
    <w:abstractNumId w:val="7"/>
  </w:num>
  <w:num w:numId="3" w16cid:durableId="1402406016">
    <w:abstractNumId w:val="12"/>
  </w:num>
  <w:num w:numId="4" w16cid:durableId="1800369191">
    <w:abstractNumId w:val="1"/>
  </w:num>
  <w:num w:numId="5" w16cid:durableId="1702168652">
    <w:abstractNumId w:val="0"/>
  </w:num>
  <w:num w:numId="6" w16cid:durableId="329329658">
    <w:abstractNumId w:val="4"/>
  </w:num>
  <w:num w:numId="7" w16cid:durableId="740182196">
    <w:abstractNumId w:val="27"/>
  </w:num>
  <w:num w:numId="8" w16cid:durableId="295717203">
    <w:abstractNumId w:val="43"/>
  </w:num>
  <w:num w:numId="9" w16cid:durableId="1352149223">
    <w:abstractNumId w:val="34"/>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737" w:hanging="737"/>
        </w:pPr>
        <w:rPr>
          <w:rFonts w:hint="default"/>
        </w:rPr>
      </w:lvl>
    </w:lvlOverride>
    <w:lvlOverride w:ilvl="2">
      <w:lvl w:ilvl="2">
        <w:start w:val="1"/>
        <w:numFmt w:val="decimal"/>
        <w:lvlText w:val="%1.%2.%3."/>
        <w:lvlJc w:val="left"/>
        <w:pPr>
          <w:ind w:left="1191" w:hanging="1191"/>
        </w:pPr>
        <w:rPr>
          <w:rFonts w:hint="default"/>
        </w:rPr>
      </w:lvl>
    </w:lvlOverride>
    <w:lvlOverride w:ilvl="3">
      <w:lvl w:ilvl="3">
        <w:start w:val="1"/>
        <w:numFmt w:val="decimal"/>
        <w:lvlText w:val="%1.%2.%3.%4."/>
        <w:lvlJc w:val="left"/>
        <w:pPr>
          <w:ind w:left="1588" w:hanging="1588"/>
        </w:pPr>
        <w:rPr>
          <w:rFonts w:hint="default"/>
        </w:rPr>
      </w:lvl>
    </w:lvlOverride>
    <w:lvlOverride w:ilvl="4">
      <w:lvl w:ilvl="4">
        <w:start w:val="1"/>
        <w:numFmt w:val="lowerLetter"/>
        <w:lvlText w:val="(%5)"/>
        <w:lvlJc w:val="left"/>
        <w:pPr>
          <w:ind w:left="1428" w:firstLine="0"/>
        </w:pPr>
        <w:rPr>
          <w:rFonts w:hint="default"/>
        </w:rPr>
      </w:lvl>
    </w:lvlOverride>
    <w:lvlOverride w:ilvl="5">
      <w:lvl w:ilvl="5">
        <w:start w:val="1"/>
        <w:numFmt w:val="lowerRoman"/>
        <w:lvlText w:val="(%6)"/>
        <w:lvlJc w:val="left"/>
        <w:pPr>
          <w:ind w:left="1785" w:firstLine="0"/>
        </w:pPr>
        <w:rPr>
          <w:rFonts w:hint="default"/>
        </w:rPr>
      </w:lvl>
    </w:lvlOverride>
    <w:lvlOverride w:ilvl="6">
      <w:lvl w:ilvl="6">
        <w:start w:val="1"/>
        <w:numFmt w:val="decimal"/>
        <w:lvlText w:val="%7."/>
        <w:lvlJc w:val="left"/>
        <w:pPr>
          <w:ind w:left="2142" w:firstLine="0"/>
        </w:pPr>
        <w:rPr>
          <w:rFonts w:hint="default"/>
        </w:rPr>
      </w:lvl>
    </w:lvlOverride>
    <w:lvlOverride w:ilvl="7">
      <w:lvl w:ilvl="7">
        <w:start w:val="1"/>
        <w:numFmt w:val="lowerLetter"/>
        <w:lvlText w:val="%8."/>
        <w:lvlJc w:val="left"/>
        <w:pPr>
          <w:ind w:left="2499" w:firstLine="0"/>
        </w:pPr>
        <w:rPr>
          <w:rFonts w:hint="default"/>
        </w:rPr>
      </w:lvl>
    </w:lvlOverride>
    <w:lvlOverride w:ilvl="8">
      <w:lvl w:ilvl="8">
        <w:start w:val="1"/>
        <w:numFmt w:val="lowerRoman"/>
        <w:lvlText w:val="%9."/>
        <w:lvlJc w:val="left"/>
        <w:pPr>
          <w:ind w:left="2856" w:firstLine="0"/>
        </w:pPr>
        <w:rPr>
          <w:rFonts w:hint="default"/>
        </w:rPr>
      </w:lvl>
    </w:lvlOverride>
  </w:num>
  <w:num w:numId="10" w16cid:durableId="1792747173">
    <w:abstractNumId w:val="22"/>
  </w:num>
  <w:num w:numId="11" w16cid:durableId="1441220960">
    <w:abstractNumId w:val="36"/>
  </w:num>
  <w:num w:numId="12" w16cid:durableId="666784772">
    <w:abstractNumId w:val="45"/>
  </w:num>
  <w:num w:numId="13" w16cid:durableId="1387728693">
    <w:abstractNumId w:val="29"/>
  </w:num>
  <w:num w:numId="14" w16cid:durableId="1558277995">
    <w:abstractNumId w:val="10"/>
  </w:num>
  <w:num w:numId="15" w16cid:durableId="1583101819">
    <w:abstractNumId w:val="42"/>
  </w:num>
  <w:num w:numId="16" w16cid:durableId="1249925530">
    <w:abstractNumId w:val="18"/>
  </w:num>
  <w:num w:numId="17" w16cid:durableId="1135369777">
    <w:abstractNumId w:val="15"/>
  </w:num>
  <w:num w:numId="18" w16cid:durableId="1568807145">
    <w:abstractNumId w:val="24"/>
  </w:num>
  <w:num w:numId="19" w16cid:durableId="1755933439">
    <w:abstractNumId w:val="16"/>
  </w:num>
  <w:num w:numId="20" w16cid:durableId="1228031952">
    <w:abstractNumId w:val="21"/>
  </w:num>
  <w:num w:numId="21" w16cid:durableId="1302081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6868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9032512">
    <w:abstractNumId w:val="13"/>
  </w:num>
  <w:num w:numId="24" w16cid:durableId="14486244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19328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8685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0863453">
    <w:abstractNumId w:val="6"/>
  </w:num>
  <w:num w:numId="28" w16cid:durableId="74480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094035">
    <w:abstractNumId w:val="23"/>
  </w:num>
  <w:num w:numId="30" w16cid:durableId="1570187876">
    <w:abstractNumId w:val="9"/>
  </w:num>
  <w:num w:numId="31" w16cid:durableId="835150960">
    <w:abstractNumId w:val="41"/>
  </w:num>
  <w:num w:numId="32" w16cid:durableId="1484927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7852383">
    <w:abstractNumId w:val="32"/>
  </w:num>
  <w:num w:numId="34" w16cid:durableId="254944512">
    <w:abstractNumId w:val="14"/>
  </w:num>
  <w:num w:numId="35" w16cid:durableId="1838374577">
    <w:abstractNumId w:val="39"/>
  </w:num>
  <w:num w:numId="36" w16cid:durableId="1704793276">
    <w:abstractNumId w:val="30"/>
  </w:num>
  <w:num w:numId="37" w16cid:durableId="1914969920">
    <w:abstractNumId w:val="35"/>
  </w:num>
  <w:num w:numId="38" w16cid:durableId="1645426867">
    <w:abstractNumId w:val="11"/>
  </w:num>
  <w:num w:numId="39" w16cid:durableId="328367661">
    <w:abstractNumId w:val="40"/>
  </w:num>
  <w:num w:numId="40" w16cid:durableId="1045374715">
    <w:abstractNumId w:val="28"/>
  </w:num>
  <w:num w:numId="41" w16cid:durableId="2047177626">
    <w:abstractNumId w:val="31"/>
  </w:num>
  <w:num w:numId="42" w16cid:durableId="235819372">
    <w:abstractNumId w:val="19"/>
  </w:num>
  <w:num w:numId="43" w16cid:durableId="1338926004">
    <w:abstractNumId w:val="3"/>
  </w:num>
  <w:num w:numId="44" w16cid:durableId="942880063">
    <w:abstractNumId w:val="5"/>
  </w:num>
  <w:num w:numId="45" w16cid:durableId="1834837897">
    <w:abstractNumId w:val="2"/>
  </w:num>
  <w:num w:numId="46" w16cid:durableId="821390551">
    <w:abstractNumId w:val="44"/>
  </w:num>
  <w:num w:numId="47" w16cid:durableId="15349257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F4"/>
    <w:rsid w:val="00003E24"/>
    <w:rsid w:val="000130CF"/>
    <w:rsid w:val="00023514"/>
    <w:rsid w:val="00025B73"/>
    <w:rsid w:val="000517C6"/>
    <w:rsid w:val="00062E5B"/>
    <w:rsid w:val="00065C09"/>
    <w:rsid w:val="000720E1"/>
    <w:rsid w:val="000B02D5"/>
    <w:rsid w:val="000E54F0"/>
    <w:rsid w:val="001114B5"/>
    <w:rsid w:val="00164CAB"/>
    <w:rsid w:val="00193493"/>
    <w:rsid w:val="001B169F"/>
    <w:rsid w:val="001B1719"/>
    <w:rsid w:val="001C502A"/>
    <w:rsid w:val="001E13A7"/>
    <w:rsid w:val="001F4EEC"/>
    <w:rsid w:val="002432A3"/>
    <w:rsid w:val="002526D6"/>
    <w:rsid w:val="0027306F"/>
    <w:rsid w:val="00277FC7"/>
    <w:rsid w:val="00284ABF"/>
    <w:rsid w:val="00287B47"/>
    <w:rsid w:val="002A15C2"/>
    <w:rsid w:val="002B2B05"/>
    <w:rsid w:val="002D1F7B"/>
    <w:rsid w:val="002D2301"/>
    <w:rsid w:val="002E113C"/>
    <w:rsid w:val="002F1C7C"/>
    <w:rsid w:val="00313C4D"/>
    <w:rsid w:val="0032227A"/>
    <w:rsid w:val="00324386"/>
    <w:rsid w:val="00336615"/>
    <w:rsid w:val="003531AA"/>
    <w:rsid w:val="00364A12"/>
    <w:rsid w:val="00367208"/>
    <w:rsid w:val="003937DA"/>
    <w:rsid w:val="00396A00"/>
    <w:rsid w:val="003A1C42"/>
    <w:rsid w:val="003A5679"/>
    <w:rsid w:val="003B7FBE"/>
    <w:rsid w:val="003C17A3"/>
    <w:rsid w:val="003C1E0E"/>
    <w:rsid w:val="003E38D0"/>
    <w:rsid w:val="003F6DAB"/>
    <w:rsid w:val="00405D4E"/>
    <w:rsid w:val="004142F7"/>
    <w:rsid w:val="00422F8B"/>
    <w:rsid w:val="004666B9"/>
    <w:rsid w:val="0047231F"/>
    <w:rsid w:val="0047772E"/>
    <w:rsid w:val="00482E11"/>
    <w:rsid w:val="0048772F"/>
    <w:rsid w:val="004B649F"/>
    <w:rsid w:val="004D1672"/>
    <w:rsid w:val="004E051B"/>
    <w:rsid w:val="004E301E"/>
    <w:rsid w:val="004E6376"/>
    <w:rsid w:val="005045A8"/>
    <w:rsid w:val="00520A3E"/>
    <w:rsid w:val="005217A0"/>
    <w:rsid w:val="00557AC8"/>
    <w:rsid w:val="005633BB"/>
    <w:rsid w:val="005868D2"/>
    <w:rsid w:val="005A019F"/>
    <w:rsid w:val="005A651F"/>
    <w:rsid w:val="005C3EAD"/>
    <w:rsid w:val="006216FC"/>
    <w:rsid w:val="00665980"/>
    <w:rsid w:val="00693C47"/>
    <w:rsid w:val="00696D8E"/>
    <w:rsid w:val="006A163F"/>
    <w:rsid w:val="006A31E2"/>
    <w:rsid w:val="006E03ED"/>
    <w:rsid w:val="006E7288"/>
    <w:rsid w:val="006F6956"/>
    <w:rsid w:val="00705611"/>
    <w:rsid w:val="0073779F"/>
    <w:rsid w:val="0074446B"/>
    <w:rsid w:val="0075443E"/>
    <w:rsid w:val="00756BBE"/>
    <w:rsid w:val="00757BDE"/>
    <w:rsid w:val="00763422"/>
    <w:rsid w:val="00796D2F"/>
    <w:rsid w:val="007A7EFE"/>
    <w:rsid w:val="007C633A"/>
    <w:rsid w:val="007D6110"/>
    <w:rsid w:val="00815968"/>
    <w:rsid w:val="00820223"/>
    <w:rsid w:val="00835E4A"/>
    <w:rsid w:val="008450CE"/>
    <w:rsid w:val="00851143"/>
    <w:rsid w:val="0085493D"/>
    <w:rsid w:val="00891640"/>
    <w:rsid w:val="00897EF2"/>
    <w:rsid w:val="008D5C53"/>
    <w:rsid w:val="008D6816"/>
    <w:rsid w:val="008E05F9"/>
    <w:rsid w:val="008E41E8"/>
    <w:rsid w:val="00901A4B"/>
    <w:rsid w:val="0091361D"/>
    <w:rsid w:val="00913814"/>
    <w:rsid w:val="00942463"/>
    <w:rsid w:val="009619A0"/>
    <w:rsid w:val="00962F11"/>
    <w:rsid w:val="009651E9"/>
    <w:rsid w:val="00981824"/>
    <w:rsid w:val="00992848"/>
    <w:rsid w:val="009A131B"/>
    <w:rsid w:val="009A1416"/>
    <w:rsid w:val="009A769F"/>
    <w:rsid w:val="009E6BA8"/>
    <w:rsid w:val="009E7382"/>
    <w:rsid w:val="009F2531"/>
    <w:rsid w:val="009F7492"/>
    <w:rsid w:val="009F7FC3"/>
    <w:rsid w:val="00A35843"/>
    <w:rsid w:val="00A5419E"/>
    <w:rsid w:val="00A55960"/>
    <w:rsid w:val="00A84A8D"/>
    <w:rsid w:val="00AA32A6"/>
    <w:rsid w:val="00AD2293"/>
    <w:rsid w:val="00AD6BA1"/>
    <w:rsid w:val="00AE4ACD"/>
    <w:rsid w:val="00AF6550"/>
    <w:rsid w:val="00B153DC"/>
    <w:rsid w:val="00B3061C"/>
    <w:rsid w:val="00B326D7"/>
    <w:rsid w:val="00B40738"/>
    <w:rsid w:val="00B42144"/>
    <w:rsid w:val="00B425E9"/>
    <w:rsid w:val="00B42B32"/>
    <w:rsid w:val="00B46FAE"/>
    <w:rsid w:val="00B603C7"/>
    <w:rsid w:val="00B65E4A"/>
    <w:rsid w:val="00B85E85"/>
    <w:rsid w:val="00B91CDC"/>
    <w:rsid w:val="00B957F4"/>
    <w:rsid w:val="00BB094B"/>
    <w:rsid w:val="00BC3A0D"/>
    <w:rsid w:val="00BF50A4"/>
    <w:rsid w:val="00C0464B"/>
    <w:rsid w:val="00C22538"/>
    <w:rsid w:val="00C55E78"/>
    <w:rsid w:val="00C60FB7"/>
    <w:rsid w:val="00C65833"/>
    <w:rsid w:val="00C71E79"/>
    <w:rsid w:val="00C742CF"/>
    <w:rsid w:val="00C76A0A"/>
    <w:rsid w:val="00C86DC0"/>
    <w:rsid w:val="00C94A18"/>
    <w:rsid w:val="00CD0C78"/>
    <w:rsid w:val="00CE07AF"/>
    <w:rsid w:val="00D354C6"/>
    <w:rsid w:val="00D90837"/>
    <w:rsid w:val="00D96226"/>
    <w:rsid w:val="00DC2641"/>
    <w:rsid w:val="00DE236E"/>
    <w:rsid w:val="00E30825"/>
    <w:rsid w:val="00E356FB"/>
    <w:rsid w:val="00E40C70"/>
    <w:rsid w:val="00E6587D"/>
    <w:rsid w:val="00E74C15"/>
    <w:rsid w:val="00E862D4"/>
    <w:rsid w:val="00E9370E"/>
    <w:rsid w:val="00EA75F0"/>
    <w:rsid w:val="00EB1AB5"/>
    <w:rsid w:val="00EB1CF4"/>
    <w:rsid w:val="00EF6B82"/>
    <w:rsid w:val="00F00AA7"/>
    <w:rsid w:val="00F03413"/>
    <w:rsid w:val="00F05094"/>
    <w:rsid w:val="00F1635B"/>
    <w:rsid w:val="00F3058C"/>
    <w:rsid w:val="00F40D6F"/>
    <w:rsid w:val="00F74F8E"/>
    <w:rsid w:val="00FA6378"/>
    <w:rsid w:val="00FC032F"/>
    <w:rsid w:val="00FC6C0A"/>
    <w:rsid w:val="00FE3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8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B957F4"/>
    <w:pPr>
      <w:keepNext/>
      <w:keepLines/>
      <w:numPr>
        <w:numId w:val="1"/>
      </w:numPr>
      <w:spacing w:after="74" w:line="253" w:lineRule="auto"/>
      <w:ind w:left="10" w:hanging="10"/>
      <w:outlineLvl w:val="0"/>
    </w:pPr>
    <w:rPr>
      <w:rFonts w:ascii="Verdana" w:eastAsia="Verdana" w:hAnsi="Verdana" w:cs="Verdana"/>
      <w:b/>
      <w:color w:val="000000"/>
      <w:sz w:val="28"/>
      <w:lang w:eastAsia="en-GB"/>
    </w:rPr>
  </w:style>
  <w:style w:type="paragraph" w:styleId="Heading2">
    <w:name w:val="heading 2"/>
    <w:basedOn w:val="Normal"/>
    <w:link w:val="Heading2Char"/>
    <w:uiPriority w:val="9"/>
    <w:unhideWhenUsed/>
    <w:qFormat/>
    <w:rsid w:val="00B957F4"/>
    <w:pPr>
      <w:keepNext/>
      <w:keepLines/>
      <w:spacing w:before="240" w:after="60" w:line="240" w:lineRule="auto"/>
      <w:jc w:val="both"/>
      <w:outlineLvl w:val="1"/>
    </w:pPr>
    <w:rPr>
      <w:rFonts w:ascii="Verdana" w:eastAsiaTheme="majorEastAsia" w:hAnsi="Verdana" w:cstheme="majorBidi"/>
      <w:b/>
      <w:bCs/>
      <w:sz w:val="24"/>
      <w:szCs w:val="26"/>
    </w:rPr>
  </w:style>
  <w:style w:type="paragraph" w:styleId="Heading3">
    <w:name w:val="heading 3"/>
    <w:basedOn w:val="Normal"/>
    <w:link w:val="Heading3Char"/>
    <w:uiPriority w:val="9"/>
    <w:unhideWhenUsed/>
    <w:qFormat/>
    <w:rsid w:val="00B957F4"/>
    <w:pPr>
      <w:keepNext/>
      <w:keepLines/>
      <w:spacing w:before="240" w:after="60" w:line="240" w:lineRule="auto"/>
      <w:jc w:val="both"/>
      <w:outlineLvl w:val="2"/>
    </w:pPr>
    <w:rPr>
      <w:rFonts w:ascii="Verdana" w:eastAsiaTheme="majorEastAsia" w:hAnsi="Verdana" w:cstheme="majorBidi"/>
      <w:b/>
      <w:bCs/>
      <w:sz w:val="24"/>
    </w:rPr>
  </w:style>
  <w:style w:type="paragraph" w:styleId="Heading4">
    <w:name w:val="heading 4"/>
    <w:basedOn w:val="Normal"/>
    <w:link w:val="Heading4Char"/>
    <w:uiPriority w:val="9"/>
    <w:unhideWhenUsed/>
    <w:qFormat/>
    <w:rsid w:val="00B957F4"/>
    <w:pPr>
      <w:keepNext/>
      <w:keepLines/>
      <w:spacing w:before="200" w:after="0" w:line="240" w:lineRule="auto"/>
      <w:jc w:val="both"/>
      <w:outlineLvl w:val="3"/>
    </w:pPr>
    <w:rPr>
      <w:rFonts w:ascii="Verdana" w:eastAsiaTheme="majorEastAsia" w:hAnsi="Verdana" w:cstheme="majorBidi"/>
      <w:b/>
      <w:bCs/>
      <w:iCs/>
    </w:rPr>
  </w:style>
  <w:style w:type="paragraph" w:styleId="Heading5">
    <w:name w:val="heading 5"/>
    <w:basedOn w:val="Normal"/>
    <w:next w:val="Normal"/>
    <w:link w:val="Heading5Char"/>
    <w:uiPriority w:val="9"/>
    <w:unhideWhenUsed/>
    <w:qFormat/>
    <w:rsid w:val="00B957F4"/>
    <w:pPr>
      <w:keepNext/>
      <w:keepLines/>
      <w:spacing w:before="200" w:after="0" w:line="240" w:lineRule="auto"/>
      <w:jc w:val="both"/>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7F4"/>
    <w:rPr>
      <w:rFonts w:ascii="Verdana" w:eastAsia="Verdana" w:hAnsi="Verdana" w:cs="Verdana"/>
      <w:b/>
      <w:color w:val="000000"/>
      <w:sz w:val="28"/>
      <w:lang w:eastAsia="en-GB"/>
    </w:rPr>
  </w:style>
  <w:style w:type="character" w:customStyle="1" w:styleId="Heading2Char">
    <w:name w:val="Heading 2 Char"/>
    <w:basedOn w:val="DefaultParagraphFont"/>
    <w:link w:val="Heading2"/>
    <w:uiPriority w:val="9"/>
    <w:rsid w:val="00B957F4"/>
    <w:rPr>
      <w:rFonts w:ascii="Verdana" w:eastAsiaTheme="majorEastAsia" w:hAnsi="Verdana" w:cstheme="majorBidi"/>
      <w:b/>
      <w:bCs/>
      <w:sz w:val="24"/>
      <w:szCs w:val="26"/>
    </w:rPr>
  </w:style>
  <w:style w:type="character" w:customStyle="1" w:styleId="Heading3Char">
    <w:name w:val="Heading 3 Char"/>
    <w:basedOn w:val="DefaultParagraphFont"/>
    <w:link w:val="Heading3"/>
    <w:uiPriority w:val="9"/>
    <w:rsid w:val="00B957F4"/>
    <w:rPr>
      <w:rFonts w:ascii="Verdana" w:eastAsiaTheme="majorEastAsia" w:hAnsi="Verdana" w:cstheme="majorBidi"/>
      <w:b/>
      <w:bCs/>
      <w:sz w:val="24"/>
    </w:rPr>
  </w:style>
  <w:style w:type="character" w:customStyle="1" w:styleId="Heading4Char">
    <w:name w:val="Heading 4 Char"/>
    <w:basedOn w:val="DefaultParagraphFont"/>
    <w:link w:val="Heading4"/>
    <w:uiPriority w:val="9"/>
    <w:rsid w:val="00B957F4"/>
    <w:rPr>
      <w:rFonts w:ascii="Verdana" w:eastAsiaTheme="majorEastAsia" w:hAnsi="Verdana" w:cstheme="majorBidi"/>
      <w:b/>
      <w:bCs/>
      <w:iCs/>
    </w:rPr>
  </w:style>
  <w:style w:type="character" w:customStyle="1" w:styleId="Heading5Char">
    <w:name w:val="Heading 5 Char"/>
    <w:basedOn w:val="DefaultParagraphFont"/>
    <w:link w:val="Heading5"/>
    <w:uiPriority w:val="9"/>
    <w:rsid w:val="00B957F4"/>
    <w:rPr>
      <w:rFonts w:asciiTheme="majorHAnsi" w:eastAsiaTheme="majorEastAsia" w:hAnsiTheme="majorHAnsi" w:cstheme="majorBidi"/>
      <w:color w:val="1F4D78" w:themeColor="accent1" w:themeShade="7F"/>
    </w:rPr>
  </w:style>
  <w:style w:type="paragraph" w:customStyle="1" w:styleId="footnotedescription">
    <w:name w:val="footnote description"/>
    <w:next w:val="Normal"/>
    <w:link w:val="footnotedescriptionChar"/>
    <w:hidden/>
    <w:rsid w:val="00B957F4"/>
    <w:pPr>
      <w:spacing w:after="0"/>
    </w:pPr>
    <w:rPr>
      <w:rFonts w:ascii="Verdana" w:eastAsia="Verdana" w:hAnsi="Verdana" w:cs="Verdana"/>
      <w:color w:val="000000"/>
      <w:sz w:val="16"/>
      <w:lang w:eastAsia="en-GB"/>
    </w:rPr>
  </w:style>
  <w:style w:type="character" w:customStyle="1" w:styleId="footnotedescriptionChar">
    <w:name w:val="footnote description Char"/>
    <w:link w:val="footnotedescription"/>
    <w:rsid w:val="00B957F4"/>
    <w:rPr>
      <w:rFonts w:ascii="Verdana" w:eastAsia="Verdana" w:hAnsi="Verdana" w:cs="Verdana"/>
      <w:color w:val="000000"/>
      <w:sz w:val="16"/>
      <w:lang w:eastAsia="en-GB"/>
    </w:rPr>
  </w:style>
  <w:style w:type="paragraph" w:styleId="TOC1">
    <w:name w:val="toc 1"/>
    <w:hidden/>
    <w:uiPriority w:val="39"/>
    <w:rsid w:val="00B957F4"/>
    <w:pPr>
      <w:spacing w:after="0"/>
      <w:ind w:left="25" w:right="833" w:hanging="10"/>
    </w:pPr>
    <w:rPr>
      <w:rFonts w:ascii="Verdana" w:eastAsia="Verdana" w:hAnsi="Verdana" w:cs="Verdana"/>
      <w:b/>
      <w:color w:val="000000"/>
      <w:sz w:val="20"/>
      <w:lang w:eastAsia="en-GB"/>
    </w:rPr>
  </w:style>
  <w:style w:type="character" w:customStyle="1" w:styleId="footnotemark">
    <w:name w:val="footnote mark"/>
    <w:hidden/>
    <w:rsid w:val="00B957F4"/>
    <w:rPr>
      <w:rFonts w:ascii="Verdana" w:eastAsia="Verdana" w:hAnsi="Verdana" w:cs="Verdana"/>
      <w:color w:val="000000"/>
      <w:sz w:val="16"/>
      <w:vertAlign w:val="superscript"/>
    </w:rPr>
  </w:style>
  <w:style w:type="table" w:customStyle="1" w:styleId="TableGrid">
    <w:name w:val="TableGrid"/>
    <w:rsid w:val="00B957F4"/>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957F4"/>
    <w:pPr>
      <w:spacing w:before="12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7F4"/>
    <w:rPr>
      <w:rFonts w:ascii="Tahoma" w:hAnsi="Tahoma" w:cs="Tahoma"/>
      <w:sz w:val="16"/>
      <w:szCs w:val="16"/>
    </w:rPr>
  </w:style>
  <w:style w:type="paragraph" w:styleId="Header">
    <w:name w:val="header"/>
    <w:basedOn w:val="Normal"/>
    <w:link w:val="HeaderChar"/>
    <w:uiPriority w:val="99"/>
    <w:unhideWhenUsed/>
    <w:rsid w:val="00B957F4"/>
    <w:pPr>
      <w:tabs>
        <w:tab w:val="center" w:pos="4513"/>
        <w:tab w:val="right" w:pos="9026"/>
      </w:tabs>
      <w:spacing w:before="120" w:after="0" w:line="240" w:lineRule="auto"/>
      <w:jc w:val="both"/>
    </w:pPr>
    <w:rPr>
      <w:rFonts w:ascii="Verdana" w:hAnsi="Verdana"/>
    </w:rPr>
  </w:style>
  <w:style w:type="character" w:customStyle="1" w:styleId="HeaderChar">
    <w:name w:val="Header Char"/>
    <w:basedOn w:val="DefaultParagraphFont"/>
    <w:link w:val="Header"/>
    <w:uiPriority w:val="99"/>
    <w:rsid w:val="00B957F4"/>
    <w:rPr>
      <w:rFonts w:ascii="Verdana" w:hAnsi="Verdana"/>
    </w:rPr>
  </w:style>
  <w:style w:type="paragraph" w:styleId="Footer">
    <w:name w:val="footer"/>
    <w:basedOn w:val="Normal"/>
    <w:link w:val="FooterChar"/>
    <w:uiPriority w:val="99"/>
    <w:unhideWhenUsed/>
    <w:qFormat/>
    <w:rsid w:val="00B957F4"/>
    <w:pPr>
      <w:tabs>
        <w:tab w:val="center" w:pos="4513"/>
        <w:tab w:val="right" w:pos="9026"/>
      </w:tabs>
      <w:spacing w:after="0" w:line="240" w:lineRule="auto"/>
      <w:jc w:val="center"/>
    </w:pPr>
    <w:rPr>
      <w:rFonts w:ascii="Verdana" w:hAnsi="Verdana"/>
      <w:sz w:val="18"/>
    </w:rPr>
  </w:style>
  <w:style w:type="character" w:customStyle="1" w:styleId="FooterChar">
    <w:name w:val="Footer Char"/>
    <w:basedOn w:val="DefaultParagraphFont"/>
    <w:link w:val="Footer"/>
    <w:uiPriority w:val="99"/>
    <w:rsid w:val="00B957F4"/>
    <w:rPr>
      <w:rFonts w:ascii="Verdana" w:hAnsi="Verdana"/>
      <w:sz w:val="18"/>
    </w:rPr>
  </w:style>
  <w:style w:type="character" w:styleId="Hyperlink">
    <w:name w:val="Hyperlink"/>
    <w:basedOn w:val="DefaultParagraphFont"/>
    <w:uiPriority w:val="99"/>
    <w:unhideWhenUsed/>
    <w:rsid w:val="00B957F4"/>
    <w:rPr>
      <w:color w:val="0563C1" w:themeColor="hyperlink"/>
      <w:u w:val="none"/>
    </w:rPr>
  </w:style>
  <w:style w:type="paragraph" w:styleId="TOCHeading">
    <w:name w:val="TOC Heading"/>
    <w:basedOn w:val="Heading1"/>
    <w:next w:val="Normal"/>
    <w:uiPriority w:val="39"/>
    <w:unhideWhenUsed/>
    <w:qFormat/>
    <w:rsid w:val="00B957F4"/>
    <w:pPr>
      <w:numPr>
        <w:numId w:val="0"/>
      </w:numPr>
      <w:spacing w:before="240" w:after="60" w:line="240" w:lineRule="auto"/>
      <w:jc w:val="both"/>
      <w:outlineLvl w:val="9"/>
    </w:pPr>
    <w:rPr>
      <w:rFonts w:eastAsiaTheme="majorEastAsia" w:cstheme="majorBidi"/>
      <w:bCs/>
      <w:color w:val="auto"/>
      <w:szCs w:val="24"/>
      <w:lang w:val="en-US" w:eastAsia="ja-JP"/>
    </w:rPr>
  </w:style>
  <w:style w:type="paragraph" w:styleId="TOC2">
    <w:name w:val="toc 2"/>
    <w:basedOn w:val="Normal"/>
    <w:next w:val="Normal"/>
    <w:autoRedefine/>
    <w:uiPriority w:val="39"/>
    <w:unhideWhenUsed/>
    <w:rsid w:val="00B957F4"/>
    <w:pPr>
      <w:spacing w:after="0" w:line="240" w:lineRule="auto"/>
      <w:jc w:val="both"/>
    </w:pPr>
    <w:rPr>
      <w:rFonts w:ascii="Verdana" w:hAnsi="Verdana"/>
      <w:noProof/>
      <w:sz w:val="20"/>
    </w:rPr>
  </w:style>
  <w:style w:type="paragraph" w:styleId="ListParagraph">
    <w:name w:val="List Paragraph"/>
    <w:aliases w:val="OBC Bullet,List 1,Paragraphe EI,Normal punkter,Dot pt,Colorful List - Accent 11,No Spacing1,List Paragraph Char Char Char,Indicator Text,Numbered Para 1,Bullet 1,F5 List Paragraph,Bullet Points,List Paragraph1,List Paragraph2,MAIN CONTENT"/>
    <w:basedOn w:val="Normal"/>
    <w:uiPriority w:val="34"/>
    <w:qFormat/>
    <w:rsid w:val="00B957F4"/>
    <w:pPr>
      <w:spacing w:before="120" w:after="0" w:line="240" w:lineRule="auto"/>
      <w:ind w:left="708"/>
      <w:jc w:val="both"/>
    </w:pPr>
    <w:rPr>
      <w:rFonts w:ascii="Verdana" w:eastAsia="Times New Roman" w:hAnsi="Verdana" w:cs="Times New Roman"/>
      <w:szCs w:val="24"/>
      <w:lang w:eastAsia="en-GB"/>
    </w:rPr>
  </w:style>
  <w:style w:type="paragraph" w:styleId="FootnoteText">
    <w:name w:val="footnote text"/>
    <w:aliases w:val="Verdana 8p Regular Foot,Footnote Text Char1,Footnote Text Char Char,Fußnotentext Char Char Char,Fußnotentext Char1 Char Char Char,Fußnotentext Char Char Char Char Char,Fußnotentext Char1 Char Char Char Char Char"/>
    <w:basedOn w:val="Normal"/>
    <w:link w:val="FootnoteTextChar"/>
    <w:uiPriority w:val="99"/>
    <w:unhideWhenUsed/>
    <w:rsid w:val="00B957F4"/>
    <w:pPr>
      <w:spacing w:after="0" w:line="240" w:lineRule="auto"/>
      <w:jc w:val="both"/>
    </w:pPr>
    <w:rPr>
      <w:rFonts w:ascii="Verdana" w:hAnsi="Verdana"/>
      <w:sz w:val="16"/>
      <w:szCs w:val="20"/>
    </w:rPr>
  </w:style>
  <w:style w:type="character" w:customStyle="1" w:styleId="FootnoteTextChar">
    <w:name w:val="Footnote Text Char"/>
    <w:aliases w:val="Verdana 8p Regular Foot Char,Footnote Text Char1 Char,Footnote Text Char Char Char,Fußnotentext Char Char Char Char,Fußnotentext Char1 Char Char Char Char,Fußnotentext Char Char Char Char Char Char"/>
    <w:basedOn w:val="DefaultParagraphFont"/>
    <w:link w:val="FootnoteText"/>
    <w:uiPriority w:val="99"/>
    <w:rsid w:val="00B957F4"/>
    <w:rPr>
      <w:rFonts w:ascii="Verdana" w:hAnsi="Verdana"/>
      <w:sz w:val="16"/>
      <w:szCs w:val="20"/>
    </w:rPr>
  </w:style>
  <w:style w:type="character" w:styleId="FootnoteReference">
    <w:name w:val="footnote reference"/>
    <w:aliases w:val="Verdana 11p Regular,hochgestellt,Footnote Reference Number,Footnote Reference_LVL6,Footnote Reference_LVL61,Footnote Reference_LVL62,Footnote Reference_LVL63,Footnote Reference_LVL64,Footnote symbol,Footnote reference number,Char1"/>
    <w:basedOn w:val="DefaultParagraphFont"/>
    <w:uiPriority w:val="99"/>
    <w:unhideWhenUsed/>
    <w:qFormat/>
    <w:rsid w:val="00B957F4"/>
    <w:rPr>
      <w:rFonts w:ascii="Verdana" w:hAnsi="Verdana"/>
      <w:sz w:val="22"/>
      <w:vertAlign w:val="superscript"/>
    </w:rPr>
  </w:style>
  <w:style w:type="character" w:styleId="PlaceholderText">
    <w:name w:val="Placeholder Text"/>
    <w:basedOn w:val="DefaultParagraphFont"/>
    <w:uiPriority w:val="99"/>
    <w:semiHidden/>
    <w:rsid w:val="00B957F4"/>
    <w:rPr>
      <w:color w:val="808080"/>
    </w:rPr>
  </w:style>
  <w:style w:type="paragraph" w:customStyle="1" w:styleId="Enumerationwithbox">
    <w:name w:val="Enumeration with box"/>
    <w:basedOn w:val="Normal"/>
    <w:rsid w:val="00B957F4"/>
    <w:pPr>
      <w:numPr>
        <w:numId w:val="2"/>
      </w:numPr>
      <w:pBdr>
        <w:top w:val="single" w:sz="4" w:space="10" w:color="D0E7F6"/>
        <w:left w:val="single" w:sz="4" w:space="8" w:color="D0E7F6"/>
        <w:bottom w:val="single" w:sz="4" w:space="10" w:color="D0E7F6"/>
        <w:right w:val="single" w:sz="4" w:space="8" w:color="D0E7F6"/>
      </w:pBdr>
      <w:shd w:val="clear" w:color="auto" w:fill="D0E7F6"/>
      <w:spacing w:before="120" w:after="0" w:line="240" w:lineRule="auto"/>
      <w:ind w:right="170"/>
      <w:jc w:val="both"/>
    </w:pPr>
    <w:rPr>
      <w:rFonts w:ascii="Verdana" w:eastAsia="MS Mincho" w:hAnsi="Verdana" w:cs="Times New Roman"/>
      <w:lang w:val="de-DE" w:eastAsia="de-DE"/>
    </w:rPr>
  </w:style>
  <w:style w:type="character" w:styleId="FollowedHyperlink">
    <w:name w:val="FollowedHyperlink"/>
    <w:basedOn w:val="DefaultParagraphFont"/>
    <w:uiPriority w:val="99"/>
    <w:semiHidden/>
    <w:unhideWhenUsed/>
    <w:rsid w:val="00B957F4"/>
    <w:rPr>
      <w:color w:val="954F72" w:themeColor="followedHyperlink"/>
      <w:u w:val="single"/>
    </w:rPr>
  </w:style>
  <w:style w:type="paragraph" w:customStyle="1" w:styleId="Heading5c">
    <w:name w:val="Heading 5c"/>
    <w:basedOn w:val="Heading5"/>
    <w:rsid w:val="00B957F4"/>
    <w:pPr>
      <w:spacing w:before="240"/>
    </w:pPr>
    <w:rPr>
      <w:rFonts w:ascii="Verdana" w:eastAsia="MS Mincho" w:hAnsi="Verdana" w:cs="Times New Roman"/>
      <w:i/>
      <w:color w:val="auto"/>
      <w:szCs w:val="36"/>
      <w:lang w:eastAsia="ja-JP"/>
    </w:rPr>
  </w:style>
  <w:style w:type="paragraph" w:customStyle="1" w:styleId="CoverTitle">
    <w:name w:val="Cover Title"/>
    <w:basedOn w:val="Normal"/>
    <w:rsid w:val="00B957F4"/>
    <w:pPr>
      <w:shd w:val="clear" w:color="auto" w:fill="D0E7F6"/>
      <w:spacing w:before="240" w:after="240" w:line="240" w:lineRule="auto"/>
      <w:jc w:val="center"/>
    </w:pPr>
    <w:rPr>
      <w:rFonts w:ascii="Verdana" w:hAnsi="Verdana" w:cs="Verdana,Bold"/>
      <w:b/>
      <w:bCs/>
      <w:sz w:val="40"/>
      <w:szCs w:val="40"/>
    </w:rPr>
  </w:style>
  <w:style w:type="paragraph" w:styleId="Title">
    <w:name w:val="Title"/>
    <w:aliases w:val="Document Title"/>
    <w:basedOn w:val="Normal"/>
    <w:next w:val="CoverTitle"/>
    <w:link w:val="TitleChar"/>
    <w:uiPriority w:val="10"/>
    <w:qFormat/>
    <w:rsid w:val="00B957F4"/>
    <w:pPr>
      <w:shd w:val="clear" w:color="auto" w:fill="D0E7F6"/>
      <w:spacing w:before="240" w:after="240" w:line="240" w:lineRule="auto"/>
      <w:jc w:val="center"/>
    </w:pPr>
    <w:rPr>
      <w:rFonts w:ascii="Verdana" w:eastAsiaTheme="majorEastAsia" w:hAnsi="Verdana" w:cstheme="majorBidi"/>
      <w:b/>
      <w:spacing w:val="5"/>
      <w:kern w:val="28"/>
      <w:sz w:val="40"/>
      <w:szCs w:val="52"/>
    </w:rPr>
  </w:style>
  <w:style w:type="character" w:customStyle="1" w:styleId="TitleChar">
    <w:name w:val="Title Char"/>
    <w:aliases w:val="Document Title Char"/>
    <w:basedOn w:val="DefaultParagraphFont"/>
    <w:link w:val="Title"/>
    <w:uiPriority w:val="10"/>
    <w:rsid w:val="00B957F4"/>
    <w:rPr>
      <w:rFonts w:ascii="Verdana" w:eastAsiaTheme="majorEastAsia" w:hAnsi="Verdana" w:cstheme="majorBidi"/>
      <w:b/>
      <w:spacing w:val="5"/>
      <w:kern w:val="28"/>
      <w:sz w:val="40"/>
      <w:szCs w:val="52"/>
      <w:shd w:val="clear" w:color="auto" w:fill="D0E7F6"/>
    </w:rPr>
  </w:style>
  <w:style w:type="character" w:styleId="Strong">
    <w:name w:val="Strong"/>
    <w:basedOn w:val="DefaultParagraphFont"/>
    <w:uiPriority w:val="22"/>
    <w:qFormat/>
    <w:rsid w:val="00B957F4"/>
    <w:rPr>
      <w:b/>
      <w:bCs/>
    </w:rPr>
  </w:style>
  <w:style w:type="paragraph" w:customStyle="1" w:styleId="ReferenceNumber">
    <w:name w:val="Reference Number"/>
    <w:basedOn w:val="Normal"/>
    <w:qFormat/>
    <w:rsid w:val="00B957F4"/>
    <w:pPr>
      <w:tabs>
        <w:tab w:val="left" w:pos="1480"/>
      </w:tabs>
      <w:spacing w:after="0" w:line="240" w:lineRule="auto"/>
      <w:jc w:val="right"/>
    </w:pPr>
    <w:rPr>
      <w:rFonts w:ascii="Verdana" w:hAnsi="Verdana"/>
      <w:sz w:val="20"/>
      <w:szCs w:val="20"/>
    </w:rPr>
  </w:style>
  <w:style w:type="paragraph" w:customStyle="1" w:styleId="Bulletpoints3">
    <w:name w:val="Bullet points3"/>
    <w:basedOn w:val="Enumerationwithbox"/>
    <w:qFormat/>
    <w:rsid w:val="00B957F4"/>
    <w:pPr>
      <w:numPr>
        <w:numId w:val="3"/>
      </w:numPr>
      <w:pBdr>
        <w:top w:val="none" w:sz="0" w:space="0" w:color="auto"/>
        <w:left w:val="none" w:sz="0" w:space="0" w:color="auto"/>
        <w:bottom w:val="none" w:sz="0" w:space="0" w:color="auto"/>
        <w:right w:val="none" w:sz="0" w:space="0" w:color="auto"/>
      </w:pBdr>
      <w:shd w:val="clear" w:color="auto" w:fill="auto"/>
    </w:pPr>
  </w:style>
  <w:style w:type="paragraph" w:customStyle="1" w:styleId="BoxText">
    <w:name w:val="Box Text"/>
    <w:basedOn w:val="Enumerationwithbox"/>
    <w:qFormat/>
    <w:rsid w:val="00B957F4"/>
    <w:pPr>
      <w:numPr>
        <w:numId w:val="0"/>
      </w:numPr>
      <w:ind w:left="227"/>
    </w:pPr>
  </w:style>
  <w:style w:type="paragraph" w:customStyle="1" w:styleId="numbers">
    <w:name w:val="numbers"/>
    <w:basedOn w:val="Enumerationwithbox"/>
    <w:rsid w:val="00B957F4"/>
    <w:pPr>
      <w:pBdr>
        <w:top w:val="none" w:sz="0" w:space="0" w:color="auto"/>
        <w:left w:val="none" w:sz="0" w:space="0" w:color="auto"/>
        <w:bottom w:val="none" w:sz="0" w:space="0" w:color="auto"/>
        <w:right w:val="none" w:sz="0" w:space="0" w:color="auto"/>
      </w:pBdr>
      <w:shd w:val="clear" w:color="auto" w:fill="auto"/>
    </w:pPr>
  </w:style>
  <w:style w:type="character" w:styleId="Emphasis">
    <w:name w:val="Emphasis"/>
    <w:basedOn w:val="DefaultParagraphFont"/>
    <w:uiPriority w:val="20"/>
    <w:rsid w:val="00B957F4"/>
    <w:rPr>
      <w:i/>
      <w:iCs/>
    </w:rPr>
  </w:style>
  <w:style w:type="character" w:styleId="SubtleEmphasis">
    <w:name w:val="Subtle Emphasis"/>
    <w:basedOn w:val="DefaultParagraphFont"/>
    <w:uiPriority w:val="19"/>
    <w:rsid w:val="00B957F4"/>
    <w:rPr>
      <w:i/>
      <w:iCs/>
      <w:color w:val="808080" w:themeColor="text1" w:themeTint="7F"/>
    </w:rPr>
  </w:style>
  <w:style w:type="character" w:customStyle="1" w:styleId="Bold">
    <w:name w:val="Bold"/>
    <w:basedOn w:val="DefaultParagraphFont"/>
    <w:uiPriority w:val="1"/>
    <w:qFormat/>
    <w:rsid w:val="00B957F4"/>
    <w:rPr>
      <w:b/>
    </w:rPr>
  </w:style>
  <w:style w:type="character" w:customStyle="1" w:styleId="Regular">
    <w:name w:val="Regular"/>
    <w:basedOn w:val="DefaultParagraphFont"/>
    <w:uiPriority w:val="1"/>
    <w:qFormat/>
    <w:rsid w:val="00B957F4"/>
  </w:style>
  <w:style w:type="character" w:customStyle="1" w:styleId="Italic">
    <w:name w:val="Italic"/>
    <w:basedOn w:val="Regular"/>
    <w:uiPriority w:val="1"/>
    <w:qFormat/>
    <w:rsid w:val="00B957F4"/>
    <w:rPr>
      <w:i/>
    </w:rPr>
  </w:style>
  <w:style w:type="character" w:customStyle="1" w:styleId="Underlined">
    <w:name w:val="Underlined"/>
    <w:basedOn w:val="DefaultParagraphFont"/>
    <w:uiPriority w:val="1"/>
    <w:qFormat/>
    <w:rsid w:val="00B957F4"/>
    <w:rPr>
      <w:u w:val="single"/>
    </w:rPr>
  </w:style>
  <w:style w:type="paragraph" w:customStyle="1" w:styleId="Bulletpoints1">
    <w:name w:val="Bullet points1"/>
    <w:basedOn w:val="ListBullet"/>
    <w:qFormat/>
    <w:rsid w:val="00B957F4"/>
  </w:style>
  <w:style w:type="paragraph" w:customStyle="1" w:styleId="Enumeration">
    <w:name w:val="Enumeration"/>
    <w:rsid w:val="00B957F4"/>
    <w:pPr>
      <w:numPr>
        <w:numId w:val="6"/>
      </w:numPr>
      <w:spacing w:after="200" w:line="276" w:lineRule="auto"/>
      <w:ind w:left="697" w:hanging="357"/>
    </w:pPr>
    <w:rPr>
      <w:rFonts w:ascii="Verdana" w:hAnsi="Verdana"/>
    </w:rPr>
  </w:style>
  <w:style w:type="paragraph" w:styleId="ListBullet">
    <w:name w:val="List Bullet"/>
    <w:basedOn w:val="Normal"/>
    <w:uiPriority w:val="99"/>
    <w:semiHidden/>
    <w:unhideWhenUsed/>
    <w:rsid w:val="00B957F4"/>
    <w:pPr>
      <w:numPr>
        <w:numId w:val="4"/>
      </w:numPr>
      <w:spacing w:before="120" w:after="0" w:line="240" w:lineRule="auto"/>
      <w:contextualSpacing/>
      <w:jc w:val="both"/>
    </w:pPr>
    <w:rPr>
      <w:rFonts w:ascii="Verdana" w:hAnsi="Verdana"/>
    </w:rPr>
  </w:style>
  <w:style w:type="paragraph" w:styleId="ListNumber">
    <w:name w:val="List Number"/>
    <w:basedOn w:val="Normal"/>
    <w:uiPriority w:val="99"/>
    <w:semiHidden/>
    <w:unhideWhenUsed/>
    <w:rsid w:val="00B957F4"/>
    <w:pPr>
      <w:numPr>
        <w:numId w:val="5"/>
      </w:numPr>
      <w:spacing w:before="120" w:after="0" w:line="240" w:lineRule="auto"/>
      <w:contextualSpacing/>
      <w:jc w:val="both"/>
    </w:pPr>
    <w:rPr>
      <w:rFonts w:ascii="Verdana" w:hAnsi="Verdana"/>
    </w:rPr>
  </w:style>
  <w:style w:type="numbering" w:customStyle="1" w:styleId="ListNumbers">
    <w:name w:val="List Numbers"/>
    <w:basedOn w:val="NoList"/>
    <w:uiPriority w:val="99"/>
    <w:rsid w:val="00B957F4"/>
    <w:pPr>
      <w:numPr>
        <w:numId w:val="7"/>
      </w:numPr>
    </w:pPr>
  </w:style>
  <w:style w:type="numbering" w:customStyle="1" w:styleId="Style1">
    <w:name w:val="Style1"/>
    <w:basedOn w:val="ListNumbers"/>
    <w:uiPriority w:val="99"/>
    <w:rsid w:val="00B957F4"/>
    <w:pPr>
      <w:numPr>
        <w:numId w:val="8"/>
      </w:numPr>
    </w:pPr>
  </w:style>
  <w:style w:type="table" w:customStyle="1" w:styleId="EIOPATable">
    <w:name w:val="EIOPA Table"/>
    <w:basedOn w:val="TableNormal"/>
    <w:uiPriority w:val="99"/>
    <w:rsid w:val="00B957F4"/>
    <w:pPr>
      <w:spacing w:after="0" w:line="240" w:lineRule="auto"/>
    </w:pPr>
    <w:rPr>
      <w:rFonts w:ascii="Verdana" w:hAnsi="Verdana"/>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cPr>
      <w:shd w:val="clear" w:color="auto" w:fill="auto"/>
    </w:tcPr>
    <w:tblStylePr w:type="band1Horz">
      <w:rPr>
        <w:rFonts w:ascii="Verdana" w:hAnsi="Verdana"/>
        <w:sz w:val="22"/>
      </w:rPr>
      <w:tblPr/>
      <w:tcPr>
        <w:shd w:val="clear" w:color="auto" w:fill="D0E7F6"/>
      </w:tcPr>
    </w:tblStylePr>
  </w:style>
  <w:style w:type="character" w:customStyle="1" w:styleId="BoldItalic">
    <w:name w:val="Bold Italic"/>
    <w:basedOn w:val="DefaultParagraphFont"/>
    <w:uiPriority w:val="1"/>
    <w:qFormat/>
    <w:rsid w:val="00B957F4"/>
    <w:rPr>
      <w:b/>
      <w:i/>
    </w:rPr>
  </w:style>
  <w:style w:type="table" w:styleId="TableGrid0">
    <w:name w:val="Table Grid"/>
    <w:basedOn w:val="TableNormal"/>
    <w:rsid w:val="00B957F4"/>
    <w:pPr>
      <w:spacing w:after="0" w:line="240" w:lineRule="auto"/>
    </w:pPr>
    <w:rPr>
      <w:rFonts w:ascii="Verdana" w:eastAsia="Times New Roman" w:hAnsi="Verdana" w:cs="Times New Roman"/>
      <w:szCs w:val="20"/>
      <w:lang w:val="de-DE" w:eastAsia="de-DE"/>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blStylePr w:type="firstRow">
      <w:rPr>
        <w:rFonts w:ascii="Verdana" w:hAnsi="Verdana"/>
        <w:b/>
        <w:color w:val="44546A" w:themeColor="text2"/>
        <w:sz w:val="22"/>
      </w:rPr>
      <w:tblPr/>
      <w:tcPr>
        <w:shd w:val="clear" w:color="auto" w:fill="D0E7F6"/>
      </w:tcPr>
    </w:tblStylePr>
  </w:style>
  <w:style w:type="character" w:customStyle="1" w:styleId="Blue">
    <w:name w:val="Blue"/>
    <w:basedOn w:val="DefaultParagraphFont"/>
    <w:uiPriority w:val="1"/>
    <w:qFormat/>
    <w:rsid w:val="00B957F4"/>
    <w:rPr>
      <w:color w:val="44546A" w:themeColor="text2"/>
      <w:lang w:eastAsia="en-GB"/>
    </w:rPr>
  </w:style>
  <w:style w:type="character" w:customStyle="1" w:styleId="BoldBlue">
    <w:name w:val="Bold Blue"/>
    <w:basedOn w:val="Blue"/>
    <w:uiPriority w:val="1"/>
    <w:qFormat/>
    <w:rsid w:val="00B957F4"/>
    <w:rPr>
      <w:b/>
      <w:color w:val="44546A" w:themeColor="text2"/>
      <w:lang w:eastAsia="en-GB"/>
    </w:rPr>
  </w:style>
  <w:style w:type="paragraph" w:customStyle="1" w:styleId="Bulletpoints2">
    <w:name w:val="Bullet points2"/>
    <w:basedOn w:val="BoxText"/>
    <w:qFormat/>
    <w:rsid w:val="00B957F4"/>
    <w:pPr>
      <w:numPr>
        <w:numId w:val="10"/>
      </w:numPr>
      <w:ind w:left="584" w:hanging="357"/>
    </w:pPr>
  </w:style>
  <w:style w:type="character" w:customStyle="1" w:styleId="Highlight">
    <w:name w:val="Highlight"/>
    <w:basedOn w:val="DefaultParagraphFont"/>
    <w:uiPriority w:val="1"/>
    <w:qFormat/>
    <w:rsid w:val="00B957F4"/>
    <w:rPr>
      <w:bdr w:val="none" w:sz="0" w:space="0" w:color="auto"/>
      <w:shd w:val="clear" w:color="auto" w:fill="FFFF00"/>
      <w:lang w:eastAsia="de-DE"/>
    </w:rPr>
  </w:style>
  <w:style w:type="paragraph" w:customStyle="1" w:styleId="Enumeration1">
    <w:name w:val="Enumeration1"/>
    <w:qFormat/>
    <w:rsid w:val="00B957F4"/>
    <w:pPr>
      <w:numPr>
        <w:numId w:val="12"/>
      </w:numPr>
      <w:spacing w:after="200" w:line="276" w:lineRule="auto"/>
    </w:pPr>
    <w:rPr>
      <w:rFonts w:ascii="Verdana" w:eastAsia="Times New Roman" w:hAnsi="Verdana" w:cs="Times New Roman"/>
      <w:szCs w:val="24"/>
      <w:lang w:eastAsia="en-GB"/>
    </w:rPr>
  </w:style>
  <w:style w:type="character" w:customStyle="1" w:styleId="highlightblue">
    <w:name w:val="highlight blue"/>
    <w:basedOn w:val="DefaultParagraphFont"/>
    <w:uiPriority w:val="1"/>
    <w:qFormat/>
    <w:rsid w:val="00B957F4"/>
    <w:rPr>
      <w:bdr w:val="none" w:sz="0" w:space="0" w:color="auto"/>
      <w:shd w:val="clear" w:color="auto" w:fill="D0E7F6"/>
    </w:rPr>
  </w:style>
  <w:style w:type="numbering" w:customStyle="1" w:styleId="Style2">
    <w:name w:val="Style2"/>
    <w:uiPriority w:val="99"/>
    <w:rsid w:val="00B957F4"/>
    <w:pPr>
      <w:numPr>
        <w:numId w:val="11"/>
      </w:numPr>
    </w:pPr>
  </w:style>
  <w:style w:type="table" w:customStyle="1" w:styleId="Style4">
    <w:name w:val="Style4"/>
    <w:basedOn w:val="TableNormal"/>
    <w:uiPriority w:val="99"/>
    <w:rsid w:val="00B957F4"/>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customStyle="1" w:styleId="TableGrid1">
    <w:name w:val="Table Grid1"/>
    <w:basedOn w:val="TableNormal"/>
    <w:next w:val="TableGrid0"/>
    <w:rsid w:val="00B957F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ISIndentCharCharChar">
    <w:name w:val="QISIndent Char Char Char"/>
    <w:basedOn w:val="Normal"/>
    <w:rsid w:val="00B957F4"/>
    <w:pPr>
      <w:spacing w:after="240" w:line="240" w:lineRule="auto"/>
      <w:ind w:left="1134"/>
      <w:jc w:val="both"/>
    </w:pPr>
    <w:rPr>
      <w:rFonts w:ascii="Verdana" w:eastAsia="MS Mincho" w:hAnsi="Verdana" w:cs="Times New Roman"/>
      <w:szCs w:val="20"/>
      <w:lang w:eastAsia="ja-JP"/>
    </w:rPr>
  </w:style>
  <w:style w:type="paragraph" w:customStyle="1" w:styleId="BodyLeft">
    <w:name w:val="Body Left"/>
    <w:basedOn w:val="Normal"/>
    <w:qFormat/>
    <w:rsid w:val="00B957F4"/>
    <w:pPr>
      <w:spacing w:before="120" w:after="0" w:line="240" w:lineRule="auto"/>
    </w:pPr>
    <w:rPr>
      <w:rFonts w:ascii="Verdana" w:hAnsi="Verdana"/>
      <w:lang w:eastAsia="de-DE"/>
    </w:rPr>
  </w:style>
  <w:style w:type="paragraph" w:customStyle="1" w:styleId="BodyCentered">
    <w:name w:val="Body Centered"/>
    <w:basedOn w:val="BodyLeft"/>
    <w:qFormat/>
    <w:rsid w:val="00B957F4"/>
    <w:pPr>
      <w:jc w:val="center"/>
    </w:pPr>
  </w:style>
  <w:style w:type="character" w:customStyle="1" w:styleId="BoldUnderlined">
    <w:name w:val="Bold Underlined"/>
    <w:basedOn w:val="DefaultParagraphFont"/>
    <w:uiPriority w:val="1"/>
    <w:qFormat/>
    <w:rsid w:val="00B957F4"/>
    <w:rPr>
      <w:b/>
      <w:u w:val="single"/>
    </w:rPr>
  </w:style>
  <w:style w:type="character" w:customStyle="1" w:styleId="Style5">
    <w:name w:val="Style5"/>
    <w:basedOn w:val="DefaultParagraphFont"/>
    <w:uiPriority w:val="1"/>
    <w:rsid w:val="00B957F4"/>
    <w:rPr>
      <w:color w:val="FF0000"/>
    </w:rPr>
  </w:style>
  <w:style w:type="character" w:styleId="CommentReference">
    <w:name w:val="annotation reference"/>
    <w:basedOn w:val="DefaultParagraphFont"/>
    <w:uiPriority w:val="99"/>
    <w:unhideWhenUsed/>
    <w:rsid w:val="00B957F4"/>
    <w:rPr>
      <w:sz w:val="16"/>
      <w:szCs w:val="16"/>
    </w:rPr>
  </w:style>
  <w:style w:type="paragraph" w:styleId="CommentText">
    <w:name w:val="annotation text"/>
    <w:basedOn w:val="Normal"/>
    <w:link w:val="CommentTextChar"/>
    <w:uiPriority w:val="99"/>
    <w:unhideWhenUsed/>
    <w:rsid w:val="00B957F4"/>
    <w:pPr>
      <w:spacing w:before="120" w:after="0" w:line="240" w:lineRule="auto"/>
      <w:jc w:val="both"/>
    </w:pPr>
    <w:rPr>
      <w:rFonts w:ascii="Verdana" w:hAnsi="Verdana"/>
      <w:sz w:val="20"/>
      <w:szCs w:val="20"/>
    </w:rPr>
  </w:style>
  <w:style w:type="character" w:customStyle="1" w:styleId="CommentTextChar">
    <w:name w:val="Comment Text Char"/>
    <w:basedOn w:val="DefaultParagraphFont"/>
    <w:link w:val="CommentText"/>
    <w:uiPriority w:val="99"/>
    <w:rsid w:val="00B957F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957F4"/>
    <w:rPr>
      <w:b/>
      <w:bCs/>
    </w:rPr>
  </w:style>
  <w:style w:type="character" w:customStyle="1" w:styleId="CommentSubjectChar">
    <w:name w:val="Comment Subject Char"/>
    <w:basedOn w:val="CommentTextChar"/>
    <w:link w:val="CommentSubject"/>
    <w:uiPriority w:val="99"/>
    <w:semiHidden/>
    <w:rsid w:val="00B957F4"/>
    <w:rPr>
      <w:rFonts w:ascii="Verdana" w:hAnsi="Verdana"/>
      <w:b/>
      <w:bCs/>
      <w:sz w:val="20"/>
      <w:szCs w:val="20"/>
    </w:rPr>
  </w:style>
  <w:style w:type="paragraph" w:styleId="TOC3">
    <w:name w:val="toc 3"/>
    <w:basedOn w:val="Normal"/>
    <w:next w:val="Normal"/>
    <w:autoRedefine/>
    <w:uiPriority w:val="39"/>
    <w:unhideWhenUsed/>
    <w:rsid w:val="00B957F4"/>
    <w:pPr>
      <w:spacing w:before="120" w:after="100" w:line="240" w:lineRule="auto"/>
      <w:ind w:left="440"/>
      <w:jc w:val="both"/>
    </w:pPr>
    <w:rPr>
      <w:rFonts w:ascii="Verdana" w:hAnsi="Verdana"/>
    </w:rPr>
  </w:style>
  <w:style w:type="paragraph" w:styleId="NoSpacing">
    <w:name w:val="No Spacing"/>
    <w:uiPriority w:val="1"/>
    <w:qFormat/>
    <w:rsid w:val="00B957F4"/>
    <w:pPr>
      <w:spacing w:after="0" w:line="240" w:lineRule="auto"/>
    </w:pPr>
  </w:style>
  <w:style w:type="paragraph" w:styleId="Revision">
    <w:name w:val="Revision"/>
    <w:hidden/>
    <w:uiPriority w:val="99"/>
    <w:semiHidden/>
    <w:rsid w:val="00B957F4"/>
    <w:pPr>
      <w:spacing w:after="0" w:line="240" w:lineRule="auto"/>
    </w:pPr>
    <w:rPr>
      <w:rFonts w:ascii="Verdana" w:hAnsi="Verdana"/>
    </w:rPr>
  </w:style>
  <w:style w:type="paragraph" w:styleId="NormalWeb">
    <w:name w:val="Normal (Web)"/>
    <w:basedOn w:val="Normal"/>
    <w:uiPriority w:val="99"/>
    <w:semiHidden/>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Left">
    <w:name w:val="Normal Left"/>
    <w:basedOn w:val="Normal"/>
    <w:uiPriority w:val="99"/>
    <w:rsid w:val="005868D2"/>
    <w:pPr>
      <w:autoSpaceDE w:val="0"/>
      <w:autoSpaceDN w:val="0"/>
      <w:spacing w:before="120" w:after="120" w:line="240" w:lineRule="auto"/>
    </w:pPr>
    <w:rPr>
      <w:rFonts w:ascii="Times New Roman" w:eastAsiaTheme="minorEastAsia" w:hAnsi="Times New Roman" w:cs="Times New Roman"/>
      <w:sz w:val="24"/>
      <w:szCs w:val="24"/>
      <w:lang w:val="fr-FR" w:eastAsia="en-GB"/>
    </w:rPr>
  </w:style>
  <w:style w:type="character" w:customStyle="1" w:styleId="Metadata-Blue">
    <w:name w:val="Metadata-Blue"/>
    <w:basedOn w:val="DefaultParagraphFont"/>
    <w:uiPriority w:val="99"/>
    <w:qFormat/>
    <w:rsid w:val="00901A4B"/>
    <w:rPr>
      <w:rFonts w:asciiTheme="minorHAnsi" w:hAnsiTheme="minorHAnsi"/>
      <w:b w:val="0"/>
      <w:i w:val="0"/>
      <w:caps/>
      <w:smallCaps w:val="0"/>
      <w:color w:val="44546A" w:themeColor="text2"/>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ormData xmlns="http://schemas.microsoft.com/sharepoint/v3">&lt;?xml version="1.0" encoding="utf-8"?&gt;&lt;FormVariables&gt;&lt;Version /&gt;&lt;Advanced type="System.Boolean"&gt;False&lt;/Advanced&gt;&lt;/FormVariables&gt;</FormData>
    <IconOverlay xmlns="http://schemas.microsoft.com/sharepoint/v4" xsi:nil="true"/>
    <ERIS_RecordNumber xmlns="0bee1c46-bdab-411b-a655-5401df9df4b3">EIOPA(2023)0057919</ERIS_RecordNumber>
    <ERIS_ConfidentialityLevel xmlns="0bee1c46-bdab-411b-a655-5401df9df4b3">EIOPA Regular Use</ERIS_ConfidentialityLevel>
    <ERIS_AssignedTo xmlns="0bee1c46-bdab-411b-a655-5401df9df4b3">
      <UserInfo>
        <DisplayName/>
        <AccountId xsi:nil="true"/>
        <AccountType/>
      </UserInfo>
    </ERIS_AssignedTo>
    <TaxCatchAll xmlns="0bee1c46-bdab-411b-a655-5401df9df4b3">
      <Value>12</Value>
      <Value>17</Value>
      <Value>16</Value>
      <Value>1</Value>
    </TaxCatchAll>
    <ERIS_BusinessArea xmlns="0bee1c46-bdab-411b-a655-5401df9df4b3">Supervisory Processes Department</ERIS_BusinessArea>
    <ERIS_OtherReference xmlns="0bee1c46-bdab-411b-a655-5401df9df4b3" xsi:nil="true"/>
    <ERIS_ApprovalStatus xmlns="0bee1c46-bdab-411b-a655-5401df9df4b3">DRAFT</ERIS_ApprovalStatus>
    <ERIS_Relation xmlns="0bee1c46-bdab-411b-a655-5401df9df4b3">, </ERIS_Relation>
    <ERIS_AdditionalMarkings xmlns="0bee1c46-bdab-411b-a655-5401df9df4b3" xsi:nil="true"/>
    <ERIS_SupersededObsolete xmlns="0bee1c46-bdab-411b-a655-5401df9df4b3">false</ERIS_SupersededObsolete>
    <FilenameMeetingType xmlns="0bee1c46-bdab-411b-a655-5401df9df4b3">BoS</FilenameMeetingType>
    <NextMeetingSubfolder xmlns="0bee1c46-bdab-411b-a655-5401df9df4b3">05. Supervisory Processes Department</NextMeetingSubfolder>
    <SubmittingDepartment xmlns="0bee1c46-bdab-411b-a655-5401df9df4b3">Supervisory Processes Department</SubmittingDepartment>
    <MeetingApprovalPath xmlns="0bee1c46-bdab-411b-a655-5401df9df4b3">SMM-BoS</MeetingApprovalPath>
    <SourceDocumentInfo xmlns="0bee1c46-bdab-411b-a655-5401df9df4b3" xsi:nil="true"/>
    <NextMeetingType xmlns="0bee1c46-bdab-411b-a655-5401df9df4b3">SMM</NextMeetingType>
    <FilenameMeetingNo xmlns="0bee1c46-bdab-411b-a655-5401df9df4b3">23-006</FilenameMeetingNo>
    <FilenameMeetingAgendaNo xmlns="0bee1c46-bdab-411b-a655-5401df9df4b3">05.1</FilenameMeetingAgendaNo>
    <NextMeeting xmlns="0bee1c46-bdab-411b-a655-5401df9df4b3">SMM 2023-01-11</NextMeeting>
    <beffc630dace41328897f0481472454d xmlns="0bee1c46-bdab-411b-a655-5401df9df4b3">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9c1f1089-3cd8-45b3-9c9b-368074e8f8b2</TermId>
        </TermInfo>
      </Terms>
    </beffc630dace41328897f0481472454d>
    <pe97fe9bea554a78a23a225d37adbc35 xmlns="0bee1c46-bdab-411b-a655-5401df9df4b3">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9a4c2d49-af85-4ad7-b496-10dd39d4e112</TermId>
        </TermInfo>
      </Terms>
    </pe97fe9bea554a78a23a225d37adbc35>
    <gf48ed4469924c22b2ce31866c2df0cf xmlns="0bee1c46-bdab-411b-a655-5401df9df4b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gf48ed4469924c22b2ce31866c2df0cf>
    <l1910f2a75d44c5d93401f0d5ce6b040 xmlns="0bee1c46-bdab-411b-a655-5401df9df4b3">
      <Terms xmlns="http://schemas.microsoft.com/office/infopath/2007/PartnerControls">
        <TermInfo xmlns="http://schemas.microsoft.com/office/infopath/2007/PartnerControls">
          <TermName xmlns="http://schemas.microsoft.com/office/infopath/2007/PartnerControls">Supervisory Processes Department</TermName>
          <TermId xmlns="http://schemas.microsoft.com/office/infopath/2007/PartnerControls">3a9db3ad-f1a2-49c0-8c29-af39c608fb30</TermId>
        </TermInfo>
      </Terms>
    </l1910f2a75d44c5d93401f0d5ce6b040>
    <SharedWithUsers xmlns="cf4a8ed1-af04-4193-9791-96b7b3bcb96f">
      <UserInfo>
        <DisplayName>Frederik Vandenweghe</DisplayName>
        <AccountId>384</AccountId>
        <AccountType/>
      </UserInfo>
      <UserInfo>
        <DisplayName>Daniel Perez</DisplayName>
        <AccountId>246</AccountId>
        <AccountType/>
      </UserInfo>
    </SharedWithUsers>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S Document" ma:contentTypeID="0x01010091A46842D15FE545943476792E046C3100EE2EC7EB11DA7247A356E24E541A5934" ma:contentTypeVersion="96" ma:contentTypeDescription="" ma:contentTypeScope="" ma:versionID="4f362248eda2dfe69afe9e3e33d10f6a">
  <xsd:schema xmlns:xsd="http://www.w3.org/2001/XMLSchema" xmlns:xs="http://www.w3.org/2001/XMLSchema" xmlns:p="http://schemas.microsoft.com/office/2006/metadata/properties" xmlns:ns1="http://schemas.microsoft.com/sharepoint/v3" xmlns:ns2="0bee1c46-bdab-411b-a655-5401df9df4b3" xmlns:ns4="cf4a8ed1-af04-4193-9791-96b7b3bcb96f" xmlns:ns5="http://schemas.microsoft.com/sharepoint/v4" targetNamespace="http://schemas.microsoft.com/office/2006/metadata/properties" ma:root="true" ma:fieldsID="c949b8ceb817c38876e98fc53b7b5da4" ns1:_="" ns2:_="" ns4:_="" ns5:_="">
    <xsd:import namespace="http://schemas.microsoft.com/sharepoint/v3"/>
    <xsd:import namespace="0bee1c46-bdab-411b-a655-5401df9df4b3"/>
    <xsd:import namespace="cf4a8ed1-af04-4193-9791-96b7b3bcb96f"/>
    <xsd:import namespace="http://schemas.microsoft.com/sharepoint/v4"/>
    <xsd:element name="properties">
      <xsd:complexType>
        <xsd:sequence>
          <xsd:element name="documentManagement">
            <xsd:complexType>
              <xsd:all>
                <xsd:element ref="ns2:beffc630dace41328897f0481472454d" minOccurs="0"/>
                <xsd:element ref="ns2:TaxCatchAll" minOccurs="0"/>
                <xsd:element ref="ns2:TaxCatchAllLabel" minOccurs="0"/>
                <xsd:element ref="ns2:pe97fe9bea554a78a23a225d37adbc35" minOccurs="0"/>
                <xsd:element ref="ns2:ERIS_ConfidentialityLevel"/>
                <xsd:element ref="ns2:ERIS_AdditionalMarkings" minOccurs="0"/>
                <xsd:element ref="ns2:ERIS_ApprovalStatus" minOccurs="0"/>
                <xsd:element ref="ns2:l1910f2a75d44c5d93401f0d5ce6b040" minOccurs="0"/>
                <xsd:element ref="ns2:gf48ed4469924c22b2ce31866c2df0cf"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4:SharedWithUsers" minOccurs="0"/>
                <xsd:element ref="ns5:IconOverlay" minOccurs="0"/>
                <xsd:element ref="ns2:ERIS_BusinessArea"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7"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e1c46-bdab-411b-a655-5401df9df4b3" elementFormDefault="qualified">
    <xsd:import namespace="http://schemas.microsoft.com/office/2006/documentManagement/types"/>
    <xsd:import namespace="http://schemas.microsoft.com/office/infopath/2007/PartnerControls"/>
    <xsd:element name="beffc630dace41328897f0481472454d" ma:index="8" ma:taxonomy="true" ma:internalName="beffc630dace41328897f0481472454d" ma:taxonomyFieldName="ERIS_DocumentType" ma:displayName="Document Type" ma:readOnly="false" ma:fieldId="{beffc630-dace-4132-8897-f0481472454d}"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4fe29d0-2475-45e7-8cf4-99b27d41925a}" ma:internalName="TaxCatchAll" ma:showField="CatchAllData"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4fe29d0-2475-45e7-8cf4-99b27d41925a}" ma:internalName="TaxCatchAllLabel" ma:readOnly="true" ma:showField="CatchAllDataLabel"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pe97fe9bea554a78a23a225d37adbc35" ma:index="12" ma:taxonomy="true" ma:internalName="pe97fe9bea554a78a23a225d37adbc35" ma:taxonomyFieldName="ERIS_Keywords" ma:displayName="Keywords" ma:readOnly="false" ma:fieldId="{9e97fe9b-ea55-4a78-a23a-225d37adbc35}" ma:taxonomyMulti="true" ma:sspId="2b1776d1-ae3b-49f8-a97b-1474fa7fa346" ma:termSetId="041e8d27-50b6-44df-be8e-d4aba88ea6ef" ma:anchorId="00000000-0000-0000-0000-000000000000" ma:open="tru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l1910f2a75d44c5d93401f0d5ce6b040" ma:index="17" nillable="true" ma:taxonomy="true" ma:internalName="l1910f2a75d44c5d93401f0d5ce6b040" ma:taxonomyFieldName="ERIS_Department" ma:displayName="EIOPA Department" ma:default="" ma:fieldId="{51910f2a-75d4-4c5d-9340-1f0d5ce6b040}"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gf48ed4469924c22b2ce31866c2df0cf" ma:index="19" nillable="true" ma:taxonomy="true" ma:internalName="gf48ed4469924c22b2ce31866c2df0cf" ma:taxonomyFieldName="ERIS_Language" ma:displayName="Language" ma:default="1;#English|2741a941-2920-4ba4-aa70-d8ed6ac1785d" ma:fieldId="{0f48ed44-6992-4c22-b2ce-31866c2df0cf}"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8" nillable="true" ma:displayName="Superseded/Obsolete?" ma:default="0" ma:internalName="ERIS_SupersededObsolete">
      <xsd:simpleType>
        <xsd:restriction base="dms:Boolean"/>
      </xsd:simpleType>
    </xsd:element>
    <xsd:element name="ERIS_BusinessArea" ma:index="31"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FilenameMeetingType" ma:index="32" nillable="true" ma:displayName="FilenameMeetingType" ma:internalName="FilenameMeetingType">
      <xsd:simpleType>
        <xsd:restriction base="dms:Choice">
          <xsd:enumeration value="MB"/>
          <xsd:enumeration value="BoS"/>
          <xsd:enumeration value="..."/>
        </xsd:restriction>
      </xsd:simpleType>
    </xsd:element>
    <xsd:element name="NextMeetingType" ma:index="33"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4" nillable="true" ma:displayName="FilenameMeetingAgendaNo" ma:internalName="FilenameMeetingAgendaNo">
      <xsd:simpleType>
        <xsd:restriction base="dms:Text"/>
      </xsd:simpleType>
    </xsd:element>
    <xsd:element name="FilenameMeetingNo" ma:index="35" nillable="true" ma:displayName="FilenameMeetingNo" ma:internalName="FilenameMeetingNo">
      <xsd:simpleType>
        <xsd:restriction base="dms:Text"/>
      </xsd:simpleType>
    </xsd:element>
    <xsd:element name="NextMeeting" ma:index="36" nillable="true" ma:displayName="NextMeeting" ma:internalName="NextMeeting">
      <xsd:simpleType>
        <xsd:restriction base="dms:Text"/>
      </xsd:simpleType>
    </xsd:element>
    <xsd:element name="SourceDocumentInfo" ma:index="37" nillable="true" ma:displayName="SourceDocumentInfo" ma:internalName="SourceDocumentInfo">
      <xsd:simpleType>
        <xsd:restriction base="dms:Note">
          <xsd:maxLength value="255"/>
        </xsd:restriction>
      </xsd:simpleType>
    </xsd:element>
    <xsd:element name="NextMeetingSubfolder" ma:index="38" nillable="true" ma:displayName="NextMeetingSubfolder" ma:internalName="NextMeetingSubfolder">
      <xsd:simpleType>
        <xsd:restriction base="dms:Text"/>
      </xsd:simpleType>
    </xsd:element>
    <xsd:element name="SubmittingDepartment" ma:index="39" nillable="true" ma:displayName="SubmittingDepartment" ma:internalName="SubmittingDepartment">
      <xsd:simpleType>
        <xsd:restriction base="dms:Text"/>
      </xsd:simpleType>
    </xsd:element>
    <xsd:element name="MeetingApprovalPath" ma:index="40"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a8ed1-af04-4193-9791-96b7b3bcb96f"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0009E38A-E726-48CD-ADC4-14E285C96A5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0bee1c46-bdab-411b-a655-5401df9df4b3"/>
    <ds:schemaRef ds:uri="cf4a8ed1-af04-4193-9791-96b7b3bcb96f"/>
  </ds:schemaRefs>
</ds:datastoreItem>
</file>

<file path=customXml/itemProps2.xml><?xml version="1.0" encoding="utf-8"?>
<ds:datastoreItem xmlns:ds="http://schemas.openxmlformats.org/officeDocument/2006/customXml" ds:itemID="{98F53746-765F-4E04-8F35-2EB9EFE34918}">
  <ds:schemaRefs>
    <ds:schemaRef ds:uri="http://schemas.microsoft.com/sharepoint/v3/contenttype/forms"/>
  </ds:schemaRefs>
</ds:datastoreItem>
</file>

<file path=customXml/itemProps3.xml><?xml version="1.0" encoding="utf-8"?>
<ds:datastoreItem xmlns:ds="http://schemas.openxmlformats.org/officeDocument/2006/customXml" ds:itemID="{EAAE19D7-7DCF-44D8-94A4-85642255C88C}">
  <ds:schemaRefs/>
</ds:datastoreItem>
</file>

<file path=customXml/itemProps4.xml><?xml version="1.0" encoding="utf-8"?>
<ds:datastoreItem xmlns:ds="http://schemas.openxmlformats.org/officeDocument/2006/customXml" ds:itemID="{D7C9BD96-4B4D-4AAA-A4E7-716AD4961D89}">
  <ds:schemaRefs>
    <ds:schemaRef ds:uri="http://schemas.openxmlformats.org/officeDocument/2006/bibliography"/>
  </ds:schemaRefs>
</ds:datastoreItem>
</file>

<file path=customXml/itemProps5.xml><?xml version="1.0" encoding="utf-8"?>
<ds:datastoreItem xmlns:ds="http://schemas.openxmlformats.org/officeDocument/2006/customXml" ds:itemID="{AA8C0EAD-2270-4FFB-8486-866C9DB1A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ee1c46-bdab-411b-a655-5401df9df4b3"/>
    <ds:schemaRef ds:uri="cf4a8ed1-af04-4193-9791-96b7b3bcb96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03766D-C03A-4E33-B525-E1D62F7F99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13879</Words>
  <Characters>79112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2023-01-16T08:32:00Z</dcterms:created>
  <dcterms:modified xsi:type="dcterms:W3CDTF">2023-02-10T10:15:00Z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0x01010091A46842D15FE545943476792E046C3100EE2EC7EB11DA7247A356E24E541A5934</vt:lpwstr>
  </property>
  <property fmtid="{D5CDD505-2E9C-101B-9397-08002B2CF9AE}" pid="3" name="ERIS_Keywords">
    <vt:lpwstr>12;#Planning|9a4c2d49-af85-4ad7-b496-10dd39d4e112</vt:lpwstr>
  </property>
  <property fmtid="{D5CDD505-2E9C-101B-9397-08002B2CF9AE}" pid="4" name="RecordPoint_ActiveItemWebId">
    <vt:lpwstr>{415f9ec0-6786-4cb5-b17c-495268514465}</vt:lpwstr>
  </property>
  <property fmtid="{D5CDD505-2E9C-101B-9397-08002B2CF9AE}" pid="5" name="ERIS_Department">
    <vt:lpwstr>17;#Supervisory Processes Department|3a9db3ad-f1a2-49c0-8c29-af39c608fb30</vt:lpwstr>
  </property>
  <property fmtid="{D5CDD505-2E9C-101B-9397-08002B2CF9AE}" pid="6" name="RecordPoint_WorkflowType">
    <vt:lpwstr>ActiveSubmitStub</vt:lpwstr>
  </property>
  <property fmtid="{D5CDD505-2E9C-101B-9397-08002B2CF9AE}" pid="7" name="ERIS_DocumentType">
    <vt:lpwstr>16;#Report|9c1f1089-3cd8-45b3-9c9b-368074e8f8b2</vt:lpwstr>
  </property>
  <property fmtid="{D5CDD505-2E9C-101B-9397-08002B2CF9AE}" pid="8" name="ERIS_Language">
    <vt:lpwstr>1;#English|2741a941-2920-4ba4-aa70-d8ed6ac1785d</vt:lpwstr>
  </property>
  <property fmtid="{D5CDD505-2E9C-101B-9397-08002B2CF9AE}" pid="9" name="RecordPoint_ActiveItemSiteId">
    <vt:lpwstr>{4e0ecd3f-9063-4e3b-8a23-d89e0484feca}</vt:lpwstr>
  </property>
  <property fmtid="{D5CDD505-2E9C-101B-9397-08002B2CF9AE}" pid="10" name="MDU">
    <vt:lpwstr>UPD</vt:lpwstr>
  </property>
  <property fmtid="{D5CDD505-2E9C-101B-9397-08002B2CF9AE}" pid="11" name="RecordPoint_ActiveItemListId">
    <vt:lpwstr>{81c2e4c6-a3bf-4ebd-9347-59d98db20079}</vt:lpwstr>
  </property>
  <property fmtid="{D5CDD505-2E9C-101B-9397-08002B2CF9AE}" pid="12" name="RecordPoint_ActiveItemUniqueId">
    <vt:lpwstr>{0464551d-a7b9-4279-b651-8b3745d01092}</vt:lpwstr>
  </property>
  <property fmtid="{D5CDD505-2E9C-101B-9397-08002B2CF9AE}" pid="13" name="RecordPoint_RecordNumberSubmitted">
    <vt:lpwstr>EIOPA(2023)0057919</vt:lpwstr>
  </property>
  <property fmtid="{D5CDD505-2E9C-101B-9397-08002B2CF9AE}" pid="14" name="RecordPoint_SubmissionCompleted">
    <vt:lpwstr>2023-01-23T14:40:38.4914613+00:00</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ERIS_LeadDepartment">
    <vt:lpwstr>4;#Corporate Affairs Department|7d798a32-4c3f-4fe6-bdf3-ee2d844df284</vt:lpwstr>
  </property>
  <property fmtid="{D5CDD505-2E9C-101B-9397-08002B2CF9AE}" pid="19" name="ERIS_Board/Committee">
    <vt:lpwstr>3;#Board of Supervisors|e537fbd9-1b12-4f8d-b49f-8163299eed6d</vt:lpwstr>
  </property>
  <property fmtid="{D5CDD505-2E9C-101B-9397-08002B2CF9AE}" pid="20" name="ERIS_BCC">
    <vt:lpwstr/>
  </property>
  <property fmtid="{D5CDD505-2E9C-101B-9397-08002B2CF9AE}" pid="21" name="ERIS_CC">
    <vt:lpwstr/>
  </property>
  <property fmtid="{D5CDD505-2E9C-101B-9397-08002B2CF9AE}" pid="22" name="ERIS_To">
    <vt:lpwstr/>
  </property>
  <property fmtid="{D5CDD505-2E9C-101B-9397-08002B2CF9AE}" pid="23" name="ERIS_Subject">
    <vt:lpwstr/>
  </property>
  <property fmtid="{D5CDD505-2E9C-101B-9397-08002B2CF9AE}" pid="24" name="ERIS_From">
    <vt:lpwstr/>
  </property>
  <property fmtid="{D5CDD505-2E9C-101B-9397-08002B2CF9AE}" pid="25" name="URL">
    <vt:lpwstr/>
  </property>
  <property fmtid="{D5CDD505-2E9C-101B-9397-08002B2CF9AE}" pid="26" name="Order">
    <vt:r8>191200</vt:r8>
  </property>
</Properties>
</file>