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592" w:rsidRPr="00342844" w:rsidRDefault="006A0592" w:rsidP="006A0592">
      <w:pPr>
        <w:pStyle w:val="QISIndentCharCharChar"/>
        <w:spacing w:after="0"/>
        <w:jc w:val="center"/>
      </w:pPr>
      <w:r>
        <w:rPr>
          <w:noProof/>
          <w:lang w:eastAsia="en-GB"/>
        </w:rPr>
        <w:drawing>
          <wp:inline distT="0" distB="0" distL="0" distR="0">
            <wp:extent cx="1447800" cy="1114425"/>
            <wp:effectExtent l="0" t="0" r="0" b="9525"/>
            <wp:docPr id="1" name="Picture 1" descr="eiopa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opa_smal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47800" cy="1114425"/>
                    </a:xfrm>
                    <a:prstGeom prst="rect">
                      <a:avLst/>
                    </a:prstGeom>
                    <a:noFill/>
                    <a:ln>
                      <a:noFill/>
                    </a:ln>
                  </pic:spPr>
                </pic:pic>
              </a:graphicData>
            </a:graphic>
          </wp:inline>
        </w:drawing>
      </w:r>
    </w:p>
    <w:p w:rsidR="006A0592" w:rsidRDefault="006A0592" w:rsidP="006A0592">
      <w:pPr>
        <w:pStyle w:val="QISIndentCharCharChar"/>
        <w:spacing w:before="120" w:after="0"/>
        <w:jc w:val="right"/>
        <w:rPr>
          <w:szCs w:val="22"/>
        </w:rPr>
      </w:pPr>
    </w:p>
    <w:p w:rsidR="006A0592" w:rsidRPr="006A0592" w:rsidRDefault="00CD0946" w:rsidP="006A0592">
      <w:pPr>
        <w:pStyle w:val="QISIndentCharCharChar"/>
        <w:spacing w:before="120" w:after="0"/>
        <w:jc w:val="right"/>
        <w:rPr>
          <w:sz w:val="20"/>
        </w:rPr>
      </w:pPr>
      <w:r>
        <w:rPr>
          <w:sz w:val="20"/>
        </w:rPr>
        <w:t>EIOPA-</w:t>
      </w:r>
      <w:r w:rsidR="00AC6531">
        <w:rPr>
          <w:sz w:val="20"/>
        </w:rPr>
        <w:t>13/076</w:t>
      </w:r>
    </w:p>
    <w:p w:rsidR="006A0592" w:rsidRPr="004B6CA6" w:rsidRDefault="001D7A50" w:rsidP="006A0592">
      <w:pPr>
        <w:pStyle w:val="QISIndentCharCharChar"/>
        <w:spacing w:after="0"/>
        <w:jc w:val="right"/>
        <w:rPr>
          <w:szCs w:val="22"/>
        </w:rPr>
      </w:pPr>
      <w:r>
        <w:rPr>
          <w:sz w:val="20"/>
        </w:rPr>
        <w:t>20 March 2013</w:t>
      </w:r>
    </w:p>
    <w:p w:rsidR="00E66876" w:rsidRDefault="004D157D" w:rsidP="004D157D">
      <w:pPr>
        <w:keepNext/>
        <w:spacing w:line="276" w:lineRule="auto"/>
        <w:jc w:val="center"/>
        <w:rPr>
          <w:rFonts w:ascii="Verdana" w:hAnsi="Verdana"/>
          <w:b/>
          <w:lang w:eastAsia="de-DE"/>
        </w:rPr>
      </w:pPr>
      <w:r w:rsidRPr="00253147">
        <w:rPr>
          <w:rFonts w:ascii="Verdana" w:hAnsi="Verdana"/>
          <w:b/>
          <w:lang w:eastAsia="de-DE"/>
        </w:rPr>
        <w:t>Overall results</w:t>
      </w:r>
      <w:r>
        <w:rPr>
          <w:rFonts w:ascii="Verdana" w:hAnsi="Verdana"/>
          <w:b/>
          <w:lang w:eastAsia="de-DE"/>
        </w:rPr>
        <w:t xml:space="preserve"> of the comply or explain</w:t>
      </w:r>
    </w:p>
    <w:p w:rsidR="0080723D" w:rsidRDefault="0080723D" w:rsidP="004D157D">
      <w:pPr>
        <w:keepNext/>
        <w:spacing w:line="276" w:lineRule="auto"/>
        <w:jc w:val="center"/>
        <w:rPr>
          <w:lang w:eastAsia="de-DE"/>
        </w:rPr>
      </w:pPr>
      <w:r>
        <w:rPr>
          <w:rFonts w:ascii="Verdana" w:hAnsi="Verdana"/>
          <w:b/>
          <w:lang w:eastAsia="de-DE"/>
        </w:rPr>
        <w:t>On Guidelines</w:t>
      </w:r>
    </w:p>
    <w:p w:rsidR="004D157D" w:rsidRDefault="004D157D" w:rsidP="00E66876">
      <w:pPr>
        <w:keepNext/>
        <w:spacing w:line="276" w:lineRule="auto"/>
        <w:jc w:val="both"/>
        <w:rPr>
          <w:lang w:eastAsia="de-DE"/>
        </w:rPr>
      </w:pPr>
    </w:p>
    <w:tbl>
      <w:tblPr>
        <w:tblStyle w:val="TableGrid"/>
        <w:tblW w:w="9854" w:type="dxa"/>
        <w:tblLook w:val="04A0" w:firstRow="1" w:lastRow="0" w:firstColumn="1" w:lastColumn="0" w:noHBand="0" w:noVBand="1"/>
      </w:tblPr>
      <w:tblGrid>
        <w:gridCol w:w="3863"/>
        <w:gridCol w:w="5991"/>
      </w:tblGrid>
      <w:tr w:rsidR="00540783" w:rsidRPr="00540783" w:rsidTr="0080723D">
        <w:tc>
          <w:tcPr>
            <w:tcW w:w="3863" w:type="dxa"/>
            <w:vAlign w:val="center"/>
          </w:tcPr>
          <w:p w:rsidR="00540783" w:rsidRPr="00540783" w:rsidRDefault="008E4C2D" w:rsidP="0080723D">
            <w:pPr>
              <w:keepNext/>
              <w:spacing w:line="276" w:lineRule="auto"/>
              <w:rPr>
                <w:rFonts w:ascii="Verdana" w:hAnsi="Verdana"/>
                <w:sz w:val="22"/>
                <w:szCs w:val="22"/>
                <w:lang w:eastAsia="de-DE"/>
              </w:rPr>
            </w:pPr>
            <w:r>
              <w:rPr>
                <w:rFonts w:ascii="Verdana" w:hAnsi="Verdana"/>
                <w:sz w:val="22"/>
                <w:szCs w:val="22"/>
                <w:lang w:eastAsia="de-DE"/>
              </w:rPr>
              <w:t>Title of Guidelines</w:t>
            </w:r>
          </w:p>
        </w:tc>
        <w:tc>
          <w:tcPr>
            <w:tcW w:w="5991" w:type="dxa"/>
            <w:vAlign w:val="center"/>
          </w:tcPr>
          <w:p w:rsidR="0080723D" w:rsidRDefault="0080723D" w:rsidP="0080723D">
            <w:pPr>
              <w:keepNext/>
              <w:spacing w:line="276" w:lineRule="auto"/>
              <w:rPr>
                <w:rFonts w:ascii="Verdana" w:hAnsi="Verdana"/>
                <w:sz w:val="22"/>
                <w:szCs w:val="22"/>
                <w:lang w:eastAsia="de-DE"/>
              </w:rPr>
            </w:pPr>
          </w:p>
          <w:p w:rsidR="00540783" w:rsidRDefault="00350744" w:rsidP="0080723D">
            <w:pPr>
              <w:keepNext/>
              <w:spacing w:line="276" w:lineRule="auto"/>
              <w:rPr>
                <w:rFonts w:ascii="Verdana" w:hAnsi="Verdana"/>
                <w:sz w:val="22"/>
                <w:szCs w:val="22"/>
                <w:lang w:eastAsia="de-DE"/>
              </w:rPr>
            </w:pPr>
            <w:r>
              <w:rPr>
                <w:rFonts w:ascii="Verdana" w:hAnsi="Verdana"/>
                <w:sz w:val="22"/>
                <w:szCs w:val="22"/>
                <w:lang w:eastAsia="de-DE"/>
              </w:rPr>
              <w:t xml:space="preserve">Guidelines on </w:t>
            </w:r>
            <w:r w:rsidR="00253147">
              <w:rPr>
                <w:rFonts w:ascii="Verdana" w:hAnsi="Verdana"/>
                <w:sz w:val="22"/>
                <w:szCs w:val="22"/>
                <w:lang w:eastAsia="de-DE"/>
              </w:rPr>
              <w:t xml:space="preserve">Complaints Handling </w:t>
            </w:r>
            <w:r w:rsidR="00253147" w:rsidRPr="00253147">
              <w:rPr>
                <w:rFonts w:ascii="Verdana" w:hAnsi="Verdana"/>
                <w:sz w:val="22"/>
                <w:szCs w:val="22"/>
                <w:lang w:eastAsia="de-DE"/>
              </w:rPr>
              <w:t>by Insurance Undertakings</w:t>
            </w:r>
          </w:p>
          <w:p w:rsidR="0080723D" w:rsidRPr="00540783" w:rsidRDefault="0080723D" w:rsidP="0080723D">
            <w:pPr>
              <w:keepNext/>
              <w:spacing w:line="276" w:lineRule="auto"/>
              <w:rPr>
                <w:rFonts w:ascii="Verdana" w:hAnsi="Verdana"/>
                <w:sz w:val="22"/>
                <w:szCs w:val="22"/>
                <w:lang w:eastAsia="de-DE"/>
              </w:rPr>
            </w:pPr>
          </w:p>
        </w:tc>
      </w:tr>
      <w:tr w:rsidR="00540783" w:rsidRPr="00540783" w:rsidTr="0080723D">
        <w:tc>
          <w:tcPr>
            <w:tcW w:w="3863" w:type="dxa"/>
            <w:vAlign w:val="center"/>
          </w:tcPr>
          <w:p w:rsidR="00540783" w:rsidRPr="00540783" w:rsidRDefault="0080723D" w:rsidP="0080723D">
            <w:pPr>
              <w:keepNext/>
              <w:spacing w:line="276" w:lineRule="auto"/>
              <w:rPr>
                <w:rFonts w:ascii="Verdana" w:hAnsi="Verdana"/>
                <w:sz w:val="22"/>
                <w:szCs w:val="22"/>
                <w:lang w:eastAsia="de-DE"/>
              </w:rPr>
            </w:pPr>
            <w:r>
              <w:rPr>
                <w:rFonts w:ascii="Verdana" w:hAnsi="Verdana"/>
                <w:sz w:val="22"/>
                <w:szCs w:val="22"/>
                <w:lang w:eastAsia="de-DE"/>
              </w:rPr>
              <w:t>D</w:t>
            </w:r>
            <w:r w:rsidR="00253147">
              <w:rPr>
                <w:rFonts w:ascii="Verdana" w:hAnsi="Verdana"/>
                <w:sz w:val="22"/>
                <w:szCs w:val="22"/>
                <w:lang w:eastAsia="de-DE"/>
              </w:rPr>
              <w:t>eadline</w:t>
            </w:r>
            <w:r w:rsidR="00AC4318">
              <w:rPr>
                <w:rFonts w:ascii="Verdana" w:hAnsi="Verdana"/>
                <w:sz w:val="22"/>
                <w:szCs w:val="22"/>
                <w:lang w:eastAsia="de-DE"/>
              </w:rPr>
              <w:t xml:space="preserve"> </w:t>
            </w:r>
            <w:r w:rsidR="008E4C2D">
              <w:rPr>
                <w:rFonts w:ascii="Verdana" w:hAnsi="Verdana"/>
                <w:sz w:val="22"/>
                <w:szCs w:val="22"/>
                <w:lang w:eastAsia="de-DE"/>
              </w:rPr>
              <w:t>for replies</w:t>
            </w:r>
          </w:p>
        </w:tc>
        <w:tc>
          <w:tcPr>
            <w:tcW w:w="5991" w:type="dxa"/>
            <w:vAlign w:val="center"/>
          </w:tcPr>
          <w:p w:rsidR="0080723D" w:rsidRDefault="0080723D" w:rsidP="0080723D">
            <w:pPr>
              <w:keepNext/>
              <w:spacing w:line="276" w:lineRule="auto"/>
              <w:rPr>
                <w:rFonts w:ascii="Verdana" w:hAnsi="Verdana"/>
                <w:sz w:val="22"/>
                <w:szCs w:val="22"/>
                <w:lang w:eastAsia="de-DE"/>
              </w:rPr>
            </w:pPr>
          </w:p>
          <w:p w:rsidR="00540783" w:rsidRDefault="00A50413" w:rsidP="0080723D">
            <w:pPr>
              <w:keepNext/>
              <w:spacing w:line="276" w:lineRule="auto"/>
              <w:rPr>
                <w:rFonts w:ascii="Verdana" w:hAnsi="Verdana"/>
                <w:sz w:val="22"/>
                <w:szCs w:val="22"/>
                <w:lang w:eastAsia="de-DE"/>
              </w:rPr>
            </w:pPr>
            <w:r>
              <w:rPr>
                <w:rFonts w:ascii="Verdana" w:hAnsi="Verdana"/>
                <w:sz w:val="22"/>
                <w:szCs w:val="22"/>
                <w:lang w:eastAsia="de-DE"/>
              </w:rPr>
              <w:t>15</w:t>
            </w:r>
            <w:r w:rsidRPr="00A50413">
              <w:rPr>
                <w:rFonts w:ascii="Verdana" w:hAnsi="Verdana"/>
                <w:sz w:val="22"/>
                <w:szCs w:val="22"/>
                <w:vertAlign w:val="superscript"/>
                <w:lang w:eastAsia="de-DE"/>
              </w:rPr>
              <w:t>th</w:t>
            </w:r>
            <w:r>
              <w:rPr>
                <w:rFonts w:ascii="Verdana" w:hAnsi="Verdana"/>
                <w:sz w:val="22"/>
                <w:szCs w:val="22"/>
                <w:lang w:eastAsia="de-DE"/>
              </w:rPr>
              <w:t xml:space="preserve"> January 2013</w:t>
            </w:r>
            <w:r w:rsidR="004D157D">
              <w:rPr>
                <w:rFonts w:ascii="Verdana" w:hAnsi="Verdana"/>
                <w:sz w:val="22"/>
                <w:szCs w:val="22"/>
                <w:lang w:eastAsia="de-DE"/>
              </w:rPr>
              <w:t>.</w:t>
            </w:r>
            <w:r w:rsidR="00AC4318">
              <w:rPr>
                <w:rFonts w:ascii="Verdana" w:hAnsi="Verdana"/>
                <w:sz w:val="22"/>
                <w:szCs w:val="22"/>
                <w:lang w:eastAsia="de-DE"/>
              </w:rPr>
              <w:t xml:space="preserve"> </w:t>
            </w:r>
          </w:p>
          <w:p w:rsidR="0080723D" w:rsidRPr="00540783" w:rsidRDefault="0080723D" w:rsidP="0080723D">
            <w:pPr>
              <w:keepNext/>
              <w:spacing w:line="276" w:lineRule="auto"/>
              <w:rPr>
                <w:rFonts w:ascii="Verdana" w:hAnsi="Verdana"/>
                <w:sz w:val="22"/>
                <w:szCs w:val="22"/>
                <w:lang w:eastAsia="de-DE"/>
              </w:rPr>
            </w:pPr>
          </w:p>
        </w:tc>
      </w:tr>
      <w:tr w:rsidR="00540783" w:rsidRPr="00540783" w:rsidTr="0080723D">
        <w:tc>
          <w:tcPr>
            <w:tcW w:w="3863" w:type="dxa"/>
            <w:vAlign w:val="center"/>
          </w:tcPr>
          <w:p w:rsidR="00540783" w:rsidRPr="00540783" w:rsidRDefault="00253147" w:rsidP="0080723D">
            <w:pPr>
              <w:keepNext/>
              <w:spacing w:line="276" w:lineRule="auto"/>
              <w:rPr>
                <w:rFonts w:ascii="Verdana" w:hAnsi="Verdana"/>
                <w:sz w:val="22"/>
                <w:szCs w:val="22"/>
                <w:lang w:eastAsia="de-DE"/>
              </w:rPr>
            </w:pPr>
            <w:r>
              <w:rPr>
                <w:rFonts w:ascii="Verdana" w:hAnsi="Verdana"/>
                <w:sz w:val="22"/>
                <w:szCs w:val="22"/>
                <w:lang w:eastAsia="de-DE"/>
              </w:rPr>
              <w:t>No. of NCAs</w:t>
            </w:r>
            <w:r w:rsidR="008E4C2D">
              <w:rPr>
                <w:rFonts w:ascii="Verdana" w:hAnsi="Verdana"/>
                <w:sz w:val="22"/>
                <w:szCs w:val="22"/>
                <w:lang w:eastAsia="de-DE"/>
              </w:rPr>
              <w:t xml:space="preserve"> and/or FIs</w:t>
            </w:r>
            <w:r>
              <w:rPr>
                <w:rFonts w:ascii="Verdana" w:hAnsi="Verdana"/>
                <w:sz w:val="22"/>
                <w:szCs w:val="22"/>
                <w:lang w:eastAsia="de-DE"/>
              </w:rPr>
              <w:t xml:space="preserve"> that </w:t>
            </w:r>
            <w:bookmarkStart w:id="0" w:name="_GoBack"/>
            <w:bookmarkEnd w:id="0"/>
            <w:r>
              <w:rPr>
                <w:rFonts w:ascii="Verdana" w:hAnsi="Verdana"/>
                <w:sz w:val="22"/>
                <w:szCs w:val="22"/>
                <w:lang w:eastAsia="de-DE"/>
              </w:rPr>
              <w:t>replied</w:t>
            </w:r>
          </w:p>
        </w:tc>
        <w:tc>
          <w:tcPr>
            <w:tcW w:w="5991" w:type="dxa"/>
            <w:vAlign w:val="center"/>
          </w:tcPr>
          <w:p w:rsidR="0080723D" w:rsidRDefault="0080723D" w:rsidP="0080723D">
            <w:pPr>
              <w:keepNext/>
              <w:spacing w:line="276" w:lineRule="auto"/>
              <w:rPr>
                <w:rFonts w:ascii="Verdana" w:hAnsi="Verdana"/>
                <w:sz w:val="22"/>
                <w:szCs w:val="22"/>
                <w:lang w:eastAsia="de-DE"/>
              </w:rPr>
            </w:pPr>
          </w:p>
          <w:p w:rsidR="008E4C2D" w:rsidRDefault="00777563" w:rsidP="0080723D">
            <w:pPr>
              <w:keepNext/>
              <w:spacing w:line="276" w:lineRule="auto"/>
              <w:rPr>
                <w:rFonts w:ascii="Verdana" w:hAnsi="Verdana"/>
                <w:sz w:val="22"/>
                <w:szCs w:val="22"/>
                <w:lang w:eastAsia="de-DE"/>
              </w:rPr>
            </w:pPr>
            <w:r>
              <w:rPr>
                <w:rFonts w:ascii="Verdana" w:hAnsi="Verdana"/>
                <w:sz w:val="22"/>
                <w:szCs w:val="22"/>
                <w:lang w:eastAsia="de-DE"/>
              </w:rPr>
              <w:t>32</w:t>
            </w:r>
            <w:r w:rsidR="008E4C2D">
              <w:rPr>
                <w:rFonts w:ascii="Verdana" w:hAnsi="Verdana"/>
                <w:sz w:val="22"/>
                <w:szCs w:val="22"/>
                <w:lang w:eastAsia="de-DE"/>
              </w:rPr>
              <w:t xml:space="preserve"> NCAs</w:t>
            </w:r>
            <w:r w:rsidR="0080723D">
              <w:rPr>
                <w:rFonts w:ascii="Verdana" w:hAnsi="Verdana"/>
                <w:sz w:val="22"/>
                <w:szCs w:val="22"/>
                <w:lang w:eastAsia="de-DE"/>
              </w:rPr>
              <w:t xml:space="preserve"> including:</w:t>
            </w:r>
          </w:p>
          <w:p w:rsidR="0080723D" w:rsidRDefault="0080723D" w:rsidP="0080723D">
            <w:pPr>
              <w:keepNext/>
              <w:spacing w:line="276" w:lineRule="auto"/>
              <w:rPr>
                <w:rFonts w:ascii="Verdana" w:hAnsi="Verdana"/>
                <w:sz w:val="22"/>
                <w:szCs w:val="22"/>
                <w:lang w:eastAsia="de-DE"/>
              </w:rPr>
            </w:pPr>
          </w:p>
          <w:p w:rsidR="0080723D" w:rsidRDefault="0080723D" w:rsidP="0080723D">
            <w:pPr>
              <w:keepNext/>
              <w:spacing w:line="276" w:lineRule="auto"/>
              <w:rPr>
                <w:rFonts w:ascii="Verdana" w:hAnsi="Verdana"/>
                <w:sz w:val="22"/>
                <w:szCs w:val="22"/>
                <w:lang w:eastAsia="de-DE"/>
              </w:rPr>
            </w:pPr>
            <w:r>
              <w:rPr>
                <w:rFonts w:ascii="Verdana" w:hAnsi="Verdana"/>
                <w:sz w:val="22"/>
                <w:szCs w:val="22"/>
                <w:lang w:eastAsia="de-DE"/>
              </w:rPr>
              <w:t>27 EU Member States NCAs</w:t>
            </w:r>
          </w:p>
          <w:p w:rsidR="008E4C2D" w:rsidRPr="001D7A50" w:rsidRDefault="0080723D" w:rsidP="0080723D">
            <w:pPr>
              <w:keepNext/>
              <w:spacing w:line="276" w:lineRule="auto"/>
              <w:rPr>
                <w:rFonts w:ascii="Verdana" w:hAnsi="Verdana"/>
                <w:sz w:val="22"/>
                <w:szCs w:val="22"/>
                <w:lang w:val="de-DE" w:eastAsia="de-DE"/>
              </w:rPr>
            </w:pPr>
            <w:r w:rsidRPr="001D7A50">
              <w:rPr>
                <w:rFonts w:ascii="Verdana" w:hAnsi="Verdana"/>
                <w:sz w:val="22"/>
                <w:szCs w:val="22"/>
                <w:lang w:val="de-DE" w:eastAsia="de-DE"/>
              </w:rPr>
              <w:t>Non-EU EEA NCAs (Iceland, Liechtenstein, Norway)</w:t>
            </w:r>
            <w:r w:rsidR="007A1C87" w:rsidRPr="001D7A50">
              <w:rPr>
                <w:rFonts w:ascii="Verdana" w:hAnsi="Verdana"/>
                <w:sz w:val="22"/>
                <w:szCs w:val="22"/>
                <w:lang w:val="de-DE" w:eastAsia="de-DE"/>
              </w:rPr>
              <w:t xml:space="preserve"> </w:t>
            </w:r>
          </w:p>
          <w:p w:rsidR="008E4C2D" w:rsidRDefault="0080723D" w:rsidP="0080723D">
            <w:pPr>
              <w:keepNext/>
              <w:spacing w:line="276" w:lineRule="auto"/>
              <w:rPr>
                <w:rFonts w:ascii="Verdana" w:hAnsi="Verdana"/>
                <w:sz w:val="22"/>
                <w:szCs w:val="22"/>
                <w:lang w:eastAsia="de-DE"/>
              </w:rPr>
            </w:pPr>
            <w:r>
              <w:rPr>
                <w:rFonts w:ascii="Verdana" w:hAnsi="Verdana"/>
                <w:sz w:val="22"/>
                <w:szCs w:val="22"/>
                <w:lang w:eastAsia="de-DE"/>
              </w:rPr>
              <w:t>EU accessing countries</w:t>
            </w:r>
            <w:r w:rsidR="008E4C2D">
              <w:rPr>
                <w:rFonts w:ascii="Verdana" w:hAnsi="Verdana"/>
                <w:sz w:val="22"/>
                <w:szCs w:val="22"/>
                <w:lang w:eastAsia="de-DE"/>
              </w:rPr>
              <w:t xml:space="preserve">: </w:t>
            </w:r>
            <w:r w:rsidR="007A1C87">
              <w:rPr>
                <w:rFonts w:ascii="Verdana" w:hAnsi="Verdana"/>
                <w:sz w:val="22"/>
                <w:szCs w:val="22"/>
                <w:lang w:eastAsia="de-DE"/>
              </w:rPr>
              <w:t>C</w:t>
            </w:r>
            <w:r w:rsidR="00777563">
              <w:rPr>
                <w:rFonts w:ascii="Verdana" w:hAnsi="Verdana"/>
                <w:sz w:val="22"/>
                <w:szCs w:val="22"/>
                <w:lang w:eastAsia="de-DE"/>
              </w:rPr>
              <w:t xml:space="preserve">roatia </w:t>
            </w:r>
          </w:p>
          <w:p w:rsidR="00540783" w:rsidRDefault="0080723D" w:rsidP="0080723D">
            <w:pPr>
              <w:keepNext/>
              <w:spacing w:line="276" w:lineRule="auto"/>
              <w:rPr>
                <w:rFonts w:ascii="Verdana" w:hAnsi="Verdana"/>
                <w:sz w:val="22"/>
                <w:szCs w:val="22"/>
                <w:lang w:eastAsia="de-DE"/>
              </w:rPr>
            </w:pPr>
            <w:r>
              <w:rPr>
                <w:rFonts w:ascii="Verdana" w:hAnsi="Verdana"/>
                <w:sz w:val="22"/>
                <w:szCs w:val="22"/>
                <w:lang w:eastAsia="de-DE"/>
              </w:rPr>
              <w:t xml:space="preserve">UK overseas territories: </w:t>
            </w:r>
            <w:r w:rsidR="00777563">
              <w:rPr>
                <w:rFonts w:ascii="Verdana" w:hAnsi="Verdana"/>
                <w:sz w:val="22"/>
                <w:szCs w:val="22"/>
                <w:lang w:eastAsia="de-DE"/>
              </w:rPr>
              <w:t>Gibraltar</w:t>
            </w:r>
            <w:r>
              <w:rPr>
                <w:rFonts w:ascii="Verdana" w:hAnsi="Verdana"/>
                <w:sz w:val="22"/>
                <w:szCs w:val="22"/>
                <w:lang w:eastAsia="de-DE"/>
              </w:rPr>
              <w:t>.</w:t>
            </w:r>
          </w:p>
          <w:p w:rsidR="0080723D" w:rsidRPr="00540783" w:rsidRDefault="0080723D" w:rsidP="0080723D">
            <w:pPr>
              <w:keepNext/>
              <w:spacing w:line="276" w:lineRule="auto"/>
              <w:rPr>
                <w:rFonts w:ascii="Verdana" w:hAnsi="Verdana"/>
                <w:sz w:val="22"/>
                <w:szCs w:val="22"/>
                <w:lang w:eastAsia="de-DE"/>
              </w:rPr>
            </w:pPr>
          </w:p>
        </w:tc>
      </w:tr>
      <w:tr w:rsidR="00AC4318" w:rsidRPr="00540783" w:rsidTr="0080723D">
        <w:tc>
          <w:tcPr>
            <w:tcW w:w="3863" w:type="dxa"/>
            <w:vAlign w:val="center"/>
          </w:tcPr>
          <w:p w:rsidR="00AC4318" w:rsidRDefault="00253147" w:rsidP="0080723D">
            <w:pPr>
              <w:keepNext/>
              <w:spacing w:line="276" w:lineRule="auto"/>
              <w:rPr>
                <w:rFonts w:ascii="Verdana" w:hAnsi="Verdana"/>
                <w:sz w:val="22"/>
                <w:szCs w:val="22"/>
                <w:lang w:eastAsia="de-DE"/>
              </w:rPr>
            </w:pPr>
            <w:r>
              <w:rPr>
                <w:rFonts w:ascii="Verdana" w:hAnsi="Verdana"/>
                <w:sz w:val="22"/>
                <w:szCs w:val="22"/>
                <w:lang w:eastAsia="de-DE"/>
              </w:rPr>
              <w:t>Results</w:t>
            </w:r>
          </w:p>
        </w:tc>
        <w:tc>
          <w:tcPr>
            <w:tcW w:w="5991" w:type="dxa"/>
            <w:vAlign w:val="center"/>
          </w:tcPr>
          <w:p w:rsidR="0080723D" w:rsidRDefault="0080723D" w:rsidP="0080723D">
            <w:pPr>
              <w:keepNext/>
              <w:spacing w:line="276" w:lineRule="auto"/>
              <w:rPr>
                <w:rFonts w:ascii="Verdana" w:hAnsi="Verdana"/>
                <w:sz w:val="22"/>
                <w:szCs w:val="22"/>
                <w:lang w:eastAsia="de-DE"/>
              </w:rPr>
            </w:pPr>
          </w:p>
          <w:p w:rsidR="00AC4318" w:rsidRDefault="007A1C87" w:rsidP="00FA1CCC">
            <w:pPr>
              <w:keepNext/>
              <w:spacing w:line="276" w:lineRule="auto"/>
              <w:jc w:val="both"/>
              <w:rPr>
                <w:rFonts w:ascii="Verdana" w:hAnsi="Verdana"/>
                <w:sz w:val="22"/>
                <w:szCs w:val="22"/>
                <w:lang w:eastAsia="de-DE"/>
              </w:rPr>
            </w:pPr>
            <w:r>
              <w:rPr>
                <w:rFonts w:ascii="Verdana" w:hAnsi="Verdana"/>
                <w:sz w:val="22"/>
                <w:szCs w:val="22"/>
                <w:lang w:eastAsia="de-DE"/>
              </w:rPr>
              <w:t xml:space="preserve">All </w:t>
            </w:r>
            <w:r w:rsidR="0080723D">
              <w:rPr>
                <w:rFonts w:ascii="Verdana" w:hAnsi="Verdana"/>
                <w:sz w:val="22"/>
                <w:szCs w:val="22"/>
                <w:lang w:eastAsia="de-DE"/>
              </w:rPr>
              <w:t xml:space="preserve">NCAs </w:t>
            </w:r>
            <w:r>
              <w:rPr>
                <w:rFonts w:ascii="Verdana" w:hAnsi="Verdana"/>
                <w:sz w:val="22"/>
                <w:szCs w:val="22"/>
                <w:lang w:eastAsia="de-DE"/>
              </w:rPr>
              <w:t>confirmed their compliance or intention to comply with the Guidelines</w:t>
            </w:r>
            <w:r w:rsidR="00FA1CCC">
              <w:rPr>
                <w:rFonts w:ascii="Verdana" w:hAnsi="Verdana"/>
                <w:sz w:val="22"/>
                <w:szCs w:val="22"/>
                <w:lang w:eastAsia="de-DE"/>
              </w:rPr>
              <w:t xml:space="preserve">. </w:t>
            </w:r>
          </w:p>
          <w:p w:rsidR="00FA1CCC" w:rsidRDefault="00EB1BC4" w:rsidP="00FA1CCC">
            <w:pPr>
              <w:keepNext/>
              <w:spacing w:line="276" w:lineRule="auto"/>
              <w:jc w:val="both"/>
              <w:rPr>
                <w:rFonts w:ascii="Verdana" w:hAnsi="Verdana"/>
                <w:sz w:val="22"/>
                <w:szCs w:val="22"/>
                <w:lang w:eastAsia="de-DE"/>
              </w:rPr>
            </w:pPr>
            <w:r>
              <w:rPr>
                <w:rFonts w:ascii="Verdana" w:hAnsi="Verdana"/>
                <w:sz w:val="22"/>
                <w:szCs w:val="22"/>
                <w:lang w:eastAsia="de-DE"/>
              </w:rPr>
              <w:t>With few exceptions,</w:t>
            </w:r>
            <w:r w:rsidR="00FA1CCC">
              <w:rPr>
                <w:rFonts w:ascii="Verdana" w:hAnsi="Verdana"/>
                <w:sz w:val="22"/>
                <w:szCs w:val="22"/>
                <w:lang w:eastAsia="de-DE"/>
              </w:rPr>
              <w:t xml:space="preserve"> they provided links to existing or planned national measures to incorporate the Guidelines.</w:t>
            </w:r>
          </w:p>
          <w:p w:rsidR="0080723D" w:rsidRPr="00540783" w:rsidRDefault="0080723D" w:rsidP="0080723D">
            <w:pPr>
              <w:keepNext/>
              <w:spacing w:line="276" w:lineRule="auto"/>
              <w:rPr>
                <w:rFonts w:ascii="Verdana" w:hAnsi="Verdana"/>
                <w:sz w:val="22"/>
                <w:szCs w:val="22"/>
                <w:lang w:eastAsia="de-DE"/>
              </w:rPr>
            </w:pPr>
          </w:p>
        </w:tc>
      </w:tr>
      <w:tr w:rsidR="0080723D" w:rsidRPr="00540783" w:rsidTr="0080723D">
        <w:tc>
          <w:tcPr>
            <w:tcW w:w="3863" w:type="dxa"/>
            <w:vAlign w:val="center"/>
          </w:tcPr>
          <w:p w:rsidR="0080723D" w:rsidRDefault="0080723D" w:rsidP="0080723D">
            <w:pPr>
              <w:keepNext/>
              <w:spacing w:line="276" w:lineRule="auto"/>
              <w:rPr>
                <w:rFonts w:ascii="Verdana" w:hAnsi="Verdana"/>
                <w:sz w:val="22"/>
                <w:szCs w:val="22"/>
                <w:lang w:eastAsia="de-DE"/>
              </w:rPr>
            </w:pPr>
          </w:p>
          <w:p w:rsidR="0080723D" w:rsidRDefault="0080723D" w:rsidP="0080723D">
            <w:pPr>
              <w:keepNext/>
              <w:spacing w:line="276" w:lineRule="auto"/>
              <w:rPr>
                <w:rFonts w:ascii="Verdana" w:hAnsi="Verdana"/>
                <w:sz w:val="22"/>
                <w:szCs w:val="22"/>
                <w:lang w:eastAsia="de-DE"/>
              </w:rPr>
            </w:pPr>
            <w:r>
              <w:rPr>
                <w:rFonts w:ascii="Verdana" w:hAnsi="Verdana"/>
                <w:sz w:val="22"/>
                <w:szCs w:val="22"/>
                <w:lang w:eastAsia="de-DE"/>
              </w:rPr>
              <w:t>Published in EIOPA’s website</w:t>
            </w:r>
          </w:p>
          <w:p w:rsidR="0080723D" w:rsidRDefault="0080723D" w:rsidP="0080723D">
            <w:pPr>
              <w:keepNext/>
              <w:spacing w:line="276" w:lineRule="auto"/>
              <w:rPr>
                <w:rFonts w:ascii="Verdana" w:hAnsi="Verdana"/>
                <w:sz w:val="22"/>
                <w:szCs w:val="22"/>
                <w:lang w:eastAsia="de-DE"/>
              </w:rPr>
            </w:pPr>
          </w:p>
        </w:tc>
        <w:tc>
          <w:tcPr>
            <w:tcW w:w="5991" w:type="dxa"/>
            <w:vAlign w:val="center"/>
          </w:tcPr>
          <w:p w:rsidR="00DD7F56" w:rsidRDefault="00DD7F56" w:rsidP="0080723D">
            <w:pPr>
              <w:keepNext/>
              <w:spacing w:line="276" w:lineRule="auto"/>
              <w:rPr>
                <w:rFonts w:ascii="Verdana" w:hAnsi="Verdana"/>
                <w:sz w:val="22"/>
                <w:szCs w:val="22"/>
                <w:lang w:eastAsia="de-DE"/>
              </w:rPr>
            </w:pPr>
          </w:p>
          <w:p w:rsidR="0080723D" w:rsidRDefault="00722303" w:rsidP="0080723D">
            <w:pPr>
              <w:keepNext/>
              <w:spacing w:line="276" w:lineRule="auto"/>
              <w:rPr>
                <w:rFonts w:ascii="Verdana" w:hAnsi="Verdana"/>
                <w:sz w:val="22"/>
                <w:szCs w:val="22"/>
                <w:lang w:eastAsia="de-DE"/>
              </w:rPr>
            </w:pPr>
            <w:hyperlink r:id="rId10" w:history="1">
              <w:r w:rsidR="0080723D" w:rsidRPr="00567855">
                <w:rPr>
                  <w:rStyle w:val="Hyperlink"/>
                  <w:rFonts w:ascii="Verdana" w:hAnsi="Verdana"/>
                  <w:sz w:val="22"/>
                  <w:szCs w:val="22"/>
                  <w:lang w:eastAsia="de-DE"/>
                </w:rPr>
                <w:t>https://eiopa.europa.eu/publications/eiopa-guidelines/index.html</w:t>
              </w:r>
            </w:hyperlink>
          </w:p>
          <w:p w:rsidR="0080723D" w:rsidRDefault="0080723D" w:rsidP="0080723D">
            <w:pPr>
              <w:keepNext/>
              <w:spacing w:line="276" w:lineRule="auto"/>
              <w:rPr>
                <w:rFonts w:ascii="Verdana" w:hAnsi="Verdana"/>
                <w:sz w:val="22"/>
                <w:szCs w:val="22"/>
                <w:lang w:eastAsia="de-DE"/>
              </w:rPr>
            </w:pPr>
          </w:p>
        </w:tc>
      </w:tr>
    </w:tbl>
    <w:p w:rsidR="00540783" w:rsidRDefault="00540783" w:rsidP="00E66876">
      <w:pPr>
        <w:keepNext/>
        <w:spacing w:line="276" w:lineRule="auto"/>
        <w:jc w:val="both"/>
        <w:rPr>
          <w:lang w:eastAsia="de-DE"/>
        </w:rPr>
      </w:pPr>
    </w:p>
    <w:p w:rsidR="00253147" w:rsidRPr="00E66876" w:rsidRDefault="00253147" w:rsidP="00253147">
      <w:pPr>
        <w:keepNext/>
        <w:spacing w:line="276" w:lineRule="auto"/>
        <w:jc w:val="both"/>
        <w:rPr>
          <w:rFonts w:ascii="Verdana" w:hAnsi="Verdana"/>
          <w:sz w:val="22"/>
          <w:szCs w:val="22"/>
          <w:lang w:eastAsia="de-DE"/>
        </w:rPr>
      </w:pPr>
    </w:p>
    <w:p w:rsidR="00253147" w:rsidRDefault="00253147" w:rsidP="00253147">
      <w:pPr>
        <w:keepNext/>
        <w:spacing w:line="276" w:lineRule="auto"/>
        <w:jc w:val="both"/>
        <w:rPr>
          <w:rFonts w:ascii="Verdana" w:hAnsi="Verdana"/>
          <w:sz w:val="22"/>
          <w:szCs w:val="22"/>
          <w:lang w:eastAsia="de-DE"/>
        </w:rPr>
      </w:pPr>
    </w:p>
    <w:p w:rsidR="00253147" w:rsidRPr="001E0080" w:rsidRDefault="00253147" w:rsidP="00E66876">
      <w:pPr>
        <w:keepNext/>
        <w:spacing w:line="276" w:lineRule="auto"/>
        <w:jc w:val="both"/>
        <w:rPr>
          <w:lang w:eastAsia="de-DE"/>
        </w:rPr>
      </w:pPr>
    </w:p>
    <w:sectPr w:rsidR="00253147" w:rsidRPr="001E0080" w:rsidSect="00C87FFE">
      <w:footerReference w:type="even" r:id="rId11"/>
      <w:footerReference w:type="default" r:id="rId12"/>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157D" w:rsidRDefault="004D157D" w:rsidP="006A0592">
      <w:r>
        <w:separator/>
      </w:r>
    </w:p>
  </w:endnote>
  <w:endnote w:type="continuationSeparator" w:id="0">
    <w:p w:rsidR="004D157D" w:rsidRDefault="004D157D" w:rsidP="006A0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57D" w:rsidRDefault="004D15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D157D" w:rsidRDefault="004D157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57D" w:rsidRPr="003C6EBA" w:rsidRDefault="004D157D" w:rsidP="00C87FFE">
    <w:pPr>
      <w:pStyle w:val="Footer"/>
      <w:ind w:right="360"/>
      <w:jc w:val="center"/>
      <w:rPr>
        <w:rStyle w:val="PageNumber"/>
        <w:rFonts w:ascii="Verdana" w:hAnsi="Verdana"/>
        <w:sz w:val="16"/>
        <w:szCs w:val="16"/>
      </w:rPr>
    </w:pPr>
    <w:r w:rsidRPr="003C6EBA">
      <w:rPr>
        <w:rStyle w:val="PageNumber"/>
        <w:rFonts w:ascii="Verdana" w:hAnsi="Verdana"/>
        <w:sz w:val="16"/>
        <w:szCs w:val="16"/>
      </w:rPr>
      <w:fldChar w:fldCharType="begin"/>
    </w:r>
    <w:r w:rsidRPr="003C6EBA">
      <w:rPr>
        <w:rStyle w:val="PageNumber"/>
        <w:rFonts w:ascii="Verdana" w:hAnsi="Verdana"/>
        <w:sz w:val="16"/>
        <w:szCs w:val="16"/>
      </w:rPr>
      <w:instrText xml:space="preserve"> PAGE </w:instrText>
    </w:r>
    <w:r w:rsidRPr="003C6EBA">
      <w:rPr>
        <w:rStyle w:val="PageNumber"/>
        <w:rFonts w:ascii="Verdana" w:hAnsi="Verdana"/>
        <w:sz w:val="16"/>
        <w:szCs w:val="16"/>
      </w:rPr>
      <w:fldChar w:fldCharType="separate"/>
    </w:r>
    <w:r w:rsidR="00722303">
      <w:rPr>
        <w:rStyle w:val="PageNumber"/>
        <w:rFonts w:ascii="Verdana" w:hAnsi="Verdana"/>
        <w:noProof/>
        <w:sz w:val="16"/>
        <w:szCs w:val="16"/>
      </w:rPr>
      <w:t>1</w:t>
    </w:r>
    <w:r w:rsidRPr="003C6EBA">
      <w:rPr>
        <w:rStyle w:val="PageNumber"/>
        <w:rFonts w:ascii="Verdana" w:hAnsi="Verdana"/>
        <w:sz w:val="16"/>
        <w:szCs w:val="16"/>
      </w:rPr>
      <w:fldChar w:fldCharType="end"/>
    </w:r>
    <w:r w:rsidRPr="003C6EBA">
      <w:rPr>
        <w:rStyle w:val="PageNumber"/>
        <w:rFonts w:ascii="Verdana" w:hAnsi="Verdana"/>
        <w:sz w:val="16"/>
        <w:szCs w:val="16"/>
      </w:rPr>
      <w:t>/</w:t>
    </w:r>
    <w:r w:rsidRPr="003C6EBA">
      <w:rPr>
        <w:rStyle w:val="PageNumber"/>
        <w:rFonts w:ascii="Verdana" w:hAnsi="Verdana"/>
        <w:sz w:val="16"/>
        <w:szCs w:val="16"/>
      </w:rPr>
      <w:fldChar w:fldCharType="begin"/>
    </w:r>
    <w:r w:rsidRPr="003C6EBA">
      <w:rPr>
        <w:rStyle w:val="PageNumber"/>
        <w:rFonts w:ascii="Verdana" w:hAnsi="Verdana"/>
        <w:sz w:val="16"/>
        <w:szCs w:val="16"/>
      </w:rPr>
      <w:instrText xml:space="preserve"> NUMPAGES </w:instrText>
    </w:r>
    <w:r w:rsidRPr="003C6EBA">
      <w:rPr>
        <w:rStyle w:val="PageNumber"/>
        <w:rFonts w:ascii="Verdana" w:hAnsi="Verdana"/>
        <w:sz w:val="16"/>
        <w:szCs w:val="16"/>
      </w:rPr>
      <w:fldChar w:fldCharType="separate"/>
    </w:r>
    <w:r w:rsidR="00722303">
      <w:rPr>
        <w:rStyle w:val="PageNumber"/>
        <w:rFonts w:ascii="Verdana" w:hAnsi="Verdana"/>
        <w:noProof/>
        <w:sz w:val="16"/>
        <w:szCs w:val="16"/>
      </w:rPr>
      <w:t>1</w:t>
    </w:r>
    <w:r w:rsidRPr="003C6EBA">
      <w:rPr>
        <w:rStyle w:val="PageNumber"/>
        <w:rFonts w:ascii="Verdana" w:hAnsi="Verdana"/>
        <w:sz w:val="16"/>
        <w:szCs w:val="16"/>
      </w:rPr>
      <w:fldChar w:fldCharType="end"/>
    </w:r>
  </w:p>
  <w:p w:rsidR="004D157D" w:rsidRPr="003C6EBA" w:rsidRDefault="004D157D" w:rsidP="00C87FFE">
    <w:pPr>
      <w:jc w:val="right"/>
      <w:rPr>
        <w:rFonts w:ascii="Verdana" w:hAnsi="Verdana"/>
        <w:sz w:val="16"/>
        <w:szCs w:val="16"/>
      </w:rPr>
    </w:pPr>
    <w:r w:rsidRPr="003C6EBA">
      <w:rPr>
        <w:rFonts w:ascii="Verdana" w:hAnsi="Verdana"/>
        <w:sz w:val="16"/>
        <w:szCs w:val="16"/>
      </w:rPr>
      <w:t xml:space="preserve">© </w:t>
    </w:r>
    <w:r>
      <w:rPr>
        <w:rFonts w:ascii="Verdana" w:hAnsi="Verdana"/>
        <w:sz w:val="16"/>
        <w:szCs w:val="16"/>
      </w:rPr>
      <w:t>EIOPA</w:t>
    </w:r>
    <w:r w:rsidRPr="003C6EBA">
      <w:rPr>
        <w:rFonts w:ascii="Verdana" w:hAnsi="Verdana"/>
        <w:sz w:val="16"/>
        <w:szCs w:val="16"/>
      </w:rPr>
      <w:t xml:space="preserve"> </w:t>
    </w:r>
    <w:r>
      <w:rPr>
        <w:rFonts w:ascii="Verdana" w:hAnsi="Verdana"/>
        <w:sz w:val="16"/>
        <w:szCs w:val="16"/>
      </w:rPr>
      <w:t>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157D" w:rsidRDefault="004D157D" w:rsidP="006A0592">
      <w:r>
        <w:separator/>
      </w:r>
    </w:p>
  </w:footnote>
  <w:footnote w:type="continuationSeparator" w:id="0">
    <w:p w:rsidR="004D157D" w:rsidRDefault="004D157D" w:rsidP="006A05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85D13"/>
    <w:multiLevelType w:val="hybridMultilevel"/>
    <w:tmpl w:val="E8709982"/>
    <w:lvl w:ilvl="0" w:tplc="590EFE46">
      <w:start w:val="1"/>
      <w:numFmt w:val="bullet"/>
      <w:lvlText w:val=""/>
      <w:lvlJc w:val="left"/>
      <w:pPr>
        <w:tabs>
          <w:tab w:val="num" w:pos="1741"/>
        </w:tabs>
        <w:ind w:left="1741" w:hanging="360"/>
      </w:pPr>
      <w:rPr>
        <w:rFonts w:ascii="Symbol" w:hAnsi="Symbol" w:hint="default"/>
        <w:color w:val="auto"/>
      </w:rPr>
    </w:lvl>
    <w:lvl w:ilvl="1" w:tplc="04070003">
      <w:start w:val="1"/>
      <w:numFmt w:val="bullet"/>
      <w:lvlText w:val="o"/>
      <w:lvlJc w:val="left"/>
      <w:pPr>
        <w:tabs>
          <w:tab w:val="num" w:pos="2461"/>
        </w:tabs>
        <w:ind w:left="2461" w:hanging="360"/>
      </w:pPr>
      <w:rPr>
        <w:rFonts w:ascii="Courier New" w:hAnsi="Courier New" w:cs="Courier New" w:hint="default"/>
        <w:color w:val="auto"/>
      </w:rPr>
    </w:lvl>
    <w:lvl w:ilvl="2" w:tplc="F95A8D9A">
      <w:start w:val="1"/>
      <w:numFmt w:val="bullet"/>
      <w:lvlText w:val=""/>
      <w:lvlJc w:val="left"/>
      <w:pPr>
        <w:tabs>
          <w:tab w:val="num" w:pos="3361"/>
        </w:tabs>
        <w:ind w:left="3361" w:hanging="360"/>
      </w:pPr>
      <w:rPr>
        <w:rFonts w:ascii="Symbol" w:hAnsi="Symbol" w:hint="default"/>
        <w:color w:val="auto"/>
      </w:rPr>
    </w:lvl>
    <w:lvl w:ilvl="3" w:tplc="0809000F" w:tentative="1">
      <w:start w:val="1"/>
      <w:numFmt w:val="decimal"/>
      <w:lvlText w:val="%4."/>
      <w:lvlJc w:val="left"/>
      <w:pPr>
        <w:tabs>
          <w:tab w:val="num" w:pos="3901"/>
        </w:tabs>
        <w:ind w:left="3901" w:hanging="360"/>
      </w:pPr>
    </w:lvl>
    <w:lvl w:ilvl="4" w:tplc="08090019" w:tentative="1">
      <w:start w:val="1"/>
      <w:numFmt w:val="lowerLetter"/>
      <w:lvlText w:val="%5."/>
      <w:lvlJc w:val="left"/>
      <w:pPr>
        <w:tabs>
          <w:tab w:val="num" w:pos="4621"/>
        </w:tabs>
        <w:ind w:left="4621" w:hanging="360"/>
      </w:pPr>
    </w:lvl>
    <w:lvl w:ilvl="5" w:tplc="0809001B" w:tentative="1">
      <w:start w:val="1"/>
      <w:numFmt w:val="lowerRoman"/>
      <w:lvlText w:val="%6."/>
      <w:lvlJc w:val="right"/>
      <w:pPr>
        <w:tabs>
          <w:tab w:val="num" w:pos="5341"/>
        </w:tabs>
        <w:ind w:left="5341" w:hanging="180"/>
      </w:pPr>
    </w:lvl>
    <w:lvl w:ilvl="6" w:tplc="0809000F" w:tentative="1">
      <w:start w:val="1"/>
      <w:numFmt w:val="decimal"/>
      <w:lvlText w:val="%7."/>
      <w:lvlJc w:val="left"/>
      <w:pPr>
        <w:tabs>
          <w:tab w:val="num" w:pos="6061"/>
        </w:tabs>
        <w:ind w:left="6061" w:hanging="360"/>
      </w:pPr>
    </w:lvl>
    <w:lvl w:ilvl="7" w:tplc="08090019" w:tentative="1">
      <w:start w:val="1"/>
      <w:numFmt w:val="lowerLetter"/>
      <w:lvlText w:val="%8."/>
      <w:lvlJc w:val="left"/>
      <w:pPr>
        <w:tabs>
          <w:tab w:val="num" w:pos="6781"/>
        </w:tabs>
        <w:ind w:left="6781" w:hanging="360"/>
      </w:pPr>
    </w:lvl>
    <w:lvl w:ilvl="8" w:tplc="0809001B" w:tentative="1">
      <w:start w:val="1"/>
      <w:numFmt w:val="lowerRoman"/>
      <w:lvlText w:val="%9."/>
      <w:lvlJc w:val="right"/>
      <w:pPr>
        <w:tabs>
          <w:tab w:val="num" w:pos="7501"/>
        </w:tabs>
        <w:ind w:left="7501" w:hanging="180"/>
      </w:pPr>
    </w:lvl>
  </w:abstractNum>
  <w:abstractNum w:abstractNumId="1">
    <w:nsid w:val="281036BA"/>
    <w:multiLevelType w:val="hybridMultilevel"/>
    <w:tmpl w:val="AF98EE6E"/>
    <w:lvl w:ilvl="0" w:tplc="DE0055B6">
      <w:start w:val="1"/>
      <w:numFmt w:val="decimal"/>
      <w:lvlText w:val="1.%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nsid w:val="42340C5C"/>
    <w:multiLevelType w:val="hybridMultilevel"/>
    <w:tmpl w:val="D05E484C"/>
    <w:lvl w:ilvl="0" w:tplc="BF406C2C">
      <w:start w:val="1"/>
      <w:numFmt w:val="decimal"/>
      <w:lvlText w:val="3.%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nsid w:val="58807F1A"/>
    <w:multiLevelType w:val="hybridMultilevel"/>
    <w:tmpl w:val="D0200650"/>
    <w:lvl w:ilvl="0" w:tplc="590EFE46">
      <w:start w:val="1"/>
      <w:numFmt w:val="bullet"/>
      <w:lvlText w:val=""/>
      <w:lvlJc w:val="left"/>
      <w:pPr>
        <w:tabs>
          <w:tab w:val="num" w:pos="1741"/>
        </w:tabs>
        <w:ind w:left="1741" w:hanging="360"/>
      </w:pPr>
      <w:rPr>
        <w:rFonts w:ascii="Symbol" w:hAnsi="Symbol" w:hint="default"/>
        <w:color w:val="auto"/>
      </w:rPr>
    </w:lvl>
    <w:lvl w:ilvl="1" w:tplc="08090019">
      <w:start w:val="1"/>
      <w:numFmt w:val="lowerLetter"/>
      <w:lvlText w:val="%2."/>
      <w:lvlJc w:val="left"/>
      <w:pPr>
        <w:tabs>
          <w:tab w:val="num" w:pos="2461"/>
        </w:tabs>
        <w:ind w:left="2461" w:hanging="360"/>
      </w:pPr>
    </w:lvl>
    <w:lvl w:ilvl="2" w:tplc="0809001B" w:tentative="1">
      <w:start w:val="1"/>
      <w:numFmt w:val="lowerRoman"/>
      <w:lvlText w:val="%3."/>
      <w:lvlJc w:val="right"/>
      <w:pPr>
        <w:tabs>
          <w:tab w:val="num" w:pos="3181"/>
        </w:tabs>
        <w:ind w:left="3181" w:hanging="180"/>
      </w:pPr>
    </w:lvl>
    <w:lvl w:ilvl="3" w:tplc="0809000F" w:tentative="1">
      <w:start w:val="1"/>
      <w:numFmt w:val="decimal"/>
      <w:lvlText w:val="%4."/>
      <w:lvlJc w:val="left"/>
      <w:pPr>
        <w:tabs>
          <w:tab w:val="num" w:pos="3901"/>
        </w:tabs>
        <w:ind w:left="3901" w:hanging="360"/>
      </w:pPr>
    </w:lvl>
    <w:lvl w:ilvl="4" w:tplc="08090019" w:tentative="1">
      <w:start w:val="1"/>
      <w:numFmt w:val="lowerLetter"/>
      <w:lvlText w:val="%5."/>
      <w:lvlJc w:val="left"/>
      <w:pPr>
        <w:tabs>
          <w:tab w:val="num" w:pos="4621"/>
        </w:tabs>
        <w:ind w:left="4621" w:hanging="360"/>
      </w:pPr>
    </w:lvl>
    <w:lvl w:ilvl="5" w:tplc="0809001B" w:tentative="1">
      <w:start w:val="1"/>
      <w:numFmt w:val="lowerRoman"/>
      <w:lvlText w:val="%6."/>
      <w:lvlJc w:val="right"/>
      <w:pPr>
        <w:tabs>
          <w:tab w:val="num" w:pos="5341"/>
        </w:tabs>
        <w:ind w:left="5341" w:hanging="180"/>
      </w:pPr>
    </w:lvl>
    <w:lvl w:ilvl="6" w:tplc="0809000F" w:tentative="1">
      <w:start w:val="1"/>
      <w:numFmt w:val="decimal"/>
      <w:lvlText w:val="%7."/>
      <w:lvlJc w:val="left"/>
      <w:pPr>
        <w:tabs>
          <w:tab w:val="num" w:pos="6061"/>
        </w:tabs>
        <w:ind w:left="6061" w:hanging="360"/>
      </w:pPr>
    </w:lvl>
    <w:lvl w:ilvl="7" w:tplc="08090019" w:tentative="1">
      <w:start w:val="1"/>
      <w:numFmt w:val="lowerLetter"/>
      <w:lvlText w:val="%8."/>
      <w:lvlJc w:val="left"/>
      <w:pPr>
        <w:tabs>
          <w:tab w:val="num" w:pos="6781"/>
        </w:tabs>
        <w:ind w:left="6781" w:hanging="360"/>
      </w:pPr>
    </w:lvl>
    <w:lvl w:ilvl="8" w:tplc="0809001B" w:tentative="1">
      <w:start w:val="1"/>
      <w:numFmt w:val="lowerRoman"/>
      <w:lvlText w:val="%9."/>
      <w:lvlJc w:val="right"/>
      <w:pPr>
        <w:tabs>
          <w:tab w:val="num" w:pos="7501"/>
        </w:tabs>
        <w:ind w:left="7501" w:hanging="180"/>
      </w:pPr>
    </w:lvl>
  </w:abstractNum>
  <w:abstractNum w:abstractNumId="4">
    <w:nsid w:val="66F0429D"/>
    <w:multiLevelType w:val="hybridMultilevel"/>
    <w:tmpl w:val="8CAE94C6"/>
    <w:lvl w:ilvl="0" w:tplc="1DB2838C">
      <w:start w:val="1"/>
      <w:numFmt w:val="decimal"/>
      <w:lvlText w:val="2.%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nsid w:val="6FE73F04"/>
    <w:multiLevelType w:val="hybridMultilevel"/>
    <w:tmpl w:val="80CC88BC"/>
    <w:lvl w:ilvl="0" w:tplc="590EFE46">
      <w:start w:val="1"/>
      <w:numFmt w:val="bullet"/>
      <w:lvlText w:val=""/>
      <w:lvlJc w:val="left"/>
      <w:pPr>
        <w:tabs>
          <w:tab w:val="num" w:pos="1741"/>
        </w:tabs>
        <w:ind w:left="1741" w:hanging="360"/>
      </w:pPr>
      <w:rPr>
        <w:rFonts w:ascii="Symbol" w:hAnsi="Symbol" w:hint="default"/>
        <w:color w:val="auto"/>
      </w:rPr>
    </w:lvl>
    <w:lvl w:ilvl="1" w:tplc="04070003">
      <w:start w:val="1"/>
      <w:numFmt w:val="bullet"/>
      <w:lvlText w:val="o"/>
      <w:lvlJc w:val="left"/>
      <w:pPr>
        <w:tabs>
          <w:tab w:val="num" w:pos="2461"/>
        </w:tabs>
        <w:ind w:left="2461" w:hanging="360"/>
      </w:pPr>
      <w:rPr>
        <w:rFonts w:ascii="Courier New" w:hAnsi="Courier New" w:cs="Courier New" w:hint="default"/>
        <w:color w:val="auto"/>
      </w:rPr>
    </w:lvl>
    <w:lvl w:ilvl="2" w:tplc="0809001B">
      <w:start w:val="1"/>
      <w:numFmt w:val="lowerRoman"/>
      <w:lvlText w:val="%3."/>
      <w:lvlJc w:val="right"/>
      <w:pPr>
        <w:tabs>
          <w:tab w:val="num" w:pos="3181"/>
        </w:tabs>
        <w:ind w:left="3181" w:hanging="180"/>
      </w:pPr>
    </w:lvl>
    <w:lvl w:ilvl="3" w:tplc="0809000F" w:tentative="1">
      <w:start w:val="1"/>
      <w:numFmt w:val="decimal"/>
      <w:lvlText w:val="%4."/>
      <w:lvlJc w:val="left"/>
      <w:pPr>
        <w:tabs>
          <w:tab w:val="num" w:pos="3901"/>
        </w:tabs>
        <w:ind w:left="3901" w:hanging="360"/>
      </w:pPr>
    </w:lvl>
    <w:lvl w:ilvl="4" w:tplc="08090019" w:tentative="1">
      <w:start w:val="1"/>
      <w:numFmt w:val="lowerLetter"/>
      <w:lvlText w:val="%5."/>
      <w:lvlJc w:val="left"/>
      <w:pPr>
        <w:tabs>
          <w:tab w:val="num" w:pos="4621"/>
        </w:tabs>
        <w:ind w:left="4621" w:hanging="360"/>
      </w:pPr>
    </w:lvl>
    <w:lvl w:ilvl="5" w:tplc="0809001B" w:tentative="1">
      <w:start w:val="1"/>
      <w:numFmt w:val="lowerRoman"/>
      <w:lvlText w:val="%6."/>
      <w:lvlJc w:val="right"/>
      <w:pPr>
        <w:tabs>
          <w:tab w:val="num" w:pos="5341"/>
        </w:tabs>
        <w:ind w:left="5341" w:hanging="180"/>
      </w:pPr>
    </w:lvl>
    <w:lvl w:ilvl="6" w:tplc="0809000F" w:tentative="1">
      <w:start w:val="1"/>
      <w:numFmt w:val="decimal"/>
      <w:lvlText w:val="%7."/>
      <w:lvlJc w:val="left"/>
      <w:pPr>
        <w:tabs>
          <w:tab w:val="num" w:pos="6061"/>
        </w:tabs>
        <w:ind w:left="6061" w:hanging="360"/>
      </w:pPr>
    </w:lvl>
    <w:lvl w:ilvl="7" w:tplc="08090019" w:tentative="1">
      <w:start w:val="1"/>
      <w:numFmt w:val="lowerLetter"/>
      <w:lvlText w:val="%8."/>
      <w:lvlJc w:val="left"/>
      <w:pPr>
        <w:tabs>
          <w:tab w:val="num" w:pos="6781"/>
        </w:tabs>
        <w:ind w:left="6781" w:hanging="360"/>
      </w:pPr>
    </w:lvl>
    <w:lvl w:ilvl="8" w:tplc="0809001B" w:tentative="1">
      <w:start w:val="1"/>
      <w:numFmt w:val="lowerRoman"/>
      <w:lvlText w:val="%9."/>
      <w:lvlJc w:val="right"/>
      <w:pPr>
        <w:tabs>
          <w:tab w:val="num" w:pos="7501"/>
        </w:tabs>
        <w:ind w:left="7501" w:hanging="180"/>
      </w:pPr>
    </w:lvl>
  </w:abstractNum>
  <w:num w:numId="1">
    <w:abstractNumId w:val="3"/>
  </w:num>
  <w:num w:numId="2">
    <w:abstractNumId w:val="5"/>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6A0592"/>
    <w:rsid w:val="000434E2"/>
    <w:rsid w:val="00134BE2"/>
    <w:rsid w:val="001A7E38"/>
    <w:rsid w:val="001D089B"/>
    <w:rsid w:val="001D7A50"/>
    <w:rsid w:val="00253147"/>
    <w:rsid w:val="00350744"/>
    <w:rsid w:val="0038018F"/>
    <w:rsid w:val="004D157D"/>
    <w:rsid w:val="004D6D42"/>
    <w:rsid w:val="00540783"/>
    <w:rsid w:val="00590E00"/>
    <w:rsid w:val="00595704"/>
    <w:rsid w:val="00624A8B"/>
    <w:rsid w:val="006A0592"/>
    <w:rsid w:val="006B0699"/>
    <w:rsid w:val="00722303"/>
    <w:rsid w:val="00777563"/>
    <w:rsid w:val="00793DE6"/>
    <w:rsid w:val="007A1C87"/>
    <w:rsid w:val="0080723D"/>
    <w:rsid w:val="00864F76"/>
    <w:rsid w:val="008D1736"/>
    <w:rsid w:val="008E4C2D"/>
    <w:rsid w:val="009104D8"/>
    <w:rsid w:val="009A1223"/>
    <w:rsid w:val="00A45DE0"/>
    <w:rsid w:val="00A50413"/>
    <w:rsid w:val="00AC4318"/>
    <w:rsid w:val="00AC6531"/>
    <w:rsid w:val="00B83553"/>
    <w:rsid w:val="00B96F15"/>
    <w:rsid w:val="00BC5043"/>
    <w:rsid w:val="00BF26AA"/>
    <w:rsid w:val="00C87FFE"/>
    <w:rsid w:val="00CA4195"/>
    <w:rsid w:val="00CD0946"/>
    <w:rsid w:val="00CF7ADB"/>
    <w:rsid w:val="00D41588"/>
    <w:rsid w:val="00D91C81"/>
    <w:rsid w:val="00DD7F56"/>
    <w:rsid w:val="00DF4EE3"/>
    <w:rsid w:val="00E25D8C"/>
    <w:rsid w:val="00E66876"/>
    <w:rsid w:val="00EB1BC4"/>
    <w:rsid w:val="00EF4CAC"/>
    <w:rsid w:val="00F25CD3"/>
    <w:rsid w:val="00F971D2"/>
    <w:rsid w:val="00FA1CCC"/>
    <w:rsid w:val="00FC0A42"/>
    <w:rsid w:val="00FE5F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592"/>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6A0592"/>
    <w:pPr>
      <w:autoSpaceDE w:val="0"/>
      <w:autoSpaceDN w:val="0"/>
      <w:adjustRightInd w:val="0"/>
      <w:jc w:val="center"/>
      <w:outlineLvl w:val="0"/>
    </w:pPr>
    <w:rPr>
      <w:color w:val="000000"/>
      <w:sz w:val="44"/>
      <w:szCs w:val="44"/>
      <w:lang w:eastAsia="en-US"/>
    </w:rPr>
  </w:style>
  <w:style w:type="paragraph" w:styleId="Heading2">
    <w:name w:val="heading 2"/>
    <w:basedOn w:val="Normal"/>
    <w:next w:val="Normal"/>
    <w:link w:val="Heading2Char"/>
    <w:qFormat/>
    <w:rsid w:val="006A0592"/>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0592"/>
    <w:rPr>
      <w:rFonts w:ascii="Times New Roman" w:eastAsia="Times New Roman" w:hAnsi="Times New Roman" w:cs="Times New Roman"/>
      <w:color w:val="000000"/>
      <w:sz w:val="44"/>
      <w:szCs w:val="44"/>
    </w:rPr>
  </w:style>
  <w:style w:type="character" w:customStyle="1" w:styleId="Heading2Char">
    <w:name w:val="Heading 2 Char"/>
    <w:basedOn w:val="DefaultParagraphFont"/>
    <w:link w:val="Heading2"/>
    <w:rsid w:val="006A0592"/>
    <w:rPr>
      <w:rFonts w:ascii="Times New Roman" w:eastAsia="Times New Roman" w:hAnsi="Times New Roman" w:cs="Times New Roman"/>
      <w:b/>
      <w:bCs/>
      <w:sz w:val="24"/>
      <w:szCs w:val="24"/>
      <w:lang w:eastAsia="en-GB"/>
    </w:rPr>
  </w:style>
  <w:style w:type="paragraph" w:styleId="FootnoteText">
    <w:name w:val="footnote text"/>
    <w:aliases w:val="Footnote Text Char1,Footnote Text Char Char,Fußnotentext Char Char Char,Fußnotentext Char1 Char Char Char,Fußnotentext Char Char Char Char Char,Fußnotentext Char1 Char Char Char Char Char,Fußnotentext Char Char Char Char Char Char Ch"/>
    <w:basedOn w:val="Normal"/>
    <w:link w:val="FootnoteTextChar"/>
    <w:semiHidden/>
    <w:rsid w:val="006A0592"/>
    <w:rPr>
      <w:sz w:val="20"/>
      <w:szCs w:val="20"/>
    </w:rPr>
  </w:style>
  <w:style w:type="character" w:customStyle="1" w:styleId="FootnoteTextChar">
    <w:name w:val="Footnote Text Char"/>
    <w:aliases w:val="Footnote Text Char1 Char,Footnote Text Char Char Char,Fußnotentext Char Char Char Char,Fußnotentext Char1 Char Char Char Char,Fußnotentext Char Char Char Char Char Char,Fußnotentext Char1 Char Char Char Char Char Char"/>
    <w:basedOn w:val="DefaultParagraphFont"/>
    <w:link w:val="FootnoteText"/>
    <w:semiHidden/>
    <w:rsid w:val="006A0592"/>
    <w:rPr>
      <w:rFonts w:ascii="Times New Roman" w:eastAsia="Times New Roman" w:hAnsi="Times New Roman" w:cs="Times New Roman"/>
      <w:sz w:val="20"/>
      <w:szCs w:val="20"/>
      <w:lang w:eastAsia="en-GB"/>
    </w:rPr>
  </w:style>
  <w:style w:type="character" w:styleId="FootnoteReference">
    <w:name w:val="footnote reference"/>
    <w:basedOn w:val="DefaultParagraphFont"/>
    <w:semiHidden/>
    <w:rsid w:val="006A0592"/>
    <w:rPr>
      <w:vertAlign w:val="superscript"/>
    </w:rPr>
  </w:style>
  <w:style w:type="paragraph" w:styleId="Footer">
    <w:name w:val="footer"/>
    <w:basedOn w:val="Normal"/>
    <w:link w:val="FooterChar"/>
    <w:rsid w:val="006A0592"/>
    <w:pPr>
      <w:tabs>
        <w:tab w:val="center" w:pos="4153"/>
        <w:tab w:val="right" w:pos="8306"/>
      </w:tabs>
    </w:pPr>
  </w:style>
  <w:style w:type="character" w:customStyle="1" w:styleId="FooterChar">
    <w:name w:val="Footer Char"/>
    <w:basedOn w:val="DefaultParagraphFont"/>
    <w:link w:val="Footer"/>
    <w:rsid w:val="006A0592"/>
    <w:rPr>
      <w:rFonts w:ascii="Times New Roman" w:eastAsia="Times New Roman" w:hAnsi="Times New Roman" w:cs="Times New Roman"/>
      <w:sz w:val="24"/>
      <w:szCs w:val="24"/>
      <w:lang w:eastAsia="en-GB"/>
    </w:rPr>
  </w:style>
  <w:style w:type="character" w:styleId="PageNumber">
    <w:name w:val="page number"/>
    <w:basedOn w:val="DefaultParagraphFont"/>
    <w:rsid w:val="006A0592"/>
  </w:style>
  <w:style w:type="paragraph" w:customStyle="1" w:styleId="QISIndentCharCharChar">
    <w:name w:val="QISIndent Char Char Char"/>
    <w:basedOn w:val="Normal"/>
    <w:rsid w:val="006A0592"/>
    <w:pPr>
      <w:spacing w:after="240"/>
      <w:ind w:left="1134"/>
      <w:jc w:val="both"/>
    </w:pPr>
    <w:rPr>
      <w:rFonts w:ascii="Verdana" w:eastAsia="MS Mincho" w:hAnsi="Verdana"/>
      <w:sz w:val="22"/>
      <w:szCs w:val="20"/>
      <w:lang w:eastAsia="ja-JP"/>
    </w:rPr>
  </w:style>
  <w:style w:type="paragraph" w:styleId="BalloonText">
    <w:name w:val="Balloon Text"/>
    <w:basedOn w:val="Normal"/>
    <w:link w:val="BalloonTextChar"/>
    <w:uiPriority w:val="99"/>
    <w:semiHidden/>
    <w:unhideWhenUsed/>
    <w:rsid w:val="006A0592"/>
    <w:rPr>
      <w:rFonts w:ascii="Tahoma" w:hAnsi="Tahoma" w:cs="Tahoma"/>
      <w:sz w:val="16"/>
      <w:szCs w:val="16"/>
    </w:rPr>
  </w:style>
  <w:style w:type="character" w:customStyle="1" w:styleId="BalloonTextChar">
    <w:name w:val="Balloon Text Char"/>
    <w:basedOn w:val="DefaultParagraphFont"/>
    <w:link w:val="BalloonText"/>
    <w:uiPriority w:val="99"/>
    <w:semiHidden/>
    <w:rsid w:val="006A0592"/>
    <w:rPr>
      <w:rFonts w:ascii="Tahoma" w:eastAsia="Times New Roman" w:hAnsi="Tahoma" w:cs="Tahoma"/>
      <w:sz w:val="16"/>
      <w:szCs w:val="16"/>
      <w:lang w:eastAsia="en-GB"/>
    </w:rPr>
  </w:style>
  <w:style w:type="paragraph" w:styleId="Header">
    <w:name w:val="header"/>
    <w:basedOn w:val="Normal"/>
    <w:link w:val="HeaderChar"/>
    <w:uiPriority w:val="99"/>
    <w:unhideWhenUsed/>
    <w:rsid w:val="006A0592"/>
    <w:pPr>
      <w:tabs>
        <w:tab w:val="center" w:pos="4513"/>
        <w:tab w:val="right" w:pos="9026"/>
      </w:tabs>
    </w:pPr>
  </w:style>
  <w:style w:type="character" w:customStyle="1" w:styleId="HeaderChar">
    <w:name w:val="Header Char"/>
    <w:basedOn w:val="DefaultParagraphFont"/>
    <w:link w:val="Header"/>
    <w:uiPriority w:val="99"/>
    <w:rsid w:val="006A0592"/>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D0946"/>
    <w:rPr>
      <w:color w:val="0000FF" w:themeColor="hyperlink"/>
      <w:u w:val="single"/>
    </w:rPr>
  </w:style>
  <w:style w:type="table" w:styleId="TableGrid">
    <w:name w:val="Table Grid"/>
    <w:basedOn w:val="TableNormal"/>
    <w:uiPriority w:val="59"/>
    <w:rsid w:val="005407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592"/>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6A0592"/>
    <w:pPr>
      <w:autoSpaceDE w:val="0"/>
      <w:autoSpaceDN w:val="0"/>
      <w:adjustRightInd w:val="0"/>
      <w:jc w:val="center"/>
      <w:outlineLvl w:val="0"/>
    </w:pPr>
    <w:rPr>
      <w:color w:val="000000"/>
      <w:sz w:val="44"/>
      <w:szCs w:val="44"/>
      <w:lang w:eastAsia="en-US"/>
    </w:rPr>
  </w:style>
  <w:style w:type="paragraph" w:styleId="Heading2">
    <w:name w:val="heading 2"/>
    <w:basedOn w:val="Normal"/>
    <w:next w:val="Normal"/>
    <w:link w:val="Heading2Char"/>
    <w:qFormat/>
    <w:rsid w:val="006A0592"/>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0592"/>
    <w:rPr>
      <w:rFonts w:ascii="Times New Roman" w:eastAsia="Times New Roman" w:hAnsi="Times New Roman" w:cs="Times New Roman"/>
      <w:color w:val="000000"/>
      <w:sz w:val="44"/>
      <w:szCs w:val="44"/>
    </w:rPr>
  </w:style>
  <w:style w:type="character" w:customStyle="1" w:styleId="Heading2Char">
    <w:name w:val="Heading 2 Char"/>
    <w:basedOn w:val="DefaultParagraphFont"/>
    <w:link w:val="Heading2"/>
    <w:rsid w:val="006A0592"/>
    <w:rPr>
      <w:rFonts w:ascii="Times New Roman" w:eastAsia="Times New Roman" w:hAnsi="Times New Roman" w:cs="Times New Roman"/>
      <w:b/>
      <w:bCs/>
      <w:sz w:val="24"/>
      <w:szCs w:val="24"/>
      <w:lang w:eastAsia="en-GB"/>
    </w:rPr>
  </w:style>
  <w:style w:type="paragraph" w:styleId="FootnoteText">
    <w:name w:val="footnote text"/>
    <w:aliases w:val="Footnote Text Char1,Footnote Text Char Char,Fußnotentext Char Char Char,Fußnotentext Char1 Char Char Char,Fußnotentext Char Char Char Char Char,Fußnotentext Char1 Char Char Char Char Char,Fußnotentext Char Char Char Char Char Char Ch"/>
    <w:basedOn w:val="Normal"/>
    <w:link w:val="FootnoteTextChar"/>
    <w:semiHidden/>
    <w:rsid w:val="006A0592"/>
    <w:rPr>
      <w:sz w:val="20"/>
      <w:szCs w:val="20"/>
    </w:rPr>
  </w:style>
  <w:style w:type="character" w:customStyle="1" w:styleId="FootnoteTextChar">
    <w:name w:val="Footnote Text Char"/>
    <w:aliases w:val="Footnote Text Char1 Char,Footnote Text Char Char Char,Fußnotentext Char Char Char Char,Fußnotentext Char1 Char Char Char Char,Fußnotentext Char Char Char Char Char Char,Fußnotentext Char1 Char Char Char Char Char Char"/>
    <w:basedOn w:val="DefaultParagraphFont"/>
    <w:link w:val="FootnoteText"/>
    <w:semiHidden/>
    <w:rsid w:val="006A0592"/>
    <w:rPr>
      <w:rFonts w:ascii="Times New Roman" w:eastAsia="Times New Roman" w:hAnsi="Times New Roman" w:cs="Times New Roman"/>
      <w:sz w:val="20"/>
      <w:szCs w:val="20"/>
      <w:lang w:eastAsia="en-GB"/>
    </w:rPr>
  </w:style>
  <w:style w:type="character" w:styleId="FootnoteReference">
    <w:name w:val="footnote reference"/>
    <w:basedOn w:val="DefaultParagraphFont"/>
    <w:semiHidden/>
    <w:rsid w:val="006A0592"/>
    <w:rPr>
      <w:vertAlign w:val="superscript"/>
    </w:rPr>
  </w:style>
  <w:style w:type="paragraph" w:styleId="Footer">
    <w:name w:val="footer"/>
    <w:basedOn w:val="Normal"/>
    <w:link w:val="FooterChar"/>
    <w:rsid w:val="006A0592"/>
    <w:pPr>
      <w:tabs>
        <w:tab w:val="center" w:pos="4153"/>
        <w:tab w:val="right" w:pos="8306"/>
      </w:tabs>
    </w:pPr>
  </w:style>
  <w:style w:type="character" w:customStyle="1" w:styleId="FooterChar">
    <w:name w:val="Footer Char"/>
    <w:basedOn w:val="DefaultParagraphFont"/>
    <w:link w:val="Footer"/>
    <w:rsid w:val="006A0592"/>
    <w:rPr>
      <w:rFonts w:ascii="Times New Roman" w:eastAsia="Times New Roman" w:hAnsi="Times New Roman" w:cs="Times New Roman"/>
      <w:sz w:val="24"/>
      <w:szCs w:val="24"/>
      <w:lang w:eastAsia="en-GB"/>
    </w:rPr>
  </w:style>
  <w:style w:type="character" w:styleId="PageNumber">
    <w:name w:val="page number"/>
    <w:basedOn w:val="DefaultParagraphFont"/>
    <w:rsid w:val="006A0592"/>
  </w:style>
  <w:style w:type="paragraph" w:customStyle="1" w:styleId="QISIndentCharCharChar">
    <w:name w:val="QISIndent Char Char Char"/>
    <w:basedOn w:val="Normal"/>
    <w:rsid w:val="006A0592"/>
    <w:pPr>
      <w:spacing w:after="240"/>
      <w:ind w:left="1134"/>
      <w:jc w:val="both"/>
    </w:pPr>
    <w:rPr>
      <w:rFonts w:ascii="Verdana" w:eastAsia="MS Mincho" w:hAnsi="Verdana"/>
      <w:sz w:val="22"/>
      <w:szCs w:val="20"/>
      <w:lang w:eastAsia="ja-JP"/>
    </w:rPr>
  </w:style>
  <w:style w:type="paragraph" w:styleId="BalloonText">
    <w:name w:val="Balloon Text"/>
    <w:basedOn w:val="Normal"/>
    <w:link w:val="BalloonTextChar"/>
    <w:uiPriority w:val="99"/>
    <w:semiHidden/>
    <w:unhideWhenUsed/>
    <w:rsid w:val="006A0592"/>
    <w:rPr>
      <w:rFonts w:ascii="Tahoma" w:hAnsi="Tahoma" w:cs="Tahoma"/>
      <w:sz w:val="16"/>
      <w:szCs w:val="16"/>
    </w:rPr>
  </w:style>
  <w:style w:type="character" w:customStyle="1" w:styleId="BalloonTextChar">
    <w:name w:val="Balloon Text Char"/>
    <w:basedOn w:val="DefaultParagraphFont"/>
    <w:link w:val="BalloonText"/>
    <w:uiPriority w:val="99"/>
    <w:semiHidden/>
    <w:rsid w:val="006A0592"/>
    <w:rPr>
      <w:rFonts w:ascii="Tahoma" w:eastAsia="Times New Roman" w:hAnsi="Tahoma" w:cs="Tahoma"/>
      <w:sz w:val="16"/>
      <w:szCs w:val="16"/>
      <w:lang w:eastAsia="en-GB"/>
    </w:rPr>
  </w:style>
  <w:style w:type="paragraph" w:styleId="Header">
    <w:name w:val="header"/>
    <w:basedOn w:val="Normal"/>
    <w:link w:val="HeaderChar"/>
    <w:uiPriority w:val="99"/>
    <w:unhideWhenUsed/>
    <w:rsid w:val="006A0592"/>
    <w:pPr>
      <w:tabs>
        <w:tab w:val="center" w:pos="4513"/>
        <w:tab w:val="right" w:pos="9026"/>
      </w:tabs>
    </w:pPr>
  </w:style>
  <w:style w:type="character" w:customStyle="1" w:styleId="HeaderChar">
    <w:name w:val="Header Char"/>
    <w:basedOn w:val="DefaultParagraphFont"/>
    <w:link w:val="Header"/>
    <w:uiPriority w:val="99"/>
    <w:rsid w:val="006A0592"/>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D0946"/>
    <w:rPr>
      <w:color w:val="0000FF" w:themeColor="hyperlink"/>
      <w:u w:val="single"/>
    </w:rPr>
  </w:style>
  <w:style w:type="table" w:styleId="TableGrid">
    <w:name w:val="Table Grid"/>
    <w:basedOn w:val="TableNormal"/>
    <w:uiPriority w:val="59"/>
    <w:rsid w:val="005407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yperlink" Target="https://eiopa.europa.eu/publications/eiopa-guidelines/index.htm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ublication Document" ma:contentTypeID="0x010100F025371A0D5F1846930DBA2C9EDAF56600AFC9069F21C440458F2314C115976576" ma:contentTypeVersion="10" ma:contentTypeDescription="Create a new document." ma:contentTypeScope="" ma:versionID="1c8780a4788c3890a667635e8c53836e">
  <xsd:schema xmlns:xsd="http://www.w3.org/2001/XMLSchema" xmlns:xs="http://www.w3.org/2001/XMLSchema" xmlns:p="http://schemas.microsoft.com/office/2006/metadata/properties" xmlns:ns1="http://schemas.microsoft.com/sharepoint/v3" xmlns:ns2="46cf5d05-017c-4f03-b1f6-893edf8c1825" xmlns:ns3="2b395ac2-8163-4b1c-b2c0-fcf6a8d6604b" targetNamespace="http://schemas.microsoft.com/office/2006/metadata/properties" ma:root="true" ma:fieldsID="085a5981a0ee1559a6e92f15f10ee0d7" ns1:_="" ns2:_="" ns3:_="">
    <xsd:import namespace="http://schemas.microsoft.com/sharepoint/v3"/>
    <xsd:import namespace="46cf5d05-017c-4f03-b1f6-893edf8c1825"/>
    <xsd:import namespace="2b395ac2-8163-4b1c-b2c0-fcf6a8d6604b"/>
    <xsd:element name="properties">
      <xsd:complexType>
        <xsd:sequence>
          <xsd:element name="documentManagement">
            <xsd:complexType>
              <xsd:all>
                <xsd:element ref="ns2:m4e5b9a57ee34142859f8aa69e31e7bd" minOccurs="0"/>
                <xsd:element ref="ns2:TaxCatchAll" minOccurs="0"/>
                <xsd:element ref="ns2:TaxCatchAllLabel" minOccurs="0"/>
                <xsd:element ref="ns2:e3b8259dbd224628b8b94cebb83fde6b" minOccurs="0"/>
                <xsd:element ref="ns2:b687f5c370784be381b55f490b18f6b4" minOccurs="0"/>
                <xsd:element ref="ns3:Publication_x0020_Date" minOccurs="0"/>
                <xsd:element ref="ns1: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17" nillable="true" ma:displayName="Start Date" ma:default="[today]" ma:format="DateTime" ma:internalName="Star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6cf5d05-017c-4f03-b1f6-893edf8c1825" elementFormDefault="qualified">
    <xsd:import namespace="http://schemas.microsoft.com/office/2006/documentManagement/types"/>
    <xsd:import namespace="http://schemas.microsoft.com/office/infopath/2007/PartnerControls"/>
    <xsd:element name="m4e5b9a57ee34142859f8aa69e31e7bd" ma:index="8" nillable="true" ma:displayName="Document Type_0" ma:hidden="true" ma:internalName="m4e5b9a57ee34142859f8aa69e31e7bd">
      <xsd:simpleType>
        <xsd:restriction base="dms:Note"/>
      </xsd:simpleType>
    </xsd:element>
    <xsd:element name="TaxCatchAll" ma:index="9" nillable="true" ma:displayName="Taxonomy Catch All Column" ma:description="" ma:hidden="true" ma:list="{df6c9081-745a-4c96-a42a-40c5dedd0e67}" ma:internalName="TaxCatchAll" ma:showField="CatchAllData" ma:web="46cf5d05-017c-4f03-b1f6-893edf8c182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df6c9081-745a-4c96-a42a-40c5dedd0e67}" ma:internalName="TaxCatchAllLabel" ma:readOnly="true" ma:showField="CatchAllDataLabel" ma:web="46cf5d05-017c-4f03-b1f6-893edf8c1825">
      <xsd:complexType>
        <xsd:complexContent>
          <xsd:extension base="dms:MultiChoiceLookup">
            <xsd:sequence>
              <xsd:element name="Value" type="dms:Lookup" maxOccurs="unbounded" minOccurs="0" nillable="true"/>
            </xsd:sequence>
          </xsd:extension>
        </xsd:complexContent>
      </xsd:complexType>
    </xsd:element>
    <xsd:element name="e3b8259dbd224628b8b94cebb83fde6b" ma:index="12" nillable="true" ma:displayName="Document Topic_0" ma:hidden="true" ma:internalName="e3b8259dbd224628b8b94cebb83fde6b">
      <xsd:simpleType>
        <xsd:restriction base="dms:Note"/>
      </xsd:simpleType>
    </xsd:element>
    <xsd:element name="b687f5c370784be381b55f490b18f6b4" ma:index="14" nillable="true" ma:displayName="Involved Party_0" ma:hidden="true" ma:internalName="b687f5c370784be381b55f490b18f6b4">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395ac2-8163-4b1c-b2c0-fcf6a8d6604b" elementFormDefault="qualified">
    <xsd:import namespace="http://schemas.microsoft.com/office/2006/documentManagement/types"/>
    <xsd:import namespace="http://schemas.microsoft.com/office/infopath/2007/PartnerControls"/>
    <xsd:element name="Publication_x0020_Date" ma:index="16" nillable="true" ma:displayName="Publication Date" ma:format="DateOnly" ma:internalName="Publication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cation_x0020_Date xmlns="2b395ac2-8163-4b1c-b2c0-fcf6a8d6604b">2013-03-20T22:00:00+00:00</Publication_x0020_Date>
    <TaxCatchAll xmlns="46cf5d05-017c-4f03-b1f6-893edf8c1825">
      <Value>52</Value>
    </TaxCatchAll>
    <b687f5c370784be381b55f490b18f6b4 xmlns="46cf5d05-017c-4f03-b1f6-893edf8c1825" xsi:nil="true"/>
    <e3b8259dbd224628b8b94cebb83fde6b xmlns="46cf5d05-017c-4f03-b1f6-893edf8c1825" xsi:nil="true"/>
    <m4e5b9a57ee34142859f8aa69e31e7bd xmlns="46cf5d05-017c-4f03-b1f6-893edf8c1825" xsi:nil="true"/>
    <StartDate xmlns="http://schemas.microsoft.com/sharepoint/v3">2015-02-16T19:10:43+00:00</StartDate>
  </documentManagement>
</p:properties>
</file>

<file path=customXml/itemProps1.xml><?xml version="1.0" encoding="utf-8"?>
<ds:datastoreItem xmlns:ds="http://schemas.openxmlformats.org/officeDocument/2006/customXml" ds:itemID="{E55AECC2-6567-4BD7-82BB-EF94FD91C930}"/>
</file>

<file path=customXml/itemProps2.xml><?xml version="1.0" encoding="utf-8"?>
<ds:datastoreItem xmlns:ds="http://schemas.openxmlformats.org/officeDocument/2006/customXml" ds:itemID="{DF679C62-A1A3-4DE3-9B0C-EF732E5329E4}"/>
</file>

<file path=customXml/itemProps3.xml><?xml version="1.0" encoding="utf-8"?>
<ds:datastoreItem xmlns:ds="http://schemas.openxmlformats.org/officeDocument/2006/customXml" ds:itemID="{7122068E-FCA3-44DD-BDBF-D50489860EA8}"/>
</file>

<file path=customXml/itemProps4.xml><?xml version="1.0" encoding="utf-8"?>
<ds:datastoreItem xmlns:ds="http://schemas.openxmlformats.org/officeDocument/2006/customXml" ds:itemID="{1731387C-1BC4-4259-9410-77C981A1F1A5}"/>
</file>

<file path=docProps/app.xml><?xml version="1.0" encoding="utf-8"?>
<Properties xmlns="http://schemas.openxmlformats.org/officeDocument/2006/extended-properties" xmlns:vt="http://schemas.openxmlformats.org/officeDocument/2006/docPropsVTypes">
  <Template>Normal</Template>
  <TotalTime>0</TotalTime>
  <Pages>1</Pages>
  <Words>120</Words>
  <Characters>685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Overall results of the comply or explain On Guidelines</dc:title>
  <dc:creator>Beatriz Ferriz</dc:creator>
  <cp:lastModifiedBy>Beatriz Ferriz</cp:lastModifiedBy>
  <cp:revision>2</cp:revision>
  <dcterms:created xsi:type="dcterms:W3CDTF">2013-03-20T09:14:00Z</dcterms:created>
  <dcterms:modified xsi:type="dcterms:W3CDTF">2013-03-20T09:14:00Z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0x010100F025371A0D5F1846930DBA2C9EDAF56600AFC9069F21C440458F2314C115976576</vt:lpwstr>
  </property>
  <property fmtid="{D5CDD505-2E9C-101B-9397-08002B2CF9AE}" pid="3" name="Involved Party">
    <vt:lpwstr/>
  </property>
  <property fmtid="{D5CDD505-2E9C-101B-9397-08002B2CF9AE}" pid="4" name="Document Topic">
    <vt:lpwstr/>
  </property>
  <property fmtid="{D5CDD505-2E9C-101B-9397-08002B2CF9AE}" pid="5" name="Document Type">
    <vt:lpwstr>52;#Guidelines|36f4e190-d73a-41a5-8352-d9a1fabce397</vt:lpwstr>
  </property>
  <property fmtid="{D5CDD505-2E9C-101B-9397-08002B2CF9AE}" pid="6" name="Order">
    <vt:r8>196100</vt:r8>
  </property>
  <property fmtid="{D5CDD505-2E9C-101B-9397-08002B2CF9AE}" pid="7" name="TemplateUrl">
    <vt:lpwstr/>
  </property>
  <property fmtid="{D5CDD505-2E9C-101B-9397-08002B2CF9AE}" pid="8" name="obb4efe42ba0440ebcc21f478af52bc7">
    <vt:lpwstr/>
  </property>
  <property fmtid="{D5CDD505-2E9C-101B-9397-08002B2CF9AE}" pid="9" name="lf7ec453acb346f5b4feea7d032d6f2c">
    <vt:lpwstr>Guidelines|36f4e190-d73a-41a5-8352-d9a1fabce397</vt:lpwstr>
  </property>
  <property fmtid="{D5CDD505-2E9C-101B-9397-08002B2CF9AE}" pid="10" name="xd_Signature">
    <vt:bool>false</vt:bool>
  </property>
  <property fmtid="{D5CDD505-2E9C-101B-9397-08002B2CF9AE}" pid="11" name="Presenter">
    <vt:lpwstr/>
  </property>
  <property fmtid="{D5CDD505-2E9C-101B-9397-08002B2CF9AE}" pid="12" name="m4764fd034b84a6e893e168ee26c887c">
    <vt:lpwstr/>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ies>
</file>