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8240B" w14:textId="77777777" w:rsidR="00C71999" w:rsidRPr="00EA57B2" w:rsidRDefault="00C71999" w:rsidP="00020B14">
      <w:pPr>
        <w:tabs>
          <w:tab w:val="left" w:pos="0"/>
        </w:tabs>
        <w:rPr>
          <w:lang w:val="en-US"/>
        </w:rPr>
      </w:pPr>
      <w:bookmarkStart w:id="0" w:name="_Hlk29660716"/>
      <w:bookmarkStart w:id="1" w:name="_GoBack"/>
      <w:bookmarkEnd w:id="1"/>
    </w:p>
    <w:p w14:paraId="65FBA19F" w14:textId="77777777" w:rsidR="00C71999" w:rsidRDefault="00C71999" w:rsidP="00020B14">
      <w:pPr>
        <w:tabs>
          <w:tab w:val="left" w:pos="0"/>
        </w:tabs>
      </w:pPr>
    </w:p>
    <w:p w14:paraId="14AAD84C" w14:textId="77777777" w:rsidR="002F78B0" w:rsidRDefault="002F78B0"/>
    <w:tbl>
      <w:tblPr>
        <w:tblW w:w="688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67"/>
        <w:gridCol w:w="1989"/>
        <w:gridCol w:w="82"/>
        <w:gridCol w:w="8187"/>
        <w:gridCol w:w="1977"/>
        <w:gridCol w:w="61"/>
        <w:gridCol w:w="8"/>
        <w:gridCol w:w="2546"/>
        <w:gridCol w:w="12"/>
        <w:gridCol w:w="3230"/>
        <w:gridCol w:w="8"/>
      </w:tblGrid>
      <w:tr w:rsidR="00173725" w:rsidRPr="00C83C87" w14:paraId="72275110" w14:textId="77777777" w:rsidTr="002F78B0">
        <w:trPr>
          <w:gridAfter w:val="6"/>
          <w:wAfter w:w="1433" w:type="pct"/>
          <w:tblHeader/>
        </w:trPr>
        <w:tc>
          <w:tcPr>
            <w:tcW w:w="578" w:type="pct"/>
            <w:tcBorders>
              <w:left w:val="single" w:sz="4" w:space="0" w:color="auto"/>
              <w:bottom w:val="single" w:sz="4" w:space="0" w:color="auto"/>
              <w:right w:val="nil"/>
            </w:tcBorders>
            <w:shd w:val="clear" w:color="auto" w:fill="CBDAED"/>
          </w:tcPr>
          <w:p w14:paraId="017432B2" w14:textId="77777777" w:rsidR="00394ECE" w:rsidRPr="000F3EE0" w:rsidRDefault="00394ECE" w:rsidP="00020B14">
            <w:pPr>
              <w:tabs>
                <w:tab w:val="left" w:pos="0"/>
              </w:tabs>
              <w:spacing w:before="240"/>
              <w:ind w:left="-96"/>
              <w:jc w:val="center"/>
              <w:rPr>
                <w:rFonts w:ascii="Verdana" w:hAnsi="Verdana"/>
                <w:b/>
                <w:sz w:val="20"/>
                <w:szCs w:val="20"/>
                <w:lang w:val="es-ES"/>
              </w:rPr>
            </w:pPr>
          </w:p>
        </w:tc>
        <w:tc>
          <w:tcPr>
            <w:tcW w:w="486" w:type="pct"/>
            <w:tcBorders>
              <w:left w:val="nil"/>
              <w:bottom w:val="single" w:sz="4" w:space="0" w:color="auto"/>
              <w:right w:val="nil"/>
            </w:tcBorders>
            <w:shd w:val="clear" w:color="auto" w:fill="CBDAED"/>
          </w:tcPr>
          <w:p w14:paraId="61C999A6" w14:textId="77777777" w:rsidR="00394ECE" w:rsidRPr="00C83C87" w:rsidRDefault="00394ECE" w:rsidP="00020B14">
            <w:pPr>
              <w:tabs>
                <w:tab w:val="left" w:pos="0"/>
              </w:tabs>
              <w:spacing w:before="240"/>
              <w:ind w:left="-96"/>
              <w:jc w:val="center"/>
              <w:rPr>
                <w:rFonts w:ascii="Verdana" w:hAnsi="Verdana"/>
                <w:b/>
                <w:color w:val="000000"/>
                <w:sz w:val="20"/>
                <w:szCs w:val="20"/>
                <w:lang w:val="en-GB"/>
              </w:rPr>
            </w:pPr>
          </w:p>
        </w:tc>
        <w:tc>
          <w:tcPr>
            <w:tcW w:w="2020" w:type="pct"/>
            <w:gridSpan w:val="2"/>
            <w:tcBorders>
              <w:left w:val="nil"/>
              <w:bottom w:val="single" w:sz="4" w:space="0" w:color="auto"/>
              <w:right w:val="nil"/>
            </w:tcBorders>
            <w:shd w:val="clear" w:color="auto" w:fill="CBDAED"/>
          </w:tcPr>
          <w:p w14:paraId="0E185DFC" w14:textId="77777777" w:rsidR="00394ECE" w:rsidRPr="00C83C87" w:rsidRDefault="00394ECE" w:rsidP="00020B14">
            <w:pPr>
              <w:tabs>
                <w:tab w:val="left" w:pos="0"/>
              </w:tabs>
              <w:spacing w:before="240"/>
              <w:ind w:left="-96"/>
              <w:jc w:val="center"/>
              <w:rPr>
                <w:rFonts w:ascii="Verdana" w:hAnsi="Verdana"/>
                <w:b/>
                <w:color w:val="000000"/>
                <w:sz w:val="20"/>
                <w:szCs w:val="20"/>
                <w:lang w:val="en-GB"/>
              </w:rPr>
            </w:pPr>
            <w:r w:rsidRPr="00C83C87">
              <w:rPr>
                <w:rFonts w:ascii="Verdana" w:hAnsi="Verdana"/>
                <w:b/>
                <w:color w:val="000000"/>
                <w:sz w:val="20"/>
                <w:szCs w:val="20"/>
                <w:lang w:val="en-GB"/>
              </w:rPr>
              <w:t xml:space="preserve">Comments Template on </w:t>
            </w:r>
          </w:p>
          <w:p w14:paraId="57DA41F8" w14:textId="7E2BDB48" w:rsidR="00394ECE" w:rsidRDefault="00394ECE" w:rsidP="00020B14">
            <w:pPr>
              <w:tabs>
                <w:tab w:val="left" w:pos="0"/>
              </w:tabs>
              <w:ind w:left="-96"/>
              <w:jc w:val="center"/>
              <w:rPr>
                <w:rFonts w:ascii="Verdana" w:hAnsi="Verdana"/>
                <w:b/>
                <w:color w:val="000000"/>
                <w:sz w:val="20"/>
                <w:szCs w:val="20"/>
                <w:lang w:val="en-GB"/>
              </w:rPr>
            </w:pPr>
            <w:r w:rsidRPr="00C83C87">
              <w:rPr>
                <w:rFonts w:ascii="Verdana" w:hAnsi="Verdana"/>
                <w:b/>
                <w:color w:val="000000"/>
                <w:sz w:val="20"/>
                <w:szCs w:val="20"/>
                <w:lang w:val="en-GB"/>
              </w:rPr>
              <w:t xml:space="preserve">Consultation Paper on EIOPA’s </w:t>
            </w:r>
            <w:r w:rsidR="00A331DB">
              <w:rPr>
                <w:rFonts w:ascii="Verdana" w:hAnsi="Verdana"/>
                <w:b/>
                <w:color w:val="000000"/>
                <w:sz w:val="20"/>
                <w:szCs w:val="20"/>
                <w:lang w:val="en-GB"/>
              </w:rPr>
              <w:t>Opinion</w:t>
            </w:r>
            <w:r>
              <w:rPr>
                <w:rFonts w:ascii="Verdana" w:hAnsi="Verdana"/>
                <w:b/>
                <w:color w:val="000000"/>
                <w:sz w:val="20"/>
                <w:szCs w:val="20"/>
                <w:lang w:val="en-GB"/>
              </w:rPr>
              <w:t xml:space="preserve"> </w:t>
            </w:r>
            <w:r w:rsidR="00A331DB">
              <w:rPr>
                <w:rFonts w:ascii="Verdana" w:hAnsi="Verdana"/>
                <w:b/>
                <w:color w:val="000000"/>
                <w:sz w:val="20"/>
                <w:szCs w:val="20"/>
                <w:lang w:val="en-GB"/>
              </w:rPr>
              <w:t xml:space="preserve">on the </w:t>
            </w:r>
            <w:r>
              <w:rPr>
                <w:rFonts w:ascii="Verdana" w:hAnsi="Verdana"/>
                <w:b/>
                <w:color w:val="000000"/>
                <w:sz w:val="20"/>
                <w:szCs w:val="20"/>
                <w:lang w:val="en-GB"/>
              </w:rPr>
              <w:t>2020 review</w:t>
            </w:r>
            <w:r w:rsidRPr="00C83C87">
              <w:rPr>
                <w:rFonts w:ascii="Verdana" w:hAnsi="Verdana"/>
                <w:b/>
                <w:color w:val="000000"/>
                <w:sz w:val="20"/>
                <w:szCs w:val="20"/>
                <w:lang w:val="en-GB"/>
              </w:rPr>
              <w:t xml:space="preserve"> </w:t>
            </w:r>
            <w:r w:rsidR="00A331DB">
              <w:rPr>
                <w:rFonts w:ascii="Verdana" w:hAnsi="Verdana"/>
                <w:b/>
                <w:color w:val="000000"/>
                <w:sz w:val="20"/>
                <w:szCs w:val="20"/>
                <w:lang w:val="en-GB"/>
              </w:rPr>
              <w:t>of Solvency II</w:t>
            </w:r>
          </w:p>
          <w:p w14:paraId="6B21B47D" w14:textId="2375A6D3" w:rsidR="00394ECE" w:rsidRPr="00C83C87" w:rsidRDefault="00394ECE" w:rsidP="00020B14">
            <w:pPr>
              <w:tabs>
                <w:tab w:val="left" w:pos="0"/>
              </w:tabs>
              <w:ind w:left="-96"/>
              <w:jc w:val="center"/>
              <w:rPr>
                <w:rFonts w:ascii="Verdana" w:hAnsi="Verdana"/>
                <w:b/>
                <w:color w:val="000000"/>
                <w:sz w:val="20"/>
                <w:szCs w:val="20"/>
                <w:lang w:val="en-GB"/>
              </w:rPr>
            </w:pPr>
          </w:p>
        </w:tc>
        <w:tc>
          <w:tcPr>
            <w:tcW w:w="483" w:type="pct"/>
            <w:tcBorders>
              <w:left w:val="nil"/>
              <w:bottom w:val="single" w:sz="4" w:space="0" w:color="auto"/>
            </w:tcBorders>
            <w:shd w:val="clear" w:color="auto" w:fill="CBDAED"/>
          </w:tcPr>
          <w:p w14:paraId="071600BF" w14:textId="77777777" w:rsidR="00394ECE" w:rsidRPr="00C83C87" w:rsidRDefault="00394ECE" w:rsidP="00020B14">
            <w:pPr>
              <w:tabs>
                <w:tab w:val="left" w:pos="0"/>
              </w:tabs>
              <w:spacing w:before="100" w:beforeAutospacing="1" w:after="100" w:afterAutospacing="1"/>
              <w:ind w:left="-96"/>
              <w:jc w:val="center"/>
              <w:rPr>
                <w:rFonts w:ascii="Verdana" w:hAnsi="Verdana"/>
                <w:b/>
                <w:color w:val="000000"/>
                <w:sz w:val="20"/>
                <w:szCs w:val="20"/>
                <w:lang w:val="en-GB"/>
              </w:rPr>
            </w:pPr>
            <w:r w:rsidRPr="00C83C87">
              <w:rPr>
                <w:rFonts w:ascii="Verdana" w:hAnsi="Verdana"/>
                <w:b/>
                <w:color w:val="000000"/>
                <w:sz w:val="20"/>
                <w:szCs w:val="20"/>
                <w:lang w:val="en-GB"/>
              </w:rPr>
              <w:t>Deadline</w:t>
            </w:r>
            <w:r w:rsidRPr="00C83C87">
              <w:rPr>
                <w:rFonts w:ascii="Verdana" w:hAnsi="Verdana"/>
                <w:b/>
                <w:color w:val="000000"/>
                <w:sz w:val="20"/>
                <w:szCs w:val="20"/>
                <w:lang w:val="en-GB"/>
              </w:rPr>
              <w:br/>
            </w:r>
            <w:r>
              <w:rPr>
                <w:rFonts w:ascii="Verdana" w:hAnsi="Verdana"/>
                <w:b/>
                <w:color w:val="000000"/>
                <w:sz w:val="20"/>
                <w:szCs w:val="20"/>
                <w:lang w:val="en-GB"/>
              </w:rPr>
              <w:t>1</w:t>
            </w:r>
            <w:r w:rsidR="004328E9">
              <w:rPr>
                <w:rFonts w:ascii="Verdana" w:hAnsi="Verdana"/>
                <w:b/>
                <w:color w:val="000000"/>
                <w:sz w:val="20"/>
                <w:szCs w:val="20"/>
                <w:lang w:val="en-GB"/>
              </w:rPr>
              <w:t>5</w:t>
            </w:r>
            <w:r w:rsidRPr="00C83C87">
              <w:rPr>
                <w:rFonts w:ascii="Verdana" w:hAnsi="Verdana"/>
                <w:b/>
                <w:color w:val="000000"/>
                <w:sz w:val="20"/>
                <w:szCs w:val="20"/>
                <w:lang w:val="en-GB"/>
              </w:rPr>
              <w:t xml:space="preserve"> </w:t>
            </w:r>
            <w:r w:rsidR="004328E9">
              <w:rPr>
                <w:rFonts w:ascii="Verdana" w:hAnsi="Verdana"/>
                <w:b/>
                <w:color w:val="000000"/>
                <w:sz w:val="20"/>
                <w:szCs w:val="20"/>
                <w:lang w:val="en-GB"/>
              </w:rPr>
              <w:t>January</w:t>
            </w:r>
            <w:r>
              <w:rPr>
                <w:rFonts w:ascii="Verdana" w:hAnsi="Verdana"/>
                <w:b/>
                <w:color w:val="000000"/>
                <w:sz w:val="20"/>
                <w:szCs w:val="20"/>
                <w:lang w:val="en-GB"/>
              </w:rPr>
              <w:t xml:space="preserve"> 20</w:t>
            </w:r>
            <w:r w:rsidR="004328E9">
              <w:rPr>
                <w:rFonts w:ascii="Verdana" w:hAnsi="Verdana"/>
                <w:b/>
                <w:color w:val="000000"/>
                <w:sz w:val="20"/>
                <w:szCs w:val="20"/>
                <w:lang w:val="en-GB"/>
              </w:rPr>
              <w:t>20</w:t>
            </w:r>
            <w:r w:rsidRPr="00C83C87">
              <w:rPr>
                <w:rFonts w:ascii="Verdana" w:hAnsi="Verdana"/>
                <w:b/>
                <w:color w:val="000000"/>
                <w:sz w:val="20"/>
                <w:szCs w:val="20"/>
                <w:lang w:val="en-GB"/>
              </w:rPr>
              <w:t xml:space="preserve"> </w:t>
            </w:r>
            <w:r w:rsidRPr="00C83C87">
              <w:rPr>
                <w:rFonts w:ascii="Verdana" w:hAnsi="Verdana"/>
                <w:b/>
                <w:color w:val="000000"/>
                <w:sz w:val="20"/>
                <w:szCs w:val="20"/>
                <w:lang w:val="en-GB"/>
              </w:rPr>
              <w:br/>
              <w:t>23:59 CET</w:t>
            </w:r>
          </w:p>
        </w:tc>
      </w:tr>
      <w:tr w:rsidR="00173725" w:rsidRPr="00C83C87" w14:paraId="18D65242" w14:textId="77777777" w:rsidTr="002F78B0">
        <w:trPr>
          <w:gridAfter w:val="6"/>
          <w:wAfter w:w="1433" w:type="pct"/>
        </w:trPr>
        <w:tc>
          <w:tcPr>
            <w:tcW w:w="578" w:type="pct"/>
            <w:tcBorders>
              <w:left w:val="single" w:sz="4" w:space="0" w:color="auto"/>
              <w:bottom w:val="single" w:sz="4" w:space="0" w:color="auto"/>
              <w:right w:val="single" w:sz="4" w:space="0" w:color="auto"/>
            </w:tcBorders>
            <w:shd w:val="clear" w:color="auto" w:fill="CBDAED"/>
          </w:tcPr>
          <w:p w14:paraId="695DBD0F" w14:textId="77777777" w:rsidR="00394ECE" w:rsidRPr="00C83C87" w:rsidRDefault="00394ECE" w:rsidP="00020B14">
            <w:pPr>
              <w:tabs>
                <w:tab w:val="left" w:pos="0"/>
              </w:tabs>
              <w:spacing w:before="120"/>
              <w:rPr>
                <w:rFonts w:ascii="Verdana" w:hAnsi="Verdana"/>
                <w:color w:val="000000"/>
                <w:sz w:val="20"/>
                <w:szCs w:val="20"/>
                <w:lang w:val="en-GB"/>
              </w:rPr>
            </w:pPr>
            <w:r w:rsidRPr="00C83C87">
              <w:rPr>
                <w:rFonts w:ascii="Verdana" w:hAnsi="Verdana"/>
                <w:color w:val="000000"/>
                <w:sz w:val="20"/>
                <w:szCs w:val="20"/>
                <w:lang w:val="en-GB"/>
              </w:rPr>
              <w:t>Name of Company:</w:t>
            </w:r>
          </w:p>
        </w:tc>
        <w:tc>
          <w:tcPr>
            <w:tcW w:w="486" w:type="pct"/>
            <w:tcBorders>
              <w:left w:val="single" w:sz="4" w:space="0" w:color="auto"/>
              <w:bottom w:val="single" w:sz="4" w:space="0" w:color="auto"/>
              <w:right w:val="single" w:sz="4" w:space="0" w:color="auto"/>
            </w:tcBorders>
            <w:shd w:val="clear" w:color="auto" w:fill="CBDAED"/>
          </w:tcPr>
          <w:p w14:paraId="4C2AD82B" w14:textId="77777777" w:rsidR="00394ECE" w:rsidRPr="00C83C87" w:rsidRDefault="00394ECE" w:rsidP="00020B14">
            <w:pPr>
              <w:tabs>
                <w:tab w:val="left" w:pos="0"/>
              </w:tabs>
              <w:spacing w:before="120"/>
              <w:ind w:left="-96"/>
              <w:rPr>
                <w:rFonts w:ascii="Verdana" w:hAnsi="Verdana"/>
                <w:color w:val="000000"/>
                <w:sz w:val="20"/>
                <w:szCs w:val="20"/>
                <w:lang w:val="en-GB"/>
              </w:rPr>
            </w:pPr>
          </w:p>
        </w:tc>
        <w:tc>
          <w:tcPr>
            <w:tcW w:w="2020" w:type="pct"/>
            <w:gridSpan w:val="2"/>
            <w:tcBorders>
              <w:left w:val="single" w:sz="4" w:space="0" w:color="auto"/>
              <w:bottom w:val="single" w:sz="4" w:space="0" w:color="auto"/>
              <w:right w:val="nil"/>
            </w:tcBorders>
            <w:shd w:val="clear" w:color="auto" w:fill="CBDAED"/>
          </w:tcPr>
          <w:p w14:paraId="22B3BCCB" w14:textId="77777777" w:rsidR="00394ECE" w:rsidRPr="00067C6C" w:rsidRDefault="00171CB3" w:rsidP="00020B14">
            <w:pPr>
              <w:tabs>
                <w:tab w:val="left" w:pos="0"/>
              </w:tabs>
              <w:spacing w:before="120"/>
              <w:rPr>
                <w:rFonts w:ascii="Verdana" w:hAnsi="Verdana"/>
                <w:b/>
                <w:bCs/>
                <w:color w:val="000000"/>
                <w:sz w:val="20"/>
                <w:szCs w:val="20"/>
                <w:lang w:val="en-GB"/>
              </w:rPr>
            </w:pPr>
            <w:r w:rsidRPr="00067C6C">
              <w:rPr>
                <w:rFonts w:ascii="Verdana" w:hAnsi="Verdana"/>
                <w:b/>
                <w:bCs/>
                <w:color w:val="000000"/>
                <w:sz w:val="20"/>
                <w:szCs w:val="20"/>
                <w:lang w:val="en-GB"/>
              </w:rPr>
              <w:t>AMICE</w:t>
            </w:r>
          </w:p>
        </w:tc>
        <w:tc>
          <w:tcPr>
            <w:tcW w:w="483" w:type="pct"/>
            <w:tcBorders>
              <w:left w:val="nil"/>
              <w:bottom w:val="single" w:sz="4" w:space="0" w:color="auto"/>
            </w:tcBorders>
            <w:shd w:val="clear" w:color="auto" w:fill="CBDAED"/>
          </w:tcPr>
          <w:p w14:paraId="645E830C" w14:textId="77777777" w:rsidR="00394ECE" w:rsidRPr="00C83C87" w:rsidRDefault="00394ECE" w:rsidP="00020B14">
            <w:pPr>
              <w:tabs>
                <w:tab w:val="left" w:pos="0"/>
              </w:tabs>
              <w:spacing w:before="120"/>
              <w:ind w:left="-96"/>
              <w:jc w:val="both"/>
              <w:rPr>
                <w:rFonts w:ascii="Verdana" w:hAnsi="Verdana"/>
                <w:bCs/>
                <w:color w:val="000000"/>
                <w:sz w:val="20"/>
                <w:szCs w:val="20"/>
                <w:lang w:val="en-GB"/>
              </w:rPr>
            </w:pPr>
          </w:p>
        </w:tc>
      </w:tr>
      <w:tr w:rsidR="00173725" w:rsidRPr="00C83C87" w14:paraId="111A55B7" w14:textId="77777777" w:rsidTr="002F78B0">
        <w:trPr>
          <w:gridAfter w:val="6"/>
          <w:wAfter w:w="1433" w:type="pct"/>
        </w:trPr>
        <w:tc>
          <w:tcPr>
            <w:tcW w:w="578" w:type="pct"/>
            <w:tcBorders>
              <w:left w:val="single" w:sz="4" w:space="0" w:color="auto"/>
              <w:bottom w:val="single" w:sz="4" w:space="0" w:color="auto"/>
              <w:right w:val="single" w:sz="4" w:space="0" w:color="auto"/>
            </w:tcBorders>
            <w:shd w:val="clear" w:color="auto" w:fill="auto"/>
          </w:tcPr>
          <w:p w14:paraId="711E5ADB" w14:textId="77777777" w:rsidR="00394ECE" w:rsidRPr="00C83C87" w:rsidRDefault="00394ECE" w:rsidP="00020B14">
            <w:pPr>
              <w:tabs>
                <w:tab w:val="left" w:pos="0"/>
              </w:tabs>
              <w:spacing w:before="120"/>
              <w:jc w:val="both"/>
              <w:rPr>
                <w:rFonts w:ascii="Verdana" w:hAnsi="Verdana"/>
                <w:bCs/>
                <w:sz w:val="20"/>
                <w:szCs w:val="20"/>
                <w:lang w:val="en-GB"/>
              </w:rPr>
            </w:pPr>
            <w:r w:rsidRPr="00C83C87">
              <w:rPr>
                <w:rFonts w:ascii="Verdana" w:hAnsi="Verdana"/>
                <w:bCs/>
                <w:sz w:val="20"/>
                <w:szCs w:val="20"/>
                <w:lang w:val="en-GB"/>
              </w:rPr>
              <w:t>Disclosure of comments:</w:t>
            </w:r>
          </w:p>
        </w:tc>
        <w:tc>
          <w:tcPr>
            <w:tcW w:w="486" w:type="pct"/>
            <w:tcBorders>
              <w:left w:val="single" w:sz="4" w:space="0" w:color="auto"/>
              <w:bottom w:val="single" w:sz="4" w:space="0" w:color="auto"/>
              <w:right w:val="single" w:sz="4" w:space="0" w:color="auto"/>
            </w:tcBorders>
          </w:tcPr>
          <w:p w14:paraId="34907C32" w14:textId="77777777" w:rsidR="00394ECE" w:rsidRPr="00C83C87" w:rsidRDefault="00394ECE" w:rsidP="00020B14">
            <w:pPr>
              <w:tabs>
                <w:tab w:val="left" w:pos="0"/>
              </w:tabs>
              <w:spacing w:before="120"/>
              <w:ind w:left="-96"/>
              <w:jc w:val="both"/>
              <w:rPr>
                <w:rFonts w:ascii="Verdana" w:hAnsi="Verdana"/>
                <w:sz w:val="20"/>
                <w:szCs w:val="20"/>
                <w:lang w:val="en-GB"/>
              </w:rPr>
            </w:pPr>
          </w:p>
        </w:tc>
        <w:tc>
          <w:tcPr>
            <w:tcW w:w="2020" w:type="pct"/>
            <w:gridSpan w:val="2"/>
            <w:tcBorders>
              <w:left w:val="single" w:sz="4" w:space="0" w:color="auto"/>
              <w:bottom w:val="single" w:sz="4" w:space="0" w:color="auto"/>
              <w:right w:val="single" w:sz="4" w:space="0" w:color="auto"/>
            </w:tcBorders>
            <w:shd w:val="clear" w:color="auto" w:fill="auto"/>
          </w:tcPr>
          <w:p w14:paraId="25F94EBA" w14:textId="77777777" w:rsidR="00394ECE" w:rsidRPr="00C83C87" w:rsidRDefault="00394ECE" w:rsidP="00020B14">
            <w:pPr>
              <w:tabs>
                <w:tab w:val="left" w:pos="0"/>
              </w:tabs>
              <w:spacing w:before="120"/>
              <w:jc w:val="both"/>
              <w:rPr>
                <w:rFonts w:ascii="Verdana" w:hAnsi="Verdana"/>
                <w:color w:val="000000"/>
                <w:sz w:val="20"/>
                <w:szCs w:val="20"/>
                <w:highlight w:val="yellow"/>
                <w:lang w:val="en-GB"/>
              </w:rPr>
            </w:pPr>
            <w:r w:rsidRPr="00C83C87">
              <w:rPr>
                <w:rFonts w:ascii="Verdana" w:hAnsi="Verdana"/>
                <w:sz w:val="20"/>
                <w:szCs w:val="20"/>
                <w:lang w:val="en-GB"/>
              </w:rPr>
              <w:t>Please indicate if your comments should be treated as confidential:</w:t>
            </w:r>
          </w:p>
        </w:tc>
        <w:tc>
          <w:tcPr>
            <w:tcW w:w="483" w:type="pct"/>
            <w:tcBorders>
              <w:left w:val="single" w:sz="4" w:space="0" w:color="auto"/>
              <w:bottom w:val="single" w:sz="4" w:space="0" w:color="auto"/>
            </w:tcBorders>
            <w:shd w:val="clear" w:color="auto" w:fill="auto"/>
          </w:tcPr>
          <w:p w14:paraId="684DF0C3" w14:textId="77777777" w:rsidR="00394ECE" w:rsidRPr="00C83C87" w:rsidRDefault="00394ECE" w:rsidP="00020B14">
            <w:pPr>
              <w:tabs>
                <w:tab w:val="left" w:pos="0"/>
              </w:tabs>
              <w:spacing w:before="120"/>
              <w:ind w:left="-96"/>
              <w:jc w:val="both"/>
              <w:rPr>
                <w:rFonts w:ascii="Verdana" w:hAnsi="Verdana"/>
                <w:sz w:val="20"/>
                <w:szCs w:val="20"/>
                <w:lang w:val="en-GB"/>
              </w:rPr>
            </w:pPr>
            <w:r w:rsidRPr="00C83C87">
              <w:rPr>
                <w:rFonts w:ascii="Verdana" w:hAnsi="Verdana"/>
                <w:sz w:val="20"/>
                <w:szCs w:val="20"/>
                <w:lang w:val="en-GB"/>
              </w:rPr>
              <w:t>Confidential/Public</w:t>
            </w:r>
          </w:p>
        </w:tc>
      </w:tr>
      <w:tr w:rsidR="00173725" w:rsidRPr="001360A5" w14:paraId="1BE0AF16" w14:textId="77777777" w:rsidTr="002F78B0">
        <w:trPr>
          <w:gridAfter w:val="6"/>
          <w:wAfter w:w="1433" w:type="pct"/>
        </w:trPr>
        <w:tc>
          <w:tcPr>
            <w:tcW w:w="578" w:type="pct"/>
            <w:tcBorders>
              <w:left w:val="single" w:sz="4" w:space="0" w:color="auto"/>
              <w:bottom w:val="single" w:sz="4" w:space="0" w:color="auto"/>
              <w:right w:val="nil"/>
            </w:tcBorders>
            <w:shd w:val="clear" w:color="auto" w:fill="auto"/>
          </w:tcPr>
          <w:p w14:paraId="3A56FE09" w14:textId="77777777" w:rsidR="00394ECE" w:rsidRPr="00C83C87" w:rsidRDefault="00394ECE" w:rsidP="00020B14">
            <w:pPr>
              <w:tabs>
                <w:tab w:val="left" w:pos="0"/>
              </w:tabs>
              <w:spacing w:before="120"/>
              <w:ind w:left="-96"/>
              <w:jc w:val="both"/>
              <w:rPr>
                <w:rFonts w:ascii="Verdana" w:hAnsi="Verdana"/>
                <w:bCs/>
                <w:sz w:val="20"/>
                <w:szCs w:val="20"/>
                <w:lang w:val="en-GB"/>
              </w:rPr>
            </w:pPr>
          </w:p>
        </w:tc>
        <w:tc>
          <w:tcPr>
            <w:tcW w:w="486" w:type="pct"/>
            <w:tcBorders>
              <w:left w:val="nil"/>
              <w:bottom w:val="single" w:sz="4" w:space="0" w:color="auto"/>
              <w:right w:val="nil"/>
            </w:tcBorders>
          </w:tcPr>
          <w:p w14:paraId="365C6DB8" w14:textId="77777777" w:rsidR="00394ECE" w:rsidRPr="00C83C87" w:rsidRDefault="00394ECE" w:rsidP="00020B14">
            <w:pPr>
              <w:tabs>
                <w:tab w:val="left" w:pos="0"/>
              </w:tabs>
              <w:spacing w:before="120"/>
              <w:ind w:left="-96"/>
              <w:jc w:val="both"/>
              <w:rPr>
                <w:rFonts w:ascii="Verdana" w:hAnsi="Verdana"/>
                <w:color w:val="000000"/>
                <w:sz w:val="20"/>
                <w:szCs w:val="20"/>
                <w:lang w:val="en-GB"/>
              </w:rPr>
            </w:pPr>
          </w:p>
        </w:tc>
        <w:tc>
          <w:tcPr>
            <w:tcW w:w="2020" w:type="pct"/>
            <w:gridSpan w:val="2"/>
            <w:tcBorders>
              <w:left w:val="nil"/>
              <w:bottom w:val="single" w:sz="4" w:space="0" w:color="auto"/>
              <w:right w:val="nil"/>
            </w:tcBorders>
            <w:shd w:val="clear" w:color="auto" w:fill="auto"/>
          </w:tcPr>
          <w:p w14:paraId="12EA0C81" w14:textId="77777777" w:rsidR="00394ECE" w:rsidRPr="00C83C87" w:rsidRDefault="00394ECE" w:rsidP="00020B14">
            <w:pPr>
              <w:tabs>
                <w:tab w:val="left" w:pos="0"/>
              </w:tabs>
              <w:spacing w:before="120"/>
              <w:jc w:val="both"/>
              <w:rPr>
                <w:rFonts w:ascii="Verdana" w:hAnsi="Verdana"/>
                <w:color w:val="000000"/>
                <w:sz w:val="20"/>
                <w:szCs w:val="20"/>
                <w:lang w:val="en-GB"/>
              </w:rPr>
            </w:pPr>
            <w:r w:rsidRPr="00C83C87">
              <w:rPr>
                <w:rFonts w:ascii="Verdana" w:hAnsi="Verdana"/>
                <w:color w:val="000000"/>
                <w:sz w:val="20"/>
                <w:szCs w:val="20"/>
                <w:lang w:val="en-GB"/>
              </w:rPr>
              <w:t xml:space="preserve">Please follow the following instructions for filling in the template: </w:t>
            </w:r>
          </w:p>
          <w:p w14:paraId="37EE707A" w14:textId="77777777" w:rsidR="00394ECE" w:rsidRPr="00C83C87" w:rsidRDefault="00394ECE" w:rsidP="00020B14">
            <w:pPr>
              <w:numPr>
                <w:ilvl w:val="0"/>
                <w:numId w:val="6"/>
              </w:numPr>
              <w:tabs>
                <w:tab w:val="left" w:pos="0"/>
              </w:tabs>
              <w:spacing w:before="120"/>
              <w:ind w:left="0"/>
              <w:jc w:val="both"/>
              <w:rPr>
                <w:rFonts w:ascii="Verdana" w:hAnsi="Verdana"/>
                <w:color w:val="000000"/>
                <w:sz w:val="20"/>
                <w:szCs w:val="20"/>
                <w:lang w:val="en-GB"/>
              </w:rPr>
            </w:pPr>
            <w:r w:rsidRPr="00C83C87">
              <w:rPr>
                <w:rFonts w:ascii="Verdana" w:hAnsi="Verdana"/>
                <w:color w:val="000000"/>
                <w:sz w:val="20"/>
                <w:szCs w:val="20"/>
                <w:u w:val="single"/>
                <w:lang w:val="en-GB"/>
              </w:rPr>
              <w:t xml:space="preserve">Do </w:t>
            </w:r>
            <w:r w:rsidRPr="00C83C87">
              <w:rPr>
                <w:rFonts w:ascii="Verdana" w:hAnsi="Verdana"/>
                <w:b/>
                <w:color w:val="000000"/>
                <w:sz w:val="20"/>
                <w:szCs w:val="20"/>
                <w:u w:val="single"/>
                <w:lang w:val="en-GB"/>
              </w:rPr>
              <w:t>not</w:t>
            </w:r>
            <w:r w:rsidRPr="00C83C87">
              <w:rPr>
                <w:rFonts w:ascii="Verdana" w:hAnsi="Verdana"/>
                <w:color w:val="000000"/>
                <w:sz w:val="20"/>
                <w:szCs w:val="20"/>
                <w:u w:val="single"/>
                <w:lang w:val="en-GB"/>
              </w:rPr>
              <w:t xml:space="preserve"> change the numbering</w:t>
            </w:r>
            <w:r w:rsidRPr="00C83C87">
              <w:rPr>
                <w:rFonts w:ascii="Verdana" w:hAnsi="Verdana"/>
                <w:color w:val="000000"/>
                <w:sz w:val="20"/>
                <w:szCs w:val="20"/>
                <w:lang w:val="en-GB"/>
              </w:rPr>
              <w:t xml:space="preserve"> in the column “reference”; if you change numbering, your comment cannot be processed by our IT tool</w:t>
            </w:r>
          </w:p>
          <w:p w14:paraId="515DDA53" w14:textId="77777777" w:rsidR="00394ECE" w:rsidRPr="00C83C87" w:rsidRDefault="00394ECE" w:rsidP="00020B14">
            <w:pPr>
              <w:numPr>
                <w:ilvl w:val="0"/>
                <w:numId w:val="6"/>
              </w:numPr>
              <w:tabs>
                <w:tab w:val="left" w:pos="0"/>
              </w:tabs>
              <w:spacing w:before="120"/>
              <w:ind w:left="0"/>
              <w:jc w:val="both"/>
              <w:rPr>
                <w:rFonts w:ascii="Verdana" w:hAnsi="Verdana"/>
                <w:color w:val="000000"/>
                <w:sz w:val="20"/>
                <w:szCs w:val="20"/>
                <w:lang w:val="en-GB"/>
              </w:rPr>
            </w:pPr>
            <w:r w:rsidRPr="00C83C87">
              <w:rPr>
                <w:rFonts w:ascii="Verdana" w:hAnsi="Verdana"/>
                <w:color w:val="000000"/>
                <w:sz w:val="20"/>
                <w:szCs w:val="20"/>
                <w:lang w:val="en-GB"/>
              </w:rPr>
              <w:t xml:space="preserve">Leave the last column </w:t>
            </w:r>
            <w:r w:rsidRPr="00C83C87">
              <w:rPr>
                <w:rFonts w:ascii="Verdana" w:hAnsi="Verdana"/>
                <w:color w:val="000000"/>
                <w:sz w:val="20"/>
                <w:szCs w:val="20"/>
                <w:u w:val="single"/>
                <w:lang w:val="en-GB"/>
              </w:rPr>
              <w:t>empty</w:t>
            </w:r>
            <w:r w:rsidRPr="00C83C87">
              <w:rPr>
                <w:rFonts w:ascii="Verdana" w:hAnsi="Verdana"/>
                <w:color w:val="000000"/>
                <w:sz w:val="20"/>
                <w:szCs w:val="20"/>
                <w:lang w:val="en-GB"/>
              </w:rPr>
              <w:t>.</w:t>
            </w:r>
          </w:p>
          <w:p w14:paraId="188D9279" w14:textId="77777777" w:rsidR="00394ECE" w:rsidRPr="00C83C87" w:rsidRDefault="00394ECE" w:rsidP="00020B14">
            <w:pPr>
              <w:numPr>
                <w:ilvl w:val="0"/>
                <w:numId w:val="6"/>
              </w:numPr>
              <w:tabs>
                <w:tab w:val="left" w:pos="0"/>
              </w:tabs>
              <w:spacing w:before="120"/>
              <w:ind w:left="0"/>
              <w:jc w:val="both"/>
              <w:rPr>
                <w:rFonts w:ascii="Verdana" w:hAnsi="Verdana"/>
                <w:color w:val="000000"/>
                <w:sz w:val="20"/>
                <w:szCs w:val="20"/>
                <w:lang w:val="en-GB"/>
              </w:rPr>
            </w:pPr>
            <w:r w:rsidRPr="00C83C87">
              <w:rPr>
                <w:rFonts w:ascii="Verdana" w:hAnsi="Verdana"/>
                <w:color w:val="000000"/>
                <w:sz w:val="20"/>
                <w:szCs w:val="20"/>
                <w:lang w:val="en-GB"/>
              </w:rPr>
              <w:t xml:space="preserve">Please fill in your comment in the relevant row. If you have </w:t>
            </w:r>
            <w:r w:rsidRPr="00C83C87">
              <w:rPr>
                <w:rFonts w:ascii="Verdana" w:hAnsi="Verdana"/>
                <w:color w:val="000000"/>
                <w:sz w:val="20"/>
                <w:szCs w:val="20"/>
                <w:u w:val="single"/>
                <w:lang w:val="en-GB"/>
              </w:rPr>
              <w:t>no comment</w:t>
            </w:r>
            <w:r w:rsidRPr="00C83C87">
              <w:rPr>
                <w:rFonts w:ascii="Verdana" w:hAnsi="Verdana"/>
                <w:color w:val="000000"/>
                <w:sz w:val="20"/>
                <w:szCs w:val="20"/>
                <w:lang w:val="en-GB"/>
              </w:rPr>
              <w:t xml:space="preserve"> on a paragraph or a cell, keep the row </w:t>
            </w:r>
            <w:r w:rsidRPr="00C83C87">
              <w:rPr>
                <w:rFonts w:ascii="Verdana" w:hAnsi="Verdana"/>
                <w:color w:val="000000"/>
                <w:sz w:val="20"/>
                <w:szCs w:val="20"/>
                <w:u w:val="single"/>
                <w:lang w:val="en-GB"/>
              </w:rPr>
              <w:t>empty</w:t>
            </w:r>
            <w:r w:rsidRPr="00C83C87">
              <w:rPr>
                <w:rFonts w:ascii="Verdana" w:hAnsi="Verdana"/>
                <w:color w:val="000000"/>
                <w:sz w:val="20"/>
                <w:szCs w:val="20"/>
                <w:lang w:val="en-GB"/>
              </w:rPr>
              <w:t xml:space="preserve">. </w:t>
            </w:r>
          </w:p>
          <w:p w14:paraId="0A38EA27" w14:textId="77777777" w:rsidR="00394ECE" w:rsidRPr="00C83C87" w:rsidRDefault="00394ECE" w:rsidP="00020B14">
            <w:pPr>
              <w:numPr>
                <w:ilvl w:val="0"/>
                <w:numId w:val="6"/>
              </w:numPr>
              <w:tabs>
                <w:tab w:val="left" w:pos="0"/>
              </w:tabs>
              <w:spacing w:before="120"/>
              <w:ind w:left="0"/>
              <w:jc w:val="both"/>
              <w:rPr>
                <w:rFonts w:ascii="Verdana" w:hAnsi="Verdana"/>
                <w:bCs/>
                <w:color w:val="000000"/>
                <w:sz w:val="20"/>
                <w:szCs w:val="20"/>
                <w:lang w:val="en-GB"/>
              </w:rPr>
            </w:pPr>
            <w:r w:rsidRPr="00C83C87">
              <w:rPr>
                <w:rFonts w:ascii="Verdana" w:hAnsi="Verdana"/>
                <w:color w:val="000000"/>
                <w:sz w:val="20"/>
                <w:szCs w:val="20"/>
                <w:lang w:val="en-GB"/>
              </w:rPr>
              <w:t xml:space="preserve">Our IT tool does not allow processing of comments which do not refer to the specific numbers below. </w:t>
            </w:r>
          </w:p>
          <w:p w14:paraId="447B8481" w14:textId="77777777" w:rsidR="00394ECE" w:rsidRPr="00C83C87" w:rsidRDefault="00394ECE" w:rsidP="00020B14">
            <w:pPr>
              <w:tabs>
                <w:tab w:val="left" w:pos="0"/>
              </w:tabs>
              <w:spacing w:before="120"/>
              <w:jc w:val="both"/>
              <w:rPr>
                <w:rFonts w:ascii="Verdana" w:hAnsi="Verdana"/>
                <w:b/>
                <w:color w:val="000000"/>
                <w:sz w:val="20"/>
                <w:szCs w:val="20"/>
                <w:lang w:val="en-GB"/>
              </w:rPr>
            </w:pPr>
            <w:r w:rsidRPr="00394ECE">
              <w:rPr>
                <w:rFonts w:ascii="Verdana" w:hAnsi="Verdana"/>
                <w:b/>
                <w:color w:val="000000"/>
                <w:sz w:val="20"/>
                <w:szCs w:val="20"/>
                <w:lang w:val="en-GB"/>
              </w:rPr>
              <w:t>Please send the completed template to CP-19-004@eiopa.europa.eu, in MSExcel Format, (our IT tool does not allow processing of any other formats).</w:t>
            </w:r>
            <w:r w:rsidRPr="00C83C87">
              <w:rPr>
                <w:rFonts w:ascii="Verdana" w:hAnsi="Verdana"/>
                <w:b/>
                <w:color w:val="000000"/>
                <w:sz w:val="20"/>
                <w:szCs w:val="20"/>
                <w:lang w:val="en-GB"/>
              </w:rPr>
              <w:t>Our IT tool does not allow processing of any other formats.</w:t>
            </w:r>
          </w:p>
          <w:p w14:paraId="51971464" w14:textId="77777777" w:rsidR="00394ECE" w:rsidRPr="00C83C87" w:rsidRDefault="00394ECE" w:rsidP="00020B14">
            <w:pPr>
              <w:tabs>
                <w:tab w:val="left" w:pos="0"/>
              </w:tabs>
              <w:spacing w:before="240"/>
              <w:rPr>
                <w:rFonts w:ascii="Verdana" w:hAnsi="Verdana"/>
                <w:b/>
                <w:sz w:val="20"/>
                <w:szCs w:val="20"/>
                <w:highlight w:val="yellow"/>
                <w:lang w:val="en-GB"/>
              </w:rPr>
            </w:pPr>
            <w:r w:rsidRPr="00C83C87">
              <w:rPr>
                <w:rFonts w:ascii="Verdana" w:hAnsi="Verdana"/>
                <w:b/>
                <w:bCs/>
                <w:sz w:val="20"/>
                <w:szCs w:val="20"/>
                <w:u w:val="single"/>
                <w:lang w:val="en-GB"/>
              </w:rPr>
              <w:t>The numbering of the reference refers to the sections</w:t>
            </w:r>
            <w:r w:rsidRPr="00C83C87">
              <w:rPr>
                <w:rFonts w:ascii="Verdana" w:hAnsi="Verdana"/>
                <w:bCs/>
                <w:sz w:val="20"/>
                <w:szCs w:val="20"/>
                <w:lang w:val="en-GB"/>
              </w:rPr>
              <w:t xml:space="preserve"> of the consultation paper on EIOPA’s second set of advice to the European Commission on specific items in the Solvency II Delegated Regulation. Please indicate to which paragraph(s) your comment refers to.</w:t>
            </w:r>
          </w:p>
        </w:tc>
        <w:tc>
          <w:tcPr>
            <w:tcW w:w="483" w:type="pct"/>
            <w:tcBorders>
              <w:left w:val="nil"/>
              <w:bottom w:val="single" w:sz="4" w:space="0" w:color="auto"/>
            </w:tcBorders>
            <w:shd w:val="clear" w:color="auto" w:fill="auto"/>
          </w:tcPr>
          <w:p w14:paraId="2BF61DC4" w14:textId="77777777" w:rsidR="00394ECE" w:rsidRPr="00C83C87" w:rsidRDefault="00394ECE" w:rsidP="00020B14">
            <w:pPr>
              <w:tabs>
                <w:tab w:val="left" w:pos="0"/>
              </w:tabs>
              <w:spacing w:before="120"/>
              <w:ind w:left="-96"/>
              <w:jc w:val="both"/>
              <w:rPr>
                <w:rFonts w:ascii="Verdana" w:hAnsi="Verdana"/>
                <w:bCs/>
                <w:color w:val="000000"/>
                <w:sz w:val="20"/>
                <w:szCs w:val="20"/>
                <w:lang w:val="en-GB"/>
              </w:rPr>
            </w:pPr>
          </w:p>
        </w:tc>
      </w:tr>
      <w:tr w:rsidR="00173725" w:rsidRPr="00C83C87" w14:paraId="12D04E53" w14:textId="77777777" w:rsidTr="002F78B0">
        <w:trPr>
          <w:gridAfter w:val="6"/>
          <w:wAfter w:w="1433" w:type="pct"/>
          <w:trHeight w:val="513"/>
        </w:trPr>
        <w:tc>
          <w:tcPr>
            <w:tcW w:w="578" w:type="pct"/>
          </w:tcPr>
          <w:p w14:paraId="15A9B264" w14:textId="77777777" w:rsidR="00394ECE" w:rsidRPr="00C83C87" w:rsidRDefault="00394ECE" w:rsidP="00020B14">
            <w:pPr>
              <w:tabs>
                <w:tab w:val="left" w:pos="0"/>
              </w:tabs>
              <w:spacing w:before="120" w:after="120"/>
              <w:ind w:left="-96" w:right="-108"/>
              <w:rPr>
                <w:rFonts w:ascii="Verdana" w:hAnsi="Verdana"/>
                <w:b/>
                <w:bCs/>
                <w:color w:val="000000"/>
                <w:sz w:val="20"/>
                <w:szCs w:val="20"/>
                <w:lang w:val="en-GB"/>
              </w:rPr>
            </w:pPr>
            <w:r w:rsidRPr="00C83C87">
              <w:rPr>
                <w:rFonts w:ascii="Verdana" w:hAnsi="Verdana"/>
                <w:b/>
                <w:bCs/>
                <w:color w:val="000000"/>
                <w:sz w:val="20"/>
                <w:szCs w:val="20"/>
                <w:lang w:val="en-GB"/>
              </w:rPr>
              <w:t>Reference</w:t>
            </w:r>
          </w:p>
        </w:tc>
        <w:tc>
          <w:tcPr>
            <w:tcW w:w="486" w:type="pct"/>
          </w:tcPr>
          <w:p w14:paraId="2A2D602D" w14:textId="77777777" w:rsidR="00394ECE" w:rsidRPr="00C83C87" w:rsidRDefault="00394ECE" w:rsidP="00020B14">
            <w:pPr>
              <w:tabs>
                <w:tab w:val="left" w:pos="0"/>
              </w:tabs>
              <w:spacing w:before="120" w:after="120"/>
              <w:ind w:left="-96"/>
              <w:jc w:val="center"/>
              <w:rPr>
                <w:rFonts w:ascii="Verdana" w:hAnsi="Verdana"/>
                <w:b/>
                <w:bCs/>
                <w:color w:val="000000"/>
                <w:sz w:val="20"/>
                <w:szCs w:val="20"/>
                <w:lang w:val="en-GB"/>
              </w:rPr>
            </w:pPr>
            <w:r w:rsidRPr="00394ECE">
              <w:rPr>
                <w:rFonts w:ascii="Verdana" w:hAnsi="Verdana"/>
                <w:b/>
                <w:bCs/>
                <w:color w:val="000000"/>
                <w:sz w:val="20"/>
                <w:szCs w:val="20"/>
                <w:lang w:val="en-GB"/>
              </w:rPr>
              <w:t>Paragraph or other detailed reference</w:t>
            </w:r>
          </w:p>
        </w:tc>
        <w:tc>
          <w:tcPr>
            <w:tcW w:w="2503" w:type="pct"/>
            <w:gridSpan w:val="3"/>
          </w:tcPr>
          <w:p w14:paraId="29CF5A84" w14:textId="77777777" w:rsidR="00394ECE" w:rsidRPr="00C83C87" w:rsidRDefault="00394ECE" w:rsidP="00020B14">
            <w:pPr>
              <w:tabs>
                <w:tab w:val="left" w:pos="0"/>
              </w:tabs>
              <w:spacing w:before="120" w:after="120"/>
              <w:ind w:left="-96"/>
              <w:jc w:val="center"/>
              <w:rPr>
                <w:rFonts w:ascii="Verdana" w:hAnsi="Verdana"/>
                <w:b/>
                <w:bCs/>
                <w:color w:val="000000"/>
                <w:sz w:val="20"/>
                <w:szCs w:val="20"/>
                <w:lang w:val="en-GB"/>
              </w:rPr>
            </w:pPr>
            <w:r w:rsidRPr="00C83C87">
              <w:rPr>
                <w:rFonts w:ascii="Verdana" w:hAnsi="Verdana"/>
                <w:b/>
                <w:bCs/>
                <w:color w:val="000000"/>
                <w:sz w:val="20"/>
                <w:szCs w:val="20"/>
                <w:lang w:val="en-GB"/>
              </w:rPr>
              <w:t>Comment</w:t>
            </w:r>
          </w:p>
        </w:tc>
      </w:tr>
      <w:tr w:rsidR="00173725" w:rsidRPr="00E67D13" w14:paraId="1F9667A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C598DDB" w14:textId="4B3EF1AC" w:rsidR="00394ECE" w:rsidRPr="00C7000E" w:rsidRDefault="00394ECE" w:rsidP="00020B14">
            <w:pPr>
              <w:tabs>
                <w:tab w:val="left" w:pos="0"/>
              </w:tabs>
              <w:spacing w:before="120"/>
              <w:ind w:left="-96" w:right="72"/>
              <w:rPr>
                <w:rFonts w:ascii="Verdana" w:hAnsi="Verdana"/>
                <w:bCs/>
                <w:color w:val="000000"/>
                <w:sz w:val="22"/>
                <w:szCs w:val="22"/>
                <w:lang w:val="en-GB"/>
              </w:rPr>
            </w:pPr>
          </w:p>
        </w:tc>
        <w:tc>
          <w:tcPr>
            <w:tcW w:w="486" w:type="pct"/>
            <w:tcBorders>
              <w:top w:val="single" w:sz="4" w:space="0" w:color="auto"/>
              <w:left w:val="single" w:sz="4" w:space="0" w:color="auto"/>
              <w:bottom w:val="single" w:sz="4" w:space="0" w:color="auto"/>
              <w:right w:val="single" w:sz="4" w:space="0" w:color="auto"/>
            </w:tcBorders>
          </w:tcPr>
          <w:p w14:paraId="72A4043D" w14:textId="0EFB16E2" w:rsidR="00394ECE" w:rsidRPr="00C83C87" w:rsidRDefault="00460C92" w:rsidP="00020B14">
            <w:pPr>
              <w:tabs>
                <w:tab w:val="left" w:pos="0"/>
              </w:tabs>
              <w:ind w:left="-96"/>
              <w:rPr>
                <w:color w:val="000000"/>
                <w:lang w:val="en-GB" w:eastAsia="fr-FR"/>
              </w:rPr>
            </w:pPr>
            <w:r w:rsidRPr="00F0251A">
              <w:rPr>
                <w:rFonts w:ascii="Verdana" w:hAnsi="Verdana"/>
                <w:bCs/>
                <w:color w:val="7F7F7F" w:themeColor="text1" w:themeTint="80"/>
                <w:sz w:val="22"/>
                <w:szCs w:val="22"/>
                <w:lang w:val="en-GB"/>
              </w:rPr>
              <w:t>General Comments</w:t>
            </w:r>
          </w:p>
        </w:tc>
        <w:tc>
          <w:tcPr>
            <w:tcW w:w="2020" w:type="pct"/>
            <w:gridSpan w:val="2"/>
            <w:tcBorders>
              <w:top w:val="single" w:sz="4" w:space="0" w:color="auto"/>
              <w:left w:val="single" w:sz="4" w:space="0" w:color="auto"/>
              <w:bottom w:val="single" w:sz="4" w:space="0" w:color="auto"/>
              <w:right w:val="single" w:sz="4" w:space="0" w:color="auto"/>
            </w:tcBorders>
          </w:tcPr>
          <w:p w14:paraId="49705F81" w14:textId="1BB5F565" w:rsidR="00F50FA0" w:rsidRPr="00C24334" w:rsidRDefault="00C706B6" w:rsidP="00020B14">
            <w:pPr>
              <w:tabs>
                <w:tab w:val="left" w:pos="0"/>
              </w:tabs>
              <w:spacing w:after="120"/>
              <w:rPr>
                <w:rFonts w:ascii="Verdana" w:hAnsi="Verdana"/>
                <w:b/>
                <w:color w:val="7F7F7F" w:themeColor="text1" w:themeTint="80"/>
                <w:sz w:val="22"/>
                <w:szCs w:val="22"/>
                <w:lang w:val="en-US"/>
              </w:rPr>
            </w:pPr>
            <w:r w:rsidRPr="00C24334">
              <w:rPr>
                <w:rFonts w:ascii="Verdana" w:hAnsi="Verdana"/>
                <w:b/>
                <w:color w:val="7F7F7F" w:themeColor="text1" w:themeTint="80"/>
                <w:lang w:val="en-US"/>
              </w:rPr>
              <w:t xml:space="preserve">2020 Solvency II </w:t>
            </w:r>
            <w:r w:rsidR="00F50FA0" w:rsidRPr="00C24334">
              <w:rPr>
                <w:rFonts w:ascii="Verdana" w:hAnsi="Verdana"/>
                <w:b/>
                <w:color w:val="7F7F7F" w:themeColor="text1" w:themeTint="80"/>
                <w:lang w:val="en-US"/>
              </w:rPr>
              <w:t>Review</w:t>
            </w:r>
          </w:p>
          <w:p w14:paraId="77A88924" w14:textId="1EBB0C15" w:rsidR="004D5587" w:rsidRPr="00823BC5" w:rsidRDefault="00845165" w:rsidP="00020B14">
            <w:pPr>
              <w:tabs>
                <w:tab w:val="left" w:pos="0"/>
              </w:tabs>
              <w:spacing w:after="120"/>
              <w:rPr>
                <w:rFonts w:ascii="Verdana" w:hAnsi="Verdana"/>
                <w:b/>
                <w:bCs/>
                <w:color w:val="7F7F7F" w:themeColor="text1" w:themeTint="80"/>
                <w:sz w:val="22"/>
                <w:szCs w:val="22"/>
                <w:lang w:val="en-US"/>
              </w:rPr>
            </w:pPr>
            <w:r w:rsidRPr="00C24334">
              <w:rPr>
                <w:rFonts w:ascii="Verdana" w:hAnsi="Verdana"/>
                <w:color w:val="7F7F7F" w:themeColor="text1" w:themeTint="80"/>
                <w:sz w:val="22"/>
                <w:szCs w:val="22"/>
                <w:lang w:val="en-US"/>
              </w:rPr>
              <w:t>T</w:t>
            </w:r>
            <w:r w:rsidR="00F50FA0" w:rsidRPr="00C24334">
              <w:rPr>
                <w:rFonts w:ascii="Verdana" w:hAnsi="Verdana"/>
                <w:color w:val="7F7F7F" w:themeColor="text1" w:themeTint="80"/>
                <w:sz w:val="22"/>
                <w:szCs w:val="22"/>
                <w:lang w:val="en-US"/>
              </w:rPr>
              <w:t>he Solvency II regime is generally a success. The Review 2020 should, rightly said by EIOPA, not result in a revolution</w:t>
            </w:r>
            <w:r w:rsidRPr="00C24334">
              <w:rPr>
                <w:rFonts w:ascii="Verdana" w:hAnsi="Verdana"/>
                <w:color w:val="7F7F7F" w:themeColor="text1" w:themeTint="80"/>
                <w:sz w:val="22"/>
                <w:szCs w:val="22"/>
                <w:lang w:val="en-US"/>
              </w:rPr>
              <w:t xml:space="preserve"> but in an evolution</w:t>
            </w:r>
            <w:r w:rsidR="00F50FA0" w:rsidRPr="00C24334">
              <w:rPr>
                <w:rFonts w:ascii="Verdana" w:hAnsi="Verdana"/>
                <w:color w:val="7F7F7F" w:themeColor="text1" w:themeTint="80"/>
                <w:sz w:val="22"/>
                <w:szCs w:val="22"/>
                <w:lang w:val="en-US"/>
              </w:rPr>
              <w:t xml:space="preserve"> b</w:t>
            </w:r>
            <w:r w:rsidRPr="00C24334">
              <w:rPr>
                <w:rFonts w:ascii="Verdana" w:hAnsi="Verdana"/>
                <w:color w:val="7F7F7F" w:themeColor="text1" w:themeTint="80"/>
                <w:sz w:val="22"/>
                <w:szCs w:val="22"/>
                <w:lang w:val="en-US"/>
              </w:rPr>
              <w:t>y</w:t>
            </w:r>
            <w:r w:rsidR="00F50FA0" w:rsidRPr="00C24334">
              <w:rPr>
                <w:rFonts w:ascii="Verdana" w:hAnsi="Verdana"/>
                <w:color w:val="7F7F7F" w:themeColor="text1" w:themeTint="80"/>
                <w:sz w:val="22"/>
                <w:szCs w:val="22"/>
                <w:lang w:val="en-US"/>
              </w:rPr>
              <w:t xml:space="preserve"> adjusting some elements to reduce pro-</w:t>
            </w:r>
            <w:r w:rsidR="00DA393A" w:rsidRPr="00C24334">
              <w:rPr>
                <w:rFonts w:ascii="Verdana" w:hAnsi="Verdana"/>
                <w:color w:val="7F7F7F" w:themeColor="text1" w:themeTint="80"/>
                <w:sz w:val="22"/>
                <w:szCs w:val="22"/>
                <w:lang w:val="en-US"/>
              </w:rPr>
              <w:t>cyclicality</w:t>
            </w:r>
            <w:r w:rsidR="00F50FA0" w:rsidRPr="00C24334">
              <w:rPr>
                <w:rFonts w:ascii="Verdana" w:hAnsi="Verdana"/>
                <w:color w:val="7F7F7F" w:themeColor="text1" w:themeTint="80"/>
                <w:sz w:val="22"/>
                <w:szCs w:val="22"/>
                <w:lang w:val="en-US"/>
              </w:rPr>
              <w:t xml:space="preserve"> and rebalance the capital requirements for several investment classes </w:t>
            </w:r>
            <w:r w:rsidRPr="00C24334">
              <w:rPr>
                <w:rFonts w:ascii="Verdana" w:hAnsi="Verdana"/>
                <w:color w:val="7F7F7F" w:themeColor="text1" w:themeTint="80"/>
                <w:sz w:val="22"/>
                <w:szCs w:val="22"/>
                <w:lang w:val="en-US"/>
              </w:rPr>
              <w:t xml:space="preserve">to </w:t>
            </w:r>
            <w:r w:rsidR="00F50FA0" w:rsidRPr="00C24334">
              <w:rPr>
                <w:rFonts w:ascii="Verdana" w:hAnsi="Verdana"/>
                <w:color w:val="7F7F7F" w:themeColor="text1" w:themeTint="80"/>
                <w:sz w:val="22"/>
                <w:szCs w:val="22"/>
                <w:lang w:val="en-US"/>
              </w:rPr>
              <w:t>ensur</w:t>
            </w:r>
            <w:r w:rsidRPr="00C24334">
              <w:rPr>
                <w:rFonts w:ascii="Verdana" w:hAnsi="Verdana"/>
                <w:color w:val="7F7F7F" w:themeColor="text1" w:themeTint="80"/>
                <w:sz w:val="22"/>
                <w:szCs w:val="22"/>
                <w:lang w:val="en-US"/>
              </w:rPr>
              <w:t>e</w:t>
            </w:r>
            <w:r w:rsidR="00F50FA0" w:rsidRPr="00C24334">
              <w:rPr>
                <w:rFonts w:ascii="Verdana" w:hAnsi="Verdana"/>
                <w:color w:val="7F7F7F" w:themeColor="text1" w:themeTint="80"/>
                <w:sz w:val="22"/>
                <w:szCs w:val="22"/>
                <w:lang w:val="en-US"/>
              </w:rPr>
              <w:t xml:space="preserve"> </w:t>
            </w:r>
            <w:r w:rsidRPr="00C24334">
              <w:rPr>
                <w:rFonts w:ascii="Verdana" w:hAnsi="Verdana"/>
                <w:color w:val="7F7F7F" w:themeColor="text1" w:themeTint="80"/>
                <w:sz w:val="22"/>
                <w:szCs w:val="22"/>
                <w:lang w:val="en-US"/>
              </w:rPr>
              <w:t xml:space="preserve">that </w:t>
            </w:r>
            <w:r w:rsidR="00F50FA0" w:rsidRPr="00C24334">
              <w:rPr>
                <w:rFonts w:ascii="Verdana" w:hAnsi="Verdana"/>
                <w:color w:val="7F7F7F" w:themeColor="text1" w:themeTint="80"/>
                <w:sz w:val="22"/>
                <w:szCs w:val="22"/>
                <w:lang w:val="en-US"/>
              </w:rPr>
              <w:t xml:space="preserve">insurers </w:t>
            </w:r>
            <w:r w:rsidR="00D51CF6" w:rsidRPr="00C24334">
              <w:rPr>
                <w:rFonts w:ascii="Verdana" w:hAnsi="Verdana"/>
                <w:color w:val="7F7F7F" w:themeColor="text1" w:themeTint="80"/>
                <w:sz w:val="22"/>
                <w:szCs w:val="22"/>
                <w:lang w:val="en-US"/>
              </w:rPr>
              <w:t>continue</w:t>
            </w:r>
            <w:r w:rsidR="00F50FA0" w:rsidRPr="00C24334">
              <w:rPr>
                <w:rFonts w:ascii="Verdana" w:hAnsi="Verdana"/>
                <w:color w:val="7F7F7F" w:themeColor="text1" w:themeTint="80"/>
                <w:sz w:val="22"/>
                <w:szCs w:val="22"/>
                <w:lang w:val="en-US"/>
              </w:rPr>
              <w:t xml:space="preserve"> playing </w:t>
            </w:r>
            <w:r w:rsidR="004D5587" w:rsidRPr="00C24334">
              <w:rPr>
                <w:rFonts w:ascii="Verdana" w:hAnsi="Verdana"/>
                <w:color w:val="7F7F7F" w:themeColor="text1" w:themeTint="80"/>
                <w:sz w:val="22"/>
                <w:szCs w:val="22"/>
                <w:lang w:val="en-US"/>
              </w:rPr>
              <w:t>their long-term role</w:t>
            </w:r>
            <w:r w:rsidR="00F50FA0" w:rsidRPr="00C24334">
              <w:rPr>
                <w:rFonts w:ascii="Verdana" w:hAnsi="Verdana"/>
                <w:color w:val="7F7F7F" w:themeColor="text1" w:themeTint="80"/>
                <w:sz w:val="22"/>
                <w:szCs w:val="22"/>
                <w:lang w:val="en-US"/>
              </w:rPr>
              <w:t xml:space="preserve"> in the European economy.</w:t>
            </w:r>
            <w:r w:rsidR="004D5587" w:rsidRPr="00C24334">
              <w:rPr>
                <w:rFonts w:ascii="Verdana" w:hAnsi="Verdana"/>
                <w:color w:val="7F7F7F" w:themeColor="text1" w:themeTint="80"/>
                <w:sz w:val="22"/>
                <w:szCs w:val="22"/>
                <w:lang w:val="en-US"/>
              </w:rPr>
              <w:t xml:space="preserve"> </w:t>
            </w:r>
            <w:r w:rsidR="004D5587" w:rsidRPr="00823BC5">
              <w:rPr>
                <w:rFonts w:ascii="Verdana" w:hAnsi="Verdana"/>
                <w:b/>
                <w:bCs/>
                <w:color w:val="7F7F7F" w:themeColor="text1" w:themeTint="80"/>
                <w:sz w:val="22"/>
                <w:szCs w:val="22"/>
                <w:lang w:val="en-US"/>
              </w:rPr>
              <w:t xml:space="preserve">In a nutshell some refinements </w:t>
            </w:r>
            <w:r w:rsidR="00E94A5C">
              <w:rPr>
                <w:rFonts w:ascii="Verdana" w:hAnsi="Verdana"/>
                <w:b/>
                <w:bCs/>
                <w:color w:val="7F7F7F"/>
                <w:lang w:val="en-US"/>
              </w:rPr>
              <w:t xml:space="preserve">are still needed to the long-term measures </w:t>
            </w:r>
            <w:r w:rsidR="00E94A5C" w:rsidRPr="003720A2">
              <w:rPr>
                <w:rFonts w:ascii="Verdana" w:hAnsi="Verdana"/>
                <w:b/>
                <w:bCs/>
                <w:color w:val="7F7F7F" w:themeColor="text1" w:themeTint="80"/>
                <w:sz w:val="22"/>
                <w:szCs w:val="22"/>
                <w:lang w:val="en-US"/>
              </w:rPr>
              <w:t xml:space="preserve">and </w:t>
            </w:r>
            <w:r w:rsidR="003720A2" w:rsidRPr="003720A2">
              <w:rPr>
                <w:rFonts w:ascii="Verdana" w:hAnsi="Verdana"/>
                <w:b/>
                <w:bCs/>
                <w:color w:val="7F7F7F" w:themeColor="text1" w:themeTint="80"/>
                <w:sz w:val="22"/>
                <w:szCs w:val="22"/>
                <w:lang w:val="en-US"/>
              </w:rPr>
              <w:t>long-term</w:t>
            </w:r>
            <w:r w:rsidR="00E94A5C" w:rsidRPr="003720A2">
              <w:rPr>
                <w:rFonts w:ascii="Verdana" w:hAnsi="Verdana"/>
                <w:b/>
                <w:bCs/>
                <w:color w:val="7F7F7F" w:themeColor="text1" w:themeTint="80"/>
                <w:sz w:val="22"/>
                <w:szCs w:val="22"/>
                <w:lang w:val="en-US"/>
              </w:rPr>
              <w:t xml:space="preserve"> equity risk </w:t>
            </w:r>
            <w:r w:rsidR="004D5587" w:rsidRPr="00823BC5">
              <w:rPr>
                <w:rFonts w:ascii="Verdana" w:hAnsi="Verdana"/>
                <w:b/>
                <w:bCs/>
                <w:color w:val="7F7F7F" w:themeColor="text1" w:themeTint="80"/>
                <w:sz w:val="22"/>
                <w:szCs w:val="22"/>
                <w:lang w:val="en-US"/>
              </w:rPr>
              <w:t>for them to achieve a proper reflection of the net risk profile associated with long-term business model.</w:t>
            </w:r>
            <w:r w:rsidR="006E49D5" w:rsidRPr="00C24334">
              <w:rPr>
                <w:rFonts w:ascii="Verdana" w:hAnsi="Verdana"/>
                <w:b/>
                <w:bCs/>
                <w:color w:val="7F7F7F" w:themeColor="text1" w:themeTint="80"/>
                <w:sz w:val="22"/>
                <w:szCs w:val="22"/>
                <w:lang w:val="en-US"/>
              </w:rPr>
              <w:t xml:space="preserve"> In order to achieve this, a stronger focus on and reflection of going-concern and management actions needs to be achieved.</w:t>
            </w:r>
          </w:p>
          <w:p w14:paraId="1BDF0762" w14:textId="54D305E5" w:rsidR="000C1883" w:rsidRPr="00C24334" w:rsidRDefault="00383BD7" w:rsidP="00020B14">
            <w:pPr>
              <w:tabs>
                <w:tab w:val="left" w:pos="0"/>
              </w:tabs>
              <w:rPr>
                <w:rFonts w:ascii="Verdana" w:hAnsi="Verdana"/>
                <w:color w:val="7F7F7F" w:themeColor="text1" w:themeTint="80"/>
                <w:sz w:val="22"/>
                <w:szCs w:val="22"/>
                <w:lang w:val="en-US"/>
              </w:rPr>
            </w:pPr>
            <w:r w:rsidRPr="001F7855">
              <w:rPr>
                <w:rFonts w:ascii="Verdana" w:hAnsi="Verdana" w:cs="Arial"/>
                <w:color w:val="7F7F7F" w:themeColor="text1" w:themeTint="80"/>
                <w:sz w:val="22"/>
                <w:szCs w:val="22"/>
                <w:lang w:val="en-US"/>
              </w:rPr>
              <w:t>We have reservations</w:t>
            </w:r>
            <w:r w:rsidRPr="001F7855">
              <w:rPr>
                <w:rFonts w:ascii="Arial" w:hAnsi="Arial" w:cs="Arial"/>
                <w:color w:val="7F7F7F" w:themeColor="text1" w:themeTint="80"/>
                <w:lang w:val="en-US"/>
              </w:rPr>
              <w:t xml:space="preserve"> </w:t>
            </w:r>
            <w:r w:rsidR="000C1883" w:rsidRPr="00C24334">
              <w:rPr>
                <w:rFonts w:ascii="Verdana" w:hAnsi="Verdana"/>
                <w:color w:val="7F7F7F" w:themeColor="text1" w:themeTint="80"/>
                <w:sz w:val="22"/>
                <w:szCs w:val="22"/>
                <w:lang w:val="en-US"/>
              </w:rPr>
              <w:t xml:space="preserve">EIOPA’s draft proposals for the Solvency II 2020 review. EIOPA proposes a significant overhaul of the framework with a very large number of </w:t>
            </w:r>
            <w:r w:rsidR="004D5587" w:rsidRPr="00C24334">
              <w:rPr>
                <w:rFonts w:ascii="Verdana" w:hAnsi="Verdana"/>
                <w:color w:val="7F7F7F" w:themeColor="text1" w:themeTint="80"/>
                <w:sz w:val="22"/>
                <w:szCs w:val="22"/>
                <w:lang w:val="en-US"/>
              </w:rPr>
              <w:t xml:space="preserve">smaller and bigger </w:t>
            </w:r>
            <w:r w:rsidR="000C1883" w:rsidRPr="00C24334">
              <w:rPr>
                <w:rFonts w:ascii="Verdana" w:hAnsi="Verdana"/>
                <w:color w:val="7F7F7F" w:themeColor="text1" w:themeTint="80"/>
                <w:sz w:val="22"/>
                <w:szCs w:val="22"/>
                <w:lang w:val="en-US"/>
              </w:rPr>
              <w:t xml:space="preserve">changes. It is more than 120 proposals for changes </w:t>
            </w:r>
            <w:r w:rsidR="00845165" w:rsidRPr="00C24334">
              <w:rPr>
                <w:rFonts w:ascii="Verdana" w:hAnsi="Verdana"/>
                <w:color w:val="7F7F7F" w:themeColor="text1" w:themeTint="80"/>
                <w:sz w:val="22"/>
                <w:szCs w:val="22"/>
                <w:lang w:val="en-US"/>
              </w:rPr>
              <w:t xml:space="preserve">that </w:t>
            </w:r>
            <w:r w:rsidR="000C1883" w:rsidRPr="00C24334">
              <w:rPr>
                <w:rFonts w:ascii="Verdana" w:hAnsi="Verdana"/>
                <w:color w:val="7F7F7F" w:themeColor="text1" w:themeTint="80"/>
                <w:sz w:val="22"/>
                <w:szCs w:val="22"/>
                <w:lang w:val="en-US"/>
              </w:rPr>
              <w:t xml:space="preserve">would result overall in significant increases in capital requirements, operational burden for insurers and new powers for supervisors, and we believe </w:t>
            </w:r>
            <w:r w:rsidR="00845165" w:rsidRPr="00C24334">
              <w:rPr>
                <w:rFonts w:ascii="Verdana" w:hAnsi="Verdana"/>
                <w:color w:val="7F7F7F" w:themeColor="text1" w:themeTint="80"/>
                <w:sz w:val="22"/>
                <w:szCs w:val="22"/>
                <w:lang w:val="en-US"/>
              </w:rPr>
              <w:t xml:space="preserve">it will </w:t>
            </w:r>
            <w:r w:rsidR="000C1883" w:rsidRPr="00C24334">
              <w:rPr>
                <w:rFonts w:ascii="Verdana" w:hAnsi="Verdana"/>
                <w:color w:val="7F7F7F" w:themeColor="text1" w:themeTint="80"/>
                <w:sz w:val="22"/>
                <w:szCs w:val="22"/>
                <w:lang w:val="en-US"/>
              </w:rPr>
              <w:t xml:space="preserve">result in an overall increased burden of supervisory reporting and disclosure. </w:t>
            </w:r>
          </w:p>
          <w:p w14:paraId="562B0E38" w14:textId="77777777" w:rsidR="000C1883" w:rsidRPr="00C24334" w:rsidRDefault="000C1883" w:rsidP="00020B14">
            <w:pPr>
              <w:tabs>
                <w:tab w:val="left" w:pos="0"/>
              </w:tabs>
              <w:rPr>
                <w:rFonts w:ascii="Verdana" w:hAnsi="Verdana"/>
                <w:color w:val="7F7F7F" w:themeColor="text1" w:themeTint="80"/>
                <w:sz w:val="22"/>
                <w:szCs w:val="22"/>
                <w:lang w:val="en-US"/>
              </w:rPr>
            </w:pPr>
          </w:p>
          <w:p w14:paraId="4CCD6F75" w14:textId="41C7805B" w:rsidR="000C1883" w:rsidRPr="00C24334" w:rsidRDefault="000C1883" w:rsidP="00020B14">
            <w:pPr>
              <w:tabs>
                <w:tab w:val="left" w:pos="0"/>
              </w:tabs>
              <w:rPr>
                <w:rFonts w:ascii="Verdana" w:hAnsi="Verdana" w:cstheme="minorHAnsi"/>
                <w:color w:val="7F7F7F" w:themeColor="text1" w:themeTint="80"/>
                <w:sz w:val="22"/>
                <w:szCs w:val="22"/>
                <w:lang w:val="en-US"/>
              </w:rPr>
            </w:pPr>
            <w:r w:rsidRPr="00C24334">
              <w:rPr>
                <w:rFonts w:ascii="Verdana" w:hAnsi="Verdana" w:cstheme="minorHAnsi"/>
                <w:color w:val="7F7F7F" w:themeColor="text1" w:themeTint="80"/>
                <w:sz w:val="22"/>
                <w:szCs w:val="22"/>
                <w:lang w:val="en-US"/>
              </w:rPr>
              <w:t xml:space="preserve">As a set of proposals viewed altogether, we are very skeptical as to the </w:t>
            </w:r>
            <w:r w:rsidR="00845165" w:rsidRPr="00C24334">
              <w:rPr>
                <w:rFonts w:ascii="Verdana" w:hAnsi="Verdana" w:cstheme="minorHAnsi"/>
                <w:color w:val="7F7F7F" w:themeColor="text1" w:themeTint="80"/>
                <w:sz w:val="22"/>
                <w:szCs w:val="22"/>
                <w:lang w:val="en-US"/>
              </w:rPr>
              <w:t xml:space="preserve">added </w:t>
            </w:r>
            <w:r w:rsidRPr="00C24334">
              <w:rPr>
                <w:rFonts w:ascii="Verdana" w:hAnsi="Verdana" w:cstheme="minorHAnsi"/>
                <w:color w:val="7F7F7F" w:themeColor="text1" w:themeTint="80"/>
                <w:sz w:val="22"/>
                <w:szCs w:val="22"/>
                <w:lang w:val="en-US"/>
              </w:rPr>
              <w:t>benefits against the costs that would be introduced</w:t>
            </w:r>
            <w:r w:rsidR="00050B4A" w:rsidRPr="00C24334">
              <w:rPr>
                <w:rFonts w:ascii="Verdana" w:hAnsi="Verdana" w:cstheme="minorHAnsi"/>
                <w:color w:val="7F7F7F" w:themeColor="text1" w:themeTint="80"/>
                <w:sz w:val="22"/>
                <w:szCs w:val="22"/>
                <w:lang w:val="en-US"/>
              </w:rPr>
              <w:t xml:space="preserve"> including the negative impact on the Solvency II ratios and the attractiveness of the insurance industry for investors.</w:t>
            </w:r>
          </w:p>
          <w:p w14:paraId="0039B1AD" w14:textId="77777777" w:rsidR="000C1883" w:rsidRPr="00C24334" w:rsidRDefault="000C1883" w:rsidP="00020B14">
            <w:pPr>
              <w:tabs>
                <w:tab w:val="left" w:pos="0"/>
              </w:tabs>
              <w:rPr>
                <w:rFonts w:cstheme="minorHAnsi"/>
                <w:color w:val="7F7F7F" w:themeColor="text1" w:themeTint="80"/>
                <w:lang w:val="en-US"/>
              </w:rPr>
            </w:pPr>
          </w:p>
          <w:p w14:paraId="70227F2B" w14:textId="394541F4" w:rsidR="00EC0FE5" w:rsidRPr="00C24334" w:rsidRDefault="000C1883" w:rsidP="00020B14">
            <w:pPr>
              <w:pStyle w:val="CommentText"/>
              <w:tabs>
                <w:tab w:val="left" w:pos="0"/>
              </w:tabs>
              <w:rPr>
                <w:rFonts w:ascii="Verdana" w:hAnsi="Verdana" w:cs="Helvetica"/>
                <w:color w:val="7F7F7F" w:themeColor="text1" w:themeTint="80"/>
                <w:lang w:val="en-GB"/>
              </w:rPr>
            </w:pPr>
            <w:r w:rsidRPr="00C24334">
              <w:rPr>
                <w:rFonts w:ascii="Verdana" w:hAnsi="Verdana" w:cstheme="minorHAnsi"/>
                <w:color w:val="7F7F7F" w:themeColor="text1" w:themeTint="80"/>
                <w:sz w:val="22"/>
                <w:szCs w:val="22"/>
                <w:lang w:val="en-US"/>
              </w:rPr>
              <w:t xml:space="preserve">We </w:t>
            </w:r>
            <w:r w:rsidR="00845165" w:rsidRPr="00C24334">
              <w:rPr>
                <w:rFonts w:ascii="Verdana" w:hAnsi="Verdana" w:cstheme="minorHAnsi"/>
                <w:color w:val="7F7F7F" w:themeColor="text1" w:themeTint="80"/>
                <w:sz w:val="22"/>
                <w:szCs w:val="22"/>
                <w:lang w:val="en-US"/>
              </w:rPr>
              <w:t xml:space="preserve">also </w:t>
            </w:r>
            <w:r w:rsidRPr="00C24334">
              <w:rPr>
                <w:rFonts w:ascii="Verdana" w:hAnsi="Verdana" w:cstheme="minorHAnsi"/>
                <w:color w:val="7F7F7F" w:themeColor="text1" w:themeTint="80"/>
                <w:sz w:val="22"/>
                <w:szCs w:val="22"/>
                <w:lang w:val="en-US"/>
              </w:rPr>
              <w:t xml:space="preserve">think </w:t>
            </w:r>
            <w:r w:rsidR="00845165" w:rsidRPr="00C24334">
              <w:rPr>
                <w:rFonts w:ascii="Verdana" w:hAnsi="Verdana" w:cstheme="minorHAnsi"/>
                <w:color w:val="7F7F7F" w:themeColor="text1" w:themeTint="80"/>
                <w:sz w:val="22"/>
                <w:szCs w:val="22"/>
                <w:lang w:val="en-US"/>
              </w:rPr>
              <w:t xml:space="preserve">that </w:t>
            </w:r>
            <w:r w:rsidRPr="00C24334">
              <w:rPr>
                <w:rFonts w:ascii="Verdana" w:hAnsi="Verdana" w:cstheme="minorHAnsi"/>
                <w:color w:val="7F7F7F" w:themeColor="text1" w:themeTint="80"/>
                <w:sz w:val="22"/>
                <w:szCs w:val="22"/>
                <w:lang w:val="en-US"/>
              </w:rPr>
              <w:t xml:space="preserve">the costs to policyholders, a question particularly of relevance to </w:t>
            </w:r>
            <w:r w:rsidR="00845165" w:rsidRPr="00C24334">
              <w:rPr>
                <w:rFonts w:ascii="Verdana" w:hAnsi="Verdana" w:cstheme="minorHAnsi"/>
                <w:color w:val="7F7F7F" w:themeColor="text1" w:themeTint="80"/>
                <w:sz w:val="22"/>
                <w:szCs w:val="22"/>
                <w:lang w:val="en-US"/>
              </w:rPr>
              <w:t>the</w:t>
            </w:r>
            <w:r w:rsidRPr="00C24334">
              <w:rPr>
                <w:rFonts w:ascii="Verdana" w:hAnsi="Verdana" w:cstheme="minorHAnsi"/>
                <w:color w:val="7F7F7F" w:themeColor="text1" w:themeTint="80"/>
                <w:sz w:val="22"/>
                <w:szCs w:val="22"/>
                <w:lang w:val="en-US"/>
              </w:rPr>
              <w:t xml:space="preserve"> mutual </w:t>
            </w:r>
            <w:r w:rsidR="00586FF2" w:rsidRPr="00C24334">
              <w:rPr>
                <w:rFonts w:ascii="Verdana" w:hAnsi="Verdana" w:cstheme="minorHAnsi"/>
                <w:color w:val="7F7F7F" w:themeColor="text1" w:themeTint="80"/>
                <w:sz w:val="22"/>
                <w:szCs w:val="22"/>
                <w:lang w:val="en-US"/>
              </w:rPr>
              <w:t>sector</w:t>
            </w:r>
            <w:r w:rsidRPr="00C24334">
              <w:rPr>
                <w:rFonts w:ascii="Verdana" w:hAnsi="Verdana" w:cstheme="minorHAnsi"/>
                <w:color w:val="7F7F7F" w:themeColor="text1" w:themeTint="80"/>
                <w:sz w:val="22"/>
                <w:szCs w:val="22"/>
                <w:lang w:val="en-US"/>
              </w:rPr>
              <w:t xml:space="preserve"> due to </w:t>
            </w:r>
            <w:r w:rsidR="00586FF2" w:rsidRPr="00C24334">
              <w:rPr>
                <w:rFonts w:ascii="Verdana" w:hAnsi="Verdana" w:cstheme="minorHAnsi"/>
                <w:color w:val="7F7F7F" w:themeColor="text1" w:themeTint="80"/>
                <w:sz w:val="22"/>
                <w:szCs w:val="22"/>
                <w:lang w:val="en-US"/>
              </w:rPr>
              <w:t xml:space="preserve">the </w:t>
            </w:r>
            <w:r w:rsidRPr="00C24334">
              <w:rPr>
                <w:rFonts w:ascii="Verdana" w:hAnsi="Verdana" w:cstheme="minorHAnsi"/>
                <w:color w:val="7F7F7F" w:themeColor="text1" w:themeTint="80"/>
                <w:sz w:val="22"/>
                <w:szCs w:val="22"/>
                <w:lang w:val="en-US"/>
              </w:rPr>
              <w:t xml:space="preserve">increased costs of supervision, would increase multifold from the current proposals. </w:t>
            </w:r>
            <w:r w:rsidR="00107C0D" w:rsidRPr="00C24334">
              <w:rPr>
                <w:rFonts w:ascii="Verdana" w:hAnsi="Verdana"/>
                <w:color w:val="7F7F7F" w:themeColor="text1" w:themeTint="80"/>
                <w:sz w:val="22"/>
                <w:szCs w:val="22"/>
                <w:lang w:val="en-US"/>
              </w:rPr>
              <w:t>T</w:t>
            </w:r>
            <w:r w:rsidRPr="00C24334">
              <w:rPr>
                <w:rFonts w:ascii="Verdana" w:hAnsi="Verdana"/>
                <w:color w:val="7F7F7F" w:themeColor="text1" w:themeTint="80"/>
                <w:sz w:val="22"/>
                <w:szCs w:val="22"/>
                <w:lang w:val="en-US"/>
              </w:rPr>
              <w:t xml:space="preserve">hese additional </w:t>
            </w:r>
            <w:r w:rsidRPr="00C24334">
              <w:rPr>
                <w:rFonts w:ascii="Verdana" w:hAnsi="Verdana"/>
                <w:color w:val="7F7F7F" w:themeColor="text1" w:themeTint="80"/>
                <w:sz w:val="22"/>
                <w:szCs w:val="22"/>
                <w:lang w:val="en-US"/>
              </w:rPr>
              <w:lastRenderedPageBreak/>
              <w:t xml:space="preserve">costs will in the end have negative consequences for </w:t>
            </w:r>
            <w:r w:rsidR="00BE0AB1" w:rsidRPr="00C24334">
              <w:rPr>
                <w:rFonts w:ascii="Verdana" w:hAnsi="Verdana"/>
                <w:color w:val="7F7F7F" w:themeColor="text1" w:themeTint="80"/>
                <w:sz w:val="22"/>
                <w:szCs w:val="22"/>
                <w:lang w:val="en-US"/>
              </w:rPr>
              <w:t xml:space="preserve">the current </w:t>
            </w:r>
            <w:r w:rsidRPr="00C24334">
              <w:rPr>
                <w:rFonts w:ascii="Verdana" w:hAnsi="Verdana"/>
                <w:color w:val="7F7F7F" w:themeColor="text1" w:themeTint="80"/>
                <w:sz w:val="22"/>
                <w:szCs w:val="22"/>
                <w:lang w:val="en-US"/>
              </w:rPr>
              <w:t xml:space="preserve">policyholders. </w:t>
            </w:r>
            <w:r w:rsidR="00EC0FE5" w:rsidRPr="00C24334">
              <w:rPr>
                <w:rFonts w:ascii="Verdana" w:hAnsi="Verdana" w:cs="Helvetica"/>
                <w:color w:val="7F7F7F" w:themeColor="text1" w:themeTint="80"/>
                <w:sz w:val="22"/>
                <w:szCs w:val="22"/>
                <w:lang w:val="en-GB"/>
              </w:rPr>
              <w:t xml:space="preserve">The calibration of the Solvency II regime as laid down in the Directive 2009/138/EC and Regulation 2015/35 is based on a delicate balance between </w:t>
            </w:r>
            <w:r w:rsidR="00107C0D" w:rsidRPr="00C24334">
              <w:rPr>
                <w:rFonts w:ascii="Verdana" w:hAnsi="Verdana" w:cs="Helvetica"/>
                <w:color w:val="7F7F7F" w:themeColor="text1" w:themeTint="80"/>
                <w:sz w:val="22"/>
                <w:szCs w:val="22"/>
                <w:lang w:val="en-GB"/>
              </w:rPr>
              <w:t xml:space="preserve">a high protection level </w:t>
            </w:r>
            <w:r w:rsidR="00EC0FE5" w:rsidRPr="00C24334">
              <w:rPr>
                <w:rFonts w:ascii="Verdana" w:hAnsi="Verdana" w:cs="Helvetica"/>
                <w:color w:val="7F7F7F" w:themeColor="text1" w:themeTint="80"/>
                <w:sz w:val="22"/>
                <w:szCs w:val="22"/>
                <w:lang w:val="en-GB"/>
              </w:rPr>
              <w:t xml:space="preserve">of the current policyholders and the affordability of insurance for consumers. The impact of the current proposals </w:t>
            </w:r>
            <w:r w:rsidR="00366457" w:rsidRPr="00C24334">
              <w:rPr>
                <w:rFonts w:ascii="Verdana" w:hAnsi="Verdana" w:cs="Helvetica"/>
                <w:color w:val="7F7F7F" w:themeColor="text1" w:themeTint="80"/>
                <w:sz w:val="22"/>
                <w:szCs w:val="22"/>
                <w:lang w:val="en-GB"/>
              </w:rPr>
              <w:t>is</w:t>
            </w:r>
            <w:r w:rsidR="00EC0FE5" w:rsidRPr="00C24334">
              <w:rPr>
                <w:rFonts w:ascii="Verdana" w:hAnsi="Verdana" w:cs="Helvetica"/>
                <w:color w:val="7F7F7F" w:themeColor="text1" w:themeTint="80"/>
                <w:sz w:val="22"/>
                <w:szCs w:val="22"/>
                <w:lang w:val="en-GB"/>
              </w:rPr>
              <w:t xml:space="preserve"> very much biased towards </w:t>
            </w:r>
            <w:r w:rsidR="00107C0D" w:rsidRPr="00C24334">
              <w:rPr>
                <w:rFonts w:ascii="Verdana" w:hAnsi="Verdana" w:cs="Helvetica"/>
                <w:color w:val="7F7F7F" w:themeColor="text1" w:themeTint="80"/>
                <w:sz w:val="22"/>
                <w:szCs w:val="22"/>
                <w:lang w:val="en-GB"/>
              </w:rPr>
              <w:t>an ultra-protection</w:t>
            </w:r>
            <w:r w:rsidR="00EC0FE5" w:rsidRPr="00C24334">
              <w:rPr>
                <w:rFonts w:ascii="Verdana" w:hAnsi="Verdana" w:cs="Helvetica"/>
                <w:color w:val="7F7F7F" w:themeColor="text1" w:themeTint="80"/>
                <w:sz w:val="22"/>
                <w:szCs w:val="22"/>
                <w:lang w:val="en-GB"/>
              </w:rPr>
              <w:t xml:space="preserve"> of the current policyholders</w:t>
            </w:r>
            <w:r w:rsidR="00107C0D" w:rsidRPr="00C24334">
              <w:rPr>
                <w:rFonts w:ascii="Verdana" w:hAnsi="Verdana" w:cs="Helvetica"/>
                <w:color w:val="7F7F7F" w:themeColor="text1" w:themeTint="80"/>
                <w:sz w:val="22"/>
                <w:szCs w:val="22"/>
                <w:lang w:val="en-GB"/>
              </w:rPr>
              <w:t xml:space="preserve"> at any cost</w:t>
            </w:r>
            <w:r w:rsidR="00EC0FE5" w:rsidRPr="00C24334">
              <w:rPr>
                <w:rFonts w:ascii="Verdana" w:hAnsi="Verdana" w:cs="Helvetica"/>
                <w:color w:val="7F7F7F" w:themeColor="text1" w:themeTint="80"/>
                <w:sz w:val="22"/>
                <w:szCs w:val="22"/>
                <w:lang w:val="en-GB"/>
              </w:rPr>
              <w:t xml:space="preserve">. </w:t>
            </w:r>
            <w:r w:rsidR="006E49D5" w:rsidRPr="00C24334">
              <w:rPr>
                <w:rFonts w:ascii="Verdana" w:hAnsi="Verdana" w:cs="Helvetica"/>
                <w:color w:val="7F7F7F" w:themeColor="text1" w:themeTint="80"/>
                <w:sz w:val="22"/>
                <w:szCs w:val="22"/>
                <w:lang w:val="en-GB"/>
              </w:rPr>
              <w:t>Here again, striking this balance is best achieved (if not only achieved) where</w:t>
            </w:r>
            <w:r w:rsidR="006E49D5" w:rsidRPr="00C24334">
              <w:rPr>
                <w:rFonts w:ascii="Verdana" w:hAnsi="Verdana"/>
                <w:b/>
                <w:color w:val="7F7F7F" w:themeColor="text1" w:themeTint="80"/>
                <w:sz w:val="22"/>
                <w:szCs w:val="22"/>
                <w:lang w:val="en-US"/>
              </w:rPr>
              <w:t xml:space="preserve"> a stronger focus on and reflection of going concern and management actions is attained</w:t>
            </w:r>
            <w:r w:rsidR="007E48BC">
              <w:rPr>
                <w:rFonts w:ascii="Verdana" w:hAnsi="Verdana"/>
                <w:b/>
                <w:color w:val="7F7F7F" w:themeColor="text1" w:themeTint="80"/>
                <w:sz w:val="22"/>
                <w:szCs w:val="22"/>
                <w:lang w:val="en-US"/>
              </w:rPr>
              <w:t>.</w:t>
            </w:r>
          </w:p>
          <w:p w14:paraId="2BB443DE" w14:textId="77777777" w:rsidR="00EC0FE5" w:rsidRPr="00C24334" w:rsidRDefault="00EC0FE5" w:rsidP="00020B14">
            <w:pPr>
              <w:pStyle w:val="CommentText"/>
              <w:tabs>
                <w:tab w:val="left" w:pos="0"/>
              </w:tabs>
              <w:rPr>
                <w:rFonts w:ascii="Verdana" w:hAnsi="Verdana"/>
                <w:color w:val="7F7F7F" w:themeColor="text1" w:themeTint="80"/>
                <w:sz w:val="22"/>
                <w:szCs w:val="22"/>
                <w:lang w:val="en-GB"/>
              </w:rPr>
            </w:pPr>
          </w:p>
          <w:p w14:paraId="626A26A7" w14:textId="0BAB5C75" w:rsidR="0060580B" w:rsidRPr="00C24334" w:rsidRDefault="00BE0AB1" w:rsidP="00020B14">
            <w:pPr>
              <w:tabs>
                <w:tab w:val="left" w:pos="0"/>
              </w:tabs>
              <w:spacing w:after="120"/>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In its impact assessment, EIOPA assesses the impact of the proposals towards insurers, supervisor</w:t>
            </w:r>
            <w:r w:rsidR="0060580B" w:rsidRPr="00C24334">
              <w:rPr>
                <w:rFonts w:ascii="Verdana" w:hAnsi="Verdana"/>
                <w:color w:val="7F7F7F" w:themeColor="text1" w:themeTint="80"/>
                <w:sz w:val="22"/>
                <w:szCs w:val="22"/>
                <w:lang w:val="en-US"/>
              </w:rPr>
              <w:t xml:space="preserve">y authorities </w:t>
            </w:r>
            <w:r w:rsidRPr="00C24334">
              <w:rPr>
                <w:rFonts w:ascii="Verdana" w:hAnsi="Verdana"/>
                <w:color w:val="7F7F7F" w:themeColor="text1" w:themeTint="80"/>
                <w:sz w:val="22"/>
                <w:szCs w:val="22"/>
                <w:lang w:val="en-US"/>
              </w:rPr>
              <w:t xml:space="preserve">and policyholders. However, EIOPA should also assess the affordability of insurance and the costs for insurers, </w:t>
            </w:r>
            <w:r w:rsidR="0060580B" w:rsidRPr="00C24334">
              <w:rPr>
                <w:rFonts w:ascii="Verdana" w:hAnsi="Verdana"/>
                <w:color w:val="7F7F7F" w:themeColor="text1" w:themeTint="80"/>
                <w:sz w:val="22"/>
                <w:szCs w:val="22"/>
                <w:lang w:val="en-US"/>
              </w:rPr>
              <w:t>the impact that the proposals would have on the range of insurance products</w:t>
            </w:r>
            <w:r w:rsidR="00524974" w:rsidRPr="00C24334">
              <w:rPr>
                <w:rFonts w:ascii="Verdana" w:hAnsi="Verdana"/>
                <w:color w:val="7F7F7F" w:themeColor="text1" w:themeTint="80"/>
                <w:sz w:val="22"/>
                <w:szCs w:val="22"/>
                <w:lang w:val="en-US"/>
              </w:rPr>
              <w:t xml:space="preserve"> being offered</w:t>
            </w:r>
            <w:r w:rsidR="0060580B" w:rsidRPr="00C24334">
              <w:rPr>
                <w:rFonts w:ascii="Verdana" w:hAnsi="Verdana"/>
                <w:color w:val="7F7F7F" w:themeColor="text1" w:themeTint="80"/>
                <w:sz w:val="22"/>
                <w:szCs w:val="22"/>
                <w:lang w:val="en-US"/>
              </w:rPr>
              <w:t xml:space="preserve">, the possibilities to afford </w:t>
            </w:r>
            <w:r w:rsidR="00366457" w:rsidRPr="00C24334">
              <w:rPr>
                <w:rFonts w:ascii="Verdana" w:hAnsi="Verdana"/>
                <w:color w:val="7F7F7F" w:themeColor="text1" w:themeTint="80"/>
                <w:sz w:val="22"/>
                <w:szCs w:val="22"/>
                <w:lang w:val="en-US"/>
              </w:rPr>
              <w:t>guaranteed</w:t>
            </w:r>
            <w:r w:rsidR="00524974" w:rsidRPr="00C24334">
              <w:rPr>
                <w:rFonts w:ascii="Verdana" w:hAnsi="Verdana"/>
                <w:color w:val="7F7F7F" w:themeColor="text1" w:themeTint="80"/>
                <w:sz w:val="22"/>
                <w:szCs w:val="22"/>
                <w:lang w:val="en-US"/>
              </w:rPr>
              <w:t xml:space="preserve"> interest rates</w:t>
            </w:r>
            <w:r w:rsidR="0060580B" w:rsidRPr="00C24334">
              <w:rPr>
                <w:rFonts w:ascii="Verdana" w:hAnsi="Verdana"/>
                <w:color w:val="7F7F7F" w:themeColor="text1" w:themeTint="80"/>
                <w:sz w:val="22"/>
                <w:szCs w:val="22"/>
                <w:lang w:val="en-US"/>
              </w:rPr>
              <w:t xml:space="preserve"> and the </w:t>
            </w:r>
            <w:r w:rsidR="00366457" w:rsidRPr="00C24334">
              <w:rPr>
                <w:rFonts w:ascii="Verdana" w:hAnsi="Verdana"/>
                <w:color w:val="7F7F7F" w:themeColor="text1" w:themeTint="80"/>
                <w:sz w:val="22"/>
                <w:szCs w:val="22"/>
                <w:lang w:val="en-US"/>
              </w:rPr>
              <w:t>offering</w:t>
            </w:r>
            <w:r w:rsidR="00524974" w:rsidRPr="00C24334">
              <w:rPr>
                <w:rFonts w:ascii="Verdana" w:hAnsi="Verdana"/>
                <w:color w:val="7F7F7F" w:themeColor="text1" w:themeTint="80"/>
                <w:sz w:val="22"/>
                <w:szCs w:val="22"/>
                <w:lang w:val="en-US"/>
              </w:rPr>
              <w:t xml:space="preserve"> of insurance products where most of the investment risk is passed on to the policyholder.</w:t>
            </w:r>
          </w:p>
          <w:p w14:paraId="3B9468E0" w14:textId="30FFFA85" w:rsidR="00F50FA0" w:rsidRPr="00C24334" w:rsidRDefault="00F50FA0" w:rsidP="00020B14">
            <w:pPr>
              <w:tabs>
                <w:tab w:val="left" w:pos="0"/>
              </w:tabs>
              <w:rPr>
                <w:rFonts w:ascii="Verdana" w:hAnsi="Verdana"/>
                <w:b/>
                <w:color w:val="7F7F7F" w:themeColor="text1" w:themeTint="80"/>
                <w:sz w:val="22"/>
                <w:szCs w:val="22"/>
                <w:lang w:val="en-US"/>
              </w:rPr>
            </w:pPr>
            <w:r w:rsidRPr="00C24334">
              <w:rPr>
                <w:rFonts w:ascii="Verdana" w:hAnsi="Verdana"/>
                <w:b/>
                <w:color w:val="7F7F7F" w:themeColor="text1" w:themeTint="80"/>
                <w:sz w:val="22"/>
                <w:szCs w:val="22"/>
                <w:lang w:val="en-US"/>
              </w:rPr>
              <w:t>Level playing field is not equal to “one size fits all”</w:t>
            </w:r>
          </w:p>
          <w:p w14:paraId="4788316A" w14:textId="4DF2FF2F" w:rsidR="00F50FA0" w:rsidRPr="00C24334" w:rsidRDefault="00F50FA0" w:rsidP="00020B14">
            <w:pPr>
              <w:tabs>
                <w:tab w:val="left" w:pos="0"/>
              </w:tabs>
              <w:spacing w:after="120"/>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 xml:space="preserve">AMICE would like to stress that the Solvency II legislation is based on the notion of a level playing field across Europe i.e. all policyholders in Europe </w:t>
            </w:r>
            <w:r w:rsidR="008C33A6" w:rsidRPr="00C24334">
              <w:rPr>
                <w:rFonts w:ascii="Verdana" w:hAnsi="Verdana"/>
                <w:color w:val="7F7F7F" w:themeColor="text1" w:themeTint="80"/>
                <w:sz w:val="22"/>
                <w:szCs w:val="22"/>
                <w:lang w:val="en-US"/>
              </w:rPr>
              <w:t xml:space="preserve">should </w:t>
            </w:r>
            <w:r w:rsidRPr="00C24334">
              <w:rPr>
                <w:rFonts w:ascii="Verdana" w:hAnsi="Verdana"/>
                <w:color w:val="7F7F7F" w:themeColor="text1" w:themeTint="80"/>
                <w:sz w:val="22"/>
                <w:szCs w:val="22"/>
                <w:lang w:val="en-US"/>
              </w:rPr>
              <w:t xml:space="preserve">have the same level of protection and all insurers will </w:t>
            </w:r>
            <w:r w:rsidR="00586FF2" w:rsidRPr="00C24334">
              <w:rPr>
                <w:rFonts w:ascii="Verdana" w:hAnsi="Verdana"/>
                <w:color w:val="7F7F7F" w:themeColor="text1" w:themeTint="80"/>
                <w:sz w:val="22"/>
                <w:szCs w:val="22"/>
                <w:lang w:val="en-US"/>
              </w:rPr>
              <w:t xml:space="preserve">be subject to </w:t>
            </w:r>
            <w:r w:rsidRPr="00C24334">
              <w:rPr>
                <w:rFonts w:ascii="Verdana" w:hAnsi="Verdana"/>
                <w:color w:val="7F7F7F" w:themeColor="text1" w:themeTint="80"/>
                <w:sz w:val="22"/>
                <w:szCs w:val="22"/>
                <w:lang w:val="en-US"/>
              </w:rPr>
              <w:t xml:space="preserve">the same </w:t>
            </w:r>
            <w:r w:rsidR="00586FF2" w:rsidRPr="00C24334">
              <w:rPr>
                <w:rFonts w:ascii="Verdana" w:hAnsi="Verdana"/>
                <w:color w:val="7F7F7F" w:themeColor="text1" w:themeTint="80"/>
                <w:sz w:val="22"/>
                <w:szCs w:val="22"/>
                <w:lang w:val="en-US"/>
              </w:rPr>
              <w:t>supervision</w:t>
            </w:r>
            <w:r w:rsidRPr="00C24334">
              <w:rPr>
                <w:rFonts w:ascii="Verdana" w:hAnsi="Verdana"/>
                <w:color w:val="7F7F7F" w:themeColor="text1" w:themeTint="80"/>
                <w:sz w:val="22"/>
                <w:szCs w:val="22"/>
                <w:lang w:val="en-US"/>
              </w:rPr>
              <w:t xml:space="preserve">. However, </w:t>
            </w:r>
            <w:r w:rsidR="00586FF2" w:rsidRPr="00C24334">
              <w:rPr>
                <w:rFonts w:ascii="Verdana" w:hAnsi="Verdana"/>
                <w:color w:val="7F7F7F" w:themeColor="text1" w:themeTint="80"/>
                <w:sz w:val="22"/>
                <w:szCs w:val="22"/>
                <w:lang w:val="en-US"/>
              </w:rPr>
              <w:t xml:space="preserve">ensuring </w:t>
            </w:r>
            <w:r w:rsidR="008C33A6" w:rsidRPr="00C24334">
              <w:rPr>
                <w:rFonts w:ascii="Verdana" w:hAnsi="Verdana"/>
                <w:color w:val="7F7F7F" w:themeColor="text1" w:themeTint="80"/>
                <w:sz w:val="22"/>
                <w:szCs w:val="22"/>
                <w:lang w:val="en-US"/>
              </w:rPr>
              <w:t xml:space="preserve">the same </w:t>
            </w:r>
            <w:r w:rsidRPr="00C24334">
              <w:rPr>
                <w:rFonts w:ascii="Verdana" w:hAnsi="Verdana"/>
                <w:color w:val="7F7F7F" w:themeColor="text1" w:themeTint="80"/>
                <w:sz w:val="22"/>
                <w:szCs w:val="22"/>
                <w:lang w:val="en-US"/>
              </w:rPr>
              <w:t xml:space="preserve">level playing field </w:t>
            </w:r>
            <w:r w:rsidR="00170767" w:rsidRPr="00C24334">
              <w:rPr>
                <w:rFonts w:ascii="Verdana" w:hAnsi="Verdana"/>
                <w:color w:val="7F7F7F" w:themeColor="text1" w:themeTint="80"/>
                <w:sz w:val="22"/>
                <w:szCs w:val="22"/>
                <w:lang w:val="en-US"/>
              </w:rPr>
              <w:t>does</w:t>
            </w:r>
            <w:r w:rsidRPr="00C24334">
              <w:rPr>
                <w:rFonts w:ascii="Verdana" w:hAnsi="Verdana"/>
                <w:color w:val="7F7F7F" w:themeColor="text1" w:themeTint="80"/>
                <w:sz w:val="22"/>
                <w:szCs w:val="22"/>
                <w:lang w:val="en-US"/>
              </w:rPr>
              <w:t xml:space="preserve"> not </w:t>
            </w:r>
            <w:r w:rsidR="008C33A6" w:rsidRPr="00C24334">
              <w:rPr>
                <w:rFonts w:ascii="Verdana" w:hAnsi="Verdana"/>
                <w:color w:val="7F7F7F" w:themeColor="text1" w:themeTint="80"/>
                <w:sz w:val="22"/>
                <w:szCs w:val="22"/>
                <w:lang w:val="en-US"/>
              </w:rPr>
              <w:t xml:space="preserve">mean </w:t>
            </w:r>
            <w:r w:rsidRPr="00C24334">
              <w:rPr>
                <w:rFonts w:ascii="Verdana" w:hAnsi="Verdana"/>
                <w:color w:val="7F7F7F" w:themeColor="text1" w:themeTint="80"/>
                <w:sz w:val="22"/>
                <w:szCs w:val="22"/>
                <w:lang w:val="en-US"/>
              </w:rPr>
              <w:t xml:space="preserve">a “one size fits all” approach. The insurance </w:t>
            </w:r>
            <w:r w:rsidR="00586FF2" w:rsidRPr="00C24334">
              <w:rPr>
                <w:rFonts w:ascii="Verdana" w:hAnsi="Verdana"/>
                <w:color w:val="7F7F7F" w:themeColor="text1" w:themeTint="80"/>
                <w:sz w:val="22"/>
                <w:szCs w:val="22"/>
                <w:lang w:val="en-US"/>
              </w:rPr>
              <w:t xml:space="preserve">business is not homogeneous </w:t>
            </w:r>
            <w:r w:rsidRPr="00C24334">
              <w:rPr>
                <w:rFonts w:ascii="Verdana" w:hAnsi="Verdana"/>
                <w:color w:val="7F7F7F" w:themeColor="text1" w:themeTint="80"/>
                <w:sz w:val="22"/>
                <w:szCs w:val="22"/>
                <w:lang w:val="en-US"/>
              </w:rPr>
              <w:t>across Europe</w:t>
            </w:r>
            <w:r w:rsidR="00586FF2" w:rsidRPr="00C24334">
              <w:rPr>
                <w:rFonts w:ascii="Verdana" w:hAnsi="Verdana"/>
                <w:color w:val="7F7F7F" w:themeColor="text1" w:themeTint="80"/>
                <w:sz w:val="22"/>
                <w:szCs w:val="22"/>
                <w:lang w:val="en-US"/>
              </w:rPr>
              <w:t>,</w:t>
            </w:r>
            <w:r w:rsidRPr="00C24334">
              <w:rPr>
                <w:rFonts w:ascii="Verdana" w:hAnsi="Verdana"/>
                <w:color w:val="7F7F7F" w:themeColor="text1" w:themeTint="80"/>
                <w:sz w:val="22"/>
                <w:szCs w:val="22"/>
                <w:lang w:val="en-US"/>
              </w:rPr>
              <w:t xml:space="preserve"> the Solvency II legislation should </w:t>
            </w:r>
            <w:r w:rsidR="00586FF2" w:rsidRPr="00C24334">
              <w:rPr>
                <w:rFonts w:ascii="Verdana" w:hAnsi="Verdana"/>
                <w:color w:val="7F7F7F" w:themeColor="text1" w:themeTint="80"/>
                <w:sz w:val="22"/>
                <w:szCs w:val="22"/>
                <w:lang w:val="en-US"/>
              </w:rPr>
              <w:t xml:space="preserve">therefore </w:t>
            </w:r>
            <w:r w:rsidRPr="00C24334">
              <w:rPr>
                <w:rFonts w:ascii="Verdana" w:hAnsi="Verdana"/>
                <w:color w:val="7F7F7F" w:themeColor="text1" w:themeTint="80"/>
                <w:sz w:val="22"/>
                <w:szCs w:val="22"/>
                <w:lang w:val="en-US"/>
              </w:rPr>
              <w:t xml:space="preserve">be flexible enough to cope with </w:t>
            </w:r>
            <w:r w:rsidR="00586FF2" w:rsidRPr="00C24334">
              <w:rPr>
                <w:rFonts w:ascii="Verdana" w:hAnsi="Verdana"/>
                <w:color w:val="7F7F7F" w:themeColor="text1" w:themeTint="80"/>
                <w:sz w:val="22"/>
                <w:szCs w:val="22"/>
                <w:lang w:val="en-US"/>
              </w:rPr>
              <w:t>a diverse</w:t>
            </w:r>
            <w:r w:rsidRPr="00C24334">
              <w:rPr>
                <w:rFonts w:ascii="Verdana" w:hAnsi="Verdana"/>
                <w:color w:val="7F7F7F" w:themeColor="text1" w:themeTint="80"/>
                <w:sz w:val="22"/>
                <w:szCs w:val="22"/>
                <w:lang w:val="en-US"/>
              </w:rPr>
              <w:t xml:space="preserve"> landscape while maintaining the key elements as defined in the Directive 2009/138/EC. Principles and not rules should be the distinctive feature </w:t>
            </w:r>
            <w:r w:rsidRPr="00C24334">
              <w:rPr>
                <w:rFonts w:ascii="Verdana" w:hAnsi="Verdana"/>
                <w:color w:val="7F7F7F" w:themeColor="text1" w:themeTint="80"/>
                <w:sz w:val="22"/>
                <w:szCs w:val="22"/>
                <w:lang w:val="en-US"/>
              </w:rPr>
              <w:lastRenderedPageBreak/>
              <w:t xml:space="preserve">of the </w:t>
            </w:r>
            <w:r w:rsidR="008C33A6" w:rsidRPr="00C24334">
              <w:rPr>
                <w:rFonts w:ascii="Verdana" w:hAnsi="Verdana"/>
                <w:color w:val="7F7F7F" w:themeColor="text1" w:themeTint="80"/>
                <w:sz w:val="22"/>
                <w:szCs w:val="22"/>
                <w:lang w:val="en-US"/>
              </w:rPr>
              <w:t>Solvency II</w:t>
            </w:r>
            <w:r w:rsidR="00D51CF6" w:rsidRPr="00C24334">
              <w:rPr>
                <w:rFonts w:ascii="Verdana" w:hAnsi="Verdana"/>
                <w:color w:val="7F7F7F" w:themeColor="text1" w:themeTint="80"/>
                <w:sz w:val="22"/>
                <w:szCs w:val="22"/>
                <w:lang w:val="en-US"/>
              </w:rPr>
              <w:t xml:space="preserve"> </w:t>
            </w:r>
            <w:r w:rsidR="00586FF2" w:rsidRPr="00C24334">
              <w:rPr>
                <w:rFonts w:ascii="Verdana" w:hAnsi="Verdana"/>
                <w:color w:val="7F7F7F" w:themeColor="text1" w:themeTint="80"/>
                <w:sz w:val="22"/>
                <w:szCs w:val="22"/>
                <w:lang w:val="en-US"/>
              </w:rPr>
              <w:t>framework</w:t>
            </w:r>
            <w:r w:rsidRPr="00C24334">
              <w:rPr>
                <w:rFonts w:ascii="Verdana" w:hAnsi="Verdana"/>
                <w:color w:val="7F7F7F" w:themeColor="text1" w:themeTint="80"/>
                <w:sz w:val="22"/>
                <w:szCs w:val="22"/>
                <w:lang w:val="en-US"/>
              </w:rPr>
              <w:t>. In th</w:t>
            </w:r>
            <w:r w:rsidR="00586FF2" w:rsidRPr="00C24334">
              <w:rPr>
                <w:rFonts w:ascii="Verdana" w:hAnsi="Verdana"/>
                <w:color w:val="7F7F7F" w:themeColor="text1" w:themeTint="80"/>
                <w:sz w:val="22"/>
                <w:szCs w:val="22"/>
                <w:lang w:val="en-US"/>
              </w:rPr>
              <w:t>is</w:t>
            </w:r>
            <w:r w:rsidR="008C33A6" w:rsidRPr="00C24334">
              <w:rPr>
                <w:rFonts w:ascii="Verdana" w:hAnsi="Verdana"/>
                <w:color w:val="7F7F7F" w:themeColor="text1" w:themeTint="80"/>
                <w:sz w:val="22"/>
                <w:szCs w:val="22"/>
                <w:lang w:val="en-US"/>
              </w:rPr>
              <w:t xml:space="preserve"> proposed EIOPA´s </w:t>
            </w:r>
            <w:r w:rsidRPr="00C24334">
              <w:rPr>
                <w:rFonts w:ascii="Verdana" w:hAnsi="Verdana"/>
                <w:color w:val="7F7F7F" w:themeColor="text1" w:themeTint="80"/>
                <w:sz w:val="22"/>
                <w:szCs w:val="22"/>
                <w:lang w:val="en-US"/>
              </w:rPr>
              <w:t xml:space="preserve">Opinion on the </w:t>
            </w:r>
            <w:r w:rsidR="008C33A6" w:rsidRPr="00C24334">
              <w:rPr>
                <w:rFonts w:ascii="Verdana" w:hAnsi="Verdana"/>
                <w:color w:val="7F7F7F" w:themeColor="text1" w:themeTint="80"/>
                <w:sz w:val="22"/>
                <w:szCs w:val="22"/>
                <w:lang w:val="en-US"/>
              </w:rPr>
              <w:t xml:space="preserve">Solvency II </w:t>
            </w:r>
            <w:r w:rsidRPr="00C24334">
              <w:rPr>
                <w:rFonts w:ascii="Verdana" w:hAnsi="Verdana"/>
                <w:color w:val="7F7F7F" w:themeColor="text1" w:themeTint="80"/>
                <w:sz w:val="22"/>
                <w:szCs w:val="22"/>
                <w:lang w:val="en-US"/>
              </w:rPr>
              <w:t xml:space="preserve">Review 2020, EIOPA is asking for more rules and clarifications of </w:t>
            </w:r>
            <w:r w:rsidR="008C33A6" w:rsidRPr="00C24334">
              <w:rPr>
                <w:rFonts w:ascii="Verdana" w:hAnsi="Verdana"/>
                <w:color w:val="7F7F7F" w:themeColor="text1" w:themeTint="80"/>
                <w:sz w:val="22"/>
                <w:szCs w:val="22"/>
                <w:lang w:val="en-US"/>
              </w:rPr>
              <w:t xml:space="preserve">different </w:t>
            </w:r>
            <w:r w:rsidRPr="00C24334">
              <w:rPr>
                <w:rFonts w:ascii="Verdana" w:hAnsi="Verdana"/>
                <w:color w:val="7F7F7F" w:themeColor="text1" w:themeTint="80"/>
                <w:sz w:val="22"/>
                <w:szCs w:val="22"/>
                <w:lang w:val="en-US"/>
              </w:rPr>
              <w:t>approaches and definitions. In our view this is contrary to the objective and nature of insurance across Europe.</w:t>
            </w:r>
          </w:p>
          <w:p w14:paraId="77768E49" w14:textId="4A8FAC5D" w:rsidR="00FE2AE4" w:rsidRPr="00C24334" w:rsidRDefault="00F50FA0" w:rsidP="00020B14">
            <w:pPr>
              <w:tabs>
                <w:tab w:val="left" w:pos="0"/>
              </w:tabs>
              <w:rPr>
                <w:rFonts w:ascii="Verdana" w:hAnsi="Verdana"/>
                <w:b/>
                <w:color w:val="7F7F7F" w:themeColor="text1" w:themeTint="80"/>
                <w:sz w:val="22"/>
                <w:szCs w:val="22"/>
                <w:lang w:val="en-US"/>
              </w:rPr>
            </w:pPr>
            <w:r w:rsidRPr="00C24334">
              <w:rPr>
                <w:rFonts w:ascii="Verdana" w:hAnsi="Verdana"/>
                <w:b/>
                <w:color w:val="7F7F7F" w:themeColor="text1" w:themeTint="80"/>
                <w:sz w:val="22"/>
                <w:szCs w:val="22"/>
                <w:lang w:val="en-US"/>
              </w:rPr>
              <w:t xml:space="preserve">Supervisory convergence issues should not </w:t>
            </w:r>
            <w:r w:rsidR="00D51CF6" w:rsidRPr="00C24334">
              <w:rPr>
                <w:rFonts w:ascii="Verdana" w:hAnsi="Verdana"/>
                <w:b/>
                <w:color w:val="7F7F7F" w:themeColor="text1" w:themeTint="80"/>
                <w:sz w:val="22"/>
                <w:szCs w:val="22"/>
                <w:lang w:val="en-US"/>
              </w:rPr>
              <w:t xml:space="preserve">be </w:t>
            </w:r>
            <w:r w:rsidR="00FE2AE4" w:rsidRPr="00C24334">
              <w:rPr>
                <w:rFonts w:ascii="Verdana" w:hAnsi="Verdana"/>
                <w:b/>
                <w:color w:val="7F7F7F" w:themeColor="text1" w:themeTint="80"/>
                <w:sz w:val="22"/>
                <w:szCs w:val="22"/>
                <w:lang w:val="en-US"/>
              </w:rPr>
              <w:t>solved by amending the existing laws and regulations</w:t>
            </w:r>
          </w:p>
          <w:p w14:paraId="000370B0" w14:textId="28F02F71" w:rsidR="00F50FA0" w:rsidRPr="00C24334" w:rsidRDefault="00F50FA0" w:rsidP="00020B14">
            <w:pPr>
              <w:tabs>
                <w:tab w:val="left" w:pos="0"/>
              </w:tabs>
              <w:spacing w:after="120"/>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The Solvency II legislation is based on several layers. The Directive</w:t>
            </w:r>
            <w:r w:rsidR="001462F7" w:rsidRPr="00C24334">
              <w:rPr>
                <w:rFonts w:ascii="Verdana" w:hAnsi="Verdana"/>
                <w:color w:val="7F7F7F" w:themeColor="text1" w:themeTint="80"/>
                <w:sz w:val="22"/>
                <w:szCs w:val="22"/>
                <w:lang w:val="en-US"/>
              </w:rPr>
              <w:t xml:space="preserve"> </w:t>
            </w:r>
            <w:r w:rsidR="00FE2AE4" w:rsidRPr="00C24334">
              <w:rPr>
                <w:rFonts w:ascii="Verdana" w:hAnsi="Verdana"/>
                <w:color w:val="7F7F7F" w:themeColor="text1" w:themeTint="80"/>
                <w:sz w:val="22"/>
                <w:szCs w:val="22"/>
                <w:lang w:val="en-US"/>
              </w:rPr>
              <w:t xml:space="preserve">sets out </w:t>
            </w:r>
            <w:r w:rsidRPr="00C24334">
              <w:rPr>
                <w:rFonts w:ascii="Verdana" w:hAnsi="Verdana"/>
                <w:color w:val="7F7F7F" w:themeColor="text1" w:themeTint="80"/>
                <w:sz w:val="22"/>
                <w:szCs w:val="22"/>
                <w:lang w:val="en-US"/>
              </w:rPr>
              <w:t>the principles and key features</w:t>
            </w:r>
            <w:r w:rsidR="00A37930" w:rsidRPr="00C24334">
              <w:rPr>
                <w:rFonts w:ascii="Verdana" w:hAnsi="Verdana"/>
                <w:color w:val="7F7F7F" w:themeColor="text1" w:themeTint="80"/>
                <w:sz w:val="22"/>
                <w:szCs w:val="22"/>
                <w:lang w:val="en-US"/>
              </w:rPr>
              <w:t xml:space="preserve"> of the regime,</w:t>
            </w:r>
            <w:r w:rsidRPr="00C24334">
              <w:rPr>
                <w:rFonts w:ascii="Verdana" w:hAnsi="Verdana"/>
                <w:color w:val="7F7F7F" w:themeColor="text1" w:themeTint="80"/>
                <w:sz w:val="22"/>
                <w:szCs w:val="22"/>
                <w:lang w:val="en-US"/>
              </w:rPr>
              <w:t xml:space="preserve"> the Regulation</w:t>
            </w:r>
            <w:r w:rsidR="001462F7" w:rsidRPr="00C24334">
              <w:rPr>
                <w:rFonts w:ascii="Verdana" w:hAnsi="Verdana"/>
                <w:color w:val="7F7F7F" w:themeColor="text1" w:themeTint="80"/>
                <w:sz w:val="22"/>
                <w:szCs w:val="22"/>
                <w:lang w:val="en-US"/>
              </w:rPr>
              <w:t xml:space="preserve"> provides</w:t>
            </w:r>
            <w:r w:rsidRPr="00C24334">
              <w:rPr>
                <w:rFonts w:ascii="Verdana" w:hAnsi="Verdana"/>
                <w:color w:val="7F7F7F" w:themeColor="text1" w:themeTint="80"/>
                <w:sz w:val="22"/>
                <w:szCs w:val="22"/>
                <w:lang w:val="en-US"/>
              </w:rPr>
              <w:t xml:space="preserve"> details </w:t>
            </w:r>
            <w:r w:rsidR="001462F7" w:rsidRPr="00C24334">
              <w:rPr>
                <w:rFonts w:ascii="Verdana" w:hAnsi="Verdana"/>
                <w:color w:val="7F7F7F" w:themeColor="text1" w:themeTint="80"/>
                <w:sz w:val="22"/>
                <w:szCs w:val="22"/>
                <w:lang w:val="en-US"/>
              </w:rPr>
              <w:t xml:space="preserve">as to </w:t>
            </w:r>
            <w:r w:rsidRPr="00C24334">
              <w:rPr>
                <w:rFonts w:ascii="Verdana" w:hAnsi="Verdana"/>
                <w:color w:val="7F7F7F" w:themeColor="text1" w:themeTint="80"/>
                <w:sz w:val="22"/>
                <w:szCs w:val="22"/>
                <w:lang w:val="en-US"/>
              </w:rPr>
              <w:t xml:space="preserve">how the </w:t>
            </w:r>
            <w:r w:rsidR="00A37930" w:rsidRPr="00C24334">
              <w:rPr>
                <w:rFonts w:ascii="Verdana" w:hAnsi="Verdana"/>
                <w:color w:val="7F7F7F" w:themeColor="text1" w:themeTint="80"/>
                <w:sz w:val="22"/>
                <w:szCs w:val="22"/>
                <w:lang w:val="en-US"/>
              </w:rPr>
              <w:t xml:space="preserve">Solvency II </w:t>
            </w:r>
            <w:r w:rsidRPr="00C24334">
              <w:rPr>
                <w:rFonts w:ascii="Verdana" w:hAnsi="Verdana"/>
                <w:color w:val="7F7F7F" w:themeColor="text1" w:themeTint="80"/>
                <w:sz w:val="22"/>
                <w:szCs w:val="22"/>
                <w:lang w:val="en-US"/>
              </w:rPr>
              <w:t xml:space="preserve">principles are to be implemented and </w:t>
            </w:r>
            <w:r w:rsidR="001462F7" w:rsidRPr="00C24334">
              <w:rPr>
                <w:rFonts w:ascii="Verdana" w:hAnsi="Verdana"/>
                <w:color w:val="7F7F7F" w:themeColor="text1" w:themeTint="80"/>
                <w:sz w:val="22"/>
                <w:szCs w:val="22"/>
                <w:lang w:val="en-US"/>
              </w:rPr>
              <w:t>the s</w:t>
            </w:r>
            <w:r w:rsidRPr="00C24334">
              <w:rPr>
                <w:rFonts w:ascii="Verdana" w:hAnsi="Verdana"/>
                <w:color w:val="7F7F7F" w:themeColor="text1" w:themeTint="80"/>
                <w:sz w:val="22"/>
                <w:szCs w:val="22"/>
                <w:lang w:val="en-US"/>
              </w:rPr>
              <w:t>upervisory guidelines</w:t>
            </w:r>
            <w:r w:rsidR="001462F7" w:rsidRPr="00C24334">
              <w:rPr>
                <w:rFonts w:ascii="Verdana" w:hAnsi="Verdana"/>
                <w:color w:val="7F7F7F" w:themeColor="text1" w:themeTint="80"/>
                <w:sz w:val="22"/>
                <w:szCs w:val="22"/>
                <w:lang w:val="en-US"/>
              </w:rPr>
              <w:t xml:space="preserve"> </w:t>
            </w:r>
            <w:r w:rsidRPr="00C24334">
              <w:rPr>
                <w:rFonts w:ascii="Verdana" w:hAnsi="Verdana"/>
                <w:color w:val="7F7F7F" w:themeColor="text1" w:themeTint="80"/>
                <w:sz w:val="22"/>
                <w:szCs w:val="22"/>
                <w:lang w:val="en-US"/>
              </w:rPr>
              <w:t xml:space="preserve">ensure a level playing field across Europe. In our opinion, EIOPA is proposing </w:t>
            </w:r>
            <w:r w:rsidR="008C33A6" w:rsidRPr="00C24334">
              <w:rPr>
                <w:rFonts w:ascii="Verdana" w:hAnsi="Verdana"/>
                <w:color w:val="7F7F7F" w:themeColor="text1" w:themeTint="80"/>
                <w:sz w:val="22"/>
                <w:szCs w:val="22"/>
                <w:lang w:val="en-US"/>
              </w:rPr>
              <w:t xml:space="preserve">in </w:t>
            </w:r>
            <w:r w:rsidR="00586FF2" w:rsidRPr="00C24334">
              <w:rPr>
                <w:rFonts w:ascii="Verdana" w:hAnsi="Verdana"/>
                <w:color w:val="7F7F7F" w:themeColor="text1" w:themeTint="80"/>
                <w:sz w:val="22"/>
                <w:szCs w:val="22"/>
                <w:lang w:val="en-US"/>
              </w:rPr>
              <w:t xml:space="preserve">too </w:t>
            </w:r>
            <w:r w:rsidR="008C33A6" w:rsidRPr="00C24334">
              <w:rPr>
                <w:rFonts w:ascii="Verdana" w:hAnsi="Verdana"/>
                <w:color w:val="7F7F7F" w:themeColor="text1" w:themeTint="80"/>
                <w:sz w:val="22"/>
                <w:szCs w:val="22"/>
                <w:lang w:val="en-US"/>
              </w:rPr>
              <w:t>many places</w:t>
            </w:r>
            <w:r w:rsidRPr="00C24334">
              <w:rPr>
                <w:rFonts w:ascii="Verdana" w:hAnsi="Verdana"/>
                <w:color w:val="7F7F7F" w:themeColor="text1" w:themeTint="80"/>
                <w:sz w:val="22"/>
                <w:szCs w:val="22"/>
                <w:lang w:val="en-US"/>
              </w:rPr>
              <w:t xml:space="preserve"> to </w:t>
            </w:r>
            <w:r w:rsidR="00FE2AE4" w:rsidRPr="00C24334">
              <w:rPr>
                <w:rFonts w:ascii="Verdana" w:hAnsi="Verdana"/>
                <w:color w:val="7F7F7F" w:themeColor="text1" w:themeTint="80"/>
                <w:sz w:val="22"/>
                <w:szCs w:val="22"/>
                <w:lang w:val="en-US"/>
              </w:rPr>
              <w:t xml:space="preserve">transpose </w:t>
            </w:r>
            <w:r w:rsidR="00586FF2" w:rsidRPr="00C24334">
              <w:rPr>
                <w:rFonts w:ascii="Verdana" w:hAnsi="Verdana"/>
                <w:color w:val="7F7F7F" w:themeColor="text1" w:themeTint="80"/>
                <w:sz w:val="22"/>
                <w:szCs w:val="22"/>
                <w:lang w:val="en-US"/>
              </w:rPr>
              <w:t xml:space="preserve">elements of the </w:t>
            </w:r>
            <w:r w:rsidR="00FE2AE4" w:rsidRPr="00C24334">
              <w:rPr>
                <w:rFonts w:ascii="Verdana" w:hAnsi="Verdana"/>
                <w:color w:val="7F7F7F" w:themeColor="text1" w:themeTint="80"/>
                <w:sz w:val="22"/>
                <w:szCs w:val="22"/>
                <w:lang w:val="en-US"/>
              </w:rPr>
              <w:t>G</w:t>
            </w:r>
            <w:r w:rsidRPr="00C24334">
              <w:rPr>
                <w:rFonts w:ascii="Verdana" w:hAnsi="Verdana"/>
                <w:color w:val="7F7F7F" w:themeColor="text1" w:themeTint="80"/>
                <w:sz w:val="22"/>
                <w:szCs w:val="22"/>
                <w:lang w:val="en-US"/>
              </w:rPr>
              <w:t xml:space="preserve">uidelines </w:t>
            </w:r>
            <w:r w:rsidR="00FE2AE4" w:rsidRPr="00C24334">
              <w:rPr>
                <w:rFonts w:ascii="Verdana" w:hAnsi="Verdana"/>
                <w:color w:val="7F7F7F" w:themeColor="text1" w:themeTint="80"/>
                <w:sz w:val="22"/>
                <w:szCs w:val="22"/>
                <w:lang w:val="en-US"/>
              </w:rPr>
              <w:t xml:space="preserve">into the </w:t>
            </w:r>
            <w:r w:rsidR="00307E7D" w:rsidRPr="00C24334">
              <w:rPr>
                <w:rFonts w:ascii="Verdana" w:hAnsi="Verdana"/>
                <w:color w:val="7F7F7F" w:themeColor="text1" w:themeTint="80"/>
                <w:sz w:val="22"/>
                <w:szCs w:val="22"/>
                <w:lang w:val="en-US"/>
              </w:rPr>
              <w:t xml:space="preserve">Solvency </w:t>
            </w:r>
            <w:r w:rsidRPr="00C24334">
              <w:rPr>
                <w:rFonts w:ascii="Verdana" w:hAnsi="Verdana"/>
                <w:color w:val="7F7F7F" w:themeColor="text1" w:themeTint="80"/>
                <w:sz w:val="22"/>
                <w:szCs w:val="22"/>
                <w:lang w:val="en-US"/>
              </w:rPr>
              <w:t xml:space="preserve">Directive or </w:t>
            </w:r>
            <w:r w:rsidR="00FE2AE4" w:rsidRPr="00C24334">
              <w:rPr>
                <w:rFonts w:ascii="Verdana" w:hAnsi="Verdana"/>
                <w:color w:val="7F7F7F" w:themeColor="text1" w:themeTint="80"/>
                <w:sz w:val="22"/>
                <w:szCs w:val="22"/>
                <w:lang w:val="en-US"/>
              </w:rPr>
              <w:t>Delegated Acts</w:t>
            </w:r>
            <w:r w:rsidRPr="00C24334">
              <w:rPr>
                <w:rFonts w:ascii="Verdana" w:hAnsi="Verdana"/>
                <w:color w:val="7F7F7F" w:themeColor="text1" w:themeTint="80"/>
                <w:sz w:val="22"/>
                <w:szCs w:val="22"/>
                <w:lang w:val="en-US"/>
              </w:rPr>
              <w:t xml:space="preserve">. </w:t>
            </w:r>
            <w:r w:rsidR="00FE2AE4" w:rsidRPr="00C24334">
              <w:rPr>
                <w:rFonts w:ascii="Verdana" w:hAnsi="Verdana"/>
                <w:color w:val="7F7F7F" w:themeColor="text1" w:themeTint="80"/>
                <w:sz w:val="22"/>
                <w:szCs w:val="22"/>
                <w:lang w:val="en-US"/>
              </w:rPr>
              <w:t>S</w:t>
            </w:r>
            <w:r w:rsidRPr="00C24334">
              <w:rPr>
                <w:rFonts w:ascii="Verdana" w:hAnsi="Verdana"/>
                <w:color w:val="7F7F7F" w:themeColor="text1" w:themeTint="80"/>
                <w:sz w:val="22"/>
                <w:szCs w:val="22"/>
                <w:lang w:val="en-US"/>
              </w:rPr>
              <w:t xml:space="preserve">upervisory convergence </w:t>
            </w:r>
            <w:r w:rsidR="00307E7D" w:rsidRPr="00C24334">
              <w:rPr>
                <w:rFonts w:ascii="Verdana" w:hAnsi="Verdana"/>
                <w:color w:val="7F7F7F" w:themeColor="text1" w:themeTint="80"/>
                <w:sz w:val="22"/>
                <w:szCs w:val="22"/>
                <w:lang w:val="en-US"/>
              </w:rPr>
              <w:t xml:space="preserve">should </w:t>
            </w:r>
            <w:r w:rsidR="00586FF2" w:rsidRPr="00C24334">
              <w:rPr>
                <w:rFonts w:ascii="Verdana" w:hAnsi="Verdana"/>
                <w:color w:val="7F7F7F" w:themeColor="text1" w:themeTint="80"/>
                <w:sz w:val="22"/>
                <w:szCs w:val="22"/>
                <w:lang w:val="en-US"/>
              </w:rPr>
              <w:t xml:space="preserve">instead </w:t>
            </w:r>
            <w:r w:rsidR="00307E7D" w:rsidRPr="00C24334">
              <w:rPr>
                <w:rFonts w:ascii="Verdana" w:hAnsi="Verdana"/>
                <w:color w:val="7F7F7F" w:themeColor="text1" w:themeTint="80"/>
                <w:sz w:val="22"/>
                <w:szCs w:val="22"/>
                <w:lang w:val="en-US"/>
              </w:rPr>
              <w:t xml:space="preserve">be achieved through </w:t>
            </w:r>
            <w:r w:rsidR="00586FF2" w:rsidRPr="00C24334">
              <w:rPr>
                <w:rFonts w:ascii="Verdana" w:hAnsi="Verdana"/>
                <w:color w:val="7F7F7F" w:themeColor="text1" w:themeTint="80"/>
                <w:sz w:val="22"/>
                <w:szCs w:val="22"/>
                <w:lang w:val="en-US"/>
              </w:rPr>
              <w:t xml:space="preserve">the development of </w:t>
            </w:r>
            <w:r w:rsidR="00307E7D" w:rsidRPr="00C24334">
              <w:rPr>
                <w:rFonts w:ascii="Verdana" w:hAnsi="Verdana"/>
                <w:color w:val="7F7F7F" w:themeColor="text1" w:themeTint="80"/>
                <w:sz w:val="22"/>
                <w:szCs w:val="22"/>
                <w:lang w:val="en-US"/>
              </w:rPr>
              <w:t xml:space="preserve">guidelines, peer reviews, supervisory statements, thematic reviews, the </w:t>
            </w:r>
            <w:r w:rsidR="00343112" w:rsidRPr="00C24334">
              <w:rPr>
                <w:rFonts w:ascii="Verdana" w:hAnsi="Verdana"/>
                <w:color w:val="7F7F7F" w:themeColor="text1" w:themeTint="80"/>
                <w:sz w:val="22"/>
                <w:szCs w:val="22"/>
                <w:lang w:val="en-US"/>
              </w:rPr>
              <w:t xml:space="preserve">application of the </w:t>
            </w:r>
            <w:r w:rsidR="00307E7D" w:rsidRPr="00C24334">
              <w:rPr>
                <w:rFonts w:ascii="Verdana" w:hAnsi="Verdana"/>
                <w:color w:val="7F7F7F" w:themeColor="text1" w:themeTint="80"/>
                <w:sz w:val="22"/>
                <w:szCs w:val="22"/>
                <w:lang w:val="en-US"/>
              </w:rPr>
              <w:t xml:space="preserve">EIOPA´s Supervisory Handbook </w:t>
            </w:r>
            <w:r w:rsidR="00D51CF6" w:rsidRPr="00C24334">
              <w:rPr>
                <w:rFonts w:ascii="Verdana" w:hAnsi="Verdana"/>
                <w:color w:val="7F7F7F" w:themeColor="text1" w:themeTint="80"/>
                <w:sz w:val="22"/>
                <w:szCs w:val="22"/>
                <w:lang w:val="en-US"/>
              </w:rPr>
              <w:t>etc.</w:t>
            </w:r>
            <w:r w:rsidR="00307E7D" w:rsidRPr="00C24334">
              <w:rPr>
                <w:rFonts w:ascii="Verdana" w:hAnsi="Verdana"/>
                <w:color w:val="7F7F7F" w:themeColor="text1" w:themeTint="80"/>
                <w:sz w:val="22"/>
                <w:szCs w:val="22"/>
                <w:lang w:val="en-US"/>
              </w:rPr>
              <w:t xml:space="preserve"> and not by amending the existing </w:t>
            </w:r>
            <w:r w:rsidR="00524974" w:rsidRPr="00C24334">
              <w:rPr>
                <w:rFonts w:ascii="Verdana" w:hAnsi="Verdana"/>
                <w:color w:val="7F7F7F" w:themeColor="text1" w:themeTint="80"/>
                <w:sz w:val="22"/>
                <w:szCs w:val="22"/>
                <w:lang w:val="en-US"/>
              </w:rPr>
              <w:t xml:space="preserve">Solvency II </w:t>
            </w:r>
            <w:r w:rsidR="00307E7D" w:rsidRPr="00C24334">
              <w:rPr>
                <w:rFonts w:ascii="Verdana" w:hAnsi="Verdana"/>
                <w:color w:val="7F7F7F" w:themeColor="text1" w:themeTint="80"/>
                <w:sz w:val="22"/>
                <w:szCs w:val="22"/>
                <w:lang w:val="en-US"/>
              </w:rPr>
              <w:t>legislation.</w:t>
            </w:r>
            <w:r w:rsidRPr="00C24334">
              <w:rPr>
                <w:rFonts w:ascii="Verdana" w:hAnsi="Verdana"/>
                <w:color w:val="7F7F7F" w:themeColor="text1" w:themeTint="80"/>
                <w:sz w:val="22"/>
                <w:szCs w:val="22"/>
                <w:lang w:val="en-US"/>
              </w:rPr>
              <w:t xml:space="preserve"> </w:t>
            </w:r>
            <w:r w:rsidR="00524974" w:rsidRPr="00C24334">
              <w:rPr>
                <w:rFonts w:ascii="Verdana" w:hAnsi="Verdana"/>
                <w:color w:val="7F7F7F" w:themeColor="text1" w:themeTint="80"/>
                <w:sz w:val="22"/>
                <w:szCs w:val="22"/>
                <w:lang w:val="en-US"/>
              </w:rPr>
              <w:t>Flexibility should exist to cope with the differences of the underlying legislation across the European Union.</w:t>
            </w:r>
          </w:p>
          <w:p w14:paraId="1F06AECF" w14:textId="42169D7A" w:rsidR="00F50FA0" w:rsidRPr="00C24334" w:rsidRDefault="00F50FA0" w:rsidP="00020B14">
            <w:pPr>
              <w:tabs>
                <w:tab w:val="left" w:pos="0"/>
              </w:tabs>
              <w:rPr>
                <w:rFonts w:ascii="Verdana" w:hAnsi="Verdana"/>
                <w:b/>
                <w:color w:val="7F7F7F" w:themeColor="text1" w:themeTint="80"/>
                <w:sz w:val="22"/>
                <w:szCs w:val="22"/>
                <w:lang w:val="en-US"/>
              </w:rPr>
            </w:pPr>
            <w:r w:rsidRPr="00C24334">
              <w:rPr>
                <w:rFonts w:ascii="Verdana" w:hAnsi="Verdana"/>
                <w:b/>
                <w:color w:val="7F7F7F" w:themeColor="text1" w:themeTint="80"/>
                <w:sz w:val="22"/>
                <w:szCs w:val="22"/>
                <w:lang w:val="en-US"/>
              </w:rPr>
              <w:t xml:space="preserve">How do the proposals really work out for the different segments of </w:t>
            </w:r>
            <w:r w:rsidR="00366457" w:rsidRPr="00C24334">
              <w:rPr>
                <w:rFonts w:ascii="Verdana" w:hAnsi="Verdana"/>
                <w:b/>
                <w:color w:val="7F7F7F" w:themeColor="text1" w:themeTint="80"/>
                <w:sz w:val="22"/>
                <w:szCs w:val="22"/>
                <w:lang w:val="en-US"/>
              </w:rPr>
              <w:t>insurers?</w:t>
            </w:r>
          </w:p>
          <w:p w14:paraId="22C6087F" w14:textId="7421EE2C" w:rsidR="00307E7D" w:rsidRPr="00C24334" w:rsidRDefault="00307E7D" w:rsidP="00020B14">
            <w:pPr>
              <w:tabs>
                <w:tab w:val="left" w:pos="0"/>
              </w:tabs>
              <w:spacing w:after="120"/>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In Europe, i</w:t>
            </w:r>
            <w:r w:rsidR="00F50FA0" w:rsidRPr="00C24334">
              <w:rPr>
                <w:rFonts w:ascii="Verdana" w:hAnsi="Verdana"/>
                <w:color w:val="7F7F7F" w:themeColor="text1" w:themeTint="80"/>
                <w:sz w:val="22"/>
                <w:szCs w:val="22"/>
                <w:lang w:val="en-US"/>
              </w:rPr>
              <w:t>nsurance products are sold via a range of insurers</w:t>
            </w:r>
            <w:r w:rsidRPr="00C24334">
              <w:rPr>
                <w:rFonts w:ascii="Verdana" w:hAnsi="Verdana"/>
                <w:color w:val="7F7F7F" w:themeColor="text1" w:themeTint="80"/>
                <w:sz w:val="22"/>
                <w:szCs w:val="22"/>
                <w:lang w:val="en-US"/>
              </w:rPr>
              <w:t xml:space="preserve"> </w:t>
            </w:r>
            <w:r w:rsidR="00962713" w:rsidRPr="00C24334">
              <w:rPr>
                <w:rFonts w:ascii="Verdana" w:hAnsi="Verdana"/>
                <w:color w:val="7F7F7F" w:themeColor="text1" w:themeTint="80"/>
                <w:sz w:val="22"/>
                <w:szCs w:val="22"/>
                <w:lang w:val="en-US"/>
              </w:rPr>
              <w:t>i.e.</w:t>
            </w:r>
            <w:r w:rsidRPr="00C24334">
              <w:rPr>
                <w:rFonts w:ascii="Verdana" w:hAnsi="Verdana"/>
                <w:color w:val="7F7F7F" w:themeColor="text1" w:themeTint="80"/>
                <w:sz w:val="22"/>
                <w:szCs w:val="22"/>
                <w:lang w:val="en-US"/>
              </w:rPr>
              <w:t xml:space="preserve"> i</w:t>
            </w:r>
            <w:r w:rsidR="00F50FA0" w:rsidRPr="00C24334">
              <w:rPr>
                <w:rFonts w:ascii="Verdana" w:hAnsi="Verdana"/>
                <w:color w:val="7F7F7F" w:themeColor="text1" w:themeTint="80"/>
                <w:sz w:val="22"/>
                <w:szCs w:val="22"/>
                <w:lang w:val="en-US"/>
              </w:rPr>
              <w:t xml:space="preserve">nsurers being part of international groups, </w:t>
            </w:r>
            <w:r w:rsidRPr="00C24334">
              <w:rPr>
                <w:rFonts w:ascii="Verdana" w:hAnsi="Verdana"/>
                <w:color w:val="7F7F7F" w:themeColor="text1" w:themeTint="80"/>
                <w:sz w:val="22"/>
                <w:szCs w:val="22"/>
                <w:lang w:val="en-US"/>
              </w:rPr>
              <w:t>mutual entities and cooperatives</w:t>
            </w:r>
            <w:r w:rsidR="00F50FA0" w:rsidRPr="00C24334">
              <w:rPr>
                <w:rFonts w:ascii="Verdana" w:hAnsi="Verdana"/>
                <w:color w:val="7F7F7F" w:themeColor="text1" w:themeTint="80"/>
                <w:sz w:val="22"/>
                <w:szCs w:val="22"/>
                <w:lang w:val="en-US"/>
              </w:rPr>
              <w:t xml:space="preserve">, small </w:t>
            </w:r>
            <w:r w:rsidR="00C33865" w:rsidRPr="00C24334">
              <w:rPr>
                <w:rFonts w:ascii="Verdana" w:hAnsi="Verdana"/>
                <w:color w:val="7F7F7F" w:themeColor="text1" w:themeTint="80"/>
                <w:sz w:val="22"/>
                <w:szCs w:val="22"/>
                <w:lang w:val="en-US"/>
              </w:rPr>
              <w:t xml:space="preserve">and </w:t>
            </w:r>
            <w:r w:rsidR="00F50FA0" w:rsidRPr="00C24334">
              <w:rPr>
                <w:rFonts w:ascii="Verdana" w:hAnsi="Verdana"/>
                <w:color w:val="7F7F7F" w:themeColor="text1" w:themeTint="80"/>
                <w:sz w:val="22"/>
                <w:szCs w:val="22"/>
                <w:lang w:val="en-US"/>
              </w:rPr>
              <w:t xml:space="preserve">medium </w:t>
            </w:r>
            <w:r w:rsidRPr="00C24334">
              <w:rPr>
                <w:rFonts w:ascii="Verdana" w:hAnsi="Verdana"/>
                <w:color w:val="7F7F7F" w:themeColor="text1" w:themeTint="80"/>
                <w:sz w:val="22"/>
                <w:szCs w:val="22"/>
                <w:lang w:val="en-US"/>
              </w:rPr>
              <w:t>entities</w:t>
            </w:r>
            <w:r w:rsidR="00F50FA0" w:rsidRPr="00C24334">
              <w:rPr>
                <w:rFonts w:ascii="Verdana" w:hAnsi="Verdana"/>
                <w:color w:val="7F7F7F" w:themeColor="text1" w:themeTint="80"/>
                <w:sz w:val="22"/>
                <w:szCs w:val="22"/>
                <w:lang w:val="en-US"/>
              </w:rPr>
              <w:t xml:space="preserve">. Most </w:t>
            </w:r>
            <w:r w:rsidRPr="00C24334">
              <w:rPr>
                <w:rFonts w:ascii="Verdana" w:hAnsi="Verdana"/>
                <w:color w:val="7F7F7F" w:themeColor="text1" w:themeTint="80"/>
                <w:sz w:val="22"/>
                <w:szCs w:val="22"/>
                <w:lang w:val="en-US"/>
              </w:rPr>
              <w:t xml:space="preserve">insurers </w:t>
            </w:r>
            <w:r w:rsidR="00F50FA0" w:rsidRPr="00C24334">
              <w:rPr>
                <w:rFonts w:ascii="Verdana" w:hAnsi="Verdana"/>
                <w:color w:val="7F7F7F" w:themeColor="text1" w:themeTint="80"/>
                <w:sz w:val="22"/>
                <w:szCs w:val="22"/>
                <w:lang w:val="en-US"/>
              </w:rPr>
              <w:t xml:space="preserve">have unique characteristics </w:t>
            </w:r>
            <w:r w:rsidRPr="00C24334">
              <w:rPr>
                <w:rFonts w:ascii="Verdana" w:hAnsi="Verdana"/>
                <w:color w:val="7F7F7F" w:themeColor="text1" w:themeTint="80"/>
                <w:sz w:val="22"/>
                <w:szCs w:val="22"/>
                <w:lang w:val="en-US"/>
              </w:rPr>
              <w:t xml:space="preserve">which are </w:t>
            </w:r>
            <w:r w:rsidR="00F50FA0" w:rsidRPr="00C24334">
              <w:rPr>
                <w:rFonts w:ascii="Verdana" w:hAnsi="Verdana"/>
                <w:color w:val="7F7F7F" w:themeColor="text1" w:themeTint="80"/>
                <w:sz w:val="22"/>
                <w:szCs w:val="22"/>
                <w:lang w:val="en-US"/>
              </w:rPr>
              <w:t xml:space="preserve">based on </w:t>
            </w:r>
            <w:r w:rsidRPr="00C24334">
              <w:rPr>
                <w:rFonts w:ascii="Verdana" w:hAnsi="Verdana"/>
                <w:color w:val="7F7F7F" w:themeColor="text1" w:themeTint="80"/>
                <w:sz w:val="22"/>
                <w:szCs w:val="22"/>
                <w:lang w:val="en-US"/>
              </w:rPr>
              <w:t>their history</w:t>
            </w:r>
            <w:r w:rsidR="00F50FA0" w:rsidRPr="00C24334">
              <w:rPr>
                <w:rFonts w:ascii="Verdana" w:hAnsi="Verdana"/>
                <w:color w:val="7F7F7F" w:themeColor="text1" w:themeTint="80"/>
                <w:sz w:val="22"/>
                <w:szCs w:val="22"/>
                <w:lang w:val="en-US"/>
              </w:rPr>
              <w:t xml:space="preserve">. This heterogeneity </w:t>
            </w:r>
            <w:r w:rsidRPr="00C24334">
              <w:rPr>
                <w:rFonts w:ascii="Verdana" w:hAnsi="Verdana"/>
                <w:color w:val="7F7F7F" w:themeColor="text1" w:themeTint="80"/>
                <w:sz w:val="22"/>
                <w:szCs w:val="22"/>
                <w:lang w:val="en-US"/>
              </w:rPr>
              <w:t xml:space="preserve">in the European insurance market </w:t>
            </w:r>
            <w:r w:rsidR="00F50FA0" w:rsidRPr="00C24334">
              <w:rPr>
                <w:rFonts w:ascii="Verdana" w:hAnsi="Verdana"/>
                <w:color w:val="7F7F7F" w:themeColor="text1" w:themeTint="80"/>
                <w:sz w:val="22"/>
                <w:szCs w:val="22"/>
                <w:lang w:val="en-US"/>
              </w:rPr>
              <w:t xml:space="preserve">is positive as it ensures competitiveness, innovation and </w:t>
            </w:r>
            <w:r w:rsidR="00343112" w:rsidRPr="00C24334">
              <w:rPr>
                <w:rFonts w:ascii="Verdana" w:hAnsi="Verdana"/>
                <w:color w:val="7F7F7F" w:themeColor="text1" w:themeTint="80"/>
                <w:sz w:val="22"/>
                <w:szCs w:val="22"/>
                <w:lang w:val="en-US"/>
              </w:rPr>
              <w:t>a wider</w:t>
            </w:r>
            <w:r w:rsidR="00F50FA0" w:rsidRPr="00C24334">
              <w:rPr>
                <w:rFonts w:ascii="Verdana" w:hAnsi="Verdana"/>
                <w:color w:val="7F7F7F" w:themeColor="text1" w:themeTint="80"/>
                <w:sz w:val="22"/>
                <w:szCs w:val="22"/>
                <w:lang w:val="en-US"/>
              </w:rPr>
              <w:t xml:space="preserve"> choice for policyholders. However, the Solvency II</w:t>
            </w:r>
            <w:r w:rsidR="00F50FA0" w:rsidRPr="00C24334">
              <w:rPr>
                <w:color w:val="7F7F7F" w:themeColor="text1" w:themeTint="80"/>
                <w:lang w:val="en-US"/>
              </w:rPr>
              <w:t xml:space="preserve"> </w:t>
            </w:r>
            <w:r w:rsidR="00F50FA0" w:rsidRPr="00C24334">
              <w:rPr>
                <w:rFonts w:ascii="Verdana" w:hAnsi="Verdana"/>
                <w:color w:val="7F7F7F" w:themeColor="text1" w:themeTint="80"/>
                <w:sz w:val="22"/>
                <w:szCs w:val="22"/>
                <w:lang w:val="en-US"/>
              </w:rPr>
              <w:t xml:space="preserve">legislation </w:t>
            </w:r>
            <w:r w:rsidRPr="00C24334">
              <w:rPr>
                <w:rFonts w:ascii="Verdana" w:hAnsi="Verdana"/>
                <w:color w:val="7F7F7F" w:themeColor="text1" w:themeTint="80"/>
                <w:sz w:val="22"/>
                <w:szCs w:val="22"/>
                <w:lang w:val="en-US"/>
              </w:rPr>
              <w:t>has been developed and calibrated on the basis on an</w:t>
            </w:r>
            <w:r w:rsidR="00F50FA0" w:rsidRPr="00C24334">
              <w:rPr>
                <w:rFonts w:ascii="Verdana" w:hAnsi="Verdana"/>
                <w:color w:val="7F7F7F" w:themeColor="text1" w:themeTint="80"/>
                <w:sz w:val="22"/>
                <w:szCs w:val="22"/>
                <w:lang w:val="en-US"/>
              </w:rPr>
              <w:t xml:space="preserve"> average European insurer. </w:t>
            </w:r>
            <w:r w:rsidRPr="00C24334">
              <w:rPr>
                <w:rFonts w:ascii="Verdana" w:hAnsi="Verdana"/>
                <w:color w:val="7F7F7F" w:themeColor="text1" w:themeTint="80"/>
                <w:sz w:val="22"/>
                <w:szCs w:val="22"/>
                <w:lang w:val="en-US"/>
              </w:rPr>
              <w:t>The p</w:t>
            </w:r>
            <w:r w:rsidR="00F50FA0" w:rsidRPr="00C24334">
              <w:rPr>
                <w:rFonts w:ascii="Verdana" w:hAnsi="Verdana"/>
                <w:color w:val="7F7F7F" w:themeColor="text1" w:themeTint="80"/>
                <w:sz w:val="22"/>
                <w:szCs w:val="22"/>
                <w:lang w:val="en-US"/>
              </w:rPr>
              <w:t xml:space="preserve">roportionality </w:t>
            </w:r>
            <w:r w:rsidRPr="00C24334">
              <w:rPr>
                <w:rFonts w:ascii="Verdana" w:hAnsi="Verdana"/>
                <w:color w:val="7F7F7F" w:themeColor="text1" w:themeTint="80"/>
                <w:sz w:val="22"/>
                <w:szCs w:val="22"/>
                <w:lang w:val="en-US"/>
              </w:rPr>
              <w:t xml:space="preserve">principle </w:t>
            </w:r>
            <w:r w:rsidR="00F50FA0" w:rsidRPr="00C24334">
              <w:rPr>
                <w:rFonts w:ascii="Verdana" w:hAnsi="Verdana"/>
                <w:color w:val="7F7F7F" w:themeColor="text1" w:themeTint="80"/>
                <w:sz w:val="22"/>
                <w:szCs w:val="22"/>
                <w:lang w:val="en-US"/>
              </w:rPr>
              <w:t xml:space="preserve">should ensure </w:t>
            </w:r>
            <w:r w:rsidRPr="00C24334">
              <w:rPr>
                <w:rFonts w:ascii="Verdana" w:hAnsi="Verdana"/>
                <w:color w:val="7F7F7F" w:themeColor="text1" w:themeTint="80"/>
                <w:sz w:val="22"/>
                <w:szCs w:val="22"/>
                <w:lang w:val="en-US"/>
              </w:rPr>
              <w:lastRenderedPageBreak/>
              <w:t xml:space="preserve">that the Solvency II regime is also </w:t>
            </w:r>
            <w:r w:rsidR="00F50FA0" w:rsidRPr="00C24334">
              <w:rPr>
                <w:rFonts w:ascii="Verdana" w:hAnsi="Verdana"/>
                <w:color w:val="7F7F7F" w:themeColor="text1" w:themeTint="80"/>
                <w:sz w:val="22"/>
                <w:szCs w:val="22"/>
                <w:lang w:val="en-US"/>
              </w:rPr>
              <w:t xml:space="preserve">appropriate </w:t>
            </w:r>
            <w:r w:rsidRPr="00C24334">
              <w:rPr>
                <w:rFonts w:ascii="Verdana" w:hAnsi="Verdana"/>
                <w:color w:val="7F7F7F" w:themeColor="text1" w:themeTint="80"/>
                <w:sz w:val="22"/>
                <w:szCs w:val="22"/>
                <w:lang w:val="en-US"/>
              </w:rPr>
              <w:t xml:space="preserve">for small and medium </w:t>
            </w:r>
            <w:r w:rsidR="00C33865" w:rsidRPr="00C24334">
              <w:rPr>
                <w:rFonts w:ascii="Verdana" w:hAnsi="Verdana"/>
                <w:color w:val="7F7F7F" w:themeColor="text1" w:themeTint="80"/>
                <w:sz w:val="22"/>
                <w:szCs w:val="22"/>
                <w:lang w:val="en-US"/>
              </w:rPr>
              <w:t>size</w:t>
            </w:r>
            <w:r w:rsidR="00BF3B56" w:rsidRPr="00C24334">
              <w:rPr>
                <w:rFonts w:ascii="Verdana" w:hAnsi="Verdana"/>
                <w:color w:val="7F7F7F" w:themeColor="text1" w:themeTint="80"/>
                <w:sz w:val="22"/>
                <w:szCs w:val="22"/>
                <w:lang w:val="en-US"/>
              </w:rPr>
              <w:t>d</w:t>
            </w:r>
            <w:r w:rsidR="00C33865" w:rsidRPr="00C24334">
              <w:rPr>
                <w:rFonts w:ascii="Verdana" w:hAnsi="Verdana"/>
                <w:color w:val="7F7F7F" w:themeColor="text1" w:themeTint="80"/>
                <w:sz w:val="22"/>
                <w:szCs w:val="22"/>
                <w:lang w:val="en-US"/>
              </w:rPr>
              <w:t xml:space="preserve"> </w:t>
            </w:r>
            <w:r w:rsidRPr="00C24334">
              <w:rPr>
                <w:rFonts w:ascii="Verdana" w:hAnsi="Verdana"/>
                <w:color w:val="7F7F7F" w:themeColor="text1" w:themeTint="80"/>
                <w:sz w:val="22"/>
                <w:szCs w:val="22"/>
                <w:lang w:val="en-US"/>
              </w:rPr>
              <w:t>undertakings</w:t>
            </w:r>
            <w:r w:rsidR="00F50FA0" w:rsidRPr="00C24334">
              <w:rPr>
                <w:rFonts w:ascii="Verdana" w:hAnsi="Verdana"/>
                <w:color w:val="7F7F7F" w:themeColor="text1" w:themeTint="80"/>
                <w:sz w:val="22"/>
                <w:szCs w:val="22"/>
                <w:lang w:val="en-US"/>
              </w:rPr>
              <w:t xml:space="preserve">. </w:t>
            </w:r>
          </w:p>
          <w:p w14:paraId="5E6D0EBF" w14:textId="54BB02F2" w:rsidR="00F50FA0" w:rsidRPr="00C24334" w:rsidRDefault="00F50FA0" w:rsidP="00020B14">
            <w:pPr>
              <w:tabs>
                <w:tab w:val="left" w:pos="0"/>
              </w:tabs>
              <w:spacing w:before="120" w:after="120"/>
              <w:rPr>
                <w:color w:val="7F7F7F" w:themeColor="text1" w:themeTint="80"/>
                <w:lang w:val="en-US"/>
              </w:rPr>
            </w:pPr>
            <w:r w:rsidRPr="00C24334">
              <w:rPr>
                <w:rFonts w:ascii="Verdana" w:hAnsi="Verdana"/>
                <w:color w:val="7F7F7F" w:themeColor="text1" w:themeTint="80"/>
                <w:sz w:val="22"/>
                <w:szCs w:val="22"/>
                <w:lang w:val="en-US"/>
              </w:rPr>
              <w:t xml:space="preserve">In the </w:t>
            </w:r>
            <w:r w:rsidR="00307E7D" w:rsidRPr="00C24334">
              <w:rPr>
                <w:rFonts w:ascii="Verdana" w:hAnsi="Verdana"/>
                <w:color w:val="7F7F7F" w:themeColor="text1" w:themeTint="80"/>
                <w:sz w:val="22"/>
                <w:szCs w:val="22"/>
                <w:lang w:val="en-US"/>
              </w:rPr>
              <w:t xml:space="preserve">recently launched </w:t>
            </w:r>
            <w:r w:rsidRPr="00C24334">
              <w:rPr>
                <w:rFonts w:ascii="Verdana" w:hAnsi="Verdana"/>
                <w:color w:val="7F7F7F" w:themeColor="text1" w:themeTint="80"/>
                <w:sz w:val="22"/>
                <w:szCs w:val="22"/>
                <w:lang w:val="en-US"/>
              </w:rPr>
              <w:t>impact assessment</w:t>
            </w:r>
            <w:r w:rsidR="00307E7D" w:rsidRPr="00C24334">
              <w:rPr>
                <w:rFonts w:ascii="Verdana" w:hAnsi="Verdana"/>
                <w:color w:val="7F7F7F" w:themeColor="text1" w:themeTint="80"/>
                <w:sz w:val="22"/>
                <w:szCs w:val="22"/>
                <w:lang w:val="en-US"/>
              </w:rPr>
              <w:t xml:space="preserve"> (</w:t>
            </w:r>
            <w:r w:rsidR="00D51CF6" w:rsidRPr="00C24334">
              <w:rPr>
                <w:rFonts w:ascii="Verdana" w:hAnsi="Verdana"/>
                <w:color w:val="7F7F7F" w:themeColor="text1" w:themeTint="80"/>
                <w:sz w:val="22"/>
                <w:szCs w:val="22"/>
                <w:lang w:val="en-US"/>
              </w:rPr>
              <w:t>i.e.,</w:t>
            </w:r>
            <w:r w:rsidRPr="00C24334">
              <w:rPr>
                <w:rFonts w:ascii="Verdana" w:hAnsi="Verdana"/>
                <w:color w:val="7F7F7F" w:themeColor="text1" w:themeTint="80"/>
                <w:sz w:val="22"/>
                <w:szCs w:val="22"/>
                <w:lang w:val="en-US"/>
              </w:rPr>
              <w:t xml:space="preserve"> </w:t>
            </w:r>
            <w:r w:rsidR="00307E7D" w:rsidRPr="00C24334">
              <w:rPr>
                <w:rFonts w:ascii="Verdana" w:hAnsi="Verdana"/>
                <w:color w:val="7F7F7F" w:themeColor="text1" w:themeTint="80"/>
                <w:sz w:val="22"/>
                <w:szCs w:val="22"/>
                <w:lang w:val="en-US"/>
              </w:rPr>
              <w:t>“</w:t>
            </w:r>
            <w:r w:rsidR="00307E7D" w:rsidRPr="00C24334">
              <w:rPr>
                <w:rFonts w:ascii="Verdana" w:hAnsi="Verdana"/>
                <w:i/>
                <w:iCs/>
                <w:color w:val="7F7F7F" w:themeColor="text1" w:themeTint="80"/>
                <w:sz w:val="22"/>
                <w:szCs w:val="22"/>
                <w:lang w:val="en-US"/>
              </w:rPr>
              <w:t>Impact assessment of individual policy options per topic”</w:t>
            </w:r>
            <w:r w:rsidR="00307E7D" w:rsidRPr="00C24334">
              <w:rPr>
                <w:rFonts w:ascii="Verdana" w:hAnsi="Verdana"/>
                <w:color w:val="7F7F7F" w:themeColor="text1" w:themeTint="80"/>
                <w:sz w:val="22"/>
                <w:szCs w:val="22"/>
                <w:lang w:val="en-US"/>
              </w:rPr>
              <w:t xml:space="preserve">) </w:t>
            </w:r>
            <w:r w:rsidRPr="00C24334">
              <w:rPr>
                <w:rFonts w:ascii="Verdana" w:hAnsi="Verdana"/>
                <w:color w:val="7F7F7F" w:themeColor="text1" w:themeTint="80"/>
                <w:sz w:val="22"/>
                <w:szCs w:val="22"/>
                <w:lang w:val="en-US"/>
              </w:rPr>
              <w:t>EIOPA does not differentiate across the different types of insurers, therefore it is not certain how the various proposals would work out for the different segments of insurers</w:t>
            </w:r>
            <w:r w:rsidR="00BF3B56" w:rsidRPr="00C24334">
              <w:rPr>
                <w:rFonts w:ascii="Verdana" w:hAnsi="Verdana"/>
                <w:color w:val="7F7F7F" w:themeColor="text1" w:themeTint="80"/>
                <w:sz w:val="22"/>
                <w:szCs w:val="22"/>
                <w:lang w:val="en-US"/>
              </w:rPr>
              <w:t xml:space="preserve"> (large vs small and medium sized undertakings)</w:t>
            </w:r>
            <w:r w:rsidRPr="00C24334">
              <w:rPr>
                <w:color w:val="7F7F7F" w:themeColor="text1" w:themeTint="80"/>
                <w:lang w:val="en-US"/>
              </w:rPr>
              <w:t>.</w:t>
            </w:r>
          </w:p>
          <w:p w14:paraId="18DB8AFF" w14:textId="418BEB93" w:rsidR="00F50FA0" w:rsidRPr="001F7855" w:rsidRDefault="00F50FA0" w:rsidP="00020B14">
            <w:pPr>
              <w:tabs>
                <w:tab w:val="left" w:pos="0"/>
              </w:tabs>
              <w:rPr>
                <w:rFonts w:ascii="Verdana" w:hAnsi="Verdana"/>
                <w:b/>
                <w:color w:val="7F7F7F" w:themeColor="text1" w:themeTint="80"/>
                <w:sz w:val="22"/>
                <w:szCs w:val="22"/>
                <w:lang w:val="en-US"/>
              </w:rPr>
            </w:pPr>
            <w:r w:rsidRPr="001F7855">
              <w:rPr>
                <w:rFonts w:ascii="Verdana" w:hAnsi="Verdana"/>
                <w:b/>
                <w:color w:val="7F7F7F" w:themeColor="text1" w:themeTint="80"/>
                <w:sz w:val="22"/>
                <w:szCs w:val="22"/>
                <w:lang w:val="en-US"/>
              </w:rPr>
              <w:t>The review 2020 should not lead to a</w:t>
            </w:r>
            <w:r w:rsidR="00E00E08" w:rsidRPr="001F7855">
              <w:rPr>
                <w:rFonts w:ascii="Verdana" w:hAnsi="Verdana"/>
                <w:b/>
                <w:color w:val="7F7F7F" w:themeColor="text1" w:themeTint="80"/>
                <w:sz w:val="22"/>
                <w:szCs w:val="22"/>
                <w:lang w:val="en-US"/>
              </w:rPr>
              <w:t xml:space="preserve"> net overall</w:t>
            </w:r>
            <w:r w:rsidRPr="001F7855">
              <w:rPr>
                <w:rFonts w:ascii="Verdana" w:hAnsi="Verdana"/>
                <w:b/>
                <w:color w:val="7F7F7F" w:themeColor="text1" w:themeTint="80"/>
                <w:sz w:val="22"/>
                <w:szCs w:val="22"/>
                <w:lang w:val="en-US"/>
              </w:rPr>
              <w:t xml:space="preserve"> increase in required capital levels</w:t>
            </w:r>
            <w:r w:rsidR="005C57B5" w:rsidRPr="001F7855">
              <w:rPr>
                <w:rFonts w:ascii="Verdana" w:hAnsi="Verdana"/>
                <w:b/>
                <w:color w:val="7F7F7F" w:themeColor="text1" w:themeTint="80"/>
                <w:sz w:val="22"/>
                <w:szCs w:val="22"/>
                <w:lang w:val="en-US"/>
              </w:rPr>
              <w:t xml:space="preserve"> </w:t>
            </w:r>
            <w:r w:rsidR="005C57B5" w:rsidRPr="001F7855">
              <w:rPr>
                <w:rFonts w:ascii="Verdana" w:hAnsi="Verdana"/>
                <w:b/>
                <w:bCs/>
                <w:color w:val="7F7F7F" w:themeColor="text1" w:themeTint="80"/>
                <w:sz w:val="22"/>
                <w:szCs w:val="22"/>
                <w:lang w:val="en-US"/>
              </w:rPr>
              <w:t>on the level of the individual Member State</w:t>
            </w:r>
          </w:p>
          <w:p w14:paraId="39700D16" w14:textId="28178D9D" w:rsidR="00F50FA0" w:rsidRPr="00C24334" w:rsidRDefault="00F50FA0" w:rsidP="00020B14">
            <w:pPr>
              <w:tabs>
                <w:tab w:val="left" w:pos="0"/>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EIOPA</w:t>
            </w:r>
            <w:r w:rsidR="00F30859" w:rsidRPr="00C24334">
              <w:rPr>
                <w:rFonts w:ascii="Verdana" w:hAnsi="Verdana"/>
                <w:color w:val="7F7F7F" w:themeColor="text1" w:themeTint="80"/>
                <w:sz w:val="22"/>
                <w:szCs w:val="22"/>
                <w:lang w:val="en-US"/>
              </w:rPr>
              <w:t xml:space="preserve">´s proposed </w:t>
            </w:r>
            <w:r w:rsidRPr="00C24334">
              <w:rPr>
                <w:rFonts w:ascii="Verdana" w:hAnsi="Verdana"/>
                <w:color w:val="7F7F7F" w:themeColor="text1" w:themeTint="80"/>
                <w:sz w:val="22"/>
                <w:szCs w:val="22"/>
                <w:lang w:val="en-US"/>
              </w:rPr>
              <w:t xml:space="preserve">options </w:t>
            </w:r>
            <w:r w:rsidR="00F30859" w:rsidRPr="00C24334">
              <w:rPr>
                <w:rFonts w:ascii="Verdana" w:hAnsi="Verdana"/>
                <w:color w:val="7F7F7F" w:themeColor="text1" w:themeTint="80"/>
                <w:sz w:val="22"/>
                <w:szCs w:val="22"/>
                <w:lang w:val="en-US"/>
              </w:rPr>
              <w:t>for amending the Solvency II framework are presented</w:t>
            </w:r>
            <w:r w:rsidRPr="00C24334">
              <w:rPr>
                <w:rFonts w:ascii="Verdana" w:hAnsi="Verdana"/>
                <w:color w:val="7F7F7F" w:themeColor="text1" w:themeTint="80"/>
                <w:sz w:val="22"/>
                <w:szCs w:val="22"/>
                <w:lang w:val="en-US"/>
              </w:rPr>
              <w:t xml:space="preserve"> in isolation. </w:t>
            </w:r>
            <w:r w:rsidR="00F30859" w:rsidRPr="00C24334">
              <w:rPr>
                <w:rFonts w:ascii="Verdana" w:hAnsi="Verdana"/>
                <w:color w:val="7F7F7F" w:themeColor="text1" w:themeTint="80"/>
                <w:sz w:val="22"/>
                <w:szCs w:val="22"/>
                <w:lang w:val="en-US"/>
              </w:rPr>
              <w:t xml:space="preserve">The comments </w:t>
            </w:r>
            <w:r w:rsidR="00567E4C" w:rsidRPr="00C24334">
              <w:rPr>
                <w:rFonts w:ascii="Verdana" w:hAnsi="Verdana"/>
                <w:color w:val="7F7F7F" w:themeColor="text1" w:themeTint="80"/>
                <w:sz w:val="22"/>
                <w:szCs w:val="22"/>
                <w:lang w:val="en-US"/>
              </w:rPr>
              <w:t xml:space="preserve">listed </w:t>
            </w:r>
            <w:r w:rsidR="00987CAC" w:rsidRPr="00C24334">
              <w:rPr>
                <w:rFonts w:ascii="Verdana" w:hAnsi="Verdana"/>
                <w:color w:val="7F7F7F" w:themeColor="text1" w:themeTint="80"/>
                <w:sz w:val="22"/>
                <w:szCs w:val="22"/>
                <w:lang w:val="en-US"/>
              </w:rPr>
              <w:t>below</w:t>
            </w:r>
            <w:r w:rsidRPr="00C24334">
              <w:rPr>
                <w:rFonts w:ascii="Verdana" w:hAnsi="Verdana"/>
                <w:color w:val="7F7F7F" w:themeColor="text1" w:themeTint="80"/>
                <w:sz w:val="22"/>
                <w:szCs w:val="22"/>
                <w:lang w:val="en-US"/>
              </w:rPr>
              <w:t xml:space="preserve"> </w:t>
            </w:r>
            <w:r w:rsidR="00F30859" w:rsidRPr="00C24334">
              <w:rPr>
                <w:rFonts w:ascii="Verdana" w:hAnsi="Verdana"/>
                <w:color w:val="7F7F7F" w:themeColor="text1" w:themeTint="80"/>
                <w:sz w:val="22"/>
                <w:szCs w:val="22"/>
                <w:lang w:val="en-US"/>
              </w:rPr>
              <w:t>follow the same reasoning</w:t>
            </w:r>
            <w:r w:rsidRPr="00C24334">
              <w:rPr>
                <w:rFonts w:ascii="Verdana" w:hAnsi="Verdana"/>
                <w:color w:val="7F7F7F" w:themeColor="text1" w:themeTint="80"/>
                <w:sz w:val="22"/>
                <w:szCs w:val="22"/>
                <w:lang w:val="en-US"/>
              </w:rPr>
              <w:t xml:space="preserve">, however all the </w:t>
            </w:r>
            <w:r w:rsidR="00D51CF6" w:rsidRPr="00C24334">
              <w:rPr>
                <w:rFonts w:ascii="Verdana" w:hAnsi="Verdana"/>
                <w:color w:val="7F7F7F" w:themeColor="text1" w:themeTint="80"/>
                <w:sz w:val="22"/>
                <w:szCs w:val="22"/>
                <w:lang w:val="en-US"/>
              </w:rPr>
              <w:t>proposals (</w:t>
            </w:r>
            <w:r w:rsidR="00987CAC" w:rsidRPr="00C24334">
              <w:rPr>
                <w:rFonts w:ascii="Verdana" w:hAnsi="Verdana"/>
                <w:color w:val="7F7F7F" w:themeColor="text1" w:themeTint="80"/>
                <w:sz w:val="22"/>
                <w:szCs w:val="22"/>
                <w:lang w:val="en-US"/>
              </w:rPr>
              <w:t xml:space="preserve">or parts of them) </w:t>
            </w:r>
            <w:r w:rsidRPr="00C24334">
              <w:rPr>
                <w:rFonts w:ascii="Verdana" w:hAnsi="Verdana"/>
                <w:color w:val="7F7F7F" w:themeColor="text1" w:themeTint="80"/>
                <w:sz w:val="22"/>
                <w:szCs w:val="22"/>
                <w:lang w:val="en-US"/>
              </w:rPr>
              <w:t>will have an interaction with each other. This could result in duplications, additional prudence and administrative burden</w:t>
            </w:r>
            <w:r w:rsidR="00F30859" w:rsidRPr="00C24334">
              <w:rPr>
                <w:rFonts w:ascii="Verdana" w:hAnsi="Verdana"/>
                <w:color w:val="7F7F7F" w:themeColor="text1" w:themeTint="80"/>
                <w:sz w:val="22"/>
                <w:szCs w:val="22"/>
                <w:lang w:val="en-US"/>
              </w:rPr>
              <w:t xml:space="preserve"> for undertakings</w:t>
            </w:r>
            <w:r w:rsidRPr="00C24334">
              <w:rPr>
                <w:rFonts w:ascii="Verdana" w:hAnsi="Verdana"/>
                <w:color w:val="7F7F7F" w:themeColor="text1" w:themeTint="80"/>
                <w:sz w:val="22"/>
                <w:szCs w:val="22"/>
                <w:lang w:val="en-US"/>
              </w:rPr>
              <w:t>. This should be explicitly avoided.</w:t>
            </w:r>
          </w:p>
          <w:p w14:paraId="2B161D87" w14:textId="6188B179" w:rsidR="00987CAC" w:rsidRPr="00C24334" w:rsidRDefault="00F50FA0" w:rsidP="00020B14">
            <w:pPr>
              <w:tabs>
                <w:tab w:val="left" w:pos="0"/>
              </w:tabs>
              <w:spacing w:before="120" w:after="120"/>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 xml:space="preserve">Many of the </w:t>
            </w:r>
            <w:r w:rsidR="00F30859" w:rsidRPr="00C24334">
              <w:rPr>
                <w:rFonts w:ascii="Verdana" w:hAnsi="Verdana"/>
                <w:color w:val="7F7F7F" w:themeColor="text1" w:themeTint="80"/>
                <w:sz w:val="22"/>
                <w:szCs w:val="22"/>
                <w:lang w:val="en-US"/>
              </w:rPr>
              <w:t xml:space="preserve">EIOPA´s </w:t>
            </w:r>
            <w:r w:rsidRPr="00C24334">
              <w:rPr>
                <w:rFonts w:ascii="Verdana" w:hAnsi="Verdana"/>
                <w:color w:val="7F7F7F" w:themeColor="text1" w:themeTint="80"/>
                <w:sz w:val="22"/>
                <w:szCs w:val="22"/>
                <w:lang w:val="en-US"/>
              </w:rPr>
              <w:t xml:space="preserve">proposals </w:t>
            </w:r>
            <w:r w:rsidR="00F30859" w:rsidRPr="00C24334">
              <w:rPr>
                <w:rFonts w:ascii="Verdana" w:hAnsi="Verdana"/>
                <w:color w:val="7F7F7F" w:themeColor="text1" w:themeTint="80"/>
                <w:sz w:val="22"/>
                <w:szCs w:val="22"/>
                <w:lang w:val="en-US"/>
              </w:rPr>
              <w:t>would</w:t>
            </w:r>
            <w:r w:rsidRPr="00C24334">
              <w:rPr>
                <w:rFonts w:ascii="Verdana" w:hAnsi="Verdana"/>
                <w:color w:val="7F7F7F" w:themeColor="text1" w:themeTint="80"/>
                <w:sz w:val="22"/>
                <w:szCs w:val="22"/>
                <w:lang w:val="en-US"/>
              </w:rPr>
              <w:t xml:space="preserve"> have a negative impact on </w:t>
            </w:r>
            <w:r w:rsidR="00F30859" w:rsidRPr="00C24334">
              <w:rPr>
                <w:rFonts w:ascii="Verdana" w:hAnsi="Verdana"/>
                <w:color w:val="7F7F7F" w:themeColor="text1" w:themeTint="80"/>
                <w:sz w:val="22"/>
                <w:szCs w:val="22"/>
                <w:lang w:val="en-US"/>
              </w:rPr>
              <w:t>the insurer´s o</w:t>
            </w:r>
            <w:r w:rsidRPr="00C24334">
              <w:rPr>
                <w:rFonts w:ascii="Verdana" w:hAnsi="Verdana"/>
                <w:color w:val="7F7F7F" w:themeColor="text1" w:themeTint="80"/>
                <w:sz w:val="22"/>
                <w:szCs w:val="22"/>
                <w:lang w:val="en-US"/>
              </w:rPr>
              <w:t xml:space="preserve">wn </w:t>
            </w:r>
            <w:r w:rsidR="00F30859" w:rsidRPr="00C24334">
              <w:rPr>
                <w:rFonts w:ascii="Verdana" w:hAnsi="Verdana"/>
                <w:color w:val="7F7F7F" w:themeColor="text1" w:themeTint="80"/>
                <w:sz w:val="22"/>
                <w:szCs w:val="22"/>
                <w:lang w:val="en-US"/>
              </w:rPr>
              <w:t>f</w:t>
            </w:r>
            <w:r w:rsidRPr="00C24334">
              <w:rPr>
                <w:rFonts w:ascii="Verdana" w:hAnsi="Verdana"/>
                <w:color w:val="7F7F7F" w:themeColor="text1" w:themeTint="80"/>
                <w:sz w:val="22"/>
                <w:szCs w:val="22"/>
                <w:lang w:val="en-US"/>
              </w:rPr>
              <w:t xml:space="preserve">unds or </w:t>
            </w:r>
            <w:r w:rsidR="00F30859" w:rsidRPr="00C24334">
              <w:rPr>
                <w:rFonts w:ascii="Verdana" w:hAnsi="Verdana"/>
                <w:color w:val="7F7F7F" w:themeColor="text1" w:themeTint="80"/>
                <w:sz w:val="22"/>
                <w:szCs w:val="22"/>
                <w:lang w:val="en-US"/>
              </w:rPr>
              <w:t>s</w:t>
            </w:r>
            <w:r w:rsidRPr="00C24334">
              <w:rPr>
                <w:rFonts w:ascii="Verdana" w:hAnsi="Verdana"/>
                <w:color w:val="7F7F7F" w:themeColor="text1" w:themeTint="80"/>
                <w:sz w:val="22"/>
                <w:szCs w:val="22"/>
                <w:lang w:val="en-US"/>
              </w:rPr>
              <w:t xml:space="preserve">olvency </w:t>
            </w:r>
            <w:r w:rsidR="00F30859" w:rsidRPr="00C24334">
              <w:rPr>
                <w:rFonts w:ascii="Verdana" w:hAnsi="Verdana"/>
                <w:color w:val="7F7F7F" w:themeColor="text1" w:themeTint="80"/>
                <w:sz w:val="22"/>
                <w:szCs w:val="22"/>
                <w:lang w:val="en-US"/>
              </w:rPr>
              <w:t>c</w:t>
            </w:r>
            <w:r w:rsidRPr="00C24334">
              <w:rPr>
                <w:rFonts w:ascii="Verdana" w:hAnsi="Verdana"/>
                <w:color w:val="7F7F7F" w:themeColor="text1" w:themeTint="80"/>
                <w:sz w:val="22"/>
                <w:szCs w:val="22"/>
                <w:lang w:val="en-US"/>
              </w:rPr>
              <w:t xml:space="preserve">apital </w:t>
            </w:r>
            <w:r w:rsidR="00F30859" w:rsidRPr="00C24334">
              <w:rPr>
                <w:rFonts w:ascii="Verdana" w:hAnsi="Verdana"/>
                <w:color w:val="7F7F7F" w:themeColor="text1" w:themeTint="80"/>
                <w:sz w:val="22"/>
                <w:szCs w:val="22"/>
                <w:lang w:val="en-US"/>
              </w:rPr>
              <w:t>r</w:t>
            </w:r>
            <w:r w:rsidRPr="00C24334">
              <w:rPr>
                <w:rFonts w:ascii="Verdana" w:hAnsi="Verdana"/>
                <w:color w:val="7F7F7F" w:themeColor="text1" w:themeTint="80"/>
                <w:sz w:val="22"/>
                <w:szCs w:val="22"/>
                <w:lang w:val="en-US"/>
              </w:rPr>
              <w:t xml:space="preserve">equirements. </w:t>
            </w:r>
            <w:r w:rsidR="00F30859" w:rsidRPr="00C24334">
              <w:rPr>
                <w:rFonts w:ascii="Verdana" w:hAnsi="Verdana"/>
                <w:color w:val="7F7F7F" w:themeColor="text1" w:themeTint="80"/>
                <w:sz w:val="22"/>
                <w:szCs w:val="22"/>
                <w:lang w:val="en-US"/>
              </w:rPr>
              <w:t>We believe that t</w:t>
            </w:r>
            <w:r w:rsidRPr="00C24334">
              <w:rPr>
                <w:rFonts w:ascii="Verdana" w:hAnsi="Verdana"/>
                <w:color w:val="7F7F7F" w:themeColor="text1" w:themeTint="80"/>
                <w:sz w:val="22"/>
                <w:szCs w:val="22"/>
                <w:lang w:val="en-US"/>
              </w:rPr>
              <w:t xml:space="preserve">here is no need to increase the capital requirements especially in the current low interest rate environment which </w:t>
            </w:r>
            <w:r w:rsidR="00F30859" w:rsidRPr="00C24334">
              <w:rPr>
                <w:rFonts w:ascii="Verdana" w:hAnsi="Verdana"/>
                <w:color w:val="7F7F7F" w:themeColor="text1" w:themeTint="80"/>
                <w:sz w:val="22"/>
                <w:szCs w:val="22"/>
                <w:lang w:val="en-US"/>
              </w:rPr>
              <w:t xml:space="preserve">is having </w:t>
            </w:r>
            <w:r w:rsidR="00567E4C" w:rsidRPr="00C24334">
              <w:rPr>
                <w:rFonts w:ascii="Verdana" w:hAnsi="Verdana"/>
                <w:color w:val="7F7F7F" w:themeColor="text1" w:themeTint="80"/>
                <w:sz w:val="22"/>
                <w:szCs w:val="22"/>
                <w:lang w:val="en-US"/>
              </w:rPr>
              <w:t xml:space="preserve">already </w:t>
            </w:r>
            <w:r w:rsidR="00F30859" w:rsidRPr="00C24334">
              <w:rPr>
                <w:rFonts w:ascii="Verdana" w:hAnsi="Verdana"/>
                <w:color w:val="7F7F7F" w:themeColor="text1" w:themeTint="80"/>
                <w:sz w:val="22"/>
                <w:szCs w:val="22"/>
                <w:lang w:val="en-US"/>
              </w:rPr>
              <w:t xml:space="preserve">an impact in </w:t>
            </w:r>
            <w:r w:rsidRPr="00C24334">
              <w:rPr>
                <w:rFonts w:ascii="Verdana" w:hAnsi="Verdana"/>
                <w:color w:val="7F7F7F" w:themeColor="text1" w:themeTint="80"/>
                <w:sz w:val="22"/>
                <w:szCs w:val="22"/>
                <w:lang w:val="en-US"/>
              </w:rPr>
              <w:t xml:space="preserve">many elements </w:t>
            </w:r>
            <w:r w:rsidR="00F30859" w:rsidRPr="00C24334">
              <w:rPr>
                <w:rFonts w:ascii="Verdana" w:hAnsi="Verdana"/>
                <w:color w:val="7F7F7F" w:themeColor="text1" w:themeTint="80"/>
                <w:sz w:val="22"/>
                <w:szCs w:val="22"/>
                <w:lang w:val="en-US"/>
              </w:rPr>
              <w:t xml:space="preserve">of </w:t>
            </w:r>
            <w:r w:rsidRPr="00C24334">
              <w:rPr>
                <w:rFonts w:ascii="Verdana" w:hAnsi="Verdana"/>
                <w:color w:val="7F7F7F" w:themeColor="text1" w:themeTint="80"/>
                <w:sz w:val="22"/>
                <w:szCs w:val="22"/>
                <w:lang w:val="en-US"/>
              </w:rPr>
              <w:t xml:space="preserve">the </w:t>
            </w:r>
            <w:r w:rsidR="00F30859" w:rsidRPr="00C24334">
              <w:rPr>
                <w:rFonts w:ascii="Verdana" w:hAnsi="Verdana"/>
                <w:color w:val="7F7F7F" w:themeColor="text1" w:themeTint="80"/>
                <w:sz w:val="22"/>
                <w:szCs w:val="22"/>
                <w:lang w:val="en-US"/>
              </w:rPr>
              <w:t>e</w:t>
            </w:r>
            <w:r w:rsidRPr="00C24334">
              <w:rPr>
                <w:rFonts w:ascii="Verdana" w:hAnsi="Verdana"/>
                <w:color w:val="7F7F7F" w:themeColor="text1" w:themeTint="80"/>
                <w:sz w:val="22"/>
                <w:szCs w:val="22"/>
                <w:lang w:val="en-US"/>
              </w:rPr>
              <w:t xml:space="preserve">conomic balance sheet which in turn increases the capital requirements. Also, the annual reduction in the </w:t>
            </w:r>
            <w:r w:rsidR="00F30859" w:rsidRPr="00C24334">
              <w:rPr>
                <w:rFonts w:ascii="Verdana" w:hAnsi="Verdana"/>
                <w:color w:val="7F7F7F" w:themeColor="text1" w:themeTint="80"/>
                <w:sz w:val="22"/>
                <w:szCs w:val="22"/>
                <w:lang w:val="en-US"/>
              </w:rPr>
              <w:t>u</w:t>
            </w:r>
            <w:r w:rsidRPr="00C24334">
              <w:rPr>
                <w:rFonts w:ascii="Verdana" w:hAnsi="Verdana"/>
                <w:color w:val="7F7F7F" w:themeColor="text1" w:themeTint="80"/>
                <w:sz w:val="22"/>
                <w:szCs w:val="22"/>
                <w:lang w:val="en-US"/>
              </w:rPr>
              <w:t xml:space="preserve">ltimate </w:t>
            </w:r>
            <w:r w:rsidR="00F30859" w:rsidRPr="00C24334">
              <w:rPr>
                <w:rFonts w:ascii="Verdana" w:hAnsi="Verdana"/>
                <w:color w:val="7F7F7F" w:themeColor="text1" w:themeTint="80"/>
                <w:sz w:val="22"/>
                <w:szCs w:val="22"/>
                <w:lang w:val="en-US"/>
              </w:rPr>
              <w:t>f</w:t>
            </w:r>
            <w:r w:rsidRPr="00C24334">
              <w:rPr>
                <w:rFonts w:ascii="Verdana" w:hAnsi="Verdana"/>
                <w:color w:val="7F7F7F" w:themeColor="text1" w:themeTint="80"/>
                <w:sz w:val="22"/>
                <w:szCs w:val="22"/>
                <w:lang w:val="en-US"/>
              </w:rPr>
              <w:t xml:space="preserve">orward </w:t>
            </w:r>
            <w:r w:rsidR="00F30859" w:rsidRPr="00C24334">
              <w:rPr>
                <w:rFonts w:ascii="Verdana" w:hAnsi="Verdana"/>
                <w:color w:val="7F7F7F" w:themeColor="text1" w:themeTint="80"/>
                <w:sz w:val="22"/>
                <w:szCs w:val="22"/>
                <w:lang w:val="en-US"/>
              </w:rPr>
              <w:t>r</w:t>
            </w:r>
            <w:r w:rsidRPr="00C24334">
              <w:rPr>
                <w:rFonts w:ascii="Verdana" w:hAnsi="Verdana"/>
                <w:color w:val="7F7F7F" w:themeColor="text1" w:themeTint="80"/>
                <w:sz w:val="22"/>
                <w:szCs w:val="22"/>
                <w:lang w:val="en-US"/>
              </w:rPr>
              <w:t xml:space="preserve">ate </w:t>
            </w:r>
            <w:r w:rsidR="00F30859" w:rsidRPr="00C24334">
              <w:rPr>
                <w:rFonts w:ascii="Verdana" w:hAnsi="Verdana"/>
                <w:color w:val="7F7F7F" w:themeColor="text1" w:themeTint="80"/>
                <w:sz w:val="22"/>
                <w:szCs w:val="22"/>
                <w:lang w:val="en-US"/>
              </w:rPr>
              <w:t>increases</w:t>
            </w:r>
            <w:r w:rsidRPr="00C24334">
              <w:rPr>
                <w:rFonts w:ascii="Verdana" w:hAnsi="Verdana"/>
                <w:color w:val="7F7F7F" w:themeColor="text1" w:themeTint="80"/>
                <w:sz w:val="22"/>
                <w:szCs w:val="22"/>
                <w:lang w:val="en-US"/>
              </w:rPr>
              <w:t xml:space="preserve"> the capital requirements as insurers </w:t>
            </w:r>
            <w:r w:rsidR="00567E4C" w:rsidRPr="00C24334">
              <w:rPr>
                <w:rFonts w:ascii="Verdana" w:hAnsi="Verdana"/>
                <w:color w:val="7F7F7F" w:themeColor="text1" w:themeTint="80"/>
                <w:sz w:val="22"/>
                <w:szCs w:val="22"/>
                <w:lang w:val="en-US"/>
              </w:rPr>
              <w:t xml:space="preserve">are </w:t>
            </w:r>
            <w:r w:rsidRPr="00C24334">
              <w:rPr>
                <w:rFonts w:ascii="Verdana" w:hAnsi="Verdana"/>
                <w:color w:val="7F7F7F" w:themeColor="text1" w:themeTint="80"/>
                <w:sz w:val="22"/>
                <w:szCs w:val="22"/>
                <w:lang w:val="en-US"/>
              </w:rPr>
              <w:t>maintain</w:t>
            </w:r>
            <w:r w:rsidR="00567E4C" w:rsidRPr="00C24334">
              <w:rPr>
                <w:rFonts w:ascii="Verdana" w:hAnsi="Verdana"/>
                <w:color w:val="7F7F7F" w:themeColor="text1" w:themeTint="80"/>
                <w:sz w:val="22"/>
                <w:szCs w:val="22"/>
                <w:lang w:val="en-US"/>
              </w:rPr>
              <w:t>ing</w:t>
            </w:r>
            <w:r w:rsidRPr="00C24334">
              <w:rPr>
                <w:rFonts w:ascii="Verdana" w:hAnsi="Verdana"/>
                <w:color w:val="7F7F7F" w:themeColor="text1" w:themeTint="80"/>
                <w:sz w:val="22"/>
                <w:szCs w:val="22"/>
                <w:lang w:val="en-US"/>
              </w:rPr>
              <w:t xml:space="preserve"> their</w:t>
            </w:r>
            <w:r w:rsidRPr="00C24334">
              <w:rPr>
                <w:color w:val="7F7F7F" w:themeColor="text1" w:themeTint="80"/>
                <w:lang w:val="en-US"/>
              </w:rPr>
              <w:t xml:space="preserve"> </w:t>
            </w:r>
            <w:r w:rsidRPr="00C24334">
              <w:rPr>
                <w:rFonts w:ascii="Verdana" w:hAnsi="Verdana"/>
                <w:color w:val="7F7F7F" w:themeColor="text1" w:themeTint="80"/>
                <w:sz w:val="22"/>
                <w:szCs w:val="22"/>
                <w:lang w:val="en-US"/>
              </w:rPr>
              <w:t xml:space="preserve">ambition </w:t>
            </w:r>
            <w:r w:rsidR="00567E4C" w:rsidRPr="00C24334">
              <w:rPr>
                <w:rFonts w:ascii="Verdana" w:hAnsi="Verdana"/>
                <w:color w:val="7F7F7F" w:themeColor="text1" w:themeTint="80"/>
                <w:sz w:val="22"/>
                <w:szCs w:val="22"/>
                <w:lang w:val="en-US"/>
              </w:rPr>
              <w:t>regarding its</w:t>
            </w:r>
            <w:r w:rsidRPr="00C24334">
              <w:rPr>
                <w:rFonts w:ascii="Verdana" w:hAnsi="Verdana"/>
                <w:color w:val="7F7F7F" w:themeColor="text1" w:themeTint="80"/>
                <w:sz w:val="22"/>
                <w:szCs w:val="22"/>
                <w:lang w:val="en-US"/>
              </w:rPr>
              <w:t xml:space="preserve"> </w:t>
            </w:r>
            <w:r w:rsidR="00567E4C" w:rsidRPr="00C24334">
              <w:rPr>
                <w:rFonts w:ascii="Verdana" w:hAnsi="Verdana"/>
                <w:color w:val="7F7F7F" w:themeColor="text1" w:themeTint="80"/>
                <w:sz w:val="22"/>
                <w:szCs w:val="22"/>
                <w:lang w:val="en-US"/>
              </w:rPr>
              <w:t>s</w:t>
            </w:r>
            <w:r w:rsidRPr="00C24334">
              <w:rPr>
                <w:rFonts w:ascii="Verdana" w:hAnsi="Verdana"/>
                <w:color w:val="7F7F7F" w:themeColor="text1" w:themeTint="80"/>
                <w:sz w:val="22"/>
                <w:szCs w:val="22"/>
                <w:lang w:val="en-US"/>
              </w:rPr>
              <w:t>olvency position</w:t>
            </w:r>
            <w:r w:rsidR="00F30859" w:rsidRPr="00C24334">
              <w:rPr>
                <w:rFonts w:ascii="Verdana" w:hAnsi="Verdana"/>
                <w:color w:val="7F7F7F" w:themeColor="text1" w:themeTint="80"/>
                <w:sz w:val="22"/>
                <w:szCs w:val="22"/>
                <w:lang w:val="en-US"/>
              </w:rPr>
              <w:t xml:space="preserve"> (n</w:t>
            </w:r>
            <w:r w:rsidRPr="00C24334">
              <w:rPr>
                <w:rFonts w:ascii="Verdana" w:hAnsi="Verdana"/>
                <w:color w:val="7F7F7F" w:themeColor="text1" w:themeTint="80"/>
                <w:sz w:val="22"/>
                <w:szCs w:val="22"/>
                <w:lang w:val="en-US"/>
              </w:rPr>
              <w:t>ote</w:t>
            </w:r>
            <w:r w:rsidR="00F30859" w:rsidRPr="00C24334">
              <w:rPr>
                <w:rFonts w:ascii="Verdana" w:hAnsi="Verdana"/>
                <w:color w:val="7F7F7F" w:themeColor="text1" w:themeTint="80"/>
                <w:sz w:val="22"/>
                <w:szCs w:val="22"/>
                <w:lang w:val="en-US"/>
              </w:rPr>
              <w:t xml:space="preserve"> that</w:t>
            </w:r>
            <w:r w:rsidRPr="00C24334">
              <w:rPr>
                <w:rFonts w:ascii="Verdana" w:hAnsi="Verdana"/>
                <w:color w:val="7F7F7F" w:themeColor="text1" w:themeTint="80"/>
                <w:sz w:val="22"/>
                <w:szCs w:val="22"/>
                <w:lang w:val="en-US"/>
              </w:rPr>
              <w:t xml:space="preserve"> at the start of Solvency II the </w:t>
            </w:r>
            <w:r w:rsidR="00F30859" w:rsidRPr="00C24334">
              <w:rPr>
                <w:rFonts w:ascii="Verdana" w:hAnsi="Verdana"/>
                <w:color w:val="7F7F7F" w:themeColor="text1" w:themeTint="80"/>
                <w:sz w:val="22"/>
                <w:szCs w:val="22"/>
                <w:lang w:val="en-US"/>
              </w:rPr>
              <w:t>UFR</w:t>
            </w:r>
            <w:r w:rsidRPr="00C24334">
              <w:rPr>
                <w:rFonts w:ascii="Verdana" w:hAnsi="Verdana"/>
                <w:color w:val="7F7F7F" w:themeColor="text1" w:themeTint="80"/>
                <w:sz w:val="22"/>
                <w:szCs w:val="22"/>
                <w:lang w:val="en-US"/>
              </w:rPr>
              <w:t xml:space="preserve"> was 4.2% </w:t>
            </w:r>
            <w:r w:rsidR="00F30859" w:rsidRPr="00C24334">
              <w:rPr>
                <w:rFonts w:ascii="Verdana" w:hAnsi="Verdana"/>
                <w:color w:val="7F7F7F" w:themeColor="text1" w:themeTint="80"/>
                <w:sz w:val="22"/>
                <w:szCs w:val="22"/>
                <w:lang w:val="en-US"/>
              </w:rPr>
              <w:t xml:space="preserve">whereas </w:t>
            </w:r>
            <w:r w:rsidR="00567E4C" w:rsidRPr="00C24334">
              <w:rPr>
                <w:rFonts w:ascii="Verdana" w:hAnsi="Verdana"/>
                <w:color w:val="7F7F7F" w:themeColor="text1" w:themeTint="80"/>
                <w:sz w:val="22"/>
                <w:szCs w:val="22"/>
                <w:lang w:val="en-US"/>
              </w:rPr>
              <w:t>the calculated UFR for the euro in</w:t>
            </w:r>
            <w:r w:rsidR="00F30859" w:rsidRPr="00C24334">
              <w:rPr>
                <w:rFonts w:ascii="Verdana" w:hAnsi="Verdana"/>
                <w:color w:val="7F7F7F" w:themeColor="text1" w:themeTint="80"/>
                <w:sz w:val="22"/>
                <w:szCs w:val="22"/>
                <w:lang w:val="en-US"/>
              </w:rPr>
              <w:t xml:space="preserve"> </w:t>
            </w:r>
            <w:r w:rsidRPr="00C24334">
              <w:rPr>
                <w:rFonts w:ascii="Verdana" w:hAnsi="Verdana"/>
                <w:color w:val="7F7F7F" w:themeColor="text1" w:themeTint="80"/>
                <w:sz w:val="22"/>
                <w:szCs w:val="22"/>
                <w:lang w:val="en-US"/>
              </w:rPr>
              <w:t>2019</w:t>
            </w:r>
            <w:r w:rsidR="007C4F0A" w:rsidRPr="00C24334">
              <w:rPr>
                <w:rFonts w:ascii="Verdana" w:hAnsi="Verdana"/>
                <w:color w:val="7F7F7F" w:themeColor="text1" w:themeTint="80"/>
                <w:sz w:val="22"/>
                <w:szCs w:val="22"/>
                <w:lang w:val="en-US"/>
              </w:rPr>
              <w:t xml:space="preserve"> </w:t>
            </w:r>
            <w:r w:rsidR="00F30859" w:rsidRPr="00C24334">
              <w:rPr>
                <w:rFonts w:ascii="Verdana" w:hAnsi="Verdana"/>
                <w:color w:val="7F7F7F" w:themeColor="text1" w:themeTint="80"/>
                <w:sz w:val="22"/>
                <w:szCs w:val="22"/>
                <w:lang w:val="en-US"/>
              </w:rPr>
              <w:t>is</w:t>
            </w:r>
            <w:r w:rsidRPr="00C24334">
              <w:rPr>
                <w:rFonts w:ascii="Verdana" w:hAnsi="Verdana"/>
                <w:color w:val="7F7F7F" w:themeColor="text1" w:themeTint="80"/>
                <w:sz w:val="22"/>
                <w:szCs w:val="22"/>
                <w:lang w:val="en-US"/>
              </w:rPr>
              <w:t xml:space="preserve"> 3.9%). </w:t>
            </w:r>
          </w:p>
          <w:p w14:paraId="1AB2E487" w14:textId="34C8D88A" w:rsidR="00F50FA0" w:rsidRPr="00C24334" w:rsidRDefault="00F50FA0" w:rsidP="00020B14">
            <w:pPr>
              <w:tabs>
                <w:tab w:val="left" w:pos="0"/>
              </w:tabs>
              <w:spacing w:before="120" w:after="120"/>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lastRenderedPageBreak/>
              <w:t xml:space="preserve">The calibration of </w:t>
            </w:r>
            <w:r w:rsidR="00987CAC" w:rsidRPr="00C24334">
              <w:rPr>
                <w:rFonts w:ascii="Verdana" w:hAnsi="Verdana"/>
                <w:color w:val="7F7F7F" w:themeColor="text1" w:themeTint="80"/>
                <w:sz w:val="22"/>
                <w:szCs w:val="22"/>
                <w:lang w:val="en-US"/>
              </w:rPr>
              <w:t>P</w:t>
            </w:r>
            <w:r w:rsidRPr="00C24334">
              <w:rPr>
                <w:rFonts w:ascii="Verdana" w:hAnsi="Verdana"/>
                <w:color w:val="7F7F7F" w:themeColor="text1" w:themeTint="80"/>
                <w:sz w:val="22"/>
                <w:szCs w:val="22"/>
                <w:lang w:val="en-US"/>
              </w:rPr>
              <w:t xml:space="preserve">illar 1 </w:t>
            </w:r>
            <w:r w:rsidR="00987CAC" w:rsidRPr="00C24334">
              <w:rPr>
                <w:rFonts w:ascii="Verdana" w:hAnsi="Verdana"/>
                <w:color w:val="7F7F7F" w:themeColor="text1" w:themeTint="80"/>
                <w:sz w:val="22"/>
                <w:szCs w:val="22"/>
                <w:lang w:val="en-US"/>
              </w:rPr>
              <w:t xml:space="preserve">of Solvency II </w:t>
            </w:r>
            <w:r w:rsidRPr="00C24334">
              <w:rPr>
                <w:rFonts w:ascii="Verdana" w:hAnsi="Verdana"/>
                <w:color w:val="7F7F7F" w:themeColor="text1" w:themeTint="80"/>
                <w:sz w:val="22"/>
                <w:szCs w:val="22"/>
                <w:lang w:val="en-US"/>
              </w:rPr>
              <w:t xml:space="preserve">was done in a different </w:t>
            </w:r>
            <w:r w:rsidR="00F30859" w:rsidRPr="00C24334">
              <w:rPr>
                <w:rFonts w:ascii="Verdana" w:hAnsi="Verdana"/>
                <w:color w:val="7F7F7F" w:themeColor="text1" w:themeTint="80"/>
                <w:sz w:val="22"/>
                <w:szCs w:val="22"/>
                <w:lang w:val="en-US"/>
              </w:rPr>
              <w:t>economic environment</w:t>
            </w:r>
            <w:r w:rsidRPr="00C24334">
              <w:rPr>
                <w:rFonts w:ascii="Verdana" w:hAnsi="Verdana"/>
                <w:color w:val="7F7F7F" w:themeColor="text1" w:themeTint="80"/>
                <w:sz w:val="22"/>
                <w:szCs w:val="22"/>
                <w:lang w:val="en-US"/>
              </w:rPr>
              <w:t xml:space="preserve"> whe</w:t>
            </w:r>
            <w:r w:rsidR="00F30859" w:rsidRPr="00C24334">
              <w:rPr>
                <w:rFonts w:ascii="Verdana" w:hAnsi="Verdana"/>
                <w:color w:val="7F7F7F" w:themeColor="text1" w:themeTint="80"/>
                <w:sz w:val="22"/>
                <w:szCs w:val="22"/>
                <w:lang w:val="en-US"/>
              </w:rPr>
              <w:t>n</w:t>
            </w:r>
            <w:r w:rsidRPr="00C24334">
              <w:rPr>
                <w:rFonts w:ascii="Verdana" w:hAnsi="Verdana"/>
                <w:color w:val="7F7F7F" w:themeColor="text1" w:themeTint="80"/>
                <w:sz w:val="22"/>
                <w:szCs w:val="22"/>
                <w:lang w:val="en-US"/>
              </w:rPr>
              <w:t xml:space="preserve"> interest rates were above 4% and no distortion in the </w:t>
            </w:r>
            <w:r w:rsidR="00987CAC" w:rsidRPr="00C24334">
              <w:rPr>
                <w:rFonts w:ascii="Verdana" w:hAnsi="Verdana"/>
                <w:color w:val="7F7F7F" w:themeColor="text1" w:themeTint="80"/>
                <w:sz w:val="22"/>
                <w:szCs w:val="22"/>
                <w:lang w:val="en-US"/>
              </w:rPr>
              <w:t xml:space="preserve">financial </w:t>
            </w:r>
            <w:r w:rsidRPr="00C24334">
              <w:rPr>
                <w:rFonts w:ascii="Verdana" w:hAnsi="Verdana"/>
                <w:color w:val="7F7F7F" w:themeColor="text1" w:themeTint="80"/>
                <w:sz w:val="22"/>
                <w:szCs w:val="22"/>
                <w:lang w:val="en-US"/>
              </w:rPr>
              <w:t xml:space="preserve">markets was </w:t>
            </w:r>
            <w:r w:rsidR="000E29C2" w:rsidRPr="00C24334">
              <w:rPr>
                <w:rFonts w:ascii="Verdana" w:hAnsi="Verdana"/>
                <w:color w:val="7F7F7F" w:themeColor="text1" w:themeTint="80"/>
                <w:sz w:val="22"/>
                <w:szCs w:val="22"/>
                <w:lang w:val="en-US"/>
              </w:rPr>
              <w:t>observed</w:t>
            </w:r>
            <w:r w:rsidRPr="00C24334">
              <w:rPr>
                <w:rFonts w:ascii="Verdana" w:hAnsi="Verdana"/>
                <w:color w:val="7F7F7F" w:themeColor="text1" w:themeTint="80"/>
                <w:sz w:val="22"/>
                <w:szCs w:val="22"/>
                <w:lang w:val="en-US"/>
              </w:rPr>
              <w:t xml:space="preserve">. The Omnibus II Directive </w:t>
            </w:r>
            <w:r w:rsidR="00567E4C" w:rsidRPr="00C24334">
              <w:rPr>
                <w:rFonts w:ascii="Verdana" w:hAnsi="Verdana"/>
                <w:color w:val="7F7F7F" w:themeColor="text1" w:themeTint="80"/>
                <w:sz w:val="22"/>
                <w:szCs w:val="22"/>
                <w:lang w:val="en-US"/>
              </w:rPr>
              <w:t xml:space="preserve">contained a package of </w:t>
            </w:r>
            <w:r w:rsidR="00F30859" w:rsidRPr="00C24334">
              <w:rPr>
                <w:rFonts w:ascii="Verdana" w:hAnsi="Verdana"/>
                <w:color w:val="7F7F7F" w:themeColor="text1" w:themeTint="80"/>
                <w:sz w:val="22"/>
                <w:szCs w:val="22"/>
                <w:lang w:val="en-US"/>
              </w:rPr>
              <w:t>measures</w:t>
            </w:r>
            <w:r w:rsidR="00567E4C" w:rsidRPr="00C24334">
              <w:rPr>
                <w:rFonts w:ascii="Verdana" w:hAnsi="Verdana"/>
                <w:color w:val="7F7F7F" w:themeColor="text1" w:themeTint="80"/>
                <w:sz w:val="22"/>
                <w:szCs w:val="22"/>
                <w:lang w:val="en-US"/>
              </w:rPr>
              <w:t xml:space="preserve"> </w:t>
            </w:r>
            <w:r w:rsidR="00F30859" w:rsidRPr="00C24334">
              <w:rPr>
                <w:rFonts w:ascii="Verdana" w:hAnsi="Verdana"/>
                <w:color w:val="7F7F7F" w:themeColor="text1" w:themeTint="80"/>
                <w:sz w:val="22"/>
                <w:szCs w:val="22"/>
                <w:lang w:val="en-US"/>
              </w:rPr>
              <w:t xml:space="preserve">to deal with the issues associated with </w:t>
            </w:r>
            <w:r w:rsidRPr="00C24334">
              <w:rPr>
                <w:rFonts w:ascii="Verdana" w:hAnsi="Verdana"/>
                <w:color w:val="7F7F7F" w:themeColor="text1" w:themeTint="80"/>
                <w:sz w:val="22"/>
                <w:szCs w:val="22"/>
                <w:lang w:val="en-US"/>
              </w:rPr>
              <w:t xml:space="preserve">the </w:t>
            </w:r>
            <w:r w:rsidR="00F30859" w:rsidRPr="00C24334">
              <w:rPr>
                <w:rFonts w:ascii="Verdana" w:hAnsi="Verdana"/>
                <w:color w:val="7F7F7F" w:themeColor="text1" w:themeTint="80"/>
                <w:sz w:val="22"/>
                <w:szCs w:val="22"/>
                <w:lang w:val="en-US"/>
              </w:rPr>
              <w:t xml:space="preserve">financial </w:t>
            </w:r>
            <w:r w:rsidRPr="00C24334">
              <w:rPr>
                <w:rFonts w:ascii="Verdana" w:hAnsi="Verdana"/>
                <w:color w:val="7F7F7F" w:themeColor="text1" w:themeTint="80"/>
                <w:sz w:val="22"/>
                <w:szCs w:val="22"/>
                <w:lang w:val="en-US"/>
              </w:rPr>
              <w:t xml:space="preserve">and euro </w:t>
            </w:r>
            <w:r w:rsidR="00F30859" w:rsidRPr="00C24334">
              <w:rPr>
                <w:rFonts w:ascii="Verdana" w:hAnsi="Verdana"/>
                <w:color w:val="7F7F7F" w:themeColor="text1" w:themeTint="80"/>
                <w:sz w:val="22"/>
                <w:szCs w:val="22"/>
                <w:lang w:val="en-US"/>
              </w:rPr>
              <w:t xml:space="preserve">debt </w:t>
            </w:r>
            <w:r w:rsidRPr="00C24334">
              <w:rPr>
                <w:rFonts w:ascii="Verdana" w:hAnsi="Verdana"/>
                <w:color w:val="7F7F7F" w:themeColor="text1" w:themeTint="80"/>
                <w:sz w:val="22"/>
                <w:szCs w:val="22"/>
                <w:lang w:val="en-US"/>
              </w:rPr>
              <w:t xml:space="preserve">crisis, but the essence of the </w:t>
            </w:r>
            <w:r w:rsidR="00693D53" w:rsidRPr="00C24334">
              <w:rPr>
                <w:rFonts w:ascii="Verdana" w:hAnsi="Verdana"/>
                <w:color w:val="7F7F7F" w:themeColor="text1" w:themeTint="80"/>
                <w:sz w:val="22"/>
                <w:szCs w:val="22"/>
                <w:lang w:val="en-US"/>
              </w:rPr>
              <w:t xml:space="preserve">Solvency II </w:t>
            </w:r>
            <w:r w:rsidRPr="00C24334">
              <w:rPr>
                <w:rFonts w:ascii="Verdana" w:hAnsi="Verdana"/>
                <w:color w:val="7F7F7F" w:themeColor="text1" w:themeTint="80"/>
                <w:sz w:val="22"/>
                <w:szCs w:val="22"/>
                <w:lang w:val="en-US"/>
              </w:rPr>
              <w:t>calibration was n</w:t>
            </w:r>
            <w:r w:rsidR="00693D53" w:rsidRPr="00C24334">
              <w:rPr>
                <w:rFonts w:ascii="Verdana" w:hAnsi="Verdana"/>
                <w:color w:val="7F7F7F" w:themeColor="text1" w:themeTint="80"/>
                <w:sz w:val="22"/>
                <w:szCs w:val="22"/>
                <w:lang w:val="en-US"/>
              </w:rPr>
              <w:t>either</w:t>
            </w:r>
            <w:r w:rsidRPr="00C24334">
              <w:rPr>
                <w:rFonts w:ascii="Verdana" w:hAnsi="Verdana"/>
                <w:color w:val="7F7F7F" w:themeColor="text1" w:themeTint="80"/>
                <w:sz w:val="22"/>
                <w:szCs w:val="22"/>
                <w:lang w:val="en-US"/>
              </w:rPr>
              <w:t xml:space="preserve"> changed </w:t>
            </w:r>
            <w:r w:rsidR="00693D53" w:rsidRPr="00C24334">
              <w:rPr>
                <w:rFonts w:ascii="Verdana" w:hAnsi="Verdana"/>
                <w:color w:val="7F7F7F" w:themeColor="text1" w:themeTint="80"/>
                <w:sz w:val="22"/>
                <w:szCs w:val="22"/>
                <w:lang w:val="en-US"/>
              </w:rPr>
              <w:t>nor</w:t>
            </w:r>
            <w:r w:rsidRPr="00C24334">
              <w:rPr>
                <w:rFonts w:ascii="Verdana" w:hAnsi="Verdana"/>
                <w:color w:val="7F7F7F" w:themeColor="text1" w:themeTint="80"/>
                <w:sz w:val="22"/>
                <w:szCs w:val="22"/>
                <w:lang w:val="en-US"/>
              </w:rPr>
              <w:t xml:space="preserve"> revised. The main calibration of Solvency II </w:t>
            </w:r>
            <w:r w:rsidR="00567E4C" w:rsidRPr="00C24334">
              <w:rPr>
                <w:rFonts w:ascii="Verdana" w:hAnsi="Verdana"/>
                <w:color w:val="7F7F7F" w:themeColor="text1" w:themeTint="80"/>
                <w:sz w:val="22"/>
                <w:szCs w:val="22"/>
                <w:lang w:val="en-US"/>
              </w:rPr>
              <w:t>was</w:t>
            </w:r>
            <w:r w:rsidR="00693D53" w:rsidRPr="00C24334">
              <w:rPr>
                <w:rFonts w:ascii="Verdana" w:hAnsi="Verdana"/>
                <w:color w:val="7F7F7F" w:themeColor="text1" w:themeTint="80"/>
                <w:sz w:val="22"/>
                <w:szCs w:val="22"/>
                <w:lang w:val="en-US"/>
              </w:rPr>
              <w:t xml:space="preserve"> conducted</w:t>
            </w:r>
            <w:r w:rsidRPr="00C24334">
              <w:rPr>
                <w:rFonts w:ascii="Verdana" w:hAnsi="Verdana"/>
                <w:color w:val="7F7F7F" w:themeColor="text1" w:themeTint="80"/>
                <w:sz w:val="22"/>
                <w:szCs w:val="22"/>
                <w:lang w:val="en-US"/>
              </w:rPr>
              <w:t xml:space="preserve"> prior </w:t>
            </w:r>
            <w:r w:rsidR="00693D53" w:rsidRPr="00C24334">
              <w:rPr>
                <w:rFonts w:ascii="Verdana" w:hAnsi="Verdana"/>
                <w:color w:val="7F7F7F" w:themeColor="text1" w:themeTint="80"/>
                <w:sz w:val="22"/>
                <w:szCs w:val="22"/>
                <w:lang w:val="en-US"/>
              </w:rPr>
              <w:t xml:space="preserve">to </w:t>
            </w:r>
            <w:r w:rsidRPr="00C24334">
              <w:rPr>
                <w:rFonts w:ascii="Verdana" w:hAnsi="Verdana"/>
                <w:color w:val="7F7F7F" w:themeColor="text1" w:themeTint="80"/>
                <w:sz w:val="22"/>
                <w:szCs w:val="22"/>
                <w:lang w:val="en-US"/>
              </w:rPr>
              <w:t xml:space="preserve">2008, </w:t>
            </w:r>
            <w:r w:rsidR="00D51CF6" w:rsidRPr="00C24334">
              <w:rPr>
                <w:rFonts w:ascii="Verdana" w:hAnsi="Verdana"/>
                <w:color w:val="7F7F7F" w:themeColor="text1" w:themeTint="80"/>
                <w:sz w:val="22"/>
                <w:szCs w:val="22"/>
                <w:lang w:val="en-US"/>
              </w:rPr>
              <w:t>an</w:t>
            </w:r>
            <w:r w:rsidRPr="00C24334">
              <w:rPr>
                <w:rFonts w:ascii="Verdana" w:hAnsi="Verdana"/>
                <w:color w:val="7F7F7F" w:themeColor="text1" w:themeTint="80"/>
                <w:sz w:val="22"/>
                <w:szCs w:val="22"/>
                <w:lang w:val="en-US"/>
              </w:rPr>
              <w:t xml:space="preserve"> economic period in time which could be seen as “somewhere in the middle of the distribution”. Methods and calibration </w:t>
            </w:r>
            <w:r w:rsidR="00693D53" w:rsidRPr="00C24334">
              <w:rPr>
                <w:rFonts w:ascii="Verdana" w:hAnsi="Verdana"/>
                <w:color w:val="7F7F7F" w:themeColor="text1" w:themeTint="80"/>
                <w:sz w:val="22"/>
                <w:szCs w:val="22"/>
                <w:lang w:val="en-US"/>
              </w:rPr>
              <w:t xml:space="preserve">had worked reasonably </w:t>
            </w:r>
            <w:r w:rsidRPr="00C24334">
              <w:rPr>
                <w:rFonts w:ascii="Verdana" w:hAnsi="Verdana"/>
                <w:color w:val="7F7F7F" w:themeColor="text1" w:themeTint="80"/>
                <w:sz w:val="22"/>
                <w:szCs w:val="22"/>
                <w:lang w:val="en-US"/>
              </w:rPr>
              <w:t xml:space="preserve">well </w:t>
            </w:r>
            <w:r w:rsidR="00693D53" w:rsidRPr="00C24334">
              <w:rPr>
                <w:rFonts w:ascii="Verdana" w:hAnsi="Verdana"/>
                <w:color w:val="7F7F7F" w:themeColor="text1" w:themeTint="80"/>
                <w:sz w:val="22"/>
                <w:szCs w:val="22"/>
                <w:lang w:val="en-US"/>
              </w:rPr>
              <w:t>during that</w:t>
            </w:r>
            <w:r w:rsidRPr="00C24334">
              <w:rPr>
                <w:rFonts w:ascii="Verdana" w:hAnsi="Verdana"/>
                <w:color w:val="7F7F7F" w:themeColor="text1" w:themeTint="80"/>
                <w:sz w:val="22"/>
                <w:szCs w:val="22"/>
                <w:lang w:val="en-US"/>
              </w:rPr>
              <w:t xml:space="preserve"> period. </w:t>
            </w:r>
            <w:r w:rsidR="00693D53" w:rsidRPr="00C24334">
              <w:rPr>
                <w:rFonts w:ascii="Verdana" w:hAnsi="Verdana"/>
                <w:color w:val="7F7F7F" w:themeColor="text1" w:themeTint="80"/>
                <w:sz w:val="22"/>
                <w:szCs w:val="22"/>
                <w:lang w:val="en-US"/>
              </w:rPr>
              <w:t>However, t</w:t>
            </w:r>
            <w:r w:rsidRPr="00C24334">
              <w:rPr>
                <w:rFonts w:ascii="Verdana" w:hAnsi="Verdana"/>
                <w:color w:val="7F7F7F" w:themeColor="text1" w:themeTint="80"/>
                <w:sz w:val="22"/>
                <w:szCs w:val="22"/>
                <w:lang w:val="en-US"/>
              </w:rPr>
              <w:t xml:space="preserve">he current low interest rate environment </w:t>
            </w:r>
            <w:r w:rsidR="006E49D5" w:rsidRPr="00C24334">
              <w:rPr>
                <w:rFonts w:ascii="Verdana" w:hAnsi="Verdana"/>
                <w:color w:val="7F7F7F" w:themeColor="text1" w:themeTint="80"/>
                <w:sz w:val="22"/>
                <w:szCs w:val="22"/>
                <w:lang w:val="en-US"/>
              </w:rPr>
              <w:t xml:space="preserve">is a new territory that should not be excessively amplified to avoid overstatement of short-medium term situations to the entire set of long-term projections that will only resolve over time. </w:t>
            </w:r>
            <w:r w:rsidRPr="00C24334">
              <w:rPr>
                <w:rFonts w:ascii="Verdana" w:hAnsi="Verdana"/>
                <w:color w:val="7F7F7F" w:themeColor="text1" w:themeTint="80"/>
                <w:sz w:val="22"/>
                <w:szCs w:val="22"/>
                <w:lang w:val="en-US"/>
              </w:rPr>
              <w:t xml:space="preserve">The question </w:t>
            </w:r>
            <w:r w:rsidR="00832EE0" w:rsidRPr="00C24334">
              <w:rPr>
                <w:rFonts w:ascii="Verdana" w:hAnsi="Verdana"/>
                <w:color w:val="7F7F7F" w:themeColor="text1" w:themeTint="80"/>
                <w:sz w:val="22"/>
                <w:szCs w:val="22"/>
                <w:lang w:val="en-US"/>
              </w:rPr>
              <w:t>to</w:t>
            </w:r>
            <w:r w:rsidR="00693D53" w:rsidRPr="00C24334">
              <w:rPr>
                <w:rFonts w:ascii="Verdana" w:hAnsi="Verdana"/>
                <w:color w:val="7F7F7F" w:themeColor="text1" w:themeTint="80"/>
                <w:sz w:val="22"/>
                <w:szCs w:val="22"/>
                <w:lang w:val="en-US"/>
              </w:rPr>
              <w:t xml:space="preserve"> be answered in this consultation paper is</w:t>
            </w:r>
            <w:r w:rsidRPr="00C24334">
              <w:rPr>
                <w:rFonts w:ascii="Verdana" w:hAnsi="Verdana"/>
                <w:color w:val="7F7F7F" w:themeColor="text1" w:themeTint="80"/>
                <w:sz w:val="22"/>
                <w:szCs w:val="22"/>
                <w:lang w:val="en-US"/>
              </w:rPr>
              <w:t xml:space="preserve"> </w:t>
            </w:r>
            <w:r w:rsidR="00BB6380" w:rsidRPr="00C24334">
              <w:rPr>
                <w:rFonts w:ascii="Verdana" w:hAnsi="Verdana"/>
                <w:color w:val="7F7F7F" w:themeColor="text1" w:themeTint="80"/>
                <w:sz w:val="22"/>
                <w:szCs w:val="22"/>
                <w:lang w:val="en-US"/>
              </w:rPr>
              <w:t>whether</w:t>
            </w:r>
            <w:r w:rsidRPr="00C24334">
              <w:rPr>
                <w:rFonts w:ascii="Verdana" w:hAnsi="Verdana"/>
                <w:color w:val="7F7F7F" w:themeColor="text1" w:themeTint="80"/>
                <w:sz w:val="22"/>
                <w:szCs w:val="22"/>
                <w:lang w:val="en-US"/>
              </w:rPr>
              <w:t xml:space="preserve"> the calibration </w:t>
            </w:r>
            <w:r w:rsidR="00832EE0" w:rsidRPr="00C24334">
              <w:rPr>
                <w:rFonts w:ascii="Verdana" w:hAnsi="Verdana"/>
                <w:color w:val="7F7F7F" w:themeColor="text1" w:themeTint="80"/>
                <w:sz w:val="22"/>
                <w:szCs w:val="22"/>
                <w:lang w:val="en-US"/>
              </w:rPr>
              <w:t xml:space="preserve">of Solvency II </w:t>
            </w:r>
            <w:r w:rsidR="00BB6380" w:rsidRPr="00C24334">
              <w:rPr>
                <w:rFonts w:ascii="Verdana" w:hAnsi="Verdana"/>
                <w:color w:val="7F7F7F" w:themeColor="text1" w:themeTint="80"/>
                <w:sz w:val="22"/>
                <w:szCs w:val="22"/>
                <w:lang w:val="en-US"/>
              </w:rPr>
              <w:t xml:space="preserve">is </w:t>
            </w:r>
            <w:r w:rsidRPr="00C24334">
              <w:rPr>
                <w:rFonts w:ascii="Verdana" w:hAnsi="Verdana"/>
                <w:color w:val="7F7F7F" w:themeColor="text1" w:themeTint="80"/>
                <w:sz w:val="22"/>
                <w:szCs w:val="22"/>
                <w:lang w:val="en-US"/>
              </w:rPr>
              <w:t>appropriate in this circumstance.</w:t>
            </w:r>
          </w:p>
          <w:p w14:paraId="194397C4" w14:textId="20476A03" w:rsidR="005678A0" w:rsidRPr="00C24334" w:rsidRDefault="00F50FA0" w:rsidP="00020B14">
            <w:pPr>
              <w:tabs>
                <w:tab w:val="left" w:pos="0"/>
              </w:tabs>
              <w:rPr>
                <w:rFonts w:ascii="Verdana" w:hAnsi="Verdana" w:cs="Helvetica"/>
                <w:color w:val="7F7F7F" w:themeColor="text1" w:themeTint="80"/>
                <w:sz w:val="22"/>
                <w:szCs w:val="22"/>
                <w:lang w:val="en-GB" w:eastAsia="fr-FR"/>
              </w:rPr>
            </w:pPr>
            <w:r w:rsidRPr="00C24334">
              <w:rPr>
                <w:rFonts w:ascii="Verdana" w:hAnsi="Verdana"/>
                <w:color w:val="7F7F7F" w:themeColor="text1" w:themeTint="80"/>
                <w:sz w:val="22"/>
                <w:szCs w:val="22"/>
                <w:lang w:val="en-US"/>
              </w:rPr>
              <w:t xml:space="preserve">AMICE wants also to reiterate that at the start of Solvency </w:t>
            </w:r>
            <w:r w:rsidR="0095503C" w:rsidRPr="00C24334">
              <w:rPr>
                <w:rFonts w:ascii="Verdana" w:hAnsi="Verdana"/>
                <w:color w:val="7F7F7F" w:themeColor="text1" w:themeTint="80"/>
                <w:sz w:val="22"/>
                <w:szCs w:val="22"/>
                <w:lang w:val="en-US"/>
              </w:rPr>
              <w:t>II</w:t>
            </w:r>
            <w:r w:rsidRPr="00C24334">
              <w:rPr>
                <w:rFonts w:ascii="Verdana" w:hAnsi="Verdana"/>
                <w:color w:val="7F7F7F" w:themeColor="text1" w:themeTint="80"/>
                <w:sz w:val="22"/>
                <w:szCs w:val="22"/>
                <w:lang w:val="en-US"/>
              </w:rPr>
              <w:t xml:space="preserve"> it was envisaged that the </w:t>
            </w:r>
            <w:r w:rsidR="00E71CF2" w:rsidRPr="00C24334">
              <w:rPr>
                <w:rFonts w:ascii="Verdana" w:hAnsi="Verdana"/>
                <w:color w:val="7F7F7F" w:themeColor="text1" w:themeTint="80"/>
                <w:sz w:val="22"/>
                <w:szCs w:val="22"/>
                <w:lang w:val="en-US"/>
              </w:rPr>
              <w:t>insurer</w:t>
            </w:r>
            <w:r w:rsidR="00832EE0" w:rsidRPr="00C24334">
              <w:rPr>
                <w:rFonts w:ascii="Verdana" w:hAnsi="Verdana"/>
                <w:color w:val="7F7F7F" w:themeColor="text1" w:themeTint="80"/>
                <w:sz w:val="22"/>
                <w:szCs w:val="22"/>
                <w:lang w:val="en-US"/>
              </w:rPr>
              <w:t>s</w:t>
            </w:r>
            <w:r w:rsidR="00E71CF2" w:rsidRPr="00C24334">
              <w:rPr>
                <w:rFonts w:ascii="Verdana" w:hAnsi="Verdana"/>
                <w:color w:val="7F7F7F" w:themeColor="text1" w:themeTint="80"/>
                <w:sz w:val="22"/>
                <w:szCs w:val="22"/>
                <w:lang w:val="en-US"/>
              </w:rPr>
              <w:t>´ m</w:t>
            </w:r>
            <w:r w:rsidRPr="00C24334">
              <w:rPr>
                <w:rFonts w:ascii="Verdana" w:hAnsi="Verdana"/>
                <w:color w:val="7F7F7F" w:themeColor="text1" w:themeTint="80"/>
                <w:sz w:val="22"/>
                <w:szCs w:val="22"/>
                <w:lang w:val="en-US"/>
              </w:rPr>
              <w:t xml:space="preserve">inimum </w:t>
            </w:r>
            <w:r w:rsidR="00E71CF2" w:rsidRPr="00C24334">
              <w:rPr>
                <w:rFonts w:ascii="Verdana" w:hAnsi="Verdana"/>
                <w:color w:val="7F7F7F" w:themeColor="text1" w:themeTint="80"/>
                <w:sz w:val="22"/>
                <w:szCs w:val="22"/>
                <w:lang w:val="en-US"/>
              </w:rPr>
              <w:t>c</w:t>
            </w:r>
            <w:r w:rsidRPr="00C24334">
              <w:rPr>
                <w:rFonts w:ascii="Verdana" w:hAnsi="Verdana"/>
                <w:color w:val="7F7F7F" w:themeColor="text1" w:themeTint="80"/>
                <w:sz w:val="22"/>
                <w:szCs w:val="22"/>
                <w:lang w:val="en-US"/>
              </w:rPr>
              <w:t xml:space="preserve">apital </w:t>
            </w:r>
            <w:r w:rsidR="00E71CF2" w:rsidRPr="00C24334">
              <w:rPr>
                <w:rFonts w:ascii="Verdana" w:hAnsi="Verdana"/>
                <w:color w:val="7F7F7F" w:themeColor="text1" w:themeTint="80"/>
                <w:sz w:val="22"/>
                <w:szCs w:val="22"/>
                <w:lang w:val="en-US"/>
              </w:rPr>
              <w:t>r</w:t>
            </w:r>
            <w:r w:rsidRPr="00C24334">
              <w:rPr>
                <w:rFonts w:ascii="Verdana" w:hAnsi="Verdana"/>
                <w:color w:val="7F7F7F" w:themeColor="text1" w:themeTint="80"/>
                <w:sz w:val="22"/>
                <w:szCs w:val="22"/>
                <w:lang w:val="en-US"/>
              </w:rPr>
              <w:t>equirement</w:t>
            </w:r>
            <w:r w:rsidR="00832EE0" w:rsidRPr="00C24334">
              <w:rPr>
                <w:rFonts w:ascii="Verdana" w:hAnsi="Verdana"/>
                <w:color w:val="7F7F7F" w:themeColor="text1" w:themeTint="80"/>
                <w:sz w:val="22"/>
                <w:szCs w:val="22"/>
                <w:lang w:val="en-US"/>
              </w:rPr>
              <w:t xml:space="preserve"> (</w:t>
            </w:r>
            <w:r w:rsidR="00170767" w:rsidRPr="00C24334">
              <w:rPr>
                <w:rFonts w:ascii="Verdana" w:hAnsi="Verdana"/>
                <w:color w:val="7F7F7F" w:themeColor="text1" w:themeTint="80"/>
                <w:sz w:val="22"/>
                <w:szCs w:val="22"/>
                <w:lang w:val="en-US"/>
              </w:rPr>
              <w:t>i.e.</w:t>
            </w:r>
            <w:r w:rsidR="00832EE0" w:rsidRPr="00C24334">
              <w:rPr>
                <w:rFonts w:ascii="Verdana" w:hAnsi="Verdana"/>
                <w:color w:val="7F7F7F" w:themeColor="text1" w:themeTint="80"/>
                <w:sz w:val="22"/>
                <w:szCs w:val="22"/>
                <w:lang w:val="en-US"/>
              </w:rPr>
              <w:t xml:space="preserve"> MCR)</w:t>
            </w:r>
            <w:r w:rsidRPr="00C24334">
              <w:rPr>
                <w:rFonts w:ascii="Verdana" w:hAnsi="Verdana"/>
                <w:color w:val="7F7F7F" w:themeColor="text1" w:themeTint="80"/>
                <w:sz w:val="22"/>
                <w:szCs w:val="22"/>
                <w:lang w:val="en-US"/>
              </w:rPr>
              <w:t xml:space="preserve"> </w:t>
            </w:r>
            <w:r w:rsidR="00832EE0" w:rsidRPr="00C24334">
              <w:rPr>
                <w:rFonts w:ascii="Verdana" w:hAnsi="Verdana"/>
                <w:color w:val="7F7F7F" w:themeColor="text1" w:themeTint="80"/>
                <w:sz w:val="22"/>
                <w:szCs w:val="22"/>
                <w:lang w:val="en-US"/>
              </w:rPr>
              <w:t>would be a hard target</w:t>
            </w:r>
            <w:r w:rsidR="00183ED1" w:rsidRPr="00C24334">
              <w:rPr>
                <w:rFonts w:ascii="Verdana" w:hAnsi="Verdana"/>
                <w:color w:val="7F7F7F" w:themeColor="text1" w:themeTint="80"/>
                <w:sz w:val="22"/>
                <w:szCs w:val="22"/>
                <w:lang w:val="en-US"/>
              </w:rPr>
              <w:t xml:space="preserve"> that it should be fulfilled at all times</w:t>
            </w:r>
            <w:r w:rsidR="00760A12" w:rsidRPr="00C24334">
              <w:rPr>
                <w:rFonts w:ascii="Verdana" w:hAnsi="Verdana"/>
                <w:color w:val="7F7F7F" w:themeColor="text1" w:themeTint="80"/>
                <w:sz w:val="22"/>
                <w:szCs w:val="22"/>
                <w:lang w:val="en-US"/>
              </w:rPr>
              <w:t>;</w:t>
            </w:r>
            <w:r w:rsidRPr="00C24334">
              <w:rPr>
                <w:rFonts w:ascii="Verdana" w:hAnsi="Verdana"/>
                <w:color w:val="7F7F7F" w:themeColor="text1" w:themeTint="80"/>
                <w:sz w:val="22"/>
                <w:szCs w:val="22"/>
                <w:lang w:val="en-US"/>
              </w:rPr>
              <w:t xml:space="preserve"> A breach </w:t>
            </w:r>
            <w:r w:rsidR="0095503C" w:rsidRPr="00C24334">
              <w:rPr>
                <w:rFonts w:ascii="Verdana" w:hAnsi="Verdana"/>
                <w:color w:val="7F7F7F" w:themeColor="text1" w:themeTint="80"/>
                <w:sz w:val="22"/>
                <w:szCs w:val="22"/>
                <w:lang w:val="en-US"/>
              </w:rPr>
              <w:t xml:space="preserve">of the MCR </w:t>
            </w:r>
            <w:r w:rsidRPr="00C24334">
              <w:rPr>
                <w:rFonts w:ascii="Verdana" w:hAnsi="Verdana"/>
                <w:color w:val="7F7F7F" w:themeColor="text1" w:themeTint="80"/>
                <w:sz w:val="22"/>
                <w:szCs w:val="22"/>
                <w:lang w:val="en-US"/>
              </w:rPr>
              <w:t xml:space="preserve">would </w:t>
            </w:r>
            <w:r w:rsidR="0095503C" w:rsidRPr="00C24334">
              <w:rPr>
                <w:rFonts w:ascii="Verdana" w:hAnsi="Verdana"/>
                <w:color w:val="7F7F7F" w:themeColor="text1" w:themeTint="80"/>
                <w:sz w:val="22"/>
                <w:szCs w:val="22"/>
                <w:lang w:val="en-US"/>
              </w:rPr>
              <w:t xml:space="preserve">indicate that </w:t>
            </w:r>
            <w:r w:rsidRPr="00C24334">
              <w:rPr>
                <w:rFonts w:ascii="Verdana" w:hAnsi="Verdana"/>
                <w:color w:val="7F7F7F" w:themeColor="text1" w:themeTint="80"/>
                <w:sz w:val="22"/>
                <w:szCs w:val="22"/>
                <w:lang w:val="en-US"/>
              </w:rPr>
              <w:t xml:space="preserve">the interests of policyholders </w:t>
            </w:r>
            <w:r w:rsidR="0095503C" w:rsidRPr="00C24334">
              <w:rPr>
                <w:rFonts w:ascii="Verdana" w:hAnsi="Verdana"/>
                <w:color w:val="7F7F7F" w:themeColor="text1" w:themeTint="80"/>
                <w:sz w:val="22"/>
                <w:szCs w:val="22"/>
                <w:lang w:val="en-US"/>
              </w:rPr>
              <w:t>are in</w:t>
            </w:r>
            <w:r w:rsidRPr="00C24334">
              <w:rPr>
                <w:rFonts w:ascii="Verdana" w:hAnsi="Verdana"/>
                <w:color w:val="7F7F7F" w:themeColor="text1" w:themeTint="80"/>
                <w:sz w:val="22"/>
                <w:szCs w:val="22"/>
                <w:lang w:val="en-US"/>
              </w:rPr>
              <w:t xml:space="preserve"> danger and </w:t>
            </w:r>
            <w:r w:rsidR="00832EE0" w:rsidRPr="00C24334">
              <w:rPr>
                <w:rFonts w:ascii="Verdana" w:hAnsi="Verdana"/>
                <w:color w:val="7F7F7F" w:themeColor="text1" w:themeTint="80"/>
                <w:sz w:val="22"/>
                <w:szCs w:val="22"/>
                <w:lang w:val="en-US"/>
              </w:rPr>
              <w:t>allow the intervention by the supervisory authorities</w:t>
            </w:r>
            <w:r w:rsidRPr="00C24334">
              <w:rPr>
                <w:rFonts w:ascii="Verdana" w:hAnsi="Verdana"/>
                <w:color w:val="7F7F7F" w:themeColor="text1" w:themeTint="80"/>
                <w:sz w:val="22"/>
                <w:szCs w:val="22"/>
                <w:lang w:val="en-US"/>
              </w:rPr>
              <w:t xml:space="preserve">. The </w:t>
            </w:r>
            <w:r w:rsidR="00693D53" w:rsidRPr="00C24334">
              <w:rPr>
                <w:rFonts w:ascii="Verdana" w:hAnsi="Verdana"/>
                <w:color w:val="7F7F7F" w:themeColor="text1" w:themeTint="80"/>
                <w:sz w:val="22"/>
                <w:szCs w:val="22"/>
                <w:lang w:val="en-US"/>
              </w:rPr>
              <w:t>SCR</w:t>
            </w:r>
            <w:r w:rsidR="00183ED1" w:rsidRPr="00C24334">
              <w:rPr>
                <w:rFonts w:ascii="Verdana" w:hAnsi="Verdana"/>
                <w:color w:val="7F7F7F" w:themeColor="text1" w:themeTint="80"/>
                <w:sz w:val="22"/>
                <w:szCs w:val="22"/>
                <w:lang w:val="en-US"/>
              </w:rPr>
              <w:t xml:space="preserve"> was a soft target that</w:t>
            </w:r>
            <w:r w:rsidRPr="00C24334">
              <w:rPr>
                <w:rFonts w:ascii="Verdana" w:hAnsi="Verdana"/>
                <w:color w:val="7F7F7F" w:themeColor="text1" w:themeTint="80"/>
                <w:sz w:val="22"/>
                <w:szCs w:val="22"/>
                <w:lang w:val="en-US"/>
              </w:rPr>
              <w:t xml:space="preserve"> </w:t>
            </w:r>
            <w:r w:rsidR="00183ED1" w:rsidRPr="00C24334">
              <w:rPr>
                <w:rFonts w:ascii="Verdana" w:hAnsi="Verdana"/>
                <w:color w:val="7F7F7F" w:themeColor="text1" w:themeTint="80"/>
                <w:sz w:val="22"/>
                <w:szCs w:val="22"/>
                <w:lang w:val="en-US"/>
              </w:rPr>
              <w:t>had to be met but a</w:t>
            </w:r>
            <w:r w:rsidRPr="00C24334">
              <w:rPr>
                <w:rFonts w:ascii="Verdana" w:hAnsi="Verdana"/>
                <w:color w:val="7F7F7F" w:themeColor="text1" w:themeTint="80"/>
                <w:sz w:val="22"/>
                <w:szCs w:val="22"/>
                <w:lang w:val="en-US"/>
              </w:rPr>
              <w:t>n insignificant breach</w:t>
            </w:r>
            <w:r w:rsidR="00406CC9" w:rsidRPr="00C24334">
              <w:rPr>
                <w:rFonts w:ascii="Verdana" w:hAnsi="Verdana"/>
                <w:color w:val="7F7F7F" w:themeColor="text1" w:themeTint="80"/>
                <w:sz w:val="22"/>
                <w:szCs w:val="22"/>
                <w:lang w:val="en-US"/>
              </w:rPr>
              <w:t xml:space="preserve"> of the SCR</w:t>
            </w:r>
            <w:r w:rsidRPr="00C24334">
              <w:rPr>
                <w:rFonts w:ascii="Verdana" w:hAnsi="Verdana"/>
                <w:color w:val="7F7F7F" w:themeColor="text1" w:themeTint="80"/>
                <w:sz w:val="22"/>
                <w:szCs w:val="22"/>
                <w:lang w:val="en-US"/>
              </w:rPr>
              <w:t xml:space="preserve"> due to market volatility was accepted</w:t>
            </w:r>
            <w:r w:rsidR="006E49D5" w:rsidRPr="00C24334">
              <w:rPr>
                <w:rFonts w:ascii="Verdana" w:hAnsi="Verdana"/>
                <w:color w:val="7F7F7F" w:themeColor="text1" w:themeTint="80"/>
                <w:sz w:val="22"/>
                <w:szCs w:val="22"/>
                <w:lang w:val="en-US"/>
              </w:rPr>
              <w:t xml:space="preserve"> without the need of producing any recovery and resolution plan</w:t>
            </w:r>
            <w:r w:rsidRPr="00C24334">
              <w:rPr>
                <w:rFonts w:ascii="Verdana" w:hAnsi="Verdana"/>
                <w:color w:val="7F7F7F" w:themeColor="text1" w:themeTint="80"/>
                <w:sz w:val="22"/>
                <w:szCs w:val="22"/>
                <w:lang w:val="en-US"/>
              </w:rPr>
              <w:t xml:space="preserve">. </w:t>
            </w:r>
            <w:r w:rsidR="008B1B79">
              <w:rPr>
                <w:rFonts w:ascii="Verdana" w:hAnsi="Verdana"/>
                <w:color w:val="7F7F7F" w:themeColor="text1" w:themeTint="80"/>
                <w:sz w:val="22"/>
                <w:szCs w:val="22"/>
                <w:lang w:val="en-US"/>
              </w:rPr>
              <w:t>The SCR should not become a new MCR.</w:t>
            </w:r>
          </w:p>
        </w:tc>
        <w:tc>
          <w:tcPr>
            <w:tcW w:w="483" w:type="pct"/>
            <w:tcBorders>
              <w:top w:val="single" w:sz="4" w:space="0" w:color="auto"/>
              <w:left w:val="single" w:sz="4" w:space="0" w:color="auto"/>
              <w:bottom w:val="single" w:sz="4" w:space="0" w:color="auto"/>
              <w:right w:val="single" w:sz="4" w:space="0" w:color="auto"/>
            </w:tcBorders>
          </w:tcPr>
          <w:p w14:paraId="5121FA91" w14:textId="77777777" w:rsidR="00394ECE" w:rsidRPr="00C83C87" w:rsidRDefault="00394ECE" w:rsidP="00020B14">
            <w:pPr>
              <w:tabs>
                <w:tab w:val="left" w:pos="0"/>
              </w:tabs>
              <w:rPr>
                <w:color w:val="000000"/>
                <w:lang w:val="en-GB" w:eastAsia="fr-FR"/>
              </w:rPr>
            </w:pPr>
          </w:p>
        </w:tc>
      </w:tr>
      <w:tr w:rsidR="00173725" w:rsidRPr="005C57B5" w14:paraId="7E97B8C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812C5AF" w14:textId="0DF7E547" w:rsidR="00394ECE" w:rsidRPr="00C7000E" w:rsidRDefault="00394ECE" w:rsidP="002F78B0">
            <w:pPr>
              <w:tabs>
                <w:tab w:val="left" w:pos="0"/>
                <w:tab w:val="left" w:pos="920"/>
              </w:tabs>
              <w:spacing w:before="120"/>
              <w:ind w:left="-96" w:right="72"/>
              <w:rPr>
                <w:rFonts w:ascii="Verdana" w:hAnsi="Verdana"/>
                <w:bCs/>
                <w:color w:val="000000"/>
                <w:sz w:val="22"/>
                <w:szCs w:val="22"/>
                <w:lang w:val="en-GB"/>
              </w:rPr>
            </w:pPr>
          </w:p>
        </w:tc>
        <w:tc>
          <w:tcPr>
            <w:tcW w:w="486" w:type="pct"/>
            <w:tcBorders>
              <w:top w:val="single" w:sz="4" w:space="0" w:color="auto"/>
              <w:left w:val="single" w:sz="4" w:space="0" w:color="auto"/>
              <w:bottom w:val="single" w:sz="4" w:space="0" w:color="auto"/>
              <w:right w:val="single" w:sz="4" w:space="0" w:color="auto"/>
            </w:tcBorders>
          </w:tcPr>
          <w:p w14:paraId="3336B2E0" w14:textId="2E048122" w:rsidR="00394ECE" w:rsidRPr="00C83C87" w:rsidRDefault="00C30D78" w:rsidP="002F78B0">
            <w:pPr>
              <w:tabs>
                <w:tab w:val="left" w:pos="-26"/>
              </w:tabs>
              <w:ind w:left="-96" w:firstLine="70"/>
              <w:rPr>
                <w:color w:val="000000"/>
                <w:lang w:val="en-GB" w:eastAsia="fr-FR"/>
              </w:rPr>
            </w:pPr>
            <w:r>
              <w:rPr>
                <w:rFonts w:ascii="Verdana" w:hAnsi="Verdana"/>
                <w:bCs/>
                <w:color w:val="7F7F7F" w:themeColor="text1" w:themeTint="80"/>
                <w:sz w:val="22"/>
                <w:szCs w:val="22"/>
                <w:lang w:val="en-GB"/>
              </w:rPr>
              <w:t xml:space="preserve">Executive Summary </w:t>
            </w:r>
            <w:r w:rsidRPr="00F0251A">
              <w:rPr>
                <w:rFonts w:ascii="Verdana" w:hAnsi="Verdana"/>
                <w:bCs/>
                <w:color w:val="7F7F7F" w:themeColor="text1" w:themeTint="80"/>
                <w:sz w:val="22"/>
                <w:szCs w:val="22"/>
                <w:lang w:val="en-GB"/>
              </w:rPr>
              <w:t>General Messages</w:t>
            </w:r>
          </w:p>
        </w:tc>
        <w:tc>
          <w:tcPr>
            <w:tcW w:w="2020" w:type="pct"/>
            <w:gridSpan w:val="2"/>
            <w:tcBorders>
              <w:top w:val="single" w:sz="4" w:space="0" w:color="auto"/>
              <w:left w:val="single" w:sz="4" w:space="0" w:color="auto"/>
              <w:bottom w:val="single" w:sz="4" w:space="0" w:color="auto"/>
              <w:right w:val="single" w:sz="4" w:space="0" w:color="auto"/>
            </w:tcBorders>
          </w:tcPr>
          <w:p w14:paraId="7968C4CC" w14:textId="15494B14" w:rsidR="00AE1EAE" w:rsidRPr="00460C92" w:rsidRDefault="00AE1EAE" w:rsidP="00020B14">
            <w:pPr>
              <w:tabs>
                <w:tab w:val="left" w:pos="0"/>
              </w:tabs>
              <w:spacing w:before="120" w:after="120"/>
              <w:rPr>
                <w:rFonts w:ascii="Verdana" w:hAnsi="Verdana"/>
                <w:b/>
                <w:bCs/>
                <w:color w:val="7F7F7F" w:themeColor="text1" w:themeTint="80"/>
                <w:sz w:val="22"/>
                <w:szCs w:val="22"/>
                <w:u w:val="single"/>
                <w:lang w:val="en-GB" w:eastAsia="fr-FR"/>
              </w:rPr>
            </w:pPr>
            <w:r w:rsidRPr="00460C92">
              <w:rPr>
                <w:rFonts w:ascii="Verdana" w:hAnsi="Verdana"/>
                <w:b/>
                <w:bCs/>
                <w:color w:val="7F7F7F" w:themeColor="text1" w:themeTint="80"/>
                <w:sz w:val="22"/>
                <w:szCs w:val="22"/>
                <w:u w:val="single"/>
                <w:lang w:val="en-GB" w:eastAsia="fr-FR"/>
              </w:rPr>
              <w:t>2.</w:t>
            </w:r>
            <w:r w:rsidR="00C10E46" w:rsidRPr="00460C92">
              <w:rPr>
                <w:rFonts w:ascii="Verdana" w:hAnsi="Verdana"/>
                <w:b/>
                <w:bCs/>
                <w:color w:val="7F7F7F" w:themeColor="text1" w:themeTint="80"/>
                <w:sz w:val="22"/>
                <w:szCs w:val="22"/>
                <w:u w:val="single"/>
                <w:lang w:val="en-GB" w:eastAsia="fr-FR"/>
              </w:rPr>
              <w:t>2</w:t>
            </w:r>
            <w:r w:rsidRPr="00460C92">
              <w:rPr>
                <w:rFonts w:ascii="Verdana" w:hAnsi="Verdana"/>
                <w:b/>
                <w:bCs/>
                <w:color w:val="7F7F7F" w:themeColor="text1" w:themeTint="80"/>
                <w:sz w:val="22"/>
                <w:szCs w:val="22"/>
                <w:u w:val="single"/>
                <w:lang w:val="en-GB" w:eastAsia="fr-FR"/>
              </w:rPr>
              <w:t xml:space="preserve"> Extrapolation</w:t>
            </w:r>
          </w:p>
          <w:p w14:paraId="1BEEFD2E" w14:textId="70175B6E" w:rsidR="00701057" w:rsidRPr="00C24334" w:rsidRDefault="008B6A6F" w:rsidP="00020B14">
            <w:pPr>
              <w:tabs>
                <w:tab w:val="left" w:pos="0"/>
              </w:tabs>
              <w:spacing w:after="120"/>
              <w:rPr>
                <w:rFonts w:ascii="Verdana" w:hAnsi="Verdana"/>
                <w:b/>
                <w:bCs/>
                <w:color w:val="7F7F7F" w:themeColor="text1" w:themeTint="80"/>
                <w:sz w:val="22"/>
                <w:szCs w:val="22"/>
                <w:u w:val="single"/>
                <w:lang w:val="en-GB" w:eastAsia="fr-FR"/>
              </w:rPr>
            </w:pPr>
            <w:r w:rsidRPr="00C24334">
              <w:rPr>
                <w:rFonts w:ascii="Verdana" w:hAnsi="Verdana"/>
                <w:color w:val="7F7F7F" w:themeColor="text1" w:themeTint="80"/>
                <w:sz w:val="22"/>
                <w:szCs w:val="22"/>
                <w:lang w:val="en-GB" w:eastAsia="fr-FR"/>
              </w:rPr>
              <w:t xml:space="preserve">The current proposals of EIOPA (expect </w:t>
            </w:r>
            <w:r w:rsidR="00CC3869" w:rsidRPr="00C24334">
              <w:rPr>
                <w:rFonts w:ascii="Verdana" w:hAnsi="Verdana"/>
                <w:color w:val="7F7F7F" w:themeColor="text1" w:themeTint="80"/>
                <w:sz w:val="22"/>
                <w:szCs w:val="22"/>
                <w:lang w:val="en-GB" w:eastAsia="fr-FR"/>
              </w:rPr>
              <w:t>O</w:t>
            </w:r>
            <w:r w:rsidRPr="00C24334">
              <w:rPr>
                <w:rFonts w:ascii="Verdana" w:hAnsi="Verdana"/>
                <w:color w:val="7F7F7F" w:themeColor="text1" w:themeTint="80"/>
                <w:sz w:val="22"/>
                <w:szCs w:val="22"/>
                <w:lang w:val="en-GB" w:eastAsia="fr-FR"/>
              </w:rPr>
              <w:t xml:space="preserve">ption 1) have in common that the implementation will have a profound impact on the Solvency ratio and/or the manner in which the solvency position of the insurer is </w:t>
            </w:r>
            <w:r w:rsidRPr="00C24334">
              <w:rPr>
                <w:rFonts w:ascii="Verdana" w:hAnsi="Verdana"/>
                <w:color w:val="7F7F7F" w:themeColor="text1" w:themeTint="80"/>
                <w:sz w:val="22"/>
                <w:szCs w:val="22"/>
                <w:lang w:val="en-GB" w:eastAsia="fr-FR"/>
              </w:rPr>
              <w:lastRenderedPageBreak/>
              <w:t xml:space="preserve">assessed by supervisors and the public. Based on the current proposals, we support Option 1. From </w:t>
            </w:r>
            <w:r w:rsidR="00701057" w:rsidRPr="00C24334">
              <w:rPr>
                <w:rFonts w:ascii="Verdana" w:hAnsi="Verdana"/>
                <w:color w:val="7F7F7F" w:themeColor="text1" w:themeTint="80"/>
                <w:sz w:val="22"/>
                <w:szCs w:val="22"/>
                <w:lang w:val="en-GB" w:eastAsia="fr-FR"/>
              </w:rPr>
              <w:t>any</w:t>
            </w:r>
            <w:r w:rsidRPr="00C24334">
              <w:rPr>
                <w:rFonts w:ascii="Verdana" w:hAnsi="Verdana"/>
                <w:color w:val="7F7F7F" w:themeColor="text1" w:themeTint="80"/>
                <w:sz w:val="22"/>
                <w:szCs w:val="22"/>
                <w:lang w:val="en-GB" w:eastAsia="fr-FR"/>
              </w:rPr>
              <w:t xml:space="preserve"> other options, </w:t>
            </w:r>
            <w:r w:rsidR="00701057" w:rsidRPr="00C24334">
              <w:rPr>
                <w:rFonts w:ascii="Verdana" w:hAnsi="Verdana"/>
                <w:color w:val="7F7F7F" w:themeColor="text1" w:themeTint="80"/>
                <w:sz w:val="22"/>
                <w:szCs w:val="22"/>
                <w:lang w:val="en-GB" w:eastAsia="fr-FR"/>
              </w:rPr>
              <w:t>it is key that the effective LLP does not increase. T</w:t>
            </w:r>
            <w:r w:rsidRPr="00C24334">
              <w:rPr>
                <w:rFonts w:ascii="Verdana" w:hAnsi="Verdana"/>
                <w:color w:val="7F7F7F" w:themeColor="text1" w:themeTint="80"/>
                <w:sz w:val="22"/>
                <w:szCs w:val="22"/>
                <w:lang w:val="en-GB" w:eastAsia="fr-FR"/>
              </w:rPr>
              <w:t xml:space="preserve">he alternative approach </w:t>
            </w:r>
            <w:r w:rsidR="00701057" w:rsidRPr="00C24334">
              <w:rPr>
                <w:rFonts w:ascii="Verdana" w:hAnsi="Verdana"/>
                <w:color w:val="7F7F7F" w:themeColor="text1" w:themeTint="80"/>
                <w:sz w:val="22"/>
                <w:szCs w:val="22"/>
                <w:lang w:val="en-GB" w:eastAsia="fr-FR"/>
              </w:rPr>
              <w:t>in its current form is not a viable option</w:t>
            </w:r>
            <w:r w:rsidRPr="00C24334">
              <w:rPr>
                <w:rFonts w:ascii="Verdana" w:hAnsi="Verdana"/>
                <w:color w:val="7F7F7F" w:themeColor="text1" w:themeTint="80"/>
                <w:sz w:val="22"/>
                <w:szCs w:val="22"/>
                <w:lang w:val="en-GB" w:eastAsia="fr-FR"/>
              </w:rPr>
              <w:t xml:space="preserve"> </w:t>
            </w:r>
            <w:r w:rsidR="00701057" w:rsidRPr="00C24334">
              <w:rPr>
                <w:rFonts w:ascii="Verdana" w:hAnsi="Verdana"/>
                <w:color w:val="7F7F7F" w:themeColor="text1" w:themeTint="80"/>
                <w:sz w:val="22"/>
                <w:szCs w:val="22"/>
                <w:lang w:val="en-GB" w:eastAsia="fr-FR"/>
              </w:rPr>
              <w:t>but</w:t>
            </w:r>
            <w:r w:rsidRPr="00C24334">
              <w:rPr>
                <w:rFonts w:ascii="Verdana" w:hAnsi="Verdana"/>
                <w:color w:val="7F7F7F" w:themeColor="text1" w:themeTint="80"/>
                <w:sz w:val="22"/>
                <w:szCs w:val="22"/>
                <w:lang w:val="en-GB" w:eastAsia="fr-FR"/>
              </w:rPr>
              <w:t xml:space="preserve"> we would urge EIOPA to engage in dialogue with the industry and other stakeholders with respect to the methodology and setting of parameters. The current extrapolation </w:t>
            </w:r>
            <w:r w:rsidR="00AE1EAE" w:rsidRPr="00C24334">
              <w:rPr>
                <w:rFonts w:ascii="Verdana" w:hAnsi="Verdana"/>
                <w:color w:val="7F7F7F" w:themeColor="text1" w:themeTint="80"/>
                <w:sz w:val="22"/>
                <w:szCs w:val="22"/>
                <w:lang w:val="en-GB" w:eastAsia="fr-FR"/>
              </w:rPr>
              <w:t>techniques</w:t>
            </w:r>
            <w:r w:rsidRPr="00C24334">
              <w:rPr>
                <w:rFonts w:ascii="Verdana" w:hAnsi="Verdana"/>
                <w:color w:val="7F7F7F" w:themeColor="text1" w:themeTint="80"/>
                <w:sz w:val="22"/>
                <w:szCs w:val="22"/>
                <w:lang w:val="en-GB" w:eastAsia="fr-FR"/>
              </w:rPr>
              <w:t xml:space="preserve"> used </w:t>
            </w:r>
            <w:r w:rsidR="00AE1EAE" w:rsidRPr="00C24334">
              <w:rPr>
                <w:rFonts w:ascii="Verdana" w:hAnsi="Verdana"/>
                <w:color w:val="7F7F7F" w:themeColor="text1" w:themeTint="80"/>
                <w:sz w:val="22"/>
                <w:szCs w:val="22"/>
                <w:lang w:val="en-GB" w:eastAsia="fr-FR"/>
              </w:rPr>
              <w:t xml:space="preserve">in </w:t>
            </w:r>
            <w:r w:rsidR="00701057" w:rsidRPr="00C24334">
              <w:rPr>
                <w:rFonts w:ascii="Verdana" w:hAnsi="Verdana"/>
                <w:color w:val="7F7F7F" w:themeColor="text1" w:themeTint="80"/>
                <w:sz w:val="22"/>
                <w:szCs w:val="22"/>
                <w:lang w:val="en-GB" w:eastAsia="fr-FR"/>
              </w:rPr>
              <w:t xml:space="preserve">Sweden </w:t>
            </w:r>
            <w:r w:rsidR="00AE1EAE" w:rsidRPr="00C24334">
              <w:rPr>
                <w:rFonts w:ascii="Verdana" w:hAnsi="Verdana"/>
                <w:color w:val="7F7F7F" w:themeColor="text1" w:themeTint="80"/>
                <w:sz w:val="22"/>
                <w:szCs w:val="22"/>
                <w:lang w:val="en-GB" w:eastAsia="fr-FR"/>
              </w:rPr>
              <w:t>(</w:t>
            </w:r>
            <w:r w:rsidR="00BE0AB1" w:rsidRPr="00C24334">
              <w:rPr>
                <w:rFonts w:ascii="Verdana" w:hAnsi="Verdana"/>
                <w:color w:val="7F7F7F" w:themeColor="text1" w:themeTint="80"/>
                <w:sz w:val="22"/>
                <w:szCs w:val="22"/>
                <w:lang w:val="en-GB" w:eastAsia="fr-FR"/>
              </w:rPr>
              <w:t>i.e.</w:t>
            </w:r>
            <w:r w:rsidR="00AE1EAE" w:rsidRPr="00C24334">
              <w:rPr>
                <w:rFonts w:ascii="Verdana" w:hAnsi="Verdana"/>
                <w:color w:val="7F7F7F" w:themeColor="text1" w:themeTint="80"/>
                <w:sz w:val="22"/>
                <w:szCs w:val="22"/>
                <w:lang w:val="en-GB" w:eastAsia="fr-FR"/>
              </w:rPr>
              <w:t xml:space="preserve"> </w:t>
            </w:r>
            <w:r w:rsidRPr="00C24334">
              <w:rPr>
                <w:rFonts w:ascii="Verdana" w:hAnsi="Verdana"/>
                <w:color w:val="7F7F7F" w:themeColor="text1" w:themeTint="80"/>
                <w:sz w:val="22"/>
                <w:szCs w:val="22"/>
                <w:lang w:val="en-GB" w:eastAsia="fr-FR"/>
              </w:rPr>
              <w:t>the so called “Cardano method”</w:t>
            </w:r>
            <w:r w:rsidR="00AE1EAE" w:rsidRPr="00C24334">
              <w:rPr>
                <w:rFonts w:ascii="Verdana" w:hAnsi="Verdana"/>
                <w:color w:val="7F7F7F" w:themeColor="text1" w:themeTint="80"/>
                <w:sz w:val="22"/>
                <w:szCs w:val="22"/>
                <w:lang w:val="en-GB" w:eastAsia="fr-FR"/>
              </w:rPr>
              <w:t>) should be used as a reference</w:t>
            </w:r>
            <w:r w:rsidRPr="00C24334">
              <w:rPr>
                <w:rFonts w:ascii="Verdana" w:hAnsi="Verdana"/>
                <w:color w:val="7F7F7F" w:themeColor="text1" w:themeTint="80"/>
                <w:sz w:val="22"/>
                <w:szCs w:val="22"/>
                <w:lang w:val="en-GB" w:eastAsia="fr-FR"/>
              </w:rPr>
              <w:t>.</w:t>
            </w:r>
            <w:r w:rsidR="00701057" w:rsidRPr="00C24334">
              <w:rPr>
                <w:rFonts w:ascii="Verdana" w:hAnsi="Verdana"/>
                <w:color w:val="7F7F7F" w:themeColor="text1" w:themeTint="80"/>
                <w:sz w:val="22"/>
                <w:szCs w:val="22"/>
                <w:lang w:val="en-GB" w:eastAsia="fr-FR"/>
              </w:rPr>
              <w:t xml:space="preserve"> We would stress that the current in force criteria (</w:t>
            </w:r>
            <w:r w:rsidR="003C62B3" w:rsidRPr="00C24334">
              <w:rPr>
                <w:rFonts w:ascii="Verdana" w:hAnsi="Verdana"/>
                <w:color w:val="7F7F7F" w:themeColor="text1" w:themeTint="80"/>
                <w:sz w:val="22"/>
                <w:szCs w:val="22"/>
                <w:lang w:val="en-GB" w:eastAsia="fr-FR"/>
              </w:rPr>
              <w:t>i.e. Residual</w:t>
            </w:r>
            <w:r w:rsidR="00701057" w:rsidRPr="00C24334">
              <w:rPr>
                <w:rFonts w:ascii="Verdana" w:hAnsi="Verdana"/>
                <w:color w:val="7F7F7F" w:themeColor="text1" w:themeTint="80"/>
                <w:sz w:val="22"/>
                <w:szCs w:val="22"/>
                <w:lang w:val="en-GB" w:eastAsia="fr-FR"/>
              </w:rPr>
              <w:t xml:space="preserve"> and matching criteria) </w:t>
            </w:r>
            <w:r w:rsidR="00CC3869" w:rsidRPr="00C24334">
              <w:rPr>
                <w:rFonts w:ascii="Verdana" w:hAnsi="Verdana"/>
                <w:color w:val="7F7F7F" w:themeColor="text1" w:themeTint="80"/>
                <w:sz w:val="22"/>
                <w:szCs w:val="22"/>
                <w:lang w:val="en-GB" w:eastAsia="fr-FR"/>
              </w:rPr>
              <w:t xml:space="preserve">should remain </w:t>
            </w:r>
            <w:r w:rsidR="00701057" w:rsidRPr="00C24334">
              <w:rPr>
                <w:rFonts w:ascii="Verdana" w:hAnsi="Verdana"/>
                <w:color w:val="7F7F7F" w:themeColor="text1" w:themeTint="80"/>
                <w:sz w:val="22"/>
                <w:szCs w:val="22"/>
                <w:lang w:val="en-GB" w:eastAsia="fr-FR"/>
              </w:rPr>
              <w:t xml:space="preserve">and the additional </w:t>
            </w:r>
            <w:r w:rsidR="00CC3869" w:rsidRPr="00C24334">
              <w:rPr>
                <w:rFonts w:ascii="Verdana" w:hAnsi="Verdana"/>
                <w:color w:val="7F7F7F" w:themeColor="text1" w:themeTint="80"/>
                <w:sz w:val="22"/>
                <w:szCs w:val="22"/>
                <w:lang w:val="en-GB" w:eastAsia="fr-FR"/>
              </w:rPr>
              <w:t>P</w:t>
            </w:r>
            <w:r w:rsidR="00701057" w:rsidRPr="00C24334">
              <w:rPr>
                <w:rFonts w:ascii="Verdana" w:hAnsi="Verdana"/>
                <w:color w:val="7F7F7F" w:themeColor="text1" w:themeTint="80"/>
                <w:sz w:val="22"/>
                <w:szCs w:val="22"/>
                <w:lang w:val="en-GB" w:eastAsia="fr-FR"/>
              </w:rPr>
              <w:t xml:space="preserve">illar 2 and </w:t>
            </w:r>
            <w:r w:rsidR="00CC3869" w:rsidRPr="00C24334">
              <w:rPr>
                <w:rFonts w:ascii="Verdana" w:hAnsi="Verdana"/>
                <w:color w:val="7F7F7F" w:themeColor="text1" w:themeTint="80"/>
                <w:sz w:val="22"/>
                <w:szCs w:val="22"/>
                <w:lang w:val="en-GB" w:eastAsia="fr-FR"/>
              </w:rPr>
              <w:t>P</w:t>
            </w:r>
            <w:r w:rsidR="00701057" w:rsidRPr="00C24334">
              <w:rPr>
                <w:rFonts w:ascii="Verdana" w:hAnsi="Verdana"/>
                <w:color w:val="7F7F7F" w:themeColor="text1" w:themeTint="80"/>
                <w:sz w:val="22"/>
                <w:szCs w:val="22"/>
                <w:lang w:val="en-GB" w:eastAsia="fr-FR"/>
              </w:rPr>
              <w:t xml:space="preserve">illar 3 requirements put forward by EIOPA should be removed. </w:t>
            </w:r>
          </w:p>
          <w:p w14:paraId="03122929" w14:textId="210C9581" w:rsidR="00A02521" w:rsidRPr="00460C92" w:rsidRDefault="00A02521" w:rsidP="00020B14">
            <w:pPr>
              <w:tabs>
                <w:tab w:val="left" w:pos="0"/>
              </w:tabs>
              <w:spacing w:before="120" w:after="120"/>
              <w:rPr>
                <w:rFonts w:ascii="Verdana" w:hAnsi="Verdana"/>
                <w:b/>
                <w:bCs/>
                <w:color w:val="7F7F7F" w:themeColor="text1" w:themeTint="80"/>
                <w:sz w:val="22"/>
                <w:szCs w:val="22"/>
                <w:u w:val="single"/>
                <w:lang w:val="en-GB" w:eastAsia="fr-FR"/>
              </w:rPr>
            </w:pPr>
            <w:r w:rsidRPr="00460C92">
              <w:rPr>
                <w:rFonts w:ascii="Verdana" w:hAnsi="Verdana"/>
                <w:b/>
                <w:bCs/>
                <w:color w:val="7F7F7F" w:themeColor="text1" w:themeTint="80"/>
                <w:sz w:val="22"/>
                <w:szCs w:val="22"/>
                <w:u w:val="single"/>
                <w:lang w:val="en-GB" w:eastAsia="fr-FR"/>
              </w:rPr>
              <w:t>2.4 Volatility Adjustment</w:t>
            </w:r>
          </w:p>
          <w:p w14:paraId="4472E53A" w14:textId="2AC65830" w:rsidR="00972854" w:rsidRPr="00C24334" w:rsidRDefault="00E00E08" w:rsidP="00020B14">
            <w:pPr>
              <w:tabs>
                <w:tab w:val="left" w:pos="0"/>
              </w:tabs>
              <w:rPr>
                <w:rFonts w:ascii="Verdana" w:hAnsi="Verdana"/>
                <w:color w:val="7F7F7F" w:themeColor="text1" w:themeTint="80"/>
                <w:sz w:val="22"/>
                <w:lang w:val="en-GB"/>
              </w:rPr>
            </w:pPr>
            <w:bookmarkStart w:id="2" w:name="_Hlk29482396"/>
            <w:bookmarkStart w:id="3" w:name="_Hlk29656462"/>
            <w:r w:rsidRPr="00C24334">
              <w:rPr>
                <w:rFonts w:ascii="Verdana" w:hAnsi="Verdana"/>
                <w:color w:val="7F7F7F" w:themeColor="text1" w:themeTint="80"/>
                <w:sz w:val="22"/>
                <w:szCs w:val="22"/>
                <w:lang w:val="en-GB" w:eastAsia="fr-FR"/>
              </w:rPr>
              <w:t>We support changes to the VA that shall result in an increase of the VA that would allow to better account for the risk premium earned by undertakings and a better allowance for their risk profiles. Moreover, we would like to promote a better effectiveness in the mitigation of undue volatility to own funds</w:t>
            </w:r>
            <w:r w:rsidR="006E49D5" w:rsidRPr="00C24334">
              <w:rPr>
                <w:rFonts w:ascii="Verdana" w:hAnsi="Verdana"/>
                <w:color w:val="7F7F7F" w:themeColor="text1" w:themeTint="80"/>
                <w:sz w:val="22"/>
                <w:szCs w:val="22"/>
                <w:lang w:val="en-GB" w:eastAsia="fr-FR"/>
              </w:rPr>
              <w:t xml:space="preserve"> and the impact of exaggeration of spreads</w:t>
            </w:r>
            <w:r w:rsidRPr="00C24334">
              <w:rPr>
                <w:rFonts w:ascii="Verdana" w:hAnsi="Verdana"/>
                <w:color w:val="7F7F7F" w:themeColor="text1" w:themeTint="80"/>
                <w:sz w:val="22"/>
                <w:szCs w:val="22"/>
                <w:lang w:val="en-GB" w:eastAsia="fr-FR"/>
              </w:rPr>
              <w:t>.</w:t>
            </w:r>
            <w:r w:rsidR="008C5FBF" w:rsidRPr="00C24334">
              <w:rPr>
                <w:rFonts w:ascii="Verdana" w:hAnsi="Verdana"/>
                <w:color w:val="7F7F7F" w:themeColor="text1" w:themeTint="80"/>
                <w:sz w:val="22"/>
                <w:szCs w:val="22"/>
                <w:lang w:val="en-GB" w:eastAsia="fr-FR"/>
              </w:rPr>
              <w:t xml:space="preserve"> </w:t>
            </w:r>
            <w:r w:rsidR="006E49D5" w:rsidRPr="00C24334">
              <w:rPr>
                <w:rFonts w:ascii="Verdana" w:hAnsi="Verdana"/>
                <w:color w:val="7F7F7F" w:themeColor="text1" w:themeTint="80"/>
                <w:sz w:val="22"/>
                <w:szCs w:val="22"/>
                <w:lang w:val="en-GB" w:eastAsia="fr-FR"/>
              </w:rPr>
              <w:t>Therefore</w:t>
            </w:r>
            <w:r w:rsidR="00972854" w:rsidRPr="00C24334">
              <w:rPr>
                <w:rFonts w:ascii="Verdana" w:hAnsi="Verdana"/>
                <w:color w:val="7F7F7F" w:themeColor="text1" w:themeTint="80"/>
                <w:sz w:val="22"/>
                <w:szCs w:val="22"/>
                <w:lang w:val="en-GB" w:eastAsia="fr-FR"/>
              </w:rPr>
              <w:t>, AMICE ha</w:t>
            </w:r>
            <w:r w:rsidR="00005805" w:rsidRPr="00C24334">
              <w:rPr>
                <w:rFonts w:ascii="Verdana" w:hAnsi="Verdana"/>
                <w:color w:val="7F7F7F" w:themeColor="text1" w:themeTint="80"/>
                <w:sz w:val="22"/>
                <w:szCs w:val="22"/>
                <w:lang w:val="en-GB" w:eastAsia="fr-FR"/>
              </w:rPr>
              <w:t>s</w:t>
            </w:r>
            <w:r w:rsidR="00972854" w:rsidRPr="00C24334">
              <w:rPr>
                <w:rFonts w:ascii="Verdana" w:hAnsi="Verdana"/>
                <w:color w:val="7F7F7F" w:themeColor="text1" w:themeTint="80"/>
                <w:sz w:val="22"/>
                <w:szCs w:val="22"/>
                <w:lang w:val="en-GB" w:eastAsia="fr-FR"/>
              </w:rPr>
              <w:t xml:space="preserve"> already submitted a </w:t>
            </w:r>
            <w:r w:rsidR="00005805" w:rsidRPr="00C24334">
              <w:rPr>
                <w:rFonts w:ascii="Verdana" w:hAnsi="Verdana"/>
                <w:color w:val="7F7F7F" w:themeColor="text1" w:themeTint="80"/>
                <w:sz w:val="22"/>
                <w:szCs w:val="22"/>
                <w:lang w:val="en-GB" w:eastAsia="fr-FR"/>
              </w:rPr>
              <w:t xml:space="preserve">detailed </w:t>
            </w:r>
            <w:r w:rsidR="00972854" w:rsidRPr="00C24334">
              <w:rPr>
                <w:rFonts w:ascii="Verdana" w:hAnsi="Verdana"/>
                <w:color w:val="7F7F7F" w:themeColor="text1" w:themeTint="80"/>
                <w:sz w:val="22"/>
                <w:szCs w:val="22"/>
                <w:lang w:val="en-GB" w:eastAsia="fr-FR"/>
              </w:rPr>
              <w:t xml:space="preserve">proposal for consideration (see Annex 1). </w:t>
            </w:r>
            <w:r w:rsidRPr="00C24334">
              <w:rPr>
                <w:rFonts w:ascii="Verdana" w:hAnsi="Verdana"/>
                <w:color w:val="7F7F7F" w:themeColor="text1" w:themeTint="80"/>
                <w:sz w:val="22"/>
                <w:szCs w:val="22"/>
                <w:lang w:val="en-GB" w:eastAsia="fr-FR"/>
              </w:rPr>
              <w:t>AMICE identifies issues that bring</w:t>
            </w:r>
            <w:r w:rsidR="00005805" w:rsidRPr="00C24334">
              <w:rPr>
                <w:rFonts w:ascii="Verdana" w:hAnsi="Verdana"/>
                <w:color w:val="7F7F7F" w:themeColor="text1" w:themeTint="80"/>
                <w:sz w:val="22"/>
                <w:szCs w:val="22"/>
                <w:lang w:val="en-GB" w:eastAsia="fr-FR"/>
              </w:rPr>
              <w:t xml:space="preserve"> </w:t>
            </w:r>
            <w:r w:rsidRPr="00C24334">
              <w:rPr>
                <w:rFonts w:ascii="Verdana" w:hAnsi="Verdana"/>
                <w:color w:val="7F7F7F" w:themeColor="text1" w:themeTint="80"/>
                <w:sz w:val="22"/>
                <w:szCs w:val="22"/>
                <w:lang w:val="en-GB" w:eastAsia="fr-FR"/>
              </w:rPr>
              <w:t>the non-life insurers perspective in the debate when assessing if the VA fulfils its objectives of protection of own funds and mitigation of artificial volatility. The issues are threefold</w:t>
            </w:r>
            <w:r w:rsidR="00972854" w:rsidRPr="00C24334">
              <w:rPr>
                <w:rFonts w:ascii="Verdana" w:hAnsi="Verdana"/>
                <w:color w:val="7F7F7F" w:themeColor="text1" w:themeTint="80"/>
                <w:sz w:val="22"/>
                <w:lang w:val="en-GB"/>
              </w:rPr>
              <w:t>:</w:t>
            </w:r>
          </w:p>
          <w:p w14:paraId="1BD00ADC" w14:textId="58E42BD1" w:rsidR="00005805" w:rsidRPr="00C24334" w:rsidRDefault="00E00E08" w:rsidP="00020B14">
            <w:pPr>
              <w:tabs>
                <w:tab w:val="left" w:pos="0"/>
              </w:tabs>
              <w:spacing w:before="120" w:after="120"/>
              <w:rPr>
                <w:rFonts w:ascii="Verdana" w:hAnsi="Verdana"/>
                <w:color w:val="7F7F7F" w:themeColor="text1" w:themeTint="80"/>
                <w:sz w:val="22"/>
                <w:szCs w:val="22"/>
                <w:lang w:val="en-GB" w:eastAsia="fr-FR"/>
              </w:rPr>
            </w:pPr>
            <w:r w:rsidRPr="00C24334">
              <w:rPr>
                <w:rFonts w:ascii="Verdana" w:hAnsi="Verdana"/>
                <w:color w:val="7F7F7F" w:themeColor="text1" w:themeTint="80"/>
                <w:sz w:val="22"/>
                <w:szCs w:val="22"/>
                <w:lang w:val="en-GB" w:eastAsia="fr-FR"/>
              </w:rPr>
              <w:t xml:space="preserve">First, there is </w:t>
            </w:r>
            <w:r w:rsidR="00005805" w:rsidRPr="00C24334">
              <w:rPr>
                <w:rFonts w:ascii="Verdana" w:hAnsi="Verdana"/>
                <w:color w:val="7F7F7F" w:themeColor="text1" w:themeTint="80"/>
                <w:sz w:val="22"/>
                <w:szCs w:val="22"/>
                <w:lang w:val="en-GB" w:eastAsia="fr-FR"/>
              </w:rPr>
              <w:t xml:space="preserve">no compensation for assets backing own funds by nature of construction of the prudential balance sheet (no discounting of own funds and VA defined as an adjustment to the curve used to discount the </w:t>
            </w:r>
            <w:r w:rsidR="001E72A4">
              <w:rPr>
                <w:rFonts w:ascii="Verdana" w:hAnsi="Verdana"/>
                <w:color w:val="7F7F7F" w:themeColor="text1" w:themeTint="80"/>
                <w:sz w:val="22"/>
                <w:szCs w:val="22"/>
                <w:lang w:val="en-GB" w:eastAsia="fr-FR"/>
              </w:rPr>
              <w:t>b</w:t>
            </w:r>
            <w:r w:rsidR="00005805" w:rsidRPr="00C24334">
              <w:rPr>
                <w:rFonts w:ascii="Verdana" w:hAnsi="Verdana"/>
                <w:color w:val="7F7F7F" w:themeColor="text1" w:themeTint="80"/>
                <w:sz w:val="22"/>
                <w:szCs w:val="22"/>
                <w:lang w:val="en-GB" w:eastAsia="fr-FR"/>
              </w:rPr>
              <w:t xml:space="preserve">est </w:t>
            </w:r>
            <w:r w:rsidR="001E72A4">
              <w:rPr>
                <w:rFonts w:ascii="Verdana" w:hAnsi="Verdana"/>
                <w:color w:val="7F7F7F" w:themeColor="text1" w:themeTint="80"/>
                <w:sz w:val="22"/>
                <w:szCs w:val="22"/>
                <w:lang w:val="en-GB" w:eastAsia="fr-FR"/>
              </w:rPr>
              <w:t>e</w:t>
            </w:r>
            <w:r w:rsidR="00005805" w:rsidRPr="00C24334">
              <w:rPr>
                <w:rFonts w:ascii="Verdana" w:hAnsi="Verdana"/>
                <w:color w:val="7F7F7F" w:themeColor="text1" w:themeTint="80"/>
                <w:sz w:val="22"/>
                <w:szCs w:val="22"/>
                <w:lang w:val="en-GB" w:eastAsia="fr-FR"/>
              </w:rPr>
              <w:t>stimate cashflows)</w:t>
            </w:r>
            <w:r w:rsidR="00141932">
              <w:rPr>
                <w:rFonts w:ascii="Verdana" w:hAnsi="Verdana"/>
                <w:color w:val="7F7F7F" w:themeColor="text1" w:themeTint="80"/>
                <w:sz w:val="22"/>
                <w:szCs w:val="22"/>
                <w:lang w:val="en-GB" w:eastAsia="fr-FR"/>
              </w:rPr>
              <w:t>.</w:t>
            </w:r>
            <w:r w:rsidR="00005805" w:rsidRPr="00C24334">
              <w:rPr>
                <w:rFonts w:ascii="Verdana" w:hAnsi="Verdana"/>
                <w:color w:val="7F7F7F" w:themeColor="text1" w:themeTint="80"/>
                <w:sz w:val="22"/>
                <w:szCs w:val="22"/>
                <w:lang w:val="en-GB" w:eastAsia="fr-FR"/>
              </w:rPr>
              <w:t xml:space="preserve"> </w:t>
            </w:r>
          </w:p>
          <w:p w14:paraId="23E12A57" w14:textId="670B2F1D" w:rsidR="00CB30F9" w:rsidRPr="00C24334" w:rsidRDefault="00005805" w:rsidP="00020B14">
            <w:pPr>
              <w:tabs>
                <w:tab w:val="left" w:pos="0"/>
              </w:tabs>
              <w:spacing w:before="120" w:after="120"/>
              <w:rPr>
                <w:rFonts w:ascii="Verdana" w:hAnsi="Verdana"/>
                <w:color w:val="7F7F7F" w:themeColor="text1" w:themeTint="80"/>
                <w:sz w:val="22"/>
                <w:szCs w:val="22"/>
                <w:lang w:val="en-GB" w:eastAsia="fr-FR"/>
              </w:rPr>
            </w:pPr>
            <w:r w:rsidRPr="00C24334">
              <w:rPr>
                <w:rFonts w:ascii="Verdana" w:hAnsi="Verdana"/>
                <w:color w:val="7F7F7F" w:themeColor="text1" w:themeTint="80"/>
                <w:sz w:val="22"/>
                <w:szCs w:val="22"/>
                <w:lang w:val="en-GB" w:eastAsia="fr-FR"/>
              </w:rPr>
              <w:lastRenderedPageBreak/>
              <w:t xml:space="preserve">Second, </w:t>
            </w:r>
            <w:r w:rsidR="00E00E08" w:rsidRPr="00C24334">
              <w:rPr>
                <w:rFonts w:ascii="Verdana" w:hAnsi="Verdana"/>
                <w:color w:val="7F7F7F" w:themeColor="text1" w:themeTint="80"/>
                <w:sz w:val="22"/>
                <w:szCs w:val="22"/>
                <w:lang w:val="en-GB" w:eastAsia="fr-FR"/>
              </w:rPr>
              <w:t>an unfavourable duration mismatch due to lack of going concern approach (contract boundaries</w:t>
            </w:r>
            <w:r w:rsidR="00CB30F9" w:rsidRPr="00C24334">
              <w:rPr>
                <w:rFonts w:ascii="Verdana" w:hAnsi="Verdana"/>
                <w:color w:val="7F7F7F" w:themeColor="text1" w:themeTint="80"/>
                <w:sz w:val="22"/>
                <w:szCs w:val="22"/>
                <w:lang w:val="en-GB" w:eastAsia="fr-FR"/>
              </w:rPr>
              <w:t xml:space="preserve"> </w:t>
            </w:r>
            <w:r w:rsidR="00BA2731" w:rsidRPr="00C24334">
              <w:rPr>
                <w:rFonts w:ascii="Verdana" w:hAnsi="Verdana"/>
                <w:color w:val="7F7F7F" w:themeColor="text1" w:themeTint="80"/>
                <w:sz w:val="22"/>
                <w:szCs w:val="22"/>
                <w:lang w:val="en-GB" w:eastAsia="fr-FR"/>
              </w:rPr>
              <w:t>truncate</w:t>
            </w:r>
            <w:r w:rsidR="00CB30F9" w:rsidRPr="00C24334">
              <w:rPr>
                <w:rFonts w:ascii="Verdana" w:hAnsi="Verdana"/>
                <w:color w:val="7F7F7F" w:themeColor="text1" w:themeTint="80"/>
                <w:sz w:val="22"/>
                <w:szCs w:val="22"/>
                <w:lang w:val="en-GB" w:eastAsia="fr-FR"/>
              </w:rPr>
              <w:t xml:space="preserve"> the BE duration which fails to reflect the going concern horizon to which asset durations are linked</w:t>
            </w:r>
            <w:r w:rsidR="00E00E08" w:rsidRPr="00C24334">
              <w:rPr>
                <w:rFonts w:ascii="Verdana" w:hAnsi="Verdana"/>
                <w:color w:val="7F7F7F" w:themeColor="text1" w:themeTint="80"/>
                <w:sz w:val="22"/>
                <w:szCs w:val="22"/>
                <w:lang w:val="en-GB" w:eastAsia="fr-FR"/>
              </w:rPr>
              <w:t>).</w:t>
            </w:r>
            <w:r w:rsidR="002E3630" w:rsidRPr="00C24334">
              <w:rPr>
                <w:rFonts w:ascii="Verdana" w:hAnsi="Verdana"/>
                <w:color w:val="7F7F7F" w:themeColor="text1" w:themeTint="80"/>
                <w:sz w:val="22"/>
                <w:szCs w:val="22"/>
                <w:lang w:val="en-GB" w:eastAsia="fr-FR"/>
              </w:rPr>
              <w:t xml:space="preserve"> </w:t>
            </w:r>
          </w:p>
          <w:p w14:paraId="3D70C48F" w14:textId="77777777" w:rsidR="00383BD7" w:rsidRDefault="00CB30F9" w:rsidP="00020B14">
            <w:pPr>
              <w:tabs>
                <w:tab w:val="left" w:pos="0"/>
              </w:tabs>
              <w:spacing w:before="120" w:after="120"/>
              <w:rPr>
                <w:rFonts w:ascii="Verdana" w:hAnsi="Verdana"/>
                <w:color w:val="7F7F7F" w:themeColor="text1" w:themeTint="80"/>
                <w:sz w:val="22"/>
                <w:szCs w:val="22"/>
                <w:lang w:val="en-GB" w:eastAsia="fr-FR"/>
              </w:rPr>
            </w:pPr>
            <w:r w:rsidRPr="00C24334">
              <w:rPr>
                <w:rFonts w:ascii="Verdana" w:hAnsi="Verdana"/>
                <w:color w:val="7F7F7F" w:themeColor="text1" w:themeTint="80"/>
                <w:sz w:val="22"/>
                <w:szCs w:val="22"/>
                <w:lang w:val="en-GB" w:eastAsia="fr-FR"/>
              </w:rPr>
              <w:t>Third</w:t>
            </w:r>
            <w:r w:rsidR="00E00E08" w:rsidRPr="00C24334">
              <w:rPr>
                <w:rFonts w:ascii="Verdana" w:hAnsi="Verdana"/>
                <w:color w:val="7F7F7F" w:themeColor="text1" w:themeTint="80"/>
                <w:sz w:val="22"/>
                <w:szCs w:val="22"/>
                <w:lang w:val="en-GB" w:eastAsia="fr-FR"/>
              </w:rPr>
              <w:t>, the too low application ratio (65%) is not justified when undertakings are able to demonstrate their capacity to hold bonds to maturity if necessary.</w:t>
            </w:r>
            <w:r w:rsidR="002E3630" w:rsidRPr="00C24334">
              <w:rPr>
                <w:rFonts w:ascii="Verdana" w:hAnsi="Verdana"/>
                <w:color w:val="7F7F7F" w:themeColor="text1" w:themeTint="80"/>
                <w:sz w:val="22"/>
                <w:szCs w:val="22"/>
                <w:lang w:val="en-GB" w:eastAsia="fr-FR"/>
              </w:rPr>
              <w:t xml:space="preserve"> </w:t>
            </w:r>
          </w:p>
          <w:p w14:paraId="4904B36E" w14:textId="77777777" w:rsidR="00383BD7" w:rsidRDefault="00CB30F9" w:rsidP="00020B14">
            <w:pPr>
              <w:tabs>
                <w:tab w:val="left" w:pos="0"/>
              </w:tabs>
              <w:spacing w:before="120" w:after="120"/>
              <w:rPr>
                <w:rFonts w:ascii="Verdana" w:hAnsi="Verdana"/>
                <w:color w:val="7F7F7F" w:themeColor="text1" w:themeTint="80"/>
                <w:sz w:val="22"/>
                <w:szCs w:val="22"/>
                <w:lang w:val="en-GB" w:eastAsia="fr-FR"/>
              </w:rPr>
            </w:pPr>
            <w:r w:rsidRPr="00C24334">
              <w:rPr>
                <w:rFonts w:ascii="Verdana" w:hAnsi="Verdana"/>
                <w:color w:val="7F7F7F" w:themeColor="text1" w:themeTint="80"/>
                <w:sz w:val="22"/>
                <w:szCs w:val="22"/>
                <w:lang w:val="en-GB" w:eastAsia="fr-FR"/>
              </w:rPr>
              <w:t>AMICE also points at</w:t>
            </w:r>
            <w:r w:rsidR="00E00E08" w:rsidRPr="00C24334">
              <w:rPr>
                <w:rFonts w:ascii="Verdana" w:hAnsi="Verdana"/>
                <w:color w:val="7F7F7F" w:themeColor="text1" w:themeTint="80"/>
                <w:sz w:val="22"/>
                <w:szCs w:val="22"/>
                <w:lang w:val="en-GB" w:eastAsia="fr-FR"/>
              </w:rPr>
              <w:t xml:space="preserve"> the national trigger as it is currently designed </w:t>
            </w:r>
            <w:r w:rsidRPr="00C24334">
              <w:rPr>
                <w:rFonts w:ascii="Verdana" w:hAnsi="Verdana"/>
                <w:color w:val="7F7F7F" w:themeColor="text1" w:themeTint="80"/>
                <w:sz w:val="22"/>
                <w:szCs w:val="22"/>
                <w:lang w:val="en-GB" w:eastAsia="fr-FR"/>
              </w:rPr>
              <w:t xml:space="preserve">and which </w:t>
            </w:r>
            <w:r w:rsidR="00E00E08" w:rsidRPr="00C24334">
              <w:rPr>
                <w:rFonts w:ascii="Verdana" w:hAnsi="Verdana"/>
                <w:color w:val="7F7F7F" w:themeColor="text1" w:themeTint="80"/>
                <w:sz w:val="22"/>
                <w:szCs w:val="22"/>
                <w:lang w:val="en-GB" w:eastAsia="fr-FR"/>
              </w:rPr>
              <w:t xml:space="preserve">proves to be inefficient and </w:t>
            </w:r>
            <w:r w:rsidRPr="00C24334">
              <w:rPr>
                <w:rFonts w:ascii="Verdana" w:hAnsi="Verdana"/>
                <w:color w:val="7F7F7F" w:themeColor="text1" w:themeTint="80"/>
                <w:sz w:val="22"/>
                <w:szCs w:val="22"/>
                <w:lang w:val="en-GB" w:eastAsia="fr-FR"/>
              </w:rPr>
              <w:t xml:space="preserve">to </w:t>
            </w:r>
            <w:r w:rsidR="00E00E08" w:rsidRPr="00C24334">
              <w:rPr>
                <w:rFonts w:ascii="Verdana" w:hAnsi="Verdana"/>
                <w:color w:val="7F7F7F" w:themeColor="text1" w:themeTint="80"/>
                <w:sz w:val="22"/>
                <w:szCs w:val="22"/>
                <w:lang w:val="en-GB" w:eastAsia="fr-FR"/>
              </w:rPr>
              <w:t xml:space="preserve">create cliff-edge </w:t>
            </w:r>
            <w:r w:rsidR="00BA2731" w:rsidRPr="00C24334">
              <w:rPr>
                <w:rFonts w:ascii="Verdana" w:hAnsi="Verdana"/>
                <w:color w:val="7F7F7F" w:themeColor="text1" w:themeTint="80"/>
                <w:sz w:val="22"/>
                <w:szCs w:val="22"/>
                <w:lang w:val="en-GB" w:eastAsia="fr-FR"/>
              </w:rPr>
              <w:t>effects. This</w:t>
            </w:r>
            <w:r w:rsidRPr="00C24334">
              <w:rPr>
                <w:rFonts w:ascii="Verdana" w:hAnsi="Verdana"/>
                <w:color w:val="7F7F7F" w:themeColor="text1" w:themeTint="80"/>
                <w:sz w:val="22"/>
                <w:szCs w:val="22"/>
                <w:lang w:val="en-GB" w:eastAsia="fr-FR"/>
              </w:rPr>
              <w:t xml:space="preserve"> needs to be solved. </w:t>
            </w:r>
          </w:p>
          <w:p w14:paraId="5FBCB520" w14:textId="2A318694" w:rsidR="00E00E08" w:rsidRPr="00C24334" w:rsidRDefault="00CB30F9" w:rsidP="00020B14">
            <w:pPr>
              <w:tabs>
                <w:tab w:val="left" w:pos="0"/>
              </w:tabs>
              <w:rPr>
                <w:rFonts w:ascii="Verdana" w:hAnsi="Verdana"/>
                <w:color w:val="7F7F7F" w:themeColor="text1" w:themeTint="80"/>
                <w:sz w:val="22"/>
                <w:szCs w:val="22"/>
                <w:lang w:val="en-GB" w:eastAsia="fr-FR"/>
              </w:rPr>
            </w:pPr>
            <w:r w:rsidRPr="00C24334">
              <w:rPr>
                <w:rFonts w:ascii="Verdana" w:hAnsi="Verdana"/>
                <w:color w:val="7F7F7F" w:themeColor="text1" w:themeTint="80"/>
                <w:sz w:val="22"/>
                <w:szCs w:val="22"/>
                <w:lang w:val="en-GB" w:eastAsia="fr-FR"/>
              </w:rPr>
              <w:t>AMICE insists that the refinements should avoid introducing more complexity and we believe the above refinements could be solved with simple remediations such as the all-in increase at entity level of the application ratio up to 100% or above where necessary to compensate several undershootings.</w:t>
            </w:r>
          </w:p>
          <w:bookmarkEnd w:id="2"/>
          <w:p w14:paraId="0CB6EDB0" w14:textId="77777777" w:rsidR="00050B4A" w:rsidRPr="00C24334" w:rsidRDefault="00050B4A" w:rsidP="00020B14">
            <w:pPr>
              <w:tabs>
                <w:tab w:val="left" w:pos="0"/>
              </w:tabs>
              <w:rPr>
                <w:rFonts w:ascii="Verdana" w:hAnsi="Verdana"/>
                <w:b/>
                <w:bCs/>
                <w:color w:val="7F7F7F" w:themeColor="text1" w:themeTint="80"/>
                <w:sz w:val="22"/>
                <w:szCs w:val="22"/>
                <w:u w:val="single"/>
                <w:lang w:val="en-GB" w:eastAsia="fr-FR"/>
              </w:rPr>
            </w:pPr>
          </w:p>
          <w:bookmarkEnd w:id="3"/>
          <w:p w14:paraId="682A053C" w14:textId="1913191B" w:rsidR="00394ECE" w:rsidRPr="00C24334" w:rsidRDefault="00180E87" w:rsidP="00020B14">
            <w:pPr>
              <w:tabs>
                <w:tab w:val="left" w:pos="0"/>
              </w:tabs>
              <w:rPr>
                <w:rFonts w:ascii="Verdana" w:hAnsi="Verdana"/>
                <w:b/>
                <w:bCs/>
                <w:color w:val="7F7F7F" w:themeColor="text1" w:themeTint="80"/>
                <w:sz w:val="22"/>
                <w:szCs w:val="22"/>
                <w:u w:val="single"/>
                <w:lang w:val="en-GB" w:eastAsia="fr-FR"/>
              </w:rPr>
            </w:pPr>
            <w:r w:rsidRPr="00C24334">
              <w:rPr>
                <w:rFonts w:ascii="Verdana" w:hAnsi="Verdana"/>
                <w:b/>
                <w:bCs/>
                <w:color w:val="7F7F7F" w:themeColor="text1" w:themeTint="80"/>
                <w:sz w:val="22"/>
                <w:szCs w:val="22"/>
                <w:u w:val="single"/>
                <w:lang w:val="en-GB" w:eastAsia="fr-FR"/>
              </w:rPr>
              <w:t xml:space="preserve">2.5 Dynamic </w:t>
            </w:r>
            <w:r w:rsidR="003763B6" w:rsidRPr="00C24334">
              <w:rPr>
                <w:rFonts w:ascii="Verdana" w:hAnsi="Verdana"/>
                <w:b/>
                <w:bCs/>
                <w:color w:val="7F7F7F" w:themeColor="text1" w:themeTint="80"/>
                <w:sz w:val="22"/>
                <w:szCs w:val="22"/>
                <w:u w:val="single"/>
                <w:lang w:val="en-GB" w:eastAsia="fr-FR"/>
              </w:rPr>
              <w:t xml:space="preserve">Volatility </w:t>
            </w:r>
            <w:r w:rsidRPr="00C24334">
              <w:rPr>
                <w:rFonts w:ascii="Verdana" w:hAnsi="Verdana"/>
                <w:b/>
                <w:bCs/>
                <w:color w:val="7F7F7F" w:themeColor="text1" w:themeTint="80"/>
                <w:sz w:val="22"/>
                <w:szCs w:val="22"/>
                <w:u w:val="single"/>
                <w:lang w:val="en-GB" w:eastAsia="fr-FR"/>
              </w:rPr>
              <w:t>Adjustment</w:t>
            </w:r>
            <w:r w:rsidR="002B353A" w:rsidRPr="00C24334">
              <w:rPr>
                <w:rFonts w:ascii="Verdana" w:hAnsi="Verdana"/>
                <w:b/>
                <w:bCs/>
                <w:color w:val="7F7F7F" w:themeColor="text1" w:themeTint="80"/>
                <w:sz w:val="22"/>
                <w:szCs w:val="22"/>
                <w:u w:val="single"/>
                <w:lang w:val="en-GB" w:eastAsia="fr-FR"/>
              </w:rPr>
              <w:t>:</w:t>
            </w:r>
          </w:p>
          <w:p w14:paraId="2A798DDF" w14:textId="1A59679D" w:rsidR="00D30AA5" w:rsidRPr="00C24334" w:rsidRDefault="00D30AA5" w:rsidP="00020B14">
            <w:pPr>
              <w:tabs>
                <w:tab w:val="left" w:pos="0"/>
              </w:tabs>
              <w:spacing w:after="120"/>
              <w:rPr>
                <w:rFonts w:ascii="Verdana" w:hAnsi="Verdana"/>
                <w:color w:val="7F7F7F" w:themeColor="text1" w:themeTint="80"/>
                <w:sz w:val="22"/>
                <w:szCs w:val="22"/>
                <w:lang w:val="en-GB" w:eastAsia="fr-FR"/>
              </w:rPr>
            </w:pPr>
            <w:r w:rsidRPr="00C24334">
              <w:rPr>
                <w:rFonts w:ascii="Verdana" w:hAnsi="Verdana"/>
                <w:color w:val="7F7F7F" w:themeColor="text1" w:themeTint="80"/>
                <w:sz w:val="22"/>
                <w:szCs w:val="22"/>
                <w:lang w:val="en-GB" w:eastAsia="fr-FR"/>
              </w:rPr>
              <w:t>The use of the DVA is consistent with the application of Article 105 of the Directive 2009/138/EC. This article applies a total balance sheet approach. If spreads change according to the designed 1 in 200 scenarios as stated in the Delegated Regulation 2015/35, the whole of the balance sheet is to be recalculated including the VA used to value the best estimate</w:t>
            </w:r>
            <w:r w:rsidRPr="00C24334">
              <w:rPr>
                <w:color w:val="7F7F7F" w:themeColor="text1" w:themeTint="80"/>
                <w:sz w:val="22"/>
                <w:szCs w:val="22"/>
                <w:lang w:val="en-US"/>
              </w:rPr>
              <w:t xml:space="preserve">. </w:t>
            </w:r>
            <w:r w:rsidRPr="00C24334">
              <w:rPr>
                <w:rFonts w:ascii="Verdana" w:hAnsi="Verdana"/>
                <w:color w:val="7F7F7F" w:themeColor="text1" w:themeTint="80"/>
                <w:sz w:val="22"/>
                <w:szCs w:val="22"/>
                <w:lang w:val="en-GB" w:eastAsia="fr-FR"/>
              </w:rPr>
              <w:t>We stress that the use of the DVA should also be extended to the users of the standard formula.</w:t>
            </w:r>
          </w:p>
          <w:p w14:paraId="5A869C9E" w14:textId="77777777" w:rsidR="001E6D54" w:rsidRPr="000A26D2" w:rsidRDefault="001E6D54" w:rsidP="00020B14">
            <w:pPr>
              <w:tabs>
                <w:tab w:val="left" w:pos="0"/>
              </w:tabs>
              <w:rPr>
                <w:rFonts w:ascii="Verdana" w:hAnsi="Verdana"/>
                <w:color w:val="7F7F7F" w:themeColor="text1" w:themeTint="80"/>
                <w:sz w:val="22"/>
                <w:szCs w:val="22"/>
                <w:lang w:val="en-GB" w:eastAsia="fr-FR"/>
              </w:rPr>
            </w:pPr>
            <w:r w:rsidRPr="00803835">
              <w:rPr>
                <w:rFonts w:ascii="Verdana" w:hAnsi="Verdana"/>
                <w:color w:val="7F7F7F" w:themeColor="text1" w:themeTint="80"/>
                <w:sz w:val="22"/>
                <w:szCs w:val="22"/>
                <w:lang w:val="en-GB" w:eastAsia="fr-FR"/>
              </w:rPr>
              <w:t xml:space="preserve">This approach is already implemented by many internal model firms who model market risk and could be easily implemented for standard formula users by EIOPA providing the VA adjustments that standard formula </w:t>
            </w:r>
            <w:r w:rsidRPr="00803835">
              <w:rPr>
                <w:rFonts w:ascii="Verdana" w:hAnsi="Verdana"/>
                <w:color w:val="7F7F7F" w:themeColor="text1" w:themeTint="80"/>
                <w:sz w:val="22"/>
                <w:szCs w:val="22"/>
                <w:lang w:val="en-GB" w:eastAsia="fr-FR"/>
              </w:rPr>
              <w:lastRenderedPageBreak/>
              <w:t>companies should use under the SCR spread shock scenario. This will ensure that the capital requirements for corporate bond exposures for all insurers are more reflective of the true economic risks.</w:t>
            </w:r>
            <w:r>
              <w:rPr>
                <w:rFonts w:ascii="Verdana" w:hAnsi="Verdana"/>
                <w:color w:val="7F7F7F" w:themeColor="text1" w:themeTint="80"/>
                <w:sz w:val="22"/>
                <w:szCs w:val="22"/>
                <w:lang w:val="en-GB" w:eastAsia="fr-FR"/>
              </w:rPr>
              <w:t xml:space="preserve"> We</w:t>
            </w:r>
            <w:r w:rsidRPr="00803835">
              <w:rPr>
                <w:rFonts w:ascii="Verdana" w:hAnsi="Verdana"/>
                <w:color w:val="7F7F7F" w:themeColor="text1" w:themeTint="80"/>
                <w:sz w:val="22"/>
                <w:szCs w:val="22"/>
                <w:lang w:val="en-GB" w:eastAsia="fr-FR"/>
              </w:rPr>
              <w:t xml:space="preserve"> </w:t>
            </w:r>
            <w:r>
              <w:rPr>
                <w:rFonts w:ascii="Verdana" w:hAnsi="Verdana"/>
                <w:color w:val="7F7F7F" w:themeColor="text1" w:themeTint="80"/>
                <w:sz w:val="22"/>
                <w:szCs w:val="22"/>
                <w:lang w:val="en-GB" w:eastAsia="fr-FR"/>
              </w:rPr>
              <w:t xml:space="preserve">would remark that </w:t>
            </w:r>
            <w:r w:rsidRPr="00803835">
              <w:rPr>
                <w:rFonts w:ascii="Verdana" w:hAnsi="Verdana"/>
                <w:color w:val="7F7F7F" w:themeColor="text1" w:themeTint="80"/>
                <w:sz w:val="22"/>
                <w:szCs w:val="22"/>
                <w:lang w:val="en-GB" w:eastAsia="fr-FR"/>
              </w:rPr>
              <w:t xml:space="preserve">the introduction of the dynamic VA in </w:t>
            </w:r>
            <w:r>
              <w:rPr>
                <w:rFonts w:ascii="Verdana" w:hAnsi="Verdana"/>
                <w:color w:val="7F7F7F" w:themeColor="text1" w:themeTint="80"/>
                <w:sz w:val="22"/>
                <w:szCs w:val="22"/>
                <w:lang w:val="en-GB" w:eastAsia="fr-FR"/>
              </w:rPr>
              <w:t xml:space="preserve">the </w:t>
            </w:r>
            <w:r w:rsidRPr="00803835">
              <w:rPr>
                <w:rFonts w:ascii="Verdana" w:hAnsi="Verdana"/>
                <w:color w:val="7F7F7F" w:themeColor="text1" w:themeTint="80"/>
                <w:sz w:val="22"/>
                <w:szCs w:val="22"/>
                <w:lang w:val="en-GB" w:eastAsia="fr-FR"/>
              </w:rPr>
              <w:t>Standard Formula would not and should not impact the 0% risk weighting for Member State sovereign debt.</w:t>
            </w:r>
          </w:p>
          <w:p w14:paraId="72E8A7FB" w14:textId="62813FFE" w:rsidR="00CB30F9" w:rsidRPr="00C24334" w:rsidRDefault="00CB30F9" w:rsidP="00020B14">
            <w:pPr>
              <w:tabs>
                <w:tab w:val="left" w:pos="0"/>
              </w:tabs>
              <w:rPr>
                <w:rFonts w:ascii="Verdana" w:hAnsi="Verdana"/>
                <w:color w:val="7F7F7F" w:themeColor="text1" w:themeTint="80"/>
                <w:sz w:val="22"/>
                <w:szCs w:val="22"/>
                <w:lang w:val="en-GB" w:eastAsia="fr-FR"/>
              </w:rPr>
            </w:pPr>
          </w:p>
          <w:p w14:paraId="1380DE33" w14:textId="09C32ECA" w:rsidR="00CB30F9" w:rsidRDefault="00CB30F9" w:rsidP="00020B14">
            <w:pPr>
              <w:tabs>
                <w:tab w:val="left" w:pos="0"/>
              </w:tabs>
              <w:rPr>
                <w:rFonts w:ascii="Verdana" w:hAnsi="Verdana"/>
                <w:color w:val="7F7F7F" w:themeColor="text1" w:themeTint="80"/>
                <w:sz w:val="22"/>
                <w:szCs w:val="22"/>
                <w:lang w:val="en-GB" w:eastAsia="fr-FR"/>
              </w:rPr>
            </w:pPr>
            <w:r w:rsidRPr="00C24334">
              <w:rPr>
                <w:rFonts w:ascii="Verdana" w:hAnsi="Verdana"/>
                <w:color w:val="7F7F7F" w:themeColor="text1" w:themeTint="80"/>
                <w:sz w:val="22"/>
                <w:szCs w:val="22"/>
                <w:lang w:val="en-GB" w:eastAsia="fr-FR"/>
              </w:rPr>
              <w:t>The calibration of the DVA should be inspired by the methodology underlying the VA, and here also, an all-in adjustment to the application ratio could factor all the features and capacity to hold the bonds to maturity after the 1in 200 shock.</w:t>
            </w:r>
          </w:p>
          <w:p w14:paraId="14446880" w14:textId="77777777" w:rsidR="00D30AA5" w:rsidRPr="00C24334" w:rsidRDefault="00D30AA5" w:rsidP="00020B14">
            <w:pPr>
              <w:tabs>
                <w:tab w:val="left" w:pos="0"/>
              </w:tabs>
              <w:rPr>
                <w:rFonts w:ascii="Helvetica" w:hAnsi="Helvetica"/>
                <w:color w:val="7F7F7F" w:themeColor="text1" w:themeTint="80"/>
                <w:sz w:val="22"/>
                <w:szCs w:val="22"/>
                <w:lang w:val="en-GB" w:eastAsia="en-US"/>
              </w:rPr>
            </w:pPr>
          </w:p>
          <w:p w14:paraId="3E02D4F8" w14:textId="215F96CA" w:rsidR="00180E87" w:rsidRPr="00C24334" w:rsidRDefault="00180E87" w:rsidP="00020B14">
            <w:pPr>
              <w:tabs>
                <w:tab w:val="left" w:pos="0"/>
              </w:tabs>
              <w:rPr>
                <w:rFonts w:ascii="Verdana" w:hAnsi="Verdana"/>
                <w:b/>
                <w:bCs/>
                <w:color w:val="7F7F7F" w:themeColor="text1" w:themeTint="80"/>
                <w:sz w:val="22"/>
                <w:szCs w:val="22"/>
                <w:u w:val="single"/>
                <w:lang w:val="en-GB" w:eastAsia="fr-FR"/>
              </w:rPr>
            </w:pPr>
            <w:r w:rsidRPr="00C24334">
              <w:rPr>
                <w:rFonts w:ascii="Verdana" w:hAnsi="Verdana"/>
                <w:b/>
                <w:bCs/>
                <w:color w:val="7F7F7F" w:themeColor="text1" w:themeTint="80"/>
                <w:sz w:val="22"/>
                <w:szCs w:val="22"/>
                <w:u w:val="single"/>
                <w:lang w:val="en-GB" w:eastAsia="fr-FR"/>
              </w:rPr>
              <w:t>2.6 Transitional Measures</w:t>
            </w:r>
            <w:r w:rsidR="002B353A" w:rsidRPr="00C24334">
              <w:rPr>
                <w:rFonts w:ascii="Verdana" w:hAnsi="Verdana"/>
                <w:b/>
                <w:bCs/>
                <w:color w:val="7F7F7F" w:themeColor="text1" w:themeTint="80"/>
                <w:sz w:val="22"/>
                <w:szCs w:val="22"/>
                <w:u w:val="single"/>
                <w:lang w:val="en-GB" w:eastAsia="fr-FR"/>
              </w:rPr>
              <w:t>:</w:t>
            </w:r>
          </w:p>
          <w:p w14:paraId="5B73461E" w14:textId="5D5DA6A4" w:rsidR="00D62EC0" w:rsidRPr="00C24334" w:rsidRDefault="000B0F93" w:rsidP="00020B14">
            <w:pPr>
              <w:tabs>
                <w:tab w:val="left" w:pos="0"/>
              </w:tabs>
              <w:rPr>
                <w:rFonts w:ascii="Verdana" w:hAnsi="Verdana"/>
                <w:color w:val="7F7F7F" w:themeColor="text1" w:themeTint="80"/>
                <w:sz w:val="22"/>
                <w:szCs w:val="22"/>
                <w:lang w:val="en-GB" w:eastAsia="fr-FR"/>
              </w:rPr>
            </w:pPr>
            <w:r w:rsidRPr="00C24334">
              <w:rPr>
                <w:rFonts w:ascii="Verdana" w:hAnsi="Verdana"/>
                <w:color w:val="7F7F7F" w:themeColor="text1" w:themeTint="80"/>
                <w:sz w:val="22"/>
                <w:szCs w:val="22"/>
                <w:lang w:val="en-GB" w:eastAsia="fr-FR"/>
              </w:rPr>
              <w:t xml:space="preserve">We do not believe that the analysis conducted by EIOPA justifies an amendment to the transitional </w:t>
            </w:r>
            <w:r w:rsidR="00BA2731" w:rsidRPr="00C24334">
              <w:rPr>
                <w:rFonts w:ascii="Verdana" w:hAnsi="Verdana"/>
                <w:color w:val="7F7F7F" w:themeColor="text1" w:themeTint="80"/>
                <w:sz w:val="22"/>
                <w:szCs w:val="22"/>
                <w:lang w:val="en-GB" w:eastAsia="fr-FR"/>
              </w:rPr>
              <w:t>measures’</w:t>
            </w:r>
            <w:r w:rsidRPr="00C24334">
              <w:rPr>
                <w:rFonts w:ascii="Verdana" w:hAnsi="Verdana"/>
                <w:color w:val="7F7F7F" w:themeColor="text1" w:themeTint="80"/>
                <w:sz w:val="22"/>
                <w:szCs w:val="22"/>
                <w:lang w:val="en-GB" w:eastAsia="fr-FR"/>
              </w:rPr>
              <w:t xml:space="preserve"> provisions</w:t>
            </w:r>
            <w:r w:rsidR="004F5BD0" w:rsidRPr="00C24334">
              <w:rPr>
                <w:rFonts w:ascii="Verdana" w:hAnsi="Verdana"/>
                <w:color w:val="7F7F7F" w:themeColor="text1" w:themeTint="80"/>
                <w:sz w:val="22"/>
                <w:szCs w:val="22"/>
                <w:lang w:val="en-GB" w:eastAsia="fr-FR"/>
              </w:rPr>
              <w:t>.</w:t>
            </w:r>
          </w:p>
          <w:p w14:paraId="19005150" w14:textId="77777777" w:rsidR="00D62EC0" w:rsidRPr="00C24334" w:rsidRDefault="00D62EC0" w:rsidP="00020B14">
            <w:pPr>
              <w:tabs>
                <w:tab w:val="left" w:pos="0"/>
              </w:tabs>
              <w:rPr>
                <w:rFonts w:ascii="Verdana" w:hAnsi="Verdana"/>
                <w:b/>
                <w:bCs/>
                <w:color w:val="7F7F7F" w:themeColor="text1" w:themeTint="80"/>
                <w:sz w:val="22"/>
                <w:szCs w:val="22"/>
                <w:u w:val="single"/>
                <w:lang w:val="en-GB" w:eastAsia="fr-FR"/>
              </w:rPr>
            </w:pPr>
          </w:p>
          <w:p w14:paraId="280D70CB" w14:textId="6B2892CE" w:rsidR="00180E87" w:rsidRPr="00C24334" w:rsidRDefault="00180E87" w:rsidP="00020B14">
            <w:pPr>
              <w:tabs>
                <w:tab w:val="left" w:pos="0"/>
              </w:tabs>
              <w:rPr>
                <w:rFonts w:ascii="Verdana" w:hAnsi="Verdana"/>
                <w:b/>
                <w:bCs/>
                <w:color w:val="7F7F7F" w:themeColor="text1" w:themeTint="80"/>
                <w:sz w:val="22"/>
                <w:szCs w:val="22"/>
                <w:u w:val="single"/>
                <w:lang w:val="en-GB" w:eastAsia="fr-FR"/>
              </w:rPr>
            </w:pPr>
            <w:r w:rsidRPr="00C24334">
              <w:rPr>
                <w:rFonts w:ascii="Verdana" w:hAnsi="Verdana"/>
                <w:b/>
                <w:bCs/>
                <w:color w:val="7F7F7F" w:themeColor="text1" w:themeTint="80"/>
                <w:sz w:val="22"/>
                <w:szCs w:val="22"/>
                <w:u w:val="single"/>
                <w:lang w:val="en-GB" w:eastAsia="fr-FR"/>
              </w:rPr>
              <w:t>2.7 Risk Management provisions on LTG measures</w:t>
            </w:r>
            <w:r w:rsidR="00A70751" w:rsidRPr="00C24334">
              <w:rPr>
                <w:rFonts w:ascii="Verdana" w:hAnsi="Verdana"/>
                <w:b/>
                <w:bCs/>
                <w:color w:val="7F7F7F" w:themeColor="text1" w:themeTint="80"/>
                <w:sz w:val="22"/>
                <w:szCs w:val="22"/>
                <w:u w:val="single"/>
                <w:lang w:val="en-GB" w:eastAsia="fr-FR"/>
              </w:rPr>
              <w:t xml:space="preserve"> &amp; </w:t>
            </w:r>
            <w:r w:rsidRPr="00C24334">
              <w:rPr>
                <w:rFonts w:ascii="Verdana" w:hAnsi="Verdana"/>
                <w:b/>
                <w:bCs/>
                <w:color w:val="7F7F7F" w:themeColor="text1" w:themeTint="80"/>
                <w:sz w:val="22"/>
                <w:szCs w:val="22"/>
                <w:u w:val="single"/>
                <w:lang w:val="en-GB" w:eastAsia="fr-FR"/>
              </w:rPr>
              <w:t>2.8 Disclosure on LGT Measures</w:t>
            </w:r>
            <w:r w:rsidR="002B353A" w:rsidRPr="00C24334">
              <w:rPr>
                <w:rFonts w:ascii="Verdana" w:hAnsi="Verdana"/>
                <w:b/>
                <w:bCs/>
                <w:color w:val="7F7F7F" w:themeColor="text1" w:themeTint="80"/>
                <w:sz w:val="22"/>
                <w:szCs w:val="22"/>
                <w:u w:val="single"/>
                <w:lang w:val="en-GB" w:eastAsia="fr-FR"/>
              </w:rPr>
              <w:t>:</w:t>
            </w:r>
          </w:p>
          <w:p w14:paraId="06E495BA" w14:textId="77777777" w:rsidR="00460C92" w:rsidRDefault="00A70751" w:rsidP="00020B14">
            <w:pPr>
              <w:tabs>
                <w:tab w:val="left" w:pos="0"/>
              </w:tabs>
              <w:spacing w:before="120" w:after="120"/>
              <w:rPr>
                <w:rFonts w:ascii="Verdana" w:hAnsi="Verdana" w:cstheme="minorHAnsi"/>
                <w:color w:val="7F7F7F" w:themeColor="text1" w:themeTint="80"/>
                <w:sz w:val="22"/>
                <w:szCs w:val="22"/>
                <w:lang w:val="en-US"/>
              </w:rPr>
            </w:pPr>
            <w:r w:rsidRPr="00C24334">
              <w:rPr>
                <w:rFonts w:ascii="Verdana" w:hAnsi="Verdana" w:cstheme="minorHAnsi"/>
                <w:color w:val="7F7F7F" w:themeColor="text1" w:themeTint="80"/>
                <w:sz w:val="22"/>
                <w:szCs w:val="22"/>
                <w:lang w:val="en-US"/>
              </w:rPr>
              <w:t xml:space="preserve">Regarding the LTG proposals we oppose EIOPA’s proposals to give powers to NSAs to limit capital distributions based on </w:t>
            </w:r>
            <w:r w:rsidR="00992664" w:rsidRPr="00C24334">
              <w:rPr>
                <w:rFonts w:ascii="Verdana" w:hAnsi="Verdana" w:cstheme="minorHAnsi"/>
                <w:color w:val="7F7F7F" w:themeColor="text1" w:themeTint="80"/>
                <w:sz w:val="22"/>
                <w:szCs w:val="22"/>
                <w:lang w:val="en-US"/>
              </w:rPr>
              <w:t>measures that are not consistent with the Solvency Capital Requirements that the European Parliament has set with the Directive. An undertaking holding capital at or above the requirements should in general be considered safe and sound. It should be able to operate without restrictions.</w:t>
            </w:r>
            <w:r w:rsidR="00460C92">
              <w:rPr>
                <w:rFonts w:ascii="Verdana" w:hAnsi="Verdana" w:cstheme="minorHAnsi"/>
                <w:color w:val="7F7F7F" w:themeColor="text1" w:themeTint="80"/>
                <w:sz w:val="22"/>
                <w:szCs w:val="22"/>
                <w:lang w:val="en-US"/>
              </w:rPr>
              <w:t xml:space="preserve"> </w:t>
            </w:r>
          </w:p>
          <w:p w14:paraId="7EB30E25" w14:textId="4D8BCA81" w:rsidR="00AE1EAE" w:rsidRPr="00C24334" w:rsidRDefault="00AE1EAE" w:rsidP="00020B14">
            <w:pPr>
              <w:tabs>
                <w:tab w:val="left" w:pos="0"/>
              </w:tabs>
              <w:spacing w:before="120" w:after="120"/>
              <w:rPr>
                <w:rFonts w:ascii="Verdana" w:hAnsi="Verdana" w:cstheme="minorHAnsi"/>
                <w:color w:val="7F7F7F" w:themeColor="text1" w:themeTint="80"/>
                <w:sz w:val="22"/>
                <w:szCs w:val="22"/>
                <w:lang w:val="en-US"/>
              </w:rPr>
            </w:pPr>
            <w:r w:rsidRPr="00C24334">
              <w:rPr>
                <w:rFonts w:ascii="Verdana" w:hAnsi="Verdana" w:cstheme="minorHAnsi"/>
                <w:color w:val="7F7F7F" w:themeColor="text1" w:themeTint="80"/>
                <w:sz w:val="22"/>
                <w:szCs w:val="22"/>
                <w:lang w:val="en-US"/>
              </w:rPr>
              <w:t xml:space="preserve">The LTGA measures (Extrapolation, MA and VA) </w:t>
            </w:r>
            <w:r w:rsidR="00992664" w:rsidRPr="00C24334">
              <w:rPr>
                <w:rFonts w:ascii="Verdana" w:hAnsi="Verdana" w:cstheme="minorHAnsi"/>
                <w:color w:val="7F7F7F" w:themeColor="text1" w:themeTint="80"/>
                <w:sz w:val="22"/>
                <w:szCs w:val="22"/>
                <w:lang w:val="en-US"/>
              </w:rPr>
              <w:t>should become a regular</w:t>
            </w:r>
            <w:r w:rsidRPr="00C24334">
              <w:rPr>
                <w:rFonts w:ascii="Verdana" w:hAnsi="Verdana" w:cstheme="minorHAnsi"/>
                <w:color w:val="7F7F7F" w:themeColor="text1" w:themeTint="80"/>
                <w:sz w:val="22"/>
                <w:szCs w:val="22"/>
                <w:lang w:val="en-US"/>
              </w:rPr>
              <w:t xml:space="preserve"> part of the Solvency calculations. </w:t>
            </w:r>
            <w:r w:rsidR="00992664" w:rsidRPr="00C24334">
              <w:rPr>
                <w:rFonts w:ascii="Verdana" w:hAnsi="Verdana" w:cstheme="minorHAnsi"/>
                <w:color w:val="7F7F7F" w:themeColor="text1" w:themeTint="80"/>
                <w:sz w:val="22"/>
                <w:szCs w:val="22"/>
                <w:lang w:val="en-US"/>
              </w:rPr>
              <w:t>T</w:t>
            </w:r>
            <w:r w:rsidRPr="00C24334">
              <w:rPr>
                <w:rFonts w:ascii="Verdana" w:hAnsi="Verdana" w:cstheme="minorHAnsi"/>
                <w:color w:val="7F7F7F" w:themeColor="text1" w:themeTint="80"/>
                <w:sz w:val="22"/>
                <w:szCs w:val="22"/>
                <w:lang w:val="en-US"/>
              </w:rPr>
              <w:t xml:space="preserve">here is no need for a public disclosure of </w:t>
            </w:r>
            <w:r w:rsidR="00992664" w:rsidRPr="00C24334">
              <w:rPr>
                <w:rFonts w:ascii="Verdana" w:hAnsi="Verdana" w:cstheme="minorHAnsi"/>
                <w:color w:val="7F7F7F" w:themeColor="text1" w:themeTint="80"/>
                <w:sz w:val="22"/>
                <w:szCs w:val="22"/>
                <w:lang w:val="en-US"/>
              </w:rPr>
              <w:t xml:space="preserve">fictional </w:t>
            </w:r>
            <w:r w:rsidRPr="00C24334">
              <w:rPr>
                <w:rFonts w:ascii="Verdana" w:hAnsi="Verdana" w:cstheme="minorHAnsi"/>
                <w:color w:val="7F7F7F" w:themeColor="text1" w:themeTint="80"/>
                <w:sz w:val="22"/>
                <w:szCs w:val="22"/>
                <w:lang w:val="en-US"/>
              </w:rPr>
              <w:t>ratios without those measures.</w:t>
            </w:r>
          </w:p>
          <w:p w14:paraId="2A13BE88" w14:textId="0E94D75C" w:rsidR="00180E87" w:rsidRPr="00C24334" w:rsidRDefault="00180E87" w:rsidP="00020B14">
            <w:pPr>
              <w:tabs>
                <w:tab w:val="left" w:pos="0"/>
              </w:tabs>
              <w:rPr>
                <w:rFonts w:ascii="Verdana" w:hAnsi="Verdana"/>
                <w:b/>
                <w:bCs/>
                <w:color w:val="7F7F7F" w:themeColor="text1" w:themeTint="80"/>
                <w:sz w:val="22"/>
                <w:szCs w:val="22"/>
                <w:u w:val="single"/>
                <w:lang w:val="en-GB" w:eastAsia="fr-FR"/>
              </w:rPr>
            </w:pPr>
            <w:r w:rsidRPr="00C24334">
              <w:rPr>
                <w:rFonts w:ascii="Verdana" w:hAnsi="Verdana"/>
                <w:b/>
                <w:bCs/>
                <w:color w:val="7F7F7F" w:themeColor="text1" w:themeTint="80"/>
                <w:sz w:val="22"/>
                <w:szCs w:val="22"/>
                <w:u w:val="single"/>
                <w:lang w:val="en-GB" w:eastAsia="fr-FR"/>
              </w:rPr>
              <w:lastRenderedPageBreak/>
              <w:t>2.9 Long-term and strategic investments</w:t>
            </w:r>
            <w:r w:rsidR="002B353A" w:rsidRPr="00C24334">
              <w:rPr>
                <w:rFonts w:ascii="Verdana" w:hAnsi="Verdana"/>
                <w:b/>
                <w:bCs/>
                <w:color w:val="7F7F7F" w:themeColor="text1" w:themeTint="80"/>
                <w:sz w:val="22"/>
                <w:szCs w:val="22"/>
                <w:u w:val="single"/>
                <w:lang w:val="en-GB" w:eastAsia="fr-FR"/>
              </w:rPr>
              <w:t>:</w:t>
            </w:r>
          </w:p>
          <w:p w14:paraId="156AA34F" w14:textId="0DD7715F" w:rsidR="00AE1EAE" w:rsidRPr="00C24334" w:rsidRDefault="004C5CF2" w:rsidP="00020B14">
            <w:pPr>
              <w:pStyle w:val="ListParagraph"/>
              <w:tabs>
                <w:tab w:val="left" w:pos="0"/>
              </w:tabs>
              <w:spacing w:after="160"/>
              <w:ind w:left="0"/>
              <w:contextualSpacing/>
              <w:jc w:val="both"/>
              <w:rPr>
                <w:rFonts w:ascii="Verdana" w:eastAsia="Times New Roman" w:hAnsi="Verdana"/>
                <w:color w:val="7F7F7F" w:themeColor="text1" w:themeTint="80"/>
                <w:lang w:val="en-GB"/>
              </w:rPr>
            </w:pPr>
            <w:r w:rsidRPr="00C24334">
              <w:rPr>
                <w:rFonts w:ascii="Verdana" w:hAnsi="Verdana"/>
                <w:color w:val="7F7F7F" w:themeColor="text1" w:themeTint="80"/>
                <w:lang w:val="en-GB"/>
              </w:rPr>
              <w:t>One of the main objectives of the European’s Capital Market Union aspects is to unlock more investments and to mobilise capital to be channelled into funding the European economy.</w:t>
            </w:r>
            <w:r w:rsidR="00AE1EAE" w:rsidRPr="00C24334">
              <w:rPr>
                <w:rFonts w:ascii="Verdana" w:eastAsia="Times New Roman" w:hAnsi="Verdana"/>
                <w:color w:val="7F7F7F" w:themeColor="text1" w:themeTint="80"/>
                <w:lang w:val="en-GB"/>
              </w:rPr>
              <w:t xml:space="preserve"> </w:t>
            </w:r>
          </w:p>
          <w:p w14:paraId="4378BFC1" w14:textId="77777777" w:rsidR="00AE1EAE" w:rsidRPr="00C24334" w:rsidRDefault="00AE1EAE" w:rsidP="00020B14">
            <w:pPr>
              <w:pStyle w:val="ListParagraph"/>
              <w:tabs>
                <w:tab w:val="left" w:pos="0"/>
              </w:tabs>
              <w:spacing w:after="160"/>
              <w:ind w:left="0"/>
              <w:contextualSpacing/>
              <w:jc w:val="both"/>
              <w:rPr>
                <w:rFonts w:ascii="Verdana" w:hAnsi="Verdana"/>
                <w:color w:val="7F7F7F" w:themeColor="text1" w:themeTint="80"/>
                <w:lang w:val="en-US"/>
              </w:rPr>
            </w:pPr>
          </w:p>
          <w:p w14:paraId="3FBFD229" w14:textId="5F537EBB" w:rsidR="00601673" w:rsidRPr="00C24334" w:rsidRDefault="00CB30F9" w:rsidP="00020B14">
            <w:pPr>
              <w:pStyle w:val="ListParagraph"/>
              <w:tabs>
                <w:tab w:val="left" w:pos="0"/>
              </w:tabs>
              <w:spacing w:after="160"/>
              <w:ind w:left="0"/>
              <w:contextualSpacing/>
              <w:jc w:val="both"/>
              <w:rPr>
                <w:rFonts w:ascii="Verdana" w:eastAsia="Times New Roman" w:hAnsi="Verdana"/>
                <w:color w:val="7F7F7F" w:themeColor="text1" w:themeTint="80"/>
                <w:lang w:val="en-GB"/>
              </w:rPr>
            </w:pPr>
            <w:r w:rsidRPr="00C24334">
              <w:rPr>
                <w:rFonts w:ascii="Verdana" w:eastAsia="Times New Roman" w:hAnsi="Verdana"/>
                <w:color w:val="7F7F7F" w:themeColor="text1" w:themeTint="80"/>
                <w:lang w:val="en-US"/>
              </w:rPr>
              <w:t xml:space="preserve">Here again, </w:t>
            </w:r>
            <w:r w:rsidR="00601673" w:rsidRPr="00C24334">
              <w:rPr>
                <w:rFonts w:ascii="Verdana" w:eastAsia="Times New Roman" w:hAnsi="Verdana"/>
                <w:color w:val="7F7F7F" w:themeColor="text1" w:themeTint="80"/>
                <w:lang w:val="en-GB"/>
              </w:rPr>
              <w:t>EIOPA’s advice should better account for the going concern perspective of insurance undertakings and their ability to avoid forced sales during adverse market situations and the realization of unexpected losses</w:t>
            </w:r>
            <w:r w:rsidRPr="00C24334">
              <w:rPr>
                <w:rFonts w:ascii="Verdana" w:eastAsia="Times New Roman" w:hAnsi="Verdana"/>
                <w:color w:val="7F7F7F" w:themeColor="text1" w:themeTint="80"/>
                <w:lang w:val="en-GB"/>
              </w:rPr>
              <w:t xml:space="preserve"> which stand for a key management action featuring a long-term perspective investment management</w:t>
            </w:r>
            <w:r w:rsidR="00601673" w:rsidRPr="00C24334">
              <w:rPr>
                <w:rFonts w:ascii="Verdana" w:eastAsia="Times New Roman" w:hAnsi="Verdana"/>
                <w:color w:val="7F7F7F" w:themeColor="text1" w:themeTint="80"/>
                <w:lang w:val="en-GB"/>
              </w:rPr>
              <w:t xml:space="preserve">. The measure of risk should remain the </w:t>
            </w:r>
            <w:r w:rsidR="00BE0AB1" w:rsidRPr="00C24334">
              <w:rPr>
                <w:rFonts w:ascii="Verdana" w:eastAsia="Times New Roman" w:hAnsi="Verdana"/>
                <w:color w:val="7F7F7F" w:themeColor="text1" w:themeTint="80"/>
                <w:lang w:val="en-GB"/>
              </w:rPr>
              <w:t>1-year</w:t>
            </w:r>
            <w:r w:rsidR="00601673" w:rsidRPr="00C24334">
              <w:rPr>
                <w:rFonts w:ascii="Verdana" w:eastAsia="Times New Roman" w:hAnsi="Verdana"/>
                <w:color w:val="7F7F7F" w:themeColor="text1" w:themeTint="80"/>
                <w:lang w:val="en-GB"/>
              </w:rPr>
              <w:t xml:space="preserve"> horizon value at risk but account for the possibility to smooth market fluctuations over longer term</w:t>
            </w:r>
            <w:r w:rsidRPr="00C24334">
              <w:rPr>
                <w:rFonts w:ascii="Verdana" w:eastAsia="Times New Roman" w:hAnsi="Verdana"/>
                <w:color w:val="7F7F7F" w:themeColor="text1" w:themeTint="80"/>
                <w:lang w:val="en-GB"/>
              </w:rPr>
              <w:t xml:space="preserve"> because of the management actions in place</w:t>
            </w:r>
            <w:r w:rsidR="00601673" w:rsidRPr="00C24334">
              <w:rPr>
                <w:rFonts w:ascii="Verdana" w:eastAsia="Times New Roman" w:hAnsi="Verdana"/>
                <w:color w:val="7F7F7F" w:themeColor="text1" w:themeTint="80"/>
                <w:lang w:val="en-GB"/>
              </w:rPr>
              <w:t>.</w:t>
            </w:r>
          </w:p>
          <w:p w14:paraId="0ED2B437" w14:textId="2131B2E1" w:rsidR="00601673" w:rsidRPr="008B1B79" w:rsidRDefault="00601673" w:rsidP="00020B14">
            <w:pPr>
              <w:pStyle w:val="ListParagraph"/>
              <w:tabs>
                <w:tab w:val="left" w:pos="0"/>
              </w:tabs>
              <w:spacing w:before="120" w:after="120"/>
              <w:ind w:left="0"/>
              <w:jc w:val="both"/>
              <w:rPr>
                <w:rFonts w:ascii="Verdana" w:eastAsia="Times New Roman" w:hAnsi="Verdana"/>
                <w:b/>
                <w:bCs/>
                <w:color w:val="7F7F7F" w:themeColor="text1" w:themeTint="80"/>
                <w:lang w:val="en-GB"/>
              </w:rPr>
            </w:pPr>
            <w:r w:rsidRPr="008B1B79">
              <w:rPr>
                <w:rFonts w:ascii="Verdana" w:eastAsia="Times New Roman" w:hAnsi="Verdana"/>
                <w:b/>
                <w:bCs/>
                <w:color w:val="7F7F7F" w:themeColor="text1" w:themeTint="80"/>
                <w:lang w:val="en-GB"/>
              </w:rPr>
              <w:t>Likewise, the advice should account for the operational difficulty to implement the criteria set in Article 171a. The application of the criteria should avoid undue operational complexity deterring, de facto, the application of the criteria for long-term investors. The application should remain feasible at a reasonable cost even for those undertakings using pooled assets backing pooled liabilities.</w:t>
            </w:r>
          </w:p>
          <w:p w14:paraId="0AA81BF6" w14:textId="063B4F66" w:rsidR="00CB30F9" w:rsidRPr="00C24334" w:rsidRDefault="00CB30F9" w:rsidP="00020B14">
            <w:pPr>
              <w:pStyle w:val="ListParagraph"/>
              <w:tabs>
                <w:tab w:val="left" w:pos="0"/>
              </w:tabs>
              <w:spacing w:before="120" w:after="120"/>
              <w:ind w:left="0"/>
              <w:jc w:val="both"/>
              <w:rPr>
                <w:rFonts w:ascii="Verdana" w:eastAsia="Times New Roman" w:hAnsi="Verdana"/>
                <w:color w:val="7F7F7F" w:themeColor="text1" w:themeTint="80"/>
                <w:lang w:val="en-GB"/>
              </w:rPr>
            </w:pPr>
            <w:r w:rsidRPr="00C24334">
              <w:rPr>
                <w:rFonts w:ascii="Verdana" w:eastAsia="Times New Roman" w:hAnsi="Verdana"/>
                <w:color w:val="7F7F7F" w:themeColor="text1" w:themeTint="80"/>
                <w:lang w:val="en-GB"/>
              </w:rPr>
              <w:t>We would like to refer to a note that AMICE already submitted on the criteria of Article 171a (see Annex 2).</w:t>
            </w:r>
          </w:p>
          <w:p w14:paraId="38A454E5" w14:textId="7511C4C8" w:rsidR="004C5CF2" w:rsidRPr="00C24334" w:rsidRDefault="00776014" w:rsidP="00020B14">
            <w:pPr>
              <w:pStyle w:val="ListParagraph"/>
              <w:tabs>
                <w:tab w:val="left" w:pos="0"/>
              </w:tabs>
              <w:spacing w:before="120" w:after="120"/>
              <w:ind w:left="0"/>
              <w:jc w:val="both"/>
              <w:rPr>
                <w:rFonts w:ascii="Verdana" w:eastAsia="Times New Roman" w:hAnsi="Verdana"/>
                <w:color w:val="7F7F7F" w:themeColor="text1" w:themeTint="80"/>
                <w:lang w:val="en-GB"/>
              </w:rPr>
            </w:pPr>
            <w:r w:rsidRPr="00C24334">
              <w:rPr>
                <w:rFonts w:ascii="Verdana" w:hAnsi="Verdana"/>
                <w:color w:val="7F7F7F" w:themeColor="text1" w:themeTint="80"/>
                <w:lang w:val="en-GB"/>
              </w:rPr>
              <w:t xml:space="preserve">Furthermore, </w:t>
            </w:r>
            <w:r w:rsidR="004C5CF2" w:rsidRPr="00C24334">
              <w:rPr>
                <w:rFonts w:ascii="Verdana" w:hAnsi="Verdana"/>
                <w:color w:val="7F7F7F" w:themeColor="text1" w:themeTint="80"/>
                <w:lang w:val="en-GB"/>
              </w:rPr>
              <w:t>the</w:t>
            </w:r>
            <w:r w:rsidR="004C5CF2" w:rsidRPr="00C24334">
              <w:rPr>
                <w:rFonts w:ascii="Verdana" w:eastAsia="Times New Roman" w:hAnsi="Verdana"/>
                <w:color w:val="7F7F7F" w:themeColor="text1" w:themeTint="80"/>
                <w:lang w:val="en-GB"/>
              </w:rPr>
              <w:t xml:space="preserve"> </w:t>
            </w:r>
            <w:r w:rsidR="00531C6E" w:rsidRPr="00C24334">
              <w:rPr>
                <w:rFonts w:ascii="Verdana" w:eastAsia="Times New Roman" w:hAnsi="Verdana"/>
                <w:color w:val="7F7F7F" w:themeColor="text1" w:themeTint="80"/>
                <w:lang w:val="en-GB"/>
              </w:rPr>
              <w:t>Long-Term</w:t>
            </w:r>
            <w:r w:rsidR="004C5CF2" w:rsidRPr="00C24334">
              <w:rPr>
                <w:rFonts w:ascii="Verdana" w:eastAsia="Times New Roman" w:hAnsi="Verdana"/>
                <w:color w:val="7F7F7F" w:themeColor="text1" w:themeTint="80"/>
                <w:lang w:val="en-GB"/>
              </w:rPr>
              <w:t xml:space="preserve"> Equity</w:t>
            </w:r>
            <w:r w:rsidR="00FA1B09" w:rsidRPr="00C24334">
              <w:rPr>
                <w:rFonts w:ascii="Verdana" w:eastAsia="Times New Roman" w:hAnsi="Verdana"/>
                <w:color w:val="7F7F7F" w:themeColor="text1" w:themeTint="80"/>
                <w:lang w:val="en-GB"/>
              </w:rPr>
              <w:t xml:space="preserve"> Investment (</w:t>
            </w:r>
            <w:r w:rsidR="00170767" w:rsidRPr="00C24334">
              <w:rPr>
                <w:rFonts w:ascii="Verdana" w:eastAsia="Times New Roman" w:hAnsi="Verdana"/>
                <w:color w:val="7F7F7F" w:themeColor="text1" w:themeTint="80"/>
                <w:lang w:val="en-GB"/>
              </w:rPr>
              <w:t>i.e.</w:t>
            </w:r>
            <w:r w:rsidR="00FA1B09" w:rsidRPr="00C24334">
              <w:rPr>
                <w:rFonts w:ascii="Verdana" w:eastAsia="Times New Roman" w:hAnsi="Verdana"/>
                <w:color w:val="7F7F7F" w:themeColor="text1" w:themeTint="80"/>
                <w:lang w:val="en-GB"/>
              </w:rPr>
              <w:t xml:space="preserve"> LTEI)</w:t>
            </w:r>
            <w:r w:rsidR="004C5CF2" w:rsidRPr="00C24334">
              <w:rPr>
                <w:rFonts w:ascii="Verdana" w:eastAsia="Times New Roman" w:hAnsi="Verdana"/>
                <w:color w:val="7F7F7F" w:themeColor="text1" w:themeTint="80"/>
                <w:lang w:val="en-GB"/>
              </w:rPr>
              <w:t xml:space="preserve"> and the DBER</w:t>
            </w:r>
            <w:r w:rsidRPr="00C24334">
              <w:rPr>
                <w:rFonts w:ascii="Verdana" w:eastAsia="Times New Roman" w:hAnsi="Verdana"/>
                <w:color w:val="7F7F7F" w:themeColor="text1" w:themeTint="80"/>
                <w:lang w:val="en-GB"/>
              </w:rPr>
              <w:t xml:space="preserve"> approaches</w:t>
            </w:r>
            <w:r w:rsidR="004C5CF2" w:rsidRPr="00C24334">
              <w:rPr>
                <w:rFonts w:ascii="Verdana" w:eastAsia="Times New Roman" w:hAnsi="Verdana"/>
                <w:color w:val="7F7F7F" w:themeColor="text1" w:themeTint="80"/>
                <w:lang w:val="en-GB"/>
              </w:rPr>
              <w:t xml:space="preserve"> are very different in terms of the criteria and </w:t>
            </w:r>
            <w:r w:rsidRPr="00C24334">
              <w:rPr>
                <w:rFonts w:ascii="Verdana" w:eastAsia="Times New Roman" w:hAnsi="Verdana"/>
                <w:color w:val="7F7F7F" w:themeColor="text1" w:themeTint="80"/>
                <w:lang w:val="en-GB"/>
              </w:rPr>
              <w:t>its</w:t>
            </w:r>
            <w:r w:rsidR="004C5CF2" w:rsidRPr="00C24334">
              <w:rPr>
                <w:rFonts w:ascii="Verdana" w:eastAsia="Times New Roman" w:hAnsi="Verdana"/>
                <w:color w:val="7F7F7F" w:themeColor="text1" w:themeTint="80"/>
                <w:lang w:val="en-GB"/>
              </w:rPr>
              <w:t xml:space="preserve"> application, further assessment on the benefit</w:t>
            </w:r>
            <w:r w:rsidRPr="00C24334">
              <w:rPr>
                <w:rFonts w:ascii="Verdana" w:eastAsia="Times New Roman" w:hAnsi="Verdana"/>
                <w:color w:val="7F7F7F" w:themeColor="text1" w:themeTint="80"/>
                <w:lang w:val="en-GB"/>
              </w:rPr>
              <w:t>s</w:t>
            </w:r>
            <w:r w:rsidR="004C5CF2" w:rsidRPr="00C24334">
              <w:rPr>
                <w:rFonts w:ascii="Verdana" w:eastAsia="Times New Roman" w:hAnsi="Verdana"/>
                <w:color w:val="7F7F7F" w:themeColor="text1" w:themeTint="80"/>
                <w:lang w:val="en-GB"/>
              </w:rPr>
              <w:t xml:space="preserve"> and cost</w:t>
            </w:r>
            <w:r w:rsidRPr="00C24334">
              <w:rPr>
                <w:rFonts w:ascii="Verdana" w:eastAsia="Times New Roman" w:hAnsi="Verdana"/>
                <w:color w:val="7F7F7F" w:themeColor="text1" w:themeTint="80"/>
                <w:lang w:val="en-GB"/>
              </w:rPr>
              <w:t>s</w:t>
            </w:r>
            <w:r w:rsidR="004C5CF2" w:rsidRPr="00C24334">
              <w:rPr>
                <w:rFonts w:ascii="Verdana" w:eastAsia="Times New Roman" w:hAnsi="Verdana"/>
                <w:color w:val="7F7F7F" w:themeColor="text1" w:themeTint="80"/>
                <w:lang w:val="en-GB"/>
              </w:rPr>
              <w:t xml:space="preserve"> </w:t>
            </w:r>
            <w:r w:rsidRPr="00C24334">
              <w:rPr>
                <w:rFonts w:ascii="Verdana" w:eastAsia="Times New Roman" w:hAnsi="Verdana"/>
                <w:color w:val="7F7F7F" w:themeColor="text1" w:themeTint="80"/>
                <w:lang w:val="en-GB"/>
              </w:rPr>
              <w:t>are</w:t>
            </w:r>
            <w:r w:rsidR="004C5CF2" w:rsidRPr="00C24334">
              <w:rPr>
                <w:rFonts w:ascii="Verdana" w:eastAsia="Times New Roman" w:hAnsi="Verdana"/>
                <w:color w:val="7F7F7F" w:themeColor="text1" w:themeTint="80"/>
                <w:lang w:val="en-GB"/>
              </w:rPr>
              <w:t xml:space="preserve"> needed before proposing </w:t>
            </w:r>
            <w:r w:rsidRPr="00C24334">
              <w:rPr>
                <w:rFonts w:ascii="Verdana" w:eastAsia="Times New Roman" w:hAnsi="Verdana"/>
                <w:color w:val="7F7F7F" w:themeColor="text1" w:themeTint="80"/>
                <w:lang w:val="en-GB"/>
              </w:rPr>
              <w:t xml:space="preserve">a </w:t>
            </w:r>
            <w:r w:rsidR="004C5CF2" w:rsidRPr="00C24334">
              <w:rPr>
                <w:rFonts w:ascii="Verdana" w:eastAsia="Times New Roman" w:hAnsi="Verdana"/>
                <w:color w:val="7F7F7F" w:themeColor="text1" w:themeTint="80"/>
                <w:lang w:val="en-GB"/>
              </w:rPr>
              <w:t xml:space="preserve">phase out </w:t>
            </w:r>
            <w:r w:rsidRPr="00C24334">
              <w:rPr>
                <w:rFonts w:ascii="Verdana" w:eastAsia="Times New Roman" w:hAnsi="Verdana"/>
                <w:color w:val="7F7F7F" w:themeColor="text1" w:themeTint="80"/>
                <w:lang w:val="en-GB"/>
              </w:rPr>
              <w:t xml:space="preserve">of </w:t>
            </w:r>
            <w:r w:rsidR="004C5CF2" w:rsidRPr="00C24334">
              <w:rPr>
                <w:rFonts w:ascii="Verdana" w:eastAsia="Times New Roman" w:hAnsi="Verdana"/>
                <w:color w:val="7F7F7F" w:themeColor="text1" w:themeTint="80"/>
                <w:lang w:val="en-GB"/>
              </w:rPr>
              <w:t xml:space="preserve">this measure. Indeed, EIOPA’s proposal will create more </w:t>
            </w:r>
            <w:r w:rsidR="004C5CF2" w:rsidRPr="00C24334">
              <w:rPr>
                <w:rFonts w:ascii="Verdana" w:eastAsia="Times New Roman" w:hAnsi="Verdana"/>
                <w:color w:val="7F7F7F" w:themeColor="text1" w:themeTint="80"/>
                <w:lang w:val="en-GB"/>
              </w:rPr>
              <w:lastRenderedPageBreak/>
              <w:t>complexity and unnecessary burden to undertaking</w:t>
            </w:r>
            <w:r w:rsidRPr="00C24334">
              <w:rPr>
                <w:rFonts w:ascii="Verdana" w:eastAsia="Times New Roman" w:hAnsi="Verdana"/>
                <w:color w:val="7F7F7F" w:themeColor="text1" w:themeTint="80"/>
                <w:lang w:val="en-GB"/>
              </w:rPr>
              <w:t>s</w:t>
            </w:r>
            <w:r w:rsidR="004C5CF2" w:rsidRPr="00C24334">
              <w:rPr>
                <w:rFonts w:ascii="Verdana" w:eastAsia="Times New Roman" w:hAnsi="Verdana"/>
                <w:color w:val="7F7F7F" w:themeColor="text1" w:themeTint="80"/>
                <w:lang w:val="en-GB"/>
              </w:rPr>
              <w:t xml:space="preserve"> with the approved use of the DBER</w:t>
            </w:r>
            <w:r w:rsidR="002712C5" w:rsidRPr="00C24334">
              <w:rPr>
                <w:rFonts w:ascii="Verdana" w:eastAsia="Times New Roman" w:hAnsi="Verdana"/>
                <w:color w:val="7F7F7F" w:themeColor="text1" w:themeTint="80"/>
                <w:lang w:val="en-GB"/>
              </w:rPr>
              <w:t>.</w:t>
            </w:r>
          </w:p>
          <w:p w14:paraId="0B1D7E4F" w14:textId="0A50B267" w:rsidR="003F22C9" w:rsidRPr="00F87F3A" w:rsidRDefault="001B26AB" w:rsidP="00020B14">
            <w:pPr>
              <w:tabs>
                <w:tab w:val="left" w:pos="0"/>
                <w:tab w:val="left" w:leader="dot" w:pos="8540"/>
              </w:tabs>
              <w:spacing w:after="120"/>
              <w:rPr>
                <w:rFonts w:ascii="Verdana" w:hAnsi="Verdana"/>
                <w:b/>
                <w:bCs/>
                <w:color w:val="7F7F7F" w:themeColor="text1" w:themeTint="80"/>
                <w:sz w:val="22"/>
                <w:szCs w:val="22"/>
                <w:u w:val="single"/>
                <w:lang w:val="en-GB" w:eastAsia="fr-FR"/>
              </w:rPr>
            </w:pPr>
            <w:r w:rsidRPr="00F87F3A">
              <w:rPr>
                <w:rFonts w:ascii="Verdana" w:eastAsia="Verdana" w:hAnsi="Verdana" w:cs="Verdana"/>
                <w:b/>
                <w:bCs/>
                <w:color w:val="7F7F7F" w:themeColor="text1" w:themeTint="80"/>
                <w:sz w:val="22"/>
                <w:szCs w:val="22"/>
                <w:u w:val="single"/>
                <w:lang w:val="en-US"/>
              </w:rPr>
              <w:t>3</w:t>
            </w:r>
            <w:r w:rsidRPr="00F87F3A">
              <w:rPr>
                <w:rFonts w:ascii="Verdana" w:hAnsi="Verdana"/>
                <w:b/>
                <w:bCs/>
                <w:color w:val="7F7F7F" w:themeColor="text1" w:themeTint="80"/>
                <w:sz w:val="22"/>
                <w:szCs w:val="22"/>
                <w:u w:val="single"/>
                <w:lang w:val="en-GB" w:eastAsia="fr-FR"/>
              </w:rPr>
              <w:t xml:space="preserve">. </w:t>
            </w:r>
            <w:r w:rsidR="003F22C9" w:rsidRPr="00F87F3A">
              <w:rPr>
                <w:rFonts w:ascii="Verdana" w:hAnsi="Verdana"/>
                <w:b/>
                <w:bCs/>
                <w:color w:val="7F7F7F" w:themeColor="text1" w:themeTint="80"/>
                <w:sz w:val="22"/>
                <w:szCs w:val="22"/>
                <w:u w:val="single"/>
                <w:lang w:val="en-GB" w:eastAsia="fr-FR"/>
              </w:rPr>
              <w:t>Technical provisions</w:t>
            </w:r>
          </w:p>
          <w:p w14:paraId="663BAA37" w14:textId="11F35D2E" w:rsidR="00DF78B3" w:rsidRPr="00C24334" w:rsidRDefault="007067BC" w:rsidP="00020B14">
            <w:pPr>
              <w:tabs>
                <w:tab w:val="left" w:pos="0"/>
                <w:tab w:val="left" w:leader="dot" w:pos="8540"/>
              </w:tabs>
              <w:rPr>
                <w:rFonts w:ascii="Verdana" w:hAnsi="Verdana"/>
                <w:b/>
                <w:bCs/>
                <w:color w:val="7F7F7F" w:themeColor="text1" w:themeTint="80"/>
                <w:sz w:val="22"/>
                <w:szCs w:val="22"/>
                <w:u w:val="single"/>
                <w:lang w:val="en-GB" w:eastAsia="fr-FR"/>
              </w:rPr>
            </w:pPr>
            <w:r w:rsidRPr="00C24334">
              <w:rPr>
                <w:rFonts w:ascii="Verdana" w:hAnsi="Verdana"/>
                <w:b/>
                <w:bCs/>
                <w:color w:val="7F7F7F" w:themeColor="text1" w:themeTint="80"/>
                <w:sz w:val="22"/>
                <w:szCs w:val="22"/>
                <w:u w:val="single"/>
                <w:lang w:val="en-GB" w:eastAsia="fr-FR"/>
              </w:rPr>
              <w:t xml:space="preserve">3.1 Best Estimate - </w:t>
            </w:r>
            <w:r w:rsidR="00DF78B3" w:rsidRPr="00C24334">
              <w:rPr>
                <w:rFonts w:ascii="Verdana" w:hAnsi="Verdana"/>
                <w:b/>
                <w:bCs/>
                <w:color w:val="7F7F7F" w:themeColor="text1" w:themeTint="80"/>
                <w:sz w:val="22"/>
                <w:szCs w:val="22"/>
                <w:u w:val="single"/>
                <w:lang w:val="en-GB" w:eastAsia="fr-FR"/>
              </w:rPr>
              <w:t>Contract Boundar</w:t>
            </w:r>
            <w:r w:rsidR="009D6680" w:rsidRPr="00C24334">
              <w:rPr>
                <w:rFonts w:ascii="Verdana" w:hAnsi="Verdana"/>
                <w:b/>
                <w:bCs/>
                <w:color w:val="7F7F7F" w:themeColor="text1" w:themeTint="80"/>
                <w:sz w:val="22"/>
                <w:szCs w:val="22"/>
                <w:u w:val="single"/>
                <w:lang w:val="en-GB" w:eastAsia="fr-FR"/>
              </w:rPr>
              <w:t>ies</w:t>
            </w:r>
          </w:p>
          <w:p w14:paraId="1A4CCA8B" w14:textId="6660E844" w:rsidR="00524974" w:rsidRPr="00C24334" w:rsidRDefault="009D6680" w:rsidP="00020B14">
            <w:pPr>
              <w:pStyle w:val="CommentText"/>
              <w:tabs>
                <w:tab w:val="left" w:pos="0"/>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 xml:space="preserve">Insurance products, product features and </w:t>
            </w:r>
            <w:r w:rsidR="003F4F5A" w:rsidRPr="00C24334">
              <w:rPr>
                <w:rFonts w:ascii="Verdana" w:hAnsi="Verdana"/>
                <w:color w:val="7F7F7F" w:themeColor="text1" w:themeTint="80"/>
                <w:sz w:val="22"/>
                <w:szCs w:val="22"/>
                <w:lang w:val="en-US"/>
              </w:rPr>
              <w:t>p</w:t>
            </w:r>
            <w:r w:rsidRPr="00C24334">
              <w:rPr>
                <w:rFonts w:ascii="Verdana" w:hAnsi="Verdana"/>
                <w:color w:val="7F7F7F" w:themeColor="text1" w:themeTint="80"/>
                <w:sz w:val="22"/>
                <w:szCs w:val="22"/>
                <w:lang w:val="en-US"/>
              </w:rPr>
              <w:t xml:space="preserve">olicyholder </w:t>
            </w:r>
            <w:r w:rsidR="00601673" w:rsidRPr="00C24334">
              <w:rPr>
                <w:rFonts w:ascii="Verdana" w:hAnsi="Verdana"/>
                <w:color w:val="7F7F7F" w:themeColor="text1" w:themeTint="80"/>
                <w:sz w:val="22"/>
                <w:szCs w:val="22"/>
                <w:lang w:val="en-US"/>
              </w:rPr>
              <w:t>behavior</w:t>
            </w:r>
            <w:r w:rsidRPr="00C24334">
              <w:rPr>
                <w:rFonts w:ascii="Verdana" w:hAnsi="Verdana"/>
                <w:color w:val="7F7F7F" w:themeColor="text1" w:themeTint="80"/>
                <w:sz w:val="22"/>
                <w:szCs w:val="22"/>
                <w:lang w:val="en-US"/>
              </w:rPr>
              <w:t>, market expectations</w:t>
            </w:r>
            <w:r w:rsidR="00CB30F9" w:rsidRPr="00C24334">
              <w:rPr>
                <w:rFonts w:ascii="Verdana" w:hAnsi="Verdana"/>
                <w:color w:val="7F7F7F" w:themeColor="text1" w:themeTint="80"/>
                <w:sz w:val="22"/>
                <w:szCs w:val="22"/>
                <w:lang w:val="en-US"/>
              </w:rPr>
              <w:t>, historical practice</w:t>
            </w:r>
            <w:r w:rsidRPr="00C24334">
              <w:rPr>
                <w:rFonts w:ascii="Verdana" w:hAnsi="Verdana"/>
                <w:color w:val="7F7F7F" w:themeColor="text1" w:themeTint="80"/>
                <w:sz w:val="22"/>
                <w:szCs w:val="22"/>
                <w:lang w:val="en-US"/>
              </w:rPr>
              <w:t xml:space="preserve"> and fiscal </w:t>
            </w:r>
            <w:r w:rsidR="00CB30F9" w:rsidRPr="00C24334">
              <w:rPr>
                <w:rFonts w:ascii="Verdana" w:hAnsi="Verdana"/>
                <w:color w:val="7F7F7F" w:themeColor="text1" w:themeTint="80"/>
                <w:sz w:val="22"/>
                <w:szCs w:val="22"/>
                <w:lang w:val="en-US"/>
              </w:rPr>
              <w:t xml:space="preserve">and other </w:t>
            </w:r>
            <w:r w:rsidRPr="00C24334">
              <w:rPr>
                <w:rFonts w:ascii="Verdana" w:hAnsi="Verdana"/>
                <w:color w:val="7F7F7F" w:themeColor="text1" w:themeTint="80"/>
                <w:sz w:val="22"/>
                <w:szCs w:val="22"/>
                <w:lang w:val="en-US"/>
              </w:rPr>
              <w:t xml:space="preserve">legislation across Europe are </w:t>
            </w:r>
            <w:r w:rsidR="00CB30F9" w:rsidRPr="00C24334">
              <w:rPr>
                <w:rFonts w:ascii="Verdana" w:hAnsi="Verdana"/>
                <w:color w:val="7F7F7F" w:themeColor="text1" w:themeTint="80"/>
                <w:sz w:val="22"/>
                <w:szCs w:val="22"/>
                <w:lang w:val="en-US"/>
              </w:rPr>
              <w:t>varied and induce strong</w:t>
            </w:r>
            <w:r w:rsidRPr="00C24334">
              <w:rPr>
                <w:rFonts w:ascii="Verdana" w:hAnsi="Verdana"/>
                <w:color w:val="7F7F7F" w:themeColor="text1" w:themeTint="80"/>
                <w:sz w:val="22"/>
                <w:szCs w:val="22"/>
                <w:lang w:val="en-US"/>
              </w:rPr>
              <w:t xml:space="preserve"> differences in the various </w:t>
            </w:r>
            <w:r w:rsidR="00E06F31" w:rsidRPr="00C24334">
              <w:rPr>
                <w:rFonts w:ascii="Verdana" w:hAnsi="Verdana"/>
                <w:color w:val="7F7F7F" w:themeColor="text1" w:themeTint="80"/>
                <w:sz w:val="22"/>
                <w:szCs w:val="22"/>
                <w:lang w:val="en-US"/>
              </w:rPr>
              <w:t xml:space="preserve">national </w:t>
            </w:r>
            <w:r w:rsidRPr="00C24334">
              <w:rPr>
                <w:rFonts w:ascii="Verdana" w:hAnsi="Verdana"/>
                <w:color w:val="7F7F7F" w:themeColor="text1" w:themeTint="80"/>
                <w:sz w:val="22"/>
                <w:szCs w:val="22"/>
                <w:lang w:val="en-US"/>
              </w:rPr>
              <w:t>markets</w:t>
            </w:r>
            <w:r w:rsidR="00E06F31" w:rsidRPr="00C24334">
              <w:rPr>
                <w:rFonts w:ascii="Verdana" w:hAnsi="Verdana"/>
                <w:color w:val="7F7F7F" w:themeColor="text1" w:themeTint="80"/>
                <w:sz w:val="22"/>
                <w:szCs w:val="22"/>
                <w:lang w:val="en-US"/>
              </w:rPr>
              <w:t xml:space="preserve"> and practices</w:t>
            </w:r>
            <w:r w:rsidRPr="00C24334">
              <w:rPr>
                <w:rFonts w:ascii="Verdana" w:hAnsi="Verdana"/>
                <w:color w:val="7F7F7F" w:themeColor="text1" w:themeTint="80"/>
                <w:sz w:val="22"/>
                <w:szCs w:val="22"/>
                <w:lang w:val="en-US"/>
              </w:rPr>
              <w:t>.</w:t>
            </w:r>
            <w:r w:rsidR="007067BC" w:rsidRPr="00C24334">
              <w:rPr>
                <w:rFonts w:ascii="Verdana" w:hAnsi="Verdana"/>
                <w:color w:val="7F7F7F" w:themeColor="text1" w:themeTint="80"/>
                <w:sz w:val="22"/>
                <w:szCs w:val="22"/>
                <w:lang w:val="en-US"/>
              </w:rPr>
              <w:t xml:space="preserve"> </w:t>
            </w:r>
            <w:r w:rsidR="00601673" w:rsidRPr="00C24334">
              <w:rPr>
                <w:rFonts w:ascii="Verdana" w:hAnsi="Verdana"/>
                <w:color w:val="7F7F7F" w:themeColor="text1" w:themeTint="80"/>
                <w:sz w:val="22"/>
                <w:szCs w:val="22"/>
                <w:lang w:val="en-US"/>
              </w:rPr>
              <w:t>Therefore,</w:t>
            </w:r>
            <w:r w:rsidRPr="00C24334">
              <w:rPr>
                <w:rFonts w:ascii="Verdana" w:hAnsi="Verdana"/>
                <w:color w:val="7F7F7F" w:themeColor="text1" w:themeTint="80"/>
                <w:sz w:val="22"/>
                <w:szCs w:val="22"/>
                <w:lang w:val="en-US"/>
              </w:rPr>
              <w:t xml:space="preserve"> the concept of the contract boundary and other features of the best estimate should be principle based and not rules based.</w:t>
            </w:r>
            <w:r w:rsidR="007067BC" w:rsidRPr="00C24334">
              <w:rPr>
                <w:rFonts w:ascii="Verdana" w:hAnsi="Verdana"/>
                <w:color w:val="7F7F7F" w:themeColor="text1" w:themeTint="80"/>
                <w:sz w:val="22"/>
                <w:szCs w:val="22"/>
                <w:lang w:val="en-US"/>
              </w:rPr>
              <w:t xml:space="preserve"> </w:t>
            </w:r>
          </w:p>
          <w:p w14:paraId="0EFFB7BE" w14:textId="77777777" w:rsidR="00524974" w:rsidRPr="00C24334" w:rsidRDefault="00524974" w:rsidP="00020B14">
            <w:pPr>
              <w:pStyle w:val="CommentText"/>
              <w:tabs>
                <w:tab w:val="left" w:pos="0"/>
              </w:tabs>
              <w:rPr>
                <w:rFonts w:ascii="Verdana" w:hAnsi="Verdana"/>
                <w:color w:val="7F7F7F" w:themeColor="text1" w:themeTint="80"/>
                <w:sz w:val="22"/>
                <w:szCs w:val="22"/>
                <w:lang w:val="en-US"/>
              </w:rPr>
            </w:pPr>
          </w:p>
          <w:p w14:paraId="1305393C" w14:textId="6CE58AF4" w:rsidR="009D6680" w:rsidRPr="00C24334" w:rsidRDefault="009D6680" w:rsidP="00020B14">
            <w:pPr>
              <w:pStyle w:val="CommentText"/>
              <w:tabs>
                <w:tab w:val="left" w:pos="0"/>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 xml:space="preserve">Additional guidelines are really only needed if there is a recognised issue existing in the majority of the Member States and which, if not resolved, would seriously endanger the level playing field and movement of </w:t>
            </w:r>
            <w:r w:rsidR="00601673" w:rsidRPr="00C24334">
              <w:rPr>
                <w:rFonts w:ascii="Verdana" w:hAnsi="Verdana"/>
                <w:color w:val="7F7F7F" w:themeColor="text1" w:themeTint="80"/>
                <w:sz w:val="22"/>
                <w:szCs w:val="22"/>
                <w:lang w:val="en-US"/>
              </w:rPr>
              <w:t>goods, products</w:t>
            </w:r>
            <w:r w:rsidRPr="00C24334">
              <w:rPr>
                <w:rFonts w:ascii="Verdana" w:hAnsi="Verdana"/>
                <w:color w:val="7F7F7F" w:themeColor="text1" w:themeTint="80"/>
                <w:sz w:val="22"/>
                <w:szCs w:val="22"/>
                <w:lang w:val="en-US"/>
              </w:rPr>
              <w:t>, capital and persons across the European Union.</w:t>
            </w:r>
          </w:p>
          <w:p w14:paraId="3D10A07C" w14:textId="41E999FA" w:rsidR="003A1C5E" w:rsidRPr="00C24334" w:rsidRDefault="003A1C5E" w:rsidP="00020B14">
            <w:pPr>
              <w:pStyle w:val="CommentText"/>
              <w:tabs>
                <w:tab w:val="left" w:pos="0"/>
              </w:tabs>
              <w:rPr>
                <w:rFonts w:ascii="Verdana" w:hAnsi="Verdana"/>
                <w:color w:val="7F7F7F" w:themeColor="text1" w:themeTint="80"/>
                <w:sz w:val="22"/>
                <w:szCs w:val="22"/>
                <w:lang w:val="en-US"/>
              </w:rPr>
            </w:pPr>
          </w:p>
          <w:p w14:paraId="5431DC47" w14:textId="7825E82B" w:rsidR="00241BEA" w:rsidRPr="00C24334" w:rsidRDefault="00241BEA" w:rsidP="00020B14">
            <w:pPr>
              <w:pStyle w:val="CommentText"/>
              <w:tabs>
                <w:tab w:val="left" w:pos="0"/>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The current approach for the calculation of the EPIFPs should be unchanged notably because it goes against the economics of the contract</w:t>
            </w:r>
            <w:r w:rsidR="00E06F31" w:rsidRPr="00C24334">
              <w:rPr>
                <w:rFonts w:ascii="Verdana" w:hAnsi="Verdana"/>
                <w:color w:val="7F7F7F" w:themeColor="text1" w:themeTint="80"/>
                <w:sz w:val="22"/>
                <w:szCs w:val="22"/>
                <w:lang w:val="en-US"/>
              </w:rPr>
              <w:t xml:space="preserve"> and the global concept of economic valuation</w:t>
            </w:r>
            <w:r w:rsidRPr="00C24334">
              <w:rPr>
                <w:rFonts w:ascii="Verdana" w:hAnsi="Verdana"/>
                <w:color w:val="7F7F7F" w:themeColor="text1" w:themeTint="80"/>
                <w:sz w:val="22"/>
                <w:szCs w:val="22"/>
                <w:lang w:val="en-US"/>
              </w:rPr>
              <w:t xml:space="preserve">. We oppose any </w:t>
            </w:r>
            <w:r w:rsidR="00E13093" w:rsidRPr="00C24334">
              <w:rPr>
                <w:rFonts w:ascii="Verdana" w:hAnsi="Verdana"/>
                <w:color w:val="7F7F7F" w:themeColor="text1" w:themeTint="80"/>
                <w:sz w:val="22"/>
                <w:szCs w:val="22"/>
                <w:lang w:val="en-US"/>
              </w:rPr>
              <w:t xml:space="preserve">change to take into </w:t>
            </w:r>
            <w:r w:rsidRPr="00C24334">
              <w:rPr>
                <w:rFonts w:ascii="Verdana" w:hAnsi="Verdana"/>
                <w:color w:val="7F7F7F" w:themeColor="text1" w:themeTint="80"/>
                <w:sz w:val="22"/>
                <w:szCs w:val="22"/>
                <w:lang w:val="en-US"/>
              </w:rPr>
              <w:t>account profitability considerations</w:t>
            </w:r>
            <w:r w:rsidR="00E13093" w:rsidRPr="00C24334">
              <w:rPr>
                <w:rFonts w:ascii="Verdana" w:hAnsi="Verdana"/>
                <w:color w:val="7F7F7F" w:themeColor="text1" w:themeTint="80"/>
                <w:sz w:val="22"/>
                <w:szCs w:val="22"/>
                <w:lang w:val="en-US"/>
              </w:rPr>
              <w:t>.</w:t>
            </w:r>
          </w:p>
          <w:p w14:paraId="1CC3DC33" w14:textId="77777777" w:rsidR="003F22C9" w:rsidRPr="00C24334" w:rsidRDefault="003F22C9" w:rsidP="00020B14">
            <w:pPr>
              <w:tabs>
                <w:tab w:val="left" w:pos="0"/>
              </w:tabs>
              <w:rPr>
                <w:rFonts w:ascii="Verdana" w:hAnsi="Verdana"/>
                <w:color w:val="7F7F7F" w:themeColor="text1" w:themeTint="80"/>
                <w:sz w:val="22"/>
                <w:szCs w:val="22"/>
                <w:u w:val="single"/>
                <w:lang w:val="en-US" w:eastAsia="fr-FR"/>
              </w:rPr>
            </w:pPr>
          </w:p>
          <w:p w14:paraId="690A7EB9" w14:textId="6148B327" w:rsidR="00180E87" w:rsidRPr="00C24334" w:rsidRDefault="003F22C9" w:rsidP="00020B14">
            <w:pPr>
              <w:tabs>
                <w:tab w:val="left" w:pos="0"/>
              </w:tabs>
              <w:rPr>
                <w:rFonts w:ascii="Verdana" w:hAnsi="Verdana"/>
                <w:b/>
                <w:bCs/>
                <w:color w:val="7F7F7F" w:themeColor="text1" w:themeTint="80"/>
                <w:sz w:val="22"/>
                <w:szCs w:val="22"/>
                <w:u w:val="single"/>
                <w:lang w:val="en-GB" w:eastAsia="fr-FR"/>
              </w:rPr>
            </w:pPr>
            <w:r w:rsidRPr="00C24334">
              <w:rPr>
                <w:rFonts w:ascii="Verdana" w:hAnsi="Verdana"/>
                <w:b/>
                <w:bCs/>
                <w:color w:val="7F7F7F" w:themeColor="text1" w:themeTint="80"/>
                <w:sz w:val="22"/>
                <w:szCs w:val="22"/>
                <w:u w:val="single"/>
                <w:lang w:val="en-GB" w:eastAsia="fr-FR"/>
              </w:rPr>
              <w:t>3.2 Risk margi</w:t>
            </w:r>
            <w:r w:rsidR="00E06F31" w:rsidRPr="00C24334">
              <w:rPr>
                <w:rFonts w:ascii="Verdana" w:hAnsi="Verdana"/>
                <w:b/>
                <w:bCs/>
                <w:color w:val="7F7F7F" w:themeColor="text1" w:themeTint="80"/>
                <w:sz w:val="22"/>
                <w:szCs w:val="22"/>
                <w:u w:val="single"/>
                <w:lang w:val="en-GB" w:eastAsia="fr-FR"/>
              </w:rPr>
              <w:t>n</w:t>
            </w:r>
          </w:p>
          <w:p w14:paraId="4CF9C427" w14:textId="18C46F09" w:rsidR="00EA6E5B" w:rsidRDefault="000A24C5" w:rsidP="00020B14">
            <w:pPr>
              <w:tabs>
                <w:tab w:val="left" w:pos="0"/>
              </w:tabs>
              <w:spacing w:after="120"/>
              <w:rPr>
                <w:rFonts w:ascii="Verdana" w:hAnsi="Verdana"/>
                <w:color w:val="7F7F7F" w:themeColor="text1" w:themeTint="80"/>
                <w:sz w:val="22"/>
                <w:szCs w:val="22"/>
                <w:lang w:val="en-GB" w:eastAsia="fr-FR"/>
              </w:rPr>
            </w:pPr>
            <w:r w:rsidRPr="00C24334">
              <w:rPr>
                <w:rFonts w:ascii="Verdana" w:hAnsi="Verdana"/>
                <w:color w:val="7F7F7F" w:themeColor="text1" w:themeTint="80"/>
                <w:sz w:val="22"/>
                <w:szCs w:val="22"/>
                <w:lang w:val="en-GB" w:eastAsia="fr-FR"/>
              </w:rPr>
              <w:t xml:space="preserve">We disagree with EIOPA’s current proposal </w:t>
            </w:r>
            <w:r w:rsidR="00EA6E5B">
              <w:rPr>
                <w:rFonts w:ascii="Verdana" w:hAnsi="Verdana"/>
                <w:color w:val="7F7F7F" w:themeColor="text1" w:themeTint="80"/>
                <w:sz w:val="22"/>
                <w:szCs w:val="22"/>
                <w:lang w:val="en-GB" w:eastAsia="fr-FR"/>
              </w:rPr>
              <w:t>not to make changes to the risk margin</w:t>
            </w:r>
            <w:r w:rsidR="00805C2B">
              <w:rPr>
                <w:rFonts w:ascii="Verdana" w:hAnsi="Verdana"/>
                <w:color w:val="7F7F7F" w:themeColor="text1" w:themeTint="80"/>
                <w:sz w:val="22"/>
                <w:szCs w:val="22"/>
                <w:lang w:val="en-GB" w:eastAsia="fr-FR"/>
              </w:rPr>
              <w:t xml:space="preserve"> calculation</w:t>
            </w:r>
            <w:r w:rsidR="00EA6E5B">
              <w:rPr>
                <w:rFonts w:ascii="Verdana" w:hAnsi="Verdana"/>
                <w:color w:val="7F7F7F" w:themeColor="text1" w:themeTint="80"/>
                <w:sz w:val="22"/>
                <w:szCs w:val="22"/>
                <w:lang w:val="en-GB" w:eastAsia="fr-FR"/>
              </w:rPr>
              <w:t xml:space="preserve">. </w:t>
            </w:r>
            <w:r w:rsidR="00EA6E5B" w:rsidRPr="00EA6E5B">
              <w:rPr>
                <w:rFonts w:ascii="Verdana" w:hAnsi="Verdana"/>
                <w:color w:val="7F7F7F" w:themeColor="text1" w:themeTint="80"/>
                <w:sz w:val="22"/>
                <w:szCs w:val="22"/>
                <w:lang w:val="en-GB" w:eastAsia="fr-FR"/>
              </w:rPr>
              <w:t xml:space="preserve">The key proposals from the industry for amendments to the risk margin are </w:t>
            </w:r>
            <w:r w:rsidR="00EA6E5B">
              <w:rPr>
                <w:rFonts w:ascii="Verdana" w:hAnsi="Verdana"/>
                <w:color w:val="7F7F7F" w:themeColor="text1" w:themeTint="80"/>
                <w:sz w:val="22"/>
                <w:szCs w:val="22"/>
                <w:lang w:val="en-GB" w:eastAsia="fr-FR"/>
              </w:rPr>
              <w:t xml:space="preserve">the </w:t>
            </w:r>
            <w:r w:rsidR="00EA6E5B" w:rsidRPr="00EA6E5B">
              <w:rPr>
                <w:rFonts w:ascii="Verdana" w:hAnsi="Verdana"/>
                <w:color w:val="7F7F7F" w:themeColor="text1" w:themeTint="80"/>
                <w:sz w:val="22"/>
                <w:szCs w:val="22"/>
                <w:lang w:val="en-GB" w:eastAsia="fr-FR"/>
              </w:rPr>
              <w:t>reduc</w:t>
            </w:r>
            <w:r w:rsidR="00EA6E5B">
              <w:rPr>
                <w:rFonts w:ascii="Verdana" w:hAnsi="Verdana"/>
                <w:color w:val="7F7F7F" w:themeColor="text1" w:themeTint="80"/>
                <w:sz w:val="22"/>
                <w:szCs w:val="22"/>
                <w:lang w:val="en-GB" w:eastAsia="fr-FR"/>
              </w:rPr>
              <w:t>tion in</w:t>
            </w:r>
            <w:r w:rsidR="00EA6E5B" w:rsidRPr="00EA6E5B">
              <w:rPr>
                <w:rFonts w:ascii="Verdana" w:hAnsi="Verdana"/>
                <w:color w:val="7F7F7F" w:themeColor="text1" w:themeTint="80"/>
                <w:sz w:val="22"/>
                <w:szCs w:val="22"/>
                <w:lang w:val="en-GB" w:eastAsia="fr-FR"/>
              </w:rPr>
              <w:t xml:space="preserve"> the cost-of-capital from 6%, and allowing it to vary with interest rates</w:t>
            </w:r>
            <w:r w:rsidR="00EA6E5B">
              <w:rPr>
                <w:rFonts w:ascii="Verdana" w:hAnsi="Verdana"/>
                <w:color w:val="7F7F7F" w:themeColor="text1" w:themeTint="80"/>
                <w:sz w:val="22"/>
                <w:szCs w:val="22"/>
                <w:lang w:val="en-GB" w:eastAsia="fr-FR"/>
              </w:rPr>
              <w:t>,</w:t>
            </w:r>
            <w:r w:rsidR="00EA6E5B" w:rsidRPr="00EA6E5B">
              <w:rPr>
                <w:rFonts w:ascii="Verdana" w:hAnsi="Verdana"/>
                <w:color w:val="7F7F7F" w:themeColor="text1" w:themeTint="80"/>
                <w:sz w:val="22"/>
                <w:szCs w:val="22"/>
                <w:lang w:val="en-GB" w:eastAsia="fr-FR"/>
              </w:rPr>
              <w:t xml:space="preserve"> and</w:t>
            </w:r>
            <w:r w:rsidR="00EA6E5B">
              <w:rPr>
                <w:rFonts w:ascii="Verdana" w:hAnsi="Verdana"/>
                <w:color w:val="7F7F7F" w:themeColor="text1" w:themeTint="80"/>
                <w:sz w:val="22"/>
                <w:szCs w:val="22"/>
                <w:lang w:val="en-GB" w:eastAsia="fr-FR"/>
              </w:rPr>
              <w:t xml:space="preserve"> the a</w:t>
            </w:r>
            <w:r w:rsidR="00EA6E5B" w:rsidRPr="00EA6E5B">
              <w:rPr>
                <w:rFonts w:ascii="Verdana" w:hAnsi="Verdana"/>
                <w:color w:val="7F7F7F" w:themeColor="text1" w:themeTint="80"/>
                <w:sz w:val="22"/>
                <w:szCs w:val="22"/>
                <w:lang w:val="en-GB" w:eastAsia="fr-FR"/>
              </w:rPr>
              <w:t>llow</w:t>
            </w:r>
            <w:r w:rsidR="00EA6E5B">
              <w:rPr>
                <w:rFonts w:ascii="Verdana" w:hAnsi="Verdana"/>
                <w:color w:val="7F7F7F" w:themeColor="text1" w:themeTint="80"/>
                <w:sz w:val="22"/>
                <w:szCs w:val="22"/>
                <w:lang w:val="en-GB" w:eastAsia="fr-FR"/>
              </w:rPr>
              <w:t>ance</w:t>
            </w:r>
            <w:r w:rsidR="00EA6E5B" w:rsidRPr="00EA6E5B">
              <w:rPr>
                <w:rFonts w:ascii="Verdana" w:hAnsi="Verdana"/>
                <w:color w:val="7F7F7F" w:themeColor="text1" w:themeTint="80"/>
                <w:sz w:val="22"/>
                <w:szCs w:val="22"/>
                <w:lang w:val="en-GB" w:eastAsia="fr-FR"/>
              </w:rPr>
              <w:t xml:space="preserve"> for the non-independence of risks over a lifetime, e.g. by applying an adjustment to projected SCRs</w:t>
            </w:r>
            <w:r w:rsidR="00EA6E5B">
              <w:rPr>
                <w:rFonts w:ascii="Verdana" w:hAnsi="Verdana"/>
                <w:color w:val="7F7F7F" w:themeColor="text1" w:themeTint="80"/>
                <w:sz w:val="22"/>
                <w:szCs w:val="22"/>
                <w:lang w:val="en-GB" w:eastAsia="fr-FR"/>
              </w:rPr>
              <w:t xml:space="preserve">, the </w:t>
            </w:r>
            <w:r w:rsidR="00EA6E5B" w:rsidRPr="00EA6E5B">
              <w:rPr>
                <w:rFonts w:ascii="Verdana" w:hAnsi="Verdana"/>
                <w:color w:val="7F7F7F" w:themeColor="text1" w:themeTint="80"/>
                <w:sz w:val="22"/>
                <w:szCs w:val="22"/>
                <w:lang w:val="en-GB" w:eastAsia="fr-FR"/>
              </w:rPr>
              <w:t>allow</w:t>
            </w:r>
            <w:r w:rsidR="00EA6E5B">
              <w:rPr>
                <w:rFonts w:ascii="Verdana" w:hAnsi="Verdana"/>
                <w:color w:val="7F7F7F" w:themeColor="text1" w:themeTint="80"/>
                <w:sz w:val="22"/>
                <w:szCs w:val="22"/>
                <w:lang w:val="en-GB" w:eastAsia="fr-FR"/>
              </w:rPr>
              <w:t>ance</w:t>
            </w:r>
            <w:r w:rsidR="00EA6E5B" w:rsidRPr="00EA6E5B">
              <w:rPr>
                <w:rFonts w:ascii="Verdana" w:hAnsi="Verdana"/>
                <w:color w:val="7F7F7F" w:themeColor="text1" w:themeTint="80"/>
                <w:sz w:val="22"/>
                <w:szCs w:val="22"/>
                <w:lang w:val="en-GB" w:eastAsia="fr-FR"/>
              </w:rPr>
              <w:t xml:space="preserve"> for the MA or VA when </w:t>
            </w:r>
            <w:r w:rsidR="00EA6E5B" w:rsidRPr="00EA6E5B">
              <w:rPr>
                <w:rFonts w:ascii="Verdana" w:hAnsi="Verdana"/>
                <w:color w:val="7F7F7F" w:themeColor="text1" w:themeTint="80"/>
                <w:sz w:val="22"/>
                <w:szCs w:val="22"/>
                <w:lang w:val="en-GB" w:eastAsia="fr-FR"/>
              </w:rPr>
              <w:lastRenderedPageBreak/>
              <w:t>projecting future SCRs;</w:t>
            </w:r>
            <w:r w:rsidR="00EA6E5B">
              <w:rPr>
                <w:rFonts w:ascii="Verdana" w:hAnsi="Verdana"/>
                <w:color w:val="7F7F7F" w:themeColor="text1" w:themeTint="80"/>
                <w:sz w:val="22"/>
                <w:szCs w:val="22"/>
                <w:lang w:val="en-GB" w:eastAsia="fr-FR"/>
              </w:rPr>
              <w:t xml:space="preserve"> the a</w:t>
            </w:r>
            <w:r w:rsidR="00EA6E5B" w:rsidRPr="00EA6E5B">
              <w:rPr>
                <w:rFonts w:ascii="Verdana" w:hAnsi="Verdana"/>
                <w:color w:val="7F7F7F" w:themeColor="text1" w:themeTint="80"/>
                <w:sz w:val="22"/>
                <w:szCs w:val="22"/>
                <w:lang w:val="en-GB" w:eastAsia="fr-FR"/>
              </w:rPr>
              <w:t>llow</w:t>
            </w:r>
            <w:r w:rsidR="00EA6E5B">
              <w:rPr>
                <w:rFonts w:ascii="Verdana" w:hAnsi="Verdana"/>
                <w:color w:val="7F7F7F" w:themeColor="text1" w:themeTint="80"/>
                <w:sz w:val="22"/>
                <w:szCs w:val="22"/>
                <w:lang w:val="en-GB" w:eastAsia="fr-FR"/>
              </w:rPr>
              <w:t>ance</w:t>
            </w:r>
            <w:r w:rsidR="00EA6E5B" w:rsidRPr="00EA6E5B">
              <w:rPr>
                <w:rFonts w:ascii="Verdana" w:hAnsi="Verdana"/>
                <w:color w:val="7F7F7F" w:themeColor="text1" w:themeTint="80"/>
                <w:sz w:val="22"/>
                <w:szCs w:val="22"/>
                <w:lang w:val="en-GB" w:eastAsia="fr-FR"/>
              </w:rPr>
              <w:t xml:space="preserve"> for diversification between life and non-life business within the same entity and between different entities in the same </w:t>
            </w:r>
            <w:r w:rsidR="00EA6E5B">
              <w:rPr>
                <w:rFonts w:ascii="Verdana" w:hAnsi="Verdana"/>
                <w:color w:val="7F7F7F" w:themeColor="text1" w:themeTint="80"/>
                <w:sz w:val="22"/>
                <w:szCs w:val="22"/>
                <w:lang w:val="en-GB" w:eastAsia="fr-FR"/>
              </w:rPr>
              <w:t>g</w:t>
            </w:r>
            <w:r w:rsidR="00EA6E5B" w:rsidRPr="00EA6E5B">
              <w:rPr>
                <w:rFonts w:ascii="Verdana" w:hAnsi="Verdana"/>
                <w:color w:val="7F7F7F" w:themeColor="text1" w:themeTint="80"/>
                <w:sz w:val="22"/>
                <w:szCs w:val="22"/>
                <w:lang w:val="en-GB" w:eastAsia="fr-FR"/>
              </w:rPr>
              <w:t>roup</w:t>
            </w:r>
          </w:p>
          <w:p w14:paraId="0BCF6C43" w14:textId="4875712E" w:rsidR="007067BC" w:rsidRPr="00C24334" w:rsidRDefault="007067BC" w:rsidP="00020B14">
            <w:pPr>
              <w:tabs>
                <w:tab w:val="left" w:pos="0"/>
              </w:tabs>
              <w:spacing w:after="120"/>
              <w:rPr>
                <w:rFonts w:ascii="Verdana" w:hAnsi="Verdana"/>
                <w:bCs/>
                <w:color w:val="7F7F7F" w:themeColor="text1" w:themeTint="80"/>
                <w:sz w:val="22"/>
                <w:szCs w:val="22"/>
                <w:lang w:val="en-GB" w:eastAsia="fr-FR"/>
              </w:rPr>
            </w:pPr>
            <w:r w:rsidRPr="00C24334">
              <w:rPr>
                <w:rFonts w:ascii="Verdana" w:hAnsi="Verdana"/>
                <w:bCs/>
                <w:color w:val="7F7F7F" w:themeColor="text1" w:themeTint="80"/>
                <w:sz w:val="22"/>
                <w:szCs w:val="22"/>
                <w:lang w:val="en-GB" w:eastAsia="fr-FR"/>
              </w:rPr>
              <w:t xml:space="preserve">The current design of the Risk Margin is interest rate risk sensitive. In our opinion the CoC-factor should be a function of the </w:t>
            </w:r>
            <w:r w:rsidR="00601673" w:rsidRPr="00C24334">
              <w:rPr>
                <w:rFonts w:ascii="Verdana" w:hAnsi="Verdana"/>
                <w:bCs/>
                <w:color w:val="7F7F7F" w:themeColor="text1" w:themeTint="80"/>
                <w:sz w:val="22"/>
                <w:szCs w:val="22"/>
                <w:lang w:val="en-GB" w:eastAsia="fr-FR"/>
              </w:rPr>
              <w:t>risk-free</w:t>
            </w:r>
            <w:r w:rsidRPr="00C24334">
              <w:rPr>
                <w:rFonts w:ascii="Verdana" w:hAnsi="Verdana"/>
                <w:bCs/>
                <w:color w:val="7F7F7F" w:themeColor="text1" w:themeTint="80"/>
                <w:sz w:val="22"/>
                <w:szCs w:val="22"/>
                <w:lang w:val="en-GB" w:eastAsia="fr-FR"/>
              </w:rPr>
              <w:t xml:space="preserve"> interest rate in such a manner that a more anti-cyclical outcome is obtained.</w:t>
            </w:r>
          </w:p>
          <w:p w14:paraId="05D28655" w14:textId="47CE9B27" w:rsidR="00184F10" w:rsidRPr="00C24334" w:rsidRDefault="00184F10" w:rsidP="00020B14">
            <w:pPr>
              <w:tabs>
                <w:tab w:val="left" w:pos="0"/>
              </w:tabs>
              <w:spacing w:after="120"/>
              <w:rPr>
                <w:rFonts w:ascii="Verdana" w:hAnsi="Verdana"/>
                <w:b/>
                <w:bCs/>
                <w:color w:val="7F7F7F" w:themeColor="text1" w:themeTint="80"/>
                <w:sz w:val="22"/>
                <w:szCs w:val="22"/>
                <w:u w:val="single"/>
                <w:lang w:val="en-GB" w:eastAsia="fr-FR"/>
              </w:rPr>
            </w:pPr>
            <w:r w:rsidRPr="00C24334">
              <w:rPr>
                <w:rFonts w:ascii="Verdana" w:hAnsi="Verdana"/>
                <w:b/>
                <w:bCs/>
                <w:color w:val="7F7F7F" w:themeColor="text1" w:themeTint="80"/>
                <w:sz w:val="22"/>
                <w:szCs w:val="22"/>
                <w:u w:val="single"/>
                <w:lang w:val="en-GB" w:eastAsia="fr-FR"/>
              </w:rPr>
              <w:t>4. Own Funds</w:t>
            </w:r>
          </w:p>
          <w:p w14:paraId="4D90804D" w14:textId="2AF75365" w:rsidR="003F4F5A" w:rsidRPr="00C24334" w:rsidRDefault="003F4F5A" w:rsidP="00020B14">
            <w:pPr>
              <w:pStyle w:val="CommentText"/>
              <w:tabs>
                <w:tab w:val="left" w:pos="0"/>
              </w:tabs>
              <w:rPr>
                <w:rFonts w:ascii="Helvetica" w:hAnsi="Helvetica" w:cs="Helvetica"/>
                <w:color w:val="7F7F7F" w:themeColor="text1" w:themeTint="80"/>
                <w:sz w:val="22"/>
                <w:szCs w:val="22"/>
                <w:lang w:val="en-US"/>
              </w:rPr>
            </w:pPr>
            <w:r w:rsidRPr="00C24334">
              <w:rPr>
                <w:rFonts w:ascii="Verdana" w:hAnsi="Verdana" w:cs="Helvetica"/>
                <w:color w:val="7F7F7F" w:themeColor="text1" w:themeTint="80"/>
                <w:sz w:val="22"/>
                <w:szCs w:val="22"/>
                <w:lang w:val="en-US"/>
              </w:rPr>
              <w:t xml:space="preserve">We agree with the proposal of EIOPA to maintain the current tiering structure. However, we question whether the net deferred tax assets should be </w:t>
            </w:r>
            <w:r w:rsidR="00992664" w:rsidRPr="00C24334">
              <w:rPr>
                <w:rFonts w:ascii="Verdana" w:hAnsi="Verdana" w:cs="Helvetica"/>
                <w:color w:val="7F7F7F" w:themeColor="text1" w:themeTint="80"/>
                <w:sz w:val="22"/>
                <w:szCs w:val="22"/>
                <w:lang w:val="en-US"/>
              </w:rPr>
              <w:t>considered</w:t>
            </w:r>
            <w:r w:rsidRPr="00C24334">
              <w:rPr>
                <w:rFonts w:ascii="Verdana" w:hAnsi="Verdana" w:cs="Helvetica"/>
                <w:color w:val="7F7F7F" w:themeColor="text1" w:themeTint="80"/>
                <w:sz w:val="22"/>
                <w:szCs w:val="22"/>
                <w:lang w:val="en-US"/>
              </w:rPr>
              <w:t xml:space="preserve"> Tier 3 </w:t>
            </w:r>
            <w:r w:rsidR="00992664" w:rsidRPr="00C24334">
              <w:rPr>
                <w:rFonts w:ascii="Verdana" w:hAnsi="Verdana" w:cs="Helvetica"/>
                <w:color w:val="7F7F7F" w:themeColor="text1" w:themeTint="80"/>
                <w:sz w:val="22"/>
                <w:szCs w:val="22"/>
                <w:lang w:val="en-US"/>
              </w:rPr>
              <w:t xml:space="preserve">as </w:t>
            </w:r>
            <w:r w:rsidRPr="00C24334">
              <w:rPr>
                <w:rFonts w:ascii="Verdana" w:hAnsi="Verdana" w:cs="Helvetica"/>
                <w:color w:val="7F7F7F" w:themeColor="text1" w:themeTint="80"/>
                <w:sz w:val="22"/>
                <w:szCs w:val="22"/>
                <w:lang w:val="en-US"/>
              </w:rPr>
              <w:t>the economic balance sheet and the SCR are calculated on a going concern basis. Tax effects resulting of temporary valuation differences which recycle should be treated as part of Tier 1 and not Tier 3 capital. This would reduce the procyclicality of the Solvency II framework</w:t>
            </w:r>
            <w:r w:rsidRPr="00C24334">
              <w:rPr>
                <w:rFonts w:ascii="Helvetica" w:hAnsi="Helvetica" w:cs="Helvetica"/>
                <w:color w:val="7F7F7F" w:themeColor="text1" w:themeTint="80"/>
                <w:sz w:val="22"/>
                <w:szCs w:val="22"/>
                <w:lang w:val="en-US"/>
              </w:rPr>
              <w:t>.</w:t>
            </w:r>
          </w:p>
          <w:p w14:paraId="35482A8A" w14:textId="69071DA1" w:rsidR="003C62B3" w:rsidRPr="00C24334" w:rsidRDefault="003C62B3" w:rsidP="00020B14">
            <w:pPr>
              <w:pStyle w:val="CommentText"/>
              <w:tabs>
                <w:tab w:val="left" w:pos="0"/>
              </w:tabs>
              <w:rPr>
                <w:rFonts w:ascii="Helvetica" w:hAnsi="Helvetica" w:cs="Helvetica"/>
                <w:color w:val="7F7F7F" w:themeColor="text1" w:themeTint="80"/>
                <w:sz w:val="22"/>
                <w:szCs w:val="22"/>
                <w:lang w:val="en-US"/>
              </w:rPr>
            </w:pPr>
          </w:p>
          <w:p w14:paraId="5108917D" w14:textId="11184C93" w:rsidR="003C62B3" w:rsidRPr="00185035" w:rsidRDefault="003C62B3" w:rsidP="00020B14">
            <w:pPr>
              <w:pStyle w:val="CommentText"/>
              <w:tabs>
                <w:tab w:val="left" w:pos="0"/>
              </w:tabs>
              <w:rPr>
                <w:rFonts w:ascii="Verdana" w:hAnsi="Verdana" w:cs="Helvetica"/>
                <w:b/>
                <w:bCs/>
                <w:color w:val="7F7F7F" w:themeColor="text1" w:themeTint="80"/>
                <w:sz w:val="22"/>
                <w:szCs w:val="22"/>
                <w:u w:val="single"/>
                <w:lang w:val="en-US"/>
              </w:rPr>
            </w:pPr>
            <w:r w:rsidRPr="00185035">
              <w:rPr>
                <w:rFonts w:ascii="Verdana" w:hAnsi="Verdana" w:cs="Helvetica"/>
                <w:b/>
                <w:bCs/>
                <w:color w:val="7F7F7F" w:themeColor="text1" w:themeTint="80"/>
                <w:sz w:val="22"/>
                <w:szCs w:val="22"/>
                <w:u w:val="single"/>
                <w:lang w:val="en-US"/>
              </w:rPr>
              <w:t>5.1 Interest rate risk</w:t>
            </w:r>
          </w:p>
          <w:p w14:paraId="2C4593BF" w14:textId="3E9611D6" w:rsidR="00383BD7" w:rsidRDefault="00667D66" w:rsidP="00020B14">
            <w:pPr>
              <w:tabs>
                <w:tab w:val="left" w:pos="0"/>
              </w:tabs>
              <w:rPr>
                <w:rFonts w:ascii="Verdana" w:hAnsi="Verdana"/>
                <w:color w:val="7F7F7F" w:themeColor="text1" w:themeTint="80"/>
                <w:sz w:val="22"/>
                <w:szCs w:val="22"/>
                <w:lang w:val="en-US"/>
              </w:rPr>
            </w:pPr>
            <w:bookmarkStart w:id="4" w:name="_Hlk29901027"/>
            <w:r w:rsidRPr="00C24334">
              <w:rPr>
                <w:rFonts w:ascii="Verdana" w:hAnsi="Verdana"/>
                <w:color w:val="7F7F7F" w:themeColor="text1" w:themeTint="80"/>
                <w:sz w:val="22"/>
                <w:szCs w:val="22"/>
                <w:lang w:val="en-US"/>
              </w:rPr>
              <w:t xml:space="preserve">We agree on EIOPA´s finding that the current way the interest rate down risk is calculated is faulty and needs improvements. </w:t>
            </w:r>
            <w:r w:rsidR="00E56DCF" w:rsidRPr="00C24334">
              <w:rPr>
                <w:rFonts w:ascii="Verdana" w:hAnsi="Verdana"/>
                <w:color w:val="7F7F7F" w:themeColor="text1" w:themeTint="80"/>
                <w:sz w:val="22"/>
                <w:szCs w:val="22"/>
                <w:lang w:val="en-US"/>
              </w:rPr>
              <w:t>Anyway,</w:t>
            </w:r>
            <w:r w:rsidRPr="00C24334">
              <w:rPr>
                <w:rFonts w:ascii="Verdana" w:hAnsi="Verdana"/>
                <w:color w:val="7F7F7F" w:themeColor="text1" w:themeTint="80"/>
                <w:sz w:val="22"/>
                <w:szCs w:val="22"/>
                <w:lang w:val="en-US"/>
              </w:rPr>
              <w:t xml:space="preserve"> in </w:t>
            </w:r>
            <w:r w:rsidR="003C62B3" w:rsidRPr="00C24334">
              <w:rPr>
                <w:rFonts w:ascii="Verdana" w:hAnsi="Verdana"/>
                <w:color w:val="7F7F7F" w:themeColor="text1" w:themeTint="80"/>
                <w:sz w:val="22"/>
                <w:szCs w:val="22"/>
                <w:lang w:val="en-US"/>
              </w:rPr>
              <w:t>EIOPA</w:t>
            </w:r>
            <w:r w:rsidRPr="00C24334">
              <w:rPr>
                <w:rFonts w:ascii="Verdana" w:hAnsi="Verdana"/>
                <w:color w:val="7F7F7F" w:themeColor="text1" w:themeTint="80"/>
                <w:sz w:val="22"/>
                <w:szCs w:val="22"/>
                <w:lang w:val="en-US"/>
              </w:rPr>
              <w:t>´s new proposal there is a lack of</w:t>
            </w:r>
            <w:r w:rsidR="003C62B3" w:rsidRPr="00C24334">
              <w:rPr>
                <w:rFonts w:ascii="Verdana" w:hAnsi="Verdana"/>
                <w:color w:val="7F7F7F" w:themeColor="text1" w:themeTint="80"/>
                <w:sz w:val="22"/>
                <w:szCs w:val="22"/>
                <w:lang w:val="en-US"/>
              </w:rPr>
              <w:t xml:space="preserve"> evidence backing the model </w:t>
            </w:r>
            <w:r w:rsidRPr="00C24334">
              <w:rPr>
                <w:rFonts w:ascii="Verdana" w:hAnsi="Verdana"/>
                <w:color w:val="7F7F7F" w:themeColor="text1" w:themeTint="80"/>
                <w:sz w:val="22"/>
                <w:szCs w:val="22"/>
                <w:lang w:val="en-US"/>
              </w:rPr>
              <w:t xml:space="preserve">and we believe the parameters and the model over estimates the interest rate down risk. </w:t>
            </w:r>
            <w:r w:rsidR="003C62B3" w:rsidRPr="00C24334">
              <w:rPr>
                <w:rFonts w:ascii="Verdana" w:hAnsi="Verdana"/>
                <w:color w:val="7F7F7F" w:themeColor="text1" w:themeTint="80"/>
                <w:sz w:val="22"/>
                <w:szCs w:val="22"/>
                <w:lang w:val="en-US"/>
              </w:rPr>
              <w:t xml:space="preserve">As the impact for insurers of the EIOPA´s proposal would be enormous, we find that such a change would require robust evidence which is currently not available. Therefore, we ask EIOPA to consider </w:t>
            </w:r>
            <w:r w:rsidR="003C62B3" w:rsidRPr="00C24334">
              <w:rPr>
                <w:rFonts w:ascii="Verdana" w:hAnsi="Verdana"/>
                <w:b/>
                <w:bCs/>
                <w:color w:val="7F7F7F" w:themeColor="text1" w:themeTint="80"/>
                <w:sz w:val="22"/>
                <w:szCs w:val="22"/>
                <w:lang w:val="en-US"/>
              </w:rPr>
              <w:t xml:space="preserve">another framework for </w:t>
            </w:r>
            <w:r w:rsidR="003C62B3" w:rsidRPr="00C24334">
              <w:rPr>
                <w:rFonts w:ascii="Verdana" w:hAnsi="Verdana"/>
                <w:color w:val="7F7F7F" w:themeColor="text1" w:themeTint="80"/>
                <w:sz w:val="22"/>
                <w:szCs w:val="22"/>
                <w:lang w:val="en-US"/>
              </w:rPr>
              <w:t xml:space="preserve">computing the </w:t>
            </w:r>
            <w:r w:rsidR="003C62B3" w:rsidRPr="00C24334">
              <w:rPr>
                <w:rFonts w:ascii="Verdana" w:hAnsi="Verdana"/>
                <w:b/>
                <w:bCs/>
                <w:color w:val="7F7F7F" w:themeColor="text1" w:themeTint="80"/>
                <w:sz w:val="22"/>
                <w:szCs w:val="22"/>
                <w:lang w:val="en-US"/>
              </w:rPr>
              <w:t>interest rate risk</w:t>
            </w:r>
            <w:r w:rsidR="003C62B3" w:rsidRPr="00C24334">
              <w:rPr>
                <w:rFonts w:ascii="Verdana" w:hAnsi="Verdana"/>
                <w:color w:val="7F7F7F" w:themeColor="text1" w:themeTint="80"/>
                <w:sz w:val="22"/>
                <w:szCs w:val="22"/>
                <w:lang w:val="en-US"/>
              </w:rPr>
              <w:t xml:space="preserve"> sub-module</w:t>
            </w:r>
            <w:r w:rsidRPr="00C24334">
              <w:rPr>
                <w:rFonts w:ascii="Verdana" w:hAnsi="Verdana"/>
                <w:color w:val="7F7F7F" w:themeColor="text1" w:themeTint="80"/>
                <w:sz w:val="22"/>
                <w:szCs w:val="22"/>
                <w:lang w:val="en-US"/>
              </w:rPr>
              <w:t xml:space="preserve"> which uses also qualitative risk assessment for low interest rates as no data exists</w:t>
            </w:r>
            <w:r w:rsidR="003C62B3" w:rsidRPr="00C24334">
              <w:rPr>
                <w:rFonts w:ascii="Verdana" w:hAnsi="Verdana"/>
                <w:color w:val="7F7F7F" w:themeColor="text1" w:themeTint="80"/>
                <w:sz w:val="22"/>
                <w:szCs w:val="22"/>
                <w:lang w:val="en-US"/>
              </w:rPr>
              <w:t>.</w:t>
            </w:r>
            <w:r w:rsidR="00EC30E5" w:rsidRPr="00C24334">
              <w:rPr>
                <w:rFonts w:ascii="Verdana" w:hAnsi="Verdana"/>
                <w:color w:val="7F7F7F" w:themeColor="text1" w:themeTint="80"/>
                <w:sz w:val="22"/>
                <w:szCs w:val="22"/>
                <w:lang w:val="en-US"/>
              </w:rPr>
              <w:t xml:space="preserve"> </w:t>
            </w:r>
            <w:r w:rsidRPr="00C24334">
              <w:rPr>
                <w:rFonts w:ascii="Verdana" w:hAnsi="Verdana"/>
                <w:color w:val="7F7F7F" w:themeColor="text1" w:themeTint="80"/>
                <w:sz w:val="22"/>
                <w:szCs w:val="22"/>
                <w:lang w:val="en-US"/>
              </w:rPr>
              <w:t>Further details can be found in section 5.1</w:t>
            </w:r>
            <w:r w:rsidR="003348B3" w:rsidRPr="00C24334">
              <w:rPr>
                <w:rFonts w:ascii="Verdana" w:hAnsi="Verdana"/>
                <w:color w:val="7F7F7F" w:themeColor="text1" w:themeTint="80"/>
                <w:sz w:val="22"/>
                <w:szCs w:val="22"/>
                <w:lang w:val="en-US"/>
              </w:rPr>
              <w:t xml:space="preserve">. The interest rate shocks beyond the last </w:t>
            </w:r>
            <w:r w:rsidR="003348B3" w:rsidRPr="00624B2D">
              <w:rPr>
                <w:rFonts w:ascii="Verdana" w:hAnsi="Verdana"/>
                <w:color w:val="7F7F7F" w:themeColor="text1" w:themeTint="80"/>
                <w:sz w:val="22"/>
                <w:szCs w:val="22"/>
                <w:lang w:val="en-US"/>
              </w:rPr>
              <w:t xml:space="preserve">liquid point (LLP) should be a function of the </w:t>
            </w:r>
            <w:r w:rsidR="003348B3" w:rsidRPr="00624B2D">
              <w:rPr>
                <w:rFonts w:ascii="Verdana" w:hAnsi="Verdana"/>
                <w:color w:val="7F7F7F" w:themeColor="text1" w:themeTint="80"/>
                <w:sz w:val="22"/>
                <w:szCs w:val="22"/>
                <w:lang w:val="en-US"/>
              </w:rPr>
              <w:lastRenderedPageBreak/>
              <w:t>earliest maturity points, consistent with the method applied by EIOPA to determine the risk-free rate (RFR).</w:t>
            </w:r>
            <w:r w:rsidR="008B1B79" w:rsidRPr="00624B2D">
              <w:rPr>
                <w:rFonts w:ascii="Verdana" w:hAnsi="Verdana"/>
                <w:color w:val="7F7F7F" w:themeColor="text1" w:themeTint="80"/>
                <w:sz w:val="22"/>
                <w:szCs w:val="22"/>
                <w:lang w:val="en-US"/>
              </w:rPr>
              <w:t xml:space="preserve"> </w:t>
            </w:r>
            <w:r w:rsidR="00624B2D" w:rsidRPr="00823BC5">
              <w:rPr>
                <w:rFonts w:ascii="Verdana" w:hAnsi="Verdana"/>
                <w:color w:val="7F7F7F" w:themeColor="text1" w:themeTint="80"/>
                <w:sz w:val="22"/>
                <w:szCs w:val="22"/>
                <w:lang w:val="en-US"/>
              </w:rPr>
              <w:t>The impact of the stress on the extrapolated/illiquid part of the interest rate term structure should be considered differently from the liquid part of the curve, where the impact should be derived using the extrapolation methodology (first stress of market data, then extrapolation based on the results). This includes the method applied for assessing the level of UFR, as explained in our detailed comments.</w:t>
            </w:r>
            <w:r w:rsidR="00624B2D">
              <w:rPr>
                <w:rFonts w:ascii="Verdana" w:hAnsi="Verdana"/>
                <w:color w:val="7F7F7F" w:themeColor="text1" w:themeTint="80"/>
                <w:sz w:val="22"/>
                <w:szCs w:val="22"/>
                <w:lang w:val="en-US"/>
              </w:rPr>
              <w:t xml:space="preserve"> </w:t>
            </w:r>
          </w:p>
          <w:p w14:paraId="5D1A144B" w14:textId="546470BB" w:rsidR="008B1B79" w:rsidRDefault="008B1B79" w:rsidP="00020B14">
            <w:pPr>
              <w:tabs>
                <w:tab w:val="left" w:pos="0"/>
              </w:tabs>
              <w:spacing w:after="120"/>
              <w:rPr>
                <w:rFonts w:ascii="Verdana" w:hAnsi="Verdana"/>
                <w:color w:val="7F7F7F" w:themeColor="text1" w:themeTint="80"/>
                <w:sz w:val="22"/>
                <w:szCs w:val="22"/>
                <w:lang w:val="en-US"/>
              </w:rPr>
            </w:pPr>
            <w:r w:rsidRPr="00823BC5">
              <w:rPr>
                <w:rFonts w:ascii="Verdana" w:hAnsi="Verdana"/>
                <w:color w:val="7F7F7F" w:themeColor="text1" w:themeTint="80"/>
                <w:sz w:val="22"/>
                <w:szCs w:val="22"/>
                <w:lang w:val="en-US"/>
              </w:rPr>
              <w:t>AMICE is supportive of an approach that would blend quantitative and qualitative elements depending on the level of unknown territory involved in the markets as at the computation date. The calibration of the interest rate downward shock should strike the best balance between up to date financial market information and the way and certainty levels with which these new values will in fact impact cash flows that are quite remote in the future.</w:t>
            </w:r>
          </w:p>
          <w:bookmarkEnd w:id="4"/>
          <w:p w14:paraId="0B0AA0FD" w14:textId="4685B1D3" w:rsidR="00E23F73" w:rsidRPr="00C24334" w:rsidRDefault="00E23F73" w:rsidP="00020B14">
            <w:pPr>
              <w:tabs>
                <w:tab w:val="left" w:pos="0"/>
              </w:tabs>
              <w:rPr>
                <w:rFonts w:ascii="Verdana" w:hAnsi="Verdana"/>
                <w:b/>
                <w:bCs/>
                <w:color w:val="7F7F7F" w:themeColor="text1" w:themeTint="80"/>
                <w:sz w:val="22"/>
                <w:szCs w:val="22"/>
                <w:u w:val="single"/>
                <w:lang w:val="en-GB" w:eastAsia="fr-FR"/>
              </w:rPr>
            </w:pPr>
            <w:r w:rsidRPr="00C24334">
              <w:rPr>
                <w:rFonts w:ascii="Verdana" w:hAnsi="Verdana"/>
                <w:b/>
                <w:bCs/>
                <w:color w:val="7F7F7F" w:themeColor="text1" w:themeTint="80"/>
                <w:sz w:val="22"/>
                <w:szCs w:val="22"/>
                <w:u w:val="single"/>
                <w:lang w:val="en-GB" w:eastAsia="fr-FR"/>
              </w:rPr>
              <w:t>5.2 Spread risk</w:t>
            </w:r>
          </w:p>
          <w:p w14:paraId="1203B695" w14:textId="6BB6D017" w:rsidR="00E23F73" w:rsidRPr="00C24334" w:rsidRDefault="00E23F73" w:rsidP="00020B14">
            <w:pPr>
              <w:tabs>
                <w:tab w:val="left" w:pos="0"/>
              </w:tabs>
              <w:spacing w:after="120"/>
              <w:rPr>
                <w:rFonts w:ascii="Verdana" w:hAnsi="Verdana" w:cs="Helvetica"/>
                <w:color w:val="7F7F7F" w:themeColor="text1" w:themeTint="80"/>
                <w:sz w:val="22"/>
                <w:szCs w:val="22"/>
                <w:lang w:val="en-GB"/>
              </w:rPr>
            </w:pPr>
            <w:r w:rsidRPr="00C24334">
              <w:rPr>
                <w:rFonts w:ascii="Verdana" w:hAnsi="Verdana" w:cs="Helvetica"/>
                <w:color w:val="7F7F7F" w:themeColor="text1" w:themeTint="80"/>
                <w:sz w:val="22"/>
                <w:szCs w:val="22"/>
                <w:lang w:val="en-GB"/>
              </w:rPr>
              <w:t>We support the extension of the DVA to the standard formula (</w:t>
            </w:r>
            <w:r w:rsidR="003F3DB5" w:rsidRPr="00C24334">
              <w:rPr>
                <w:rFonts w:ascii="Verdana" w:hAnsi="Verdana" w:cs="Helvetica"/>
                <w:color w:val="7F7F7F" w:themeColor="text1" w:themeTint="80"/>
                <w:sz w:val="22"/>
                <w:szCs w:val="22"/>
                <w:lang w:val="en-GB"/>
              </w:rPr>
              <w:t>O</w:t>
            </w:r>
            <w:r w:rsidRPr="00C24334">
              <w:rPr>
                <w:rFonts w:ascii="Verdana" w:hAnsi="Verdana" w:cs="Helvetica"/>
                <w:color w:val="7F7F7F" w:themeColor="text1" w:themeTint="80"/>
                <w:sz w:val="22"/>
                <w:szCs w:val="22"/>
                <w:lang w:val="en-GB"/>
              </w:rPr>
              <w:t>ption 4) to resolve the incorrect treatment of corporate bonds within Solvency II</w:t>
            </w:r>
          </w:p>
          <w:p w14:paraId="1FF911BB" w14:textId="11EA7653" w:rsidR="00BB303D" w:rsidRPr="00C24334" w:rsidRDefault="00BB303D" w:rsidP="00020B14">
            <w:pPr>
              <w:tabs>
                <w:tab w:val="left" w:pos="0"/>
              </w:tabs>
              <w:rPr>
                <w:rFonts w:ascii="Verdana" w:hAnsi="Verdana"/>
                <w:b/>
                <w:bCs/>
                <w:color w:val="7F7F7F" w:themeColor="text1" w:themeTint="80"/>
                <w:sz w:val="22"/>
                <w:szCs w:val="22"/>
                <w:u w:val="single"/>
                <w:lang w:val="en-GB" w:eastAsia="fr-FR"/>
              </w:rPr>
            </w:pPr>
            <w:r w:rsidRPr="00C24334">
              <w:rPr>
                <w:rFonts w:ascii="Verdana" w:hAnsi="Verdana"/>
                <w:b/>
                <w:bCs/>
                <w:color w:val="7F7F7F" w:themeColor="text1" w:themeTint="80"/>
                <w:sz w:val="22"/>
                <w:szCs w:val="22"/>
                <w:u w:val="single"/>
                <w:lang w:val="en-GB" w:eastAsia="fr-FR"/>
              </w:rPr>
              <w:t>5.3 Property risk</w:t>
            </w:r>
          </w:p>
          <w:p w14:paraId="6AE5898A" w14:textId="77777777" w:rsidR="00383BD7" w:rsidRDefault="00306494" w:rsidP="00020B14">
            <w:pPr>
              <w:tabs>
                <w:tab w:val="left" w:pos="0"/>
              </w:tabs>
              <w:spacing w:after="120"/>
              <w:rPr>
                <w:rFonts w:ascii="Verdana" w:hAnsi="Verdana"/>
                <w:color w:val="7F7F7F" w:themeColor="text1" w:themeTint="80"/>
                <w:sz w:val="22"/>
                <w:szCs w:val="22"/>
                <w:lang w:val="en-GB"/>
              </w:rPr>
            </w:pPr>
            <w:r w:rsidRPr="00C24334">
              <w:rPr>
                <w:rFonts w:ascii="Verdana" w:hAnsi="Verdana" w:cs="Helvetica"/>
                <w:color w:val="7F7F7F" w:themeColor="text1" w:themeTint="80"/>
                <w:sz w:val="22"/>
                <w:szCs w:val="22"/>
                <w:lang w:val="en-GB"/>
              </w:rPr>
              <w:t>It</w:t>
            </w:r>
            <w:r w:rsidR="006E2975" w:rsidRPr="00C24334">
              <w:rPr>
                <w:rFonts w:ascii="Verdana" w:hAnsi="Verdana" w:cs="Helvetica"/>
                <w:color w:val="7F7F7F" w:themeColor="text1" w:themeTint="80"/>
                <w:sz w:val="22"/>
                <w:szCs w:val="22"/>
                <w:lang w:val="en-GB"/>
              </w:rPr>
              <w:t xml:space="preserve"> </w:t>
            </w:r>
            <w:r w:rsidRPr="00C24334">
              <w:rPr>
                <w:rFonts w:ascii="Verdana" w:hAnsi="Verdana" w:cs="Helvetica"/>
                <w:color w:val="7F7F7F" w:themeColor="text1" w:themeTint="80"/>
                <w:sz w:val="22"/>
                <w:szCs w:val="22"/>
                <w:lang w:val="en-GB"/>
              </w:rPr>
              <w:t>is not</w:t>
            </w:r>
            <w:r w:rsidR="006E2975" w:rsidRPr="00C24334">
              <w:rPr>
                <w:rFonts w:ascii="Verdana" w:hAnsi="Verdana" w:cs="Helvetica"/>
                <w:color w:val="7F7F7F" w:themeColor="text1" w:themeTint="80"/>
                <w:sz w:val="22"/>
                <w:szCs w:val="22"/>
                <w:lang w:val="en-GB"/>
              </w:rPr>
              <w:t xml:space="preserve"> consistent that the property shock is calibrated on the date of a country which</w:t>
            </w:r>
            <w:r w:rsidR="002B353A" w:rsidRPr="00C24334">
              <w:rPr>
                <w:rFonts w:ascii="Verdana" w:hAnsi="Verdana" w:cstheme="minorHAnsi"/>
                <w:color w:val="7F7F7F" w:themeColor="text1" w:themeTint="80"/>
                <w:sz w:val="22"/>
                <w:szCs w:val="22"/>
                <w:lang w:val="en-GB"/>
              </w:rPr>
              <w:t xml:space="preserve"> h</w:t>
            </w:r>
            <w:r w:rsidR="006E2975" w:rsidRPr="00C24334">
              <w:rPr>
                <w:rFonts w:ascii="Verdana" w:hAnsi="Verdana" w:cstheme="minorHAnsi"/>
                <w:color w:val="7F7F7F" w:themeColor="text1" w:themeTint="80"/>
                <w:sz w:val="22"/>
                <w:szCs w:val="22"/>
                <w:lang w:val="en-GB"/>
              </w:rPr>
              <w:t>as significantly greater volatility than other European Union countries</w:t>
            </w:r>
            <w:r w:rsidR="002B353A" w:rsidRPr="00C24334">
              <w:rPr>
                <w:rFonts w:ascii="Verdana" w:hAnsi="Verdana" w:cstheme="minorHAnsi"/>
                <w:color w:val="7F7F7F" w:themeColor="text1" w:themeTint="80"/>
                <w:sz w:val="22"/>
                <w:szCs w:val="22"/>
                <w:lang w:val="en-GB"/>
              </w:rPr>
              <w:t xml:space="preserve"> and w</w:t>
            </w:r>
            <w:r w:rsidR="006E2975" w:rsidRPr="00C24334">
              <w:rPr>
                <w:rFonts w:ascii="Verdana" w:hAnsi="Verdana" w:cstheme="minorHAnsi"/>
                <w:color w:val="7F7F7F" w:themeColor="text1" w:themeTint="80"/>
                <w:sz w:val="22"/>
                <w:szCs w:val="22"/>
                <w:lang w:val="en-GB"/>
              </w:rPr>
              <w:t xml:space="preserve">ill no longer be among the members of the European Union and so would be no longer subject to the </w:t>
            </w:r>
            <w:r w:rsidR="00A21D87" w:rsidRPr="00C24334">
              <w:rPr>
                <w:rFonts w:ascii="Verdana" w:hAnsi="Verdana" w:cstheme="minorHAnsi"/>
                <w:color w:val="7F7F7F" w:themeColor="text1" w:themeTint="80"/>
                <w:sz w:val="22"/>
                <w:szCs w:val="22"/>
                <w:lang w:val="en-GB"/>
              </w:rPr>
              <w:t>Solvency II</w:t>
            </w:r>
            <w:r w:rsidR="006E2975" w:rsidRPr="00C24334">
              <w:rPr>
                <w:rFonts w:ascii="Verdana" w:hAnsi="Verdana" w:cstheme="minorHAnsi"/>
                <w:color w:val="7F7F7F" w:themeColor="text1" w:themeTint="80"/>
                <w:sz w:val="22"/>
                <w:szCs w:val="22"/>
                <w:lang w:val="en-GB"/>
              </w:rPr>
              <w:t xml:space="preserve"> </w:t>
            </w:r>
            <w:r w:rsidR="004F4574" w:rsidRPr="00C24334">
              <w:rPr>
                <w:rFonts w:ascii="Verdana" w:hAnsi="Verdana" w:cstheme="minorHAnsi"/>
                <w:color w:val="7F7F7F" w:themeColor="text1" w:themeTint="80"/>
                <w:sz w:val="22"/>
                <w:szCs w:val="22"/>
                <w:lang w:val="en-GB"/>
              </w:rPr>
              <w:t>D</w:t>
            </w:r>
            <w:r w:rsidR="006E2975" w:rsidRPr="00C24334">
              <w:rPr>
                <w:rFonts w:ascii="Verdana" w:hAnsi="Verdana" w:cstheme="minorHAnsi"/>
                <w:color w:val="7F7F7F" w:themeColor="text1" w:themeTint="80"/>
                <w:sz w:val="22"/>
                <w:szCs w:val="22"/>
                <w:lang w:val="en-GB"/>
              </w:rPr>
              <w:t xml:space="preserve">irective. </w:t>
            </w:r>
            <w:r w:rsidR="00185035">
              <w:rPr>
                <w:rFonts w:ascii="Verdana" w:hAnsi="Verdana"/>
                <w:color w:val="7F7F7F" w:themeColor="text1" w:themeTint="80"/>
                <w:sz w:val="22"/>
                <w:szCs w:val="22"/>
                <w:lang w:val="en-GB"/>
              </w:rPr>
              <w:t>T</w:t>
            </w:r>
            <w:r w:rsidR="006E2975" w:rsidRPr="00C24334">
              <w:rPr>
                <w:rFonts w:ascii="Verdana" w:hAnsi="Verdana"/>
                <w:color w:val="7F7F7F" w:themeColor="text1" w:themeTint="80"/>
                <w:sz w:val="22"/>
                <w:szCs w:val="22"/>
                <w:lang w:val="en-GB"/>
              </w:rPr>
              <w:t xml:space="preserve">he differences in volatility between different types of real estate assets are less important than those observed between different European countries. </w:t>
            </w:r>
          </w:p>
          <w:p w14:paraId="5027613A" w14:textId="0441C9C0" w:rsidR="00306494" w:rsidRPr="00C24334" w:rsidRDefault="006E2975" w:rsidP="00020B14">
            <w:pPr>
              <w:tabs>
                <w:tab w:val="left" w:pos="0"/>
              </w:tabs>
              <w:rPr>
                <w:rFonts w:ascii="Verdana" w:hAnsi="Verdana" w:cs="Helvetica"/>
                <w:color w:val="7F7F7F" w:themeColor="text1" w:themeTint="80"/>
                <w:sz w:val="22"/>
                <w:szCs w:val="22"/>
                <w:lang w:val="en-US"/>
              </w:rPr>
            </w:pPr>
            <w:r w:rsidRPr="00C24334">
              <w:rPr>
                <w:rFonts w:ascii="Verdana" w:hAnsi="Verdana"/>
                <w:color w:val="7F7F7F" w:themeColor="text1" w:themeTint="80"/>
                <w:sz w:val="22"/>
                <w:szCs w:val="22"/>
                <w:lang w:val="en-GB"/>
              </w:rPr>
              <w:lastRenderedPageBreak/>
              <w:t xml:space="preserve">It </w:t>
            </w:r>
            <w:r w:rsidR="00306494" w:rsidRPr="00C24334">
              <w:rPr>
                <w:rFonts w:ascii="Verdana" w:hAnsi="Verdana"/>
                <w:color w:val="7F7F7F" w:themeColor="text1" w:themeTint="80"/>
                <w:sz w:val="22"/>
                <w:szCs w:val="22"/>
                <w:lang w:val="en-GB"/>
              </w:rPr>
              <w:t xml:space="preserve">is </w:t>
            </w:r>
            <w:r w:rsidRPr="00C24334">
              <w:rPr>
                <w:rFonts w:ascii="Verdana" w:hAnsi="Verdana"/>
                <w:color w:val="7F7F7F" w:themeColor="text1" w:themeTint="80"/>
                <w:sz w:val="22"/>
                <w:szCs w:val="22"/>
                <w:lang w:val="en-GB"/>
              </w:rPr>
              <w:t xml:space="preserve">therefore appropriate to recalculate this shock using a </w:t>
            </w:r>
            <w:r w:rsidR="00421D5B" w:rsidRPr="00C24334">
              <w:rPr>
                <w:rFonts w:ascii="Verdana" w:hAnsi="Verdana"/>
                <w:color w:val="7F7F7F" w:themeColor="text1" w:themeTint="80"/>
                <w:sz w:val="22"/>
                <w:szCs w:val="22"/>
                <w:lang w:val="en-GB"/>
              </w:rPr>
              <w:t xml:space="preserve">weighted </w:t>
            </w:r>
            <w:r w:rsidR="00AB0FCA" w:rsidRPr="00C24334">
              <w:rPr>
                <w:rFonts w:ascii="Verdana" w:hAnsi="Verdana"/>
                <w:color w:val="7F7F7F" w:themeColor="text1" w:themeTint="80"/>
                <w:sz w:val="22"/>
                <w:szCs w:val="22"/>
                <w:lang w:val="en-GB"/>
              </w:rPr>
              <w:t>average</w:t>
            </w:r>
            <w:r w:rsidRPr="00C24334">
              <w:rPr>
                <w:rFonts w:ascii="Verdana" w:hAnsi="Verdana"/>
                <w:color w:val="7F7F7F" w:themeColor="text1" w:themeTint="80"/>
                <w:sz w:val="22"/>
                <w:szCs w:val="22"/>
                <w:lang w:val="en-GB"/>
              </w:rPr>
              <w:t xml:space="preserve"> that includes data from a wide range of Union European members.</w:t>
            </w:r>
            <w:r w:rsidR="00306494" w:rsidRPr="00C24334">
              <w:rPr>
                <w:rFonts w:ascii="Verdana" w:hAnsi="Verdana"/>
                <w:color w:val="7F7F7F" w:themeColor="text1" w:themeTint="80"/>
                <w:sz w:val="22"/>
                <w:szCs w:val="22"/>
                <w:lang w:val="en-GB"/>
              </w:rPr>
              <w:t xml:space="preserve"> </w:t>
            </w:r>
            <w:r w:rsidR="00185035" w:rsidRPr="00C24334">
              <w:rPr>
                <w:rFonts w:ascii="Verdana" w:hAnsi="Verdana" w:cstheme="minorHAnsi"/>
                <w:color w:val="7F7F7F" w:themeColor="text1" w:themeTint="80"/>
                <w:sz w:val="22"/>
                <w:szCs w:val="22"/>
                <w:lang w:val="en-GB"/>
              </w:rPr>
              <w:t xml:space="preserve">AMICE believes in the necessity to reduce the property shock and therefore asks to take into account new sets of national data and also the outputs of several report studies that point </w:t>
            </w:r>
            <w:r w:rsidR="002F22A5">
              <w:rPr>
                <w:rFonts w:ascii="Verdana" w:hAnsi="Verdana" w:cstheme="minorHAnsi"/>
                <w:color w:val="7F7F7F" w:themeColor="text1" w:themeTint="80"/>
                <w:sz w:val="22"/>
                <w:szCs w:val="22"/>
                <w:lang w:val="en-GB"/>
              </w:rPr>
              <w:t xml:space="preserve">at </w:t>
            </w:r>
            <w:r w:rsidR="00185035" w:rsidRPr="00C24334">
              <w:rPr>
                <w:rFonts w:ascii="Verdana" w:hAnsi="Verdana" w:cstheme="minorHAnsi"/>
                <w:color w:val="7F7F7F" w:themeColor="text1" w:themeTint="80"/>
                <w:sz w:val="22"/>
                <w:szCs w:val="22"/>
                <w:lang w:val="en-GB"/>
              </w:rPr>
              <w:t xml:space="preserve">the overstatement of the current global calibration. A European global average is likely to </w:t>
            </w:r>
            <w:r w:rsidR="002F22A5">
              <w:rPr>
                <w:rFonts w:ascii="Verdana" w:hAnsi="Verdana" w:cstheme="minorHAnsi"/>
                <w:color w:val="7F7F7F" w:themeColor="text1" w:themeTint="80"/>
                <w:sz w:val="22"/>
                <w:szCs w:val="22"/>
                <w:lang w:val="en-GB"/>
              </w:rPr>
              <w:t xml:space="preserve">robustly </w:t>
            </w:r>
            <w:r w:rsidR="00185035" w:rsidRPr="00C24334">
              <w:rPr>
                <w:rFonts w:ascii="Verdana" w:hAnsi="Verdana" w:cstheme="minorHAnsi"/>
                <w:color w:val="7F7F7F" w:themeColor="text1" w:themeTint="80"/>
                <w:sz w:val="22"/>
                <w:szCs w:val="22"/>
                <w:lang w:val="en-GB"/>
              </w:rPr>
              <w:t>support a reduction in the standard calibration</w:t>
            </w:r>
            <w:r w:rsidR="002F22A5">
              <w:rPr>
                <w:rFonts w:ascii="Verdana" w:hAnsi="Verdana" w:cstheme="minorHAnsi"/>
                <w:color w:val="7F7F7F" w:themeColor="text1" w:themeTint="80"/>
                <w:sz w:val="22"/>
                <w:szCs w:val="22"/>
                <w:lang w:val="en-GB"/>
              </w:rPr>
              <w:t xml:space="preserve"> by at least 10 points of percentage</w:t>
            </w:r>
            <w:r w:rsidR="00185035" w:rsidRPr="00C24334">
              <w:rPr>
                <w:rFonts w:ascii="Verdana" w:hAnsi="Verdana" w:cstheme="minorHAnsi"/>
                <w:color w:val="7F7F7F" w:themeColor="text1" w:themeTint="80"/>
                <w:sz w:val="22"/>
                <w:szCs w:val="22"/>
                <w:lang w:val="en-GB"/>
              </w:rPr>
              <w:t>.</w:t>
            </w:r>
          </w:p>
          <w:p w14:paraId="21B5479F" w14:textId="77777777" w:rsidR="006E2975" w:rsidRPr="00C24334" w:rsidRDefault="006E2975" w:rsidP="00020B14">
            <w:pPr>
              <w:tabs>
                <w:tab w:val="left" w:pos="0"/>
              </w:tabs>
              <w:rPr>
                <w:rFonts w:ascii="Verdana" w:hAnsi="Verdana" w:cs="Helvetica"/>
                <w:b/>
                <w:bCs/>
                <w:color w:val="7F7F7F" w:themeColor="text1" w:themeTint="80"/>
                <w:sz w:val="22"/>
                <w:szCs w:val="22"/>
                <w:u w:val="single"/>
                <w:lang w:val="en-GB"/>
              </w:rPr>
            </w:pPr>
          </w:p>
          <w:p w14:paraId="4D08D158" w14:textId="750D7E5A" w:rsidR="00E23F73" w:rsidRPr="00C24334" w:rsidRDefault="00E23F73" w:rsidP="00020B14">
            <w:pPr>
              <w:tabs>
                <w:tab w:val="left" w:pos="0"/>
              </w:tabs>
              <w:rPr>
                <w:rFonts w:ascii="Verdana" w:hAnsi="Verdana" w:cs="Helvetica"/>
                <w:b/>
                <w:bCs/>
                <w:color w:val="7F7F7F" w:themeColor="text1" w:themeTint="80"/>
                <w:sz w:val="22"/>
                <w:szCs w:val="22"/>
                <w:lang w:val="en-GB"/>
              </w:rPr>
            </w:pPr>
            <w:r w:rsidRPr="00C24334">
              <w:rPr>
                <w:rFonts w:ascii="Verdana" w:hAnsi="Verdana" w:cs="Helvetica"/>
                <w:b/>
                <w:bCs/>
                <w:color w:val="7F7F7F" w:themeColor="text1" w:themeTint="80"/>
                <w:sz w:val="22"/>
                <w:szCs w:val="22"/>
                <w:u w:val="single"/>
                <w:lang w:val="en-GB"/>
              </w:rPr>
              <w:t>5</w:t>
            </w:r>
            <w:r w:rsidRPr="00C24334">
              <w:rPr>
                <w:rFonts w:ascii="Verdana" w:eastAsia="Verdana" w:hAnsi="Verdana" w:cs="Verdana"/>
                <w:b/>
                <w:bCs/>
                <w:color w:val="7F7F7F" w:themeColor="text1" w:themeTint="80"/>
                <w:sz w:val="22"/>
                <w:szCs w:val="22"/>
                <w:u w:val="single"/>
                <w:lang w:val="en-US"/>
              </w:rPr>
              <w:t>.4 Correlation matrices</w:t>
            </w:r>
          </w:p>
          <w:p w14:paraId="66F23FC5" w14:textId="03188C5D" w:rsidR="00306494" w:rsidRPr="00C24334" w:rsidRDefault="00D81648" w:rsidP="00020B14">
            <w:pPr>
              <w:pStyle w:val="CommentText"/>
              <w:tabs>
                <w:tab w:val="left" w:pos="0"/>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Contrary to</w:t>
            </w:r>
            <w:r w:rsidR="00E23F73" w:rsidRPr="00C24334">
              <w:rPr>
                <w:rFonts w:ascii="Verdana" w:hAnsi="Verdana"/>
                <w:color w:val="7F7F7F" w:themeColor="text1" w:themeTint="80"/>
                <w:sz w:val="22"/>
                <w:szCs w:val="22"/>
                <w:lang w:val="en-US"/>
              </w:rPr>
              <w:t xml:space="preserve"> EIOPA´s Advice </w:t>
            </w:r>
            <w:r w:rsidR="00DA24E8" w:rsidRPr="00C24334">
              <w:rPr>
                <w:rFonts w:ascii="Verdana" w:hAnsi="Verdana"/>
                <w:color w:val="7F7F7F" w:themeColor="text1" w:themeTint="80"/>
                <w:sz w:val="22"/>
                <w:szCs w:val="22"/>
                <w:lang w:val="en-US"/>
              </w:rPr>
              <w:t xml:space="preserve">we see a case to </w:t>
            </w:r>
            <w:r w:rsidR="00F632E4" w:rsidRPr="00C24334">
              <w:rPr>
                <w:rFonts w:ascii="Verdana" w:hAnsi="Verdana"/>
                <w:color w:val="7F7F7F" w:themeColor="text1" w:themeTint="80"/>
                <w:sz w:val="22"/>
                <w:szCs w:val="22"/>
                <w:lang w:val="en-US"/>
              </w:rPr>
              <w:t>review the</w:t>
            </w:r>
            <w:r w:rsidR="00E23F73" w:rsidRPr="00C24334">
              <w:rPr>
                <w:rFonts w:ascii="Verdana" w:hAnsi="Verdana"/>
                <w:color w:val="7F7F7F" w:themeColor="text1" w:themeTint="80"/>
                <w:sz w:val="22"/>
                <w:szCs w:val="22"/>
                <w:lang w:val="en-US"/>
              </w:rPr>
              <w:t xml:space="preserve"> market risk correlations.</w:t>
            </w:r>
            <w:r w:rsidR="00306494" w:rsidRPr="00C24334">
              <w:rPr>
                <w:rFonts w:ascii="Verdana" w:hAnsi="Verdana"/>
                <w:color w:val="7F7F7F" w:themeColor="text1" w:themeTint="80"/>
                <w:sz w:val="22"/>
                <w:szCs w:val="22"/>
                <w:lang w:val="en-US"/>
              </w:rPr>
              <w:t xml:space="preserve"> The two-sided correlation with interest rate risk for the market risks equity, property and spread risk which depends on the individual interest rate risk exposure results in cliff-effects and should be removed. </w:t>
            </w:r>
            <w:r w:rsidR="00DA24E8" w:rsidRPr="00C24334">
              <w:rPr>
                <w:rFonts w:ascii="Verdana" w:hAnsi="Verdana"/>
                <w:color w:val="7F7F7F" w:themeColor="text1" w:themeTint="80"/>
                <w:sz w:val="22"/>
                <w:szCs w:val="22"/>
                <w:lang w:val="en-US"/>
              </w:rPr>
              <w:t>Where</w:t>
            </w:r>
            <w:r w:rsidR="00306494" w:rsidRPr="00C24334">
              <w:rPr>
                <w:rFonts w:ascii="Verdana" w:hAnsi="Verdana"/>
                <w:color w:val="7F7F7F" w:themeColor="text1" w:themeTint="80"/>
                <w:sz w:val="22"/>
                <w:szCs w:val="22"/>
                <w:lang w:val="en-US"/>
              </w:rPr>
              <w:t xml:space="preserve"> quantitative data </w:t>
            </w:r>
            <w:r w:rsidR="00DA24E8" w:rsidRPr="00C24334">
              <w:rPr>
                <w:rFonts w:ascii="Verdana" w:hAnsi="Verdana"/>
                <w:color w:val="7F7F7F" w:themeColor="text1" w:themeTint="80"/>
                <w:sz w:val="22"/>
                <w:szCs w:val="22"/>
                <w:lang w:val="en-US"/>
              </w:rPr>
              <w:t xml:space="preserve">is not </w:t>
            </w:r>
            <w:r w:rsidR="00306494" w:rsidRPr="00C24334">
              <w:rPr>
                <w:rFonts w:ascii="Verdana" w:hAnsi="Verdana"/>
                <w:color w:val="7F7F7F" w:themeColor="text1" w:themeTint="80"/>
                <w:sz w:val="22"/>
                <w:szCs w:val="22"/>
                <w:lang w:val="en-US"/>
              </w:rPr>
              <w:t xml:space="preserve">available, the existing correlation </w:t>
            </w:r>
            <w:r w:rsidR="009C5B05" w:rsidRPr="00C24334">
              <w:rPr>
                <w:rFonts w:ascii="Verdana" w:hAnsi="Verdana"/>
                <w:color w:val="7F7F7F" w:themeColor="text1" w:themeTint="80"/>
                <w:sz w:val="22"/>
                <w:szCs w:val="22"/>
                <w:lang w:val="en-US"/>
              </w:rPr>
              <w:t>parameters</w:t>
            </w:r>
            <w:r w:rsidR="00306494" w:rsidRPr="00C24334">
              <w:rPr>
                <w:rFonts w:ascii="Verdana" w:hAnsi="Verdana"/>
                <w:color w:val="7F7F7F" w:themeColor="text1" w:themeTint="80"/>
                <w:sz w:val="22"/>
                <w:szCs w:val="22"/>
                <w:lang w:val="en-US"/>
              </w:rPr>
              <w:t xml:space="preserve"> </w:t>
            </w:r>
            <w:r w:rsidR="00DA24E8" w:rsidRPr="00C24334">
              <w:rPr>
                <w:rFonts w:ascii="Verdana" w:hAnsi="Verdana"/>
                <w:color w:val="7F7F7F" w:themeColor="text1" w:themeTint="80"/>
                <w:sz w:val="22"/>
                <w:szCs w:val="22"/>
                <w:lang w:val="en-US"/>
              </w:rPr>
              <w:t xml:space="preserve">should be challenged </w:t>
            </w:r>
            <w:r w:rsidR="00306494" w:rsidRPr="00C24334">
              <w:rPr>
                <w:rFonts w:ascii="Verdana" w:hAnsi="Verdana"/>
                <w:color w:val="7F7F7F" w:themeColor="text1" w:themeTint="80"/>
                <w:sz w:val="22"/>
                <w:szCs w:val="22"/>
                <w:lang w:val="en-US"/>
              </w:rPr>
              <w:t>in a qualitative manner.</w:t>
            </w:r>
          </w:p>
          <w:p w14:paraId="76854613" w14:textId="77777777" w:rsidR="00306494" w:rsidRPr="00C24334" w:rsidRDefault="00306494" w:rsidP="00020B14">
            <w:pPr>
              <w:pStyle w:val="CommentText"/>
              <w:tabs>
                <w:tab w:val="left" w:pos="0"/>
              </w:tabs>
              <w:rPr>
                <w:color w:val="7F7F7F" w:themeColor="text1" w:themeTint="80"/>
                <w:lang w:val="en-US"/>
              </w:rPr>
            </w:pPr>
          </w:p>
          <w:p w14:paraId="2F4DD871" w14:textId="17073B6C" w:rsidR="00E23F73" w:rsidRPr="00C24334" w:rsidRDefault="00E23F73" w:rsidP="00020B14">
            <w:pPr>
              <w:tabs>
                <w:tab w:val="left" w:pos="0"/>
              </w:tabs>
              <w:rPr>
                <w:rFonts w:ascii="Verdana" w:hAnsi="Verdana"/>
                <w:b/>
                <w:bCs/>
                <w:color w:val="7F7F7F" w:themeColor="text1" w:themeTint="80"/>
                <w:sz w:val="22"/>
                <w:szCs w:val="22"/>
                <w:u w:val="single"/>
                <w:lang w:val="en-US"/>
              </w:rPr>
            </w:pPr>
            <w:r w:rsidRPr="00C24334">
              <w:rPr>
                <w:rFonts w:ascii="Verdana" w:hAnsi="Verdana"/>
                <w:b/>
                <w:bCs/>
                <w:color w:val="7F7F7F" w:themeColor="text1" w:themeTint="80"/>
                <w:sz w:val="22"/>
                <w:szCs w:val="22"/>
                <w:u w:val="single"/>
                <w:lang w:val="en-US"/>
              </w:rPr>
              <w:t>5.6 Calibration of underwriting risk</w:t>
            </w:r>
          </w:p>
          <w:p w14:paraId="2F969778" w14:textId="2B2D8199" w:rsidR="00E23F73" w:rsidRDefault="00E23F73" w:rsidP="00020B14">
            <w:pPr>
              <w:tabs>
                <w:tab w:val="left" w:pos="0"/>
              </w:tabs>
              <w:spacing w:after="120"/>
              <w:rPr>
                <w:rFonts w:ascii="Verdana" w:hAnsi="Verdana" w:cs="Arial"/>
                <w:color w:val="7F7F7F" w:themeColor="text1" w:themeTint="80"/>
                <w:sz w:val="22"/>
                <w:szCs w:val="22"/>
                <w:lang w:val="en-US"/>
              </w:rPr>
            </w:pPr>
            <w:r w:rsidRPr="00C24334">
              <w:rPr>
                <w:rFonts w:ascii="Verdana" w:hAnsi="Verdana"/>
                <w:color w:val="7F7F7F" w:themeColor="text1" w:themeTint="80"/>
                <w:sz w:val="22"/>
                <w:szCs w:val="22"/>
                <w:lang w:val="en-GB"/>
              </w:rPr>
              <w:t>The mass lapse scenario</w:t>
            </w:r>
            <w:r w:rsidR="00351528" w:rsidRPr="00C24334">
              <w:rPr>
                <w:rFonts w:ascii="Verdana" w:hAnsi="Verdana"/>
                <w:color w:val="7F7F7F" w:themeColor="text1" w:themeTint="80"/>
                <w:sz w:val="22"/>
                <w:szCs w:val="22"/>
                <w:lang w:val="en-GB"/>
              </w:rPr>
              <w:t xml:space="preserve"> appears to be strongly </w:t>
            </w:r>
            <w:r w:rsidR="00BA2731" w:rsidRPr="00C24334">
              <w:rPr>
                <w:rFonts w:ascii="Verdana" w:hAnsi="Verdana"/>
                <w:color w:val="7F7F7F" w:themeColor="text1" w:themeTint="80"/>
                <w:sz w:val="22"/>
                <w:szCs w:val="22"/>
                <w:lang w:val="en-GB"/>
              </w:rPr>
              <w:t>over calibrated</w:t>
            </w:r>
            <w:r w:rsidR="00351528" w:rsidRPr="00C24334">
              <w:rPr>
                <w:rFonts w:ascii="Verdana" w:hAnsi="Verdana"/>
                <w:color w:val="7F7F7F" w:themeColor="text1" w:themeTint="80"/>
                <w:sz w:val="22"/>
                <w:szCs w:val="22"/>
                <w:lang w:val="en-GB"/>
              </w:rPr>
              <w:t>.</w:t>
            </w:r>
            <w:r w:rsidRPr="00C24334">
              <w:rPr>
                <w:rFonts w:ascii="Verdana" w:hAnsi="Verdana"/>
                <w:color w:val="7F7F7F" w:themeColor="text1" w:themeTint="80"/>
                <w:sz w:val="22"/>
                <w:szCs w:val="22"/>
                <w:lang w:val="en-GB"/>
              </w:rPr>
              <w:t xml:space="preserve"> </w:t>
            </w:r>
            <w:r w:rsidR="00351528" w:rsidRPr="00C24334">
              <w:rPr>
                <w:rFonts w:ascii="Verdana" w:hAnsi="Verdana"/>
                <w:color w:val="7F7F7F" w:themeColor="text1" w:themeTint="80"/>
                <w:sz w:val="22"/>
                <w:szCs w:val="22"/>
                <w:lang w:val="en-GB"/>
              </w:rPr>
              <w:t xml:space="preserve">It </w:t>
            </w:r>
            <w:r w:rsidRPr="00C24334">
              <w:rPr>
                <w:rFonts w:ascii="Verdana" w:hAnsi="Verdana"/>
                <w:color w:val="7F7F7F" w:themeColor="text1" w:themeTint="80"/>
                <w:sz w:val="22"/>
                <w:szCs w:val="22"/>
                <w:lang w:val="en-GB"/>
              </w:rPr>
              <w:t xml:space="preserve">should be recalibrated for all underwriting risks. In some markets and based on experience the mass lapse scenario </w:t>
            </w:r>
            <w:r w:rsidR="00421D5B" w:rsidRPr="00C24334">
              <w:rPr>
                <w:rFonts w:ascii="Verdana" w:hAnsi="Verdana"/>
                <w:color w:val="7F7F7F" w:themeColor="text1" w:themeTint="80"/>
                <w:sz w:val="22"/>
                <w:szCs w:val="22"/>
                <w:lang w:val="en-GB"/>
              </w:rPr>
              <w:t>should be set at</w:t>
            </w:r>
            <w:r w:rsidRPr="00C24334">
              <w:rPr>
                <w:rFonts w:ascii="Verdana" w:hAnsi="Verdana"/>
                <w:color w:val="7F7F7F" w:themeColor="text1" w:themeTint="80"/>
                <w:sz w:val="22"/>
                <w:szCs w:val="22"/>
                <w:lang w:val="en-GB"/>
              </w:rPr>
              <w:t xml:space="preserve"> 20%</w:t>
            </w:r>
            <w:r w:rsidR="00383BD7">
              <w:rPr>
                <w:rFonts w:ascii="Verdana" w:hAnsi="Verdana"/>
                <w:color w:val="7F7F7F" w:themeColor="text1" w:themeTint="80"/>
                <w:sz w:val="22"/>
                <w:szCs w:val="22"/>
                <w:lang w:val="en-GB"/>
              </w:rPr>
              <w:t xml:space="preserve"> or below</w:t>
            </w:r>
            <w:r w:rsidRPr="00C24334">
              <w:rPr>
                <w:rFonts w:ascii="Verdana" w:hAnsi="Verdana"/>
                <w:color w:val="7F7F7F" w:themeColor="text1" w:themeTint="80"/>
                <w:sz w:val="22"/>
                <w:szCs w:val="22"/>
                <w:lang w:val="en-GB"/>
              </w:rPr>
              <w:t>. It should be allowed to mitigate the negative impact of the scenario by releasing the related risk margin</w:t>
            </w:r>
            <w:r w:rsidRPr="00C24334">
              <w:rPr>
                <w:rFonts w:ascii="Verdana" w:hAnsi="Verdana" w:cs="Arial"/>
                <w:color w:val="7F7F7F" w:themeColor="text1" w:themeTint="80"/>
                <w:sz w:val="22"/>
                <w:szCs w:val="22"/>
                <w:lang w:val="en-US"/>
              </w:rPr>
              <w:t>.</w:t>
            </w:r>
          </w:p>
          <w:p w14:paraId="30FBC8C7" w14:textId="0BCE5C98" w:rsidR="005B3B32" w:rsidRPr="00E47103" w:rsidRDefault="005B3B32" w:rsidP="00020B14">
            <w:pPr>
              <w:tabs>
                <w:tab w:val="left" w:pos="0"/>
              </w:tabs>
              <w:spacing w:after="120"/>
              <w:rPr>
                <w:rFonts w:ascii="Verdana" w:hAnsi="Verdana" w:cs="Helvetica"/>
                <w:b/>
                <w:bCs/>
                <w:color w:val="7F7F7F"/>
                <w:sz w:val="22"/>
                <w:szCs w:val="22"/>
                <w:lang w:val="en-US"/>
              </w:rPr>
            </w:pPr>
            <w:r>
              <w:rPr>
                <w:rFonts w:ascii="Verdana" w:hAnsi="Verdana" w:cs="Helvetica"/>
                <w:b/>
                <w:bCs/>
                <w:color w:val="7F7F7F"/>
                <w:sz w:val="22"/>
                <w:szCs w:val="22"/>
                <w:lang w:val="en-US"/>
              </w:rPr>
              <w:t>5.8 Risk Mitigation techniques</w:t>
            </w:r>
          </w:p>
          <w:p w14:paraId="08AA77D4" w14:textId="08DEF01B" w:rsidR="005B3B32" w:rsidRPr="001F7855" w:rsidRDefault="005B3B32" w:rsidP="00020B14">
            <w:pPr>
              <w:tabs>
                <w:tab w:val="left" w:pos="0"/>
              </w:tabs>
              <w:spacing w:after="120"/>
              <w:rPr>
                <w:rFonts w:ascii="Verdana" w:hAnsi="Verdana" w:cs="Calibri"/>
                <w:color w:val="7F7F7F" w:themeColor="text1" w:themeTint="80"/>
                <w:sz w:val="22"/>
                <w:szCs w:val="22"/>
                <w:lang w:val="en-GB"/>
              </w:rPr>
            </w:pPr>
            <w:r w:rsidRPr="00046F36">
              <w:rPr>
                <w:rFonts w:ascii="Verdana" w:hAnsi="Verdana" w:cs="Calibri"/>
                <w:color w:val="7F7F7F" w:themeColor="text1" w:themeTint="80"/>
                <w:sz w:val="22"/>
                <w:szCs w:val="22"/>
                <w:lang w:val="en-GB"/>
              </w:rPr>
              <w:t xml:space="preserve">The </w:t>
            </w:r>
            <w:r>
              <w:rPr>
                <w:rFonts w:ascii="Verdana" w:hAnsi="Verdana" w:cs="Calibri"/>
                <w:color w:val="7F7F7F" w:themeColor="text1" w:themeTint="80"/>
                <w:sz w:val="22"/>
                <w:szCs w:val="22"/>
                <w:lang w:val="en-GB"/>
              </w:rPr>
              <w:t xml:space="preserve">standard </w:t>
            </w:r>
            <w:r w:rsidRPr="00046F36">
              <w:rPr>
                <w:rFonts w:ascii="Verdana" w:hAnsi="Verdana" w:cs="Calibri"/>
                <w:color w:val="7F7F7F" w:themeColor="text1" w:themeTint="80"/>
                <w:sz w:val="22"/>
                <w:szCs w:val="22"/>
                <w:lang w:val="en-GB"/>
              </w:rPr>
              <w:t>formula should be kept as simple as possible</w:t>
            </w:r>
            <w:r>
              <w:rPr>
                <w:rFonts w:ascii="Verdana" w:hAnsi="Verdana" w:cs="Calibri"/>
                <w:color w:val="7F7F7F" w:themeColor="text1" w:themeTint="80"/>
                <w:sz w:val="22"/>
                <w:szCs w:val="22"/>
                <w:lang w:val="en-GB"/>
              </w:rPr>
              <w:t xml:space="preserve">. </w:t>
            </w:r>
            <w:r w:rsidRPr="00046F36">
              <w:rPr>
                <w:rFonts w:ascii="Verdana" w:hAnsi="Verdana" w:cs="Calibri"/>
                <w:color w:val="7F7F7F" w:themeColor="text1" w:themeTint="80"/>
                <w:sz w:val="22"/>
                <w:szCs w:val="22"/>
                <w:lang w:val="en-GB"/>
              </w:rPr>
              <w:t xml:space="preserve">In order to adapt to the changing environment in the reinsurance cover market, Solvency 2 regulations should introduce NP factors for reserve risk; these would be equal to 100% by default in the Standard </w:t>
            </w:r>
            <w:r>
              <w:rPr>
                <w:rFonts w:ascii="Verdana" w:hAnsi="Verdana" w:cs="Calibri"/>
                <w:color w:val="7F7F7F" w:themeColor="text1" w:themeTint="80"/>
                <w:sz w:val="22"/>
                <w:szCs w:val="22"/>
                <w:lang w:val="en-GB"/>
              </w:rPr>
              <w:t>Formula</w:t>
            </w:r>
            <w:r w:rsidRPr="00046F36">
              <w:rPr>
                <w:rFonts w:ascii="Verdana" w:hAnsi="Verdana" w:cs="Calibri"/>
                <w:color w:val="7F7F7F" w:themeColor="text1" w:themeTint="80"/>
                <w:sz w:val="22"/>
                <w:szCs w:val="22"/>
                <w:lang w:val="en-GB"/>
              </w:rPr>
              <w:t xml:space="preserve"> and </w:t>
            </w:r>
            <w:r w:rsidRPr="00046F36">
              <w:rPr>
                <w:rFonts w:ascii="Verdana" w:hAnsi="Verdana" w:cs="Calibri"/>
                <w:color w:val="7F7F7F" w:themeColor="text1" w:themeTint="80"/>
                <w:sz w:val="22"/>
                <w:szCs w:val="22"/>
                <w:lang w:val="en-GB"/>
              </w:rPr>
              <w:lastRenderedPageBreak/>
              <w:t>could be replaced by estimated factors using USPs to better take into account the insurer's risk profile</w:t>
            </w:r>
            <w:r>
              <w:rPr>
                <w:rFonts w:ascii="Verdana" w:hAnsi="Verdana" w:cs="Calibri"/>
                <w:color w:val="7F7F7F" w:themeColor="text1" w:themeTint="80"/>
                <w:sz w:val="22"/>
                <w:szCs w:val="22"/>
                <w:lang w:val="en-GB"/>
              </w:rPr>
              <w:t>.</w:t>
            </w:r>
          </w:p>
          <w:p w14:paraId="6C6F3479" w14:textId="1EFEA016" w:rsidR="00A70751" w:rsidRPr="00C24334" w:rsidRDefault="00A70751" w:rsidP="00020B14">
            <w:pPr>
              <w:tabs>
                <w:tab w:val="left" w:pos="0"/>
              </w:tabs>
              <w:rPr>
                <w:rFonts w:ascii="Verdana" w:eastAsia="Verdana" w:hAnsi="Verdana" w:cs="Verdana"/>
                <w:b/>
                <w:bCs/>
                <w:color w:val="7F7F7F" w:themeColor="text1" w:themeTint="80"/>
                <w:sz w:val="22"/>
                <w:szCs w:val="22"/>
                <w:u w:val="single"/>
                <w:lang w:val="en-US"/>
              </w:rPr>
            </w:pPr>
            <w:r w:rsidRPr="00C24334">
              <w:rPr>
                <w:rFonts w:ascii="Verdana" w:eastAsia="Verdana" w:hAnsi="Verdana" w:cs="Verdana"/>
                <w:b/>
                <w:bCs/>
                <w:color w:val="7F7F7F" w:themeColor="text1" w:themeTint="80"/>
                <w:sz w:val="22"/>
                <w:szCs w:val="22"/>
                <w:u w:val="single"/>
                <w:lang w:val="en-US"/>
              </w:rPr>
              <w:t>7. Reporting and Disclosure</w:t>
            </w:r>
          </w:p>
          <w:p w14:paraId="710301AB" w14:textId="1E370AF2" w:rsidR="00C5695A" w:rsidRDefault="00F762E6" w:rsidP="00020B14">
            <w:pPr>
              <w:tabs>
                <w:tab w:val="left" w:pos="0"/>
              </w:tabs>
              <w:spacing w:after="120"/>
              <w:rPr>
                <w:rFonts w:ascii="Verdana" w:hAnsi="Verdana"/>
                <w:color w:val="7F7F7F" w:themeColor="text1" w:themeTint="80"/>
                <w:sz w:val="22"/>
                <w:szCs w:val="22"/>
                <w:lang w:val="en-GB" w:eastAsia="fr-FR"/>
              </w:rPr>
            </w:pPr>
            <w:bookmarkStart w:id="5" w:name="_Hlk28815129"/>
            <w:r w:rsidRPr="00C24334">
              <w:rPr>
                <w:rFonts w:ascii="Verdana" w:hAnsi="Verdana" w:cstheme="minorHAnsi"/>
                <w:color w:val="7F7F7F" w:themeColor="text1" w:themeTint="80"/>
                <w:sz w:val="22"/>
                <w:szCs w:val="22"/>
                <w:lang w:val="en-US"/>
              </w:rPr>
              <w:t>T</w:t>
            </w:r>
            <w:r w:rsidR="00A70751" w:rsidRPr="00C24334">
              <w:rPr>
                <w:rFonts w:ascii="Verdana" w:hAnsi="Verdana" w:cstheme="minorHAnsi"/>
                <w:color w:val="7F7F7F" w:themeColor="text1" w:themeTint="80"/>
                <w:sz w:val="22"/>
                <w:szCs w:val="22"/>
                <w:lang w:val="en-US"/>
              </w:rPr>
              <w:t xml:space="preserve">he direction taken on reporting and public disclosure seems to go against the advice actually sought by the </w:t>
            </w:r>
            <w:r w:rsidRPr="00C24334">
              <w:rPr>
                <w:rFonts w:ascii="Verdana" w:hAnsi="Verdana" w:cstheme="minorHAnsi"/>
                <w:color w:val="7F7F7F" w:themeColor="text1" w:themeTint="80"/>
                <w:sz w:val="22"/>
                <w:szCs w:val="22"/>
                <w:lang w:val="en-US"/>
              </w:rPr>
              <w:t xml:space="preserve">European </w:t>
            </w:r>
            <w:r w:rsidR="00A70751" w:rsidRPr="00C24334">
              <w:rPr>
                <w:rFonts w:ascii="Verdana" w:hAnsi="Verdana" w:cstheme="minorHAnsi"/>
                <w:color w:val="7F7F7F" w:themeColor="text1" w:themeTint="80"/>
                <w:sz w:val="22"/>
                <w:szCs w:val="22"/>
                <w:lang w:val="en-US"/>
              </w:rPr>
              <w:t>Commission</w:t>
            </w:r>
            <w:r w:rsidR="00FA1B09" w:rsidRPr="00C24334">
              <w:rPr>
                <w:rFonts w:ascii="Verdana" w:hAnsi="Verdana" w:cstheme="minorHAnsi"/>
                <w:color w:val="7F7F7F" w:themeColor="text1" w:themeTint="80"/>
                <w:sz w:val="22"/>
                <w:szCs w:val="22"/>
                <w:lang w:val="en-US"/>
              </w:rPr>
              <w:t xml:space="preserve"> on this matter</w:t>
            </w:r>
            <w:r w:rsidRPr="00C24334">
              <w:rPr>
                <w:rFonts w:ascii="Verdana" w:hAnsi="Verdana" w:cstheme="minorHAnsi"/>
                <w:color w:val="7F7F7F" w:themeColor="text1" w:themeTint="80"/>
                <w:sz w:val="22"/>
                <w:szCs w:val="22"/>
                <w:lang w:val="en-US"/>
              </w:rPr>
              <w:t>;</w:t>
            </w:r>
            <w:r w:rsidR="00A70751" w:rsidRPr="00C24334">
              <w:rPr>
                <w:rFonts w:ascii="Verdana" w:hAnsi="Verdana" w:cstheme="minorHAnsi"/>
                <w:color w:val="7F7F7F" w:themeColor="text1" w:themeTint="80"/>
                <w:sz w:val="22"/>
                <w:szCs w:val="22"/>
                <w:lang w:val="en-US"/>
              </w:rPr>
              <w:t xml:space="preserve"> </w:t>
            </w:r>
            <w:bookmarkStart w:id="6" w:name="_Hlk28814956"/>
            <w:r w:rsidR="00DA24E8" w:rsidRPr="00C24334">
              <w:rPr>
                <w:rFonts w:ascii="Verdana" w:hAnsi="Verdana" w:cstheme="minorHAnsi"/>
                <w:color w:val="7F7F7F" w:themeColor="text1" w:themeTint="80"/>
                <w:sz w:val="22"/>
                <w:szCs w:val="22"/>
                <w:lang w:val="en-US"/>
              </w:rPr>
              <w:t>there was a clear intention to</w:t>
            </w:r>
            <w:r w:rsidR="00A70751" w:rsidRPr="00C24334">
              <w:rPr>
                <w:rFonts w:ascii="Verdana" w:hAnsi="Verdana" w:cstheme="minorHAnsi"/>
                <w:color w:val="7F7F7F" w:themeColor="text1" w:themeTint="80"/>
                <w:sz w:val="22"/>
                <w:szCs w:val="22"/>
                <w:lang w:val="en-US"/>
              </w:rPr>
              <w:t xml:space="preserve"> </w:t>
            </w:r>
            <w:r w:rsidRPr="00C24334">
              <w:rPr>
                <w:rFonts w:ascii="Verdana" w:hAnsi="Verdana" w:cstheme="minorHAnsi"/>
                <w:color w:val="7F7F7F" w:themeColor="text1" w:themeTint="80"/>
                <w:sz w:val="22"/>
                <w:szCs w:val="22"/>
                <w:lang w:val="en-US"/>
              </w:rPr>
              <w:t>improv</w:t>
            </w:r>
            <w:r w:rsidR="00DA24E8" w:rsidRPr="00C24334">
              <w:rPr>
                <w:rFonts w:ascii="Verdana" w:hAnsi="Verdana" w:cstheme="minorHAnsi"/>
                <w:color w:val="7F7F7F" w:themeColor="text1" w:themeTint="80"/>
                <w:sz w:val="22"/>
                <w:szCs w:val="22"/>
                <w:lang w:val="en-US"/>
              </w:rPr>
              <w:t>e</w:t>
            </w:r>
            <w:r w:rsidRPr="00C24334">
              <w:rPr>
                <w:rFonts w:ascii="Verdana" w:hAnsi="Verdana" w:cstheme="minorHAnsi"/>
                <w:color w:val="7F7F7F" w:themeColor="text1" w:themeTint="80"/>
                <w:sz w:val="22"/>
                <w:szCs w:val="22"/>
                <w:lang w:val="en-US"/>
              </w:rPr>
              <w:t xml:space="preserve"> the application of the</w:t>
            </w:r>
            <w:r w:rsidR="00A70751" w:rsidRPr="00C24334">
              <w:rPr>
                <w:rFonts w:ascii="Verdana" w:hAnsi="Verdana" w:cstheme="minorHAnsi"/>
                <w:color w:val="7F7F7F" w:themeColor="text1" w:themeTint="80"/>
                <w:sz w:val="22"/>
                <w:szCs w:val="22"/>
                <w:lang w:val="en-US"/>
              </w:rPr>
              <w:t xml:space="preserve"> proportionality</w:t>
            </w:r>
            <w:r w:rsidRPr="00C24334">
              <w:rPr>
                <w:rFonts w:ascii="Verdana" w:hAnsi="Verdana" w:cstheme="minorHAnsi"/>
                <w:color w:val="7F7F7F" w:themeColor="text1" w:themeTint="80"/>
                <w:sz w:val="22"/>
                <w:szCs w:val="22"/>
                <w:lang w:val="en-US"/>
              </w:rPr>
              <w:t xml:space="preserve"> principle</w:t>
            </w:r>
            <w:r w:rsidR="00A70751" w:rsidRPr="00C24334">
              <w:rPr>
                <w:rFonts w:ascii="Verdana" w:hAnsi="Verdana" w:cstheme="minorHAnsi"/>
                <w:color w:val="7F7F7F" w:themeColor="text1" w:themeTint="80"/>
                <w:sz w:val="22"/>
                <w:szCs w:val="22"/>
                <w:lang w:val="en-US"/>
              </w:rPr>
              <w:t xml:space="preserve"> and </w:t>
            </w:r>
            <w:r w:rsidR="00DA24E8" w:rsidRPr="00C24334">
              <w:rPr>
                <w:rFonts w:ascii="Verdana" w:hAnsi="Verdana" w:cstheme="minorHAnsi"/>
                <w:color w:val="7F7F7F" w:themeColor="text1" w:themeTint="80"/>
                <w:sz w:val="22"/>
                <w:szCs w:val="22"/>
                <w:lang w:val="en-US"/>
              </w:rPr>
              <w:t xml:space="preserve">to </w:t>
            </w:r>
            <w:r w:rsidR="00A70751" w:rsidRPr="00C24334">
              <w:rPr>
                <w:rFonts w:ascii="Verdana" w:hAnsi="Verdana" w:cstheme="minorHAnsi"/>
                <w:color w:val="7F7F7F" w:themeColor="text1" w:themeTint="80"/>
                <w:sz w:val="22"/>
                <w:szCs w:val="22"/>
                <w:lang w:val="en-US"/>
              </w:rPr>
              <w:t>reduc</w:t>
            </w:r>
            <w:r w:rsidR="00DA24E8" w:rsidRPr="00C24334">
              <w:rPr>
                <w:rFonts w:ascii="Verdana" w:hAnsi="Verdana" w:cstheme="minorHAnsi"/>
                <w:color w:val="7F7F7F" w:themeColor="text1" w:themeTint="80"/>
                <w:sz w:val="22"/>
                <w:szCs w:val="22"/>
                <w:lang w:val="en-US"/>
              </w:rPr>
              <w:t>e</w:t>
            </w:r>
            <w:r w:rsidR="00A70751" w:rsidRPr="00C24334">
              <w:rPr>
                <w:rFonts w:ascii="Verdana" w:hAnsi="Verdana" w:cstheme="minorHAnsi"/>
                <w:color w:val="7F7F7F" w:themeColor="text1" w:themeTint="80"/>
                <w:sz w:val="22"/>
                <w:szCs w:val="22"/>
                <w:lang w:val="en-US"/>
              </w:rPr>
              <w:t xml:space="preserve"> </w:t>
            </w:r>
            <w:r w:rsidRPr="00C24334">
              <w:rPr>
                <w:rFonts w:ascii="Verdana" w:hAnsi="Verdana" w:cstheme="minorHAnsi"/>
                <w:color w:val="7F7F7F" w:themeColor="text1" w:themeTint="80"/>
                <w:sz w:val="22"/>
                <w:szCs w:val="22"/>
                <w:lang w:val="en-US"/>
              </w:rPr>
              <w:t xml:space="preserve">the </w:t>
            </w:r>
            <w:r w:rsidR="00A70751" w:rsidRPr="00C24334">
              <w:rPr>
                <w:rFonts w:ascii="Verdana" w:hAnsi="Verdana" w:cstheme="minorHAnsi"/>
                <w:color w:val="7F7F7F" w:themeColor="text1" w:themeTint="80"/>
                <w:sz w:val="22"/>
                <w:szCs w:val="22"/>
                <w:lang w:val="en-US"/>
              </w:rPr>
              <w:t>overall burden</w:t>
            </w:r>
            <w:bookmarkEnd w:id="6"/>
            <w:r w:rsidR="00A70751" w:rsidRPr="00C24334">
              <w:rPr>
                <w:rFonts w:ascii="Verdana" w:hAnsi="Verdana" w:cstheme="minorHAnsi"/>
                <w:color w:val="7F7F7F" w:themeColor="text1" w:themeTint="80"/>
                <w:sz w:val="22"/>
                <w:szCs w:val="22"/>
                <w:lang w:val="en-US"/>
              </w:rPr>
              <w:t xml:space="preserve">. While there are some positive </w:t>
            </w:r>
            <w:r w:rsidR="00824248" w:rsidRPr="00C24334">
              <w:rPr>
                <w:rFonts w:ascii="Verdana" w:hAnsi="Verdana" w:cstheme="minorHAnsi"/>
                <w:color w:val="7F7F7F" w:themeColor="text1" w:themeTint="80"/>
                <w:sz w:val="22"/>
                <w:szCs w:val="22"/>
                <w:lang w:val="en-US"/>
              </w:rPr>
              <w:t>elements</w:t>
            </w:r>
            <w:r w:rsidR="00A70751" w:rsidRPr="00C24334">
              <w:rPr>
                <w:rFonts w:ascii="Verdana" w:hAnsi="Verdana" w:cstheme="minorHAnsi"/>
                <w:color w:val="7F7F7F" w:themeColor="text1" w:themeTint="80"/>
                <w:sz w:val="22"/>
                <w:szCs w:val="22"/>
                <w:lang w:val="en-US"/>
              </w:rPr>
              <w:t xml:space="preserve"> taken as a whole</w:t>
            </w:r>
            <w:r w:rsidRPr="00C24334">
              <w:rPr>
                <w:rFonts w:ascii="Verdana" w:hAnsi="Verdana" w:cstheme="minorHAnsi"/>
                <w:color w:val="7F7F7F" w:themeColor="text1" w:themeTint="80"/>
                <w:sz w:val="22"/>
                <w:szCs w:val="22"/>
                <w:lang w:val="en-US"/>
              </w:rPr>
              <w:t>,</w:t>
            </w:r>
            <w:r w:rsidR="00A70751" w:rsidRPr="00C24334">
              <w:rPr>
                <w:rFonts w:ascii="Verdana" w:hAnsi="Verdana" w:cstheme="minorHAnsi"/>
                <w:color w:val="7F7F7F" w:themeColor="text1" w:themeTint="80"/>
                <w:sz w:val="22"/>
                <w:szCs w:val="22"/>
                <w:lang w:val="en-US"/>
              </w:rPr>
              <w:t xml:space="preserve"> </w:t>
            </w:r>
            <w:r w:rsidRPr="00C24334">
              <w:rPr>
                <w:rFonts w:ascii="Verdana" w:hAnsi="Verdana" w:cstheme="minorHAnsi"/>
                <w:color w:val="7F7F7F" w:themeColor="text1" w:themeTint="80"/>
                <w:sz w:val="22"/>
                <w:szCs w:val="22"/>
                <w:lang w:val="en-US"/>
              </w:rPr>
              <w:t>some of the recommendations</w:t>
            </w:r>
            <w:r w:rsidR="00A70751" w:rsidRPr="00C24334">
              <w:rPr>
                <w:rFonts w:ascii="Verdana" w:hAnsi="Verdana" w:cstheme="minorHAnsi"/>
                <w:color w:val="7F7F7F" w:themeColor="text1" w:themeTint="80"/>
                <w:sz w:val="22"/>
                <w:szCs w:val="22"/>
                <w:lang w:val="en-US"/>
              </w:rPr>
              <w:t xml:space="preserve"> will increase rather than decrease the overall burden. </w:t>
            </w:r>
            <w:r w:rsidR="002460DC" w:rsidRPr="00C24334">
              <w:rPr>
                <w:rFonts w:ascii="Verdana" w:hAnsi="Verdana" w:cstheme="minorHAnsi"/>
                <w:color w:val="7F7F7F" w:themeColor="text1" w:themeTint="80"/>
                <w:sz w:val="22"/>
                <w:szCs w:val="22"/>
                <w:lang w:val="en-US"/>
              </w:rPr>
              <w:t>For example, EIOPA´s proposals to streamline the SFCR and to remove certain elements that are duplicated in the SFCR and RSR are insufficient our view</w:t>
            </w:r>
            <w:r w:rsidR="002F22A5">
              <w:rPr>
                <w:rFonts w:ascii="Verdana" w:hAnsi="Verdana"/>
                <w:color w:val="7F7F7F" w:themeColor="text1" w:themeTint="80"/>
                <w:sz w:val="22"/>
                <w:szCs w:val="22"/>
                <w:lang w:val="en-GB" w:eastAsia="fr-FR"/>
              </w:rPr>
              <w:t xml:space="preserve">. </w:t>
            </w:r>
            <w:r w:rsidR="002F22A5" w:rsidRPr="00823BC5">
              <w:rPr>
                <w:rFonts w:ascii="Verdana" w:hAnsi="Verdana" w:cstheme="minorHAnsi"/>
                <w:color w:val="7F7F7F" w:themeColor="text1" w:themeTint="80"/>
                <w:sz w:val="22"/>
                <w:szCs w:val="22"/>
                <w:lang w:val="en-US"/>
              </w:rPr>
              <w:t xml:space="preserve">On the frequency of the RSR full report, </w:t>
            </w:r>
            <w:r w:rsidR="002F22A5">
              <w:rPr>
                <w:rFonts w:ascii="Verdana" w:hAnsi="Verdana" w:cstheme="minorHAnsi"/>
                <w:color w:val="7F7F7F" w:themeColor="text1" w:themeTint="80"/>
                <w:sz w:val="22"/>
                <w:szCs w:val="22"/>
                <w:lang w:val="en-US"/>
              </w:rPr>
              <w:t xml:space="preserve">we </w:t>
            </w:r>
            <w:r w:rsidR="002F22A5" w:rsidRPr="00823BC5">
              <w:rPr>
                <w:rFonts w:ascii="Verdana" w:hAnsi="Verdana" w:cstheme="minorHAnsi"/>
                <w:color w:val="7F7F7F" w:themeColor="text1" w:themeTint="80"/>
                <w:sz w:val="22"/>
                <w:szCs w:val="22"/>
                <w:lang w:val="en-US"/>
              </w:rPr>
              <w:t>believe that a default frequency of the RSR should be</w:t>
            </w:r>
            <w:r w:rsidR="00E56DCF">
              <w:rPr>
                <w:rFonts w:ascii="Verdana" w:hAnsi="Verdana" w:cstheme="minorHAnsi"/>
                <w:color w:val="7F7F7F" w:themeColor="text1" w:themeTint="80"/>
                <w:sz w:val="22"/>
                <w:szCs w:val="22"/>
                <w:lang w:val="en-US"/>
              </w:rPr>
              <w:t xml:space="preserve"> </w:t>
            </w:r>
            <w:r w:rsidR="002F22A5" w:rsidRPr="00823BC5">
              <w:rPr>
                <w:rFonts w:ascii="Verdana" w:hAnsi="Verdana" w:cstheme="minorHAnsi"/>
                <w:color w:val="7F7F7F" w:themeColor="text1" w:themeTint="80"/>
                <w:sz w:val="22"/>
                <w:szCs w:val="22"/>
                <w:lang w:val="en-US"/>
              </w:rPr>
              <w:t>harmonised at 3 years.</w:t>
            </w:r>
            <w:r w:rsidR="002F22A5">
              <w:rPr>
                <w:rFonts w:ascii="Verdana" w:hAnsi="Verdana" w:cstheme="minorHAnsi"/>
                <w:color w:val="7F7F7F" w:themeColor="text1" w:themeTint="80"/>
                <w:sz w:val="22"/>
                <w:szCs w:val="22"/>
                <w:lang w:val="en-US"/>
              </w:rPr>
              <w:t xml:space="preserve"> </w:t>
            </w:r>
            <w:r w:rsidR="002F22A5" w:rsidRPr="003F3FBA">
              <w:rPr>
                <w:rFonts w:ascii="Verdana" w:hAnsi="Verdana"/>
                <w:color w:val="7F7F7F" w:themeColor="text1" w:themeTint="80"/>
                <w:sz w:val="22"/>
                <w:szCs w:val="22"/>
                <w:lang w:val="en-GB" w:eastAsia="fr-FR"/>
              </w:rPr>
              <w:t xml:space="preserve">The single SFCR report should not be split into separate reports with </w:t>
            </w:r>
            <w:r w:rsidR="002F22A5">
              <w:rPr>
                <w:rFonts w:ascii="Verdana" w:hAnsi="Verdana"/>
                <w:color w:val="7F7F7F" w:themeColor="text1" w:themeTint="80"/>
                <w:sz w:val="22"/>
                <w:szCs w:val="22"/>
                <w:lang w:val="en-GB" w:eastAsia="fr-FR"/>
              </w:rPr>
              <w:t xml:space="preserve">different </w:t>
            </w:r>
            <w:r w:rsidR="002F22A5" w:rsidRPr="003F3FBA">
              <w:rPr>
                <w:rFonts w:ascii="Verdana" w:hAnsi="Verdana"/>
                <w:color w:val="7F7F7F" w:themeColor="text1" w:themeTint="80"/>
                <w:sz w:val="22"/>
                <w:szCs w:val="22"/>
                <w:lang w:val="en-GB" w:eastAsia="fr-FR"/>
              </w:rPr>
              <w:t>deadlines</w:t>
            </w:r>
            <w:r w:rsidR="00C5695A">
              <w:rPr>
                <w:rFonts w:ascii="Verdana" w:hAnsi="Verdana"/>
                <w:color w:val="7F7F7F" w:themeColor="text1" w:themeTint="80"/>
                <w:sz w:val="22"/>
                <w:szCs w:val="22"/>
                <w:lang w:val="en-GB" w:eastAsia="fr-FR"/>
              </w:rPr>
              <w:t xml:space="preserve"> as the purpose of having one single document will not be </w:t>
            </w:r>
            <w:r w:rsidR="00E56DCF">
              <w:rPr>
                <w:rFonts w:ascii="Verdana" w:hAnsi="Verdana"/>
                <w:color w:val="7F7F7F" w:themeColor="text1" w:themeTint="80"/>
                <w:sz w:val="22"/>
                <w:szCs w:val="22"/>
                <w:lang w:val="en-GB" w:eastAsia="fr-FR"/>
              </w:rPr>
              <w:t>achieved. Finally</w:t>
            </w:r>
            <w:r w:rsidR="00C5695A">
              <w:rPr>
                <w:rFonts w:ascii="Verdana" w:hAnsi="Verdana"/>
                <w:color w:val="7F7F7F" w:themeColor="text1" w:themeTint="80"/>
                <w:sz w:val="22"/>
                <w:szCs w:val="22"/>
                <w:lang w:val="en-GB" w:eastAsia="fr-FR"/>
              </w:rPr>
              <w:t>, we</w:t>
            </w:r>
            <w:r w:rsidR="00C5695A" w:rsidRPr="00FE2D33">
              <w:rPr>
                <w:rFonts w:ascii="Verdana" w:hAnsi="Verdana"/>
                <w:color w:val="7F7F7F" w:themeColor="text1" w:themeTint="80"/>
                <w:sz w:val="22"/>
                <w:szCs w:val="22"/>
                <w:lang w:val="en-GB" w:eastAsia="fr-FR"/>
              </w:rPr>
              <w:t xml:space="preserve"> have strong concerns regarding EIOPA´s proposal to request an external audit of the Group SFCR. The Solvency II Directive should not require any form of external scrutiny or audit of </w:t>
            </w:r>
            <w:r w:rsidR="00C5695A">
              <w:rPr>
                <w:rFonts w:ascii="Verdana" w:hAnsi="Verdana"/>
                <w:color w:val="7F7F7F" w:themeColor="text1" w:themeTint="80"/>
                <w:sz w:val="22"/>
                <w:szCs w:val="22"/>
                <w:lang w:val="en-GB" w:eastAsia="fr-FR"/>
              </w:rPr>
              <w:t xml:space="preserve">the </w:t>
            </w:r>
            <w:r w:rsidR="00C5695A" w:rsidRPr="00FE2D33">
              <w:rPr>
                <w:rFonts w:ascii="Verdana" w:hAnsi="Verdana"/>
                <w:color w:val="7F7F7F" w:themeColor="text1" w:themeTint="80"/>
                <w:sz w:val="22"/>
                <w:szCs w:val="22"/>
                <w:lang w:val="en-GB" w:eastAsia="fr-FR"/>
              </w:rPr>
              <w:t>Solvency II</w:t>
            </w:r>
            <w:r w:rsidR="00C5695A">
              <w:rPr>
                <w:rFonts w:ascii="Verdana" w:hAnsi="Verdana"/>
                <w:color w:val="7F7F7F" w:themeColor="text1" w:themeTint="80"/>
                <w:sz w:val="22"/>
                <w:szCs w:val="22"/>
                <w:lang w:val="en-GB" w:eastAsia="fr-FR"/>
              </w:rPr>
              <w:t xml:space="preserve"> information</w:t>
            </w:r>
            <w:r w:rsidR="00C5695A" w:rsidRPr="00FE2D33">
              <w:rPr>
                <w:rFonts w:ascii="Verdana" w:hAnsi="Verdana"/>
                <w:color w:val="7F7F7F" w:themeColor="text1" w:themeTint="80"/>
                <w:sz w:val="22"/>
                <w:szCs w:val="22"/>
                <w:lang w:val="en-GB" w:eastAsia="fr-FR"/>
              </w:rPr>
              <w:t xml:space="preserve">. </w:t>
            </w:r>
          </w:p>
          <w:p w14:paraId="12C26CBE" w14:textId="1000FE7B" w:rsidR="00D62EC0" w:rsidRPr="00C24334" w:rsidRDefault="00D62EC0" w:rsidP="00020B14">
            <w:pPr>
              <w:tabs>
                <w:tab w:val="left" w:pos="0"/>
              </w:tabs>
              <w:spacing w:before="120"/>
              <w:rPr>
                <w:rFonts w:ascii="Verdana" w:hAnsi="Verdana"/>
                <w:b/>
                <w:bCs/>
                <w:color w:val="7F7F7F" w:themeColor="text1" w:themeTint="80"/>
                <w:sz w:val="22"/>
                <w:szCs w:val="22"/>
                <w:u w:val="single"/>
                <w:lang w:val="en-GB" w:eastAsia="fr-FR"/>
              </w:rPr>
            </w:pPr>
            <w:r w:rsidRPr="00C24334">
              <w:rPr>
                <w:rFonts w:ascii="Verdana" w:hAnsi="Verdana"/>
                <w:b/>
                <w:bCs/>
                <w:color w:val="7F7F7F" w:themeColor="text1" w:themeTint="80"/>
                <w:sz w:val="22"/>
                <w:szCs w:val="22"/>
                <w:u w:val="single"/>
                <w:lang w:val="en-GB" w:eastAsia="fr-FR"/>
              </w:rPr>
              <w:t>8. Proportionality</w:t>
            </w:r>
          </w:p>
          <w:p w14:paraId="689576B1" w14:textId="77777777" w:rsidR="00185900" w:rsidRPr="00C24334" w:rsidRDefault="00185900" w:rsidP="00020B14">
            <w:pPr>
              <w:tabs>
                <w:tab w:val="left" w:pos="0"/>
              </w:tabs>
              <w:spacing w:after="120"/>
              <w:rPr>
                <w:rFonts w:ascii="Verdana" w:hAnsi="Verdana"/>
                <w:color w:val="7F7F7F" w:themeColor="text1" w:themeTint="80"/>
                <w:sz w:val="22"/>
                <w:szCs w:val="22"/>
                <w:lang w:val="en-US" w:eastAsia="fr-FR"/>
              </w:rPr>
            </w:pPr>
            <w:r w:rsidRPr="00C24334">
              <w:rPr>
                <w:rFonts w:ascii="Verdana" w:hAnsi="Verdana"/>
                <w:color w:val="7F7F7F" w:themeColor="text1" w:themeTint="80"/>
                <w:sz w:val="22"/>
                <w:szCs w:val="22"/>
                <w:lang w:val="en-GB" w:eastAsia="fr-FR"/>
              </w:rPr>
              <w:t xml:space="preserve">The Directive must make clear that </w:t>
            </w:r>
            <w:r w:rsidRPr="00C24334">
              <w:rPr>
                <w:rFonts w:ascii="Verdana" w:hAnsi="Verdana"/>
                <w:b/>
                <w:bCs/>
                <w:color w:val="7F7F7F" w:themeColor="text1" w:themeTint="80"/>
                <w:sz w:val="22"/>
                <w:szCs w:val="22"/>
                <w:lang w:val="en-GB" w:eastAsia="fr-FR"/>
              </w:rPr>
              <w:t xml:space="preserve">NSAs have a duty </w:t>
            </w:r>
            <w:r w:rsidRPr="00C24334">
              <w:rPr>
                <w:rFonts w:ascii="Verdana" w:hAnsi="Verdana"/>
                <w:color w:val="7F7F7F" w:themeColor="text1" w:themeTint="80"/>
                <w:sz w:val="22"/>
                <w:szCs w:val="22"/>
                <w:lang w:val="en-GB" w:eastAsia="fr-FR"/>
              </w:rPr>
              <w:t>to always consider where they should allow companies to deviate from any specific requirements due to proportionality considerations, either by using approximations, simplified approaches or by not applying a requirement where appropriate.</w:t>
            </w:r>
          </w:p>
          <w:p w14:paraId="50D85416" w14:textId="48194A88" w:rsidR="00185900" w:rsidRPr="00C24334" w:rsidRDefault="00185900" w:rsidP="00020B14">
            <w:pPr>
              <w:tabs>
                <w:tab w:val="left" w:pos="0"/>
              </w:tabs>
              <w:rPr>
                <w:rFonts w:ascii="Verdana" w:hAnsi="Verdana"/>
                <w:color w:val="7F7F7F" w:themeColor="text1" w:themeTint="80"/>
                <w:sz w:val="22"/>
                <w:szCs w:val="22"/>
                <w:lang w:val="en-US" w:eastAsia="fr-FR"/>
              </w:rPr>
            </w:pPr>
            <w:r w:rsidRPr="00C24334">
              <w:rPr>
                <w:rFonts w:ascii="Verdana" w:hAnsi="Verdana"/>
                <w:b/>
                <w:bCs/>
                <w:color w:val="7F7F7F" w:themeColor="text1" w:themeTint="80"/>
                <w:sz w:val="22"/>
                <w:szCs w:val="22"/>
                <w:lang w:val="en-GB" w:eastAsia="fr-FR"/>
              </w:rPr>
              <w:t>A "toolbox" providing a non-exhaustive list of simplifications</w:t>
            </w:r>
            <w:r w:rsidRPr="00C24334">
              <w:rPr>
                <w:rFonts w:ascii="Verdana" w:hAnsi="Verdana"/>
                <w:color w:val="7F7F7F" w:themeColor="text1" w:themeTint="80"/>
                <w:sz w:val="22"/>
                <w:szCs w:val="22"/>
                <w:lang w:val="en-GB" w:eastAsia="fr-FR"/>
              </w:rPr>
              <w:t xml:space="preserve">, alternative calculation methods and/or exemptions from certain </w:t>
            </w:r>
            <w:r w:rsidRPr="00C24334">
              <w:rPr>
                <w:rFonts w:ascii="Verdana" w:hAnsi="Verdana"/>
                <w:color w:val="7F7F7F" w:themeColor="text1" w:themeTint="80"/>
                <w:sz w:val="22"/>
                <w:szCs w:val="22"/>
                <w:lang w:val="en-GB" w:eastAsia="fr-FR"/>
              </w:rPr>
              <w:lastRenderedPageBreak/>
              <w:t xml:space="preserve">reporting templates that can be automatically applied by companies when some predefined and risk-based criteria are met. </w:t>
            </w:r>
            <w:r w:rsidRPr="00C24334">
              <w:rPr>
                <w:rFonts w:ascii="Verdana" w:hAnsi="Verdana"/>
                <w:color w:val="7F7F7F" w:themeColor="text1" w:themeTint="80"/>
                <w:sz w:val="22"/>
                <w:szCs w:val="22"/>
                <w:lang w:val="en-US" w:eastAsia="fr-FR"/>
              </w:rPr>
              <w:t xml:space="preserve">EIOPA should publish an </w:t>
            </w:r>
            <w:r w:rsidRPr="00C24334">
              <w:rPr>
                <w:rFonts w:ascii="Verdana" w:hAnsi="Verdana"/>
                <w:b/>
                <w:bCs/>
                <w:color w:val="7F7F7F" w:themeColor="text1" w:themeTint="80"/>
                <w:sz w:val="22"/>
                <w:szCs w:val="22"/>
                <w:lang w:val="en-US" w:eastAsia="fr-FR"/>
              </w:rPr>
              <w:t xml:space="preserve">annual report on proportionality </w:t>
            </w:r>
            <w:r w:rsidRPr="00C24334">
              <w:rPr>
                <w:rFonts w:ascii="Verdana" w:hAnsi="Verdana"/>
                <w:color w:val="7F7F7F" w:themeColor="text1" w:themeTint="80"/>
                <w:sz w:val="22"/>
                <w:szCs w:val="22"/>
                <w:lang w:val="en-US" w:eastAsia="fr-FR"/>
              </w:rPr>
              <w:t>including proposals on how to improve its effectiveness and consistency.</w:t>
            </w:r>
          </w:p>
          <w:bookmarkEnd w:id="5"/>
          <w:p w14:paraId="17D4447E" w14:textId="6824F92C" w:rsidR="00180E87" w:rsidRPr="00C24334" w:rsidRDefault="00A70751" w:rsidP="00020B14">
            <w:pPr>
              <w:tabs>
                <w:tab w:val="left" w:pos="0"/>
              </w:tabs>
              <w:spacing w:before="120" w:after="120"/>
              <w:rPr>
                <w:rFonts w:ascii="Verdana" w:hAnsi="Verdana"/>
                <w:b/>
                <w:bCs/>
                <w:color w:val="7F7F7F" w:themeColor="text1" w:themeTint="80"/>
                <w:sz w:val="22"/>
                <w:szCs w:val="22"/>
                <w:u w:val="single"/>
                <w:lang w:val="en-GB" w:eastAsia="fr-FR"/>
              </w:rPr>
            </w:pPr>
            <w:r w:rsidRPr="00C24334">
              <w:rPr>
                <w:rFonts w:ascii="Verdana" w:hAnsi="Verdana"/>
                <w:b/>
                <w:bCs/>
                <w:color w:val="7F7F7F" w:themeColor="text1" w:themeTint="80"/>
                <w:sz w:val="22"/>
                <w:szCs w:val="22"/>
                <w:u w:val="single"/>
                <w:lang w:val="en-GB" w:eastAsia="fr-FR"/>
              </w:rPr>
              <w:t xml:space="preserve">9. </w:t>
            </w:r>
            <w:r w:rsidR="002B4626" w:rsidRPr="00C24334">
              <w:rPr>
                <w:rFonts w:ascii="Verdana" w:hAnsi="Verdana"/>
                <w:b/>
                <w:bCs/>
                <w:color w:val="7F7F7F" w:themeColor="text1" w:themeTint="80"/>
                <w:sz w:val="22"/>
                <w:szCs w:val="22"/>
                <w:u w:val="single"/>
                <w:lang w:val="en-GB" w:eastAsia="fr-FR"/>
              </w:rPr>
              <w:t>Group Supervision</w:t>
            </w:r>
          </w:p>
          <w:p w14:paraId="59B04D77" w14:textId="2FE3E6C5" w:rsidR="00763242" w:rsidRPr="00C24334" w:rsidRDefault="00E13093" w:rsidP="00020B14">
            <w:pPr>
              <w:pStyle w:val="CommentText"/>
              <w:tabs>
                <w:tab w:val="left" w:pos="0"/>
              </w:tabs>
              <w:spacing w:after="120"/>
              <w:rPr>
                <w:rFonts w:ascii="Verdana" w:hAnsi="Verdana" w:cstheme="minorHAnsi"/>
                <w:color w:val="7F7F7F" w:themeColor="text1" w:themeTint="80"/>
                <w:sz w:val="22"/>
                <w:szCs w:val="22"/>
                <w:lang w:val="en-US"/>
              </w:rPr>
            </w:pPr>
            <w:r w:rsidRPr="00C24334">
              <w:rPr>
                <w:rFonts w:ascii="Verdana" w:hAnsi="Verdana"/>
                <w:color w:val="7F7F7F" w:themeColor="text1" w:themeTint="80"/>
                <w:sz w:val="22"/>
                <w:szCs w:val="22"/>
                <w:lang w:val="en-US"/>
              </w:rPr>
              <w:t>We believe that the Solvency II legislation should not be amended to consider isolated or individual cases taking place in a single Member State.</w:t>
            </w:r>
            <w:r w:rsidR="00763242" w:rsidRPr="00C24334">
              <w:rPr>
                <w:rFonts w:ascii="Verdana" w:hAnsi="Verdana"/>
                <w:color w:val="7F7F7F" w:themeColor="text1" w:themeTint="80"/>
                <w:sz w:val="22"/>
                <w:szCs w:val="22"/>
                <w:lang w:val="en-US"/>
              </w:rPr>
              <w:t xml:space="preserve"> </w:t>
            </w:r>
            <w:r w:rsidR="00763242" w:rsidRPr="00C24334">
              <w:rPr>
                <w:rFonts w:ascii="Verdana" w:hAnsi="Verdana" w:cstheme="minorHAnsi"/>
                <w:color w:val="7F7F7F" w:themeColor="text1" w:themeTint="80"/>
                <w:sz w:val="22"/>
                <w:szCs w:val="22"/>
                <w:lang w:val="en-US"/>
              </w:rPr>
              <w:t>While there may be a need to improve convergence of supervisory practices, this should not be achieved by changes to the legislation, but more appropriately through the supervisory handbook, workshops, colleges of supervisors, etc. These tools also foster dialogue between NSAs, and between EIOPA and NSAs, and allow to understand why and how in some cases divergent practices are justified by the specificities of particular groups.</w:t>
            </w:r>
          </w:p>
          <w:p w14:paraId="0B0A057D" w14:textId="5518E3F7" w:rsidR="00763242" w:rsidRPr="00C24334" w:rsidRDefault="002460DC" w:rsidP="00020B14">
            <w:pPr>
              <w:pStyle w:val="CommentText"/>
              <w:tabs>
                <w:tab w:val="left" w:pos="0"/>
              </w:tabs>
              <w:spacing w:before="120" w:after="120"/>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On group issues the role of the group supervisor should be enhanced rather than extending EIOPA´s direct role</w:t>
            </w:r>
            <w:r w:rsidR="00763242" w:rsidRPr="00C24334">
              <w:rPr>
                <w:rFonts w:ascii="Verdana" w:hAnsi="Verdana"/>
                <w:color w:val="7F7F7F" w:themeColor="text1" w:themeTint="80"/>
                <w:sz w:val="22"/>
                <w:szCs w:val="22"/>
                <w:lang w:val="en-US"/>
              </w:rPr>
              <w:t xml:space="preserve">. The mediation role of EIOPA should be reinforced </w:t>
            </w:r>
            <w:r w:rsidRPr="00C24334">
              <w:rPr>
                <w:rFonts w:ascii="Verdana" w:hAnsi="Verdana"/>
                <w:color w:val="7F7F7F" w:themeColor="text1" w:themeTint="80"/>
                <w:sz w:val="22"/>
                <w:szCs w:val="22"/>
                <w:lang w:val="en-US"/>
              </w:rPr>
              <w:t xml:space="preserve">only </w:t>
            </w:r>
            <w:r w:rsidR="00763242" w:rsidRPr="00C24334">
              <w:rPr>
                <w:rFonts w:ascii="Verdana" w:hAnsi="Verdana"/>
                <w:color w:val="7F7F7F" w:themeColor="text1" w:themeTint="80"/>
                <w:sz w:val="22"/>
                <w:szCs w:val="22"/>
                <w:lang w:val="en-US"/>
              </w:rPr>
              <w:t xml:space="preserve">in those cases where </w:t>
            </w:r>
            <w:r w:rsidR="000B0F93" w:rsidRPr="00C24334">
              <w:rPr>
                <w:rFonts w:ascii="Verdana" w:hAnsi="Verdana"/>
                <w:color w:val="7F7F7F" w:themeColor="text1" w:themeTint="80"/>
                <w:sz w:val="22"/>
                <w:szCs w:val="22"/>
                <w:lang w:val="en-US"/>
              </w:rPr>
              <w:t>NSAs</w:t>
            </w:r>
            <w:r w:rsidR="00763242" w:rsidRPr="00C24334">
              <w:rPr>
                <w:rFonts w:ascii="Verdana" w:hAnsi="Verdana"/>
                <w:color w:val="7F7F7F" w:themeColor="text1" w:themeTint="80"/>
                <w:sz w:val="22"/>
                <w:szCs w:val="22"/>
                <w:lang w:val="en-US"/>
              </w:rPr>
              <w:t xml:space="preserve"> </w:t>
            </w:r>
            <w:r w:rsidR="000B0F93" w:rsidRPr="00C24334">
              <w:rPr>
                <w:rFonts w:ascii="Verdana" w:hAnsi="Verdana"/>
                <w:color w:val="7F7F7F" w:themeColor="text1" w:themeTint="80"/>
                <w:sz w:val="22"/>
                <w:szCs w:val="22"/>
                <w:lang w:val="en-US"/>
              </w:rPr>
              <w:t xml:space="preserve">do not ensure </w:t>
            </w:r>
            <w:r w:rsidR="00763242" w:rsidRPr="00C24334">
              <w:rPr>
                <w:rFonts w:ascii="Verdana" w:hAnsi="Verdana"/>
                <w:color w:val="7F7F7F" w:themeColor="text1" w:themeTint="80"/>
                <w:sz w:val="22"/>
                <w:szCs w:val="22"/>
                <w:lang w:val="en-US"/>
              </w:rPr>
              <w:t xml:space="preserve">the level playing field or go clearly beyond the Solvency II </w:t>
            </w:r>
            <w:r w:rsidR="000B0F93" w:rsidRPr="00C24334">
              <w:rPr>
                <w:rFonts w:ascii="Verdana" w:hAnsi="Verdana"/>
                <w:color w:val="7F7F7F" w:themeColor="text1" w:themeTint="80"/>
                <w:sz w:val="22"/>
                <w:szCs w:val="22"/>
                <w:lang w:val="en-US"/>
              </w:rPr>
              <w:t>framework.</w:t>
            </w:r>
          </w:p>
          <w:p w14:paraId="481E5CE1" w14:textId="57FD522C" w:rsidR="00763242" w:rsidRPr="00C24334" w:rsidRDefault="00763242" w:rsidP="00020B14">
            <w:pPr>
              <w:pStyle w:val="CommentText"/>
              <w:tabs>
                <w:tab w:val="left" w:pos="0"/>
              </w:tabs>
              <w:spacing w:after="120"/>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 xml:space="preserve">There is </w:t>
            </w:r>
            <w:r w:rsidRPr="00C24334">
              <w:rPr>
                <w:rFonts w:ascii="Verdana" w:hAnsi="Verdana"/>
                <w:b/>
                <w:bCs/>
                <w:color w:val="7F7F7F" w:themeColor="text1" w:themeTint="80"/>
                <w:sz w:val="22"/>
                <w:szCs w:val="22"/>
                <w:lang w:val="en-US"/>
              </w:rPr>
              <w:t>no need for a notional MCR</w:t>
            </w:r>
            <w:r w:rsidRPr="00C24334">
              <w:rPr>
                <w:rFonts w:ascii="Verdana" w:hAnsi="Verdana"/>
                <w:color w:val="7F7F7F" w:themeColor="text1" w:themeTint="80"/>
                <w:sz w:val="22"/>
                <w:szCs w:val="22"/>
                <w:lang w:val="en-US"/>
              </w:rPr>
              <w:t xml:space="preserve"> for MFHC and IHC</w:t>
            </w:r>
            <w:r w:rsidR="002E3630" w:rsidRPr="00C24334">
              <w:rPr>
                <w:rFonts w:ascii="Verdana" w:hAnsi="Verdana"/>
                <w:color w:val="7F7F7F" w:themeColor="text1" w:themeTint="80"/>
                <w:sz w:val="22"/>
                <w:szCs w:val="22"/>
                <w:lang w:val="en-US"/>
              </w:rPr>
              <w:t xml:space="preserve"> entities</w:t>
            </w:r>
            <w:r w:rsidRPr="00C24334">
              <w:rPr>
                <w:rFonts w:ascii="Verdana" w:hAnsi="Verdana"/>
                <w:color w:val="7F7F7F" w:themeColor="text1" w:themeTint="80"/>
                <w:sz w:val="22"/>
                <w:szCs w:val="22"/>
                <w:lang w:val="en-US"/>
              </w:rPr>
              <w:t xml:space="preserve">. There is </w:t>
            </w:r>
            <w:r w:rsidRPr="00C24334">
              <w:rPr>
                <w:rFonts w:ascii="Verdana" w:hAnsi="Verdana"/>
                <w:b/>
                <w:bCs/>
                <w:color w:val="7F7F7F" w:themeColor="text1" w:themeTint="80"/>
                <w:sz w:val="22"/>
                <w:szCs w:val="22"/>
                <w:lang w:val="en-US"/>
              </w:rPr>
              <w:t>no need for additional power of supervisors to be able to restructure a group</w:t>
            </w:r>
            <w:r w:rsidRPr="00C24334">
              <w:rPr>
                <w:rFonts w:ascii="Verdana" w:hAnsi="Verdana"/>
                <w:color w:val="7F7F7F" w:themeColor="text1" w:themeTint="80"/>
                <w:sz w:val="22"/>
                <w:szCs w:val="22"/>
                <w:lang w:val="en-US"/>
              </w:rPr>
              <w:t>:</w:t>
            </w:r>
            <w:r w:rsidRPr="00C24334">
              <w:rPr>
                <w:rFonts w:ascii="Verdana" w:hAnsi="Verdana" w:cstheme="minorHAnsi"/>
                <w:color w:val="7F7F7F" w:themeColor="text1" w:themeTint="80"/>
                <w:sz w:val="22"/>
                <w:szCs w:val="22"/>
                <w:lang w:val="en-US"/>
              </w:rPr>
              <w:t xml:space="preserve"> we believe the proposed additional powers for NSAs to restructure a group, or to choose which company would be designated as the responsible for horizontal groups are overly intrusive and too far-reaching compared to the (theoretical) benefits.</w:t>
            </w:r>
            <w:r w:rsidRPr="00C24334">
              <w:rPr>
                <w:rFonts w:ascii="Verdana" w:hAnsi="Verdana"/>
                <w:color w:val="7F7F7F" w:themeColor="text1" w:themeTint="80"/>
                <w:sz w:val="22"/>
                <w:szCs w:val="22"/>
                <w:lang w:val="en-US"/>
              </w:rPr>
              <w:t xml:space="preserve"> </w:t>
            </w:r>
          </w:p>
          <w:p w14:paraId="679590CC" w14:textId="7BF109CB" w:rsidR="002B4626" w:rsidRPr="00C24334" w:rsidRDefault="00763242" w:rsidP="00020B14">
            <w:pPr>
              <w:tabs>
                <w:tab w:val="left" w:pos="0"/>
              </w:tabs>
              <w:spacing w:after="120"/>
              <w:rPr>
                <w:rFonts w:ascii="Verdana" w:hAnsi="Verdana"/>
                <w:color w:val="7F7F7F" w:themeColor="text1" w:themeTint="80"/>
                <w:sz w:val="22"/>
                <w:szCs w:val="22"/>
                <w:lang w:val="en-GB" w:eastAsia="fr-FR"/>
              </w:rPr>
            </w:pPr>
            <w:r w:rsidRPr="00C24334">
              <w:rPr>
                <w:rFonts w:ascii="Verdana" w:hAnsi="Verdana" w:cstheme="minorHAnsi"/>
                <w:color w:val="7F7F7F" w:themeColor="text1" w:themeTint="80"/>
                <w:sz w:val="22"/>
                <w:szCs w:val="22"/>
                <w:lang w:val="en-US"/>
              </w:rPr>
              <w:t xml:space="preserve">Other group supervision proposals we think become overly complicated are the consideration of EPIFPs as unavailable by default at group level, </w:t>
            </w:r>
            <w:r w:rsidRPr="00C24334">
              <w:rPr>
                <w:rFonts w:ascii="Verdana" w:hAnsi="Verdana" w:cstheme="minorHAnsi"/>
                <w:color w:val="7F7F7F" w:themeColor="text1" w:themeTint="80"/>
                <w:sz w:val="22"/>
                <w:szCs w:val="22"/>
                <w:lang w:val="en-US"/>
              </w:rPr>
              <w:lastRenderedPageBreak/>
              <w:t xml:space="preserve">or the broadening of the scope of the minimum consolidated group SCR to insurance holding companies and mixed financial holding companies, or the ideas to unnecessarily restrict the use of Method 2. On the latter point, we disagree and consider method 2 or a combination of methods still to be an appropriate alternative for some groups, e.g. for mutuals with limitations on own funds’ availability. </w:t>
            </w:r>
          </w:p>
          <w:p w14:paraId="7C7DC480" w14:textId="6ECB542B" w:rsidR="00C706B6" w:rsidRPr="00C24334" w:rsidRDefault="00C706B6" w:rsidP="00020B14">
            <w:pPr>
              <w:tabs>
                <w:tab w:val="left" w:pos="0"/>
              </w:tabs>
              <w:rPr>
                <w:rFonts w:ascii="Verdana" w:eastAsia="Verdana" w:hAnsi="Verdana" w:cs="Verdana"/>
                <w:b/>
                <w:bCs/>
                <w:color w:val="7F7F7F" w:themeColor="text1" w:themeTint="80"/>
                <w:sz w:val="22"/>
                <w:szCs w:val="22"/>
                <w:u w:val="single"/>
                <w:lang w:val="en-US"/>
              </w:rPr>
            </w:pPr>
            <w:r w:rsidRPr="00C24334">
              <w:rPr>
                <w:rFonts w:ascii="Verdana" w:eastAsia="Verdana" w:hAnsi="Verdana" w:cs="Verdana"/>
                <w:b/>
                <w:bCs/>
                <w:color w:val="7F7F7F" w:themeColor="text1" w:themeTint="80"/>
                <w:sz w:val="22"/>
                <w:szCs w:val="22"/>
                <w:u w:val="single"/>
                <w:lang w:val="en-US"/>
              </w:rPr>
              <w:t>11. Macroprudential policy</w:t>
            </w:r>
          </w:p>
          <w:p w14:paraId="3273BB22" w14:textId="0597C08C" w:rsidR="00B7788D" w:rsidRDefault="00B7788D" w:rsidP="00020B14">
            <w:pPr>
              <w:tabs>
                <w:tab w:val="left" w:pos="0"/>
              </w:tabs>
              <w:rPr>
                <w:rFonts w:ascii="Verdana" w:hAnsi="Verdana"/>
                <w:color w:val="7F7F7F"/>
                <w:sz w:val="22"/>
                <w:szCs w:val="22"/>
                <w:lang w:val="en-US"/>
              </w:rPr>
            </w:pPr>
            <w:r>
              <w:rPr>
                <w:rFonts w:ascii="Verdana" w:hAnsi="Verdana"/>
                <w:color w:val="7F7F7F"/>
                <w:sz w:val="22"/>
                <w:szCs w:val="22"/>
                <w:lang w:val="en-US"/>
              </w:rPr>
              <w:t xml:space="preserve">AMICE would like to reiterate that systemic risk is a concept that little applies to the insurance sector that is all based on mutualisation and diversification approaches most notably in the </w:t>
            </w:r>
            <w:r w:rsidR="005943BF">
              <w:rPr>
                <w:rFonts w:ascii="Verdana" w:hAnsi="Verdana"/>
                <w:color w:val="7F7F7F"/>
                <w:sz w:val="22"/>
                <w:szCs w:val="22"/>
                <w:lang w:val="en-US"/>
              </w:rPr>
              <w:t>non-life</w:t>
            </w:r>
            <w:r>
              <w:rPr>
                <w:rFonts w:ascii="Verdana" w:hAnsi="Verdana"/>
                <w:color w:val="7F7F7F"/>
                <w:sz w:val="22"/>
                <w:szCs w:val="22"/>
                <w:lang w:val="en-US"/>
              </w:rPr>
              <w:t xml:space="preserve"> sector. Insurance is very different from banks and does not participate in the monetary transmission chain nor does it work under short term deposits and debt to lend long and hence be subject to strong liquidity issues. The interconnectedness between insurers is none existent in comparison to banks.</w:t>
            </w:r>
          </w:p>
          <w:p w14:paraId="1CDEE47D" w14:textId="68680F8B" w:rsidR="00B7788D" w:rsidRDefault="00B7788D" w:rsidP="00020B14">
            <w:pPr>
              <w:tabs>
                <w:tab w:val="left" w:pos="0"/>
              </w:tabs>
              <w:rPr>
                <w:rFonts w:ascii="Verdana" w:hAnsi="Verdana"/>
                <w:color w:val="7F7F7F"/>
                <w:sz w:val="22"/>
                <w:szCs w:val="22"/>
                <w:lang w:val="en-US"/>
              </w:rPr>
            </w:pPr>
            <w:r>
              <w:rPr>
                <w:rFonts w:ascii="Verdana" w:hAnsi="Verdana"/>
                <w:color w:val="7F7F7F"/>
                <w:sz w:val="22"/>
                <w:szCs w:val="22"/>
                <w:lang w:val="en-US"/>
              </w:rPr>
              <w:t xml:space="preserve">In light of this we think that the </w:t>
            </w:r>
            <w:r w:rsidR="005943BF">
              <w:rPr>
                <w:rFonts w:ascii="Verdana" w:hAnsi="Verdana"/>
                <w:color w:val="7F7F7F"/>
                <w:sz w:val="22"/>
                <w:szCs w:val="22"/>
                <w:lang w:val="en-US"/>
              </w:rPr>
              <w:t>micro prudential</w:t>
            </w:r>
            <w:r>
              <w:rPr>
                <w:rFonts w:ascii="Verdana" w:hAnsi="Verdana"/>
                <w:color w:val="7F7F7F"/>
                <w:sz w:val="22"/>
                <w:szCs w:val="22"/>
                <w:lang w:val="en-US"/>
              </w:rPr>
              <w:t xml:space="preserve"> framework is well suited to warrant a robust insurance sector as long as insurers cover their capital requirements and monitor their risks according to the PPP and with the powerful governance tools of pillar 2 and notably the ORSA.</w:t>
            </w:r>
          </w:p>
          <w:p w14:paraId="54790F38" w14:textId="2970E626" w:rsidR="002B4626" w:rsidRPr="00C24334" w:rsidRDefault="00BD4B05" w:rsidP="00020B14">
            <w:pPr>
              <w:tabs>
                <w:tab w:val="left" w:pos="0"/>
              </w:tabs>
              <w:rPr>
                <w:rFonts w:ascii="Verdana" w:hAnsi="Verdana"/>
                <w:color w:val="7F7F7F" w:themeColor="text1" w:themeTint="80"/>
                <w:sz w:val="22"/>
                <w:szCs w:val="22"/>
                <w:lang w:val="en-GB" w:eastAsia="fr-FR"/>
              </w:rPr>
            </w:pPr>
            <w:r w:rsidRPr="00C24334">
              <w:rPr>
                <w:rFonts w:ascii="Verdana" w:hAnsi="Verdana"/>
                <w:color w:val="7F7F7F" w:themeColor="text1" w:themeTint="80"/>
                <w:sz w:val="22"/>
                <w:szCs w:val="22"/>
                <w:lang w:val="en-GB" w:eastAsia="fr-FR"/>
              </w:rPr>
              <w:t>.</w:t>
            </w:r>
          </w:p>
        </w:tc>
        <w:tc>
          <w:tcPr>
            <w:tcW w:w="483" w:type="pct"/>
            <w:tcBorders>
              <w:top w:val="single" w:sz="4" w:space="0" w:color="auto"/>
              <w:left w:val="single" w:sz="4" w:space="0" w:color="auto"/>
              <w:bottom w:val="single" w:sz="4" w:space="0" w:color="auto"/>
              <w:right w:val="single" w:sz="4" w:space="0" w:color="auto"/>
            </w:tcBorders>
          </w:tcPr>
          <w:p w14:paraId="4349BB00" w14:textId="77777777" w:rsidR="00394ECE" w:rsidRPr="00C24334" w:rsidRDefault="00394ECE" w:rsidP="00020B14">
            <w:pPr>
              <w:tabs>
                <w:tab w:val="left" w:pos="0"/>
              </w:tabs>
              <w:rPr>
                <w:color w:val="7F7F7F" w:themeColor="text1" w:themeTint="80"/>
                <w:lang w:val="en-GB" w:eastAsia="fr-FR"/>
              </w:rPr>
            </w:pPr>
          </w:p>
        </w:tc>
      </w:tr>
      <w:tr w:rsidR="003763F9" w:rsidRPr="001F79AA" w14:paraId="467135C0"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3567" w:type="pct"/>
            <w:gridSpan w:val="5"/>
            <w:tcBorders>
              <w:top w:val="single" w:sz="4" w:space="0" w:color="auto"/>
              <w:left w:val="single" w:sz="4" w:space="0" w:color="auto"/>
              <w:bottom w:val="single" w:sz="4" w:space="0" w:color="auto"/>
              <w:right w:val="single" w:sz="4" w:space="0" w:color="auto"/>
            </w:tcBorders>
            <w:shd w:val="clear" w:color="auto" w:fill="auto"/>
            <w:noWrap/>
          </w:tcPr>
          <w:p w14:paraId="77A9C180" w14:textId="0456CA31" w:rsidR="003763F9" w:rsidRPr="00E107F2" w:rsidRDefault="003763F9" w:rsidP="00020B14">
            <w:pPr>
              <w:tabs>
                <w:tab w:val="left" w:pos="0"/>
              </w:tabs>
              <w:rPr>
                <w:rFonts w:ascii="Verdana" w:eastAsia="Verdana" w:hAnsi="Verdana" w:cs="Verdana"/>
                <w:b/>
                <w:bCs/>
                <w:color w:val="7F7F7F" w:themeColor="text1" w:themeTint="80"/>
                <w:sz w:val="22"/>
                <w:szCs w:val="22"/>
                <w:lang w:val="en-US"/>
              </w:rPr>
            </w:pPr>
            <w:r>
              <w:rPr>
                <w:rFonts w:ascii="Verdana" w:eastAsia="Verdana" w:hAnsi="Verdana" w:cs="Verdana"/>
                <w:b/>
                <w:bCs/>
                <w:color w:val="7F7F7F" w:themeColor="text1" w:themeTint="80"/>
                <w:sz w:val="22"/>
                <w:szCs w:val="22"/>
                <w:lang w:val="en-US"/>
              </w:rPr>
              <w:lastRenderedPageBreak/>
              <w:t>Detailed comments</w:t>
            </w:r>
          </w:p>
        </w:tc>
      </w:tr>
      <w:tr w:rsidR="00777264" w:rsidRPr="001360A5" w14:paraId="2FF9BE43"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3567" w:type="pct"/>
            <w:gridSpan w:val="5"/>
            <w:tcBorders>
              <w:top w:val="single" w:sz="4" w:space="0" w:color="auto"/>
              <w:left w:val="single" w:sz="4" w:space="0" w:color="auto"/>
              <w:bottom w:val="single" w:sz="4" w:space="0" w:color="auto"/>
              <w:right w:val="single" w:sz="4" w:space="0" w:color="auto"/>
            </w:tcBorders>
            <w:shd w:val="clear" w:color="auto" w:fill="auto"/>
            <w:noWrap/>
          </w:tcPr>
          <w:p w14:paraId="3F761468" w14:textId="1665ABA6" w:rsidR="00777264" w:rsidRPr="00777264" w:rsidRDefault="00777264" w:rsidP="00020B14">
            <w:pPr>
              <w:tabs>
                <w:tab w:val="left" w:pos="0"/>
              </w:tabs>
              <w:rPr>
                <w:b/>
                <w:color w:val="000000"/>
                <w:sz w:val="22"/>
                <w:szCs w:val="22"/>
                <w:lang w:val="en-GB" w:eastAsia="fr-FR"/>
              </w:rPr>
            </w:pPr>
            <w:r w:rsidRPr="00E107F2">
              <w:rPr>
                <w:rFonts w:ascii="Verdana" w:eastAsia="Verdana" w:hAnsi="Verdana" w:cs="Verdana"/>
                <w:b/>
                <w:bCs/>
                <w:color w:val="7F7F7F" w:themeColor="text1" w:themeTint="80"/>
                <w:sz w:val="22"/>
                <w:szCs w:val="22"/>
                <w:lang w:val="en-US"/>
              </w:rPr>
              <w:t>2</w:t>
            </w:r>
            <w:r w:rsidRPr="00693D53">
              <w:rPr>
                <w:rFonts w:ascii="Verdana" w:eastAsia="Verdana" w:hAnsi="Verdana" w:cs="Verdana"/>
                <w:b/>
                <w:bCs/>
                <w:color w:val="7F7F7F" w:themeColor="text1" w:themeTint="80"/>
                <w:sz w:val="22"/>
                <w:szCs w:val="22"/>
                <w:lang w:val="en-US"/>
              </w:rPr>
              <w:t>.2. Extrapolation of risk-free interest rates</w:t>
            </w:r>
          </w:p>
        </w:tc>
      </w:tr>
      <w:tr w:rsidR="00173725" w:rsidRPr="001360A5" w14:paraId="7FEA38D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E6B07DF" w14:textId="39A51272" w:rsidR="0009234B" w:rsidRPr="0009234B" w:rsidRDefault="0009234B" w:rsidP="00020B14">
            <w:pPr>
              <w:tabs>
                <w:tab w:val="left" w:pos="74"/>
              </w:tabs>
              <w:spacing w:before="120"/>
              <w:ind w:right="72"/>
              <w:rPr>
                <w:rFonts w:ascii="Verdana" w:hAnsi="Verdana"/>
                <w:bCs/>
                <w:color w:val="7F7F7F" w:themeColor="text1" w:themeTint="80"/>
                <w:sz w:val="22"/>
                <w:szCs w:val="22"/>
                <w:lang w:val="en-GB"/>
              </w:rPr>
            </w:pPr>
            <w:r w:rsidRPr="0009234B">
              <w:rPr>
                <w:rFonts w:ascii="Verdana" w:hAnsi="Verdana"/>
                <w:bCs/>
                <w:color w:val="7F7F7F" w:themeColor="text1" w:themeTint="80"/>
                <w:sz w:val="22"/>
                <w:szCs w:val="22"/>
                <w:lang w:val="en-GB"/>
              </w:rPr>
              <w:t>2</w:t>
            </w:r>
          </w:p>
        </w:tc>
        <w:tc>
          <w:tcPr>
            <w:tcW w:w="486" w:type="pct"/>
            <w:tcBorders>
              <w:top w:val="single" w:sz="4" w:space="0" w:color="auto"/>
              <w:left w:val="single" w:sz="4" w:space="0" w:color="auto"/>
              <w:bottom w:val="single" w:sz="4" w:space="0" w:color="auto"/>
              <w:right w:val="single" w:sz="4" w:space="0" w:color="auto"/>
            </w:tcBorders>
          </w:tcPr>
          <w:p w14:paraId="0B19A5AB" w14:textId="7386B91B" w:rsidR="0009234B" w:rsidRPr="0009234B" w:rsidRDefault="0009234B" w:rsidP="00020B14">
            <w:pPr>
              <w:tabs>
                <w:tab w:val="left" w:pos="0"/>
              </w:tabs>
              <w:ind w:left="-96"/>
              <w:rPr>
                <w:rFonts w:ascii="Verdana" w:hAnsi="Verdana"/>
                <w:color w:val="7F7F7F" w:themeColor="text1" w:themeTint="80"/>
                <w:sz w:val="22"/>
                <w:szCs w:val="22"/>
                <w:lang w:val="en-GB" w:eastAsia="fr-FR"/>
              </w:rPr>
            </w:pPr>
            <w:r w:rsidRPr="0009234B">
              <w:rPr>
                <w:rFonts w:ascii="Verdana" w:hAnsi="Verdana"/>
                <w:color w:val="7F7F7F" w:themeColor="text1" w:themeTint="80"/>
                <w:sz w:val="22"/>
                <w:szCs w:val="22"/>
                <w:lang w:val="en-GB" w:eastAsia="fr-FR"/>
              </w:rPr>
              <w:t>24</w:t>
            </w:r>
          </w:p>
        </w:tc>
        <w:tc>
          <w:tcPr>
            <w:tcW w:w="2020" w:type="pct"/>
            <w:gridSpan w:val="2"/>
            <w:tcBorders>
              <w:top w:val="single" w:sz="4" w:space="0" w:color="auto"/>
              <w:left w:val="single" w:sz="4" w:space="0" w:color="auto"/>
              <w:bottom w:val="single" w:sz="4" w:space="0" w:color="auto"/>
              <w:right w:val="single" w:sz="4" w:space="0" w:color="auto"/>
            </w:tcBorders>
          </w:tcPr>
          <w:p w14:paraId="02BC7BEB" w14:textId="789EC94C" w:rsidR="00E70257" w:rsidRPr="00E70257" w:rsidRDefault="00E70257" w:rsidP="00020B14">
            <w:pPr>
              <w:tabs>
                <w:tab w:val="left" w:pos="0"/>
              </w:tabs>
              <w:rPr>
                <w:rFonts w:ascii="Verdana" w:hAnsi="Verdana"/>
                <w:b/>
                <w:bCs/>
                <w:color w:val="7F7F7F" w:themeColor="text1" w:themeTint="80"/>
                <w:sz w:val="22"/>
                <w:szCs w:val="22"/>
                <w:lang w:val="en-US"/>
              </w:rPr>
            </w:pPr>
            <w:r>
              <w:rPr>
                <w:rFonts w:ascii="Verdana" w:hAnsi="Verdana"/>
                <w:b/>
                <w:bCs/>
                <w:color w:val="7F7F7F" w:themeColor="text1" w:themeTint="80"/>
                <w:sz w:val="22"/>
                <w:szCs w:val="22"/>
                <w:lang w:val="en-US"/>
              </w:rPr>
              <w:t>2.2. Identification of the issue</w:t>
            </w:r>
          </w:p>
          <w:p w14:paraId="71F558AD" w14:textId="6F03E030" w:rsidR="0009234B" w:rsidRPr="0009234B" w:rsidRDefault="00851105" w:rsidP="00020B14">
            <w:pPr>
              <w:tabs>
                <w:tab w:val="left" w:pos="0"/>
              </w:tabs>
              <w:rPr>
                <w:rFonts w:ascii="Verdana" w:hAnsi="Verdana" w:cs="Helvetica"/>
                <w:color w:val="7F7F7F" w:themeColor="text1" w:themeTint="80"/>
                <w:sz w:val="22"/>
                <w:szCs w:val="22"/>
                <w:lang w:val="en-US" w:eastAsia="fr-FR"/>
              </w:rPr>
            </w:pPr>
            <w:r w:rsidRPr="00A11018">
              <w:rPr>
                <w:rFonts w:ascii="Verdana" w:hAnsi="Verdana"/>
                <w:color w:val="7F7F7F" w:themeColor="text1" w:themeTint="80"/>
                <w:sz w:val="22"/>
                <w:szCs w:val="22"/>
                <w:lang w:val="en-US"/>
              </w:rPr>
              <w:t xml:space="preserve">The topic of LLP and Extrapolation should not be considered in isolation. </w:t>
            </w:r>
            <w:r w:rsidR="00097627">
              <w:rPr>
                <w:rFonts w:ascii="Verdana" w:hAnsi="Verdana"/>
                <w:color w:val="7F7F7F" w:themeColor="text1" w:themeTint="80"/>
                <w:sz w:val="22"/>
                <w:szCs w:val="22"/>
                <w:lang w:val="en-US"/>
              </w:rPr>
              <w:t>EIOPA should assess t</w:t>
            </w:r>
            <w:r w:rsidRPr="00A11018">
              <w:rPr>
                <w:rFonts w:ascii="Verdana" w:hAnsi="Verdana"/>
                <w:color w:val="7F7F7F" w:themeColor="text1" w:themeTint="80"/>
                <w:sz w:val="22"/>
                <w:szCs w:val="22"/>
                <w:lang w:val="en-US"/>
              </w:rPr>
              <w:t xml:space="preserve">he consequences of the </w:t>
            </w:r>
            <w:r w:rsidR="00097627">
              <w:rPr>
                <w:rFonts w:ascii="Verdana" w:hAnsi="Verdana"/>
                <w:color w:val="7F7F7F" w:themeColor="text1" w:themeTint="80"/>
                <w:sz w:val="22"/>
                <w:szCs w:val="22"/>
                <w:lang w:val="en-US"/>
              </w:rPr>
              <w:t xml:space="preserve">different </w:t>
            </w:r>
            <w:r w:rsidRPr="00A11018">
              <w:rPr>
                <w:rFonts w:ascii="Verdana" w:hAnsi="Verdana"/>
                <w:color w:val="7F7F7F" w:themeColor="text1" w:themeTint="80"/>
                <w:sz w:val="22"/>
                <w:szCs w:val="22"/>
                <w:lang w:val="en-US"/>
              </w:rPr>
              <w:t xml:space="preserve">options in conjunction with the other topics </w:t>
            </w:r>
            <w:r w:rsidR="00097627">
              <w:rPr>
                <w:rFonts w:ascii="Verdana" w:hAnsi="Verdana"/>
                <w:color w:val="7F7F7F" w:themeColor="text1" w:themeTint="80"/>
                <w:sz w:val="22"/>
                <w:szCs w:val="22"/>
                <w:lang w:val="en-US"/>
              </w:rPr>
              <w:t xml:space="preserve">which are part of the </w:t>
            </w:r>
            <w:r w:rsidR="003F1080">
              <w:rPr>
                <w:rFonts w:ascii="Verdana" w:hAnsi="Verdana"/>
                <w:color w:val="7F7F7F" w:themeColor="text1" w:themeTint="80"/>
                <w:sz w:val="22"/>
                <w:szCs w:val="22"/>
                <w:lang w:val="en-US"/>
              </w:rPr>
              <w:t xml:space="preserve">2020 Solvency II </w:t>
            </w:r>
            <w:r w:rsidR="00097627">
              <w:rPr>
                <w:rFonts w:ascii="Verdana" w:hAnsi="Verdana"/>
                <w:color w:val="7F7F7F" w:themeColor="text1" w:themeTint="80"/>
                <w:sz w:val="22"/>
                <w:szCs w:val="22"/>
                <w:lang w:val="en-US"/>
              </w:rPr>
              <w:t xml:space="preserve">review. The options chosen </w:t>
            </w:r>
            <w:r w:rsidRPr="00A11018">
              <w:rPr>
                <w:rFonts w:ascii="Verdana" w:hAnsi="Verdana"/>
                <w:color w:val="7F7F7F" w:themeColor="text1" w:themeTint="80"/>
                <w:sz w:val="22"/>
                <w:szCs w:val="22"/>
                <w:lang w:val="en-US"/>
              </w:rPr>
              <w:t>should be applied consistently</w:t>
            </w:r>
            <w:r w:rsidR="00097627">
              <w:rPr>
                <w:rFonts w:ascii="Verdana" w:hAnsi="Verdana"/>
                <w:color w:val="7F7F7F" w:themeColor="text1" w:themeTint="80"/>
                <w:sz w:val="22"/>
                <w:szCs w:val="22"/>
                <w:lang w:val="en-US"/>
              </w:rPr>
              <w:t xml:space="preserve"> (i.e</w:t>
            </w:r>
            <w:r w:rsidR="003763B6">
              <w:rPr>
                <w:rFonts w:ascii="Verdana" w:hAnsi="Verdana"/>
                <w:color w:val="7F7F7F" w:themeColor="text1" w:themeTint="80"/>
                <w:sz w:val="22"/>
                <w:szCs w:val="22"/>
                <w:lang w:val="en-US"/>
              </w:rPr>
              <w:t>.</w:t>
            </w:r>
            <w:r w:rsidR="00097627">
              <w:rPr>
                <w:rFonts w:ascii="Verdana" w:hAnsi="Verdana"/>
                <w:color w:val="7F7F7F" w:themeColor="text1" w:themeTint="80"/>
                <w:sz w:val="22"/>
                <w:szCs w:val="22"/>
                <w:lang w:val="en-US"/>
              </w:rPr>
              <w:t xml:space="preserve"> </w:t>
            </w:r>
            <w:r w:rsidRPr="00A11018">
              <w:rPr>
                <w:rFonts w:ascii="Verdana" w:hAnsi="Verdana"/>
                <w:color w:val="7F7F7F" w:themeColor="text1" w:themeTint="80"/>
                <w:sz w:val="22"/>
                <w:szCs w:val="22"/>
                <w:lang w:val="en-US"/>
              </w:rPr>
              <w:t xml:space="preserve">the VA </w:t>
            </w:r>
            <w:r w:rsidR="00B3438D">
              <w:rPr>
                <w:rFonts w:ascii="Verdana" w:hAnsi="Verdana"/>
                <w:color w:val="7F7F7F" w:themeColor="text1" w:themeTint="80"/>
                <w:sz w:val="22"/>
                <w:szCs w:val="22"/>
                <w:lang w:val="en-US"/>
              </w:rPr>
              <w:t>&amp;</w:t>
            </w:r>
            <w:r w:rsidRPr="00A11018">
              <w:rPr>
                <w:rFonts w:ascii="Verdana" w:hAnsi="Verdana"/>
                <w:color w:val="7F7F7F" w:themeColor="text1" w:themeTint="80"/>
                <w:sz w:val="22"/>
                <w:szCs w:val="22"/>
                <w:lang w:val="en-US"/>
              </w:rPr>
              <w:t xml:space="preserve"> DVA and Risk Margin</w:t>
            </w:r>
            <w:r w:rsidR="00097627">
              <w:rPr>
                <w:rFonts w:ascii="Verdana" w:hAnsi="Verdana"/>
                <w:color w:val="7F7F7F" w:themeColor="text1" w:themeTint="80"/>
                <w:sz w:val="22"/>
                <w:szCs w:val="22"/>
                <w:lang w:val="en-US"/>
              </w:rPr>
              <w:t>)</w:t>
            </w:r>
            <w:r w:rsidRPr="00A11018">
              <w:rPr>
                <w:rFonts w:ascii="Verdana" w:hAnsi="Verdana"/>
                <w:color w:val="7F7F7F" w:themeColor="text1" w:themeTint="80"/>
                <w:sz w:val="22"/>
                <w:szCs w:val="22"/>
                <w:lang w:val="en-US"/>
              </w:rPr>
              <w:t xml:space="preserve">. </w:t>
            </w:r>
            <w:r w:rsidR="00D51CF6">
              <w:rPr>
                <w:rFonts w:ascii="Verdana" w:hAnsi="Verdana"/>
                <w:color w:val="7F7F7F" w:themeColor="text1" w:themeTint="80"/>
                <w:sz w:val="22"/>
                <w:szCs w:val="22"/>
                <w:lang w:val="en-US"/>
              </w:rPr>
              <w:t>Furthermore,</w:t>
            </w:r>
            <w:r w:rsidR="00097627">
              <w:rPr>
                <w:rFonts w:ascii="Verdana" w:hAnsi="Verdana"/>
                <w:color w:val="7F7F7F" w:themeColor="text1" w:themeTint="80"/>
                <w:sz w:val="22"/>
                <w:szCs w:val="22"/>
                <w:lang w:val="en-US"/>
              </w:rPr>
              <w:t xml:space="preserve"> </w:t>
            </w:r>
            <w:r w:rsidRPr="00A11018">
              <w:rPr>
                <w:rFonts w:ascii="Verdana" w:hAnsi="Verdana"/>
                <w:color w:val="7F7F7F" w:themeColor="text1" w:themeTint="80"/>
                <w:sz w:val="22"/>
                <w:szCs w:val="22"/>
                <w:lang w:val="en-US"/>
              </w:rPr>
              <w:t xml:space="preserve">the </w:t>
            </w:r>
            <w:r w:rsidR="00097627">
              <w:rPr>
                <w:rFonts w:ascii="Verdana" w:hAnsi="Verdana"/>
                <w:color w:val="7F7F7F" w:themeColor="text1" w:themeTint="80"/>
                <w:sz w:val="22"/>
                <w:szCs w:val="22"/>
                <w:lang w:val="en-US"/>
              </w:rPr>
              <w:t>Solvency II r</w:t>
            </w:r>
            <w:r w:rsidRPr="00A11018">
              <w:rPr>
                <w:rFonts w:ascii="Verdana" w:hAnsi="Verdana"/>
                <w:color w:val="7F7F7F" w:themeColor="text1" w:themeTint="80"/>
                <w:sz w:val="22"/>
                <w:szCs w:val="22"/>
                <w:lang w:val="en-US"/>
              </w:rPr>
              <w:t xml:space="preserve">eview 2020 should </w:t>
            </w:r>
            <w:r w:rsidRPr="00A11018">
              <w:rPr>
                <w:rFonts w:ascii="Verdana" w:hAnsi="Verdana"/>
                <w:color w:val="7F7F7F" w:themeColor="text1" w:themeTint="80"/>
                <w:sz w:val="22"/>
                <w:szCs w:val="22"/>
                <w:lang w:val="en-US"/>
              </w:rPr>
              <w:lastRenderedPageBreak/>
              <w:t xml:space="preserve">not lead to an increase in the </w:t>
            </w:r>
            <w:r w:rsidR="00097627">
              <w:rPr>
                <w:rFonts w:ascii="Verdana" w:hAnsi="Verdana"/>
                <w:color w:val="7F7F7F" w:themeColor="text1" w:themeTint="80"/>
                <w:sz w:val="22"/>
                <w:szCs w:val="22"/>
                <w:lang w:val="en-US"/>
              </w:rPr>
              <w:t xml:space="preserve">insurer´s levels of </w:t>
            </w:r>
            <w:r w:rsidRPr="00A11018">
              <w:rPr>
                <w:rFonts w:ascii="Verdana" w:hAnsi="Verdana"/>
                <w:color w:val="7F7F7F" w:themeColor="text1" w:themeTint="80"/>
                <w:sz w:val="22"/>
                <w:szCs w:val="22"/>
                <w:lang w:val="en-US"/>
              </w:rPr>
              <w:t xml:space="preserve">capitalisation. </w:t>
            </w:r>
            <w:r w:rsidR="00D51CF6">
              <w:rPr>
                <w:rFonts w:ascii="Verdana" w:hAnsi="Verdana"/>
                <w:color w:val="7F7F7F" w:themeColor="text1" w:themeTint="80"/>
                <w:sz w:val="22"/>
                <w:szCs w:val="22"/>
                <w:lang w:val="en-US"/>
              </w:rPr>
              <w:t>Therefore,</w:t>
            </w:r>
            <w:r w:rsidR="007B5316" w:rsidRPr="00A11018">
              <w:rPr>
                <w:rFonts w:ascii="Verdana" w:hAnsi="Verdana"/>
                <w:color w:val="7F7F7F" w:themeColor="text1" w:themeTint="80"/>
                <w:sz w:val="22"/>
                <w:szCs w:val="22"/>
                <w:lang w:val="en-US"/>
              </w:rPr>
              <w:t xml:space="preserve"> </w:t>
            </w:r>
            <w:r w:rsidRPr="00A11018">
              <w:rPr>
                <w:rFonts w:ascii="Verdana" w:hAnsi="Verdana"/>
                <w:color w:val="7F7F7F" w:themeColor="text1" w:themeTint="80"/>
                <w:sz w:val="22"/>
                <w:szCs w:val="22"/>
                <w:lang w:val="en-US"/>
              </w:rPr>
              <w:t xml:space="preserve">any negative impact of the change in the LLP and/or extrapolation should be compensated elsewhere. This should be assessed </w:t>
            </w:r>
            <w:r w:rsidR="00097627">
              <w:rPr>
                <w:rFonts w:ascii="Verdana" w:hAnsi="Verdana"/>
                <w:color w:val="7F7F7F" w:themeColor="text1" w:themeTint="80"/>
                <w:sz w:val="22"/>
                <w:szCs w:val="22"/>
                <w:lang w:val="en-US"/>
              </w:rPr>
              <w:t xml:space="preserve">not only at European level, but also </w:t>
            </w:r>
            <w:r w:rsidRPr="00A11018">
              <w:rPr>
                <w:rFonts w:ascii="Verdana" w:hAnsi="Verdana"/>
                <w:color w:val="7F7F7F" w:themeColor="text1" w:themeTint="80"/>
                <w:sz w:val="22"/>
                <w:szCs w:val="22"/>
                <w:lang w:val="en-US"/>
              </w:rPr>
              <w:t xml:space="preserve">on </w:t>
            </w:r>
            <w:r w:rsidR="00097627">
              <w:rPr>
                <w:rFonts w:ascii="Verdana" w:hAnsi="Verdana"/>
                <w:color w:val="7F7F7F" w:themeColor="text1" w:themeTint="80"/>
                <w:sz w:val="22"/>
                <w:szCs w:val="22"/>
                <w:lang w:val="en-US"/>
              </w:rPr>
              <w:t xml:space="preserve">a </w:t>
            </w:r>
            <w:r w:rsidRPr="00A11018">
              <w:rPr>
                <w:rFonts w:ascii="Verdana" w:hAnsi="Verdana"/>
                <w:color w:val="7F7F7F" w:themeColor="text1" w:themeTint="80"/>
                <w:sz w:val="22"/>
                <w:szCs w:val="22"/>
                <w:lang w:val="en-US"/>
              </w:rPr>
              <w:t>Member State level</w:t>
            </w:r>
            <w:r w:rsidR="00097627">
              <w:rPr>
                <w:rFonts w:ascii="Verdana" w:hAnsi="Verdana"/>
                <w:color w:val="7F7F7F" w:themeColor="text1" w:themeTint="80"/>
                <w:sz w:val="22"/>
                <w:szCs w:val="22"/>
                <w:lang w:val="en-US"/>
              </w:rPr>
              <w:t xml:space="preserve"> and distinguishing by </w:t>
            </w:r>
            <w:r w:rsidR="00D51CF6">
              <w:rPr>
                <w:rFonts w:ascii="Verdana" w:hAnsi="Verdana"/>
                <w:color w:val="7F7F7F" w:themeColor="text1" w:themeTint="80"/>
                <w:sz w:val="22"/>
                <w:szCs w:val="22"/>
                <w:lang w:val="en-US"/>
              </w:rPr>
              <w:t>insurers ‘size</w:t>
            </w:r>
            <w:r w:rsidRPr="00A11018">
              <w:rPr>
                <w:rFonts w:ascii="Verdana" w:hAnsi="Verdana"/>
                <w:color w:val="7F7F7F" w:themeColor="text1" w:themeTint="80"/>
                <w:sz w:val="22"/>
                <w:szCs w:val="22"/>
                <w:lang w:val="en-US"/>
              </w:rPr>
              <w:t>.</w:t>
            </w:r>
            <w:r w:rsidRPr="00A11018">
              <w:rPr>
                <w:rFonts w:ascii="Verdana" w:hAnsi="Verdana"/>
                <w:color w:val="7F7F7F" w:themeColor="text1" w:themeTint="80"/>
                <w:sz w:val="22"/>
                <w:szCs w:val="22"/>
                <w:lang w:val="en-US"/>
              </w:rPr>
              <w:br/>
            </w:r>
          </w:p>
        </w:tc>
        <w:tc>
          <w:tcPr>
            <w:tcW w:w="483" w:type="pct"/>
            <w:tcBorders>
              <w:top w:val="single" w:sz="4" w:space="0" w:color="auto"/>
              <w:left w:val="single" w:sz="4" w:space="0" w:color="auto"/>
              <w:bottom w:val="single" w:sz="4" w:space="0" w:color="auto"/>
              <w:right w:val="single" w:sz="4" w:space="0" w:color="auto"/>
            </w:tcBorders>
          </w:tcPr>
          <w:p w14:paraId="6C57D098" w14:textId="77777777" w:rsidR="0009234B" w:rsidRPr="00C83C87" w:rsidRDefault="0009234B" w:rsidP="00020B14">
            <w:pPr>
              <w:tabs>
                <w:tab w:val="left" w:pos="0"/>
              </w:tabs>
              <w:rPr>
                <w:color w:val="000000"/>
                <w:lang w:val="en-GB" w:eastAsia="fr-FR"/>
              </w:rPr>
            </w:pPr>
          </w:p>
        </w:tc>
      </w:tr>
      <w:tr w:rsidR="00173725" w:rsidRPr="00607A35" w14:paraId="59E5FC57"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0F8C81D" w14:textId="505781A4" w:rsidR="00411529" w:rsidRPr="00F0251A" w:rsidRDefault="00411529" w:rsidP="002F78B0">
            <w:pPr>
              <w:tabs>
                <w:tab w:val="left" w:pos="69"/>
              </w:tabs>
              <w:spacing w:before="120"/>
              <w:ind w:left="-73" w:right="-107"/>
              <w:rPr>
                <w:rFonts w:ascii="Verdana" w:hAnsi="Verdana"/>
                <w:bCs/>
                <w:color w:val="7F7F7F" w:themeColor="text1" w:themeTint="80"/>
                <w:sz w:val="22"/>
                <w:szCs w:val="22"/>
                <w:lang w:val="en-GB"/>
              </w:rPr>
            </w:pPr>
            <w:r w:rsidRPr="00F0251A">
              <w:rPr>
                <w:rFonts w:ascii="Verdana" w:hAnsi="Verdana"/>
                <w:bCs/>
                <w:color w:val="7F7F7F" w:themeColor="text1" w:themeTint="80"/>
                <w:sz w:val="22"/>
                <w:szCs w:val="22"/>
                <w:lang w:val="en-GB"/>
              </w:rPr>
              <w:t>2</w:t>
            </w:r>
          </w:p>
        </w:tc>
        <w:tc>
          <w:tcPr>
            <w:tcW w:w="486" w:type="pct"/>
            <w:tcBorders>
              <w:top w:val="single" w:sz="4" w:space="0" w:color="auto"/>
              <w:left w:val="single" w:sz="4" w:space="0" w:color="auto"/>
              <w:bottom w:val="single" w:sz="4" w:space="0" w:color="auto"/>
              <w:right w:val="single" w:sz="4" w:space="0" w:color="auto"/>
            </w:tcBorders>
          </w:tcPr>
          <w:p w14:paraId="7321E503" w14:textId="5A232AF1" w:rsidR="00411529" w:rsidRPr="00F0251A" w:rsidRDefault="00411529" w:rsidP="00020B14">
            <w:pPr>
              <w:tabs>
                <w:tab w:val="left" w:pos="0"/>
              </w:tabs>
              <w:ind w:left="-96"/>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t>24 - 29</w:t>
            </w:r>
          </w:p>
        </w:tc>
        <w:tc>
          <w:tcPr>
            <w:tcW w:w="2020" w:type="pct"/>
            <w:gridSpan w:val="2"/>
            <w:tcBorders>
              <w:top w:val="single" w:sz="4" w:space="0" w:color="auto"/>
              <w:left w:val="single" w:sz="4" w:space="0" w:color="auto"/>
              <w:bottom w:val="single" w:sz="4" w:space="0" w:color="auto"/>
              <w:right w:val="single" w:sz="4" w:space="0" w:color="auto"/>
            </w:tcBorders>
          </w:tcPr>
          <w:p w14:paraId="765B942E" w14:textId="58EA4B1B" w:rsidR="00411529" w:rsidRPr="00411529" w:rsidRDefault="00097627" w:rsidP="00020B14">
            <w:pPr>
              <w:tabs>
                <w:tab w:val="left" w:pos="0"/>
              </w:tabs>
              <w:rPr>
                <w:rFonts w:ascii="Verdana" w:hAnsi="Verdana" w:cs="Helvetica"/>
                <w:color w:val="FF0000"/>
                <w:sz w:val="22"/>
                <w:szCs w:val="22"/>
                <w:lang w:val="en-GB" w:eastAsia="fr-FR"/>
              </w:rPr>
            </w:pPr>
            <w:r>
              <w:rPr>
                <w:rFonts w:ascii="Verdana" w:hAnsi="Verdana" w:cs="Helvetica"/>
                <w:color w:val="7F7F7F" w:themeColor="text1" w:themeTint="80"/>
                <w:sz w:val="22"/>
                <w:szCs w:val="22"/>
                <w:lang w:val="en-GB" w:eastAsia="fr-FR"/>
              </w:rPr>
              <w:t>See our comments above.</w:t>
            </w:r>
          </w:p>
        </w:tc>
        <w:tc>
          <w:tcPr>
            <w:tcW w:w="483" w:type="pct"/>
            <w:tcBorders>
              <w:top w:val="single" w:sz="4" w:space="0" w:color="auto"/>
              <w:left w:val="single" w:sz="4" w:space="0" w:color="auto"/>
              <w:bottom w:val="single" w:sz="4" w:space="0" w:color="auto"/>
              <w:right w:val="single" w:sz="4" w:space="0" w:color="auto"/>
            </w:tcBorders>
          </w:tcPr>
          <w:p w14:paraId="32509EB9" w14:textId="77777777" w:rsidR="00411529" w:rsidRPr="00C83C87" w:rsidRDefault="00411529" w:rsidP="00020B14">
            <w:pPr>
              <w:tabs>
                <w:tab w:val="left" w:pos="0"/>
              </w:tabs>
              <w:rPr>
                <w:color w:val="000000"/>
                <w:lang w:val="en-GB" w:eastAsia="fr-FR"/>
              </w:rPr>
            </w:pPr>
          </w:p>
        </w:tc>
      </w:tr>
      <w:tr w:rsidR="00173725" w:rsidRPr="001360A5" w14:paraId="3DE3D4FF"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70E8D57" w14:textId="69D51103" w:rsidR="00411529" w:rsidRPr="008279C9" w:rsidRDefault="00AA19B7" w:rsidP="00020B14">
            <w:pPr>
              <w:tabs>
                <w:tab w:val="left" w:pos="0"/>
              </w:tabs>
              <w:spacing w:before="120"/>
              <w:ind w:left="-96" w:right="72"/>
              <w:rPr>
                <w:rFonts w:ascii="Verdana" w:hAnsi="Verdana"/>
                <w:bCs/>
                <w:color w:val="7F7F7F" w:themeColor="text1" w:themeTint="80"/>
                <w:sz w:val="22"/>
                <w:szCs w:val="22"/>
                <w:lang w:val="en-GB"/>
              </w:rPr>
            </w:pPr>
            <w:r w:rsidRPr="008279C9">
              <w:rPr>
                <w:rFonts w:ascii="Verdana" w:hAnsi="Verdana"/>
                <w:bCs/>
                <w:color w:val="7F7F7F" w:themeColor="text1" w:themeTint="80"/>
                <w:sz w:val="22"/>
                <w:szCs w:val="22"/>
                <w:lang w:val="en-GB"/>
              </w:rPr>
              <w:t>2</w:t>
            </w:r>
          </w:p>
        </w:tc>
        <w:tc>
          <w:tcPr>
            <w:tcW w:w="486" w:type="pct"/>
            <w:tcBorders>
              <w:top w:val="single" w:sz="4" w:space="0" w:color="auto"/>
              <w:left w:val="single" w:sz="4" w:space="0" w:color="auto"/>
              <w:bottom w:val="single" w:sz="4" w:space="0" w:color="auto"/>
              <w:right w:val="single" w:sz="4" w:space="0" w:color="auto"/>
            </w:tcBorders>
          </w:tcPr>
          <w:p w14:paraId="3451267C" w14:textId="012F4294" w:rsidR="00411529" w:rsidRPr="008279C9" w:rsidRDefault="00AA19B7" w:rsidP="00020B14">
            <w:pPr>
              <w:tabs>
                <w:tab w:val="left" w:pos="0"/>
              </w:tabs>
              <w:ind w:left="-96"/>
              <w:rPr>
                <w:rFonts w:ascii="Verdana" w:hAnsi="Verdana"/>
                <w:bCs/>
                <w:color w:val="7F7F7F" w:themeColor="text1" w:themeTint="80"/>
                <w:sz w:val="22"/>
                <w:szCs w:val="22"/>
                <w:lang w:val="en-GB"/>
              </w:rPr>
            </w:pPr>
            <w:r w:rsidRPr="008279C9">
              <w:rPr>
                <w:rFonts w:ascii="Verdana" w:hAnsi="Verdana"/>
                <w:bCs/>
                <w:color w:val="7F7F7F" w:themeColor="text1" w:themeTint="80"/>
                <w:sz w:val="22"/>
                <w:szCs w:val="22"/>
                <w:lang w:val="en-GB"/>
              </w:rPr>
              <w:t>28</w:t>
            </w:r>
          </w:p>
        </w:tc>
        <w:tc>
          <w:tcPr>
            <w:tcW w:w="2020" w:type="pct"/>
            <w:gridSpan w:val="2"/>
            <w:tcBorders>
              <w:top w:val="single" w:sz="4" w:space="0" w:color="auto"/>
              <w:left w:val="single" w:sz="4" w:space="0" w:color="auto"/>
              <w:bottom w:val="single" w:sz="4" w:space="0" w:color="auto"/>
              <w:right w:val="single" w:sz="4" w:space="0" w:color="auto"/>
            </w:tcBorders>
          </w:tcPr>
          <w:p w14:paraId="627EC3AD" w14:textId="1628EFD2" w:rsidR="00F1679D" w:rsidRPr="00D46B4C" w:rsidRDefault="00F1679D" w:rsidP="00020B14">
            <w:pPr>
              <w:tabs>
                <w:tab w:val="left" w:pos="0"/>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 xml:space="preserve">In the analysis carried out in the previous paragraphs, EIOPA does not </w:t>
            </w:r>
            <w:r w:rsidR="00097627">
              <w:rPr>
                <w:rFonts w:ascii="Verdana" w:hAnsi="Verdana"/>
                <w:color w:val="7F7F7F" w:themeColor="text1" w:themeTint="80"/>
                <w:sz w:val="22"/>
                <w:szCs w:val="22"/>
                <w:lang w:val="en-US"/>
              </w:rPr>
              <w:t>assess</w:t>
            </w:r>
            <w:r w:rsidR="00097627" w:rsidRPr="00D46B4C">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 xml:space="preserve">the matching and residual criterion </w:t>
            </w:r>
            <w:r w:rsidRPr="00185035">
              <w:rPr>
                <w:rFonts w:ascii="Verdana" w:hAnsi="Verdana"/>
                <w:color w:val="7F7F7F" w:themeColor="text1" w:themeTint="80"/>
                <w:sz w:val="22"/>
                <w:szCs w:val="22"/>
                <w:lang w:val="en-US"/>
              </w:rPr>
              <w:t>in conjunction</w:t>
            </w:r>
            <w:r w:rsidRPr="00D46B4C">
              <w:rPr>
                <w:rFonts w:ascii="Verdana" w:hAnsi="Verdana"/>
                <w:color w:val="7F7F7F" w:themeColor="text1" w:themeTint="80"/>
                <w:sz w:val="22"/>
                <w:szCs w:val="22"/>
                <w:lang w:val="en-US"/>
              </w:rPr>
              <w:t xml:space="preserve">. The two criteria together ensure that insurers are able to use real bonds/loans to match the cash flows of the liabilities and that they do not have to revert back to synthetic instruments like derivatives </w:t>
            </w:r>
            <w:r w:rsidR="00097627">
              <w:rPr>
                <w:rFonts w:ascii="Verdana" w:hAnsi="Verdana"/>
                <w:color w:val="7F7F7F" w:themeColor="text1" w:themeTint="80"/>
                <w:sz w:val="22"/>
                <w:szCs w:val="22"/>
                <w:lang w:val="en-US"/>
              </w:rPr>
              <w:t xml:space="preserve">in order </w:t>
            </w:r>
            <w:r w:rsidRPr="00D46B4C">
              <w:rPr>
                <w:rFonts w:ascii="Verdana" w:hAnsi="Verdana"/>
                <w:color w:val="7F7F7F" w:themeColor="text1" w:themeTint="80"/>
                <w:sz w:val="22"/>
                <w:szCs w:val="22"/>
                <w:lang w:val="en-US"/>
              </w:rPr>
              <w:t xml:space="preserve">to avoid too great volatility on the economic balance sheet. If the two criteria are not seen in conjunction with each other, </w:t>
            </w:r>
            <w:r w:rsidR="00962713">
              <w:rPr>
                <w:rFonts w:ascii="Verdana" w:hAnsi="Verdana"/>
                <w:color w:val="7F7F7F" w:themeColor="text1" w:themeTint="80"/>
                <w:sz w:val="22"/>
                <w:szCs w:val="22"/>
                <w:lang w:val="en-US"/>
              </w:rPr>
              <w:t>i.e.</w:t>
            </w:r>
            <w:r w:rsidRPr="00D46B4C">
              <w:rPr>
                <w:rFonts w:ascii="Verdana" w:hAnsi="Verdana"/>
                <w:color w:val="7F7F7F" w:themeColor="text1" w:themeTint="80"/>
                <w:sz w:val="22"/>
                <w:szCs w:val="22"/>
                <w:lang w:val="en-US"/>
              </w:rPr>
              <w:t xml:space="preserve"> </w:t>
            </w:r>
            <w:r w:rsidR="00097627">
              <w:rPr>
                <w:rFonts w:ascii="Verdana" w:hAnsi="Verdana"/>
                <w:color w:val="7F7F7F" w:themeColor="text1" w:themeTint="80"/>
                <w:sz w:val="22"/>
                <w:szCs w:val="22"/>
                <w:lang w:val="en-US"/>
              </w:rPr>
              <w:t xml:space="preserve">by </w:t>
            </w:r>
            <w:r w:rsidRPr="00D46B4C">
              <w:rPr>
                <w:rFonts w:ascii="Verdana" w:hAnsi="Verdana"/>
                <w:color w:val="7F7F7F" w:themeColor="text1" w:themeTint="80"/>
                <w:sz w:val="22"/>
                <w:szCs w:val="22"/>
                <w:lang w:val="en-US"/>
              </w:rPr>
              <w:t xml:space="preserve">only assessing the swap market as relevant reference, (re-)insurers </w:t>
            </w:r>
            <w:r>
              <w:rPr>
                <w:rFonts w:ascii="Verdana" w:hAnsi="Verdana"/>
                <w:color w:val="7F7F7F" w:themeColor="text1" w:themeTint="80"/>
                <w:sz w:val="22"/>
                <w:szCs w:val="22"/>
                <w:lang w:val="en-US"/>
              </w:rPr>
              <w:t xml:space="preserve">would </w:t>
            </w:r>
            <w:r w:rsidRPr="00D46B4C">
              <w:rPr>
                <w:rFonts w:ascii="Verdana" w:hAnsi="Verdana"/>
                <w:color w:val="7F7F7F" w:themeColor="text1" w:themeTint="80"/>
                <w:sz w:val="22"/>
                <w:szCs w:val="22"/>
                <w:lang w:val="en-US"/>
              </w:rPr>
              <w:t xml:space="preserve">have to buy derivatives </w:t>
            </w:r>
            <w:r w:rsidR="00A02521">
              <w:rPr>
                <w:rFonts w:ascii="Verdana" w:hAnsi="Verdana"/>
                <w:color w:val="7F7F7F" w:themeColor="text1" w:themeTint="80"/>
                <w:sz w:val="22"/>
                <w:szCs w:val="22"/>
                <w:lang w:val="en-US"/>
              </w:rPr>
              <w:t>or change their investment mix</w:t>
            </w:r>
            <w:r w:rsidRPr="00D46B4C">
              <w:rPr>
                <w:rFonts w:ascii="Verdana" w:hAnsi="Verdana"/>
                <w:color w:val="7F7F7F" w:themeColor="text1" w:themeTint="80"/>
                <w:sz w:val="22"/>
                <w:szCs w:val="22"/>
                <w:lang w:val="en-US"/>
              </w:rPr>
              <w:t xml:space="preserve">. </w:t>
            </w:r>
            <w:r w:rsidR="00A02521" w:rsidRPr="000C1ED6">
              <w:rPr>
                <w:rFonts w:ascii="Verdana" w:hAnsi="Verdana"/>
                <w:color w:val="7F7F7F" w:themeColor="text1" w:themeTint="80"/>
                <w:sz w:val="22"/>
                <w:szCs w:val="22"/>
                <w:lang w:val="en-US"/>
              </w:rPr>
              <w:t>Buying derivatives for hedging</w:t>
            </w:r>
            <w:r w:rsidRPr="00D46B4C">
              <w:rPr>
                <w:rFonts w:ascii="Verdana" w:hAnsi="Verdana"/>
                <w:color w:val="7F7F7F" w:themeColor="text1" w:themeTint="80"/>
                <w:sz w:val="22"/>
                <w:szCs w:val="22"/>
                <w:lang w:val="en-US"/>
              </w:rPr>
              <w:t xml:space="preserve"> will increase the interconnectedness with banks</w:t>
            </w:r>
            <w:r w:rsidR="00097627">
              <w:rPr>
                <w:rFonts w:ascii="Verdana" w:hAnsi="Verdana"/>
                <w:color w:val="7F7F7F" w:themeColor="text1" w:themeTint="80"/>
                <w:sz w:val="22"/>
                <w:szCs w:val="22"/>
                <w:lang w:val="en-US"/>
              </w:rPr>
              <w:t xml:space="preserve">, </w:t>
            </w:r>
            <w:r w:rsidR="003E6703">
              <w:rPr>
                <w:rFonts w:ascii="Verdana" w:hAnsi="Verdana"/>
                <w:color w:val="7F7F7F" w:themeColor="text1" w:themeTint="80"/>
                <w:sz w:val="22"/>
                <w:szCs w:val="22"/>
                <w:lang w:val="en-US"/>
              </w:rPr>
              <w:t xml:space="preserve">it </w:t>
            </w:r>
            <w:r w:rsidR="00097627">
              <w:rPr>
                <w:rFonts w:ascii="Verdana" w:hAnsi="Verdana"/>
                <w:color w:val="7F7F7F" w:themeColor="text1" w:themeTint="80"/>
                <w:sz w:val="22"/>
                <w:szCs w:val="22"/>
                <w:lang w:val="en-US"/>
              </w:rPr>
              <w:t xml:space="preserve">will have an impact on </w:t>
            </w:r>
            <w:r w:rsidRPr="00D46B4C">
              <w:rPr>
                <w:rFonts w:ascii="Verdana" w:hAnsi="Verdana"/>
                <w:color w:val="7F7F7F" w:themeColor="text1" w:themeTint="80"/>
                <w:sz w:val="22"/>
                <w:szCs w:val="22"/>
                <w:lang w:val="en-US"/>
              </w:rPr>
              <w:t>the liquidity risk</w:t>
            </w:r>
            <w:r w:rsidR="00097627">
              <w:rPr>
                <w:rFonts w:ascii="Verdana" w:hAnsi="Verdana"/>
                <w:color w:val="7F7F7F" w:themeColor="text1" w:themeTint="80"/>
                <w:sz w:val="22"/>
                <w:szCs w:val="22"/>
                <w:lang w:val="en-US"/>
              </w:rPr>
              <w:t xml:space="preserve"> and </w:t>
            </w:r>
            <w:r w:rsidRPr="00D46B4C">
              <w:rPr>
                <w:rFonts w:ascii="Verdana" w:hAnsi="Verdana"/>
                <w:color w:val="7F7F7F" w:themeColor="text1" w:themeTint="80"/>
                <w:sz w:val="22"/>
                <w:szCs w:val="22"/>
                <w:lang w:val="en-US"/>
              </w:rPr>
              <w:t>the systemic riskiness of the whole regime. Using the swaps which are centrally cleared will also increase the importance of the CCP and probably will induce a "too big to fail"</w:t>
            </w:r>
            <w:r w:rsidR="00097627">
              <w:rPr>
                <w:rFonts w:ascii="Verdana" w:hAnsi="Verdana"/>
                <w:color w:val="7F7F7F" w:themeColor="text1" w:themeTint="80"/>
                <w:sz w:val="22"/>
                <w:szCs w:val="22"/>
                <w:lang w:val="en-US"/>
              </w:rPr>
              <w:t xml:space="preserve"> risk</w:t>
            </w:r>
            <w:r w:rsidRPr="00D46B4C">
              <w:rPr>
                <w:rFonts w:ascii="Verdana" w:hAnsi="Verdana"/>
                <w:color w:val="7F7F7F" w:themeColor="text1" w:themeTint="80"/>
                <w:sz w:val="22"/>
                <w:szCs w:val="22"/>
                <w:lang w:val="en-US"/>
              </w:rPr>
              <w:t>. These developments are detrimental to the financial stability of the i</w:t>
            </w:r>
            <w:r>
              <w:rPr>
                <w:rFonts w:ascii="Verdana" w:hAnsi="Verdana"/>
                <w:color w:val="7F7F7F" w:themeColor="text1" w:themeTint="80"/>
                <w:sz w:val="22"/>
                <w:szCs w:val="22"/>
                <w:lang w:val="en-US"/>
              </w:rPr>
              <w:t>nsurance sector</w:t>
            </w:r>
            <w:r w:rsidRPr="00D46B4C">
              <w:rPr>
                <w:rFonts w:ascii="Verdana" w:hAnsi="Verdana"/>
                <w:color w:val="7F7F7F" w:themeColor="text1" w:themeTint="80"/>
                <w:sz w:val="22"/>
                <w:szCs w:val="22"/>
                <w:lang w:val="en-US"/>
              </w:rPr>
              <w:t>.</w:t>
            </w:r>
          </w:p>
          <w:p w14:paraId="283E41C2" w14:textId="77777777" w:rsidR="00411529" w:rsidRPr="00D46B4C" w:rsidRDefault="00411529" w:rsidP="00020B14">
            <w:pPr>
              <w:tabs>
                <w:tab w:val="left" w:pos="0"/>
              </w:tabs>
              <w:rPr>
                <w:rFonts w:ascii="Verdana" w:hAnsi="Verdana" w:cs="Helvetic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776D79BA" w14:textId="77777777" w:rsidR="00411529" w:rsidRPr="00D46B4C" w:rsidRDefault="00411529" w:rsidP="00020B14">
            <w:pPr>
              <w:tabs>
                <w:tab w:val="left" w:pos="0"/>
              </w:tabs>
              <w:rPr>
                <w:color w:val="7F7F7F" w:themeColor="text1" w:themeTint="80"/>
                <w:lang w:val="en-GB" w:eastAsia="fr-FR"/>
              </w:rPr>
            </w:pPr>
          </w:p>
        </w:tc>
      </w:tr>
      <w:tr w:rsidR="00173725" w:rsidRPr="001360A5" w14:paraId="258FFD63"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8DC75EF" w14:textId="07E3E488" w:rsidR="00411529" w:rsidRPr="005703DE" w:rsidRDefault="005703DE" w:rsidP="00020B14">
            <w:pPr>
              <w:tabs>
                <w:tab w:val="left" w:pos="0"/>
              </w:tabs>
              <w:spacing w:before="120"/>
              <w:ind w:left="-96" w:right="72"/>
              <w:rPr>
                <w:rFonts w:ascii="Verdana" w:hAnsi="Verdana"/>
                <w:bCs/>
                <w:color w:val="7F7F7F" w:themeColor="text1" w:themeTint="80"/>
                <w:sz w:val="22"/>
                <w:szCs w:val="22"/>
                <w:lang w:val="en-GB"/>
              </w:rPr>
            </w:pPr>
            <w:r w:rsidRPr="005703DE">
              <w:rPr>
                <w:rFonts w:ascii="Verdana" w:hAnsi="Verdana"/>
                <w:bCs/>
                <w:color w:val="7F7F7F" w:themeColor="text1" w:themeTint="80"/>
                <w:sz w:val="22"/>
                <w:szCs w:val="22"/>
                <w:lang w:val="en-GB"/>
              </w:rPr>
              <w:t>2</w:t>
            </w:r>
          </w:p>
        </w:tc>
        <w:tc>
          <w:tcPr>
            <w:tcW w:w="486" w:type="pct"/>
            <w:tcBorders>
              <w:top w:val="single" w:sz="4" w:space="0" w:color="auto"/>
              <w:left w:val="single" w:sz="4" w:space="0" w:color="auto"/>
              <w:bottom w:val="single" w:sz="4" w:space="0" w:color="auto"/>
              <w:right w:val="single" w:sz="4" w:space="0" w:color="auto"/>
            </w:tcBorders>
          </w:tcPr>
          <w:p w14:paraId="2CA52299" w14:textId="6BE2FDFB" w:rsidR="00411529" w:rsidRPr="005703DE" w:rsidRDefault="005703DE" w:rsidP="00020B14">
            <w:pPr>
              <w:tabs>
                <w:tab w:val="left" w:pos="0"/>
              </w:tabs>
              <w:ind w:left="-96"/>
              <w:rPr>
                <w:rFonts w:ascii="Verdana" w:hAnsi="Verdana"/>
                <w:bCs/>
                <w:color w:val="7F7F7F" w:themeColor="text1" w:themeTint="80"/>
                <w:sz w:val="22"/>
                <w:szCs w:val="22"/>
                <w:lang w:val="en-GB"/>
              </w:rPr>
            </w:pPr>
            <w:r w:rsidRPr="005703DE">
              <w:rPr>
                <w:rFonts w:ascii="Verdana" w:hAnsi="Verdana"/>
                <w:bCs/>
                <w:color w:val="7F7F7F" w:themeColor="text1" w:themeTint="80"/>
                <w:sz w:val="22"/>
                <w:szCs w:val="22"/>
                <w:lang w:val="en-GB"/>
              </w:rPr>
              <w:t>30</w:t>
            </w:r>
          </w:p>
        </w:tc>
        <w:tc>
          <w:tcPr>
            <w:tcW w:w="2020" w:type="pct"/>
            <w:gridSpan w:val="2"/>
            <w:tcBorders>
              <w:top w:val="single" w:sz="4" w:space="0" w:color="auto"/>
              <w:left w:val="single" w:sz="4" w:space="0" w:color="auto"/>
              <w:bottom w:val="single" w:sz="4" w:space="0" w:color="auto"/>
              <w:right w:val="single" w:sz="4" w:space="0" w:color="auto"/>
            </w:tcBorders>
          </w:tcPr>
          <w:p w14:paraId="770A2DE5" w14:textId="4A26DA7B" w:rsidR="00E70257" w:rsidRPr="00395661" w:rsidRDefault="00E70257" w:rsidP="00020B14">
            <w:pPr>
              <w:tabs>
                <w:tab w:val="left" w:pos="0"/>
              </w:tabs>
              <w:rPr>
                <w:rFonts w:ascii="Verdana" w:hAnsi="Verdana"/>
                <w:b/>
                <w:bCs/>
                <w:color w:val="7F7F7F" w:themeColor="text1" w:themeTint="80"/>
                <w:sz w:val="22"/>
                <w:szCs w:val="22"/>
                <w:lang w:val="en-US"/>
              </w:rPr>
            </w:pPr>
            <w:r w:rsidRPr="00395661">
              <w:rPr>
                <w:rFonts w:ascii="Verdana" w:hAnsi="Verdana"/>
                <w:b/>
                <w:bCs/>
                <w:color w:val="7F7F7F" w:themeColor="text1" w:themeTint="80"/>
                <w:sz w:val="22"/>
                <w:szCs w:val="22"/>
                <w:lang w:val="en-US"/>
              </w:rPr>
              <w:t>2.2.4.1 Issue I – Underestimation of technical provisions</w:t>
            </w:r>
          </w:p>
          <w:p w14:paraId="198DCD95" w14:textId="3857E271" w:rsidR="00411529" w:rsidRPr="00395661" w:rsidRDefault="005703DE" w:rsidP="00020B14">
            <w:pPr>
              <w:tabs>
                <w:tab w:val="left" w:pos="0"/>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It should be noted that there is a reason for not using quotes after the LLP</w:t>
            </w:r>
            <w:r w:rsidR="00B52F4C" w:rsidRPr="00395661">
              <w:rPr>
                <w:rFonts w:ascii="Verdana" w:hAnsi="Verdana"/>
                <w:color w:val="7F7F7F" w:themeColor="text1" w:themeTint="80"/>
                <w:sz w:val="22"/>
                <w:szCs w:val="22"/>
                <w:lang w:val="en-US"/>
              </w:rPr>
              <w:t>;</w:t>
            </w:r>
            <w:r w:rsidRPr="00395661">
              <w:rPr>
                <w:rFonts w:ascii="Verdana" w:hAnsi="Verdana"/>
                <w:color w:val="7F7F7F" w:themeColor="text1" w:themeTint="80"/>
                <w:sz w:val="22"/>
                <w:szCs w:val="22"/>
                <w:lang w:val="en-US"/>
              </w:rPr>
              <w:t xml:space="preserve"> If </w:t>
            </w:r>
            <w:r w:rsidR="00C63511" w:rsidRPr="00395661">
              <w:rPr>
                <w:rFonts w:ascii="Verdana" w:hAnsi="Verdana"/>
                <w:color w:val="7F7F7F" w:themeColor="text1" w:themeTint="80"/>
                <w:sz w:val="22"/>
                <w:szCs w:val="22"/>
                <w:lang w:val="en-US"/>
              </w:rPr>
              <w:t>they</w:t>
            </w:r>
            <w:r w:rsidRPr="00395661">
              <w:rPr>
                <w:rFonts w:ascii="Verdana" w:hAnsi="Verdana"/>
                <w:color w:val="7F7F7F" w:themeColor="text1" w:themeTint="80"/>
                <w:sz w:val="22"/>
                <w:szCs w:val="22"/>
                <w:lang w:val="en-US"/>
              </w:rPr>
              <w:t xml:space="preserve"> are included in any measure, it should be assessed whether </w:t>
            </w:r>
            <w:r w:rsidR="00C63511" w:rsidRPr="00395661">
              <w:rPr>
                <w:rFonts w:ascii="Verdana" w:hAnsi="Verdana"/>
                <w:color w:val="7F7F7F" w:themeColor="text1" w:themeTint="80"/>
                <w:sz w:val="22"/>
                <w:szCs w:val="22"/>
                <w:lang w:val="en-US"/>
              </w:rPr>
              <w:t>they</w:t>
            </w:r>
            <w:r w:rsidRPr="00395661">
              <w:rPr>
                <w:rFonts w:ascii="Verdana" w:hAnsi="Verdana"/>
                <w:color w:val="7F7F7F" w:themeColor="text1" w:themeTint="80"/>
                <w:sz w:val="22"/>
                <w:szCs w:val="22"/>
                <w:lang w:val="en-US"/>
              </w:rPr>
              <w:t xml:space="preserve"> meet the criteria for an </w:t>
            </w:r>
            <w:r w:rsidR="00C63511" w:rsidRPr="00395661">
              <w:rPr>
                <w:rFonts w:ascii="Verdana" w:hAnsi="Verdana"/>
                <w:color w:val="7F7F7F" w:themeColor="text1" w:themeTint="80"/>
                <w:sz w:val="22"/>
                <w:szCs w:val="22"/>
                <w:lang w:val="en-US"/>
              </w:rPr>
              <w:t>“</w:t>
            </w:r>
            <w:r w:rsidRPr="00395661">
              <w:rPr>
                <w:rFonts w:ascii="Verdana" w:hAnsi="Verdana"/>
                <w:color w:val="7F7F7F" w:themeColor="text1" w:themeTint="80"/>
                <w:sz w:val="22"/>
                <w:szCs w:val="22"/>
                <w:lang w:val="en-US"/>
              </w:rPr>
              <w:t>at arm's length</w:t>
            </w:r>
            <w:r w:rsidR="00C63511" w:rsidRPr="00395661">
              <w:rPr>
                <w:rFonts w:ascii="Verdana" w:hAnsi="Verdana"/>
                <w:color w:val="7F7F7F" w:themeColor="text1" w:themeTint="80"/>
                <w:sz w:val="22"/>
                <w:szCs w:val="22"/>
                <w:lang w:val="en-US"/>
              </w:rPr>
              <w:t>”</w:t>
            </w:r>
            <w:r w:rsidRPr="00395661">
              <w:rPr>
                <w:rFonts w:ascii="Verdana" w:hAnsi="Verdana"/>
                <w:color w:val="7F7F7F" w:themeColor="text1" w:themeTint="80"/>
                <w:sz w:val="22"/>
                <w:szCs w:val="22"/>
                <w:lang w:val="en-US"/>
              </w:rPr>
              <w:t xml:space="preserve"> transaction. Otherwise, onerous transactions could influence the value of the technical </w:t>
            </w:r>
            <w:r w:rsidRPr="00395661">
              <w:rPr>
                <w:rFonts w:ascii="Verdana" w:hAnsi="Verdana"/>
                <w:color w:val="7F7F7F" w:themeColor="text1" w:themeTint="80"/>
                <w:sz w:val="22"/>
                <w:szCs w:val="22"/>
                <w:lang w:val="en-US"/>
              </w:rPr>
              <w:lastRenderedPageBreak/>
              <w:t xml:space="preserve">provisions. </w:t>
            </w:r>
            <w:r w:rsidR="003E6703" w:rsidRPr="00395661">
              <w:rPr>
                <w:rFonts w:ascii="Verdana" w:hAnsi="Verdana"/>
                <w:color w:val="7F7F7F" w:themeColor="text1" w:themeTint="80"/>
                <w:sz w:val="22"/>
                <w:szCs w:val="22"/>
                <w:lang w:val="en-US"/>
              </w:rPr>
              <w:t>It could be assumed that t</w:t>
            </w:r>
            <w:r w:rsidRPr="00395661">
              <w:rPr>
                <w:rFonts w:ascii="Verdana" w:hAnsi="Verdana"/>
                <w:color w:val="7F7F7F" w:themeColor="text1" w:themeTint="80"/>
                <w:sz w:val="22"/>
                <w:szCs w:val="22"/>
                <w:lang w:val="en-US"/>
              </w:rPr>
              <w:t xml:space="preserve">he risk of underestimation </w:t>
            </w:r>
            <w:r w:rsidR="003E6703" w:rsidRPr="00395661">
              <w:rPr>
                <w:rFonts w:ascii="Verdana" w:hAnsi="Verdana"/>
                <w:color w:val="7F7F7F" w:themeColor="text1" w:themeTint="80"/>
                <w:sz w:val="22"/>
                <w:szCs w:val="22"/>
                <w:lang w:val="en-US"/>
              </w:rPr>
              <w:t>is</w:t>
            </w:r>
            <w:r w:rsidRPr="00395661">
              <w:rPr>
                <w:rFonts w:ascii="Verdana" w:hAnsi="Verdana"/>
                <w:color w:val="7F7F7F" w:themeColor="text1" w:themeTint="80"/>
                <w:sz w:val="22"/>
                <w:szCs w:val="22"/>
                <w:lang w:val="en-US"/>
              </w:rPr>
              <w:t xml:space="preserve"> included in the interest rate shock.</w:t>
            </w:r>
          </w:p>
          <w:p w14:paraId="562D1A14" w14:textId="3ECFE5BE" w:rsidR="001A0540" w:rsidRPr="00CF2245" w:rsidRDefault="00F805E8" w:rsidP="00020B14">
            <w:pPr>
              <w:tabs>
                <w:tab w:val="left" w:pos="0"/>
              </w:tabs>
              <w:rPr>
                <w:rFonts w:ascii="Verdana" w:hAnsi="Verdana" w:cs="Helvetica"/>
                <w:color w:val="7F7F7F" w:themeColor="text1" w:themeTint="80"/>
                <w:sz w:val="22"/>
                <w:szCs w:val="22"/>
                <w:lang w:val="en-GB" w:eastAsia="fr-FR"/>
              </w:rPr>
            </w:pPr>
            <w:r w:rsidRPr="00395661">
              <w:rPr>
                <w:rFonts w:ascii="Verdana" w:hAnsi="Verdana"/>
                <w:color w:val="7F7F7F" w:themeColor="text1" w:themeTint="80"/>
                <w:sz w:val="22"/>
                <w:szCs w:val="22"/>
                <w:lang w:val="en-US"/>
              </w:rPr>
              <w:t>Whether longer points are liquid or not should not only be based on the number of transactions but it should also be considered from the counterparties providing the liquidity. One should also analyse how does the counterparty assess the longer maturities in their risk management process; are they mitigating their exposures at 50 years with 20- or 30-years instruments?.</w:t>
            </w:r>
          </w:p>
        </w:tc>
        <w:tc>
          <w:tcPr>
            <w:tcW w:w="483" w:type="pct"/>
            <w:tcBorders>
              <w:top w:val="single" w:sz="4" w:space="0" w:color="auto"/>
              <w:left w:val="single" w:sz="4" w:space="0" w:color="auto"/>
              <w:bottom w:val="single" w:sz="4" w:space="0" w:color="auto"/>
              <w:right w:val="single" w:sz="4" w:space="0" w:color="auto"/>
            </w:tcBorders>
          </w:tcPr>
          <w:p w14:paraId="1B4E4A95" w14:textId="77777777" w:rsidR="00411529" w:rsidRPr="00C83C87" w:rsidRDefault="00411529" w:rsidP="00020B14">
            <w:pPr>
              <w:tabs>
                <w:tab w:val="left" w:pos="0"/>
              </w:tabs>
              <w:rPr>
                <w:color w:val="000000"/>
                <w:lang w:val="en-GB" w:eastAsia="fr-FR"/>
              </w:rPr>
            </w:pPr>
          </w:p>
        </w:tc>
      </w:tr>
      <w:tr w:rsidR="00173725" w:rsidRPr="00F0251A" w14:paraId="06B5DDA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A485089" w14:textId="4104D7EF" w:rsidR="005703DE" w:rsidRPr="007A7870" w:rsidRDefault="007A7870" w:rsidP="00020B14">
            <w:pPr>
              <w:tabs>
                <w:tab w:val="left" w:pos="0"/>
              </w:tabs>
              <w:spacing w:before="120"/>
              <w:ind w:left="-96" w:right="72"/>
              <w:rPr>
                <w:rFonts w:ascii="Verdana" w:hAnsi="Verdana"/>
                <w:bCs/>
                <w:color w:val="7F7F7F" w:themeColor="text1" w:themeTint="80"/>
                <w:sz w:val="22"/>
                <w:szCs w:val="22"/>
                <w:lang w:val="en-GB"/>
              </w:rPr>
            </w:pPr>
            <w:r w:rsidRPr="007A7870">
              <w:rPr>
                <w:rFonts w:ascii="Verdana" w:hAnsi="Verdana"/>
                <w:bCs/>
                <w:color w:val="7F7F7F" w:themeColor="text1" w:themeTint="80"/>
                <w:sz w:val="22"/>
                <w:szCs w:val="22"/>
                <w:lang w:val="en-GB"/>
              </w:rPr>
              <w:t>2</w:t>
            </w:r>
          </w:p>
        </w:tc>
        <w:tc>
          <w:tcPr>
            <w:tcW w:w="486" w:type="pct"/>
            <w:tcBorders>
              <w:top w:val="single" w:sz="4" w:space="0" w:color="auto"/>
              <w:left w:val="single" w:sz="4" w:space="0" w:color="auto"/>
              <w:bottom w:val="single" w:sz="4" w:space="0" w:color="auto"/>
              <w:right w:val="single" w:sz="4" w:space="0" w:color="auto"/>
            </w:tcBorders>
          </w:tcPr>
          <w:p w14:paraId="034660FA" w14:textId="0CCB841C" w:rsidR="005703DE" w:rsidRPr="007A7870" w:rsidRDefault="007A7870" w:rsidP="00020B14">
            <w:pPr>
              <w:tabs>
                <w:tab w:val="left" w:pos="0"/>
              </w:tabs>
              <w:ind w:left="-96"/>
              <w:rPr>
                <w:rFonts w:ascii="Verdana" w:hAnsi="Verdana"/>
                <w:bCs/>
                <w:color w:val="7F7F7F" w:themeColor="text1" w:themeTint="80"/>
                <w:sz w:val="22"/>
                <w:szCs w:val="22"/>
                <w:lang w:val="en-GB"/>
              </w:rPr>
            </w:pPr>
            <w:r w:rsidRPr="007A7870">
              <w:rPr>
                <w:rFonts w:ascii="Verdana" w:hAnsi="Verdana"/>
                <w:bCs/>
                <w:color w:val="7F7F7F" w:themeColor="text1" w:themeTint="80"/>
                <w:sz w:val="22"/>
                <w:szCs w:val="22"/>
                <w:lang w:val="en-GB"/>
              </w:rPr>
              <w:t>3</w:t>
            </w:r>
            <w:r w:rsidR="002A66AF">
              <w:rPr>
                <w:rFonts w:ascii="Verdana" w:hAnsi="Verdana"/>
                <w:bCs/>
                <w:color w:val="7F7F7F" w:themeColor="text1" w:themeTint="80"/>
                <w:sz w:val="22"/>
                <w:szCs w:val="22"/>
                <w:lang w:val="en-GB"/>
              </w:rPr>
              <w:t>2</w:t>
            </w:r>
          </w:p>
        </w:tc>
        <w:tc>
          <w:tcPr>
            <w:tcW w:w="2020" w:type="pct"/>
            <w:gridSpan w:val="2"/>
            <w:tcBorders>
              <w:top w:val="single" w:sz="4" w:space="0" w:color="auto"/>
              <w:left w:val="single" w:sz="4" w:space="0" w:color="auto"/>
              <w:bottom w:val="single" w:sz="4" w:space="0" w:color="auto"/>
              <w:right w:val="single" w:sz="4" w:space="0" w:color="auto"/>
            </w:tcBorders>
          </w:tcPr>
          <w:p w14:paraId="3E031C0E" w14:textId="2BA02722" w:rsidR="005703DE" w:rsidRPr="00395661" w:rsidRDefault="007A7870" w:rsidP="00020B14">
            <w:pPr>
              <w:tabs>
                <w:tab w:val="left" w:pos="0"/>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The fact that</w:t>
            </w:r>
            <w:r w:rsidR="005703DE" w:rsidRPr="00395661">
              <w:rPr>
                <w:rFonts w:ascii="Verdana" w:hAnsi="Verdana"/>
                <w:color w:val="7F7F7F" w:themeColor="text1" w:themeTint="80"/>
                <w:sz w:val="22"/>
                <w:szCs w:val="22"/>
                <w:lang w:val="en-US"/>
              </w:rPr>
              <w:t xml:space="preserve"> the UFR will keep decreasing</w:t>
            </w:r>
            <w:r w:rsidRPr="00395661">
              <w:rPr>
                <w:rFonts w:ascii="Verdana" w:hAnsi="Verdana"/>
                <w:color w:val="7F7F7F" w:themeColor="text1" w:themeTint="80"/>
                <w:sz w:val="22"/>
                <w:szCs w:val="22"/>
                <w:lang w:val="en-US"/>
              </w:rPr>
              <w:t xml:space="preserve"> according to the inforce methodology</w:t>
            </w:r>
            <w:r w:rsidR="005703DE" w:rsidRPr="00395661">
              <w:rPr>
                <w:rFonts w:ascii="Verdana" w:hAnsi="Verdana"/>
                <w:color w:val="7F7F7F" w:themeColor="text1" w:themeTint="80"/>
                <w:sz w:val="22"/>
                <w:szCs w:val="22"/>
                <w:lang w:val="en-US"/>
              </w:rPr>
              <w:t xml:space="preserve"> is not included in the assessment of the impact of the LLP and extrapolation metho</w:t>
            </w:r>
            <w:r w:rsidRPr="00395661">
              <w:rPr>
                <w:rFonts w:ascii="Verdana" w:hAnsi="Verdana"/>
                <w:color w:val="7F7F7F" w:themeColor="text1" w:themeTint="80"/>
                <w:sz w:val="22"/>
                <w:szCs w:val="22"/>
                <w:lang w:val="en-US"/>
              </w:rPr>
              <w:t>d</w:t>
            </w:r>
            <w:r w:rsidR="005703DE" w:rsidRPr="00395661">
              <w:rPr>
                <w:rFonts w:ascii="Verdana" w:hAnsi="Verdana"/>
                <w:color w:val="7F7F7F" w:themeColor="text1" w:themeTint="80"/>
                <w:sz w:val="22"/>
                <w:szCs w:val="22"/>
                <w:lang w:val="en-US"/>
              </w:rPr>
              <w:t xml:space="preserve">. </w:t>
            </w:r>
            <w:r w:rsidRPr="00395661">
              <w:rPr>
                <w:rFonts w:ascii="Verdana" w:hAnsi="Verdana"/>
                <w:color w:val="7F7F7F" w:themeColor="text1" w:themeTint="80"/>
                <w:sz w:val="22"/>
                <w:szCs w:val="22"/>
                <w:lang w:val="en-US"/>
              </w:rPr>
              <w:t>We have to bear in mind that s</w:t>
            </w:r>
            <w:r w:rsidR="005703DE" w:rsidRPr="00395661">
              <w:rPr>
                <w:rFonts w:ascii="Verdana" w:hAnsi="Verdana"/>
                <w:color w:val="7F7F7F" w:themeColor="text1" w:themeTint="80"/>
                <w:sz w:val="22"/>
                <w:szCs w:val="22"/>
                <w:lang w:val="en-US"/>
              </w:rPr>
              <w:t xml:space="preserve">ince the start of Solvency II, insurers </w:t>
            </w:r>
            <w:r w:rsidR="00133FB8" w:rsidRPr="00395661">
              <w:rPr>
                <w:rFonts w:ascii="Verdana" w:hAnsi="Verdana"/>
                <w:color w:val="7F7F7F" w:themeColor="text1" w:themeTint="80"/>
                <w:sz w:val="22"/>
                <w:szCs w:val="22"/>
                <w:lang w:val="en-US"/>
              </w:rPr>
              <w:t>willing to maintain a certain target for the s</w:t>
            </w:r>
            <w:r w:rsidR="005703DE" w:rsidRPr="00395661">
              <w:rPr>
                <w:rFonts w:ascii="Verdana" w:hAnsi="Verdana"/>
                <w:color w:val="7F7F7F" w:themeColor="text1" w:themeTint="80"/>
                <w:sz w:val="22"/>
                <w:szCs w:val="22"/>
                <w:lang w:val="en-US"/>
              </w:rPr>
              <w:t xml:space="preserve">olvency ratio had to increase their </w:t>
            </w:r>
            <w:r w:rsidR="00133FB8" w:rsidRPr="00395661">
              <w:rPr>
                <w:rFonts w:ascii="Verdana" w:hAnsi="Verdana"/>
                <w:color w:val="7F7F7F" w:themeColor="text1" w:themeTint="80"/>
                <w:sz w:val="22"/>
                <w:szCs w:val="22"/>
                <w:lang w:val="en-US"/>
              </w:rPr>
              <w:t xml:space="preserve">amount of </w:t>
            </w:r>
            <w:r w:rsidR="005703DE" w:rsidRPr="00395661">
              <w:rPr>
                <w:rFonts w:ascii="Verdana" w:hAnsi="Verdana"/>
                <w:color w:val="7F7F7F" w:themeColor="text1" w:themeTint="80"/>
                <w:sz w:val="22"/>
                <w:szCs w:val="22"/>
                <w:lang w:val="en-US"/>
              </w:rPr>
              <w:t xml:space="preserve">capital </w:t>
            </w:r>
            <w:r w:rsidR="00133FB8" w:rsidRPr="00395661">
              <w:rPr>
                <w:rFonts w:ascii="Verdana" w:hAnsi="Verdana"/>
                <w:color w:val="7F7F7F" w:themeColor="text1" w:themeTint="80"/>
                <w:sz w:val="22"/>
                <w:szCs w:val="22"/>
                <w:lang w:val="en-US"/>
              </w:rPr>
              <w:t xml:space="preserve">in order </w:t>
            </w:r>
            <w:r w:rsidR="005703DE" w:rsidRPr="00395661">
              <w:rPr>
                <w:rFonts w:ascii="Verdana" w:hAnsi="Verdana"/>
                <w:color w:val="7F7F7F" w:themeColor="text1" w:themeTint="80"/>
                <w:sz w:val="22"/>
                <w:szCs w:val="22"/>
                <w:lang w:val="en-US"/>
              </w:rPr>
              <w:t>to absorb the impact of the lower UFR</w:t>
            </w:r>
            <w:r w:rsidR="00133FB8" w:rsidRPr="00395661">
              <w:rPr>
                <w:rFonts w:ascii="Verdana" w:hAnsi="Verdana"/>
                <w:color w:val="7F7F7F" w:themeColor="text1" w:themeTint="80"/>
                <w:sz w:val="22"/>
                <w:szCs w:val="22"/>
                <w:lang w:val="en-US"/>
              </w:rPr>
              <w:t xml:space="preserve">; As the UFR is being adjusted every year, </w:t>
            </w:r>
            <w:r w:rsidR="008C33A6" w:rsidRPr="00395661">
              <w:rPr>
                <w:rFonts w:ascii="Verdana" w:hAnsi="Verdana"/>
                <w:color w:val="7F7F7F" w:themeColor="text1" w:themeTint="80"/>
                <w:sz w:val="22"/>
                <w:szCs w:val="22"/>
                <w:lang w:val="en-US"/>
              </w:rPr>
              <w:t>this trend</w:t>
            </w:r>
            <w:r w:rsidR="005703DE" w:rsidRPr="00395661">
              <w:rPr>
                <w:rFonts w:ascii="Verdana" w:hAnsi="Verdana"/>
                <w:color w:val="7F7F7F" w:themeColor="text1" w:themeTint="80"/>
                <w:sz w:val="22"/>
                <w:szCs w:val="22"/>
                <w:lang w:val="en-US"/>
              </w:rPr>
              <w:t xml:space="preserve"> will continue in the coming years. Thus, even if nothing changes the capitalisation will increase.</w:t>
            </w:r>
          </w:p>
        </w:tc>
        <w:tc>
          <w:tcPr>
            <w:tcW w:w="483" w:type="pct"/>
            <w:tcBorders>
              <w:top w:val="single" w:sz="4" w:space="0" w:color="auto"/>
              <w:left w:val="single" w:sz="4" w:space="0" w:color="auto"/>
              <w:bottom w:val="single" w:sz="4" w:space="0" w:color="auto"/>
              <w:right w:val="single" w:sz="4" w:space="0" w:color="auto"/>
            </w:tcBorders>
          </w:tcPr>
          <w:p w14:paraId="185818A3" w14:textId="77777777" w:rsidR="005703DE" w:rsidRPr="004C7361" w:rsidRDefault="005703DE" w:rsidP="00020B14">
            <w:pPr>
              <w:tabs>
                <w:tab w:val="left" w:pos="0"/>
              </w:tabs>
              <w:rPr>
                <w:color w:val="000000"/>
                <w:lang w:val="en-US" w:eastAsia="fr-FR"/>
              </w:rPr>
            </w:pPr>
          </w:p>
        </w:tc>
      </w:tr>
      <w:tr w:rsidR="00173725" w:rsidRPr="001360A5" w14:paraId="1AFC2831"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6397093" w14:textId="6591211B" w:rsidR="005703DE" w:rsidRPr="007A7870" w:rsidRDefault="005521BE" w:rsidP="00020B14">
            <w:pPr>
              <w:tabs>
                <w:tab w:val="left" w:pos="0"/>
              </w:tabs>
              <w:spacing w:before="120"/>
              <w:ind w:left="-96" w:right="72"/>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2</w:t>
            </w:r>
          </w:p>
        </w:tc>
        <w:tc>
          <w:tcPr>
            <w:tcW w:w="486" w:type="pct"/>
            <w:tcBorders>
              <w:top w:val="single" w:sz="4" w:space="0" w:color="auto"/>
              <w:left w:val="single" w:sz="4" w:space="0" w:color="auto"/>
              <w:bottom w:val="single" w:sz="4" w:space="0" w:color="auto"/>
              <w:right w:val="single" w:sz="4" w:space="0" w:color="auto"/>
            </w:tcBorders>
          </w:tcPr>
          <w:p w14:paraId="74A0998E" w14:textId="7ABB50BE" w:rsidR="005703DE" w:rsidRPr="007A7870" w:rsidRDefault="005521BE" w:rsidP="00020B14">
            <w:pPr>
              <w:tabs>
                <w:tab w:val="left" w:pos="0"/>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34</w:t>
            </w:r>
          </w:p>
        </w:tc>
        <w:tc>
          <w:tcPr>
            <w:tcW w:w="2020" w:type="pct"/>
            <w:gridSpan w:val="2"/>
            <w:tcBorders>
              <w:top w:val="single" w:sz="4" w:space="0" w:color="auto"/>
              <w:left w:val="single" w:sz="4" w:space="0" w:color="auto"/>
              <w:bottom w:val="single" w:sz="4" w:space="0" w:color="auto"/>
              <w:right w:val="single" w:sz="4" w:space="0" w:color="auto"/>
            </w:tcBorders>
          </w:tcPr>
          <w:p w14:paraId="2CBAC432" w14:textId="2595EABA" w:rsidR="001F1280" w:rsidRDefault="007A7870" w:rsidP="00020B14">
            <w:pPr>
              <w:tabs>
                <w:tab w:val="left" w:pos="0"/>
              </w:tabs>
              <w:rPr>
                <w:rFonts w:ascii="Verdana" w:hAnsi="Verdana"/>
                <w:color w:val="7F7F7F" w:themeColor="text1" w:themeTint="80"/>
                <w:sz w:val="22"/>
                <w:szCs w:val="22"/>
                <w:lang w:val="en-US"/>
              </w:rPr>
            </w:pPr>
            <w:r w:rsidRPr="00440503">
              <w:rPr>
                <w:rFonts w:ascii="Verdana" w:hAnsi="Verdana"/>
                <w:color w:val="7F7F7F" w:themeColor="text1" w:themeTint="80"/>
                <w:sz w:val="22"/>
                <w:szCs w:val="22"/>
                <w:lang w:val="en-US"/>
              </w:rPr>
              <w:t xml:space="preserve">The concern is only warranted in </w:t>
            </w:r>
            <w:r w:rsidR="009C251F" w:rsidRPr="00440503">
              <w:rPr>
                <w:rFonts w:ascii="Verdana" w:hAnsi="Verdana"/>
                <w:color w:val="7F7F7F" w:themeColor="text1" w:themeTint="80"/>
                <w:sz w:val="22"/>
                <w:szCs w:val="22"/>
                <w:lang w:val="en-US"/>
              </w:rPr>
              <w:t xml:space="preserve">a winding-up but not in a going-concern </w:t>
            </w:r>
            <w:r w:rsidRPr="00440503">
              <w:rPr>
                <w:rFonts w:ascii="Verdana" w:hAnsi="Verdana"/>
                <w:color w:val="7F7F7F" w:themeColor="text1" w:themeTint="80"/>
                <w:sz w:val="22"/>
                <w:szCs w:val="22"/>
                <w:lang w:val="en-US"/>
              </w:rPr>
              <w:t>situation.</w:t>
            </w:r>
            <w:r w:rsidRPr="00BD1821">
              <w:rPr>
                <w:rFonts w:ascii="Verdana" w:hAnsi="Verdana"/>
                <w:color w:val="7F7F7F" w:themeColor="text1" w:themeTint="80"/>
                <w:sz w:val="22"/>
                <w:szCs w:val="22"/>
                <w:lang w:val="en-US"/>
              </w:rPr>
              <w:t xml:space="preserve"> </w:t>
            </w:r>
            <w:r w:rsidR="001F1280">
              <w:rPr>
                <w:rFonts w:ascii="Verdana" w:hAnsi="Verdana"/>
                <w:color w:val="7F7F7F" w:themeColor="text1" w:themeTint="80"/>
                <w:sz w:val="22"/>
                <w:szCs w:val="22"/>
                <w:lang w:val="en-US"/>
              </w:rPr>
              <w:t>On</w:t>
            </w:r>
            <w:r w:rsidR="001F1280" w:rsidRPr="00BD1821">
              <w:rPr>
                <w:rFonts w:ascii="Verdana" w:hAnsi="Verdana"/>
                <w:color w:val="7F7F7F" w:themeColor="text1" w:themeTint="80"/>
                <w:sz w:val="22"/>
                <w:szCs w:val="22"/>
                <w:lang w:val="en-US"/>
              </w:rPr>
              <w:t xml:space="preserve"> </w:t>
            </w:r>
            <w:r w:rsidR="001F1280">
              <w:rPr>
                <w:rFonts w:ascii="Verdana" w:hAnsi="Verdana"/>
                <w:color w:val="7F7F7F" w:themeColor="text1" w:themeTint="80"/>
                <w:sz w:val="22"/>
                <w:szCs w:val="22"/>
                <w:lang w:val="en-US"/>
              </w:rPr>
              <w:t>a</w:t>
            </w:r>
            <w:r w:rsidRPr="00BD1821">
              <w:rPr>
                <w:rFonts w:ascii="Verdana" w:hAnsi="Verdana"/>
                <w:color w:val="7F7F7F" w:themeColor="text1" w:themeTint="80"/>
                <w:sz w:val="22"/>
                <w:szCs w:val="22"/>
                <w:lang w:val="en-US"/>
              </w:rPr>
              <w:t xml:space="preserve"> going concern, one should assess the probability of the interest rates </w:t>
            </w:r>
            <w:r w:rsidR="001F1280">
              <w:rPr>
                <w:rFonts w:ascii="Verdana" w:hAnsi="Verdana"/>
                <w:color w:val="7F7F7F" w:themeColor="text1" w:themeTint="80"/>
                <w:sz w:val="22"/>
                <w:szCs w:val="22"/>
                <w:lang w:val="en-US"/>
              </w:rPr>
              <w:t>being</w:t>
            </w:r>
            <w:r w:rsidRPr="00BD1821">
              <w:rPr>
                <w:rFonts w:ascii="Verdana" w:hAnsi="Verdana"/>
                <w:color w:val="7F7F7F" w:themeColor="text1" w:themeTint="80"/>
                <w:sz w:val="22"/>
                <w:szCs w:val="22"/>
                <w:lang w:val="en-US"/>
              </w:rPr>
              <w:t xml:space="preserve"> low for more than 50 years. </w:t>
            </w:r>
          </w:p>
          <w:p w14:paraId="502FDAD7" w14:textId="10976962" w:rsidR="001F1280" w:rsidRPr="00C83C87" w:rsidRDefault="007A7870" w:rsidP="00020B14">
            <w:pPr>
              <w:tabs>
                <w:tab w:val="left" w:pos="0"/>
              </w:tabs>
              <w:rPr>
                <w:color w:val="000000"/>
                <w:lang w:val="en-GB" w:eastAsia="fr-FR"/>
              </w:rPr>
            </w:pPr>
            <w:r w:rsidRPr="00BD1821">
              <w:rPr>
                <w:rFonts w:ascii="Verdana" w:hAnsi="Verdana"/>
                <w:color w:val="7F7F7F" w:themeColor="text1" w:themeTint="80"/>
                <w:sz w:val="22"/>
                <w:szCs w:val="22"/>
                <w:lang w:val="en-US"/>
              </w:rPr>
              <w:t xml:space="preserve">Rather than already assuming that interest rates </w:t>
            </w:r>
            <w:r w:rsidR="00BD1821">
              <w:rPr>
                <w:rFonts w:ascii="Verdana" w:hAnsi="Verdana"/>
                <w:color w:val="7F7F7F" w:themeColor="text1" w:themeTint="80"/>
                <w:sz w:val="22"/>
                <w:szCs w:val="22"/>
                <w:lang w:val="en-US"/>
              </w:rPr>
              <w:t>will</w:t>
            </w:r>
            <w:r w:rsidR="00BD1821" w:rsidRPr="00BD1821">
              <w:rPr>
                <w:rFonts w:ascii="Verdana" w:hAnsi="Verdana"/>
                <w:color w:val="7F7F7F" w:themeColor="text1" w:themeTint="80"/>
                <w:sz w:val="22"/>
                <w:szCs w:val="22"/>
                <w:lang w:val="en-US"/>
              </w:rPr>
              <w:t xml:space="preserve"> </w:t>
            </w:r>
            <w:r w:rsidR="00BD1821">
              <w:rPr>
                <w:rFonts w:ascii="Verdana" w:hAnsi="Verdana"/>
                <w:color w:val="7F7F7F" w:themeColor="text1" w:themeTint="80"/>
                <w:sz w:val="22"/>
                <w:szCs w:val="22"/>
                <w:lang w:val="en-US"/>
              </w:rPr>
              <w:t>stay</w:t>
            </w:r>
            <w:r w:rsidRPr="00BD1821">
              <w:rPr>
                <w:rFonts w:ascii="Verdana" w:hAnsi="Verdana"/>
                <w:color w:val="7F7F7F" w:themeColor="text1" w:themeTint="80"/>
                <w:sz w:val="22"/>
                <w:szCs w:val="22"/>
                <w:lang w:val="en-US"/>
              </w:rPr>
              <w:t xml:space="preserve"> low for a very long </w:t>
            </w:r>
            <w:r w:rsidR="001A0540">
              <w:rPr>
                <w:rFonts w:ascii="Verdana" w:hAnsi="Verdana"/>
                <w:color w:val="7F7F7F" w:themeColor="text1" w:themeTint="80"/>
                <w:sz w:val="22"/>
                <w:szCs w:val="22"/>
                <w:lang w:val="en-US"/>
              </w:rPr>
              <w:t>period of time</w:t>
            </w:r>
            <w:r w:rsidRPr="00BD1821">
              <w:rPr>
                <w:rFonts w:ascii="Verdana" w:hAnsi="Verdana"/>
                <w:color w:val="7F7F7F" w:themeColor="text1" w:themeTint="80"/>
                <w:sz w:val="22"/>
                <w:szCs w:val="22"/>
                <w:lang w:val="en-US"/>
              </w:rPr>
              <w:t>, supervisor</w:t>
            </w:r>
            <w:r w:rsidR="001F1280">
              <w:rPr>
                <w:rFonts w:ascii="Verdana" w:hAnsi="Verdana"/>
                <w:color w:val="7F7F7F" w:themeColor="text1" w:themeTint="80"/>
                <w:sz w:val="22"/>
                <w:szCs w:val="22"/>
                <w:lang w:val="en-US"/>
              </w:rPr>
              <w:t>y authorities</w:t>
            </w:r>
            <w:r w:rsidRPr="00BD1821">
              <w:rPr>
                <w:rFonts w:ascii="Verdana" w:hAnsi="Verdana"/>
                <w:color w:val="7F7F7F" w:themeColor="text1" w:themeTint="80"/>
                <w:sz w:val="22"/>
                <w:szCs w:val="22"/>
                <w:lang w:val="en-US"/>
              </w:rPr>
              <w:t xml:space="preserve"> should ask how the</w:t>
            </w:r>
            <w:r w:rsidR="00BD1821">
              <w:rPr>
                <w:rFonts w:ascii="Verdana" w:hAnsi="Verdana"/>
                <w:color w:val="7F7F7F" w:themeColor="text1" w:themeTint="80"/>
                <w:sz w:val="22"/>
                <w:szCs w:val="22"/>
                <w:lang w:val="en-US"/>
              </w:rPr>
              <w:t xml:space="preserve"> </w:t>
            </w:r>
            <w:r w:rsidR="001F1280">
              <w:rPr>
                <w:rFonts w:ascii="Verdana" w:hAnsi="Verdana"/>
                <w:color w:val="7F7F7F" w:themeColor="text1" w:themeTint="80"/>
                <w:sz w:val="22"/>
                <w:szCs w:val="22"/>
                <w:lang w:val="en-US"/>
              </w:rPr>
              <w:t xml:space="preserve">insurer´s </w:t>
            </w:r>
            <w:r w:rsidR="00BD1821" w:rsidRPr="00BD1821">
              <w:rPr>
                <w:rFonts w:ascii="Verdana" w:hAnsi="Verdana"/>
                <w:color w:val="7F7F7F" w:themeColor="text1" w:themeTint="80"/>
                <w:sz w:val="22"/>
                <w:szCs w:val="22"/>
                <w:lang w:val="en-US"/>
              </w:rPr>
              <w:t xml:space="preserve">business model is able to cope with </w:t>
            </w:r>
            <w:r w:rsidR="005521BE">
              <w:rPr>
                <w:rFonts w:ascii="Verdana" w:hAnsi="Verdana"/>
                <w:color w:val="7F7F7F" w:themeColor="text1" w:themeTint="80"/>
                <w:sz w:val="22"/>
                <w:szCs w:val="22"/>
                <w:lang w:val="en-US"/>
              </w:rPr>
              <w:t>the challenges of a low-for-long scenario</w:t>
            </w:r>
            <w:r w:rsidR="00BD1821" w:rsidRPr="00BD1821">
              <w:rPr>
                <w:rFonts w:ascii="Verdana" w:hAnsi="Verdana"/>
                <w:color w:val="7F7F7F" w:themeColor="text1" w:themeTint="80"/>
                <w:sz w:val="22"/>
                <w:szCs w:val="22"/>
                <w:lang w:val="en-US"/>
              </w:rPr>
              <w:t>. The supervisor</w:t>
            </w:r>
            <w:r w:rsidR="001F1280">
              <w:rPr>
                <w:rFonts w:ascii="Verdana" w:hAnsi="Verdana"/>
                <w:color w:val="7F7F7F" w:themeColor="text1" w:themeTint="80"/>
                <w:sz w:val="22"/>
                <w:szCs w:val="22"/>
                <w:lang w:val="en-US"/>
              </w:rPr>
              <w:t>y authorities</w:t>
            </w:r>
            <w:r w:rsidR="00BD1821" w:rsidRPr="00BD1821">
              <w:rPr>
                <w:rFonts w:ascii="Verdana" w:hAnsi="Verdana"/>
                <w:color w:val="7F7F7F" w:themeColor="text1" w:themeTint="80"/>
                <w:sz w:val="22"/>
                <w:szCs w:val="22"/>
                <w:lang w:val="en-US"/>
              </w:rPr>
              <w:t xml:space="preserve"> should </w:t>
            </w:r>
            <w:r w:rsidR="005521BE">
              <w:rPr>
                <w:rFonts w:ascii="Verdana" w:hAnsi="Verdana"/>
                <w:color w:val="7F7F7F" w:themeColor="text1" w:themeTint="80"/>
                <w:sz w:val="22"/>
                <w:szCs w:val="22"/>
                <w:lang w:val="en-US"/>
              </w:rPr>
              <w:t xml:space="preserve">be </w:t>
            </w:r>
            <w:r w:rsidR="00BD1821" w:rsidRPr="00BD1821">
              <w:rPr>
                <w:rFonts w:ascii="Verdana" w:hAnsi="Verdana"/>
                <w:color w:val="7F7F7F" w:themeColor="text1" w:themeTint="80"/>
                <w:sz w:val="22"/>
                <w:szCs w:val="22"/>
                <w:lang w:val="en-US"/>
              </w:rPr>
              <w:t>ask</w:t>
            </w:r>
            <w:r w:rsidR="005521BE">
              <w:rPr>
                <w:rFonts w:ascii="Verdana" w:hAnsi="Verdana"/>
                <w:color w:val="7F7F7F" w:themeColor="text1" w:themeTint="80"/>
                <w:sz w:val="22"/>
                <w:szCs w:val="22"/>
                <w:lang w:val="en-US"/>
              </w:rPr>
              <w:t>ing</w:t>
            </w:r>
            <w:r w:rsidR="00BD1821" w:rsidRPr="00BD1821">
              <w:rPr>
                <w:rFonts w:ascii="Verdana" w:hAnsi="Verdana"/>
                <w:color w:val="7F7F7F" w:themeColor="text1" w:themeTint="80"/>
                <w:sz w:val="22"/>
                <w:szCs w:val="22"/>
                <w:lang w:val="en-US"/>
              </w:rPr>
              <w:t xml:space="preserve"> question</w:t>
            </w:r>
            <w:r w:rsidR="005521BE">
              <w:rPr>
                <w:rFonts w:ascii="Verdana" w:hAnsi="Verdana"/>
                <w:color w:val="7F7F7F" w:themeColor="text1" w:themeTint="80"/>
                <w:sz w:val="22"/>
                <w:szCs w:val="22"/>
                <w:lang w:val="en-US"/>
              </w:rPr>
              <w:t>s</w:t>
            </w:r>
            <w:r w:rsidR="00BD1821" w:rsidRPr="00BD1821">
              <w:rPr>
                <w:rFonts w:ascii="Verdana" w:hAnsi="Verdana"/>
                <w:color w:val="7F7F7F" w:themeColor="text1" w:themeTint="80"/>
                <w:sz w:val="22"/>
                <w:szCs w:val="22"/>
                <w:lang w:val="en-US"/>
              </w:rPr>
              <w:t xml:space="preserve"> concerning the business model going forward, the sustainability of products and guarantees, the ability to meet the agreed guarantees in the short and long term and the </w:t>
            </w:r>
            <w:r w:rsidR="005521BE">
              <w:rPr>
                <w:rFonts w:ascii="Verdana" w:hAnsi="Verdana"/>
                <w:color w:val="7F7F7F" w:themeColor="text1" w:themeTint="80"/>
                <w:sz w:val="22"/>
                <w:szCs w:val="22"/>
                <w:lang w:val="en-US"/>
              </w:rPr>
              <w:t xml:space="preserve">potential </w:t>
            </w:r>
            <w:r w:rsidR="00BD1821" w:rsidRPr="00BD1821">
              <w:rPr>
                <w:rFonts w:ascii="Verdana" w:hAnsi="Verdana"/>
                <w:color w:val="7F7F7F" w:themeColor="text1" w:themeTint="80"/>
                <w:sz w:val="22"/>
                <w:szCs w:val="22"/>
                <w:lang w:val="en-US"/>
              </w:rPr>
              <w:t>vulnerabilities</w:t>
            </w:r>
            <w:r w:rsidR="001F1280">
              <w:rPr>
                <w:rFonts w:ascii="Verdana" w:hAnsi="Verdana"/>
                <w:color w:val="7F7F7F" w:themeColor="text1" w:themeTint="80"/>
                <w:sz w:val="22"/>
                <w:szCs w:val="22"/>
                <w:lang w:val="en-US"/>
              </w:rPr>
              <w:t xml:space="preserve"> insurer´s should be exposed to</w:t>
            </w:r>
            <w:r w:rsidR="00BD1821" w:rsidRPr="00BD1821">
              <w:rPr>
                <w:rFonts w:ascii="Verdana" w:hAnsi="Verdana"/>
                <w:color w:val="7F7F7F" w:themeColor="text1" w:themeTint="80"/>
                <w:sz w:val="22"/>
                <w:szCs w:val="22"/>
                <w:lang w:val="en-US"/>
              </w:rPr>
              <w:t>.</w:t>
            </w:r>
          </w:p>
        </w:tc>
        <w:tc>
          <w:tcPr>
            <w:tcW w:w="483" w:type="pct"/>
            <w:tcBorders>
              <w:top w:val="single" w:sz="4" w:space="0" w:color="auto"/>
              <w:left w:val="single" w:sz="4" w:space="0" w:color="auto"/>
              <w:bottom w:val="single" w:sz="4" w:space="0" w:color="auto"/>
              <w:right w:val="single" w:sz="4" w:space="0" w:color="auto"/>
            </w:tcBorders>
          </w:tcPr>
          <w:p w14:paraId="56EB467E" w14:textId="77777777" w:rsidR="005703DE" w:rsidRPr="00C83C87" w:rsidRDefault="005703DE" w:rsidP="00020B14">
            <w:pPr>
              <w:tabs>
                <w:tab w:val="left" w:pos="0"/>
              </w:tabs>
              <w:rPr>
                <w:color w:val="000000"/>
                <w:lang w:val="en-GB" w:eastAsia="fr-FR"/>
              </w:rPr>
            </w:pPr>
          </w:p>
        </w:tc>
      </w:tr>
      <w:tr w:rsidR="00173725" w:rsidRPr="00107C0D" w14:paraId="4D7CD021"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69EA02A" w14:textId="3FE3FA71" w:rsidR="005703DE" w:rsidRPr="007A7870" w:rsidRDefault="002A66AF" w:rsidP="00020B14">
            <w:pPr>
              <w:tabs>
                <w:tab w:val="left" w:pos="0"/>
              </w:tabs>
              <w:spacing w:before="120"/>
              <w:ind w:left="-96" w:right="72"/>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2</w:t>
            </w:r>
          </w:p>
        </w:tc>
        <w:tc>
          <w:tcPr>
            <w:tcW w:w="486" w:type="pct"/>
            <w:tcBorders>
              <w:top w:val="single" w:sz="4" w:space="0" w:color="auto"/>
              <w:left w:val="single" w:sz="4" w:space="0" w:color="auto"/>
              <w:bottom w:val="single" w:sz="4" w:space="0" w:color="auto"/>
              <w:right w:val="single" w:sz="4" w:space="0" w:color="auto"/>
            </w:tcBorders>
          </w:tcPr>
          <w:p w14:paraId="1E734639" w14:textId="5FE5F2A3" w:rsidR="005703DE" w:rsidRPr="007A7870" w:rsidRDefault="002A66AF" w:rsidP="00020B14">
            <w:pPr>
              <w:tabs>
                <w:tab w:val="left" w:pos="0"/>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35</w:t>
            </w:r>
          </w:p>
        </w:tc>
        <w:tc>
          <w:tcPr>
            <w:tcW w:w="2020" w:type="pct"/>
            <w:gridSpan w:val="2"/>
            <w:tcBorders>
              <w:top w:val="single" w:sz="4" w:space="0" w:color="auto"/>
              <w:left w:val="single" w:sz="4" w:space="0" w:color="auto"/>
              <w:bottom w:val="single" w:sz="4" w:space="0" w:color="auto"/>
              <w:right w:val="single" w:sz="4" w:space="0" w:color="auto"/>
            </w:tcBorders>
          </w:tcPr>
          <w:p w14:paraId="4759BFD0" w14:textId="1A258C94" w:rsidR="005703DE" w:rsidRPr="00C24334" w:rsidRDefault="005521BE" w:rsidP="00020B14">
            <w:pPr>
              <w:tabs>
                <w:tab w:val="left" w:pos="0"/>
              </w:tabs>
              <w:rPr>
                <w:color w:val="7F7F7F" w:themeColor="text1" w:themeTint="80"/>
                <w:lang w:val="en-GB" w:eastAsia="fr-FR"/>
              </w:rPr>
            </w:pPr>
            <w:r w:rsidRPr="00C24334">
              <w:rPr>
                <w:rFonts w:ascii="Verdana" w:hAnsi="Verdana"/>
                <w:color w:val="7F7F7F" w:themeColor="text1" w:themeTint="80"/>
                <w:sz w:val="22"/>
                <w:szCs w:val="22"/>
                <w:lang w:val="en-US"/>
              </w:rPr>
              <w:t>In this paragraph, EIOPA assumes that insurers only invest in swaps to meet the</w:t>
            </w:r>
            <w:r w:rsidR="001F1280" w:rsidRPr="00C24334">
              <w:rPr>
                <w:rFonts w:ascii="Verdana" w:hAnsi="Verdana"/>
                <w:color w:val="7F7F7F" w:themeColor="text1" w:themeTint="80"/>
                <w:sz w:val="22"/>
                <w:szCs w:val="22"/>
                <w:lang w:val="en-US"/>
              </w:rPr>
              <w:t>ir</w:t>
            </w:r>
            <w:r w:rsidRPr="00C24334">
              <w:rPr>
                <w:rFonts w:ascii="Verdana" w:hAnsi="Verdana"/>
                <w:color w:val="7F7F7F" w:themeColor="text1" w:themeTint="80"/>
                <w:sz w:val="22"/>
                <w:szCs w:val="22"/>
                <w:lang w:val="en-US"/>
              </w:rPr>
              <w:t xml:space="preserve"> liability requirements.</w:t>
            </w:r>
            <w:r w:rsidR="002460DC" w:rsidRPr="00C24334">
              <w:rPr>
                <w:rFonts w:ascii="Verdana" w:hAnsi="Verdana"/>
                <w:color w:val="7F7F7F" w:themeColor="text1" w:themeTint="80"/>
                <w:sz w:val="22"/>
                <w:szCs w:val="22"/>
                <w:lang w:val="en-US"/>
              </w:rPr>
              <w:t xml:space="preserve"> This is not a realistic assumption.</w:t>
            </w:r>
          </w:p>
        </w:tc>
        <w:tc>
          <w:tcPr>
            <w:tcW w:w="483" w:type="pct"/>
            <w:tcBorders>
              <w:top w:val="single" w:sz="4" w:space="0" w:color="auto"/>
              <w:left w:val="single" w:sz="4" w:space="0" w:color="auto"/>
              <w:bottom w:val="single" w:sz="4" w:space="0" w:color="auto"/>
              <w:right w:val="single" w:sz="4" w:space="0" w:color="auto"/>
            </w:tcBorders>
          </w:tcPr>
          <w:p w14:paraId="592076DD" w14:textId="77777777" w:rsidR="005703DE" w:rsidRPr="00C83C87" w:rsidRDefault="005703DE" w:rsidP="00020B14">
            <w:pPr>
              <w:tabs>
                <w:tab w:val="left" w:pos="0"/>
              </w:tabs>
              <w:rPr>
                <w:color w:val="000000"/>
                <w:lang w:val="en-GB" w:eastAsia="fr-FR"/>
              </w:rPr>
            </w:pPr>
          </w:p>
        </w:tc>
      </w:tr>
      <w:tr w:rsidR="00173725" w:rsidRPr="00173F22" w14:paraId="33AB4ADE"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EF40CCE" w14:textId="10A5CA55" w:rsidR="005703DE" w:rsidRPr="007A7870" w:rsidRDefault="00F058D4" w:rsidP="00020B14">
            <w:pPr>
              <w:tabs>
                <w:tab w:val="left" w:pos="0"/>
              </w:tabs>
              <w:spacing w:before="120"/>
              <w:ind w:left="-96" w:right="72"/>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lastRenderedPageBreak/>
              <w:t>2</w:t>
            </w:r>
          </w:p>
        </w:tc>
        <w:tc>
          <w:tcPr>
            <w:tcW w:w="486" w:type="pct"/>
            <w:tcBorders>
              <w:top w:val="single" w:sz="4" w:space="0" w:color="auto"/>
              <w:left w:val="single" w:sz="4" w:space="0" w:color="auto"/>
              <w:bottom w:val="single" w:sz="4" w:space="0" w:color="auto"/>
              <w:right w:val="single" w:sz="4" w:space="0" w:color="auto"/>
            </w:tcBorders>
          </w:tcPr>
          <w:p w14:paraId="139BF129" w14:textId="67BBC4F0" w:rsidR="005703DE" w:rsidRPr="007A7870" w:rsidRDefault="00F058D4" w:rsidP="00020B14">
            <w:pPr>
              <w:tabs>
                <w:tab w:val="left" w:pos="0"/>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36</w:t>
            </w:r>
          </w:p>
        </w:tc>
        <w:tc>
          <w:tcPr>
            <w:tcW w:w="2020" w:type="pct"/>
            <w:gridSpan w:val="2"/>
            <w:tcBorders>
              <w:top w:val="single" w:sz="4" w:space="0" w:color="auto"/>
              <w:left w:val="single" w:sz="4" w:space="0" w:color="auto"/>
              <w:bottom w:val="single" w:sz="4" w:space="0" w:color="auto"/>
              <w:right w:val="single" w:sz="4" w:space="0" w:color="auto"/>
            </w:tcBorders>
          </w:tcPr>
          <w:p w14:paraId="607F7FD1" w14:textId="27F277D8" w:rsidR="005703DE" w:rsidRPr="00C24334" w:rsidRDefault="00AD300D" w:rsidP="00020B14">
            <w:pPr>
              <w:tabs>
                <w:tab w:val="left" w:pos="0"/>
              </w:tabs>
              <w:rPr>
                <w:color w:val="7F7F7F" w:themeColor="text1" w:themeTint="80"/>
                <w:lang w:val="en-GB" w:eastAsia="fr-FR"/>
              </w:rPr>
            </w:pPr>
            <w:r w:rsidRPr="00C24334">
              <w:rPr>
                <w:rFonts w:ascii="Verdana" w:hAnsi="Verdana"/>
                <w:color w:val="7F7F7F" w:themeColor="text1" w:themeTint="80"/>
                <w:sz w:val="22"/>
                <w:szCs w:val="22"/>
                <w:lang w:val="en-US"/>
              </w:rPr>
              <w:t xml:space="preserve">Distributions to shareholders and other relevant stakeholders are </w:t>
            </w:r>
            <w:r w:rsidR="002460DC" w:rsidRPr="00C24334">
              <w:rPr>
                <w:rFonts w:ascii="Verdana" w:hAnsi="Verdana"/>
                <w:color w:val="7F7F7F" w:themeColor="text1" w:themeTint="80"/>
                <w:sz w:val="22"/>
                <w:szCs w:val="22"/>
                <w:lang w:val="en-US"/>
              </w:rPr>
              <w:t>subject to</w:t>
            </w:r>
            <w:r w:rsidRPr="00C24334">
              <w:rPr>
                <w:rFonts w:ascii="Verdana" w:hAnsi="Verdana"/>
                <w:color w:val="7F7F7F" w:themeColor="text1" w:themeTint="80"/>
                <w:sz w:val="22"/>
                <w:szCs w:val="22"/>
                <w:lang w:val="en-US"/>
              </w:rPr>
              <w:t xml:space="preserve"> the </w:t>
            </w:r>
            <w:r w:rsidR="001A0540" w:rsidRPr="00C24334">
              <w:rPr>
                <w:rFonts w:ascii="Verdana" w:hAnsi="Verdana"/>
                <w:color w:val="7F7F7F" w:themeColor="text1" w:themeTint="80"/>
                <w:sz w:val="22"/>
                <w:szCs w:val="22"/>
                <w:lang w:val="en-US"/>
              </w:rPr>
              <w:t>undertaking</w:t>
            </w:r>
            <w:r w:rsidR="002460DC" w:rsidRPr="00C24334">
              <w:rPr>
                <w:rFonts w:ascii="Verdana" w:hAnsi="Verdana"/>
                <w:color w:val="7F7F7F" w:themeColor="text1" w:themeTint="80"/>
                <w:sz w:val="22"/>
                <w:szCs w:val="22"/>
                <w:lang w:val="en-US"/>
              </w:rPr>
              <w:t>´s</w:t>
            </w:r>
            <w:r w:rsidR="001A0540" w:rsidRPr="00C24334">
              <w:rPr>
                <w:rFonts w:ascii="Verdana" w:hAnsi="Verdana"/>
                <w:color w:val="7F7F7F" w:themeColor="text1" w:themeTint="80"/>
                <w:sz w:val="22"/>
                <w:szCs w:val="22"/>
                <w:lang w:val="en-US"/>
              </w:rPr>
              <w:t xml:space="preserve"> </w:t>
            </w:r>
            <w:r w:rsidRPr="00C24334">
              <w:rPr>
                <w:rFonts w:ascii="Verdana" w:hAnsi="Verdana"/>
                <w:color w:val="7F7F7F" w:themeColor="text1" w:themeTint="80"/>
                <w:sz w:val="22"/>
                <w:szCs w:val="22"/>
                <w:lang w:val="en-US"/>
              </w:rPr>
              <w:t xml:space="preserve">capital adequacy policy and </w:t>
            </w:r>
            <w:r w:rsidR="002460DC" w:rsidRPr="00C24334">
              <w:rPr>
                <w:rFonts w:ascii="Verdana" w:hAnsi="Verdana"/>
                <w:color w:val="7F7F7F" w:themeColor="text1" w:themeTint="80"/>
                <w:sz w:val="22"/>
                <w:szCs w:val="22"/>
                <w:lang w:val="en-US"/>
              </w:rPr>
              <w:t xml:space="preserve">the </w:t>
            </w:r>
            <w:r w:rsidRPr="00C24334">
              <w:rPr>
                <w:rFonts w:ascii="Verdana" w:hAnsi="Verdana"/>
                <w:color w:val="7F7F7F" w:themeColor="text1" w:themeTint="80"/>
                <w:sz w:val="22"/>
                <w:szCs w:val="22"/>
                <w:lang w:val="en-US"/>
              </w:rPr>
              <w:t xml:space="preserve">assessment of the capital position over the coming periods. In the </w:t>
            </w:r>
            <w:r w:rsidR="00531C6E" w:rsidRPr="00C24334">
              <w:rPr>
                <w:rFonts w:ascii="Verdana" w:hAnsi="Verdana"/>
                <w:color w:val="7F7F7F" w:themeColor="text1" w:themeTint="80"/>
                <w:sz w:val="22"/>
                <w:szCs w:val="22"/>
                <w:lang w:val="en-US"/>
              </w:rPr>
              <w:t>insurers’</w:t>
            </w:r>
            <w:r w:rsidRPr="00C24334">
              <w:rPr>
                <w:rFonts w:ascii="Verdana" w:hAnsi="Verdana"/>
                <w:color w:val="7F7F7F" w:themeColor="text1" w:themeTint="80"/>
                <w:sz w:val="22"/>
                <w:szCs w:val="22"/>
                <w:lang w:val="en-US"/>
              </w:rPr>
              <w:t>-term capital plans</w:t>
            </w:r>
            <w:r w:rsidR="001A0540" w:rsidRPr="00C24334">
              <w:rPr>
                <w:rFonts w:ascii="Verdana" w:hAnsi="Verdana"/>
                <w:color w:val="7F7F7F" w:themeColor="text1" w:themeTint="80"/>
                <w:sz w:val="22"/>
                <w:szCs w:val="22"/>
                <w:lang w:val="en-US"/>
              </w:rPr>
              <w:t>,</w:t>
            </w:r>
            <w:r w:rsidRPr="00C24334">
              <w:rPr>
                <w:rFonts w:ascii="Verdana" w:hAnsi="Verdana"/>
                <w:color w:val="7F7F7F" w:themeColor="text1" w:themeTint="80"/>
                <w:sz w:val="22"/>
                <w:szCs w:val="22"/>
                <w:lang w:val="en-US"/>
              </w:rPr>
              <w:t xml:space="preserve"> adequate provisions and assessment</w:t>
            </w:r>
            <w:r w:rsidR="008815A5" w:rsidRPr="00C24334">
              <w:rPr>
                <w:rFonts w:ascii="Verdana" w:hAnsi="Verdana"/>
                <w:color w:val="7F7F7F" w:themeColor="text1" w:themeTint="80"/>
                <w:sz w:val="22"/>
                <w:szCs w:val="22"/>
                <w:lang w:val="en-US"/>
              </w:rPr>
              <w:t>s</w:t>
            </w:r>
            <w:r w:rsidRPr="00C24334">
              <w:rPr>
                <w:rFonts w:ascii="Verdana" w:hAnsi="Verdana"/>
                <w:color w:val="7F7F7F" w:themeColor="text1" w:themeTint="80"/>
                <w:sz w:val="22"/>
                <w:szCs w:val="22"/>
                <w:lang w:val="en-US"/>
              </w:rPr>
              <w:t xml:space="preserve"> are based on the impact of these distributions. </w:t>
            </w:r>
            <w:r w:rsidR="00D51CF6" w:rsidRPr="00C24334">
              <w:rPr>
                <w:rFonts w:ascii="Verdana" w:hAnsi="Verdana"/>
                <w:color w:val="7F7F7F" w:themeColor="text1" w:themeTint="80"/>
                <w:sz w:val="22"/>
                <w:szCs w:val="22"/>
                <w:lang w:val="en-US"/>
              </w:rPr>
              <w:t>Also,</w:t>
            </w:r>
            <w:r w:rsidRPr="00C24334">
              <w:rPr>
                <w:rFonts w:ascii="Verdana" w:hAnsi="Verdana"/>
                <w:color w:val="7F7F7F" w:themeColor="text1" w:themeTint="80"/>
                <w:sz w:val="22"/>
                <w:szCs w:val="22"/>
                <w:lang w:val="en-US"/>
              </w:rPr>
              <w:t xml:space="preserve"> in the stress scenarios, </w:t>
            </w:r>
            <w:r w:rsidR="008815A5" w:rsidRPr="00C24334">
              <w:rPr>
                <w:rFonts w:ascii="Verdana" w:hAnsi="Verdana"/>
                <w:color w:val="7F7F7F" w:themeColor="text1" w:themeTint="80"/>
                <w:sz w:val="22"/>
                <w:szCs w:val="22"/>
                <w:lang w:val="en-US"/>
              </w:rPr>
              <w:t xml:space="preserve">the distributions of dividends </w:t>
            </w:r>
            <w:r w:rsidR="001A0540" w:rsidRPr="00C24334">
              <w:rPr>
                <w:rFonts w:ascii="Verdana" w:hAnsi="Verdana"/>
                <w:color w:val="7F7F7F" w:themeColor="text1" w:themeTint="80"/>
                <w:sz w:val="22"/>
                <w:szCs w:val="22"/>
                <w:lang w:val="en-US"/>
              </w:rPr>
              <w:t xml:space="preserve">are </w:t>
            </w:r>
            <w:r w:rsidR="002460DC" w:rsidRPr="00C24334">
              <w:rPr>
                <w:rFonts w:ascii="Verdana" w:hAnsi="Verdana"/>
                <w:color w:val="7F7F7F" w:themeColor="text1" w:themeTint="80"/>
                <w:sz w:val="22"/>
                <w:szCs w:val="22"/>
                <w:lang w:val="en-US"/>
              </w:rPr>
              <w:t xml:space="preserve">to be </w:t>
            </w:r>
            <w:r w:rsidR="008815A5" w:rsidRPr="00C24334">
              <w:rPr>
                <w:rFonts w:ascii="Verdana" w:hAnsi="Verdana"/>
                <w:color w:val="7F7F7F" w:themeColor="text1" w:themeTint="80"/>
                <w:sz w:val="22"/>
                <w:szCs w:val="22"/>
                <w:lang w:val="en-US"/>
              </w:rPr>
              <w:t xml:space="preserve">included. </w:t>
            </w:r>
            <w:r w:rsidR="00173F22" w:rsidRPr="00C24334">
              <w:rPr>
                <w:rFonts w:ascii="Verdana" w:hAnsi="Verdana"/>
                <w:color w:val="7F7F7F" w:themeColor="text1" w:themeTint="80"/>
                <w:sz w:val="22"/>
                <w:szCs w:val="22"/>
                <w:lang w:val="en-US"/>
              </w:rPr>
              <w:t>The capital adequacy policy and the ORSA including capital plan distributions are reviewed by the supervisory authority. No additional restrictions are necessary.</w:t>
            </w:r>
          </w:p>
        </w:tc>
        <w:tc>
          <w:tcPr>
            <w:tcW w:w="483" w:type="pct"/>
            <w:tcBorders>
              <w:top w:val="single" w:sz="4" w:space="0" w:color="auto"/>
              <w:left w:val="single" w:sz="4" w:space="0" w:color="auto"/>
              <w:bottom w:val="single" w:sz="4" w:space="0" w:color="auto"/>
              <w:right w:val="single" w:sz="4" w:space="0" w:color="auto"/>
            </w:tcBorders>
          </w:tcPr>
          <w:p w14:paraId="16577189" w14:textId="77777777" w:rsidR="005703DE" w:rsidRPr="00C83C87" w:rsidRDefault="005703DE" w:rsidP="00020B14">
            <w:pPr>
              <w:tabs>
                <w:tab w:val="left" w:pos="0"/>
              </w:tabs>
              <w:rPr>
                <w:color w:val="000000"/>
                <w:lang w:val="en-GB" w:eastAsia="fr-FR"/>
              </w:rPr>
            </w:pPr>
          </w:p>
        </w:tc>
      </w:tr>
      <w:tr w:rsidR="00173725" w:rsidRPr="00395661" w14:paraId="7BC9410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D640608" w14:textId="297F0A93" w:rsidR="005703DE" w:rsidRPr="007A7870" w:rsidRDefault="00F058D4" w:rsidP="00020B14">
            <w:pPr>
              <w:tabs>
                <w:tab w:val="left" w:pos="0"/>
              </w:tabs>
              <w:spacing w:before="120"/>
              <w:ind w:left="-96" w:right="72"/>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2</w:t>
            </w:r>
          </w:p>
        </w:tc>
        <w:tc>
          <w:tcPr>
            <w:tcW w:w="486" w:type="pct"/>
            <w:tcBorders>
              <w:top w:val="single" w:sz="4" w:space="0" w:color="auto"/>
              <w:left w:val="single" w:sz="4" w:space="0" w:color="auto"/>
              <w:bottom w:val="single" w:sz="4" w:space="0" w:color="auto"/>
              <w:right w:val="single" w:sz="4" w:space="0" w:color="auto"/>
            </w:tcBorders>
          </w:tcPr>
          <w:p w14:paraId="11484384" w14:textId="74D94647" w:rsidR="005703DE" w:rsidRPr="007A7870" w:rsidRDefault="00F058D4" w:rsidP="00020B14">
            <w:pPr>
              <w:tabs>
                <w:tab w:val="left" w:pos="0"/>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39</w:t>
            </w:r>
          </w:p>
        </w:tc>
        <w:tc>
          <w:tcPr>
            <w:tcW w:w="2020" w:type="pct"/>
            <w:gridSpan w:val="2"/>
            <w:tcBorders>
              <w:top w:val="single" w:sz="4" w:space="0" w:color="auto"/>
              <w:left w:val="single" w:sz="4" w:space="0" w:color="auto"/>
              <w:bottom w:val="single" w:sz="4" w:space="0" w:color="auto"/>
              <w:right w:val="single" w:sz="4" w:space="0" w:color="auto"/>
            </w:tcBorders>
          </w:tcPr>
          <w:p w14:paraId="7AA5E9DA" w14:textId="3CB046BC" w:rsidR="00E70257" w:rsidRPr="00C24334" w:rsidRDefault="00E70257" w:rsidP="00020B14">
            <w:pPr>
              <w:tabs>
                <w:tab w:val="left" w:pos="0"/>
              </w:tabs>
              <w:rPr>
                <w:rFonts w:ascii="Verdana" w:hAnsi="Verdana"/>
                <w:b/>
                <w:bCs/>
                <w:color w:val="7F7F7F" w:themeColor="text1" w:themeTint="80"/>
                <w:sz w:val="22"/>
                <w:szCs w:val="22"/>
                <w:lang w:val="en-US"/>
              </w:rPr>
            </w:pPr>
            <w:r w:rsidRPr="00C24334">
              <w:rPr>
                <w:rFonts w:ascii="Verdana" w:hAnsi="Verdana"/>
                <w:b/>
                <w:bCs/>
                <w:color w:val="7F7F7F" w:themeColor="text1" w:themeTint="80"/>
                <w:sz w:val="22"/>
                <w:szCs w:val="22"/>
                <w:lang w:val="en-US"/>
              </w:rPr>
              <w:t>2.2.4.2 Issue II – Risk Management incentives</w:t>
            </w:r>
          </w:p>
          <w:p w14:paraId="1C52D3EE" w14:textId="56B1EAA8" w:rsidR="005703DE" w:rsidRPr="00C24334" w:rsidRDefault="00F058D4" w:rsidP="00020B14">
            <w:pPr>
              <w:tabs>
                <w:tab w:val="left" w:pos="0"/>
              </w:tabs>
              <w:rPr>
                <w:color w:val="7F7F7F" w:themeColor="text1" w:themeTint="80"/>
                <w:lang w:val="en-GB" w:eastAsia="fr-FR"/>
              </w:rPr>
            </w:pPr>
            <w:r w:rsidRPr="00C24334">
              <w:rPr>
                <w:rFonts w:ascii="Verdana" w:hAnsi="Verdana"/>
                <w:color w:val="7F7F7F" w:themeColor="text1" w:themeTint="80"/>
                <w:sz w:val="22"/>
                <w:szCs w:val="22"/>
                <w:lang w:val="en-US"/>
              </w:rPr>
              <w:t xml:space="preserve">This is not only the case for the LLP, but also for the </w:t>
            </w:r>
            <w:r w:rsidR="005950D3" w:rsidRPr="00C24334">
              <w:rPr>
                <w:rFonts w:ascii="Verdana" w:hAnsi="Verdana"/>
                <w:color w:val="7F7F7F" w:themeColor="text1" w:themeTint="80"/>
                <w:sz w:val="22"/>
                <w:szCs w:val="22"/>
                <w:lang w:val="en-US"/>
              </w:rPr>
              <w:t>credit risk adjustment (</w:t>
            </w:r>
            <w:r w:rsidR="00962713" w:rsidRPr="00C24334">
              <w:rPr>
                <w:rFonts w:ascii="Verdana" w:hAnsi="Verdana"/>
                <w:color w:val="7F7F7F" w:themeColor="text1" w:themeTint="80"/>
                <w:sz w:val="22"/>
                <w:szCs w:val="22"/>
                <w:lang w:val="en-US"/>
              </w:rPr>
              <w:t>i.e.</w:t>
            </w:r>
            <w:r w:rsidR="005950D3" w:rsidRPr="00C24334">
              <w:rPr>
                <w:rFonts w:ascii="Verdana" w:hAnsi="Verdana"/>
                <w:color w:val="7F7F7F" w:themeColor="text1" w:themeTint="80"/>
                <w:sz w:val="22"/>
                <w:szCs w:val="22"/>
                <w:lang w:val="en-US"/>
              </w:rPr>
              <w:t xml:space="preserve"> </w:t>
            </w:r>
            <w:r w:rsidRPr="00C24334">
              <w:rPr>
                <w:rFonts w:ascii="Verdana" w:hAnsi="Verdana"/>
                <w:color w:val="7F7F7F" w:themeColor="text1" w:themeTint="80"/>
                <w:sz w:val="22"/>
                <w:szCs w:val="22"/>
                <w:lang w:val="en-US"/>
              </w:rPr>
              <w:t>CRA</w:t>
            </w:r>
            <w:r w:rsidR="005950D3" w:rsidRPr="00C24334">
              <w:rPr>
                <w:rFonts w:ascii="Verdana" w:hAnsi="Verdana"/>
                <w:color w:val="7F7F7F" w:themeColor="text1" w:themeTint="80"/>
                <w:sz w:val="22"/>
                <w:szCs w:val="22"/>
                <w:lang w:val="en-US"/>
              </w:rPr>
              <w:t>)</w:t>
            </w:r>
            <w:r w:rsidRPr="00C24334">
              <w:rPr>
                <w:rFonts w:ascii="Verdana" w:hAnsi="Verdana"/>
                <w:color w:val="7F7F7F" w:themeColor="text1" w:themeTint="80"/>
                <w:sz w:val="22"/>
                <w:szCs w:val="22"/>
                <w:lang w:val="en-US"/>
              </w:rPr>
              <w:t xml:space="preserve">. If assets are discounted using the swap rate while liabilities are discounted with the swap rate minus </w:t>
            </w:r>
            <w:r w:rsidR="00E21175" w:rsidRPr="00C24334">
              <w:rPr>
                <w:rFonts w:ascii="Verdana" w:hAnsi="Verdana"/>
                <w:color w:val="7F7F7F" w:themeColor="text1" w:themeTint="80"/>
                <w:sz w:val="22"/>
                <w:szCs w:val="22"/>
                <w:lang w:val="en-US"/>
              </w:rPr>
              <w:t xml:space="preserve">the </w:t>
            </w:r>
            <w:r w:rsidRPr="00C24334">
              <w:rPr>
                <w:rFonts w:ascii="Verdana" w:hAnsi="Verdana"/>
                <w:color w:val="7F7F7F" w:themeColor="text1" w:themeTint="80"/>
                <w:sz w:val="22"/>
                <w:szCs w:val="22"/>
                <w:lang w:val="en-US"/>
              </w:rPr>
              <w:t xml:space="preserve">CRA a difference of at least 10 bp </w:t>
            </w:r>
            <w:r w:rsidR="00E21175" w:rsidRPr="00C24334">
              <w:rPr>
                <w:rFonts w:ascii="Verdana" w:hAnsi="Verdana"/>
                <w:color w:val="7F7F7F" w:themeColor="text1" w:themeTint="80"/>
                <w:sz w:val="22"/>
                <w:szCs w:val="22"/>
                <w:lang w:val="en-US"/>
              </w:rPr>
              <w:t>will be</w:t>
            </w:r>
            <w:r w:rsidRPr="00C24334">
              <w:rPr>
                <w:rFonts w:ascii="Verdana" w:hAnsi="Verdana"/>
                <w:color w:val="7F7F7F" w:themeColor="text1" w:themeTint="80"/>
                <w:sz w:val="22"/>
                <w:szCs w:val="22"/>
                <w:lang w:val="en-US"/>
              </w:rPr>
              <w:t xml:space="preserve"> </w:t>
            </w:r>
            <w:r w:rsidR="00962713" w:rsidRPr="00C24334">
              <w:rPr>
                <w:rFonts w:ascii="Verdana" w:hAnsi="Verdana"/>
                <w:color w:val="7F7F7F" w:themeColor="text1" w:themeTint="80"/>
                <w:sz w:val="22"/>
                <w:szCs w:val="22"/>
                <w:lang w:val="en-US"/>
              </w:rPr>
              <w:t>recognized</w:t>
            </w:r>
            <w:r w:rsidRPr="00C24334">
              <w:rPr>
                <w:rFonts w:ascii="Verdana" w:hAnsi="Verdana"/>
                <w:color w:val="7F7F7F" w:themeColor="text1" w:themeTint="80"/>
                <w:sz w:val="22"/>
                <w:szCs w:val="22"/>
                <w:lang w:val="en-US"/>
              </w:rPr>
              <w:t>.</w:t>
            </w:r>
            <w:r w:rsidR="00F70E77" w:rsidRPr="00C24334">
              <w:rPr>
                <w:rFonts w:ascii="Verdana" w:hAnsi="Verdana"/>
                <w:color w:val="7F7F7F" w:themeColor="text1" w:themeTint="80"/>
                <w:sz w:val="22"/>
                <w:szCs w:val="22"/>
                <w:lang w:val="en-US"/>
              </w:rPr>
              <w:t xml:space="preserve"> Whether this is the case also depends on the vision of the (re-)insurers over the behavior/size/shape </w:t>
            </w:r>
            <w:r w:rsidR="00BA2731" w:rsidRPr="00C24334">
              <w:rPr>
                <w:rFonts w:ascii="Verdana" w:hAnsi="Verdana"/>
                <w:color w:val="7F7F7F" w:themeColor="text1" w:themeTint="80"/>
                <w:sz w:val="22"/>
                <w:szCs w:val="22"/>
                <w:lang w:val="en-US"/>
              </w:rPr>
              <w:t>for</w:t>
            </w:r>
            <w:r w:rsidR="00F70E77" w:rsidRPr="00C24334">
              <w:rPr>
                <w:rFonts w:ascii="Verdana" w:hAnsi="Verdana"/>
                <w:color w:val="7F7F7F" w:themeColor="text1" w:themeTint="80"/>
                <w:sz w:val="22"/>
                <w:szCs w:val="22"/>
                <w:lang w:val="en-US"/>
              </w:rPr>
              <w:t xml:space="preserve"> the interest rate after the LLP. </w:t>
            </w:r>
            <w:r w:rsidR="00BA2731" w:rsidRPr="00C24334">
              <w:rPr>
                <w:rFonts w:ascii="Verdana" w:hAnsi="Verdana"/>
                <w:color w:val="7F7F7F" w:themeColor="text1" w:themeTint="80"/>
                <w:sz w:val="22"/>
                <w:szCs w:val="22"/>
                <w:lang w:val="en-US"/>
              </w:rPr>
              <w:t>There</w:t>
            </w:r>
            <w:r w:rsidR="00F70E77" w:rsidRPr="00C24334">
              <w:rPr>
                <w:rFonts w:ascii="Verdana" w:hAnsi="Verdana"/>
                <w:color w:val="7F7F7F" w:themeColor="text1" w:themeTint="80"/>
                <w:sz w:val="22"/>
                <w:szCs w:val="22"/>
                <w:lang w:val="en-US"/>
              </w:rPr>
              <w:t xml:space="preserve"> is a reason for an LLP.</w:t>
            </w:r>
          </w:p>
        </w:tc>
        <w:tc>
          <w:tcPr>
            <w:tcW w:w="483" w:type="pct"/>
            <w:tcBorders>
              <w:top w:val="single" w:sz="4" w:space="0" w:color="auto"/>
              <w:left w:val="single" w:sz="4" w:space="0" w:color="auto"/>
              <w:bottom w:val="single" w:sz="4" w:space="0" w:color="auto"/>
              <w:right w:val="single" w:sz="4" w:space="0" w:color="auto"/>
            </w:tcBorders>
          </w:tcPr>
          <w:p w14:paraId="3099150C" w14:textId="645707B3" w:rsidR="005703DE" w:rsidRPr="00CF2245" w:rsidRDefault="005703DE" w:rsidP="00020B14">
            <w:pPr>
              <w:tabs>
                <w:tab w:val="left" w:pos="0"/>
              </w:tabs>
              <w:rPr>
                <w:color w:val="7F7F7F" w:themeColor="text1" w:themeTint="80"/>
                <w:lang w:val="en-GB" w:eastAsia="fr-FR"/>
              </w:rPr>
            </w:pPr>
          </w:p>
        </w:tc>
      </w:tr>
      <w:tr w:rsidR="00173725" w:rsidRPr="001360A5" w14:paraId="5A611E28"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8AA6391" w14:textId="5ACEB826" w:rsidR="002A66AF" w:rsidRDefault="002A66AF" w:rsidP="00020B14">
            <w:pPr>
              <w:tabs>
                <w:tab w:val="left" w:pos="0"/>
              </w:tabs>
              <w:spacing w:before="120"/>
              <w:ind w:left="-96" w:right="72"/>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2</w:t>
            </w:r>
          </w:p>
        </w:tc>
        <w:tc>
          <w:tcPr>
            <w:tcW w:w="486" w:type="pct"/>
            <w:tcBorders>
              <w:top w:val="single" w:sz="4" w:space="0" w:color="auto"/>
              <w:left w:val="single" w:sz="4" w:space="0" w:color="auto"/>
              <w:bottom w:val="single" w:sz="4" w:space="0" w:color="auto"/>
              <w:right w:val="single" w:sz="4" w:space="0" w:color="auto"/>
            </w:tcBorders>
          </w:tcPr>
          <w:p w14:paraId="4BBAA092" w14:textId="67C0D389" w:rsidR="002A66AF" w:rsidRDefault="002A66AF" w:rsidP="00020B14">
            <w:pPr>
              <w:tabs>
                <w:tab w:val="left" w:pos="0"/>
              </w:tabs>
              <w:ind w:left="-96"/>
              <w:rPr>
                <w:rFonts w:ascii="Verdana" w:hAnsi="Verdana"/>
                <w:bCs/>
                <w:color w:val="7F7F7F" w:themeColor="text1" w:themeTint="80"/>
                <w:sz w:val="22"/>
                <w:szCs w:val="22"/>
                <w:lang w:val="en-US"/>
              </w:rPr>
            </w:pPr>
            <w:r>
              <w:rPr>
                <w:rFonts w:ascii="Verdana" w:hAnsi="Verdana"/>
                <w:bCs/>
                <w:color w:val="7F7F7F" w:themeColor="text1" w:themeTint="80"/>
                <w:sz w:val="22"/>
                <w:szCs w:val="22"/>
                <w:lang w:val="en-US"/>
              </w:rPr>
              <w:t>40</w:t>
            </w:r>
          </w:p>
        </w:tc>
        <w:tc>
          <w:tcPr>
            <w:tcW w:w="2020" w:type="pct"/>
            <w:gridSpan w:val="2"/>
            <w:tcBorders>
              <w:top w:val="single" w:sz="4" w:space="0" w:color="auto"/>
              <w:left w:val="single" w:sz="4" w:space="0" w:color="auto"/>
              <w:bottom w:val="single" w:sz="4" w:space="0" w:color="auto"/>
              <w:right w:val="single" w:sz="4" w:space="0" w:color="auto"/>
            </w:tcBorders>
          </w:tcPr>
          <w:p w14:paraId="51AED449" w14:textId="6054A4C6" w:rsidR="002A66AF" w:rsidRPr="00395661" w:rsidRDefault="002A66AF" w:rsidP="00020B14">
            <w:pPr>
              <w:pStyle w:val="CEABullet-Level1"/>
              <w:numPr>
                <w:ilvl w:val="0"/>
                <w:numId w:val="0"/>
              </w:numPr>
              <w:tabs>
                <w:tab w:val="left" w:pos="0"/>
              </w:tabs>
              <w:spacing w:line="240" w:lineRule="auto"/>
              <w:rPr>
                <w:bCs/>
                <w:color w:val="7F7F7F" w:themeColor="text1" w:themeTint="80"/>
                <w:sz w:val="22"/>
                <w:szCs w:val="22"/>
                <w:lang w:val="en-US"/>
              </w:rPr>
            </w:pPr>
            <w:r w:rsidRPr="00395661">
              <w:rPr>
                <w:bCs/>
                <w:color w:val="7F7F7F" w:themeColor="text1" w:themeTint="80"/>
                <w:sz w:val="22"/>
                <w:szCs w:val="22"/>
                <w:lang w:val="en-US"/>
              </w:rPr>
              <w:t xml:space="preserve">Interest rate sensitivity is now analysed in isolation and </w:t>
            </w:r>
            <w:r w:rsidR="00D51682" w:rsidRPr="00395661">
              <w:rPr>
                <w:bCs/>
                <w:color w:val="7F7F7F" w:themeColor="text1" w:themeTint="80"/>
                <w:sz w:val="22"/>
                <w:szCs w:val="22"/>
                <w:lang w:val="en-US"/>
              </w:rPr>
              <w:t xml:space="preserve">it </w:t>
            </w:r>
            <w:r w:rsidRPr="00395661">
              <w:rPr>
                <w:bCs/>
                <w:color w:val="7F7F7F" w:themeColor="text1" w:themeTint="80"/>
                <w:sz w:val="22"/>
                <w:szCs w:val="22"/>
                <w:lang w:val="en-US"/>
              </w:rPr>
              <w:t>is not considered based on a total balance sheet approach.</w:t>
            </w:r>
          </w:p>
        </w:tc>
        <w:tc>
          <w:tcPr>
            <w:tcW w:w="483" w:type="pct"/>
            <w:tcBorders>
              <w:top w:val="single" w:sz="4" w:space="0" w:color="auto"/>
              <w:left w:val="single" w:sz="4" w:space="0" w:color="auto"/>
              <w:bottom w:val="single" w:sz="4" w:space="0" w:color="auto"/>
              <w:right w:val="single" w:sz="4" w:space="0" w:color="auto"/>
            </w:tcBorders>
          </w:tcPr>
          <w:p w14:paraId="3B12C6CB" w14:textId="77777777" w:rsidR="002A66AF" w:rsidRPr="00CF2245" w:rsidRDefault="002A66AF" w:rsidP="00020B14">
            <w:pPr>
              <w:tabs>
                <w:tab w:val="left" w:pos="0"/>
              </w:tabs>
              <w:rPr>
                <w:color w:val="7F7F7F" w:themeColor="text1" w:themeTint="80"/>
                <w:lang w:val="en-GB" w:eastAsia="fr-FR"/>
              </w:rPr>
            </w:pPr>
          </w:p>
        </w:tc>
      </w:tr>
      <w:tr w:rsidR="00173725" w:rsidRPr="001360A5" w14:paraId="367FF60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2D20304" w14:textId="660F2E15" w:rsidR="0065582A" w:rsidRDefault="0065582A" w:rsidP="00020B14">
            <w:pPr>
              <w:tabs>
                <w:tab w:val="left" w:pos="0"/>
              </w:tabs>
              <w:spacing w:before="120"/>
              <w:ind w:left="-96" w:right="72"/>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2</w:t>
            </w:r>
          </w:p>
        </w:tc>
        <w:tc>
          <w:tcPr>
            <w:tcW w:w="486" w:type="pct"/>
            <w:tcBorders>
              <w:top w:val="single" w:sz="4" w:space="0" w:color="auto"/>
              <w:left w:val="single" w:sz="4" w:space="0" w:color="auto"/>
              <w:bottom w:val="single" w:sz="4" w:space="0" w:color="auto"/>
              <w:right w:val="single" w:sz="4" w:space="0" w:color="auto"/>
            </w:tcBorders>
          </w:tcPr>
          <w:p w14:paraId="3DCA89EB" w14:textId="7A86B8CB" w:rsidR="0065582A" w:rsidRDefault="0065582A" w:rsidP="00020B14">
            <w:pPr>
              <w:tabs>
                <w:tab w:val="left" w:pos="0"/>
              </w:tabs>
              <w:ind w:left="-96"/>
              <w:rPr>
                <w:rFonts w:ascii="Verdana" w:hAnsi="Verdana"/>
                <w:bCs/>
                <w:color w:val="7F7F7F" w:themeColor="text1" w:themeTint="80"/>
                <w:sz w:val="22"/>
                <w:szCs w:val="22"/>
                <w:lang w:val="en-US"/>
              </w:rPr>
            </w:pPr>
            <w:r>
              <w:rPr>
                <w:rFonts w:ascii="Verdana" w:hAnsi="Verdana"/>
                <w:bCs/>
                <w:color w:val="7F7F7F" w:themeColor="text1" w:themeTint="80"/>
                <w:sz w:val="22"/>
                <w:szCs w:val="22"/>
                <w:lang w:val="en-US"/>
              </w:rPr>
              <w:t>43</w:t>
            </w:r>
          </w:p>
        </w:tc>
        <w:tc>
          <w:tcPr>
            <w:tcW w:w="2020" w:type="pct"/>
            <w:gridSpan w:val="2"/>
            <w:tcBorders>
              <w:top w:val="single" w:sz="4" w:space="0" w:color="auto"/>
              <w:left w:val="single" w:sz="4" w:space="0" w:color="auto"/>
              <w:bottom w:val="single" w:sz="4" w:space="0" w:color="auto"/>
              <w:right w:val="single" w:sz="4" w:space="0" w:color="auto"/>
            </w:tcBorders>
          </w:tcPr>
          <w:p w14:paraId="1E19D191" w14:textId="76F945D9" w:rsidR="0065582A" w:rsidRPr="00395661" w:rsidRDefault="00861388" w:rsidP="00020B14">
            <w:pPr>
              <w:pStyle w:val="CEABullet-Level1"/>
              <w:numPr>
                <w:ilvl w:val="0"/>
                <w:numId w:val="0"/>
              </w:numPr>
              <w:tabs>
                <w:tab w:val="left" w:pos="0"/>
              </w:tabs>
              <w:spacing w:line="240" w:lineRule="auto"/>
              <w:rPr>
                <w:bCs/>
                <w:color w:val="7F7F7F" w:themeColor="text1" w:themeTint="80"/>
                <w:sz w:val="22"/>
                <w:szCs w:val="22"/>
                <w:lang w:val="en-US"/>
              </w:rPr>
            </w:pPr>
            <w:r w:rsidRPr="00395661">
              <w:rPr>
                <w:bCs/>
                <w:color w:val="7F7F7F" w:themeColor="text1" w:themeTint="80"/>
                <w:sz w:val="22"/>
                <w:szCs w:val="22"/>
                <w:lang w:val="en-US"/>
              </w:rPr>
              <w:t>E</w:t>
            </w:r>
            <w:r w:rsidR="0065582A" w:rsidRPr="00395661">
              <w:rPr>
                <w:bCs/>
                <w:color w:val="7F7F7F" w:themeColor="text1" w:themeTint="80"/>
                <w:sz w:val="22"/>
                <w:szCs w:val="22"/>
                <w:lang w:val="en-US"/>
              </w:rPr>
              <w:t xml:space="preserve">IOPA mentions the use of derivatives if no bonds/loans are sufficiently available. These instruments are effective in mitigating the risk. However, EIOPA </w:t>
            </w:r>
            <w:r w:rsidR="00353A1E" w:rsidRPr="00395661">
              <w:rPr>
                <w:bCs/>
                <w:color w:val="7F7F7F" w:themeColor="text1" w:themeTint="80"/>
                <w:sz w:val="22"/>
                <w:szCs w:val="22"/>
                <w:lang w:val="en-US"/>
              </w:rPr>
              <w:t xml:space="preserve">seems not to have </w:t>
            </w:r>
            <w:r w:rsidR="0065582A" w:rsidRPr="00395661">
              <w:rPr>
                <w:bCs/>
                <w:color w:val="7F7F7F" w:themeColor="text1" w:themeTint="80"/>
                <w:sz w:val="22"/>
                <w:szCs w:val="22"/>
                <w:lang w:val="en-US"/>
              </w:rPr>
              <w:t>consider</w:t>
            </w:r>
            <w:r w:rsidR="00353A1E" w:rsidRPr="00395661">
              <w:rPr>
                <w:bCs/>
                <w:color w:val="7F7F7F" w:themeColor="text1" w:themeTint="80"/>
                <w:sz w:val="22"/>
                <w:szCs w:val="22"/>
                <w:lang w:val="en-US"/>
              </w:rPr>
              <w:t>ed</w:t>
            </w:r>
            <w:r w:rsidR="0065582A" w:rsidRPr="00395661">
              <w:rPr>
                <w:bCs/>
                <w:color w:val="7F7F7F" w:themeColor="text1" w:themeTint="80"/>
                <w:sz w:val="22"/>
                <w:szCs w:val="22"/>
                <w:lang w:val="en-US"/>
              </w:rPr>
              <w:t xml:space="preserve"> the wide implications if the majority of insurers would start using derivatives to hedge the maturities up to 50 years. The interconnectedness between providers of the derivatives and insurers would increase significantly, introducing additional systemic risk. Most derivatives will be subject to central clearing, introducing liquidity risk based on the collateral requirements.</w:t>
            </w:r>
            <w:r w:rsidR="00CA7CF0" w:rsidRPr="00395661">
              <w:rPr>
                <w:bCs/>
                <w:color w:val="7F7F7F" w:themeColor="text1" w:themeTint="80"/>
                <w:sz w:val="22"/>
                <w:szCs w:val="22"/>
                <w:lang w:val="en-US"/>
              </w:rPr>
              <w:t xml:space="preserve"> </w:t>
            </w:r>
            <w:r w:rsidR="0065582A" w:rsidRPr="00395661">
              <w:rPr>
                <w:bCs/>
                <w:color w:val="7F7F7F" w:themeColor="text1" w:themeTint="80"/>
                <w:sz w:val="22"/>
                <w:szCs w:val="22"/>
                <w:lang w:val="en-US"/>
              </w:rPr>
              <w:t>Furthermore, EIOPA should also consider the counterparties of the derivatives</w:t>
            </w:r>
            <w:r w:rsidR="00D51682" w:rsidRPr="00395661">
              <w:rPr>
                <w:bCs/>
                <w:color w:val="7F7F7F" w:themeColor="text1" w:themeTint="80"/>
                <w:sz w:val="22"/>
                <w:szCs w:val="22"/>
                <w:lang w:val="en-US"/>
              </w:rPr>
              <w:t xml:space="preserve"> and</w:t>
            </w:r>
            <w:r w:rsidR="0065582A" w:rsidRPr="00395661">
              <w:rPr>
                <w:bCs/>
                <w:color w:val="7F7F7F" w:themeColor="text1" w:themeTint="80"/>
                <w:sz w:val="22"/>
                <w:szCs w:val="22"/>
                <w:lang w:val="en-US"/>
              </w:rPr>
              <w:t xml:space="preserve"> the probability that th</w:t>
            </w:r>
            <w:r w:rsidR="00D51682" w:rsidRPr="00395661">
              <w:rPr>
                <w:bCs/>
                <w:color w:val="7F7F7F" w:themeColor="text1" w:themeTint="80"/>
                <w:sz w:val="22"/>
                <w:szCs w:val="22"/>
                <w:lang w:val="en-US"/>
              </w:rPr>
              <w:t>o</w:t>
            </w:r>
            <w:r w:rsidR="0065582A" w:rsidRPr="00395661">
              <w:rPr>
                <w:bCs/>
                <w:color w:val="7F7F7F" w:themeColor="text1" w:themeTint="80"/>
                <w:sz w:val="22"/>
                <w:szCs w:val="22"/>
                <w:lang w:val="en-US"/>
              </w:rPr>
              <w:t xml:space="preserve">se counterparties are </w:t>
            </w:r>
            <w:r w:rsidR="00D51682" w:rsidRPr="00395661">
              <w:rPr>
                <w:bCs/>
                <w:color w:val="7F7F7F" w:themeColor="text1" w:themeTint="80"/>
                <w:sz w:val="22"/>
                <w:szCs w:val="22"/>
                <w:lang w:val="en-US"/>
              </w:rPr>
              <w:t xml:space="preserve">located </w:t>
            </w:r>
            <w:r w:rsidR="0065582A" w:rsidRPr="00395661">
              <w:rPr>
                <w:bCs/>
                <w:color w:val="7F7F7F" w:themeColor="text1" w:themeTint="80"/>
                <w:sz w:val="22"/>
                <w:szCs w:val="22"/>
                <w:lang w:val="en-US"/>
              </w:rPr>
              <w:t>outside the European Union which also sparks additional concerns.</w:t>
            </w:r>
          </w:p>
        </w:tc>
        <w:tc>
          <w:tcPr>
            <w:tcW w:w="483" w:type="pct"/>
            <w:tcBorders>
              <w:top w:val="single" w:sz="4" w:space="0" w:color="auto"/>
              <w:left w:val="single" w:sz="4" w:space="0" w:color="auto"/>
              <w:bottom w:val="single" w:sz="4" w:space="0" w:color="auto"/>
              <w:right w:val="single" w:sz="4" w:space="0" w:color="auto"/>
            </w:tcBorders>
          </w:tcPr>
          <w:p w14:paraId="5F896F4E" w14:textId="77777777" w:rsidR="0065582A" w:rsidRPr="00CF2245" w:rsidRDefault="0065582A" w:rsidP="00020B14">
            <w:pPr>
              <w:tabs>
                <w:tab w:val="left" w:pos="0"/>
              </w:tabs>
              <w:rPr>
                <w:color w:val="7F7F7F" w:themeColor="text1" w:themeTint="80"/>
                <w:lang w:val="en-GB" w:eastAsia="fr-FR"/>
              </w:rPr>
            </w:pPr>
          </w:p>
        </w:tc>
      </w:tr>
      <w:tr w:rsidR="00173725" w:rsidRPr="001360A5" w14:paraId="19CCA7B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BE84A21" w14:textId="6EF9CDC2" w:rsidR="00194AAB" w:rsidRDefault="00194AAB" w:rsidP="00020B14">
            <w:pPr>
              <w:tabs>
                <w:tab w:val="left" w:pos="0"/>
              </w:tabs>
              <w:spacing w:before="120"/>
              <w:ind w:left="-96" w:right="72"/>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lastRenderedPageBreak/>
              <w:t>2</w:t>
            </w:r>
          </w:p>
        </w:tc>
        <w:tc>
          <w:tcPr>
            <w:tcW w:w="486" w:type="pct"/>
            <w:tcBorders>
              <w:top w:val="single" w:sz="4" w:space="0" w:color="auto"/>
              <w:left w:val="single" w:sz="4" w:space="0" w:color="auto"/>
              <w:bottom w:val="single" w:sz="4" w:space="0" w:color="auto"/>
              <w:right w:val="single" w:sz="4" w:space="0" w:color="auto"/>
            </w:tcBorders>
          </w:tcPr>
          <w:p w14:paraId="1970CDF9" w14:textId="3A5F9AE8" w:rsidR="00194AAB" w:rsidRDefault="00194AAB" w:rsidP="00020B14">
            <w:pPr>
              <w:tabs>
                <w:tab w:val="left" w:pos="0"/>
              </w:tabs>
              <w:ind w:left="-96"/>
              <w:rPr>
                <w:rFonts w:ascii="Verdana" w:hAnsi="Verdana"/>
                <w:bCs/>
                <w:color w:val="7F7F7F" w:themeColor="text1" w:themeTint="80"/>
                <w:sz w:val="22"/>
                <w:szCs w:val="22"/>
                <w:lang w:val="en-US"/>
              </w:rPr>
            </w:pPr>
            <w:r>
              <w:rPr>
                <w:rFonts w:ascii="Verdana" w:hAnsi="Verdana"/>
                <w:bCs/>
                <w:color w:val="7F7F7F" w:themeColor="text1" w:themeTint="80"/>
                <w:sz w:val="22"/>
                <w:szCs w:val="22"/>
                <w:lang w:val="en-US"/>
              </w:rPr>
              <w:t>44</w:t>
            </w:r>
          </w:p>
        </w:tc>
        <w:tc>
          <w:tcPr>
            <w:tcW w:w="2020" w:type="pct"/>
            <w:gridSpan w:val="2"/>
            <w:tcBorders>
              <w:top w:val="single" w:sz="4" w:space="0" w:color="auto"/>
              <w:left w:val="single" w:sz="4" w:space="0" w:color="auto"/>
              <w:bottom w:val="single" w:sz="4" w:space="0" w:color="auto"/>
              <w:right w:val="single" w:sz="4" w:space="0" w:color="auto"/>
            </w:tcBorders>
          </w:tcPr>
          <w:p w14:paraId="65510EE2" w14:textId="5F722E0E" w:rsidR="00194AAB" w:rsidRPr="00395661" w:rsidRDefault="00194AAB" w:rsidP="00020B14">
            <w:pPr>
              <w:pStyle w:val="CEABullet-Level1"/>
              <w:numPr>
                <w:ilvl w:val="0"/>
                <w:numId w:val="0"/>
              </w:numPr>
              <w:tabs>
                <w:tab w:val="left" w:pos="0"/>
              </w:tabs>
              <w:spacing w:line="240" w:lineRule="auto"/>
              <w:rPr>
                <w:bCs/>
                <w:color w:val="7F7F7F" w:themeColor="text1" w:themeTint="80"/>
                <w:sz w:val="22"/>
                <w:szCs w:val="22"/>
                <w:lang w:val="en-US"/>
              </w:rPr>
            </w:pPr>
            <w:r w:rsidRPr="00395661">
              <w:rPr>
                <w:bCs/>
                <w:color w:val="7F7F7F" w:themeColor="text1" w:themeTint="80"/>
                <w:sz w:val="22"/>
                <w:szCs w:val="22"/>
                <w:lang w:val="en-US"/>
              </w:rPr>
              <w:t xml:space="preserve">EIOPA </w:t>
            </w:r>
            <w:r w:rsidR="001E6C34" w:rsidRPr="00395661">
              <w:rPr>
                <w:bCs/>
                <w:color w:val="7F7F7F" w:themeColor="text1" w:themeTint="80"/>
                <w:sz w:val="22"/>
                <w:szCs w:val="22"/>
                <w:lang w:val="en-US"/>
              </w:rPr>
              <w:t>does not</w:t>
            </w:r>
            <w:r w:rsidRPr="00395661">
              <w:rPr>
                <w:bCs/>
                <w:color w:val="7F7F7F" w:themeColor="text1" w:themeTint="80"/>
                <w:sz w:val="22"/>
                <w:szCs w:val="22"/>
                <w:lang w:val="en-US"/>
              </w:rPr>
              <w:t xml:space="preserve"> mention that investment decisions are also guided by </w:t>
            </w:r>
            <w:r w:rsidRPr="000B4B87">
              <w:rPr>
                <w:bCs/>
                <w:color w:val="7F7F7F" w:themeColor="text1" w:themeTint="80"/>
                <w:sz w:val="22"/>
                <w:szCs w:val="22"/>
                <w:lang w:val="en-US"/>
              </w:rPr>
              <w:t>ALM</w:t>
            </w:r>
            <w:r w:rsidR="00B407AE" w:rsidRPr="000B4B87">
              <w:rPr>
                <w:bCs/>
                <w:color w:val="7F7F7F" w:themeColor="text1" w:themeTint="80"/>
                <w:sz w:val="22"/>
                <w:szCs w:val="22"/>
                <w:lang w:val="en-US"/>
              </w:rPr>
              <w:t xml:space="preserve"> considerations</w:t>
            </w:r>
            <w:r w:rsidRPr="000B4B87">
              <w:rPr>
                <w:bCs/>
                <w:color w:val="7F7F7F" w:themeColor="text1" w:themeTint="80"/>
                <w:sz w:val="22"/>
                <w:szCs w:val="22"/>
                <w:lang w:val="en-US"/>
              </w:rPr>
              <w:t xml:space="preserve"> (</w:t>
            </w:r>
            <w:r w:rsidR="00962713" w:rsidRPr="000B4B87">
              <w:rPr>
                <w:bCs/>
                <w:color w:val="7F7F7F" w:themeColor="text1" w:themeTint="80"/>
                <w:sz w:val="22"/>
                <w:szCs w:val="22"/>
                <w:lang w:val="en-US"/>
              </w:rPr>
              <w:t>i.e.</w:t>
            </w:r>
            <w:r w:rsidRPr="000B4B87">
              <w:rPr>
                <w:bCs/>
                <w:color w:val="7F7F7F" w:themeColor="text1" w:themeTint="80"/>
                <w:sz w:val="22"/>
                <w:szCs w:val="22"/>
                <w:lang w:val="en-US"/>
              </w:rPr>
              <w:t xml:space="preserve"> risk appetite policies), </w:t>
            </w:r>
            <w:r w:rsidR="00B407AE" w:rsidRPr="000B4B87">
              <w:rPr>
                <w:bCs/>
                <w:color w:val="7F7F7F" w:themeColor="text1" w:themeTint="80"/>
                <w:sz w:val="22"/>
                <w:szCs w:val="22"/>
                <w:lang w:val="en-US"/>
              </w:rPr>
              <w:t xml:space="preserve">the targeted </w:t>
            </w:r>
            <w:r w:rsidRPr="000B4B87">
              <w:rPr>
                <w:bCs/>
                <w:color w:val="7F7F7F" w:themeColor="text1" w:themeTint="80"/>
                <w:sz w:val="22"/>
                <w:szCs w:val="22"/>
                <w:lang w:val="en-US"/>
              </w:rPr>
              <w:t>rating and PBT</w:t>
            </w:r>
            <w:r w:rsidR="00B407AE" w:rsidRPr="000B4B87">
              <w:rPr>
                <w:bCs/>
                <w:color w:val="7F7F7F" w:themeColor="text1" w:themeTint="80"/>
                <w:sz w:val="22"/>
                <w:szCs w:val="22"/>
                <w:lang w:val="en-US"/>
              </w:rPr>
              <w:t xml:space="preserve"> (</w:t>
            </w:r>
            <w:r w:rsidR="00184F10" w:rsidRPr="000B4B87">
              <w:rPr>
                <w:bCs/>
                <w:color w:val="7F7F7F" w:themeColor="text1" w:themeTint="80"/>
                <w:sz w:val="22"/>
                <w:szCs w:val="22"/>
                <w:lang w:val="en-US"/>
              </w:rPr>
              <w:t>i.e.</w:t>
            </w:r>
            <w:r w:rsidR="00B407AE" w:rsidRPr="000B4B87">
              <w:rPr>
                <w:bCs/>
                <w:color w:val="7F7F7F" w:themeColor="text1" w:themeTint="80"/>
                <w:sz w:val="22"/>
                <w:szCs w:val="22"/>
                <w:lang w:val="en-US"/>
              </w:rPr>
              <w:t xml:space="preserve"> </w:t>
            </w:r>
            <w:r w:rsidR="00A901F3" w:rsidRPr="000B4B87">
              <w:rPr>
                <w:bCs/>
                <w:color w:val="7F7F7F" w:themeColor="text1" w:themeTint="80"/>
                <w:sz w:val="22"/>
                <w:szCs w:val="22"/>
                <w:lang w:val="en-US"/>
              </w:rPr>
              <w:t>target profit</w:t>
            </w:r>
            <w:r w:rsidR="00B407AE" w:rsidRPr="000B4B87">
              <w:rPr>
                <w:bCs/>
                <w:color w:val="7F7F7F" w:themeColor="text1" w:themeTint="80"/>
                <w:sz w:val="22"/>
                <w:szCs w:val="22"/>
                <w:lang w:val="en-US"/>
              </w:rPr>
              <w:t xml:space="preserve"> before tax) </w:t>
            </w:r>
            <w:r w:rsidRPr="000B4B87">
              <w:rPr>
                <w:bCs/>
                <w:color w:val="7F7F7F" w:themeColor="text1" w:themeTint="80"/>
                <w:sz w:val="22"/>
                <w:szCs w:val="22"/>
                <w:lang w:val="en-US"/>
              </w:rPr>
              <w:t>objectives</w:t>
            </w:r>
            <w:r w:rsidRPr="00395661">
              <w:rPr>
                <w:bCs/>
                <w:color w:val="7F7F7F" w:themeColor="text1" w:themeTint="80"/>
                <w:sz w:val="22"/>
                <w:szCs w:val="22"/>
                <w:lang w:val="en-US"/>
              </w:rPr>
              <w:t>. Multiple perspectives are applied subject to proportionality which guide</w:t>
            </w:r>
            <w:r w:rsidR="00D51682" w:rsidRPr="00395661">
              <w:rPr>
                <w:bCs/>
                <w:color w:val="7F7F7F" w:themeColor="text1" w:themeTint="80"/>
                <w:sz w:val="22"/>
                <w:szCs w:val="22"/>
                <w:lang w:val="en-US"/>
              </w:rPr>
              <w:t>s</w:t>
            </w:r>
            <w:r w:rsidRPr="00395661">
              <w:rPr>
                <w:bCs/>
                <w:color w:val="7F7F7F" w:themeColor="text1" w:themeTint="80"/>
                <w:sz w:val="22"/>
                <w:szCs w:val="22"/>
                <w:lang w:val="en-US"/>
              </w:rPr>
              <w:t xml:space="preserve"> the undertaking´s investment decisions. This is not solely based on Solvency II considerations. The multiple "chess boards" provide counter-balancing powers which </w:t>
            </w:r>
            <w:r w:rsidR="00D51682" w:rsidRPr="00395661">
              <w:rPr>
                <w:bCs/>
                <w:color w:val="7F7F7F" w:themeColor="text1" w:themeTint="80"/>
                <w:sz w:val="22"/>
                <w:szCs w:val="22"/>
                <w:lang w:val="en-US"/>
              </w:rPr>
              <w:t xml:space="preserve">will disincentivize </w:t>
            </w:r>
            <w:r w:rsidRPr="00395661">
              <w:rPr>
                <w:bCs/>
                <w:color w:val="7F7F7F" w:themeColor="text1" w:themeTint="80"/>
                <w:sz w:val="22"/>
                <w:szCs w:val="22"/>
                <w:lang w:val="en-US"/>
              </w:rPr>
              <w:t xml:space="preserve">onerous </w:t>
            </w:r>
            <w:r w:rsidR="00D51CF6" w:rsidRPr="00395661">
              <w:rPr>
                <w:bCs/>
                <w:color w:val="7F7F7F" w:themeColor="text1" w:themeTint="80"/>
                <w:sz w:val="22"/>
                <w:szCs w:val="22"/>
                <w:lang w:val="en-US"/>
              </w:rPr>
              <w:t>behavior</w:t>
            </w:r>
            <w:r w:rsidR="00D51682" w:rsidRPr="00395661">
              <w:rPr>
                <w:bCs/>
                <w:color w:val="7F7F7F" w:themeColor="text1" w:themeTint="80"/>
                <w:sz w:val="22"/>
                <w:szCs w:val="22"/>
                <w:lang w:val="en-US"/>
              </w:rPr>
              <w:t>s</w:t>
            </w:r>
            <w:r w:rsidRPr="00395661">
              <w:rPr>
                <w:bCs/>
                <w:color w:val="7F7F7F" w:themeColor="text1" w:themeTint="80"/>
                <w:sz w:val="22"/>
                <w:szCs w:val="22"/>
                <w:lang w:val="en-US"/>
              </w:rPr>
              <w:t>.</w:t>
            </w:r>
          </w:p>
          <w:p w14:paraId="179A9836" w14:textId="5E224F82" w:rsidR="00D51682" w:rsidRPr="00395661" w:rsidRDefault="00D51682" w:rsidP="00020B14">
            <w:pPr>
              <w:pStyle w:val="CEABullet-Level1"/>
              <w:numPr>
                <w:ilvl w:val="0"/>
                <w:numId w:val="0"/>
              </w:numPr>
              <w:tabs>
                <w:tab w:val="left" w:pos="0"/>
              </w:tabs>
              <w:spacing w:line="240" w:lineRule="auto"/>
              <w:rPr>
                <w:bCs/>
                <w:color w:val="7F7F7F" w:themeColor="text1" w:themeTint="80"/>
                <w:sz w:val="22"/>
                <w:szCs w:val="22"/>
                <w:highlight w:val="lightGray"/>
                <w:lang w:val="en-US"/>
              </w:rPr>
            </w:pPr>
          </w:p>
        </w:tc>
        <w:tc>
          <w:tcPr>
            <w:tcW w:w="483" w:type="pct"/>
            <w:tcBorders>
              <w:top w:val="single" w:sz="4" w:space="0" w:color="auto"/>
              <w:left w:val="single" w:sz="4" w:space="0" w:color="auto"/>
              <w:bottom w:val="single" w:sz="4" w:space="0" w:color="auto"/>
              <w:right w:val="single" w:sz="4" w:space="0" w:color="auto"/>
            </w:tcBorders>
          </w:tcPr>
          <w:p w14:paraId="20CDFF6C" w14:textId="091A21C1" w:rsidR="00194AAB" w:rsidRPr="00CF2245" w:rsidRDefault="00194AAB" w:rsidP="00020B14">
            <w:pPr>
              <w:tabs>
                <w:tab w:val="left" w:pos="0"/>
              </w:tabs>
              <w:rPr>
                <w:color w:val="7F7F7F" w:themeColor="text1" w:themeTint="80"/>
                <w:lang w:val="en-GB" w:eastAsia="fr-FR"/>
              </w:rPr>
            </w:pPr>
          </w:p>
        </w:tc>
      </w:tr>
      <w:tr w:rsidR="00173725" w:rsidRPr="001360A5" w14:paraId="2351DD1A"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E033291" w14:textId="23372495" w:rsidR="00194AAB" w:rsidRDefault="00194AAB" w:rsidP="00020B14">
            <w:pPr>
              <w:tabs>
                <w:tab w:val="left" w:pos="0"/>
              </w:tabs>
              <w:spacing w:before="120"/>
              <w:ind w:left="-96" w:right="72"/>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2</w:t>
            </w:r>
          </w:p>
        </w:tc>
        <w:tc>
          <w:tcPr>
            <w:tcW w:w="486" w:type="pct"/>
            <w:tcBorders>
              <w:top w:val="single" w:sz="4" w:space="0" w:color="auto"/>
              <w:left w:val="single" w:sz="4" w:space="0" w:color="auto"/>
              <w:bottom w:val="single" w:sz="4" w:space="0" w:color="auto"/>
              <w:right w:val="single" w:sz="4" w:space="0" w:color="auto"/>
            </w:tcBorders>
          </w:tcPr>
          <w:p w14:paraId="1BB7AA23" w14:textId="656D10F3" w:rsidR="00194AAB" w:rsidRDefault="00194AAB" w:rsidP="00020B14">
            <w:pPr>
              <w:tabs>
                <w:tab w:val="left" w:pos="0"/>
              </w:tabs>
              <w:ind w:left="-96"/>
              <w:rPr>
                <w:rFonts w:ascii="Verdana" w:hAnsi="Verdana"/>
                <w:bCs/>
                <w:color w:val="7F7F7F" w:themeColor="text1" w:themeTint="80"/>
                <w:sz w:val="22"/>
                <w:szCs w:val="22"/>
                <w:lang w:val="en-US"/>
              </w:rPr>
            </w:pPr>
            <w:r>
              <w:rPr>
                <w:rFonts w:ascii="Verdana" w:hAnsi="Verdana"/>
                <w:bCs/>
                <w:color w:val="7F7F7F" w:themeColor="text1" w:themeTint="80"/>
                <w:sz w:val="22"/>
                <w:szCs w:val="22"/>
                <w:lang w:val="en-US"/>
              </w:rPr>
              <w:t>45</w:t>
            </w:r>
          </w:p>
        </w:tc>
        <w:tc>
          <w:tcPr>
            <w:tcW w:w="2020" w:type="pct"/>
            <w:gridSpan w:val="2"/>
            <w:tcBorders>
              <w:top w:val="single" w:sz="4" w:space="0" w:color="auto"/>
              <w:left w:val="single" w:sz="4" w:space="0" w:color="auto"/>
              <w:bottom w:val="single" w:sz="4" w:space="0" w:color="auto"/>
              <w:right w:val="single" w:sz="4" w:space="0" w:color="auto"/>
            </w:tcBorders>
          </w:tcPr>
          <w:p w14:paraId="56D37808" w14:textId="3A8FFB9A" w:rsidR="00194AAB" w:rsidRPr="00395661" w:rsidRDefault="00194AAB" w:rsidP="00020B14">
            <w:pPr>
              <w:tabs>
                <w:tab w:val="left" w:pos="0"/>
              </w:tabs>
              <w:jc w:val="both"/>
              <w:rPr>
                <w:rFonts w:ascii="Verdana" w:hAnsi="Verdana" w:cs="Frutiger LT Std 45 Light"/>
                <w:bCs/>
                <w:color w:val="7F7F7F" w:themeColor="text1" w:themeTint="80"/>
                <w:sz w:val="22"/>
                <w:szCs w:val="22"/>
                <w:lang w:val="en-US" w:eastAsia="en-US"/>
              </w:rPr>
            </w:pPr>
            <w:r w:rsidRPr="00395661">
              <w:rPr>
                <w:rFonts w:ascii="Verdana" w:hAnsi="Verdana" w:cs="Frutiger LT Std 45 Light"/>
                <w:bCs/>
                <w:color w:val="7F7F7F" w:themeColor="text1" w:themeTint="80"/>
                <w:sz w:val="22"/>
                <w:szCs w:val="22"/>
                <w:lang w:val="en-US" w:eastAsia="en-US"/>
              </w:rPr>
              <w:t>EIOPA uses the term "may" to describe whether any deviation of the interest rate term structure used for the valuation of technical provisions give</w:t>
            </w:r>
            <w:r w:rsidR="00D937DF" w:rsidRPr="00395661">
              <w:rPr>
                <w:rFonts w:ascii="Verdana" w:hAnsi="Verdana" w:cs="Frutiger LT Std 45 Light"/>
                <w:bCs/>
                <w:color w:val="7F7F7F" w:themeColor="text1" w:themeTint="80"/>
                <w:sz w:val="22"/>
                <w:szCs w:val="22"/>
                <w:lang w:val="en-US" w:eastAsia="en-US"/>
              </w:rPr>
              <w:t>s</w:t>
            </w:r>
            <w:r w:rsidRPr="00395661">
              <w:rPr>
                <w:rFonts w:ascii="Verdana" w:hAnsi="Verdana" w:cs="Frutiger LT Std 45 Light"/>
                <w:bCs/>
                <w:color w:val="7F7F7F" w:themeColor="text1" w:themeTint="80"/>
                <w:sz w:val="22"/>
                <w:szCs w:val="22"/>
                <w:lang w:val="en-US" w:eastAsia="en-US"/>
              </w:rPr>
              <w:t xml:space="preserve"> wrong incentives for an adequate risk management. The question is whether EIOPA has observed this </w:t>
            </w:r>
            <w:r w:rsidR="00D51CF6" w:rsidRPr="00395661">
              <w:rPr>
                <w:rFonts w:ascii="Verdana" w:hAnsi="Verdana" w:cs="Frutiger LT Std 45 Light"/>
                <w:bCs/>
                <w:color w:val="7F7F7F" w:themeColor="text1" w:themeTint="80"/>
                <w:sz w:val="22"/>
                <w:szCs w:val="22"/>
                <w:lang w:val="en-US" w:eastAsia="en-US"/>
              </w:rPr>
              <w:t>behavior</w:t>
            </w:r>
            <w:r w:rsidRPr="00395661">
              <w:rPr>
                <w:rFonts w:ascii="Verdana" w:hAnsi="Verdana" w:cs="Frutiger LT Std 45 Light"/>
                <w:bCs/>
                <w:color w:val="7F7F7F" w:themeColor="text1" w:themeTint="80"/>
                <w:sz w:val="22"/>
                <w:szCs w:val="22"/>
                <w:lang w:val="en-US" w:eastAsia="en-US"/>
              </w:rPr>
              <w:t xml:space="preserve"> </w:t>
            </w:r>
            <w:r w:rsidR="00D937DF" w:rsidRPr="00395661">
              <w:rPr>
                <w:rFonts w:ascii="Verdana" w:hAnsi="Verdana" w:cs="Frutiger LT Std 45 Light"/>
                <w:bCs/>
                <w:color w:val="7F7F7F" w:themeColor="text1" w:themeTint="80"/>
                <w:sz w:val="22"/>
                <w:szCs w:val="22"/>
                <w:lang w:val="en-US" w:eastAsia="en-US"/>
              </w:rPr>
              <w:t xml:space="preserve">in </w:t>
            </w:r>
            <w:r w:rsidR="00D51682" w:rsidRPr="00395661">
              <w:rPr>
                <w:rFonts w:ascii="Verdana" w:hAnsi="Verdana" w:cs="Frutiger LT Std 45 Light"/>
                <w:bCs/>
                <w:color w:val="7F7F7F" w:themeColor="text1" w:themeTint="80"/>
                <w:sz w:val="22"/>
                <w:szCs w:val="22"/>
                <w:lang w:val="en-US" w:eastAsia="en-US"/>
              </w:rPr>
              <w:t xml:space="preserve">more than </w:t>
            </w:r>
            <w:r w:rsidRPr="00395661">
              <w:rPr>
                <w:rFonts w:ascii="Verdana" w:hAnsi="Verdana" w:cs="Frutiger LT Std 45 Light"/>
                <w:bCs/>
                <w:color w:val="7F7F7F" w:themeColor="text1" w:themeTint="80"/>
                <w:sz w:val="22"/>
                <w:szCs w:val="22"/>
                <w:lang w:val="en-US" w:eastAsia="en-US"/>
              </w:rPr>
              <w:t xml:space="preserve">one NSA. </w:t>
            </w:r>
            <w:r w:rsidR="003A6E48" w:rsidRPr="00395661">
              <w:rPr>
                <w:rFonts w:ascii="Verdana" w:hAnsi="Verdana" w:cs="Frutiger LT Std 45 Light"/>
                <w:bCs/>
                <w:color w:val="7F7F7F" w:themeColor="text1" w:themeTint="80"/>
                <w:sz w:val="22"/>
                <w:szCs w:val="22"/>
                <w:lang w:val="en-US" w:eastAsia="en-US"/>
              </w:rPr>
              <w:t xml:space="preserve">In our view, </w:t>
            </w:r>
            <w:r w:rsidRPr="00395661">
              <w:rPr>
                <w:rFonts w:ascii="Verdana" w:hAnsi="Verdana" w:cs="Frutiger LT Std 45 Light"/>
                <w:bCs/>
                <w:color w:val="7F7F7F" w:themeColor="text1" w:themeTint="80"/>
                <w:sz w:val="22"/>
                <w:szCs w:val="22"/>
                <w:lang w:val="en-US" w:eastAsia="en-US"/>
              </w:rPr>
              <w:t xml:space="preserve">EIOPA generalises this incident This </w:t>
            </w:r>
            <w:r w:rsidR="00D51CF6" w:rsidRPr="00395661">
              <w:rPr>
                <w:rFonts w:ascii="Verdana" w:hAnsi="Verdana" w:cs="Frutiger LT Std 45 Light"/>
                <w:bCs/>
                <w:color w:val="7F7F7F" w:themeColor="text1" w:themeTint="80"/>
                <w:sz w:val="22"/>
                <w:szCs w:val="22"/>
                <w:lang w:val="en-US" w:eastAsia="en-US"/>
              </w:rPr>
              <w:t>behavior</w:t>
            </w:r>
            <w:r w:rsidRPr="00395661">
              <w:rPr>
                <w:rFonts w:ascii="Verdana" w:hAnsi="Verdana" w:cs="Frutiger LT Std 45 Light"/>
                <w:bCs/>
                <w:color w:val="7F7F7F" w:themeColor="text1" w:themeTint="80"/>
                <w:sz w:val="22"/>
                <w:szCs w:val="22"/>
                <w:lang w:val="en-US" w:eastAsia="en-US"/>
              </w:rPr>
              <w:t xml:space="preserve"> should be addressed </w:t>
            </w:r>
            <w:r w:rsidR="003A6E48" w:rsidRPr="00395661">
              <w:rPr>
                <w:rFonts w:ascii="Verdana" w:hAnsi="Verdana" w:cs="Frutiger LT Std 45 Light"/>
                <w:bCs/>
                <w:color w:val="7F7F7F" w:themeColor="text1" w:themeTint="80"/>
                <w:sz w:val="22"/>
                <w:szCs w:val="22"/>
                <w:lang w:val="en-US" w:eastAsia="en-US"/>
              </w:rPr>
              <w:t xml:space="preserve">as part of </w:t>
            </w:r>
            <w:r w:rsidRPr="00395661">
              <w:rPr>
                <w:rFonts w:ascii="Verdana" w:hAnsi="Verdana" w:cs="Frutiger LT Std 45 Light"/>
                <w:bCs/>
                <w:color w:val="7F7F7F" w:themeColor="text1" w:themeTint="80"/>
                <w:sz w:val="22"/>
                <w:szCs w:val="22"/>
                <w:lang w:val="en-US" w:eastAsia="en-US"/>
              </w:rPr>
              <w:t xml:space="preserve">the supervisor dialogue between </w:t>
            </w:r>
            <w:r w:rsidR="00D937DF" w:rsidRPr="00395661">
              <w:rPr>
                <w:rFonts w:ascii="Verdana" w:hAnsi="Verdana" w:cs="Frutiger LT Std 45 Light"/>
                <w:bCs/>
                <w:color w:val="7F7F7F" w:themeColor="text1" w:themeTint="80"/>
                <w:sz w:val="22"/>
                <w:szCs w:val="22"/>
                <w:lang w:val="en-US" w:eastAsia="en-US"/>
              </w:rPr>
              <w:t>the undertaking</w:t>
            </w:r>
            <w:r w:rsidR="002712C5" w:rsidRPr="00395661">
              <w:rPr>
                <w:rFonts w:ascii="Verdana" w:hAnsi="Verdana" w:cs="Frutiger LT Std 45 Light"/>
                <w:bCs/>
                <w:color w:val="7F7F7F" w:themeColor="text1" w:themeTint="80"/>
                <w:sz w:val="22"/>
                <w:szCs w:val="22"/>
                <w:lang w:val="en-US" w:eastAsia="en-US"/>
              </w:rPr>
              <w:t>s’</w:t>
            </w:r>
            <w:r w:rsidR="00D937DF" w:rsidRPr="00395661">
              <w:rPr>
                <w:rFonts w:ascii="Verdana" w:hAnsi="Verdana" w:cs="Frutiger LT Std 45 Light"/>
                <w:bCs/>
                <w:color w:val="7F7F7F" w:themeColor="text1" w:themeTint="80"/>
                <w:sz w:val="22"/>
                <w:szCs w:val="22"/>
                <w:lang w:val="en-US" w:eastAsia="en-US"/>
              </w:rPr>
              <w:t xml:space="preserve"> </w:t>
            </w:r>
            <w:r w:rsidRPr="00395661">
              <w:rPr>
                <w:rFonts w:ascii="Verdana" w:hAnsi="Verdana" w:cs="Frutiger LT Std 45 Light"/>
                <w:bCs/>
                <w:color w:val="7F7F7F" w:themeColor="text1" w:themeTint="80"/>
                <w:sz w:val="22"/>
                <w:szCs w:val="22"/>
                <w:lang w:val="en-US" w:eastAsia="en-US"/>
              </w:rPr>
              <w:t>AMSB and the NSA.</w:t>
            </w:r>
          </w:p>
          <w:p w14:paraId="7006C2CD" w14:textId="77777777" w:rsidR="00194AAB" w:rsidRPr="00395661" w:rsidRDefault="00194AAB" w:rsidP="00020B14">
            <w:pPr>
              <w:pStyle w:val="CEABullet-Level1"/>
              <w:numPr>
                <w:ilvl w:val="0"/>
                <w:numId w:val="0"/>
              </w:numPr>
              <w:tabs>
                <w:tab w:val="left" w:pos="0"/>
              </w:tabs>
              <w:spacing w:line="240" w:lineRule="auto"/>
              <w:rPr>
                <w:b/>
                <w:color w:val="7F7F7F" w:themeColor="text1" w:themeTint="80"/>
                <w:sz w:val="22"/>
                <w:szCs w:val="22"/>
                <w:highlight w:val="lightGray"/>
                <w:lang w:val="en-US"/>
              </w:rPr>
            </w:pPr>
          </w:p>
        </w:tc>
        <w:tc>
          <w:tcPr>
            <w:tcW w:w="483" w:type="pct"/>
            <w:tcBorders>
              <w:top w:val="single" w:sz="4" w:space="0" w:color="auto"/>
              <w:left w:val="single" w:sz="4" w:space="0" w:color="auto"/>
              <w:bottom w:val="single" w:sz="4" w:space="0" w:color="auto"/>
              <w:right w:val="single" w:sz="4" w:space="0" w:color="auto"/>
            </w:tcBorders>
          </w:tcPr>
          <w:p w14:paraId="4E6C1441" w14:textId="77777777" w:rsidR="00194AAB" w:rsidRPr="00CF2245" w:rsidRDefault="00194AAB" w:rsidP="00020B14">
            <w:pPr>
              <w:tabs>
                <w:tab w:val="left" w:pos="0"/>
              </w:tabs>
              <w:rPr>
                <w:color w:val="7F7F7F" w:themeColor="text1" w:themeTint="80"/>
                <w:lang w:val="en-GB" w:eastAsia="fr-FR"/>
              </w:rPr>
            </w:pPr>
          </w:p>
        </w:tc>
      </w:tr>
      <w:tr w:rsidR="00173725" w:rsidRPr="001360A5" w14:paraId="71FA00E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10F385E" w14:textId="0E026F0B" w:rsidR="003A6E48" w:rsidRDefault="003A6E48" w:rsidP="00020B14">
            <w:pPr>
              <w:tabs>
                <w:tab w:val="left" w:pos="0"/>
              </w:tabs>
              <w:spacing w:before="120"/>
              <w:ind w:left="-96" w:right="72"/>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2</w:t>
            </w:r>
          </w:p>
        </w:tc>
        <w:tc>
          <w:tcPr>
            <w:tcW w:w="486" w:type="pct"/>
            <w:tcBorders>
              <w:top w:val="single" w:sz="4" w:space="0" w:color="auto"/>
              <w:left w:val="single" w:sz="4" w:space="0" w:color="auto"/>
              <w:bottom w:val="single" w:sz="4" w:space="0" w:color="auto"/>
              <w:right w:val="single" w:sz="4" w:space="0" w:color="auto"/>
            </w:tcBorders>
          </w:tcPr>
          <w:p w14:paraId="5FF22C6A" w14:textId="310505FD" w:rsidR="003A6E48" w:rsidRDefault="003A6E48" w:rsidP="00020B14">
            <w:pPr>
              <w:tabs>
                <w:tab w:val="left" w:pos="0"/>
              </w:tabs>
              <w:ind w:left="-96"/>
              <w:rPr>
                <w:rFonts w:ascii="Verdana" w:hAnsi="Verdana"/>
                <w:bCs/>
                <w:color w:val="7F7F7F" w:themeColor="text1" w:themeTint="80"/>
                <w:sz w:val="22"/>
                <w:szCs w:val="22"/>
                <w:lang w:val="en-US"/>
              </w:rPr>
            </w:pPr>
            <w:r>
              <w:rPr>
                <w:rFonts w:ascii="Verdana" w:hAnsi="Verdana"/>
                <w:bCs/>
                <w:color w:val="7F7F7F" w:themeColor="text1" w:themeTint="80"/>
                <w:sz w:val="22"/>
                <w:szCs w:val="22"/>
                <w:lang w:val="en-US"/>
              </w:rPr>
              <w:t>47</w:t>
            </w:r>
          </w:p>
        </w:tc>
        <w:tc>
          <w:tcPr>
            <w:tcW w:w="2020" w:type="pct"/>
            <w:gridSpan w:val="2"/>
            <w:tcBorders>
              <w:top w:val="single" w:sz="4" w:space="0" w:color="auto"/>
              <w:left w:val="single" w:sz="4" w:space="0" w:color="auto"/>
              <w:bottom w:val="single" w:sz="4" w:space="0" w:color="auto"/>
              <w:right w:val="single" w:sz="4" w:space="0" w:color="auto"/>
            </w:tcBorders>
          </w:tcPr>
          <w:p w14:paraId="7310ABCF" w14:textId="5A22ACC8" w:rsidR="003A6E48" w:rsidRPr="00395661" w:rsidRDefault="003A6E48" w:rsidP="00020B14">
            <w:pPr>
              <w:tabs>
                <w:tab w:val="left" w:pos="0"/>
              </w:tabs>
              <w:jc w:val="both"/>
              <w:rPr>
                <w:rFonts w:ascii="Verdana" w:hAnsi="Verdana" w:cs="Frutiger LT Std 45 Light"/>
                <w:bCs/>
                <w:color w:val="7F7F7F" w:themeColor="text1" w:themeTint="80"/>
                <w:sz w:val="22"/>
                <w:szCs w:val="22"/>
                <w:lang w:val="en-US" w:eastAsia="en-US"/>
              </w:rPr>
            </w:pPr>
            <w:r w:rsidRPr="00395661">
              <w:rPr>
                <w:rFonts w:ascii="Verdana" w:hAnsi="Verdana" w:cs="Frutiger LT Std 45 Light"/>
                <w:bCs/>
                <w:color w:val="7F7F7F" w:themeColor="text1" w:themeTint="80"/>
                <w:sz w:val="22"/>
                <w:szCs w:val="22"/>
                <w:lang w:val="en-US" w:eastAsia="en-US"/>
              </w:rPr>
              <w:t xml:space="preserve">EIOPA states that no other NSA's have witnessed this issue; we query why it </w:t>
            </w:r>
            <w:r w:rsidR="002712C5" w:rsidRPr="00395661">
              <w:rPr>
                <w:rFonts w:ascii="Verdana" w:hAnsi="Verdana" w:cs="Frutiger LT Std 45 Light"/>
                <w:bCs/>
                <w:color w:val="7F7F7F" w:themeColor="text1" w:themeTint="80"/>
                <w:sz w:val="22"/>
                <w:szCs w:val="22"/>
                <w:lang w:val="en-US" w:eastAsia="en-US"/>
              </w:rPr>
              <w:t xml:space="preserve">is </w:t>
            </w:r>
            <w:r w:rsidRPr="00395661">
              <w:rPr>
                <w:rFonts w:ascii="Verdana" w:hAnsi="Verdana" w:cs="Frutiger LT Std 45 Light"/>
                <w:bCs/>
                <w:color w:val="7F7F7F" w:themeColor="text1" w:themeTint="80"/>
                <w:sz w:val="22"/>
                <w:szCs w:val="22"/>
                <w:lang w:val="en-US" w:eastAsia="en-US"/>
              </w:rPr>
              <w:t xml:space="preserve">therefore mentioned as a general issue to be addressed if it has not been </w:t>
            </w:r>
            <w:r w:rsidR="005223AC" w:rsidRPr="00395661">
              <w:rPr>
                <w:rFonts w:ascii="Verdana" w:hAnsi="Verdana" w:cs="Frutiger LT Std 45 Light"/>
                <w:bCs/>
                <w:color w:val="7F7F7F" w:themeColor="text1" w:themeTint="80"/>
                <w:sz w:val="22"/>
                <w:szCs w:val="22"/>
                <w:lang w:val="en-US" w:eastAsia="en-US"/>
              </w:rPr>
              <w:t xml:space="preserve">observed </w:t>
            </w:r>
            <w:r w:rsidRPr="00395661">
              <w:rPr>
                <w:rFonts w:ascii="Verdana" w:hAnsi="Verdana" w:cs="Frutiger LT Std 45 Light"/>
                <w:bCs/>
                <w:color w:val="7F7F7F" w:themeColor="text1" w:themeTint="80"/>
                <w:sz w:val="22"/>
                <w:szCs w:val="22"/>
                <w:lang w:val="en-US" w:eastAsia="en-US"/>
              </w:rPr>
              <w:t>in practice</w:t>
            </w:r>
            <w:r w:rsidR="002712C5" w:rsidRPr="00395661">
              <w:rPr>
                <w:rFonts w:ascii="Verdana" w:hAnsi="Verdana" w:cs="Frutiger LT Std 45 Light"/>
                <w:bCs/>
                <w:color w:val="7F7F7F" w:themeColor="text1" w:themeTint="80"/>
                <w:sz w:val="22"/>
                <w:szCs w:val="22"/>
                <w:lang w:val="en-US" w:eastAsia="en-US"/>
              </w:rPr>
              <w:t>.</w:t>
            </w:r>
          </w:p>
          <w:p w14:paraId="689EB62C" w14:textId="77777777" w:rsidR="003A6E48" w:rsidRPr="00395661" w:rsidRDefault="003A6E48" w:rsidP="00020B14">
            <w:pPr>
              <w:pStyle w:val="CEABullet-Level1"/>
              <w:numPr>
                <w:ilvl w:val="0"/>
                <w:numId w:val="0"/>
              </w:numPr>
              <w:tabs>
                <w:tab w:val="left" w:pos="0"/>
              </w:tabs>
              <w:spacing w:line="240" w:lineRule="auto"/>
              <w:rPr>
                <w:b/>
                <w:color w:val="7F7F7F" w:themeColor="text1" w:themeTint="80"/>
                <w:sz w:val="22"/>
                <w:szCs w:val="22"/>
                <w:highlight w:val="lightGray"/>
                <w:lang w:val="en-US"/>
              </w:rPr>
            </w:pPr>
          </w:p>
        </w:tc>
        <w:tc>
          <w:tcPr>
            <w:tcW w:w="483" w:type="pct"/>
            <w:tcBorders>
              <w:top w:val="single" w:sz="4" w:space="0" w:color="auto"/>
              <w:left w:val="single" w:sz="4" w:space="0" w:color="auto"/>
              <w:bottom w:val="single" w:sz="4" w:space="0" w:color="auto"/>
              <w:right w:val="single" w:sz="4" w:space="0" w:color="auto"/>
            </w:tcBorders>
          </w:tcPr>
          <w:p w14:paraId="2BBFA3C2" w14:textId="77777777" w:rsidR="003A6E48" w:rsidRPr="00CF2245" w:rsidRDefault="003A6E48" w:rsidP="00020B14">
            <w:pPr>
              <w:tabs>
                <w:tab w:val="left" w:pos="0"/>
              </w:tabs>
              <w:rPr>
                <w:color w:val="7F7F7F" w:themeColor="text1" w:themeTint="80"/>
                <w:lang w:val="en-GB" w:eastAsia="fr-FR"/>
              </w:rPr>
            </w:pPr>
          </w:p>
        </w:tc>
      </w:tr>
      <w:tr w:rsidR="00173725" w:rsidRPr="001360A5" w14:paraId="1ED6BC86"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C03366E" w14:textId="12392028" w:rsidR="00227A88" w:rsidRDefault="00284B92" w:rsidP="00020B14">
            <w:pPr>
              <w:tabs>
                <w:tab w:val="left" w:pos="0"/>
              </w:tabs>
              <w:spacing w:before="120"/>
              <w:ind w:left="-96" w:right="72"/>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2</w:t>
            </w:r>
          </w:p>
        </w:tc>
        <w:tc>
          <w:tcPr>
            <w:tcW w:w="486" w:type="pct"/>
            <w:tcBorders>
              <w:top w:val="single" w:sz="4" w:space="0" w:color="auto"/>
              <w:left w:val="single" w:sz="4" w:space="0" w:color="auto"/>
              <w:bottom w:val="single" w:sz="4" w:space="0" w:color="auto"/>
              <w:right w:val="single" w:sz="4" w:space="0" w:color="auto"/>
            </w:tcBorders>
          </w:tcPr>
          <w:p w14:paraId="324C01D0" w14:textId="34EFE8DE" w:rsidR="00227A88" w:rsidRDefault="000B4B87" w:rsidP="00020B14">
            <w:pPr>
              <w:tabs>
                <w:tab w:val="left" w:pos="0"/>
              </w:tabs>
              <w:ind w:left="-96"/>
              <w:rPr>
                <w:rFonts w:ascii="Verdana" w:hAnsi="Verdana"/>
                <w:bCs/>
                <w:color w:val="7F7F7F" w:themeColor="text1" w:themeTint="80"/>
                <w:sz w:val="22"/>
                <w:szCs w:val="22"/>
                <w:lang w:val="en-US"/>
              </w:rPr>
            </w:pPr>
            <w:r>
              <w:rPr>
                <w:rFonts w:ascii="Verdana" w:hAnsi="Verdana"/>
                <w:bCs/>
                <w:color w:val="7F7F7F" w:themeColor="text1" w:themeTint="80"/>
                <w:sz w:val="22"/>
                <w:szCs w:val="22"/>
                <w:lang w:val="en-US"/>
              </w:rPr>
              <w:t>290-294</w:t>
            </w:r>
          </w:p>
        </w:tc>
        <w:tc>
          <w:tcPr>
            <w:tcW w:w="2020" w:type="pct"/>
            <w:gridSpan w:val="2"/>
            <w:tcBorders>
              <w:top w:val="single" w:sz="4" w:space="0" w:color="auto"/>
              <w:left w:val="single" w:sz="4" w:space="0" w:color="auto"/>
              <w:bottom w:val="single" w:sz="4" w:space="0" w:color="auto"/>
              <w:right w:val="single" w:sz="4" w:space="0" w:color="auto"/>
            </w:tcBorders>
          </w:tcPr>
          <w:p w14:paraId="6A4058E3" w14:textId="54CA3C48" w:rsidR="003C4907" w:rsidRPr="00CF2245" w:rsidRDefault="003C4907" w:rsidP="00020B14">
            <w:pPr>
              <w:tabs>
                <w:tab w:val="left" w:pos="0"/>
              </w:tabs>
              <w:spacing w:before="120" w:after="120"/>
              <w:rPr>
                <w:rFonts w:ascii="Verdana" w:hAnsi="Verdana" w:cs="Frutiger LT Std 45 Light"/>
                <w:b/>
                <w:color w:val="7F7F7F" w:themeColor="text1" w:themeTint="80"/>
                <w:sz w:val="22"/>
                <w:szCs w:val="22"/>
                <w:lang w:val="en-US" w:eastAsia="en-US"/>
              </w:rPr>
            </w:pPr>
            <w:r>
              <w:rPr>
                <w:rFonts w:ascii="Verdana" w:hAnsi="Verdana" w:cs="Frutiger LT Std 45 Light"/>
                <w:b/>
                <w:color w:val="7F7F7F" w:themeColor="text1" w:themeTint="80"/>
                <w:sz w:val="22"/>
                <w:szCs w:val="22"/>
                <w:lang w:val="en-US" w:eastAsia="en-US"/>
              </w:rPr>
              <w:t>Alternative extrapolation method</w:t>
            </w:r>
          </w:p>
          <w:p w14:paraId="4BBB50AB" w14:textId="22C13CA5" w:rsidR="00AB0FCA" w:rsidRPr="00CF2245" w:rsidRDefault="00AB0FCA" w:rsidP="00020B14">
            <w:pPr>
              <w:tabs>
                <w:tab w:val="left" w:pos="0"/>
              </w:tabs>
              <w:spacing w:after="120"/>
              <w:rPr>
                <w:rFonts w:ascii="Verdana" w:hAnsi="Verdana" w:cs="Frutiger LT Std 45 Light"/>
                <w:bCs/>
                <w:color w:val="7F7F7F" w:themeColor="text1" w:themeTint="80"/>
                <w:sz w:val="22"/>
                <w:szCs w:val="22"/>
                <w:lang w:val="en-US" w:eastAsia="en-US"/>
              </w:rPr>
            </w:pPr>
            <w:r w:rsidRPr="00CF2245">
              <w:rPr>
                <w:rFonts w:ascii="Verdana" w:hAnsi="Verdana" w:cs="Frutiger LT Std 45 Light"/>
                <w:bCs/>
                <w:color w:val="7F7F7F" w:themeColor="text1" w:themeTint="80"/>
                <w:sz w:val="22"/>
                <w:szCs w:val="22"/>
                <w:lang w:val="en-US" w:eastAsia="en-US"/>
              </w:rPr>
              <w:t xml:space="preserve">We suggest to introduce a new Option 6 on the extrapolation in the Swedish IORP RFR, as a method complementing Option 5 for currencies that do not have the liquidity of the euro market.  </w:t>
            </w:r>
          </w:p>
          <w:p w14:paraId="6C128BAF" w14:textId="77777777" w:rsidR="00AB0FCA" w:rsidRPr="00CF2245" w:rsidRDefault="00AB0FCA" w:rsidP="00020B14">
            <w:pPr>
              <w:tabs>
                <w:tab w:val="left" w:pos="0"/>
              </w:tabs>
              <w:rPr>
                <w:rFonts w:ascii="Verdana" w:hAnsi="Verdana" w:cs="Frutiger LT Std 45 Light"/>
                <w:bCs/>
                <w:color w:val="7F7F7F" w:themeColor="text1" w:themeTint="80"/>
                <w:sz w:val="22"/>
                <w:szCs w:val="22"/>
                <w:lang w:val="en-US" w:eastAsia="en-US"/>
              </w:rPr>
            </w:pPr>
            <w:r w:rsidRPr="00CF2245">
              <w:rPr>
                <w:rFonts w:ascii="Verdana" w:hAnsi="Verdana" w:cs="Frutiger LT Std 45 Light"/>
                <w:bCs/>
                <w:color w:val="7F7F7F" w:themeColor="text1" w:themeTint="80"/>
                <w:sz w:val="22"/>
                <w:szCs w:val="22"/>
                <w:lang w:val="en-US" w:eastAsia="en-US"/>
              </w:rPr>
              <w:t xml:space="preserve">The extrapolation in the Swedish IORP RFR does the interpolation by gradually phasing out market quotes. It is possible to derive relevant information from market quotes for longer maturities even if the </w:t>
            </w:r>
            <w:r w:rsidRPr="00CF2245">
              <w:rPr>
                <w:rFonts w:ascii="Verdana" w:hAnsi="Verdana" w:cs="Frutiger LT Std 45 Light"/>
                <w:bCs/>
                <w:color w:val="7F7F7F" w:themeColor="text1" w:themeTint="80"/>
                <w:sz w:val="22"/>
                <w:szCs w:val="22"/>
                <w:lang w:val="en-US" w:eastAsia="en-US"/>
              </w:rPr>
              <w:lastRenderedPageBreak/>
              <w:t xml:space="preserve">instruments may not be DLT in a strict sense. The gradual phasing out means that the RFR term structure will be somewhat more consistent with information in relevant prices than if there is a sharp cut-off beyond which information is discarded. </w:t>
            </w:r>
          </w:p>
          <w:p w14:paraId="1E859C88" w14:textId="77777777" w:rsidR="00AB0FCA" w:rsidRPr="00CF2245" w:rsidRDefault="00AB0FCA" w:rsidP="00020B14">
            <w:pPr>
              <w:tabs>
                <w:tab w:val="left" w:pos="0"/>
              </w:tabs>
              <w:rPr>
                <w:rFonts w:ascii="Verdana" w:hAnsi="Verdana" w:cs="Frutiger LT Std 45 Light"/>
                <w:bCs/>
                <w:color w:val="7F7F7F" w:themeColor="text1" w:themeTint="80"/>
                <w:sz w:val="22"/>
                <w:szCs w:val="22"/>
                <w:lang w:val="en-US" w:eastAsia="en-US"/>
              </w:rPr>
            </w:pPr>
          </w:p>
          <w:p w14:paraId="06D2CCE0" w14:textId="2446168C" w:rsidR="00AB0FCA" w:rsidRPr="00CF2245" w:rsidRDefault="00AB0FCA" w:rsidP="00020B14">
            <w:pPr>
              <w:tabs>
                <w:tab w:val="left" w:pos="0"/>
              </w:tabs>
              <w:rPr>
                <w:rFonts w:ascii="Verdana" w:hAnsi="Verdana" w:cs="Frutiger LT Std 45 Light"/>
                <w:bCs/>
                <w:color w:val="7F7F7F" w:themeColor="text1" w:themeTint="80"/>
                <w:sz w:val="22"/>
                <w:szCs w:val="22"/>
                <w:lang w:val="en-US" w:eastAsia="en-US"/>
              </w:rPr>
            </w:pPr>
            <w:r w:rsidRPr="00CF2245">
              <w:rPr>
                <w:rFonts w:ascii="Verdana" w:hAnsi="Verdana" w:cs="Frutiger LT Std 45 Light"/>
                <w:bCs/>
                <w:color w:val="7F7F7F" w:themeColor="text1" w:themeTint="80"/>
                <w:sz w:val="22"/>
                <w:szCs w:val="22"/>
                <w:lang w:val="en-US" w:eastAsia="en-US"/>
              </w:rPr>
              <w:t>The advantage of the Swedish IORP extrapolation</w:t>
            </w:r>
            <w:r w:rsidRPr="00395661">
              <w:rPr>
                <w:rFonts w:ascii="Verdana" w:hAnsi="Verdana" w:cs="Frutiger LT Std 45 Light"/>
                <w:bCs/>
                <w:color w:val="7F7F7F" w:themeColor="text1" w:themeTint="80"/>
                <w:sz w:val="22"/>
                <w:szCs w:val="22"/>
                <w:vertAlign w:val="subscript"/>
                <w:lang w:val="en-US" w:eastAsia="en-US"/>
              </w:rPr>
              <w:t>1</w:t>
            </w:r>
            <w:r w:rsidRPr="00CF2245">
              <w:rPr>
                <w:rFonts w:ascii="Verdana" w:hAnsi="Verdana" w:cs="Frutiger LT Std 45 Light"/>
                <w:bCs/>
                <w:color w:val="7F7F7F" w:themeColor="text1" w:themeTint="80"/>
                <w:sz w:val="22"/>
                <w:szCs w:val="22"/>
                <w:lang w:val="en-US" w:eastAsia="en-US"/>
              </w:rPr>
              <w:t xml:space="preserve"> compared to the Smith-Wilson methodology is that it better incentivizes for risk management, while it reduces procyclicality at the same time and the potential costs of rolling hedges [footnote 1]. </w:t>
            </w:r>
          </w:p>
          <w:p w14:paraId="06422040" w14:textId="77777777" w:rsidR="00FC5744" w:rsidRPr="00CF2245" w:rsidRDefault="00FC5744" w:rsidP="00020B14">
            <w:pPr>
              <w:tabs>
                <w:tab w:val="left" w:pos="0"/>
              </w:tabs>
              <w:spacing w:before="120"/>
              <w:ind w:right="72"/>
              <w:rPr>
                <w:rFonts w:cs="Frutiger LT Std 45 Light"/>
                <w:bCs/>
                <w:color w:val="7F7F7F" w:themeColor="text1" w:themeTint="80"/>
                <w:sz w:val="22"/>
                <w:szCs w:val="22"/>
                <w:lang w:val="en-US"/>
              </w:rPr>
            </w:pPr>
            <w:r w:rsidRPr="00395661">
              <w:rPr>
                <w:rFonts w:ascii="Verdana" w:hAnsi="Verdana" w:cs="Frutiger LT Std 45 Light"/>
                <w:bCs/>
                <w:color w:val="7F7F7F" w:themeColor="text1" w:themeTint="80"/>
                <w:sz w:val="22"/>
                <w:szCs w:val="22"/>
                <w:lang w:val="en-US" w:eastAsia="en-US"/>
              </w:rPr>
              <w:t>[</w:t>
            </w:r>
            <w:r>
              <w:rPr>
                <w:rFonts w:ascii="Verdana" w:hAnsi="Verdana" w:cs="Frutiger LT Std 45 Light"/>
                <w:bCs/>
                <w:color w:val="7F7F7F" w:themeColor="text1" w:themeTint="80"/>
                <w:sz w:val="22"/>
                <w:szCs w:val="22"/>
                <w:lang w:val="en-US" w:eastAsia="en-US"/>
              </w:rPr>
              <w:t>f</w:t>
            </w:r>
            <w:r w:rsidRPr="00395661">
              <w:rPr>
                <w:rFonts w:ascii="Verdana" w:hAnsi="Verdana" w:cs="Frutiger LT Std 45 Light"/>
                <w:bCs/>
                <w:color w:val="7F7F7F" w:themeColor="text1" w:themeTint="80"/>
                <w:sz w:val="22"/>
                <w:szCs w:val="22"/>
                <w:lang w:val="en-US" w:eastAsia="en-US"/>
              </w:rPr>
              <w:t xml:space="preserve">ootnote 1]. </w:t>
            </w:r>
            <w:r w:rsidRPr="00395661">
              <w:rPr>
                <w:bCs/>
                <w:color w:val="7F7F7F" w:themeColor="text1" w:themeTint="80"/>
                <w:sz w:val="22"/>
                <w:szCs w:val="22"/>
                <w:lang w:val="en-US"/>
              </w:rPr>
              <w:t>The Swedish IORP extrapolation is essentially an implementation of the proposal of Kocken, Oldenkamp, and Potters for alleviating the “Dangerous design flaws in the ultimate forward rate”:</w:t>
            </w:r>
            <w:r w:rsidRPr="00395661">
              <w:rPr>
                <w:bCs/>
                <w:color w:val="7F7F7F" w:themeColor="text1" w:themeTint="80"/>
                <w:sz w:val="22"/>
                <w:szCs w:val="22"/>
                <w:lang w:val="en-US"/>
              </w:rPr>
              <w:br/>
            </w:r>
            <w:hyperlink r:id="rId15" w:history="1">
              <w:r w:rsidRPr="00CF2245">
                <w:rPr>
                  <w:rFonts w:cs="Frutiger LT Std 45 Light"/>
                  <w:bCs/>
                  <w:color w:val="7F7F7F" w:themeColor="text1" w:themeTint="80"/>
                  <w:sz w:val="22"/>
                  <w:szCs w:val="22"/>
                  <w:lang w:val="en-US"/>
                </w:rPr>
                <w:t>https://www.cardano.nl/wp-content/uploads/sites/2/2019/01/120713-Dangerouw-design-flwas-in-UFR.pdf</w:t>
              </w:r>
            </w:hyperlink>
          </w:p>
          <w:p w14:paraId="28EE58F6" w14:textId="77777777" w:rsidR="00227A88" w:rsidRPr="00395661" w:rsidRDefault="00227A88" w:rsidP="00020B14">
            <w:pPr>
              <w:pStyle w:val="CEABullet-Level1"/>
              <w:numPr>
                <w:ilvl w:val="0"/>
                <w:numId w:val="0"/>
              </w:numPr>
              <w:tabs>
                <w:tab w:val="left" w:pos="0"/>
              </w:tabs>
              <w:spacing w:line="240" w:lineRule="auto"/>
              <w:rPr>
                <w:b/>
                <w:color w:val="7F7F7F" w:themeColor="text1" w:themeTint="80"/>
                <w:sz w:val="22"/>
                <w:szCs w:val="22"/>
                <w:highlight w:val="lightGray"/>
                <w:lang w:val="en-US"/>
              </w:rPr>
            </w:pPr>
          </w:p>
        </w:tc>
        <w:tc>
          <w:tcPr>
            <w:tcW w:w="483" w:type="pct"/>
            <w:tcBorders>
              <w:top w:val="single" w:sz="4" w:space="0" w:color="auto"/>
              <w:left w:val="single" w:sz="4" w:space="0" w:color="auto"/>
              <w:bottom w:val="single" w:sz="4" w:space="0" w:color="auto"/>
              <w:right w:val="single" w:sz="4" w:space="0" w:color="auto"/>
            </w:tcBorders>
          </w:tcPr>
          <w:p w14:paraId="5AD7AB62" w14:textId="77777777" w:rsidR="00227A88" w:rsidRPr="00CF2245" w:rsidRDefault="00227A88" w:rsidP="00020B14">
            <w:pPr>
              <w:tabs>
                <w:tab w:val="left" w:pos="0"/>
              </w:tabs>
              <w:rPr>
                <w:color w:val="7F7F7F" w:themeColor="text1" w:themeTint="80"/>
                <w:lang w:val="en-GB" w:eastAsia="fr-FR"/>
              </w:rPr>
            </w:pPr>
          </w:p>
        </w:tc>
      </w:tr>
      <w:tr w:rsidR="00FC5744" w:rsidRPr="001360A5" w14:paraId="23C0D25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2C099A7" w14:textId="3258237E" w:rsidR="005703DE" w:rsidRPr="007A7870" w:rsidRDefault="00F0251A" w:rsidP="00020B14">
            <w:pPr>
              <w:tabs>
                <w:tab w:val="left" w:pos="0"/>
              </w:tabs>
              <w:spacing w:before="120"/>
              <w:ind w:left="-96" w:right="72"/>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2</w:t>
            </w:r>
          </w:p>
        </w:tc>
        <w:tc>
          <w:tcPr>
            <w:tcW w:w="506" w:type="pct"/>
            <w:gridSpan w:val="2"/>
            <w:tcBorders>
              <w:top w:val="single" w:sz="4" w:space="0" w:color="auto"/>
              <w:left w:val="single" w:sz="4" w:space="0" w:color="auto"/>
              <w:bottom w:val="single" w:sz="4" w:space="0" w:color="auto"/>
              <w:right w:val="single" w:sz="4" w:space="0" w:color="auto"/>
            </w:tcBorders>
          </w:tcPr>
          <w:p w14:paraId="61D38577" w14:textId="6C693385" w:rsidR="005703DE" w:rsidRPr="008F70F8" w:rsidRDefault="00F0251A" w:rsidP="00020B14">
            <w:pPr>
              <w:tabs>
                <w:tab w:val="left" w:pos="0"/>
              </w:tabs>
              <w:ind w:right="-53"/>
              <w:rPr>
                <w:rFonts w:ascii="Verdana" w:hAnsi="Verdana"/>
                <w:b/>
                <w:color w:val="7F7F7F" w:themeColor="text1" w:themeTint="80"/>
                <w:sz w:val="22"/>
                <w:szCs w:val="22"/>
                <w:lang w:val="en-US"/>
              </w:rPr>
            </w:pPr>
            <w:r w:rsidRPr="008F70F8">
              <w:rPr>
                <w:rFonts w:ascii="Verdana" w:hAnsi="Verdana"/>
                <w:b/>
                <w:color w:val="7F7F7F" w:themeColor="text1" w:themeTint="80"/>
                <w:sz w:val="22"/>
                <w:szCs w:val="22"/>
                <w:lang w:val="en-US"/>
              </w:rPr>
              <w:t>Question to stakeholders</w:t>
            </w:r>
          </w:p>
        </w:tc>
        <w:tc>
          <w:tcPr>
            <w:tcW w:w="1999" w:type="pct"/>
            <w:tcBorders>
              <w:top w:val="single" w:sz="4" w:space="0" w:color="auto"/>
              <w:left w:val="single" w:sz="4" w:space="0" w:color="auto"/>
              <w:bottom w:val="single" w:sz="4" w:space="0" w:color="auto"/>
              <w:right w:val="single" w:sz="4" w:space="0" w:color="auto"/>
            </w:tcBorders>
          </w:tcPr>
          <w:p w14:paraId="0CA47234" w14:textId="15AAFAD3" w:rsidR="00F0251A" w:rsidRPr="00440503" w:rsidRDefault="00F0251A" w:rsidP="00020B14">
            <w:pPr>
              <w:pStyle w:val="CEABullet-Level1"/>
              <w:numPr>
                <w:ilvl w:val="0"/>
                <w:numId w:val="0"/>
              </w:numPr>
              <w:tabs>
                <w:tab w:val="left" w:pos="0"/>
              </w:tabs>
              <w:spacing w:line="240" w:lineRule="auto"/>
              <w:rPr>
                <w:b/>
                <w:color w:val="7F7F7F" w:themeColor="text1" w:themeTint="80"/>
                <w:sz w:val="22"/>
                <w:szCs w:val="22"/>
              </w:rPr>
            </w:pPr>
            <w:r w:rsidRPr="009F0CE1">
              <w:rPr>
                <w:b/>
                <w:color w:val="7F7F7F" w:themeColor="text1" w:themeTint="80"/>
                <w:sz w:val="22"/>
                <w:szCs w:val="22"/>
                <w:lang w:val="en-US"/>
              </w:rPr>
              <w:t>Q2.1: What is your view on the options on the last liquid point for the euro (including the alternative extrapolation method) set out in this section</w:t>
            </w:r>
          </w:p>
          <w:p w14:paraId="796745DE" w14:textId="318F040C" w:rsidR="00D46B4C" w:rsidRPr="00D433EC" w:rsidRDefault="00D46B4C" w:rsidP="00020B14">
            <w:pPr>
              <w:pStyle w:val="CEABullet-Level1"/>
              <w:numPr>
                <w:ilvl w:val="0"/>
                <w:numId w:val="0"/>
              </w:numPr>
              <w:tabs>
                <w:tab w:val="left" w:pos="0"/>
              </w:tabs>
              <w:spacing w:before="120" w:after="120" w:line="240" w:lineRule="auto"/>
              <w:rPr>
                <w:color w:val="7F7F7F" w:themeColor="text1" w:themeTint="80"/>
                <w:sz w:val="22"/>
                <w:szCs w:val="22"/>
              </w:rPr>
            </w:pPr>
            <w:r w:rsidRPr="00D433EC">
              <w:rPr>
                <w:color w:val="7F7F7F" w:themeColor="text1" w:themeTint="80"/>
                <w:sz w:val="22"/>
                <w:szCs w:val="22"/>
              </w:rPr>
              <w:t xml:space="preserve">In principle, the answer to this question should </w:t>
            </w:r>
            <w:r w:rsidRPr="00D433EC">
              <w:rPr>
                <w:b/>
                <w:color w:val="7F7F7F" w:themeColor="text1" w:themeTint="80"/>
                <w:sz w:val="22"/>
                <w:szCs w:val="22"/>
              </w:rPr>
              <w:t>not be given in isolation</w:t>
            </w:r>
            <w:r w:rsidR="00607A35">
              <w:rPr>
                <w:b/>
                <w:color w:val="7F7F7F" w:themeColor="text1" w:themeTint="80"/>
                <w:sz w:val="22"/>
                <w:szCs w:val="22"/>
              </w:rPr>
              <w:t xml:space="preserve"> as it </w:t>
            </w:r>
            <w:r w:rsidRPr="00D433EC">
              <w:rPr>
                <w:b/>
                <w:color w:val="7F7F7F" w:themeColor="text1" w:themeTint="80"/>
                <w:sz w:val="22"/>
                <w:szCs w:val="22"/>
              </w:rPr>
              <w:t xml:space="preserve">is linked to </w:t>
            </w:r>
            <w:r w:rsidRPr="00D433EC">
              <w:rPr>
                <w:color w:val="7F7F7F" w:themeColor="text1" w:themeTint="80"/>
                <w:sz w:val="22"/>
                <w:szCs w:val="22"/>
              </w:rPr>
              <w:t xml:space="preserve">other elements </w:t>
            </w:r>
            <w:r w:rsidR="00607A35">
              <w:rPr>
                <w:color w:val="7F7F7F" w:themeColor="text1" w:themeTint="80"/>
                <w:sz w:val="22"/>
                <w:szCs w:val="22"/>
              </w:rPr>
              <w:t>object of the 2020 Solvency II review</w:t>
            </w:r>
            <w:r w:rsidRPr="00D433EC">
              <w:rPr>
                <w:color w:val="7F7F7F" w:themeColor="text1" w:themeTint="80"/>
                <w:sz w:val="22"/>
                <w:szCs w:val="22"/>
              </w:rPr>
              <w:t>. In our view, the outcome should not have</w:t>
            </w:r>
            <w:r w:rsidRPr="00D433EC">
              <w:rPr>
                <w:b/>
                <w:color w:val="7F7F7F" w:themeColor="text1" w:themeTint="80"/>
                <w:sz w:val="22"/>
                <w:szCs w:val="22"/>
              </w:rPr>
              <w:t xml:space="preserve"> a negative impact on the Solvency position</w:t>
            </w:r>
            <w:r w:rsidRPr="00D433EC">
              <w:rPr>
                <w:color w:val="7F7F7F" w:themeColor="text1" w:themeTint="80"/>
                <w:sz w:val="22"/>
                <w:szCs w:val="22"/>
              </w:rPr>
              <w:t xml:space="preserve"> because of the review in general and the assessment of the LLP/extrapolation in particular. Our opinion should be seen in the light of this statement.</w:t>
            </w:r>
          </w:p>
          <w:p w14:paraId="09F05362" w14:textId="6952B226" w:rsidR="00D46B4C" w:rsidRPr="00D433EC" w:rsidRDefault="00845165" w:rsidP="00020B14">
            <w:pPr>
              <w:pStyle w:val="CEABullet-Level1"/>
              <w:tabs>
                <w:tab w:val="left" w:pos="0"/>
              </w:tabs>
              <w:spacing w:after="120" w:line="240" w:lineRule="auto"/>
              <w:ind w:left="0" w:hanging="357"/>
              <w:rPr>
                <w:color w:val="7F7F7F" w:themeColor="text1" w:themeTint="80"/>
                <w:sz w:val="22"/>
                <w:szCs w:val="22"/>
              </w:rPr>
            </w:pPr>
            <w:r>
              <w:rPr>
                <w:color w:val="7F7F7F" w:themeColor="text1" w:themeTint="80"/>
                <w:sz w:val="22"/>
                <w:szCs w:val="22"/>
              </w:rPr>
              <w:t>T</w:t>
            </w:r>
            <w:r w:rsidR="00D46B4C" w:rsidRPr="00D433EC">
              <w:rPr>
                <w:color w:val="7F7F7F" w:themeColor="text1" w:themeTint="80"/>
                <w:sz w:val="22"/>
                <w:szCs w:val="22"/>
              </w:rPr>
              <w:t xml:space="preserve">he </w:t>
            </w:r>
            <w:r w:rsidR="00D46B4C" w:rsidRPr="00D433EC">
              <w:rPr>
                <w:b/>
                <w:color w:val="7F7F7F" w:themeColor="text1" w:themeTint="80"/>
                <w:sz w:val="22"/>
                <w:szCs w:val="22"/>
              </w:rPr>
              <w:t>current criteria</w:t>
            </w:r>
            <w:r w:rsidR="00D46B4C" w:rsidRPr="00D433EC">
              <w:rPr>
                <w:color w:val="7F7F7F" w:themeColor="text1" w:themeTint="80"/>
                <w:sz w:val="22"/>
                <w:szCs w:val="22"/>
              </w:rPr>
              <w:t xml:space="preserve"> as defined by the Solvency II legislation, being the “matching criterion” and the “residual criterion” </w:t>
            </w:r>
            <w:r w:rsidR="00D46B4C" w:rsidRPr="00D433EC">
              <w:rPr>
                <w:b/>
                <w:color w:val="7F7F7F" w:themeColor="text1" w:themeTint="80"/>
                <w:sz w:val="22"/>
                <w:szCs w:val="22"/>
              </w:rPr>
              <w:t>should remain</w:t>
            </w:r>
            <w:r w:rsidR="00D46B4C" w:rsidRPr="00D433EC">
              <w:rPr>
                <w:color w:val="7F7F7F" w:themeColor="text1" w:themeTint="80"/>
                <w:sz w:val="22"/>
                <w:szCs w:val="22"/>
              </w:rPr>
              <w:t xml:space="preserve"> and should not </w:t>
            </w:r>
            <w:r w:rsidR="0051165C">
              <w:rPr>
                <w:color w:val="7F7F7F" w:themeColor="text1" w:themeTint="80"/>
                <w:sz w:val="22"/>
                <w:szCs w:val="22"/>
              </w:rPr>
              <w:t xml:space="preserve">be </w:t>
            </w:r>
            <w:r w:rsidR="00D46B4C" w:rsidRPr="00D433EC">
              <w:rPr>
                <w:color w:val="7F7F7F" w:themeColor="text1" w:themeTint="80"/>
                <w:sz w:val="22"/>
                <w:szCs w:val="22"/>
              </w:rPr>
              <w:t xml:space="preserve">disregarded in the </w:t>
            </w:r>
            <w:r w:rsidR="00607A35">
              <w:rPr>
                <w:color w:val="7F7F7F" w:themeColor="text1" w:themeTint="80"/>
                <w:sz w:val="22"/>
                <w:szCs w:val="22"/>
              </w:rPr>
              <w:t xml:space="preserve">EIOPA´s </w:t>
            </w:r>
            <w:r w:rsidR="00D46B4C" w:rsidRPr="00D433EC">
              <w:rPr>
                <w:color w:val="7F7F7F" w:themeColor="text1" w:themeTint="80"/>
                <w:sz w:val="22"/>
                <w:szCs w:val="22"/>
              </w:rPr>
              <w:t xml:space="preserve">proposals. These two criteria ensure the alignment in views with the primary market rather than an </w:t>
            </w:r>
            <w:r w:rsidR="00D46B4C" w:rsidRPr="00D433EC">
              <w:rPr>
                <w:color w:val="7F7F7F" w:themeColor="text1" w:themeTint="80"/>
                <w:sz w:val="22"/>
                <w:szCs w:val="22"/>
              </w:rPr>
              <w:lastRenderedPageBreak/>
              <w:t>assessment based on a secondary or derived market such as the swap market. The key criterion, insurers should be able to earn, is important and does not result in a theoretical consideration of the DLT-assessment of the market and the various maturities.</w:t>
            </w:r>
          </w:p>
          <w:p w14:paraId="63BB8248" w14:textId="77777777" w:rsidR="00D46B4C" w:rsidRPr="00D433EC" w:rsidRDefault="00D46B4C" w:rsidP="00020B14">
            <w:pPr>
              <w:pStyle w:val="CEABullet-Level1"/>
              <w:tabs>
                <w:tab w:val="left" w:pos="0"/>
              </w:tabs>
              <w:spacing w:line="240" w:lineRule="auto"/>
              <w:ind w:left="0"/>
              <w:rPr>
                <w:color w:val="7F7F7F" w:themeColor="text1" w:themeTint="80"/>
                <w:sz w:val="22"/>
                <w:szCs w:val="22"/>
              </w:rPr>
            </w:pPr>
            <w:r w:rsidRPr="00D433EC">
              <w:rPr>
                <w:color w:val="7F7F7F" w:themeColor="text1" w:themeTint="80"/>
                <w:sz w:val="22"/>
                <w:szCs w:val="22"/>
              </w:rPr>
              <w:t xml:space="preserve">The </w:t>
            </w:r>
            <w:r w:rsidRPr="00D433EC">
              <w:rPr>
                <w:b/>
                <w:color w:val="7F7F7F" w:themeColor="text1" w:themeTint="80"/>
                <w:sz w:val="22"/>
                <w:szCs w:val="22"/>
              </w:rPr>
              <w:t>LLP or FSP are key variables</w:t>
            </w:r>
            <w:r w:rsidRPr="00D433EC">
              <w:rPr>
                <w:color w:val="7F7F7F" w:themeColor="text1" w:themeTint="80"/>
                <w:sz w:val="22"/>
                <w:szCs w:val="22"/>
              </w:rPr>
              <w:t xml:space="preserve"> in the determination of the Solvency ratio. The value of the technical provisions and the capital requirements where the best estimate is a volume factor is sensitive to the LLP or FSP. A too frequent shift in LLP will result in </w:t>
            </w:r>
            <w:r w:rsidRPr="00D433EC">
              <w:rPr>
                <w:b/>
                <w:color w:val="7F7F7F" w:themeColor="text1" w:themeTint="80"/>
                <w:sz w:val="22"/>
                <w:szCs w:val="22"/>
              </w:rPr>
              <w:t>undesired high volatility which should be avoided</w:t>
            </w:r>
            <w:r w:rsidRPr="00D433EC">
              <w:rPr>
                <w:color w:val="7F7F7F" w:themeColor="text1" w:themeTint="80"/>
                <w:sz w:val="22"/>
                <w:szCs w:val="22"/>
              </w:rPr>
              <w:t>. Currently, there is no mechanism defined how to deal with a change in the LLP. How will this be implemented without distorting the markets and having undue negative effects for Insurers who have to change their hedging, investment mix, etc?</w:t>
            </w:r>
          </w:p>
          <w:p w14:paraId="3555B5F3" w14:textId="62045024" w:rsidR="00D46B4C" w:rsidRPr="00D433EC" w:rsidRDefault="00D46B4C" w:rsidP="00020B14">
            <w:pPr>
              <w:pStyle w:val="CEABullet-Level1"/>
              <w:tabs>
                <w:tab w:val="left" w:pos="0"/>
              </w:tabs>
              <w:spacing w:after="120" w:line="240" w:lineRule="auto"/>
              <w:ind w:left="0" w:hanging="357"/>
              <w:rPr>
                <w:color w:val="7F7F7F" w:themeColor="text1" w:themeTint="80"/>
                <w:sz w:val="22"/>
                <w:szCs w:val="22"/>
              </w:rPr>
            </w:pPr>
            <w:r w:rsidRPr="00D433EC">
              <w:rPr>
                <w:color w:val="7F7F7F" w:themeColor="text1" w:themeTint="80"/>
                <w:sz w:val="22"/>
                <w:szCs w:val="22"/>
              </w:rPr>
              <w:t xml:space="preserve">In the advice on the LLP, EIOPA should also </w:t>
            </w:r>
            <w:r w:rsidRPr="00D433EC">
              <w:rPr>
                <w:b/>
                <w:color w:val="7F7F7F" w:themeColor="text1" w:themeTint="80"/>
                <w:sz w:val="22"/>
                <w:szCs w:val="22"/>
              </w:rPr>
              <w:t>consider how the methodology to derive the LLP or FSP holds up in crisis situations</w:t>
            </w:r>
            <w:r w:rsidRPr="00D433EC">
              <w:rPr>
                <w:color w:val="7F7F7F" w:themeColor="text1" w:themeTint="80"/>
                <w:sz w:val="22"/>
                <w:szCs w:val="22"/>
              </w:rPr>
              <w:t xml:space="preserve"> </w:t>
            </w:r>
            <w:r w:rsidR="000B115F">
              <w:rPr>
                <w:color w:val="7F7F7F" w:themeColor="text1" w:themeTint="80"/>
                <w:sz w:val="22"/>
                <w:szCs w:val="22"/>
              </w:rPr>
              <w:t xml:space="preserve">where </w:t>
            </w:r>
            <w:r w:rsidRPr="00D433EC">
              <w:rPr>
                <w:color w:val="7F7F7F" w:themeColor="text1" w:themeTint="80"/>
                <w:sz w:val="22"/>
                <w:szCs w:val="22"/>
              </w:rPr>
              <w:t xml:space="preserve">the liquidity of various maturities in the market reduces or even ceases to exist. </w:t>
            </w:r>
            <w:r w:rsidR="000B115F">
              <w:rPr>
                <w:color w:val="7F7F7F" w:themeColor="text1" w:themeTint="80"/>
                <w:sz w:val="22"/>
                <w:szCs w:val="22"/>
              </w:rPr>
              <w:t>We query h</w:t>
            </w:r>
            <w:r w:rsidRPr="00D433EC">
              <w:rPr>
                <w:color w:val="7F7F7F" w:themeColor="text1" w:themeTint="80"/>
                <w:sz w:val="22"/>
                <w:szCs w:val="22"/>
              </w:rPr>
              <w:t xml:space="preserve">ow consistent the approach </w:t>
            </w:r>
            <w:r w:rsidR="000B115F">
              <w:rPr>
                <w:color w:val="7F7F7F" w:themeColor="text1" w:themeTint="80"/>
                <w:sz w:val="22"/>
                <w:szCs w:val="22"/>
              </w:rPr>
              <w:t xml:space="preserve">would </w:t>
            </w:r>
            <w:r w:rsidRPr="00D433EC">
              <w:rPr>
                <w:color w:val="7F7F7F" w:themeColor="text1" w:themeTint="80"/>
                <w:sz w:val="22"/>
                <w:szCs w:val="22"/>
              </w:rPr>
              <w:t xml:space="preserve">be </w:t>
            </w:r>
            <w:r w:rsidR="000B115F">
              <w:rPr>
                <w:color w:val="7F7F7F" w:themeColor="text1" w:themeTint="80"/>
                <w:sz w:val="22"/>
                <w:szCs w:val="22"/>
              </w:rPr>
              <w:t>under</w:t>
            </w:r>
            <w:r w:rsidRPr="00D433EC">
              <w:rPr>
                <w:color w:val="7F7F7F" w:themeColor="text1" w:themeTint="80"/>
                <w:sz w:val="22"/>
                <w:szCs w:val="22"/>
              </w:rPr>
              <w:t xml:space="preserve"> these circumstances.</w:t>
            </w:r>
          </w:p>
          <w:p w14:paraId="3431F8E7" w14:textId="4FFF8E15" w:rsidR="00D46B4C" w:rsidRPr="00D433EC" w:rsidRDefault="00D46B4C" w:rsidP="00020B14">
            <w:pPr>
              <w:pStyle w:val="CEABullet-Level1"/>
              <w:tabs>
                <w:tab w:val="left" w:pos="0"/>
              </w:tabs>
              <w:spacing w:after="120" w:line="240" w:lineRule="auto"/>
              <w:ind w:left="0" w:right="211" w:hanging="357"/>
              <w:rPr>
                <w:color w:val="7F7F7F" w:themeColor="text1" w:themeTint="80"/>
                <w:sz w:val="22"/>
                <w:szCs w:val="22"/>
              </w:rPr>
            </w:pPr>
            <w:r w:rsidRPr="00D433EC">
              <w:rPr>
                <w:color w:val="7F7F7F" w:themeColor="text1" w:themeTint="80"/>
                <w:sz w:val="22"/>
                <w:szCs w:val="22"/>
              </w:rPr>
              <w:t xml:space="preserve">We are </w:t>
            </w:r>
            <w:r w:rsidRPr="00D433EC">
              <w:rPr>
                <w:b/>
                <w:color w:val="7F7F7F" w:themeColor="text1" w:themeTint="80"/>
                <w:sz w:val="22"/>
                <w:szCs w:val="22"/>
              </w:rPr>
              <w:t>against</w:t>
            </w:r>
            <w:r w:rsidRPr="00D433EC">
              <w:rPr>
                <w:color w:val="7F7F7F" w:themeColor="text1" w:themeTint="80"/>
                <w:sz w:val="22"/>
                <w:szCs w:val="22"/>
              </w:rPr>
              <w:t xml:space="preserve"> granting the supervisory authorities the </w:t>
            </w:r>
            <w:r w:rsidRPr="00D433EC">
              <w:rPr>
                <w:b/>
                <w:color w:val="7F7F7F" w:themeColor="text1" w:themeTint="80"/>
                <w:sz w:val="22"/>
                <w:szCs w:val="22"/>
              </w:rPr>
              <w:t>explicit power to prohibit distributions</w:t>
            </w:r>
            <w:r w:rsidRPr="00D433EC">
              <w:rPr>
                <w:color w:val="7F7F7F" w:themeColor="text1" w:themeTint="80"/>
                <w:sz w:val="22"/>
                <w:szCs w:val="22"/>
              </w:rPr>
              <w:t xml:space="preserve"> to shareholders or members (in case of mutual insurers) based on the assessment of the sensitivity of the LLP or FSP being 50 years. Currently, insurers already have to assess the impact of distributions on the capital positions before a distribution is proposed. If EIOPA </w:t>
            </w:r>
            <w:r w:rsidR="000B115F">
              <w:rPr>
                <w:color w:val="7F7F7F" w:themeColor="text1" w:themeTint="80"/>
                <w:sz w:val="22"/>
                <w:szCs w:val="22"/>
              </w:rPr>
              <w:t xml:space="preserve">were to </w:t>
            </w:r>
            <w:r w:rsidRPr="00D433EC">
              <w:rPr>
                <w:color w:val="7F7F7F" w:themeColor="text1" w:themeTint="80"/>
                <w:sz w:val="22"/>
                <w:szCs w:val="22"/>
              </w:rPr>
              <w:t xml:space="preserve">introduce </w:t>
            </w:r>
            <w:r w:rsidRPr="000B115F">
              <w:rPr>
                <w:color w:val="7F7F7F" w:themeColor="text1" w:themeTint="80"/>
                <w:sz w:val="22"/>
                <w:szCs w:val="22"/>
              </w:rPr>
              <w:t xml:space="preserve">the </w:t>
            </w:r>
            <w:r w:rsidR="000B115F">
              <w:rPr>
                <w:color w:val="7F7F7F" w:themeColor="text1" w:themeTint="80"/>
                <w:sz w:val="22"/>
                <w:szCs w:val="22"/>
              </w:rPr>
              <w:t>assessment at the</w:t>
            </w:r>
            <w:r w:rsidRPr="00D433EC">
              <w:rPr>
                <w:color w:val="7F7F7F" w:themeColor="text1" w:themeTint="80"/>
                <w:sz w:val="22"/>
                <w:szCs w:val="22"/>
              </w:rPr>
              <w:t xml:space="preserve"> 50-year point as currently proposed, an </w:t>
            </w:r>
            <w:r w:rsidRPr="00D433EC">
              <w:rPr>
                <w:b/>
                <w:color w:val="7F7F7F" w:themeColor="text1" w:themeTint="80"/>
                <w:sz w:val="22"/>
                <w:szCs w:val="22"/>
              </w:rPr>
              <w:t>alternative Solvency II regime w</w:t>
            </w:r>
            <w:r w:rsidR="000B115F">
              <w:rPr>
                <w:b/>
                <w:color w:val="7F7F7F" w:themeColor="text1" w:themeTint="80"/>
                <w:sz w:val="22"/>
                <w:szCs w:val="22"/>
              </w:rPr>
              <w:t>ould</w:t>
            </w:r>
            <w:r w:rsidRPr="00D433EC">
              <w:rPr>
                <w:b/>
                <w:color w:val="7F7F7F" w:themeColor="text1" w:themeTint="80"/>
                <w:sz w:val="22"/>
                <w:szCs w:val="22"/>
              </w:rPr>
              <w:t xml:space="preserve"> be introduced</w:t>
            </w:r>
            <w:r w:rsidRPr="00D433EC">
              <w:rPr>
                <w:color w:val="7F7F7F" w:themeColor="text1" w:themeTint="80"/>
                <w:sz w:val="22"/>
                <w:szCs w:val="22"/>
              </w:rPr>
              <w:t xml:space="preserve"> with an increased level of protection well beyond the 99.5% confidence level. The attractiveness of the insurance industry for investors will </w:t>
            </w:r>
            <w:r w:rsidR="007858B4">
              <w:rPr>
                <w:color w:val="7F7F7F" w:themeColor="text1" w:themeTint="80"/>
                <w:sz w:val="22"/>
                <w:szCs w:val="22"/>
              </w:rPr>
              <w:t xml:space="preserve">disappear if </w:t>
            </w:r>
            <w:r w:rsidRPr="00D433EC">
              <w:rPr>
                <w:color w:val="7F7F7F" w:themeColor="text1" w:themeTint="80"/>
                <w:sz w:val="22"/>
                <w:szCs w:val="22"/>
              </w:rPr>
              <w:t>th</w:t>
            </w:r>
            <w:r w:rsidR="00D1789F">
              <w:rPr>
                <w:color w:val="7F7F7F" w:themeColor="text1" w:themeTint="80"/>
                <w:sz w:val="22"/>
                <w:szCs w:val="22"/>
              </w:rPr>
              <w:t>at</w:t>
            </w:r>
            <w:r w:rsidRPr="00D433EC">
              <w:rPr>
                <w:color w:val="7F7F7F" w:themeColor="text1" w:themeTint="80"/>
                <w:sz w:val="22"/>
                <w:szCs w:val="22"/>
              </w:rPr>
              <w:t xml:space="preserve"> uncertainty</w:t>
            </w:r>
            <w:r w:rsidR="00D1789F">
              <w:rPr>
                <w:color w:val="7F7F7F" w:themeColor="text1" w:themeTint="80"/>
                <w:sz w:val="22"/>
                <w:szCs w:val="22"/>
              </w:rPr>
              <w:t xml:space="preserve"> is introduced</w:t>
            </w:r>
            <w:r w:rsidRPr="00D433EC">
              <w:rPr>
                <w:color w:val="7F7F7F" w:themeColor="text1" w:themeTint="80"/>
                <w:sz w:val="22"/>
                <w:szCs w:val="22"/>
              </w:rPr>
              <w:t xml:space="preserve">. This will be especially the case in adverse market circumstances. The </w:t>
            </w:r>
            <w:r w:rsidR="00D1789F">
              <w:rPr>
                <w:color w:val="7F7F7F" w:themeColor="text1" w:themeTint="80"/>
                <w:sz w:val="22"/>
                <w:szCs w:val="22"/>
              </w:rPr>
              <w:lastRenderedPageBreak/>
              <w:t xml:space="preserve">proposed </w:t>
            </w:r>
            <w:r w:rsidRPr="00D433EC">
              <w:rPr>
                <w:color w:val="7F7F7F" w:themeColor="text1" w:themeTint="80"/>
                <w:sz w:val="22"/>
                <w:szCs w:val="22"/>
              </w:rPr>
              <w:t xml:space="preserve">measure will </w:t>
            </w:r>
            <w:r w:rsidR="00D1789F">
              <w:rPr>
                <w:color w:val="7F7F7F" w:themeColor="text1" w:themeTint="80"/>
                <w:sz w:val="22"/>
                <w:szCs w:val="22"/>
              </w:rPr>
              <w:t xml:space="preserve">also create </w:t>
            </w:r>
            <w:r w:rsidRPr="00D433EC">
              <w:rPr>
                <w:color w:val="7F7F7F" w:themeColor="text1" w:themeTint="80"/>
                <w:sz w:val="22"/>
                <w:szCs w:val="22"/>
              </w:rPr>
              <w:t>pro-cyclical</w:t>
            </w:r>
            <w:r w:rsidR="00D1789F">
              <w:rPr>
                <w:color w:val="7F7F7F" w:themeColor="text1" w:themeTint="80"/>
                <w:sz w:val="22"/>
                <w:szCs w:val="22"/>
              </w:rPr>
              <w:t>ity</w:t>
            </w:r>
            <w:r w:rsidRPr="00D433EC">
              <w:rPr>
                <w:color w:val="7F7F7F" w:themeColor="text1" w:themeTint="80"/>
                <w:sz w:val="22"/>
                <w:szCs w:val="22"/>
              </w:rPr>
              <w:t xml:space="preserve"> and will not be in the interest of policyholders.</w:t>
            </w:r>
          </w:p>
          <w:p w14:paraId="7C2696A6" w14:textId="5EB5914D" w:rsidR="00D46B4C" w:rsidRPr="00D433EC" w:rsidRDefault="00D46B4C" w:rsidP="00020B14">
            <w:pPr>
              <w:pStyle w:val="CEABullet-Level1"/>
              <w:numPr>
                <w:ilvl w:val="0"/>
                <w:numId w:val="0"/>
              </w:numPr>
              <w:tabs>
                <w:tab w:val="left" w:pos="0"/>
              </w:tabs>
              <w:spacing w:line="240" w:lineRule="auto"/>
              <w:ind w:right="69"/>
              <w:rPr>
                <w:color w:val="7F7F7F" w:themeColor="text1" w:themeTint="80"/>
                <w:sz w:val="22"/>
                <w:szCs w:val="22"/>
              </w:rPr>
            </w:pPr>
            <w:bookmarkStart w:id="7" w:name="_Hlk25260733"/>
            <w:r w:rsidRPr="00D433EC">
              <w:rPr>
                <w:color w:val="7F7F7F" w:themeColor="text1" w:themeTint="80"/>
                <w:sz w:val="22"/>
                <w:szCs w:val="22"/>
              </w:rPr>
              <w:t xml:space="preserve">The disclosure of the 50-years sensitivity will </w:t>
            </w:r>
            <w:r w:rsidRPr="00D433EC">
              <w:rPr>
                <w:b/>
                <w:color w:val="7F7F7F" w:themeColor="text1" w:themeTint="80"/>
                <w:sz w:val="22"/>
                <w:szCs w:val="22"/>
              </w:rPr>
              <w:t>not</w:t>
            </w:r>
            <w:r w:rsidRPr="00D433EC">
              <w:rPr>
                <w:color w:val="7F7F7F" w:themeColor="text1" w:themeTint="80"/>
                <w:sz w:val="22"/>
                <w:szCs w:val="22"/>
              </w:rPr>
              <w:t xml:space="preserve"> result in more insights in</w:t>
            </w:r>
            <w:r w:rsidR="00F30636">
              <w:rPr>
                <w:color w:val="7F7F7F" w:themeColor="text1" w:themeTint="80"/>
                <w:sz w:val="22"/>
                <w:szCs w:val="22"/>
              </w:rPr>
              <w:t>to</w:t>
            </w:r>
            <w:r w:rsidRPr="00D433EC">
              <w:rPr>
                <w:color w:val="7F7F7F" w:themeColor="text1" w:themeTint="80"/>
                <w:sz w:val="22"/>
                <w:szCs w:val="22"/>
              </w:rPr>
              <w:t xml:space="preserve"> the </w:t>
            </w:r>
            <w:r w:rsidR="00D51CF6">
              <w:rPr>
                <w:color w:val="7F7F7F" w:themeColor="text1" w:themeTint="80"/>
                <w:sz w:val="22"/>
                <w:szCs w:val="22"/>
              </w:rPr>
              <w:t xml:space="preserve">insurers </w:t>
            </w:r>
            <w:r w:rsidR="00D51CF6" w:rsidRPr="00D433EC">
              <w:rPr>
                <w:color w:val="7F7F7F" w:themeColor="text1" w:themeTint="80"/>
                <w:sz w:val="22"/>
                <w:szCs w:val="22"/>
              </w:rPr>
              <w:t>‘vulnerabilities</w:t>
            </w:r>
            <w:r w:rsidRPr="00D433EC">
              <w:rPr>
                <w:color w:val="7F7F7F" w:themeColor="text1" w:themeTint="80"/>
                <w:sz w:val="22"/>
                <w:szCs w:val="22"/>
              </w:rPr>
              <w:t xml:space="preserve">. </w:t>
            </w:r>
            <w:r w:rsidR="00F30636">
              <w:rPr>
                <w:color w:val="7F7F7F" w:themeColor="text1" w:themeTint="80"/>
                <w:sz w:val="22"/>
                <w:szCs w:val="22"/>
              </w:rPr>
              <w:t>The proposed additional</w:t>
            </w:r>
            <w:r w:rsidR="00F30636" w:rsidRPr="00D433EC">
              <w:rPr>
                <w:color w:val="7F7F7F" w:themeColor="text1" w:themeTint="80"/>
                <w:sz w:val="22"/>
                <w:szCs w:val="22"/>
              </w:rPr>
              <w:t xml:space="preserve"> </w:t>
            </w:r>
            <w:r w:rsidRPr="00D433EC">
              <w:rPr>
                <w:color w:val="7F7F7F" w:themeColor="text1" w:themeTint="80"/>
                <w:sz w:val="22"/>
                <w:szCs w:val="22"/>
              </w:rPr>
              <w:t xml:space="preserve">disclosure towards the general public will only confuse the stakeholders. </w:t>
            </w:r>
            <w:r w:rsidRPr="00CF2245">
              <w:rPr>
                <w:color w:val="7F7F7F" w:themeColor="text1" w:themeTint="80"/>
                <w:sz w:val="22"/>
                <w:szCs w:val="22"/>
              </w:rPr>
              <w:t>As there is clearly only a liquidity based on the swap market due to the existence of CCP, it is inconsistent with the DLT assessment</w:t>
            </w:r>
            <w:r w:rsidRPr="00D433EC">
              <w:rPr>
                <w:color w:val="7F7F7F" w:themeColor="text1" w:themeTint="80"/>
                <w:sz w:val="22"/>
                <w:szCs w:val="22"/>
              </w:rPr>
              <w:t xml:space="preserve">. We do not understand how the market would benefit from this </w:t>
            </w:r>
            <w:r w:rsidR="00F30636">
              <w:rPr>
                <w:color w:val="7F7F7F" w:themeColor="text1" w:themeTint="80"/>
                <w:sz w:val="22"/>
                <w:szCs w:val="22"/>
              </w:rPr>
              <w:t xml:space="preserve">additional </w:t>
            </w:r>
            <w:r w:rsidRPr="00D433EC">
              <w:rPr>
                <w:color w:val="7F7F7F" w:themeColor="text1" w:themeTint="80"/>
                <w:sz w:val="22"/>
                <w:szCs w:val="22"/>
              </w:rPr>
              <w:t>information</w:t>
            </w:r>
            <w:r w:rsidR="00F30636">
              <w:rPr>
                <w:color w:val="7F7F7F" w:themeColor="text1" w:themeTint="80"/>
                <w:sz w:val="22"/>
                <w:szCs w:val="22"/>
              </w:rPr>
              <w:t>.</w:t>
            </w:r>
            <w:r w:rsidRPr="00D433EC">
              <w:rPr>
                <w:color w:val="7F7F7F" w:themeColor="text1" w:themeTint="80"/>
                <w:sz w:val="22"/>
                <w:szCs w:val="22"/>
              </w:rPr>
              <w:t xml:space="preserve"> We could agree to the disclosure of a </w:t>
            </w:r>
            <w:r w:rsidRPr="00D433EC">
              <w:rPr>
                <w:b/>
                <w:color w:val="7F7F7F" w:themeColor="text1" w:themeTint="80"/>
                <w:sz w:val="22"/>
                <w:szCs w:val="22"/>
              </w:rPr>
              <w:t xml:space="preserve">sensitivity of the LLP </w:t>
            </w:r>
            <w:r w:rsidRPr="00CE72D2">
              <w:rPr>
                <w:b/>
                <w:color w:val="7F7F7F" w:themeColor="text1" w:themeTint="80"/>
                <w:sz w:val="22"/>
                <w:szCs w:val="22"/>
              </w:rPr>
              <w:t xml:space="preserve">most nearby </w:t>
            </w:r>
            <w:r w:rsidRPr="00D433EC">
              <w:rPr>
                <w:b/>
                <w:color w:val="7F7F7F" w:themeColor="text1" w:themeTint="80"/>
                <w:sz w:val="22"/>
                <w:szCs w:val="22"/>
              </w:rPr>
              <w:t>with the current LLP</w:t>
            </w:r>
            <w:r w:rsidRPr="00D433EC">
              <w:rPr>
                <w:color w:val="7F7F7F" w:themeColor="text1" w:themeTint="80"/>
                <w:sz w:val="22"/>
                <w:szCs w:val="22"/>
              </w:rPr>
              <w:t xml:space="preserve">. Thus, if the LLP is 20 year, a disclosure of a 15 year and </w:t>
            </w:r>
            <w:r w:rsidR="00D51CF6" w:rsidRPr="00D433EC">
              <w:rPr>
                <w:color w:val="7F7F7F" w:themeColor="text1" w:themeTint="80"/>
                <w:sz w:val="22"/>
                <w:szCs w:val="22"/>
              </w:rPr>
              <w:t>30-year</w:t>
            </w:r>
            <w:r w:rsidR="00F30636">
              <w:rPr>
                <w:color w:val="7F7F7F" w:themeColor="text1" w:themeTint="80"/>
                <w:sz w:val="22"/>
                <w:szCs w:val="22"/>
              </w:rPr>
              <w:t xml:space="preserve"> LLP</w:t>
            </w:r>
            <w:r w:rsidRPr="00D433EC">
              <w:rPr>
                <w:color w:val="7F7F7F" w:themeColor="text1" w:themeTint="80"/>
                <w:sz w:val="22"/>
                <w:szCs w:val="22"/>
              </w:rPr>
              <w:t xml:space="preserve"> could be appropriate.</w:t>
            </w:r>
          </w:p>
          <w:bookmarkEnd w:id="7"/>
          <w:p w14:paraId="6F6E4B3F" w14:textId="4608514A" w:rsidR="00D46B4C" w:rsidRDefault="00D46B4C" w:rsidP="00020B14">
            <w:pPr>
              <w:tabs>
                <w:tab w:val="left" w:pos="0"/>
              </w:tabs>
              <w:rPr>
                <w:b/>
                <w:color w:val="7F7F7F" w:themeColor="text1" w:themeTint="80"/>
                <w:sz w:val="22"/>
                <w:szCs w:val="22"/>
                <w:lang w:val="en-US"/>
              </w:rPr>
            </w:pPr>
          </w:p>
          <w:p w14:paraId="11B7FDE6" w14:textId="7E36694E" w:rsidR="00194AAB" w:rsidRDefault="00194AAB" w:rsidP="00020B14">
            <w:pPr>
              <w:tabs>
                <w:tab w:val="left" w:pos="0"/>
              </w:tabs>
              <w:rPr>
                <w:rFonts w:ascii="Verdana" w:hAnsi="Verdana"/>
                <w:color w:val="7F7F7F" w:themeColor="text1" w:themeTint="80"/>
                <w:sz w:val="22"/>
                <w:szCs w:val="22"/>
                <w:lang w:val="en-US"/>
              </w:rPr>
            </w:pPr>
            <w:r w:rsidRPr="00440503">
              <w:rPr>
                <w:rFonts w:ascii="Verdana" w:hAnsi="Verdana"/>
                <w:color w:val="7F7F7F" w:themeColor="text1" w:themeTint="80"/>
                <w:sz w:val="22"/>
                <w:szCs w:val="22"/>
                <w:lang w:val="en-US"/>
              </w:rPr>
              <w:t xml:space="preserve">Based on the market data, the existence of various criteria and the reasoning </w:t>
            </w:r>
            <w:r>
              <w:rPr>
                <w:rFonts w:ascii="Verdana" w:hAnsi="Verdana"/>
                <w:color w:val="7F7F7F" w:themeColor="text1" w:themeTint="80"/>
                <w:sz w:val="22"/>
                <w:szCs w:val="22"/>
                <w:lang w:val="en-US"/>
              </w:rPr>
              <w:t xml:space="preserve">provided </w:t>
            </w:r>
            <w:r w:rsidRPr="00440503">
              <w:rPr>
                <w:rFonts w:ascii="Verdana" w:hAnsi="Verdana"/>
                <w:color w:val="7F7F7F" w:themeColor="text1" w:themeTint="80"/>
                <w:sz w:val="22"/>
                <w:szCs w:val="22"/>
                <w:lang w:val="en-US"/>
              </w:rPr>
              <w:t xml:space="preserve">above, we support </w:t>
            </w:r>
            <w:r w:rsidRPr="00194AAB">
              <w:rPr>
                <w:rFonts w:ascii="Verdana" w:hAnsi="Verdana"/>
                <w:b/>
                <w:bCs/>
                <w:color w:val="7F7F7F" w:themeColor="text1" w:themeTint="80"/>
                <w:sz w:val="22"/>
                <w:szCs w:val="22"/>
                <w:lang w:val="en-US"/>
              </w:rPr>
              <w:t>O</w:t>
            </w:r>
            <w:r w:rsidRPr="00440503">
              <w:rPr>
                <w:rFonts w:ascii="Verdana" w:hAnsi="Verdana"/>
                <w:b/>
                <w:bCs/>
                <w:color w:val="7F7F7F" w:themeColor="text1" w:themeTint="80"/>
                <w:sz w:val="22"/>
                <w:szCs w:val="22"/>
                <w:lang w:val="en-US"/>
              </w:rPr>
              <w:t>ption 1</w:t>
            </w:r>
            <w:r w:rsidRPr="00440503">
              <w:rPr>
                <w:rFonts w:ascii="Verdana" w:hAnsi="Verdana"/>
                <w:color w:val="7F7F7F" w:themeColor="text1" w:themeTint="80"/>
                <w:sz w:val="22"/>
                <w:szCs w:val="22"/>
                <w:lang w:val="en-US"/>
              </w:rPr>
              <w:t xml:space="preserve">. With respect to </w:t>
            </w:r>
            <w:r>
              <w:rPr>
                <w:rFonts w:ascii="Verdana" w:hAnsi="Verdana"/>
                <w:color w:val="7F7F7F" w:themeColor="text1" w:themeTint="80"/>
                <w:sz w:val="22"/>
                <w:szCs w:val="22"/>
                <w:lang w:val="en-US"/>
              </w:rPr>
              <w:t>O</w:t>
            </w:r>
            <w:r w:rsidRPr="00440503">
              <w:rPr>
                <w:rFonts w:ascii="Verdana" w:hAnsi="Verdana"/>
                <w:color w:val="7F7F7F" w:themeColor="text1" w:themeTint="80"/>
                <w:sz w:val="22"/>
                <w:szCs w:val="22"/>
                <w:lang w:val="en-US"/>
              </w:rPr>
              <w:t xml:space="preserve">ption 5, we are </w:t>
            </w:r>
            <w:r>
              <w:rPr>
                <w:rFonts w:ascii="Verdana" w:hAnsi="Verdana"/>
                <w:color w:val="7F7F7F" w:themeColor="text1" w:themeTint="80"/>
                <w:sz w:val="22"/>
                <w:szCs w:val="22"/>
                <w:lang w:val="en-US"/>
              </w:rPr>
              <w:t xml:space="preserve">of </w:t>
            </w:r>
            <w:r w:rsidRPr="00440503">
              <w:rPr>
                <w:rFonts w:ascii="Verdana" w:hAnsi="Verdana"/>
                <w:color w:val="7F7F7F" w:themeColor="text1" w:themeTint="80"/>
                <w:sz w:val="22"/>
                <w:szCs w:val="22"/>
                <w:lang w:val="en-US"/>
              </w:rPr>
              <w:t xml:space="preserve">the opinion that before taken this into consideration as a viable alternative, further research is needed with respect to </w:t>
            </w:r>
            <w:r w:rsidR="00D1789F">
              <w:rPr>
                <w:rFonts w:ascii="Verdana" w:hAnsi="Verdana"/>
                <w:color w:val="7F7F7F" w:themeColor="text1" w:themeTint="80"/>
                <w:sz w:val="22"/>
                <w:szCs w:val="22"/>
                <w:lang w:val="en-US"/>
              </w:rPr>
              <w:t xml:space="preserve">the </w:t>
            </w:r>
            <w:r w:rsidRPr="00440503">
              <w:rPr>
                <w:rFonts w:ascii="Verdana" w:hAnsi="Verdana"/>
                <w:color w:val="7F7F7F" w:themeColor="text1" w:themeTint="80"/>
                <w:sz w:val="22"/>
                <w:szCs w:val="22"/>
                <w:lang w:val="en-US"/>
              </w:rPr>
              <w:t xml:space="preserve">setting </w:t>
            </w:r>
            <w:r w:rsidR="00D1789F">
              <w:rPr>
                <w:rFonts w:ascii="Verdana" w:hAnsi="Verdana"/>
                <w:color w:val="7F7F7F" w:themeColor="text1" w:themeTint="80"/>
                <w:sz w:val="22"/>
                <w:szCs w:val="22"/>
                <w:lang w:val="en-US"/>
              </w:rPr>
              <w:t xml:space="preserve">of </w:t>
            </w:r>
            <w:r w:rsidRPr="00440503">
              <w:rPr>
                <w:rFonts w:ascii="Verdana" w:hAnsi="Verdana"/>
                <w:color w:val="7F7F7F" w:themeColor="text1" w:themeTint="80"/>
                <w:sz w:val="22"/>
                <w:szCs w:val="22"/>
                <w:lang w:val="en-US"/>
              </w:rPr>
              <w:t xml:space="preserve">the parameters. In any case, the variables should be related to the bond market and the negative impact </w:t>
            </w:r>
            <w:r w:rsidR="00D51682">
              <w:rPr>
                <w:rFonts w:ascii="Verdana" w:hAnsi="Verdana"/>
                <w:color w:val="7F7F7F" w:themeColor="text1" w:themeTint="80"/>
                <w:sz w:val="22"/>
                <w:szCs w:val="22"/>
                <w:lang w:val="en-US"/>
              </w:rPr>
              <w:t xml:space="preserve">that a change on the LLP can have </w:t>
            </w:r>
            <w:r w:rsidR="00D1789F">
              <w:rPr>
                <w:rFonts w:ascii="Verdana" w:hAnsi="Verdana"/>
                <w:color w:val="7F7F7F" w:themeColor="text1" w:themeTint="80"/>
                <w:sz w:val="22"/>
                <w:szCs w:val="22"/>
                <w:lang w:val="en-US"/>
              </w:rPr>
              <w:t xml:space="preserve">on the insurer’s solvency II ratio </w:t>
            </w:r>
            <w:r w:rsidRPr="00440503">
              <w:rPr>
                <w:rFonts w:ascii="Verdana" w:hAnsi="Verdana"/>
                <w:color w:val="7F7F7F" w:themeColor="text1" w:themeTint="80"/>
                <w:sz w:val="22"/>
                <w:szCs w:val="22"/>
                <w:lang w:val="en-US"/>
              </w:rPr>
              <w:t>should be compensated</w:t>
            </w:r>
            <w:r w:rsidR="00D1789F">
              <w:rPr>
                <w:rFonts w:ascii="Verdana" w:hAnsi="Verdana"/>
                <w:color w:val="7F7F7F" w:themeColor="text1" w:themeTint="80"/>
                <w:sz w:val="22"/>
                <w:szCs w:val="22"/>
                <w:lang w:val="en-US"/>
              </w:rPr>
              <w:t xml:space="preserve"> by improvements in other parts of the </w:t>
            </w:r>
            <w:r w:rsidR="00D51682">
              <w:rPr>
                <w:rFonts w:ascii="Verdana" w:hAnsi="Verdana"/>
                <w:color w:val="7F7F7F" w:themeColor="text1" w:themeTint="80"/>
                <w:sz w:val="22"/>
                <w:szCs w:val="22"/>
                <w:lang w:val="en-US"/>
              </w:rPr>
              <w:t xml:space="preserve">Solvency II </w:t>
            </w:r>
            <w:r w:rsidR="00D1789F">
              <w:rPr>
                <w:rFonts w:ascii="Verdana" w:hAnsi="Verdana"/>
                <w:color w:val="7F7F7F" w:themeColor="text1" w:themeTint="80"/>
                <w:sz w:val="22"/>
                <w:szCs w:val="22"/>
                <w:lang w:val="en-US"/>
              </w:rPr>
              <w:t>regime</w:t>
            </w:r>
            <w:r w:rsidRPr="00440503">
              <w:rPr>
                <w:rFonts w:ascii="Verdana" w:hAnsi="Verdana"/>
                <w:color w:val="7F7F7F" w:themeColor="text1" w:themeTint="80"/>
                <w:sz w:val="22"/>
                <w:szCs w:val="22"/>
                <w:lang w:val="en-US"/>
              </w:rPr>
              <w:t>.</w:t>
            </w:r>
          </w:p>
          <w:p w14:paraId="0AB4125B" w14:textId="77777777" w:rsidR="005703DE" w:rsidRPr="00D433EC" w:rsidRDefault="005703DE" w:rsidP="00020B14">
            <w:pPr>
              <w:tabs>
                <w:tab w:val="left" w:pos="0"/>
              </w:tabs>
              <w:rPr>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3930E4A8" w14:textId="77777777" w:rsidR="005703DE" w:rsidRPr="00C83C87" w:rsidRDefault="005703DE" w:rsidP="00020B14">
            <w:pPr>
              <w:tabs>
                <w:tab w:val="left" w:pos="0"/>
              </w:tabs>
              <w:rPr>
                <w:color w:val="000000"/>
                <w:lang w:val="en-GB" w:eastAsia="fr-FR"/>
              </w:rPr>
            </w:pPr>
          </w:p>
        </w:tc>
      </w:tr>
      <w:tr w:rsidR="005703DE" w:rsidRPr="00FD6486" w14:paraId="25A5EFD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tcPr>
          <w:p w14:paraId="63328F07" w14:textId="77777777" w:rsidR="005703DE" w:rsidRPr="005D3BCE" w:rsidRDefault="005703DE" w:rsidP="00020B14">
            <w:pPr>
              <w:tabs>
                <w:tab w:val="left" w:pos="0"/>
              </w:tabs>
              <w:rPr>
                <w:rFonts w:ascii="Verdana" w:hAnsi="Verdana"/>
                <w:b/>
                <w:bCs/>
                <w:color w:val="7F7F7F" w:themeColor="text1" w:themeTint="80"/>
                <w:sz w:val="22"/>
                <w:szCs w:val="22"/>
                <w:lang w:val="en-GB" w:eastAsia="fr-FR"/>
              </w:rPr>
            </w:pPr>
            <w:r w:rsidRPr="005D3BCE">
              <w:rPr>
                <w:rFonts w:ascii="Verdana" w:hAnsi="Verdana"/>
                <w:b/>
                <w:bCs/>
                <w:color w:val="7F7F7F" w:themeColor="text1" w:themeTint="80"/>
                <w:sz w:val="22"/>
                <w:szCs w:val="22"/>
                <w:lang w:val="en-GB" w:eastAsia="fr-FR"/>
              </w:rPr>
              <w:lastRenderedPageBreak/>
              <w:t>2.4 Volatility Adjustment</w:t>
            </w:r>
          </w:p>
        </w:tc>
      </w:tr>
      <w:tr w:rsidR="00FC5744" w:rsidRPr="001360A5" w14:paraId="16D9E0A6"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47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0BD8197" w14:textId="53FCF8E9" w:rsidR="005703DE" w:rsidRPr="00FE3045" w:rsidRDefault="005703DE" w:rsidP="00020B14">
            <w:pPr>
              <w:tabs>
                <w:tab w:val="left" w:pos="0"/>
              </w:tabs>
              <w:ind w:left="-96"/>
              <w:rPr>
                <w:rFonts w:ascii="Verdana" w:hAnsi="Verdana"/>
                <w:color w:val="000000"/>
                <w:sz w:val="22"/>
                <w:szCs w:val="22"/>
                <w:lang w:val="en-GB" w:eastAsia="fr-FR"/>
              </w:rPr>
            </w:pPr>
            <w:r w:rsidRPr="00E107F2">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31217930" w14:textId="3B5199F5" w:rsidR="005703DE" w:rsidRPr="00FE3045" w:rsidRDefault="005703DE" w:rsidP="00020B14">
            <w:pPr>
              <w:tabs>
                <w:tab w:val="left" w:pos="0"/>
              </w:tabs>
              <w:rPr>
                <w:rFonts w:ascii="Verdana" w:hAnsi="Verdana"/>
                <w:color w:val="000000"/>
                <w:sz w:val="22"/>
                <w:szCs w:val="22"/>
                <w:lang w:val="en-GB" w:eastAsia="fr-FR"/>
              </w:rPr>
            </w:pPr>
            <w:r w:rsidRPr="00723EE1">
              <w:rPr>
                <w:rFonts w:ascii="Verdana" w:hAnsi="Verdana"/>
                <w:color w:val="7F7F7F" w:themeColor="text1" w:themeTint="80"/>
                <w:sz w:val="22"/>
                <w:szCs w:val="22"/>
                <w:lang w:val="en-GB" w:eastAsia="fr-FR"/>
              </w:rPr>
              <w:t>202</w:t>
            </w:r>
          </w:p>
        </w:tc>
        <w:tc>
          <w:tcPr>
            <w:tcW w:w="1999" w:type="pct"/>
            <w:tcBorders>
              <w:top w:val="single" w:sz="4" w:space="0" w:color="auto"/>
              <w:left w:val="single" w:sz="4" w:space="0" w:color="auto"/>
              <w:bottom w:val="single" w:sz="4" w:space="0" w:color="auto"/>
              <w:right w:val="single" w:sz="4" w:space="0" w:color="auto"/>
            </w:tcBorders>
          </w:tcPr>
          <w:p w14:paraId="2DF1E7F1" w14:textId="37A7EA31" w:rsidR="005703DE" w:rsidRPr="00D433EC" w:rsidRDefault="005703DE" w:rsidP="00020B14">
            <w:pPr>
              <w:tabs>
                <w:tab w:val="left" w:pos="0"/>
              </w:tabs>
              <w:rPr>
                <w:rFonts w:ascii="Verdana" w:eastAsia="Verdana" w:hAnsi="Verdana" w:cs="Verdana"/>
                <w:i/>
                <w:iCs/>
                <w:color w:val="7F7F7F" w:themeColor="text1" w:themeTint="80"/>
                <w:sz w:val="22"/>
                <w:szCs w:val="22"/>
                <w:lang w:val="en-US"/>
              </w:rPr>
            </w:pPr>
            <w:r w:rsidRPr="00D433EC">
              <w:rPr>
                <w:rFonts w:ascii="Verdana" w:eastAsia="Verdana" w:hAnsi="Verdana" w:cs="Verdana"/>
                <w:color w:val="7F7F7F" w:themeColor="text1" w:themeTint="80"/>
                <w:sz w:val="22"/>
                <w:szCs w:val="22"/>
                <w:lang w:val="en-US"/>
              </w:rPr>
              <w:t xml:space="preserve">EIOPA carried out </w:t>
            </w:r>
            <w:r w:rsidR="001F51EC">
              <w:rPr>
                <w:rFonts w:ascii="Verdana" w:eastAsia="Verdana" w:hAnsi="Verdana" w:cs="Verdana"/>
                <w:color w:val="7F7F7F" w:themeColor="text1" w:themeTint="80"/>
                <w:sz w:val="22"/>
                <w:szCs w:val="22"/>
                <w:lang w:val="en-US"/>
              </w:rPr>
              <w:t xml:space="preserve">in 2013 </w:t>
            </w:r>
            <w:r w:rsidRPr="00D433EC">
              <w:rPr>
                <w:rFonts w:ascii="Verdana" w:eastAsia="Verdana" w:hAnsi="Verdana" w:cs="Verdana"/>
                <w:color w:val="7F7F7F" w:themeColor="text1" w:themeTint="80"/>
                <w:sz w:val="22"/>
                <w:szCs w:val="22"/>
                <w:lang w:val="en-US"/>
              </w:rPr>
              <w:t>an assessment of long-term guarantees measures for the European Parliament, the European Council and the European Commission</w:t>
            </w:r>
            <w:r w:rsidRPr="00D433EC">
              <w:rPr>
                <w:rFonts w:ascii="Verdana" w:eastAsia="Verdana" w:hAnsi="Verdana" w:cs="Verdana"/>
                <w:i/>
                <w:iCs/>
                <w:color w:val="7F7F7F" w:themeColor="text1" w:themeTint="80"/>
                <w:sz w:val="22"/>
                <w:szCs w:val="22"/>
                <w:lang w:val="en-US"/>
              </w:rPr>
              <w:t xml:space="preserve">. </w:t>
            </w:r>
            <w:r w:rsidRPr="001F51EC">
              <w:rPr>
                <w:rFonts w:ascii="Verdana" w:eastAsia="Verdana" w:hAnsi="Verdana" w:cs="Verdana"/>
                <w:color w:val="7F7F7F" w:themeColor="text1" w:themeTint="80"/>
                <w:sz w:val="22"/>
                <w:szCs w:val="22"/>
                <w:lang w:val="en-US"/>
              </w:rPr>
              <w:t xml:space="preserve">EIOPA suggested the introduction of </w:t>
            </w:r>
            <w:r w:rsidR="001F51EC" w:rsidRPr="001F51EC">
              <w:rPr>
                <w:rFonts w:ascii="Verdana" w:eastAsia="Verdana" w:hAnsi="Verdana" w:cs="Verdana"/>
                <w:color w:val="7F7F7F" w:themeColor="text1" w:themeTint="80"/>
                <w:sz w:val="22"/>
                <w:szCs w:val="22"/>
                <w:lang w:val="en-US"/>
              </w:rPr>
              <w:t>the so-called</w:t>
            </w:r>
            <w:r w:rsidRPr="001F51EC">
              <w:rPr>
                <w:rFonts w:ascii="Verdana" w:eastAsia="Verdana" w:hAnsi="Verdana" w:cs="Verdana"/>
                <w:color w:val="7F7F7F" w:themeColor="text1" w:themeTint="80"/>
                <w:sz w:val="22"/>
                <w:szCs w:val="22"/>
                <w:lang w:val="en-US"/>
              </w:rPr>
              <w:t xml:space="preserve"> volatility balancer. The volatility balancer </w:t>
            </w:r>
            <w:r w:rsidR="001F51EC">
              <w:rPr>
                <w:rFonts w:ascii="Verdana" w:eastAsia="Verdana" w:hAnsi="Verdana" w:cs="Verdana"/>
                <w:color w:val="7F7F7F" w:themeColor="text1" w:themeTint="80"/>
                <w:sz w:val="22"/>
                <w:szCs w:val="22"/>
                <w:lang w:val="en-US"/>
              </w:rPr>
              <w:t>was defined as</w:t>
            </w:r>
            <w:r w:rsidRPr="001F51EC">
              <w:rPr>
                <w:rFonts w:ascii="Verdana" w:eastAsia="Verdana" w:hAnsi="Verdana" w:cs="Verdana"/>
                <w:color w:val="7F7F7F" w:themeColor="text1" w:themeTint="80"/>
                <w:sz w:val="22"/>
                <w:szCs w:val="22"/>
                <w:lang w:val="en-US"/>
              </w:rPr>
              <w:t xml:space="preserve"> a permanent and predictable adjustment to </w:t>
            </w:r>
            <w:r w:rsidR="001F51EC">
              <w:rPr>
                <w:rFonts w:ascii="Verdana" w:eastAsia="Verdana" w:hAnsi="Verdana" w:cs="Verdana"/>
                <w:color w:val="7F7F7F" w:themeColor="text1" w:themeTint="80"/>
                <w:sz w:val="22"/>
                <w:szCs w:val="22"/>
                <w:lang w:val="en-US"/>
              </w:rPr>
              <w:t xml:space="preserve">the </w:t>
            </w:r>
            <w:r w:rsidRPr="001F51EC">
              <w:rPr>
                <w:rFonts w:ascii="Verdana" w:eastAsia="Verdana" w:hAnsi="Verdana" w:cs="Verdana"/>
                <w:color w:val="7F7F7F" w:themeColor="text1" w:themeTint="80"/>
                <w:sz w:val="22"/>
                <w:szCs w:val="22"/>
                <w:lang w:val="en-US"/>
              </w:rPr>
              <w:t>risk-free interest rates with the objective to deal with unintended consequences of volatility</w:t>
            </w:r>
            <w:r w:rsidRPr="00D433EC">
              <w:rPr>
                <w:rFonts w:ascii="Verdana" w:eastAsia="Verdana" w:hAnsi="Verdana" w:cs="Verdana"/>
                <w:i/>
                <w:iCs/>
                <w:color w:val="7F7F7F" w:themeColor="text1" w:themeTint="80"/>
                <w:sz w:val="22"/>
                <w:szCs w:val="22"/>
                <w:lang w:val="en-US"/>
              </w:rPr>
              <w:t>.</w:t>
            </w:r>
          </w:p>
          <w:p w14:paraId="442E4652" w14:textId="77777777" w:rsidR="005703DE" w:rsidRPr="00D433EC" w:rsidRDefault="005703DE" w:rsidP="00020B14">
            <w:pPr>
              <w:tabs>
                <w:tab w:val="left" w:pos="0"/>
              </w:tabs>
              <w:rPr>
                <w:rFonts w:ascii="Verdana" w:eastAsia="Verdana" w:hAnsi="Verdana" w:cs="Verdana"/>
                <w:i/>
                <w:iCs/>
                <w:color w:val="7F7F7F" w:themeColor="text1" w:themeTint="80"/>
                <w:sz w:val="22"/>
                <w:szCs w:val="22"/>
                <w:lang w:val="en-US"/>
              </w:rPr>
            </w:pPr>
          </w:p>
          <w:p w14:paraId="1EA08D2B" w14:textId="30CD1297" w:rsidR="005703DE" w:rsidRPr="00D433EC" w:rsidRDefault="005703DE" w:rsidP="00020B14">
            <w:pPr>
              <w:tabs>
                <w:tab w:val="left" w:pos="0"/>
              </w:tabs>
              <w:rPr>
                <w:rFonts w:ascii="Verdana" w:hAnsi="Verdana"/>
                <w:color w:val="7F7F7F" w:themeColor="text1" w:themeTint="80"/>
                <w:sz w:val="22"/>
                <w:szCs w:val="22"/>
                <w:lang w:val="en-US" w:eastAsia="fr-FR"/>
              </w:rPr>
            </w:pPr>
            <w:r w:rsidRPr="00D433EC">
              <w:rPr>
                <w:rFonts w:ascii="Verdana" w:hAnsi="Verdana"/>
                <w:color w:val="7F7F7F" w:themeColor="text1" w:themeTint="80"/>
                <w:sz w:val="22"/>
                <w:szCs w:val="22"/>
                <w:lang w:val="en-US" w:eastAsia="fr-FR"/>
              </w:rPr>
              <w:t xml:space="preserve">EIOPA only refers to its advice as submitted to the European Commission. </w:t>
            </w:r>
            <w:r w:rsidR="00D51CF6" w:rsidRPr="00D433EC">
              <w:rPr>
                <w:rFonts w:ascii="Verdana" w:hAnsi="Verdana"/>
                <w:color w:val="7F7F7F" w:themeColor="text1" w:themeTint="80"/>
                <w:sz w:val="22"/>
                <w:szCs w:val="22"/>
                <w:lang w:val="en-US" w:eastAsia="fr-FR"/>
              </w:rPr>
              <w:t>However,</w:t>
            </w:r>
            <w:r w:rsidRPr="00D433EC">
              <w:rPr>
                <w:rFonts w:ascii="Verdana" w:hAnsi="Verdana"/>
                <w:color w:val="7F7F7F" w:themeColor="text1" w:themeTint="80"/>
                <w:sz w:val="22"/>
                <w:szCs w:val="22"/>
                <w:lang w:val="en-US" w:eastAsia="fr-FR"/>
              </w:rPr>
              <w:t xml:space="preserve"> in order to provide a complete picture and a balanced view on the issue, the comments received from the stakeholders prior to the submission of the final advice</w:t>
            </w:r>
            <w:r w:rsidR="00D433EC" w:rsidRPr="00D433EC">
              <w:rPr>
                <w:rFonts w:ascii="Verdana" w:hAnsi="Verdana"/>
                <w:color w:val="7F7F7F" w:themeColor="text1" w:themeTint="80"/>
                <w:sz w:val="22"/>
                <w:szCs w:val="22"/>
                <w:lang w:val="en-US" w:eastAsia="fr-FR"/>
              </w:rPr>
              <w:t xml:space="preserve"> should be integrated in the paper</w:t>
            </w:r>
            <w:r w:rsidRPr="00D433EC">
              <w:rPr>
                <w:rFonts w:ascii="Verdana" w:hAnsi="Verdana"/>
                <w:color w:val="7F7F7F" w:themeColor="text1" w:themeTint="80"/>
                <w:sz w:val="22"/>
                <w:szCs w:val="22"/>
                <w:lang w:val="en-US" w:eastAsia="fr-FR"/>
              </w:rPr>
              <w:t>.</w:t>
            </w:r>
          </w:p>
          <w:p w14:paraId="6C32FFAD" w14:textId="1F947D88" w:rsidR="005703DE" w:rsidRPr="00D433EC" w:rsidRDefault="005703DE" w:rsidP="00020B14">
            <w:pPr>
              <w:tabs>
                <w:tab w:val="left" w:pos="0"/>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7B87767F" w14:textId="77777777" w:rsidR="005703DE" w:rsidRPr="00FE3045" w:rsidRDefault="005703DE" w:rsidP="00020B14">
            <w:pPr>
              <w:tabs>
                <w:tab w:val="left" w:pos="0"/>
              </w:tabs>
              <w:rPr>
                <w:color w:val="000000"/>
                <w:sz w:val="22"/>
                <w:szCs w:val="22"/>
                <w:lang w:val="en-GB" w:eastAsia="fr-FR"/>
              </w:rPr>
            </w:pPr>
          </w:p>
        </w:tc>
      </w:tr>
      <w:tr w:rsidR="00FC5744" w:rsidRPr="001360A5" w14:paraId="3146561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37A6C38" w14:textId="091A60B7" w:rsidR="005703DE" w:rsidRPr="00D433EC" w:rsidRDefault="005703DE" w:rsidP="00020B14">
            <w:pPr>
              <w:tabs>
                <w:tab w:val="left" w:pos="0"/>
              </w:tabs>
              <w:ind w:left="-96"/>
              <w:rPr>
                <w:rFonts w:ascii="Verdana" w:hAnsi="Verdana"/>
                <w:color w:val="7F7F7F" w:themeColor="text1" w:themeTint="80"/>
                <w:sz w:val="22"/>
                <w:szCs w:val="22"/>
                <w:lang w:val="en-GB" w:eastAsia="fr-FR"/>
              </w:rPr>
            </w:pPr>
            <w:r w:rsidRPr="00D433EC">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7A967FF3" w14:textId="275B8B51" w:rsidR="005703DE" w:rsidRPr="00D433EC" w:rsidRDefault="005703DE" w:rsidP="00020B14">
            <w:pPr>
              <w:tabs>
                <w:tab w:val="left" w:pos="0"/>
              </w:tabs>
              <w:rPr>
                <w:rFonts w:ascii="Verdana" w:hAnsi="Verdana"/>
                <w:color w:val="7F7F7F" w:themeColor="text1" w:themeTint="80"/>
                <w:sz w:val="22"/>
                <w:szCs w:val="22"/>
                <w:lang w:val="en-GB" w:eastAsia="fr-FR"/>
              </w:rPr>
            </w:pPr>
            <w:r w:rsidRPr="00D433EC">
              <w:rPr>
                <w:rFonts w:ascii="Verdana" w:hAnsi="Verdana"/>
                <w:color w:val="7F7F7F" w:themeColor="text1" w:themeTint="80"/>
                <w:sz w:val="22"/>
                <w:szCs w:val="22"/>
                <w:lang w:val="en-GB" w:eastAsia="fr-FR"/>
              </w:rPr>
              <w:t>202</w:t>
            </w:r>
          </w:p>
        </w:tc>
        <w:tc>
          <w:tcPr>
            <w:tcW w:w="1999" w:type="pct"/>
            <w:tcBorders>
              <w:top w:val="single" w:sz="4" w:space="0" w:color="auto"/>
              <w:left w:val="single" w:sz="4" w:space="0" w:color="auto"/>
              <w:bottom w:val="single" w:sz="4" w:space="0" w:color="auto"/>
              <w:right w:val="single" w:sz="4" w:space="0" w:color="auto"/>
            </w:tcBorders>
          </w:tcPr>
          <w:p w14:paraId="7AB784C9" w14:textId="6CB22E26" w:rsidR="005703DE" w:rsidRPr="00FE3045" w:rsidRDefault="005703DE" w:rsidP="00020B14">
            <w:pPr>
              <w:tabs>
                <w:tab w:val="left" w:pos="0"/>
              </w:tabs>
              <w:rPr>
                <w:rFonts w:ascii="Verdana" w:hAnsi="Verdana"/>
                <w:color w:val="000000"/>
                <w:sz w:val="22"/>
                <w:szCs w:val="22"/>
                <w:lang w:val="en-GB" w:eastAsia="fr-FR"/>
              </w:rPr>
            </w:pPr>
            <w:r w:rsidRPr="00D433EC">
              <w:rPr>
                <w:rFonts w:ascii="Verdana" w:hAnsi="Verdana"/>
                <w:color w:val="7F7F7F" w:themeColor="text1" w:themeTint="80"/>
                <w:sz w:val="22"/>
                <w:szCs w:val="22"/>
                <w:lang w:val="en-GB" w:eastAsia="fr-FR"/>
              </w:rPr>
              <w:t>The bullet point stating that "</w:t>
            </w:r>
            <w:r w:rsidR="00D433EC" w:rsidRPr="00D433EC">
              <w:rPr>
                <w:rFonts w:ascii="Verdana" w:hAnsi="Verdana"/>
                <w:i/>
                <w:iCs/>
                <w:color w:val="7F7F7F" w:themeColor="text1" w:themeTint="80"/>
                <w:sz w:val="22"/>
                <w:szCs w:val="22"/>
                <w:lang w:val="en-GB" w:eastAsia="fr-FR"/>
              </w:rPr>
              <w:t>t</w:t>
            </w:r>
            <w:r w:rsidRPr="00D433EC">
              <w:rPr>
                <w:rFonts w:ascii="Verdana" w:hAnsi="Verdana"/>
                <w:i/>
                <w:iCs/>
                <w:color w:val="7F7F7F" w:themeColor="text1" w:themeTint="80"/>
                <w:sz w:val="22"/>
                <w:szCs w:val="22"/>
                <w:lang w:val="en-GB" w:eastAsia="fr-FR"/>
              </w:rPr>
              <w:t>he calculated spread (already excluding the portion linked to default risk) is adjusted to account for risk associated with the implementation of the adjustment by means of an application factor of 20%</w:t>
            </w:r>
            <w:r w:rsidRPr="00D433EC">
              <w:rPr>
                <w:rFonts w:ascii="Verdana" w:hAnsi="Verdana"/>
                <w:color w:val="7F7F7F" w:themeColor="text1" w:themeTint="80"/>
                <w:sz w:val="22"/>
                <w:szCs w:val="22"/>
                <w:lang w:val="en-GB" w:eastAsia="fr-FR"/>
              </w:rPr>
              <w:t>" suggests that the 20% could be removed after the implementation of the measure.</w:t>
            </w:r>
          </w:p>
        </w:tc>
        <w:tc>
          <w:tcPr>
            <w:tcW w:w="483" w:type="pct"/>
            <w:tcBorders>
              <w:top w:val="single" w:sz="4" w:space="0" w:color="auto"/>
              <w:left w:val="single" w:sz="4" w:space="0" w:color="auto"/>
              <w:bottom w:val="single" w:sz="4" w:space="0" w:color="auto"/>
              <w:right w:val="single" w:sz="4" w:space="0" w:color="auto"/>
            </w:tcBorders>
          </w:tcPr>
          <w:p w14:paraId="6D6E086E" w14:textId="454AB897" w:rsidR="005703DE" w:rsidRPr="00D433EC" w:rsidRDefault="005703DE" w:rsidP="00020B14">
            <w:pPr>
              <w:tabs>
                <w:tab w:val="left" w:pos="0"/>
              </w:tabs>
              <w:rPr>
                <w:rFonts w:ascii="Verdana" w:hAnsi="Verdana"/>
                <w:color w:val="000000"/>
                <w:sz w:val="22"/>
                <w:szCs w:val="22"/>
                <w:lang w:val="en-GB" w:eastAsia="fr-FR"/>
              </w:rPr>
            </w:pPr>
          </w:p>
        </w:tc>
      </w:tr>
      <w:tr w:rsidR="00FC5744" w:rsidRPr="001360A5" w14:paraId="5987AF58"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658D834" w14:textId="6EB2499E" w:rsidR="005703DE" w:rsidRPr="00D433EC" w:rsidRDefault="005703DE" w:rsidP="00020B14">
            <w:pPr>
              <w:tabs>
                <w:tab w:val="left" w:pos="0"/>
              </w:tabs>
              <w:ind w:left="-96"/>
              <w:rPr>
                <w:rFonts w:ascii="Verdana" w:hAnsi="Verdana"/>
                <w:color w:val="7F7F7F" w:themeColor="text1" w:themeTint="80"/>
                <w:sz w:val="22"/>
                <w:szCs w:val="22"/>
                <w:lang w:val="en-GB" w:eastAsia="fr-FR"/>
              </w:rPr>
            </w:pPr>
            <w:r w:rsidRPr="00D433EC">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096B098D" w14:textId="265B3300" w:rsidR="005703DE" w:rsidRPr="00D433EC" w:rsidRDefault="005703DE" w:rsidP="00020B14">
            <w:pPr>
              <w:tabs>
                <w:tab w:val="left" w:pos="0"/>
              </w:tabs>
              <w:rPr>
                <w:rFonts w:ascii="Verdana" w:hAnsi="Verdana"/>
                <w:color w:val="7F7F7F" w:themeColor="text1" w:themeTint="80"/>
                <w:sz w:val="22"/>
                <w:szCs w:val="22"/>
                <w:lang w:val="en-GB" w:eastAsia="fr-FR"/>
              </w:rPr>
            </w:pPr>
            <w:r w:rsidRPr="00D433EC">
              <w:rPr>
                <w:rFonts w:ascii="Verdana" w:hAnsi="Verdana"/>
                <w:color w:val="7F7F7F" w:themeColor="text1" w:themeTint="80"/>
                <w:sz w:val="22"/>
                <w:szCs w:val="22"/>
                <w:lang w:val="en-GB" w:eastAsia="fr-FR"/>
              </w:rPr>
              <w:t>203</w:t>
            </w:r>
          </w:p>
        </w:tc>
        <w:tc>
          <w:tcPr>
            <w:tcW w:w="1999" w:type="pct"/>
            <w:tcBorders>
              <w:top w:val="single" w:sz="4" w:space="0" w:color="auto"/>
              <w:left w:val="single" w:sz="4" w:space="0" w:color="auto"/>
              <w:bottom w:val="single" w:sz="4" w:space="0" w:color="auto"/>
              <w:right w:val="single" w:sz="4" w:space="0" w:color="auto"/>
            </w:tcBorders>
          </w:tcPr>
          <w:p w14:paraId="7016349D" w14:textId="77777777" w:rsidR="005703DE" w:rsidRPr="00001686" w:rsidRDefault="005703DE" w:rsidP="00020B14">
            <w:pPr>
              <w:tabs>
                <w:tab w:val="left" w:pos="0"/>
              </w:tabs>
              <w:rPr>
                <w:color w:val="7F7F7F" w:themeColor="text1" w:themeTint="80"/>
                <w:sz w:val="22"/>
                <w:szCs w:val="22"/>
                <w:lang w:val="en-US"/>
              </w:rPr>
            </w:pPr>
            <w:r w:rsidRPr="00001686">
              <w:rPr>
                <w:rFonts w:ascii="Verdana" w:eastAsia="Verdana" w:hAnsi="Verdana" w:cs="Verdana"/>
                <w:b/>
                <w:bCs/>
                <w:color w:val="7F7F7F" w:themeColor="text1" w:themeTint="80"/>
                <w:sz w:val="22"/>
                <w:szCs w:val="22"/>
                <w:lang w:val="en-US"/>
              </w:rPr>
              <w:t>2.4.3. Relevant legal provisions</w:t>
            </w:r>
          </w:p>
          <w:p w14:paraId="11DF3B73" w14:textId="48ACEF64" w:rsidR="005703DE" w:rsidRPr="00001686" w:rsidRDefault="005703DE" w:rsidP="00020B14">
            <w:pPr>
              <w:tabs>
                <w:tab w:val="left" w:pos="0"/>
              </w:tabs>
              <w:ind w:right="20"/>
              <w:rPr>
                <w:color w:val="7F7F7F" w:themeColor="text1" w:themeTint="80"/>
                <w:sz w:val="22"/>
                <w:szCs w:val="22"/>
                <w:lang w:val="en-US"/>
              </w:rPr>
            </w:pPr>
            <w:r w:rsidRPr="00001686">
              <w:rPr>
                <w:rFonts w:ascii="Verdana" w:eastAsia="Verdana" w:hAnsi="Verdana" w:cs="Verdana"/>
                <w:color w:val="7F7F7F" w:themeColor="text1" w:themeTint="80"/>
                <w:sz w:val="22"/>
                <w:szCs w:val="22"/>
                <w:lang w:val="en-US"/>
              </w:rPr>
              <w:t xml:space="preserve">EIOPA indicates that the VA is motivated in </w:t>
            </w:r>
            <w:r w:rsidR="008A6FC6">
              <w:rPr>
                <w:rFonts w:ascii="Verdana" w:eastAsia="Verdana" w:hAnsi="Verdana" w:cs="Verdana"/>
                <w:color w:val="7F7F7F" w:themeColor="text1" w:themeTint="80"/>
                <w:sz w:val="22"/>
                <w:szCs w:val="22"/>
                <w:lang w:val="en-US"/>
              </w:rPr>
              <w:t>R</w:t>
            </w:r>
            <w:r w:rsidRPr="00001686">
              <w:rPr>
                <w:rFonts w:ascii="Verdana" w:eastAsia="Verdana" w:hAnsi="Verdana" w:cs="Verdana"/>
                <w:color w:val="7F7F7F" w:themeColor="text1" w:themeTint="80"/>
                <w:sz w:val="22"/>
                <w:szCs w:val="22"/>
                <w:lang w:val="en-US"/>
              </w:rPr>
              <w:t>ecital 32 of the Omnibus II Directive and specified in Article 77d of the Solvency II Directive. The calculation of the VA is further detailed in Articles 49 to 51 of the Delegated Regulation.</w:t>
            </w:r>
          </w:p>
          <w:p w14:paraId="4AC170A5" w14:textId="239BE2AA" w:rsidR="005703DE" w:rsidRPr="00001686" w:rsidRDefault="005703DE" w:rsidP="00020B14">
            <w:pPr>
              <w:tabs>
                <w:tab w:val="left" w:pos="0"/>
              </w:tabs>
              <w:spacing w:before="120" w:after="120"/>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 xml:space="preserve">EIOPA refers to the Omnibus II </w:t>
            </w:r>
            <w:r w:rsidR="00681E7F" w:rsidRPr="00001686">
              <w:rPr>
                <w:rFonts w:ascii="Verdana" w:hAnsi="Verdana"/>
                <w:color w:val="7F7F7F" w:themeColor="text1" w:themeTint="80"/>
                <w:sz w:val="22"/>
                <w:szCs w:val="22"/>
                <w:lang w:val="en-GB" w:eastAsia="fr-FR"/>
              </w:rPr>
              <w:t>D</w:t>
            </w:r>
            <w:r w:rsidRPr="00001686">
              <w:rPr>
                <w:rFonts w:ascii="Verdana" w:hAnsi="Verdana"/>
                <w:color w:val="7F7F7F" w:themeColor="text1" w:themeTint="80"/>
                <w:sz w:val="22"/>
                <w:szCs w:val="22"/>
                <w:lang w:val="en-GB" w:eastAsia="fr-FR"/>
              </w:rPr>
              <w:t>irective. Recital 32 reads as follows "</w:t>
            </w:r>
            <w:r w:rsidRPr="00001686">
              <w:rPr>
                <w:rFonts w:ascii="Verdana" w:hAnsi="Verdana"/>
                <w:i/>
                <w:iCs/>
                <w:color w:val="7F7F7F" w:themeColor="text1" w:themeTint="80"/>
                <w:sz w:val="22"/>
                <w:szCs w:val="22"/>
                <w:lang w:val="en-GB" w:eastAsia="fr-FR"/>
              </w:rPr>
              <w:t>In order to prevent pro-cyclical investment behaviour, insurance and reinsurance undertakings should be allowed to adjust the relevant risk-free interest rate term structure for the calculation of the best estimate of technical provisions to mitigate the effect of exaggerations of bond spreads</w:t>
            </w:r>
            <w:r w:rsidRPr="00001686">
              <w:rPr>
                <w:rFonts w:ascii="Verdana" w:hAnsi="Verdana"/>
                <w:color w:val="7F7F7F" w:themeColor="text1" w:themeTint="80"/>
                <w:sz w:val="22"/>
                <w:szCs w:val="22"/>
                <w:lang w:val="en-GB" w:eastAsia="fr-FR"/>
              </w:rPr>
              <w:t xml:space="preserve">." </w:t>
            </w:r>
          </w:p>
          <w:p w14:paraId="6A5A24B6" w14:textId="1191B857" w:rsidR="005703DE" w:rsidRPr="00001686" w:rsidRDefault="005703DE" w:rsidP="00020B14">
            <w:pPr>
              <w:tabs>
                <w:tab w:val="left" w:pos="0"/>
              </w:tabs>
              <w:spacing w:after="120"/>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EIOPA</w:t>
            </w:r>
            <w:r w:rsidR="009F0CE1">
              <w:rPr>
                <w:rFonts w:ascii="Verdana" w:hAnsi="Verdana"/>
                <w:color w:val="7F7F7F" w:themeColor="text1" w:themeTint="80"/>
                <w:sz w:val="22"/>
                <w:szCs w:val="22"/>
                <w:lang w:val="en-GB" w:eastAsia="fr-FR"/>
              </w:rPr>
              <w:t>´s proposals may</w:t>
            </w:r>
            <w:r w:rsidRPr="00001686">
              <w:rPr>
                <w:rFonts w:ascii="Verdana" w:hAnsi="Verdana"/>
                <w:color w:val="7F7F7F" w:themeColor="text1" w:themeTint="80"/>
                <w:sz w:val="22"/>
                <w:szCs w:val="22"/>
                <w:lang w:val="en-GB" w:eastAsia="fr-FR"/>
              </w:rPr>
              <w:t xml:space="preserve"> lead to a more procyclical nature</w:t>
            </w:r>
            <w:r w:rsidR="00D8794F" w:rsidRPr="00001686">
              <w:rPr>
                <w:rFonts w:ascii="Verdana" w:hAnsi="Verdana"/>
                <w:color w:val="7F7F7F" w:themeColor="text1" w:themeTint="80"/>
                <w:sz w:val="22"/>
                <w:szCs w:val="22"/>
                <w:lang w:val="en-GB" w:eastAsia="fr-FR"/>
              </w:rPr>
              <w:t xml:space="preserve"> of the VA</w:t>
            </w:r>
            <w:r w:rsidRPr="00001686">
              <w:rPr>
                <w:rFonts w:ascii="Verdana" w:hAnsi="Verdana"/>
                <w:color w:val="7F7F7F" w:themeColor="text1" w:themeTint="80"/>
                <w:sz w:val="22"/>
                <w:szCs w:val="22"/>
                <w:lang w:val="en-GB" w:eastAsia="fr-FR"/>
              </w:rPr>
              <w:t xml:space="preserve">. Furthermore, the </w:t>
            </w:r>
            <w:r w:rsidR="008A6FC6">
              <w:rPr>
                <w:rFonts w:ascii="Verdana" w:hAnsi="Verdana"/>
                <w:color w:val="7F7F7F" w:themeColor="text1" w:themeTint="80"/>
                <w:sz w:val="22"/>
                <w:szCs w:val="22"/>
                <w:lang w:val="en-GB" w:eastAsia="fr-FR"/>
              </w:rPr>
              <w:t>R</w:t>
            </w:r>
            <w:r w:rsidRPr="00001686">
              <w:rPr>
                <w:rFonts w:ascii="Verdana" w:hAnsi="Verdana"/>
                <w:color w:val="7F7F7F" w:themeColor="text1" w:themeTint="80"/>
                <w:sz w:val="22"/>
                <w:szCs w:val="22"/>
                <w:lang w:val="en-GB" w:eastAsia="fr-FR"/>
              </w:rPr>
              <w:t xml:space="preserve">ecital </w:t>
            </w:r>
            <w:r w:rsidR="00D8794F" w:rsidRPr="00001686">
              <w:rPr>
                <w:rFonts w:ascii="Verdana" w:hAnsi="Verdana"/>
                <w:color w:val="7F7F7F" w:themeColor="text1" w:themeTint="80"/>
                <w:sz w:val="22"/>
                <w:szCs w:val="22"/>
                <w:lang w:val="en-GB" w:eastAsia="fr-FR"/>
              </w:rPr>
              <w:t xml:space="preserve">32 </w:t>
            </w:r>
            <w:r w:rsidRPr="00001686">
              <w:rPr>
                <w:rFonts w:ascii="Verdana" w:hAnsi="Verdana"/>
                <w:color w:val="7F7F7F" w:themeColor="text1" w:themeTint="80"/>
                <w:sz w:val="22"/>
                <w:szCs w:val="22"/>
                <w:lang w:val="en-GB" w:eastAsia="fr-FR"/>
              </w:rPr>
              <w:t xml:space="preserve">suggests that the VA should be more related to the investments </w:t>
            </w:r>
            <w:r w:rsidR="00353A1E">
              <w:rPr>
                <w:rFonts w:ascii="Verdana" w:hAnsi="Verdana"/>
                <w:color w:val="7F7F7F" w:themeColor="text1" w:themeTint="80"/>
                <w:sz w:val="22"/>
                <w:szCs w:val="22"/>
                <w:lang w:val="en-GB" w:eastAsia="fr-FR"/>
              </w:rPr>
              <w:t xml:space="preserve">rather </w:t>
            </w:r>
            <w:r w:rsidRPr="00001686">
              <w:rPr>
                <w:rFonts w:ascii="Verdana" w:hAnsi="Verdana"/>
                <w:color w:val="7F7F7F" w:themeColor="text1" w:themeTint="80"/>
                <w:sz w:val="22"/>
                <w:szCs w:val="22"/>
                <w:lang w:val="en-GB" w:eastAsia="fr-FR"/>
              </w:rPr>
              <w:t xml:space="preserve">than based on the characteristics of the technical provisions. However, the different options proposed by </w:t>
            </w:r>
            <w:r w:rsidRPr="00001686">
              <w:rPr>
                <w:rFonts w:ascii="Verdana" w:hAnsi="Verdana"/>
                <w:color w:val="7F7F7F" w:themeColor="text1" w:themeTint="80"/>
                <w:sz w:val="22"/>
                <w:szCs w:val="22"/>
                <w:lang w:val="en-GB" w:eastAsia="fr-FR"/>
              </w:rPr>
              <w:lastRenderedPageBreak/>
              <w:t xml:space="preserve">EIOPA refer instead to the characteristics of the technical provisions and therefore </w:t>
            </w:r>
            <w:r w:rsidR="00353A1E">
              <w:rPr>
                <w:rFonts w:ascii="Verdana" w:hAnsi="Verdana"/>
                <w:color w:val="7F7F7F" w:themeColor="text1" w:themeTint="80"/>
                <w:sz w:val="22"/>
                <w:szCs w:val="22"/>
                <w:lang w:val="en-GB" w:eastAsia="fr-FR"/>
              </w:rPr>
              <w:t>do not consider</w:t>
            </w:r>
            <w:r w:rsidR="00353A1E" w:rsidRPr="00001686">
              <w:rPr>
                <w:rFonts w:ascii="Verdana" w:hAnsi="Verdana"/>
                <w:color w:val="7F7F7F" w:themeColor="text1" w:themeTint="80"/>
                <w:sz w:val="22"/>
                <w:szCs w:val="22"/>
                <w:lang w:val="en-GB" w:eastAsia="fr-FR"/>
              </w:rPr>
              <w:t xml:space="preserve"> </w:t>
            </w:r>
            <w:r w:rsidRPr="00001686">
              <w:rPr>
                <w:rFonts w:ascii="Verdana" w:hAnsi="Verdana"/>
                <w:color w:val="7F7F7F" w:themeColor="text1" w:themeTint="80"/>
                <w:sz w:val="22"/>
                <w:szCs w:val="22"/>
                <w:lang w:val="en-GB" w:eastAsia="fr-FR"/>
              </w:rPr>
              <w:t>the statements of the recital.</w:t>
            </w:r>
          </w:p>
        </w:tc>
        <w:tc>
          <w:tcPr>
            <w:tcW w:w="483" w:type="pct"/>
            <w:tcBorders>
              <w:top w:val="single" w:sz="4" w:space="0" w:color="auto"/>
              <w:left w:val="single" w:sz="4" w:space="0" w:color="auto"/>
              <w:bottom w:val="single" w:sz="4" w:space="0" w:color="auto"/>
              <w:right w:val="single" w:sz="4" w:space="0" w:color="auto"/>
            </w:tcBorders>
          </w:tcPr>
          <w:p w14:paraId="1F3F46B1" w14:textId="77777777" w:rsidR="005703DE" w:rsidRPr="00FE3045" w:rsidRDefault="005703DE" w:rsidP="00020B14">
            <w:pPr>
              <w:tabs>
                <w:tab w:val="left" w:pos="0"/>
              </w:tabs>
              <w:rPr>
                <w:color w:val="000000"/>
                <w:sz w:val="22"/>
                <w:szCs w:val="22"/>
                <w:lang w:val="en-GB" w:eastAsia="fr-FR"/>
              </w:rPr>
            </w:pPr>
          </w:p>
        </w:tc>
      </w:tr>
      <w:tr w:rsidR="00FC5744" w:rsidRPr="001360A5" w14:paraId="3EA2C056"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0846943" w14:textId="050A01B3" w:rsidR="005703DE" w:rsidRPr="00001686" w:rsidRDefault="005703DE" w:rsidP="00020B14">
            <w:pPr>
              <w:tabs>
                <w:tab w:val="left" w:pos="0"/>
              </w:tabs>
              <w:ind w:left="-96"/>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42C6F9F8" w14:textId="0B2190F4" w:rsidR="005703DE" w:rsidRPr="00001686" w:rsidRDefault="005703DE" w:rsidP="00020B14">
            <w:pPr>
              <w:tabs>
                <w:tab w:val="left" w:pos="0"/>
              </w:tabs>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227</w:t>
            </w:r>
          </w:p>
        </w:tc>
        <w:tc>
          <w:tcPr>
            <w:tcW w:w="1999" w:type="pct"/>
            <w:tcBorders>
              <w:top w:val="single" w:sz="4" w:space="0" w:color="auto"/>
              <w:left w:val="single" w:sz="4" w:space="0" w:color="auto"/>
              <w:bottom w:val="single" w:sz="4" w:space="0" w:color="auto"/>
              <w:right w:val="single" w:sz="4" w:space="0" w:color="auto"/>
            </w:tcBorders>
          </w:tcPr>
          <w:p w14:paraId="667075A2" w14:textId="4FE920A9" w:rsidR="005703DE" w:rsidRPr="00CF2245" w:rsidRDefault="00D8794F" w:rsidP="00020B14">
            <w:pPr>
              <w:tabs>
                <w:tab w:val="left" w:pos="0"/>
              </w:tabs>
              <w:rPr>
                <w:rFonts w:ascii="Verdana" w:hAnsi="Verdana"/>
                <w:color w:val="7F7F7F" w:themeColor="text1" w:themeTint="80"/>
                <w:sz w:val="22"/>
                <w:szCs w:val="22"/>
                <w:lang w:val="en-GB" w:eastAsia="fr-FR"/>
              </w:rPr>
            </w:pPr>
            <w:r w:rsidRPr="00395661">
              <w:rPr>
                <w:rFonts w:ascii="Verdana" w:eastAsia="Verdana" w:hAnsi="Verdana" w:cs="Helvetica"/>
                <w:color w:val="7F7F7F" w:themeColor="text1" w:themeTint="80"/>
                <w:sz w:val="22"/>
                <w:szCs w:val="22"/>
                <w:lang w:val="en-US"/>
              </w:rPr>
              <w:t xml:space="preserve">EIOPA writes that </w:t>
            </w:r>
            <w:r w:rsidRPr="00395661">
              <w:rPr>
                <w:rFonts w:ascii="Verdana" w:eastAsia="Verdana" w:hAnsi="Verdana" w:cs="Helvetica"/>
                <w:i/>
                <w:iCs/>
                <w:color w:val="7F7F7F" w:themeColor="text1" w:themeTint="80"/>
                <w:sz w:val="22"/>
                <w:szCs w:val="22"/>
                <w:lang w:val="en-US"/>
              </w:rPr>
              <w:t>i</w:t>
            </w:r>
            <w:r w:rsidR="005703DE" w:rsidRPr="00395661">
              <w:rPr>
                <w:rFonts w:ascii="Verdana" w:eastAsia="Verdana" w:hAnsi="Verdana" w:cs="Helvetica"/>
                <w:i/>
                <w:iCs/>
                <w:color w:val="7F7F7F" w:themeColor="text1" w:themeTint="80"/>
                <w:sz w:val="22"/>
                <w:szCs w:val="22"/>
                <w:lang w:val="en-US"/>
              </w:rPr>
              <w:t xml:space="preserve">n reality, however, a change in interest rate will ceteris paribus lead to a change in market values, whereas cash flows will remain constant. Specifically, where the interest rate </w:t>
            </w:r>
            <w:r w:rsidR="00A85817" w:rsidRPr="00395661">
              <w:rPr>
                <w:rFonts w:ascii="Verdana" w:eastAsia="Cambria Math" w:hAnsi="Verdana" w:cs="Helvetica"/>
                <w:i/>
                <w:iCs/>
                <w:color w:val="7F7F7F" w:themeColor="text1" w:themeTint="80"/>
                <w:sz w:val="22"/>
                <w:szCs w:val="22"/>
                <w:lang w:val="en-US"/>
              </w:rPr>
              <w:t>(, )</w:t>
            </w:r>
            <w:r w:rsidR="005703DE" w:rsidRPr="00395661">
              <w:rPr>
                <w:rFonts w:ascii="Verdana" w:eastAsia="Verdana" w:hAnsi="Verdana" w:cs="Helvetica"/>
                <w:i/>
                <w:iCs/>
                <w:color w:val="7F7F7F" w:themeColor="text1" w:themeTint="80"/>
                <w:sz w:val="22"/>
                <w:szCs w:val="22"/>
                <w:lang w:val="en-US"/>
              </w:rPr>
              <w:t xml:space="preserve"> increases, it would be expected that the market value </w:t>
            </w:r>
            <w:r w:rsidR="005703DE" w:rsidRPr="00395661">
              <w:rPr>
                <w:rFonts w:ascii="Verdana" w:eastAsia="Cambria Math" w:hAnsi="Verdana" w:cs="Helvetica"/>
                <w:i/>
                <w:iCs/>
                <w:color w:val="7F7F7F" w:themeColor="text1" w:themeTint="80"/>
                <w:sz w:val="22"/>
                <w:szCs w:val="22"/>
                <w:lang w:val="en-US"/>
              </w:rPr>
              <w:t>(  ,   )</w:t>
            </w:r>
            <w:r w:rsidR="005703DE" w:rsidRPr="00395661">
              <w:rPr>
                <w:rFonts w:ascii="Verdana" w:eastAsia="Verdana" w:hAnsi="Verdana" w:cs="Helvetica"/>
                <w:i/>
                <w:iCs/>
                <w:color w:val="7F7F7F" w:themeColor="text1" w:themeTint="80"/>
                <w:sz w:val="22"/>
                <w:szCs w:val="22"/>
                <w:lang w:val="en-US"/>
              </w:rPr>
              <w:t xml:space="preserve"> of investments in </w:t>
            </w:r>
            <w:r w:rsidR="005703DE" w:rsidRPr="00CF2245">
              <w:rPr>
                <w:rFonts w:ascii="Verdana" w:eastAsia="Verdana" w:hAnsi="Verdana" w:cs="Helvetica"/>
                <w:i/>
                <w:iCs/>
                <w:color w:val="7F7F7F" w:themeColor="text1" w:themeTint="80"/>
                <w:sz w:val="22"/>
                <w:szCs w:val="22"/>
                <w:lang w:val="en-US"/>
              </w:rPr>
              <w:t>bucket i</w:t>
            </w:r>
            <w:r w:rsidR="005703DE" w:rsidRPr="00395661">
              <w:rPr>
                <w:rFonts w:ascii="Verdana" w:eastAsia="Verdana" w:hAnsi="Verdana" w:cs="Helvetica"/>
                <w:i/>
                <w:iCs/>
                <w:color w:val="7F7F7F" w:themeColor="text1" w:themeTint="80"/>
                <w:sz w:val="22"/>
                <w:szCs w:val="22"/>
                <w:lang w:val="en-US"/>
              </w:rPr>
              <w:t xml:space="preserve"> (and the relative</w:t>
            </w:r>
            <w:r w:rsidRPr="00395661">
              <w:rPr>
                <w:rFonts w:ascii="Verdana" w:eastAsia="Verdana" w:hAnsi="Verdana" w:cs="Helvetica"/>
                <w:i/>
                <w:iCs/>
                <w:color w:val="7F7F7F" w:themeColor="text1" w:themeTint="80"/>
                <w:sz w:val="22"/>
                <w:szCs w:val="22"/>
                <w:lang w:val="en-US"/>
              </w:rPr>
              <w:t xml:space="preserve">. </w:t>
            </w:r>
            <w:r w:rsidR="005703DE" w:rsidRPr="00395661">
              <w:rPr>
                <w:rFonts w:ascii="Verdana" w:hAnsi="Verdana"/>
                <w:color w:val="7F7F7F" w:themeColor="text1" w:themeTint="80"/>
                <w:sz w:val="22"/>
                <w:szCs w:val="22"/>
                <w:lang w:val="en-GB" w:eastAsia="fr-FR"/>
              </w:rPr>
              <w:t>In the description of the issue, EIOPA</w:t>
            </w:r>
            <w:r w:rsidR="006D7A5C">
              <w:rPr>
                <w:rFonts w:ascii="Verdana" w:hAnsi="Verdana"/>
                <w:color w:val="7F7F7F" w:themeColor="text1" w:themeTint="80"/>
                <w:sz w:val="22"/>
                <w:szCs w:val="22"/>
                <w:lang w:val="en-GB" w:eastAsia="fr-FR"/>
              </w:rPr>
              <w:t>´s analysis</w:t>
            </w:r>
            <w:r w:rsidR="005703DE" w:rsidRPr="00395661">
              <w:rPr>
                <w:rFonts w:ascii="Verdana" w:hAnsi="Verdana"/>
                <w:color w:val="7F7F7F" w:themeColor="text1" w:themeTint="80"/>
                <w:sz w:val="22"/>
                <w:szCs w:val="22"/>
                <w:lang w:val="en-GB" w:eastAsia="fr-FR"/>
              </w:rPr>
              <w:t xml:space="preserve"> </w:t>
            </w:r>
            <w:r w:rsidR="00284B92" w:rsidRPr="00CF2245">
              <w:rPr>
                <w:rFonts w:ascii="Verdana" w:hAnsi="Verdana"/>
                <w:color w:val="7F7F7F" w:themeColor="text1" w:themeTint="80"/>
                <w:sz w:val="22"/>
                <w:szCs w:val="22"/>
                <w:lang w:val="en-GB" w:eastAsia="fr-FR"/>
              </w:rPr>
              <w:t xml:space="preserve">should consider </w:t>
            </w:r>
            <w:r w:rsidR="005703DE" w:rsidRPr="00395661">
              <w:rPr>
                <w:rFonts w:ascii="Verdana" w:hAnsi="Verdana"/>
                <w:color w:val="7F7F7F" w:themeColor="text1" w:themeTint="80"/>
                <w:sz w:val="22"/>
                <w:szCs w:val="22"/>
                <w:lang w:val="en-GB" w:eastAsia="fr-FR"/>
              </w:rPr>
              <w:t xml:space="preserve">that financial instruments mature and are reinvested. The overestimation </w:t>
            </w:r>
            <w:r w:rsidR="002E3630" w:rsidRPr="00395661">
              <w:rPr>
                <w:rFonts w:ascii="Verdana" w:hAnsi="Verdana"/>
                <w:color w:val="7F7F7F" w:themeColor="text1" w:themeTint="80"/>
                <w:sz w:val="22"/>
                <w:szCs w:val="22"/>
                <w:lang w:val="en-GB" w:eastAsia="fr-FR"/>
              </w:rPr>
              <w:t xml:space="preserve">of </w:t>
            </w:r>
            <w:r w:rsidR="005703DE" w:rsidRPr="00395661">
              <w:rPr>
                <w:rFonts w:ascii="Verdana" w:hAnsi="Verdana"/>
                <w:color w:val="7F7F7F" w:themeColor="text1" w:themeTint="80"/>
                <w:sz w:val="22"/>
                <w:szCs w:val="22"/>
                <w:lang w:val="en-GB" w:eastAsia="fr-FR"/>
              </w:rPr>
              <w:t xml:space="preserve">these cash flows </w:t>
            </w:r>
            <w:r w:rsidRPr="00395661">
              <w:rPr>
                <w:rFonts w:ascii="Verdana" w:hAnsi="Verdana"/>
                <w:color w:val="7F7F7F" w:themeColor="text1" w:themeTint="80"/>
                <w:sz w:val="22"/>
                <w:szCs w:val="22"/>
                <w:lang w:val="en-GB" w:eastAsia="fr-FR"/>
              </w:rPr>
              <w:t xml:space="preserve">is </w:t>
            </w:r>
            <w:r w:rsidR="005703DE" w:rsidRPr="00395661">
              <w:rPr>
                <w:rFonts w:ascii="Verdana" w:hAnsi="Verdana"/>
                <w:color w:val="7F7F7F" w:themeColor="text1" w:themeTint="80"/>
                <w:sz w:val="22"/>
                <w:szCs w:val="22"/>
                <w:lang w:val="en-GB" w:eastAsia="fr-FR"/>
              </w:rPr>
              <w:t>very limited.</w:t>
            </w:r>
            <w:r w:rsidR="00F70E77" w:rsidRPr="00395661">
              <w:rPr>
                <w:rFonts w:ascii="Verdana" w:hAnsi="Verdana"/>
                <w:color w:val="7F7F7F" w:themeColor="text1" w:themeTint="80"/>
                <w:sz w:val="22"/>
                <w:szCs w:val="22"/>
                <w:lang w:val="en-GB" w:eastAsia="fr-FR"/>
              </w:rPr>
              <w:t xml:space="preserve"> EIOPA describes in this paragraph the consequences of an interest rate increase </w:t>
            </w:r>
            <w:r w:rsidR="006D7A5C">
              <w:rPr>
                <w:rFonts w:ascii="Verdana" w:hAnsi="Verdana"/>
                <w:color w:val="7F7F7F" w:themeColor="text1" w:themeTint="80"/>
                <w:sz w:val="22"/>
                <w:szCs w:val="22"/>
                <w:lang w:val="en-GB" w:eastAsia="fr-FR"/>
              </w:rPr>
              <w:t>only. I</w:t>
            </w:r>
            <w:r w:rsidR="00F70E77" w:rsidRPr="00395661">
              <w:rPr>
                <w:rFonts w:ascii="Verdana" w:hAnsi="Verdana"/>
                <w:color w:val="7F7F7F" w:themeColor="text1" w:themeTint="80"/>
                <w:sz w:val="22"/>
                <w:szCs w:val="22"/>
                <w:lang w:val="en-GB" w:eastAsia="fr-FR"/>
              </w:rPr>
              <w:t xml:space="preserve">n an interest rate decrease </w:t>
            </w:r>
            <w:r w:rsidR="00E56DCF" w:rsidRPr="00395661">
              <w:rPr>
                <w:rFonts w:ascii="Verdana" w:hAnsi="Verdana"/>
                <w:color w:val="7F7F7F" w:themeColor="text1" w:themeTint="80"/>
                <w:sz w:val="22"/>
                <w:szCs w:val="22"/>
                <w:lang w:val="en-GB" w:eastAsia="fr-FR"/>
              </w:rPr>
              <w:t>situation,</w:t>
            </w:r>
            <w:r w:rsidR="00F70E77" w:rsidRPr="00395661">
              <w:rPr>
                <w:rFonts w:ascii="Verdana" w:hAnsi="Verdana"/>
                <w:color w:val="7F7F7F" w:themeColor="text1" w:themeTint="80"/>
                <w:sz w:val="22"/>
                <w:szCs w:val="22"/>
                <w:lang w:val="en-GB" w:eastAsia="fr-FR"/>
              </w:rPr>
              <w:t xml:space="preserve"> </w:t>
            </w:r>
            <w:r w:rsidR="006D7A5C">
              <w:rPr>
                <w:rFonts w:ascii="Verdana" w:hAnsi="Verdana"/>
                <w:color w:val="7F7F7F" w:themeColor="text1" w:themeTint="80"/>
                <w:sz w:val="22"/>
                <w:szCs w:val="22"/>
                <w:lang w:val="en-GB" w:eastAsia="fr-FR"/>
              </w:rPr>
              <w:t xml:space="preserve">which has been witnesses in previous years, </w:t>
            </w:r>
            <w:r w:rsidR="00F70E77" w:rsidRPr="00395661">
              <w:rPr>
                <w:rFonts w:ascii="Verdana" w:hAnsi="Verdana"/>
                <w:color w:val="7F7F7F" w:themeColor="text1" w:themeTint="80"/>
                <w:sz w:val="22"/>
                <w:szCs w:val="22"/>
                <w:lang w:val="en-GB" w:eastAsia="fr-FR"/>
              </w:rPr>
              <w:t xml:space="preserve">there would be an underestimation of the cash flows. </w:t>
            </w:r>
          </w:p>
        </w:tc>
        <w:tc>
          <w:tcPr>
            <w:tcW w:w="483" w:type="pct"/>
            <w:tcBorders>
              <w:top w:val="single" w:sz="4" w:space="0" w:color="auto"/>
              <w:left w:val="single" w:sz="4" w:space="0" w:color="auto"/>
              <w:bottom w:val="single" w:sz="4" w:space="0" w:color="auto"/>
              <w:right w:val="single" w:sz="4" w:space="0" w:color="auto"/>
            </w:tcBorders>
          </w:tcPr>
          <w:p w14:paraId="035DC031" w14:textId="59B9F457" w:rsidR="005703DE" w:rsidRPr="00FE3045" w:rsidRDefault="005703DE" w:rsidP="00020B14">
            <w:pPr>
              <w:tabs>
                <w:tab w:val="left" w:pos="0"/>
              </w:tabs>
              <w:rPr>
                <w:color w:val="000000"/>
                <w:sz w:val="22"/>
                <w:szCs w:val="22"/>
                <w:lang w:val="en-GB" w:eastAsia="fr-FR"/>
              </w:rPr>
            </w:pPr>
          </w:p>
        </w:tc>
      </w:tr>
      <w:tr w:rsidR="00FC5744" w:rsidRPr="001360A5" w14:paraId="16421F0A"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8B28E2B" w14:textId="23738EF9" w:rsidR="0022595E" w:rsidRPr="00001686" w:rsidRDefault="0022595E" w:rsidP="00020B14">
            <w:pPr>
              <w:tabs>
                <w:tab w:val="left" w:pos="0"/>
              </w:tabs>
              <w:ind w:left="-96"/>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1504C271" w14:textId="553E8063" w:rsidR="0022595E" w:rsidRPr="00001686" w:rsidRDefault="0022595E" w:rsidP="00020B14">
            <w:pPr>
              <w:tabs>
                <w:tab w:val="left" w:pos="0"/>
              </w:tabs>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236</w:t>
            </w:r>
          </w:p>
        </w:tc>
        <w:tc>
          <w:tcPr>
            <w:tcW w:w="1999" w:type="pct"/>
            <w:tcBorders>
              <w:top w:val="single" w:sz="4" w:space="0" w:color="auto"/>
              <w:left w:val="single" w:sz="4" w:space="0" w:color="auto"/>
              <w:bottom w:val="single" w:sz="4" w:space="0" w:color="auto"/>
              <w:right w:val="single" w:sz="4" w:space="0" w:color="auto"/>
            </w:tcBorders>
          </w:tcPr>
          <w:p w14:paraId="72A43314" w14:textId="6D9268EC" w:rsidR="0022595E" w:rsidRPr="00CF2245" w:rsidRDefault="0022595E"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The conclusions which could be drawn is that the VA works well in the normal circumstances. Normal circumstances in which the Best estimate is calculated on a going concern basis. Only in very extreme circumstances there could be an issue.</w:t>
            </w:r>
          </w:p>
        </w:tc>
        <w:tc>
          <w:tcPr>
            <w:tcW w:w="483" w:type="pct"/>
            <w:tcBorders>
              <w:top w:val="single" w:sz="4" w:space="0" w:color="auto"/>
              <w:left w:val="single" w:sz="4" w:space="0" w:color="auto"/>
              <w:bottom w:val="single" w:sz="4" w:space="0" w:color="auto"/>
              <w:right w:val="single" w:sz="4" w:space="0" w:color="auto"/>
            </w:tcBorders>
          </w:tcPr>
          <w:p w14:paraId="204871CA" w14:textId="77777777" w:rsidR="0022595E" w:rsidRPr="00FE3045" w:rsidRDefault="0022595E" w:rsidP="00020B14">
            <w:pPr>
              <w:tabs>
                <w:tab w:val="left" w:pos="0"/>
              </w:tabs>
              <w:rPr>
                <w:color w:val="000000"/>
                <w:sz w:val="22"/>
                <w:szCs w:val="22"/>
                <w:lang w:val="en-GB" w:eastAsia="fr-FR"/>
              </w:rPr>
            </w:pPr>
          </w:p>
        </w:tc>
      </w:tr>
      <w:tr w:rsidR="00FC5744" w:rsidRPr="001360A5" w14:paraId="096069E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3B610A1" w14:textId="36ACEFAD" w:rsidR="0022595E" w:rsidRPr="00001686" w:rsidRDefault="0022595E" w:rsidP="00020B14">
            <w:pPr>
              <w:tabs>
                <w:tab w:val="left" w:pos="0"/>
              </w:tabs>
              <w:ind w:left="-96"/>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1AA8B6A0" w14:textId="187A66C4" w:rsidR="0022595E" w:rsidRPr="00001686" w:rsidRDefault="0022595E" w:rsidP="00020B14">
            <w:pPr>
              <w:tabs>
                <w:tab w:val="left" w:pos="0"/>
              </w:tabs>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244</w:t>
            </w:r>
          </w:p>
        </w:tc>
        <w:tc>
          <w:tcPr>
            <w:tcW w:w="1999" w:type="pct"/>
            <w:tcBorders>
              <w:top w:val="single" w:sz="4" w:space="0" w:color="auto"/>
              <w:left w:val="single" w:sz="4" w:space="0" w:color="auto"/>
              <w:bottom w:val="single" w:sz="4" w:space="0" w:color="auto"/>
              <w:right w:val="single" w:sz="4" w:space="0" w:color="auto"/>
            </w:tcBorders>
          </w:tcPr>
          <w:p w14:paraId="5572CC33" w14:textId="20674839" w:rsidR="0022595E" w:rsidRPr="00395661" w:rsidRDefault="006D7A5C" w:rsidP="00020B14">
            <w:pPr>
              <w:tabs>
                <w:tab w:val="left" w:pos="0"/>
              </w:tabs>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There is</w:t>
            </w:r>
            <w:r w:rsidR="0022595E" w:rsidRPr="00395661">
              <w:rPr>
                <w:rFonts w:ascii="Verdana" w:hAnsi="Verdana"/>
                <w:color w:val="7F7F7F" w:themeColor="text1" w:themeTint="80"/>
                <w:sz w:val="22"/>
                <w:szCs w:val="22"/>
                <w:lang w:val="en-GB" w:eastAsia="fr-FR"/>
              </w:rPr>
              <w:t xml:space="preserve"> a third option</w:t>
            </w:r>
            <w:r>
              <w:rPr>
                <w:rFonts w:ascii="Verdana" w:hAnsi="Verdana"/>
                <w:color w:val="7F7F7F" w:themeColor="text1" w:themeTint="80"/>
                <w:sz w:val="22"/>
                <w:szCs w:val="22"/>
                <w:lang w:val="en-GB" w:eastAsia="fr-FR"/>
              </w:rPr>
              <w:t>:</w:t>
            </w:r>
            <w:r w:rsidR="0022595E" w:rsidRPr="00395661">
              <w:rPr>
                <w:rFonts w:ascii="Verdana" w:hAnsi="Verdana"/>
                <w:color w:val="7F7F7F" w:themeColor="text1" w:themeTint="80"/>
                <w:sz w:val="22"/>
                <w:szCs w:val="22"/>
                <w:lang w:val="en-GB" w:eastAsia="fr-FR"/>
              </w:rPr>
              <w:t xml:space="preserve"> </w:t>
            </w:r>
            <w:r w:rsidR="00F632E4">
              <w:rPr>
                <w:rFonts w:ascii="Verdana" w:hAnsi="Verdana"/>
                <w:color w:val="7F7F7F" w:themeColor="text1" w:themeTint="80"/>
                <w:sz w:val="22"/>
                <w:szCs w:val="22"/>
                <w:lang w:val="en-GB" w:eastAsia="fr-FR"/>
              </w:rPr>
              <w:t>the</w:t>
            </w:r>
            <w:r w:rsidR="0022595E" w:rsidRPr="00395661">
              <w:rPr>
                <w:rFonts w:ascii="Verdana" w:hAnsi="Verdana"/>
                <w:color w:val="7F7F7F" w:themeColor="text1" w:themeTint="80"/>
                <w:sz w:val="22"/>
                <w:szCs w:val="22"/>
                <w:lang w:val="en-GB" w:eastAsia="fr-FR"/>
              </w:rPr>
              <w:t xml:space="preserve"> current option is applied and only in extreme circumstances a different approach is used to accommodate for the apparent deficiencies as in most circumstances the current approach works as intended.</w:t>
            </w:r>
          </w:p>
        </w:tc>
        <w:tc>
          <w:tcPr>
            <w:tcW w:w="483" w:type="pct"/>
            <w:tcBorders>
              <w:top w:val="single" w:sz="4" w:space="0" w:color="auto"/>
              <w:left w:val="single" w:sz="4" w:space="0" w:color="auto"/>
              <w:bottom w:val="single" w:sz="4" w:space="0" w:color="auto"/>
              <w:right w:val="single" w:sz="4" w:space="0" w:color="auto"/>
            </w:tcBorders>
          </w:tcPr>
          <w:p w14:paraId="3010A395" w14:textId="77777777" w:rsidR="0022595E" w:rsidRPr="00FE3045" w:rsidRDefault="0022595E" w:rsidP="00020B14">
            <w:pPr>
              <w:tabs>
                <w:tab w:val="left" w:pos="0"/>
              </w:tabs>
              <w:rPr>
                <w:color w:val="000000"/>
                <w:sz w:val="22"/>
                <w:szCs w:val="22"/>
                <w:lang w:val="en-GB" w:eastAsia="fr-FR"/>
              </w:rPr>
            </w:pPr>
          </w:p>
        </w:tc>
      </w:tr>
      <w:tr w:rsidR="00FC5744" w:rsidRPr="001360A5" w14:paraId="0FC8FD41"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62A29CC" w14:textId="0A92A412" w:rsidR="0022595E" w:rsidRPr="00001686" w:rsidRDefault="0022595E" w:rsidP="00020B14">
            <w:pPr>
              <w:tabs>
                <w:tab w:val="left" w:pos="0"/>
              </w:tabs>
              <w:ind w:left="-96"/>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7A92706A" w14:textId="0837C11C" w:rsidR="0022595E" w:rsidRPr="00001686" w:rsidRDefault="0022595E" w:rsidP="00020B14">
            <w:pPr>
              <w:tabs>
                <w:tab w:val="left" w:pos="0"/>
              </w:tabs>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248</w:t>
            </w:r>
          </w:p>
        </w:tc>
        <w:tc>
          <w:tcPr>
            <w:tcW w:w="1999" w:type="pct"/>
            <w:tcBorders>
              <w:top w:val="single" w:sz="4" w:space="0" w:color="auto"/>
              <w:left w:val="single" w:sz="4" w:space="0" w:color="auto"/>
              <w:bottom w:val="single" w:sz="4" w:space="0" w:color="auto"/>
              <w:right w:val="single" w:sz="4" w:space="0" w:color="auto"/>
            </w:tcBorders>
          </w:tcPr>
          <w:p w14:paraId="5EEF95A1" w14:textId="023BB6E9" w:rsidR="0022595E" w:rsidRPr="00395661" w:rsidRDefault="0022595E"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EIOPA only presents the B-rated case, but it does not provide the same graphs for all the other instruments. It is therefore difficult to compare the different cases presented.</w:t>
            </w:r>
          </w:p>
        </w:tc>
        <w:tc>
          <w:tcPr>
            <w:tcW w:w="483" w:type="pct"/>
            <w:tcBorders>
              <w:top w:val="single" w:sz="4" w:space="0" w:color="auto"/>
              <w:left w:val="single" w:sz="4" w:space="0" w:color="auto"/>
              <w:bottom w:val="single" w:sz="4" w:space="0" w:color="auto"/>
              <w:right w:val="single" w:sz="4" w:space="0" w:color="auto"/>
            </w:tcBorders>
          </w:tcPr>
          <w:p w14:paraId="284C3CE6" w14:textId="77777777" w:rsidR="0022595E" w:rsidRPr="00FE3045" w:rsidRDefault="0022595E" w:rsidP="00020B14">
            <w:pPr>
              <w:tabs>
                <w:tab w:val="left" w:pos="0"/>
              </w:tabs>
              <w:rPr>
                <w:color w:val="000000"/>
                <w:sz w:val="22"/>
                <w:szCs w:val="22"/>
                <w:lang w:val="en-GB" w:eastAsia="fr-FR"/>
              </w:rPr>
            </w:pPr>
          </w:p>
        </w:tc>
      </w:tr>
      <w:tr w:rsidR="00FC5744" w:rsidRPr="001360A5" w14:paraId="11903E24"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B1E256C" w14:textId="23F7AFA9" w:rsidR="0022595E" w:rsidRPr="000E1946" w:rsidRDefault="00A17A94" w:rsidP="00020B14">
            <w:pPr>
              <w:tabs>
                <w:tab w:val="left" w:pos="0"/>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5E8E8ED4" w14:textId="1CC7487D" w:rsidR="0022595E" w:rsidRPr="000E1946" w:rsidRDefault="0022595E" w:rsidP="00020B14">
            <w:pPr>
              <w:tabs>
                <w:tab w:val="left" w:pos="0"/>
              </w:tabs>
              <w:rPr>
                <w:rFonts w:ascii="Verdana" w:hAnsi="Verdana"/>
                <w:color w:val="7F7F7F" w:themeColor="text1" w:themeTint="80"/>
                <w:sz w:val="22"/>
                <w:szCs w:val="22"/>
                <w:lang w:val="en-GB" w:eastAsia="fr-FR"/>
              </w:rPr>
            </w:pPr>
            <w:r w:rsidRPr="008F70F8">
              <w:rPr>
                <w:rFonts w:ascii="Verdana" w:hAnsi="Verdana"/>
                <w:b/>
                <w:bCs/>
                <w:color w:val="7F7F7F" w:themeColor="text1" w:themeTint="80"/>
                <w:sz w:val="22"/>
                <w:szCs w:val="22"/>
                <w:lang w:val="en-GB" w:eastAsia="fr-FR"/>
              </w:rPr>
              <w:t>Question to stakeholder</w:t>
            </w:r>
            <w:r w:rsidRPr="00C03164">
              <w:rPr>
                <w:rFonts w:ascii="Verdana" w:hAnsi="Verdana"/>
                <w:b/>
                <w:bCs/>
                <w:color w:val="7F7F7F" w:themeColor="text1" w:themeTint="80"/>
                <w:sz w:val="22"/>
                <w:szCs w:val="22"/>
                <w:lang w:val="en-GB" w:eastAsia="fr-FR"/>
              </w:rPr>
              <w:t>s</w:t>
            </w:r>
          </w:p>
        </w:tc>
        <w:tc>
          <w:tcPr>
            <w:tcW w:w="1999" w:type="pct"/>
            <w:tcBorders>
              <w:top w:val="single" w:sz="4" w:space="0" w:color="auto"/>
              <w:left w:val="single" w:sz="4" w:space="0" w:color="auto"/>
              <w:bottom w:val="single" w:sz="4" w:space="0" w:color="auto"/>
              <w:right w:val="single" w:sz="4" w:space="0" w:color="auto"/>
            </w:tcBorders>
          </w:tcPr>
          <w:p w14:paraId="3E1C8F48" w14:textId="7093B508" w:rsidR="0022595E" w:rsidRPr="00395661" w:rsidRDefault="0022595E" w:rsidP="00020B14">
            <w:pPr>
              <w:tabs>
                <w:tab w:val="left" w:pos="0"/>
              </w:tabs>
              <w:rPr>
                <w:rFonts w:ascii="Verdana" w:hAnsi="Verdana"/>
                <w:b/>
                <w:bCs/>
                <w:color w:val="7F7F7F" w:themeColor="text1" w:themeTint="80"/>
                <w:sz w:val="22"/>
                <w:szCs w:val="22"/>
                <w:lang w:val="en-GB" w:eastAsia="fr-FR"/>
              </w:rPr>
            </w:pPr>
            <w:r w:rsidRPr="00395661">
              <w:rPr>
                <w:rFonts w:ascii="Verdana" w:hAnsi="Verdana"/>
                <w:b/>
                <w:bCs/>
                <w:color w:val="7F7F7F" w:themeColor="text1" w:themeTint="80"/>
                <w:sz w:val="22"/>
                <w:szCs w:val="22"/>
                <w:lang w:val="en-GB" w:eastAsia="fr-FR"/>
              </w:rPr>
              <w:t>Q2.2: Should the calculation of the VA be based on the CF-Freeze approach or the</w:t>
            </w:r>
          </w:p>
          <w:p w14:paraId="6A6A9069" w14:textId="77777777" w:rsidR="0022595E" w:rsidRPr="00CF2245" w:rsidRDefault="0022595E" w:rsidP="00020B14">
            <w:pPr>
              <w:tabs>
                <w:tab w:val="left" w:pos="0"/>
              </w:tabs>
              <w:rPr>
                <w:rFonts w:ascii="Verdana" w:hAnsi="Verdana"/>
                <w:b/>
                <w:bCs/>
                <w:color w:val="7F7F7F" w:themeColor="text1" w:themeTint="80"/>
                <w:sz w:val="22"/>
                <w:szCs w:val="22"/>
                <w:lang w:val="en-GB" w:eastAsia="fr-FR"/>
              </w:rPr>
            </w:pPr>
            <w:r w:rsidRPr="00395661">
              <w:rPr>
                <w:rFonts w:ascii="Verdana" w:hAnsi="Verdana"/>
                <w:b/>
                <w:bCs/>
                <w:color w:val="7F7F7F" w:themeColor="text1" w:themeTint="80"/>
                <w:sz w:val="22"/>
                <w:szCs w:val="22"/>
                <w:lang w:val="en-GB" w:eastAsia="fr-FR"/>
              </w:rPr>
              <w:t>MV-Freeze approach? Please explain your view</w:t>
            </w:r>
            <w:r w:rsidRPr="00CF2245">
              <w:rPr>
                <w:rFonts w:ascii="Verdana" w:hAnsi="Verdana"/>
                <w:b/>
                <w:bCs/>
                <w:color w:val="7F7F7F" w:themeColor="text1" w:themeTint="80"/>
                <w:sz w:val="22"/>
                <w:szCs w:val="22"/>
                <w:lang w:val="en-GB" w:eastAsia="fr-FR"/>
              </w:rPr>
              <w:t>.</w:t>
            </w:r>
          </w:p>
          <w:p w14:paraId="6D0F02BB" w14:textId="77777777" w:rsidR="00A17A94" w:rsidRPr="00CF2245" w:rsidRDefault="00A17A94" w:rsidP="00020B14">
            <w:pPr>
              <w:tabs>
                <w:tab w:val="left" w:pos="0"/>
              </w:tabs>
              <w:rPr>
                <w:rFonts w:ascii="Verdana" w:hAnsi="Verdana"/>
                <w:b/>
                <w:bCs/>
                <w:color w:val="7F7F7F" w:themeColor="text1" w:themeTint="80"/>
                <w:sz w:val="22"/>
                <w:szCs w:val="22"/>
                <w:lang w:val="en-GB" w:eastAsia="fr-FR"/>
              </w:rPr>
            </w:pPr>
          </w:p>
          <w:p w14:paraId="15F1BC8B" w14:textId="77777777" w:rsidR="0022595E" w:rsidRPr="00395661" w:rsidRDefault="0022595E"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lastRenderedPageBreak/>
              <w:t>The arguments brought forward are convincing. However, there is no clear motivation for a change that will have an impact only for very few extreme situations of distress</w:t>
            </w:r>
          </w:p>
          <w:p w14:paraId="6813F3D8" w14:textId="607E9449" w:rsidR="00747CCA" w:rsidRPr="00395661" w:rsidRDefault="00747CCA" w:rsidP="00020B14">
            <w:pPr>
              <w:tabs>
                <w:tab w:val="left" w:pos="0"/>
              </w:tabs>
              <w:rPr>
                <w:rFonts w:ascii="Verdana" w:hAnsi="Verdana"/>
                <w:color w:val="7F7F7F" w:themeColor="text1" w:themeTint="80"/>
                <w:sz w:val="22"/>
                <w:szCs w:val="22"/>
                <w:lang w:val="en-GB" w:eastAsia="fr-FR"/>
              </w:rPr>
            </w:pPr>
          </w:p>
          <w:p w14:paraId="1A7C1769" w14:textId="2C0E863D" w:rsidR="00747CCA" w:rsidRPr="00395661" w:rsidRDefault="00747CCA" w:rsidP="00020B14">
            <w:pPr>
              <w:tabs>
                <w:tab w:val="left" w:pos="0"/>
              </w:tabs>
              <w:spacing w:before="120" w:after="120"/>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 xml:space="preserve">Following the analysis presented by EIOPA, only in extreme circumstances there is a real observable difference between the two methods. However, </w:t>
            </w:r>
            <w:r w:rsidR="006D7A5C">
              <w:rPr>
                <w:rFonts w:ascii="Verdana" w:hAnsi="Verdana"/>
                <w:color w:val="7F7F7F" w:themeColor="text1" w:themeTint="80"/>
                <w:sz w:val="22"/>
                <w:szCs w:val="22"/>
                <w:lang w:val="en-GB" w:eastAsia="fr-FR"/>
              </w:rPr>
              <w:t>there is</w:t>
            </w:r>
            <w:r w:rsidRPr="00395661">
              <w:rPr>
                <w:rFonts w:ascii="Verdana" w:hAnsi="Verdana"/>
                <w:color w:val="7F7F7F" w:themeColor="text1" w:themeTint="80"/>
                <w:sz w:val="22"/>
                <w:szCs w:val="22"/>
                <w:lang w:val="en-GB" w:eastAsia="fr-FR"/>
              </w:rPr>
              <w:t xml:space="preserve"> administrative burden to change from one method to another</w:t>
            </w:r>
            <w:r w:rsidR="006D7A5C">
              <w:rPr>
                <w:rFonts w:ascii="Verdana" w:hAnsi="Verdana"/>
                <w:color w:val="7F7F7F" w:themeColor="text1" w:themeTint="80"/>
                <w:sz w:val="22"/>
                <w:szCs w:val="22"/>
                <w:lang w:val="en-GB" w:eastAsia="fr-FR"/>
              </w:rPr>
              <w:t>.</w:t>
            </w:r>
            <w:r w:rsidRPr="00395661">
              <w:rPr>
                <w:rFonts w:ascii="Verdana" w:hAnsi="Verdana"/>
                <w:color w:val="7F7F7F" w:themeColor="text1" w:themeTint="80"/>
                <w:sz w:val="22"/>
                <w:szCs w:val="22"/>
                <w:lang w:val="en-GB" w:eastAsia="fr-FR"/>
              </w:rPr>
              <w:t xml:space="preserve"> </w:t>
            </w:r>
            <w:r w:rsidR="006D7A5C">
              <w:rPr>
                <w:rFonts w:ascii="Verdana" w:hAnsi="Verdana"/>
                <w:color w:val="7F7F7F" w:themeColor="text1" w:themeTint="80"/>
                <w:sz w:val="22"/>
                <w:szCs w:val="22"/>
                <w:lang w:val="en-GB" w:eastAsia="fr-FR"/>
              </w:rPr>
              <w:t>We also see conceptual difficulties in a change from one method to another and back</w:t>
            </w:r>
            <w:r w:rsidRPr="00395661">
              <w:rPr>
                <w:rFonts w:ascii="Verdana" w:hAnsi="Verdana"/>
                <w:color w:val="7F7F7F" w:themeColor="text1" w:themeTint="80"/>
                <w:sz w:val="22"/>
                <w:szCs w:val="22"/>
                <w:lang w:val="en-GB" w:eastAsia="fr-FR"/>
              </w:rPr>
              <w:t>. Moreover, EIOPA does not mention whether the new method would be feasible within the current reporting timeframes (</w:t>
            </w:r>
            <w:r w:rsidR="00962713" w:rsidRPr="00395661">
              <w:rPr>
                <w:rFonts w:ascii="Verdana" w:hAnsi="Verdana"/>
                <w:color w:val="7F7F7F" w:themeColor="text1" w:themeTint="80"/>
                <w:sz w:val="22"/>
                <w:szCs w:val="22"/>
                <w:lang w:val="en-GB" w:eastAsia="fr-FR"/>
              </w:rPr>
              <w:t>i.e.</w:t>
            </w:r>
            <w:r w:rsidRPr="00395661">
              <w:rPr>
                <w:rFonts w:ascii="Verdana" w:hAnsi="Verdana"/>
                <w:color w:val="7F7F7F" w:themeColor="text1" w:themeTint="80"/>
                <w:sz w:val="22"/>
                <w:szCs w:val="22"/>
                <w:lang w:val="en-GB" w:eastAsia="fr-FR"/>
              </w:rPr>
              <w:t xml:space="preserve"> data has to be submitted on a monthly basis).</w:t>
            </w:r>
          </w:p>
          <w:p w14:paraId="259ACB85" w14:textId="4440A076" w:rsidR="00747CCA" w:rsidRPr="00395661" w:rsidRDefault="00747CCA" w:rsidP="00020B14">
            <w:pPr>
              <w:tabs>
                <w:tab w:val="left" w:pos="0"/>
              </w:tabs>
              <w:spacing w:before="120" w:after="120"/>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 xml:space="preserve">We </w:t>
            </w:r>
            <w:r w:rsidR="006D7A5C">
              <w:rPr>
                <w:rFonts w:ascii="Verdana" w:hAnsi="Verdana"/>
                <w:color w:val="7F7F7F" w:themeColor="text1" w:themeTint="80"/>
                <w:sz w:val="22"/>
                <w:szCs w:val="22"/>
                <w:lang w:val="en-GB" w:eastAsia="fr-FR"/>
              </w:rPr>
              <w:t>have no strong opinion on</w:t>
            </w:r>
            <w:r w:rsidRPr="00395661">
              <w:rPr>
                <w:rFonts w:ascii="Verdana" w:hAnsi="Verdana"/>
                <w:color w:val="7F7F7F" w:themeColor="text1" w:themeTint="80"/>
                <w:sz w:val="22"/>
                <w:szCs w:val="22"/>
                <w:lang w:val="en-GB" w:eastAsia="fr-FR"/>
              </w:rPr>
              <w:t xml:space="preserve"> the move from one method to the other; However, the current method is simpler. As an alternative, the move from the one method to another could be requested only when an extreme circumstance emerges for a longer period.</w:t>
            </w:r>
          </w:p>
          <w:p w14:paraId="730BA728" w14:textId="054BF499" w:rsidR="00747CCA" w:rsidRPr="00395661" w:rsidRDefault="00747CCA"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The CF-freeze needs some assumptions to be made regarding for example "reinvestments" of matured cash flow</w:t>
            </w:r>
            <w:r w:rsidR="002A66AF" w:rsidRPr="00395661">
              <w:rPr>
                <w:rFonts w:ascii="Verdana" w:hAnsi="Verdana"/>
                <w:color w:val="7F7F7F" w:themeColor="text1" w:themeTint="80"/>
                <w:sz w:val="22"/>
                <w:szCs w:val="22"/>
                <w:lang w:val="en-GB" w:eastAsia="fr-FR"/>
              </w:rPr>
              <w:t xml:space="preserve">s but </w:t>
            </w:r>
            <w:r w:rsidRPr="00395661">
              <w:rPr>
                <w:rFonts w:ascii="Verdana" w:hAnsi="Verdana"/>
                <w:color w:val="7F7F7F" w:themeColor="text1" w:themeTint="80"/>
                <w:sz w:val="22"/>
                <w:szCs w:val="22"/>
                <w:lang w:val="en-GB" w:eastAsia="fr-FR"/>
              </w:rPr>
              <w:t xml:space="preserve">EIOPA does not mention this. </w:t>
            </w:r>
            <w:r w:rsidR="002A66AF" w:rsidRPr="00395661">
              <w:rPr>
                <w:rFonts w:ascii="Verdana" w:hAnsi="Verdana"/>
                <w:color w:val="7F7F7F" w:themeColor="text1" w:themeTint="80"/>
                <w:sz w:val="22"/>
                <w:szCs w:val="22"/>
                <w:lang w:val="en-GB" w:eastAsia="fr-FR"/>
              </w:rPr>
              <w:t>We query whether there a</w:t>
            </w:r>
            <w:r w:rsidRPr="00395661">
              <w:rPr>
                <w:rFonts w:ascii="Verdana" w:hAnsi="Verdana"/>
                <w:color w:val="7F7F7F" w:themeColor="text1" w:themeTint="80"/>
                <w:sz w:val="22"/>
                <w:szCs w:val="22"/>
                <w:lang w:val="en-GB" w:eastAsia="fr-FR"/>
              </w:rPr>
              <w:t>re there any other assumptions which should be made regarding the CF-freeze method?</w:t>
            </w:r>
          </w:p>
          <w:p w14:paraId="1E0A38C1" w14:textId="75DADB17" w:rsidR="00747CCA" w:rsidRPr="00395661" w:rsidRDefault="00747CCA" w:rsidP="00020B14">
            <w:pPr>
              <w:tabs>
                <w:tab w:val="left" w:pos="0"/>
              </w:tabs>
              <w:rPr>
                <w:rFonts w:ascii="Verdana" w:hAnsi="Verdana"/>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09300082" w14:textId="77777777" w:rsidR="0022595E" w:rsidRPr="00FE3045" w:rsidRDefault="0022595E" w:rsidP="00020B14">
            <w:pPr>
              <w:tabs>
                <w:tab w:val="left" w:pos="0"/>
              </w:tabs>
              <w:rPr>
                <w:color w:val="000000"/>
                <w:sz w:val="22"/>
                <w:szCs w:val="22"/>
                <w:lang w:val="en-GB" w:eastAsia="fr-FR"/>
              </w:rPr>
            </w:pPr>
          </w:p>
        </w:tc>
      </w:tr>
      <w:tr w:rsidR="00FC5744" w:rsidRPr="001360A5" w14:paraId="025B1D37"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9A253EE" w14:textId="1CD89DCB" w:rsidR="0022595E" w:rsidRPr="000E1946" w:rsidRDefault="0022595E" w:rsidP="00020B14">
            <w:pPr>
              <w:tabs>
                <w:tab w:val="left" w:pos="0"/>
              </w:tabs>
              <w:ind w:left="-96"/>
              <w:rPr>
                <w:rFonts w:ascii="Verdana" w:hAnsi="Verdana"/>
                <w:color w:val="7F7F7F" w:themeColor="text1" w:themeTint="80"/>
                <w:sz w:val="22"/>
                <w:szCs w:val="22"/>
                <w:lang w:val="en-GB" w:eastAsia="fr-FR"/>
              </w:rPr>
            </w:pPr>
            <w:r w:rsidRPr="000E1946">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037A883D" w14:textId="55CA6AEF" w:rsidR="0022595E" w:rsidRPr="000E1946" w:rsidRDefault="0022595E" w:rsidP="00020B14">
            <w:pPr>
              <w:tabs>
                <w:tab w:val="left" w:pos="0"/>
              </w:tabs>
              <w:rPr>
                <w:rFonts w:ascii="Verdana" w:hAnsi="Verdana"/>
                <w:color w:val="7F7F7F" w:themeColor="text1" w:themeTint="80"/>
                <w:sz w:val="22"/>
                <w:szCs w:val="22"/>
                <w:lang w:val="en-GB" w:eastAsia="fr-FR"/>
              </w:rPr>
            </w:pPr>
            <w:r w:rsidRPr="000E1946">
              <w:rPr>
                <w:rFonts w:ascii="Verdana" w:hAnsi="Verdana"/>
                <w:color w:val="7F7F7F" w:themeColor="text1" w:themeTint="80"/>
                <w:sz w:val="22"/>
                <w:szCs w:val="22"/>
                <w:lang w:val="en-GB" w:eastAsia="fr-FR"/>
              </w:rPr>
              <w:t>260</w:t>
            </w:r>
          </w:p>
        </w:tc>
        <w:tc>
          <w:tcPr>
            <w:tcW w:w="1999" w:type="pct"/>
            <w:tcBorders>
              <w:top w:val="single" w:sz="4" w:space="0" w:color="auto"/>
              <w:left w:val="single" w:sz="4" w:space="0" w:color="auto"/>
              <w:bottom w:val="single" w:sz="4" w:space="0" w:color="auto"/>
              <w:right w:val="single" w:sz="4" w:space="0" w:color="auto"/>
            </w:tcBorders>
          </w:tcPr>
          <w:p w14:paraId="442A35E1" w14:textId="293BE5B7" w:rsidR="0022595E" w:rsidRDefault="0022595E" w:rsidP="00020B14">
            <w:pPr>
              <w:tabs>
                <w:tab w:val="left" w:pos="0"/>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 xml:space="preserve">EIOPA </w:t>
            </w:r>
            <w:r w:rsidR="001C4F70">
              <w:rPr>
                <w:rFonts w:ascii="Verdana" w:hAnsi="Verdana"/>
                <w:color w:val="7F7F7F" w:themeColor="text1" w:themeTint="80"/>
                <w:sz w:val="22"/>
                <w:szCs w:val="22"/>
                <w:lang w:val="en-US"/>
              </w:rPr>
              <w:t>explains that</w:t>
            </w:r>
            <w:r w:rsidR="001C4F70" w:rsidRPr="00D46B4C">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 xml:space="preserve">it has carried out intensive reviews and </w:t>
            </w:r>
            <w:r>
              <w:rPr>
                <w:rFonts w:ascii="Verdana" w:hAnsi="Verdana"/>
                <w:color w:val="7F7F7F" w:themeColor="text1" w:themeTint="80"/>
                <w:sz w:val="22"/>
                <w:szCs w:val="22"/>
                <w:lang w:val="en-US"/>
              </w:rPr>
              <w:t xml:space="preserve">the current </w:t>
            </w:r>
            <w:r w:rsidRPr="00D46B4C">
              <w:rPr>
                <w:rFonts w:ascii="Verdana" w:hAnsi="Verdana"/>
                <w:color w:val="7F7F7F" w:themeColor="text1" w:themeTint="80"/>
                <w:sz w:val="22"/>
                <w:szCs w:val="22"/>
                <w:lang w:val="en-US"/>
              </w:rPr>
              <w:t xml:space="preserve">review has highlighted several deficiencies. However, EIOPA </w:t>
            </w:r>
            <w:r w:rsidR="001C4F70">
              <w:rPr>
                <w:rFonts w:ascii="Verdana" w:hAnsi="Verdana"/>
                <w:color w:val="7F7F7F" w:themeColor="text1" w:themeTint="80"/>
                <w:sz w:val="22"/>
                <w:szCs w:val="22"/>
                <w:lang w:val="en-US"/>
              </w:rPr>
              <w:t>has</w:t>
            </w:r>
            <w:r w:rsidR="001C4F70" w:rsidRPr="00D46B4C">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not assess</w:t>
            </w:r>
            <w:r w:rsidR="001C4F70">
              <w:rPr>
                <w:rFonts w:ascii="Verdana" w:hAnsi="Verdana"/>
                <w:color w:val="7F7F7F" w:themeColor="text1" w:themeTint="80"/>
                <w:sz w:val="22"/>
                <w:szCs w:val="22"/>
                <w:lang w:val="en-US"/>
              </w:rPr>
              <w:t>ed</w:t>
            </w:r>
            <w:r w:rsidRPr="00D46B4C">
              <w:rPr>
                <w:rFonts w:ascii="Verdana" w:hAnsi="Verdana"/>
                <w:color w:val="7F7F7F" w:themeColor="text1" w:themeTint="80"/>
                <w:sz w:val="22"/>
                <w:szCs w:val="22"/>
                <w:lang w:val="en-US"/>
              </w:rPr>
              <w:t xml:space="preserve"> the appropriateness of including all possible investments when determining the VA. One asset class which </w:t>
            </w:r>
            <w:r w:rsidR="00D1789F">
              <w:rPr>
                <w:rFonts w:ascii="Verdana" w:hAnsi="Verdana"/>
                <w:color w:val="7F7F7F" w:themeColor="text1" w:themeTint="80"/>
                <w:sz w:val="22"/>
                <w:szCs w:val="22"/>
                <w:lang w:val="en-US"/>
              </w:rPr>
              <w:t>has</w:t>
            </w:r>
            <w:r w:rsidRPr="00D46B4C">
              <w:rPr>
                <w:rFonts w:ascii="Verdana" w:hAnsi="Verdana"/>
                <w:color w:val="7F7F7F" w:themeColor="text1" w:themeTint="80"/>
                <w:sz w:val="22"/>
                <w:szCs w:val="22"/>
                <w:lang w:val="en-US"/>
              </w:rPr>
              <w:t xml:space="preserve"> not </w:t>
            </w:r>
            <w:r w:rsidR="00D1789F">
              <w:rPr>
                <w:rFonts w:ascii="Verdana" w:hAnsi="Verdana"/>
                <w:color w:val="7F7F7F" w:themeColor="text1" w:themeTint="80"/>
                <w:sz w:val="22"/>
                <w:szCs w:val="22"/>
                <w:lang w:val="en-US"/>
              </w:rPr>
              <w:t>been</w:t>
            </w:r>
            <w:r w:rsidR="002A66AF">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 xml:space="preserve">properly </w:t>
            </w:r>
            <w:r w:rsidRPr="00D46B4C">
              <w:rPr>
                <w:rFonts w:ascii="Verdana" w:hAnsi="Verdana"/>
                <w:color w:val="7F7F7F" w:themeColor="text1" w:themeTint="80"/>
                <w:sz w:val="22"/>
                <w:szCs w:val="22"/>
                <w:lang w:val="en-US"/>
              </w:rPr>
              <w:t>include</w:t>
            </w:r>
            <w:r>
              <w:rPr>
                <w:rFonts w:ascii="Verdana" w:hAnsi="Verdana"/>
                <w:color w:val="7F7F7F" w:themeColor="text1" w:themeTint="80"/>
                <w:sz w:val="22"/>
                <w:szCs w:val="22"/>
                <w:lang w:val="en-US"/>
              </w:rPr>
              <w:t xml:space="preserve">d </w:t>
            </w:r>
            <w:r w:rsidRPr="00D46B4C">
              <w:rPr>
                <w:rFonts w:ascii="Verdana" w:hAnsi="Verdana"/>
                <w:color w:val="7F7F7F" w:themeColor="text1" w:themeTint="80"/>
                <w:sz w:val="22"/>
                <w:szCs w:val="22"/>
                <w:lang w:val="en-US"/>
              </w:rPr>
              <w:t>is mortgage loans</w:t>
            </w:r>
            <w:r>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 xml:space="preserve">In some </w:t>
            </w:r>
            <w:r>
              <w:rPr>
                <w:rFonts w:ascii="Verdana" w:hAnsi="Verdana"/>
                <w:color w:val="7F7F7F" w:themeColor="text1" w:themeTint="80"/>
                <w:sz w:val="22"/>
                <w:szCs w:val="22"/>
                <w:lang w:val="en-US"/>
              </w:rPr>
              <w:t>m</w:t>
            </w:r>
            <w:r w:rsidRPr="00D46B4C">
              <w:rPr>
                <w:rFonts w:ascii="Verdana" w:hAnsi="Verdana"/>
                <w:color w:val="7F7F7F" w:themeColor="text1" w:themeTint="80"/>
                <w:sz w:val="22"/>
                <w:szCs w:val="22"/>
                <w:lang w:val="en-US"/>
              </w:rPr>
              <w:t xml:space="preserve">ember </w:t>
            </w:r>
            <w:r>
              <w:rPr>
                <w:rFonts w:ascii="Verdana" w:hAnsi="Verdana"/>
                <w:color w:val="7F7F7F" w:themeColor="text1" w:themeTint="80"/>
                <w:sz w:val="22"/>
                <w:szCs w:val="22"/>
                <w:lang w:val="en-US"/>
              </w:rPr>
              <w:t>s</w:t>
            </w:r>
            <w:r w:rsidRPr="00D46B4C">
              <w:rPr>
                <w:rFonts w:ascii="Verdana" w:hAnsi="Verdana"/>
                <w:color w:val="7F7F7F" w:themeColor="text1" w:themeTint="80"/>
                <w:sz w:val="22"/>
                <w:szCs w:val="22"/>
                <w:lang w:val="en-US"/>
              </w:rPr>
              <w:t xml:space="preserve">tates mortgage loans are a significant part of the </w:t>
            </w:r>
            <w:r w:rsidR="008C75BD">
              <w:rPr>
                <w:rFonts w:ascii="Verdana" w:hAnsi="Verdana"/>
                <w:color w:val="7F7F7F" w:themeColor="text1" w:themeTint="80"/>
                <w:sz w:val="22"/>
                <w:szCs w:val="22"/>
                <w:lang w:val="en-US"/>
              </w:rPr>
              <w:t xml:space="preserve">insurers’ </w:t>
            </w:r>
            <w:r w:rsidRPr="00D46B4C">
              <w:rPr>
                <w:rFonts w:ascii="Verdana" w:hAnsi="Verdana"/>
                <w:color w:val="7F7F7F" w:themeColor="text1" w:themeTint="80"/>
                <w:sz w:val="22"/>
                <w:szCs w:val="22"/>
                <w:lang w:val="en-US"/>
              </w:rPr>
              <w:t xml:space="preserve">investments backing insurance liabilities. A proper treatment is needed to avoid several of the issues </w:t>
            </w:r>
            <w:r w:rsidRPr="00D46B4C">
              <w:rPr>
                <w:rFonts w:ascii="Verdana" w:hAnsi="Verdana"/>
                <w:color w:val="7F7F7F" w:themeColor="text1" w:themeTint="80"/>
                <w:sz w:val="22"/>
                <w:szCs w:val="22"/>
                <w:lang w:val="en-US"/>
              </w:rPr>
              <w:lastRenderedPageBreak/>
              <w:t>identified by EIOPA</w:t>
            </w:r>
            <w:r w:rsidR="00AA781A">
              <w:rPr>
                <w:rFonts w:ascii="Verdana" w:hAnsi="Verdana"/>
                <w:color w:val="7F7F7F" w:themeColor="text1" w:themeTint="80"/>
                <w:sz w:val="22"/>
                <w:szCs w:val="22"/>
                <w:lang w:val="en-US"/>
              </w:rPr>
              <w:t xml:space="preserve"> in this consultation paper</w:t>
            </w:r>
            <w:r w:rsidRPr="00D46B4C">
              <w:rPr>
                <w:rFonts w:ascii="Verdana" w:hAnsi="Verdana"/>
                <w:color w:val="7F7F7F" w:themeColor="text1" w:themeTint="80"/>
                <w:sz w:val="22"/>
                <w:szCs w:val="22"/>
                <w:lang w:val="en-US"/>
              </w:rPr>
              <w:t xml:space="preserve"> such as </w:t>
            </w:r>
            <w:r w:rsidR="008C75BD">
              <w:rPr>
                <w:rFonts w:ascii="Verdana" w:hAnsi="Verdana"/>
                <w:color w:val="7F7F7F" w:themeColor="text1" w:themeTint="80"/>
                <w:sz w:val="22"/>
                <w:szCs w:val="22"/>
                <w:lang w:val="en-US"/>
              </w:rPr>
              <w:t xml:space="preserve">the </w:t>
            </w:r>
            <w:r w:rsidRPr="00D46B4C">
              <w:rPr>
                <w:rFonts w:ascii="Verdana" w:hAnsi="Verdana"/>
                <w:color w:val="7F7F7F" w:themeColor="text1" w:themeTint="80"/>
                <w:sz w:val="22"/>
                <w:szCs w:val="22"/>
                <w:lang w:val="en-US"/>
              </w:rPr>
              <w:t>under/overshooting</w:t>
            </w:r>
            <w:r w:rsidR="00AA781A">
              <w:rPr>
                <w:rFonts w:ascii="Verdana" w:hAnsi="Verdana"/>
                <w:color w:val="7F7F7F" w:themeColor="text1" w:themeTint="80"/>
                <w:sz w:val="22"/>
                <w:szCs w:val="22"/>
                <w:lang w:val="en-US"/>
              </w:rPr>
              <w:t xml:space="preserve"> effects</w:t>
            </w:r>
            <w:r w:rsidRPr="00D46B4C">
              <w:rPr>
                <w:rFonts w:ascii="Verdana" w:hAnsi="Verdana"/>
                <w:color w:val="7F7F7F" w:themeColor="text1" w:themeTint="80"/>
                <w:sz w:val="22"/>
                <w:szCs w:val="22"/>
                <w:lang w:val="en-US"/>
              </w:rPr>
              <w:t xml:space="preserve"> (</w:t>
            </w:r>
            <w:r w:rsidR="00962713">
              <w:rPr>
                <w:rFonts w:ascii="Verdana" w:hAnsi="Verdana"/>
                <w:color w:val="7F7F7F" w:themeColor="text1" w:themeTint="80"/>
                <w:sz w:val="22"/>
                <w:szCs w:val="22"/>
                <w:lang w:val="en-US"/>
              </w:rPr>
              <w:t>i.e.</w:t>
            </w:r>
            <w:r w:rsidR="00AA781A">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 xml:space="preserve">basis risk) and </w:t>
            </w:r>
            <w:r w:rsidR="00AA781A">
              <w:rPr>
                <w:rFonts w:ascii="Verdana" w:hAnsi="Verdana"/>
                <w:color w:val="7F7F7F" w:themeColor="text1" w:themeTint="80"/>
                <w:sz w:val="22"/>
                <w:szCs w:val="22"/>
                <w:lang w:val="en-US"/>
              </w:rPr>
              <w:t xml:space="preserve">the </w:t>
            </w:r>
            <w:r w:rsidRPr="00D46B4C">
              <w:rPr>
                <w:rFonts w:ascii="Verdana" w:hAnsi="Verdana"/>
                <w:color w:val="7F7F7F" w:themeColor="text1" w:themeTint="80"/>
                <w:sz w:val="22"/>
                <w:szCs w:val="22"/>
                <w:lang w:val="en-US"/>
              </w:rPr>
              <w:t>negative risk management incentives.</w:t>
            </w:r>
            <w:r>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Mortgage loans are specific investments</w:t>
            </w:r>
            <w:r>
              <w:rPr>
                <w:rFonts w:ascii="Verdana" w:hAnsi="Verdana"/>
                <w:color w:val="7F7F7F" w:themeColor="text1" w:themeTint="80"/>
                <w:sz w:val="22"/>
                <w:szCs w:val="22"/>
                <w:lang w:val="en-US"/>
              </w:rPr>
              <w:t xml:space="preserve"> which </w:t>
            </w:r>
            <w:r w:rsidRPr="00D46B4C">
              <w:rPr>
                <w:rFonts w:ascii="Verdana" w:hAnsi="Verdana"/>
                <w:color w:val="7F7F7F" w:themeColor="text1" w:themeTint="80"/>
                <w:sz w:val="22"/>
                <w:szCs w:val="22"/>
                <w:lang w:val="en-US"/>
              </w:rPr>
              <w:t xml:space="preserve">are normally not listed. The counterparties of mortgage loans are individuals, some of which also have a related insurance policy. </w:t>
            </w:r>
            <w:r w:rsidR="00AA781A">
              <w:rPr>
                <w:rFonts w:ascii="Verdana" w:hAnsi="Verdana"/>
                <w:color w:val="7F7F7F" w:themeColor="text1" w:themeTint="80"/>
                <w:sz w:val="22"/>
                <w:szCs w:val="22"/>
                <w:lang w:val="en-US"/>
              </w:rPr>
              <w:t>M</w:t>
            </w:r>
            <w:r w:rsidRPr="00D46B4C">
              <w:rPr>
                <w:rFonts w:ascii="Verdana" w:hAnsi="Verdana"/>
                <w:color w:val="7F7F7F" w:themeColor="text1" w:themeTint="80"/>
                <w:sz w:val="22"/>
                <w:szCs w:val="22"/>
                <w:lang w:val="en-US"/>
              </w:rPr>
              <w:t xml:space="preserve">ortgage loans are </w:t>
            </w:r>
            <w:r w:rsidR="00962713" w:rsidRPr="00D46B4C">
              <w:rPr>
                <w:rFonts w:ascii="Verdana" w:hAnsi="Verdana"/>
                <w:color w:val="7F7F7F" w:themeColor="text1" w:themeTint="80"/>
                <w:sz w:val="22"/>
                <w:szCs w:val="22"/>
                <w:lang w:val="en-US"/>
              </w:rPr>
              <w:t>recognized</w:t>
            </w:r>
            <w:r w:rsidRPr="00D46B4C">
              <w:rPr>
                <w:rFonts w:ascii="Verdana" w:hAnsi="Verdana"/>
                <w:color w:val="7F7F7F" w:themeColor="text1" w:themeTint="80"/>
                <w:sz w:val="22"/>
                <w:szCs w:val="22"/>
                <w:lang w:val="en-US"/>
              </w:rPr>
              <w:t xml:space="preserve"> on the economic balance sheet for </w:t>
            </w:r>
            <w:r w:rsidR="00AA781A">
              <w:rPr>
                <w:rFonts w:ascii="Verdana" w:hAnsi="Verdana"/>
                <w:color w:val="7F7F7F" w:themeColor="text1" w:themeTint="80"/>
                <w:sz w:val="22"/>
                <w:szCs w:val="22"/>
                <w:lang w:val="en-US"/>
              </w:rPr>
              <w:t xml:space="preserve">a </w:t>
            </w:r>
            <w:r w:rsidRPr="00D46B4C">
              <w:rPr>
                <w:rFonts w:ascii="Verdana" w:hAnsi="Verdana"/>
                <w:color w:val="7F7F7F" w:themeColor="text1" w:themeTint="80"/>
                <w:sz w:val="22"/>
                <w:szCs w:val="22"/>
                <w:lang w:val="en-US"/>
              </w:rPr>
              <w:t>longer term</w:t>
            </w:r>
            <w:r w:rsidR="00AA781A">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Insurers have no objective to benefit from short</w:t>
            </w:r>
            <w:r w:rsidR="00AA781A">
              <w:rPr>
                <w:rFonts w:ascii="Verdana" w:hAnsi="Verdana"/>
                <w:color w:val="7F7F7F" w:themeColor="text1" w:themeTint="80"/>
                <w:sz w:val="22"/>
                <w:szCs w:val="22"/>
                <w:lang w:val="en-US"/>
              </w:rPr>
              <w:t>-</w:t>
            </w:r>
            <w:r w:rsidRPr="00D46B4C">
              <w:rPr>
                <w:rFonts w:ascii="Verdana" w:hAnsi="Verdana"/>
                <w:color w:val="7F7F7F" w:themeColor="text1" w:themeTint="80"/>
                <w:sz w:val="22"/>
                <w:szCs w:val="22"/>
                <w:lang w:val="en-US"/>
              </w:rPr>
              <w:t xml:space="preserve">term price fluctuations. </w:t>
            </w:r>
            <w:r w:rsidR="00AA781A">
              <w:rPr>
                <w:rFonts w:ascii="Verdana" w:hAnsi="Verdana"/>
                <w:color w:val="7F7F7F" w:themeColor="text1" w:themeTint="80"/>
                <w:sz w:val="22"/>
                <w:szCs w:val="22"/>
                <w:lang w:val="en-US"/>
              </w:rPr>
              <w:t>Data shows that</w:t>
            </w:r>
            <w:r w:rsidRPr="00D46B4C">
              <w:rPr>
                <w:rFonts w:ascii="Verdana" w:hAnsi="Verdana"/>
                <w:color w:val="7F7F7F" w:themeColor="text1" w:themeTint="80"/>
                <w:sz w:val="22"/>
                <w:szCs w:val="22"/>
                <w:lang w:val="en-US"/>
              </w:rPr>
              <w:t xml:space="preserve"> the default rates </w:t>
            </w:r>
            <w:r w:rsidR="00AA781A">
              <w:rPr>
                <w:rFonts w:ascii="Verdana" w:hAnsi="Verdana"/>
                <w:color w:val="7F7F7F" w:themeColor="text1" w:themeTint="80"/>
                <w:sz w:val="22"/>
                <w:szCs w:val="22"/>
                <w:lang w:val="en-US"/>
              </w:rPr>
              <w:t xml:space="preserve">on </w:t>
            </w:r>
            <w:r w:rsidRPr="00D46B4C">
              <w:rPr>
                <w:rFonts w:ascii="Verdana" w:hAnsi="Verdana"/>
                <w:color w:val="7F7F7F" w:themeColor="text1" w:themeTint="80"/>
                <w:sz w:val="22"/>
                <w:szCs w:val="22"/>
                <w:lang w:val="en-US"/>
              </w:rPr>
              <w:t>European mortgage loans are very low</w:t>
            </w:r>
            <w:r w:rsidR="00AA781A">
              <w:rPr>
                <w:rFonts w:ascii="Verdana" w:hAnsi="Verdana"/>
                <w:color w:val="7F7F7F" w:themeColor="text1" w:themeTint="80"/>
                <w:sz w:val="22"/>
                <w:szCs w:val="22"/>
                <w:lang w:val="en-US"/>
              </w:rPr>
              <w:t xml:space="preserve"> </w:t>
            </w:r>
            <w:r w:rsidR="008C75BD">
              <w:rPr>
                <w:rFonts w:ascii="Verdana" w:hAnsi="Verdana"/>
                <w:color w:val="7F7F7F" w:themeColor="text1" w:themeTint="80"/>
                <w:sz w:val="22"/>
                <w:szCs w:val="22"/>
                <w:lang w:val="en-US"/>
              </w:rPr>
              <w:t>but</w:t>
            </w:r>
            <w:r w:rsidR="00AA781A">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 xml:space="preserve">mortgage loans are </w:t>
            </w:r>
            <w:r w:rsidR="008C75BD">
              <w:rPr>
                <w:rFonts w:ascii="Verdana" w:hAnsi="Verdana"/>
                <w:color w:val="7F7F7F" w:themeColor="text1" w:themeTint="80"/>
                <w:sz w:val="22"/>
                <w:szCs w:val="22"/>
                <w:lang w:val="en-US"/>
              </w:rPr>
              <w:t xml:space="preserve">currently being </w:t>
            </w:r>
            <w:r w:rsidR="00AA781A">
              <w:rPr>
                <w:rFonts w:ascii="Verdana" w:hAnsi="Verdana"/>
                <w:color w:val="7F7F7F" w:themeColor="text1" w:themeTint="80"/>
                <w:sz w:val="22"/>
                <w:szCs w:val="22"/>
                <w:lang w:val="en-US"/>
              </w:rPr>
              <w:t>assigned</w:t>
            </w:r>
            <w:r w:rsidR="00AA781A" w:rsidRPr="00D46B4C">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to corporate bonds</w:t>
            </w:r>
            <w:r w:rsidR="00AA781A">
              <w:rPr>
                <w:rFonts w:ascii="Verdana" w:hAnsi="Verdana"/>
                <w:color w:val="7F7F7F" w:themeColor="text1" w:themeTint="80"/>
                <w:sz w:val="22"/>
                <w:szCs w:val="22"/>
                <w:lang w:val="en-US"/>
              </w:rPr>
              <w:t xml:space="preserve"> for the VA calculation.</w:t>
            </w:r>
          </w:p>
          <w:p w14:paraId="0598930B" w14:textId="77777777" w:rsidR="00AA781A" w:rsidRPr="00D46B4C" w:rsidRDefault="00AA781A" w:rsidP="00020B14">
            <w:pPr>
              <w:tabs>
                <w:tab w:val="left" w:pos="0"/>
              </w:tabs>
              <w:rPr>
                <w:rFonts w:ascii="Verdana" w:hAnsi="Verdana"/>
                <w:color w:val="7F7F7F" w:themeColor="text1" w:themeTint="80"/>
                <w:sz w:val="22"/>
                <w:szCs w:val="22"/>
                <w:lang w:val="en-US"/>
              </w:rPr>
            </w:pPr>
          </w:p>
          <w:p w14:paraId="2261C4CB" w14:textId="77777777" w:rsidR="0022595E" w:rsidRPr="00D46B4C" w:rsidRDefault="0022595E" w:rsidP="00020B14">
            <w:pPr>
              <w:tabs>
                <w:tab w:val="left" w:pos="0"/>
              </w:tabs>
              <w:rPr>
                <w:rFonts w:ascii="Verdana" w:hAnsi="Verdana"/>
                <w:color w:val="7F7F7F" w:themeColor="text1" w:themeTint="80"/>
                <w:sz w:val="22"/>
                <w:szCs w:val="22"/>
                <w:u w:val="single"/>
                <w:lang w:val="en-US"/>
              </w:rPr>
            </w:pPr>
            <w:r w:rsidRPr="00D46B4C">
              <w:rPr>
                <w:rFonts w:ascii="Verdana" w:hAnsi="Verdana"/>
                <w:color w:val="7F7F7F" w:themeColor="text1" w:themeTint="80"/>
                <w:sz w:val="22"/>
                <w:szCs w:val="22"/>
                <w:u w:val="single"/>
                <w:lang w:val="en-US"/>
              </w:rPr>
              <w:t>Proposal for treatment of mortgage loans via a separate index</w:t>
            </w:r>
          </w:p>
          <w:p w14:paraId="1BC7613C" w14:textId="6ED75CBD" w:rsidR="0022595E" w:rsidRPr="00D46B4C" w:rsidRDefault="0022595E" w:rsidP="00020B14">
            <w:pPr>
              <w:tabs>
                <w:tab w:val="left" w:pos="0"/>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 xml:space="preserve">As mortgage loans </w:t>
            </w:r>
            <w:r>
              <w:rPr>
                <w:rFonts w:ascii="Verdana" w:hAnsi="Verdana"/>
                <w:color w:val="7F7F7F" w:themeColor="text1" w:themeTint="80"/>
                <w:sz w:val="22"/>
                <w:szCs w:val="22"/>
                <w:lang w:val="en-US"/>
              </w:rPr>
              <w:t xml:space="preserve">neither </w:t>
            </w:r>
            <w:r w:rsidRPr="00D46B4C">
              <w:rPr>
                <w:rFonts w:ascii="Verdana" w:hAnsi="Verdana"/>
                <w:color w:val="7F7F7F" w:themeColor="text1" w:themeTint="80"/>
                <w:sz w:val="22"/>
                <w:szCs w:val="22"/>
                <w:lang w:val="en-US"/>
              </w:rPr>
              <w:t>are traded on an active market, nor are there quoted prices, obtaining a</w:t>
            </w:r>
            <w:r w:rsidR="00963AA4">
              <w:rPr>
                <w:rFonts w:ascii="Verdana" w:hAnsi="Verdana"/>
                <w:color w:val="7F7F7F" w:themeColor="text1" w:themeTint="80"/>
                <w:sz w:val="22"/>
                <w:szCs w:val="22"/>
                <w:lang w:val="en-US"/>
              </w:rPr>
              <w:t>n</w:t>
            </w:r>
            <w:r w:rsidRPr="00D46B4C">
              <w:rPr>
                <w:rFonts w:ascii="Verdana" w:hAnsi="Verdana"/>
                <w:color w:val="7F7F7F" w:themeColor="text1" w:themeTint="80"/>
                <w:sz w:val="22"/>
                <w:szCs w:val="22"/>
                <w:lang w:val="en-US"/>
              </w:rPr>
              <w:t xml:space="preserve"> economic value is based on a</w:t>
            </w:r>
            <w:r w:rsidRPr="00D46B4C">
              <w:rPr>
                <w:color w:val="7F7F7F" w:themeColor="text1" w:themeTint="80"/>
                <w:lang w:val="en-US"/>
              </w:rPr>
              <w:t xml:space="preserve"> </w:t>
            </w:r>
            <w:r w:rsidRPr="00D46B4C">
              <w:rPr>
                <w:rFonts w:ascii="Verdana" w:hAnsi="Verdana"/>
                <w:color w:val="7F7F7F" w:themeColor="text1" w:themeTint="80"/>
                <w:sz w:val="22"/>
                <w:szCs w:val="22"/>
                <w:lang w:val="en-US"/>
              </w:rPr>
              <w:t>valuation methodology. The valuation methodology can either be based on a top-down approach or bottom-up approach. The latter involves more entity specific assumptions and possibly expert judgment. For the proposal we refer to the “top-down approach”. Under the top-down approach the spread is derived from market data.</w:t>
            </w:r>
          </w:p>
          <w:p w14:paraId="4AEA0B32" w14:textId="77777777" w:rsidR="0022595E" w:rsidRDefault="0022595E" w:rsidP="00020B14">
            <w:pPr>
              <w:pStyle w:val="ACbodynormal"/>
              <w:tabs>
                <w:tab w:val="left" w:pos="0"/>
              </w:tabs>
              <w:rPr>
                <w:rFonts w:ascii="Verdana" w:hAnsi="Verdana" w:cs="Arial"/>
                <w:sz w:val="20"/>
              </w:rPr>
            </w:pPr>
            <w:r w:rsidRPr="0038628C">
              <w:rPr>
                <w:rFonts w:ascii="Verdana" w:hAnsi="Verdana" w:cs="Arial"/>
                <w:noProof/>
                <w:sz w:val="20"/>
                <w:lang w:eastAsia="en-GB"/>
              </w:rPr>
              <w:drawing>
                <wp:inline distT="0" distB="0" distL="0" distR="0" wp14:anchorId="364B0F78" wp14:editId="789D2C68">
                  <wp:extent cx="5589689" cy="876300"/>
                  <wp:effectExtent l="0" t="0" r="0" b="0"/>
                  <wp:docPr id="24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03240" cy="878424"/>
                          </a:xfrm>
                          <a:prstGeom prst="rect">
                            <a:avLst/>
                          </a:prstGeom>
                          <a:noFill/>
                          <a:ln>
                            <a:noFill/>
                          </a:ln>
                        </pic:spPr>
                      </pic:pic>
                    </a:graphicData>
                  </a:graphic>
                </wp:inline>
              </w:drawing>
            </w:r>
          </w:p>
          <w:p w14:paraId="46CFF9A1" w14:textId="07E894B6" w:rsidR="0022595E" w:rsidRPr="00D46B4C" w:rsidRDefault="0022595E" w:rsidP="00020B14">
            <w:pPr>
              <w:tabs>
                <w:tab w:val="left" w:pos="0"/>
              </w:tabs>
              <w:spacing w:before="120" w:after="120"/>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 xml:space="preserve">Market rates for comparable mortgage loans can be obtained from the consumer market for mortgage loans. The mortgage rates </w:t>
            </w:r>
            <w:r>
              <w:rPr>
                <w:rFonts w:ascii="Verdana" w:hAnsi="Verdana"/>
                <w:color w:val="7F7F7F" w:themeColor="text1" w:themeTint="80"/>
                <w:sz w:val="22"/>
                <w:szCs w:val="22"/>
                <w:lang w:val="en-US"/>
              </w:rPr>
              <w:t>from</w:t>
            </w:r>
            <w:r w:rsidRPr="00D46B4C">
              <w:rPr>
                <w:rFonts w:ascii="Verdana" w:hAnsi="Verdana"/>
                <w:color w:val="7F7F7F" w:themeColor="text1" w:themeTint="80"/>
                <w:sz w:val="22"/>
                <w:szCs w:val="22"/>
                <w:lang w:val="en-US"/>
              </w:rPr>
              <w:t xml:space="preserve"> providers should be assessed for their quality (no action rates, sufficient </w:t>
            </w:r>
            <w:r w:rsidRPr="00D46B4C">
              <w:rPr>
                <w:rFonts w:ascii="Verdana" w:hAnsi="Verdana"/>
                <w:color w:val="7F7F7F" w:themeColor="text1" w:themeTint="80"/>
                <w:sz w:val="22"/>
                <w:szCs w:val="22"/>
                <w:lang w:val="en-US"/>
              </w:rPr>
              <w:lastRenderedPageBreak/>
              <w:t xml:space="preserve">cover of the whole market). From this rate the “swap rate” is deducted to </w:t>
            </w:r>
            <w:r>
              <w:rPr>
                <w:rFonts w:ascii="Verdana" w:hAnsi="Verdana"/>
                <w:color w:val="7F7F7F" w:themeColor="text1" w:themeTint="80"/>
                <w:sz w:val="22"/>
                <w:szCs w:val="22"/>
                <w:lang w:val="en-US"/>
              </w:rPr>
              <w:t>calculate</w:t>
            </w:r>
            <w:r w:rsidRPr="00D46B4C">
              <w:rPr>
                <w:rFonts w:ascii="Verdana" w:hAnsi="Verdana"/>
                <w:color w:val="7F7F7F" w:themeColor="text1" w:themeTint="80"/>
                <w:sz w:val="22"/>
                <w:szCs w:val="22"/>
                <w:lang w:val="en-US"/>
              </w:rPr>
              <w:t xml:space="preserve"> the “market implied discount spread”.</w:t>
            </w:r>
            <w:r>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From the “market implied discount spread” those costs are deducted which are not relevant for the valuation of an existing mortgage loan. These costs include (non-exhaustive</w:t>
            </w:r>
            <w:r>
              <w:rPr>
                <w:rFonts w:ascii="Verdana" w:hAnsi="Verdana"/>
                <w:color w:val="7F7F7F" w:themeColor="text1" w:themeTint="80"/>
                <w:sz w:val="22"/>
                <w:szCs w:val="22"/>
                <w:lang w:val="en-US"/>
              </w:rPr>
              <w:t xml:space="preserve"> list</w:t>
            </w:r>
            <w:r w:rsidRPr="00D46B4C">
              <w:rPr>
                <w:rFonts w:ascii="Verdana" w:hAnsi="Verdana"/>
                <w:color w:val="7F7F7F" w:themeColor="text1" w:themeTint="80"/>
                <w:sz w:val="22"/>
                <w:szCs w:val="22"/>
                <w:lang w:val="en-US"/>
              </w:rPr>
              <w:t>):</w:t>
            </w:r>
          </w:p>
          <w:p w14:paraId="33A8813C" w14:textId="73FBD9F3" w:rsidR="0022595E" w:rsidRPr="00CE72D2" w:rsidRDefault="0022595E" w:rsidP="00020B14">
            <w:pPr>
              <w:tabs>
                <w:tab w:val="left" w:pos="0"/>
              </w:tabs>
              <w:spacing w:after="160" w:line="259" w:lineRule="auto"/>
              <w:contextualSpacing/>
              <w:rPr>
                <w:rFonts w:ascii="Verdana" w:hAnsi="Verdana"/>
                <w:color w:val="7F7F7F" w:themeColor="text1" w:themeTint="80"/>
                <w:lang w:val="en-US"/>
              </w:rPr>
            </w:pPr>
            <w:r w:rsidRPr="00CE72D2">
              <w:rPr>
                <w:rFonts w:ascii="Verdana" w:hAnsi="Verdana"/>
                <w:color w:val="7F7F7F" w:themeColor="text1" w:themeTint="80"/>
                <w:sz w:val="22"/>
                <w:szCs w:val="22"/>
                <w:lang w:val="en-US"/>
              </w:rPr>
              <w:t>Pipeline risk is defined as the interest rate risk which exists for an issuer between the moment of putting forward a proposal to a consumer and the settling of this proposal in a legal manner. In principle the pipeline risk is determined as the cost of buying an interest rate swap in which the fixed leg is the mortgage loan interest rate as put forward and the floating leg is Euribor (or an equivalent benchmark). The IRS is obtained for a similar period for which the pipeline risk exists;</w:t>
            </w:r>
          </w:p>
          <w:p w14:paraId="66ADD5B2" w14:textId="0E991BCE" w:rsidR="0022595E" w:rsidRPr="00284B92" w:rsidRDefault="00284B92" w:rsidP="00020B14">
            <w:pPr>
              <w:tabs>
                <w:tab w:val="left" w:pos="0"/>
              </w:tabs>
              <w:spacing w:before="120" w:after="120"/>
              <w:rPr>
                <w:rFonts w:ascii="Verdana" w:hAnsi="Verdana"/>
                <w:color w:val="7F7F7F" w:themeColor="text1" w:themeTint="80"/>
                <w:lang w:val="en-US"/>
              </w:rPr>
            </w:pPr>
            <w:r w:rsidRPr="00284B92">
              <w:rPr>
                <w:rFonts w:ascii="Verdana" w:hAnsi="Verdana"/>
                <w:color w:val="7F7F7F" w:themeColor="text1" w:themeTint="80"/>
                <w:sz w:val="22"/>
                <w:szCs w:val="22"/>
                <w:lang w:val="en-US"/>
              </w:rPr>
              <w:t>F</w:t>
            </w:r>
            <w:r w:rsidR="0022595E" w:rsidRPr="00284B92">
              <w:rPr>
                <w:rFonts w:ascii="Verdana" w:hAnsi="Verdana"/>
                <w:color w:val="7F7F7F" w:themeColor="text1" w:themeTint="80"/>
                <w:sz w:val="22"/>
                <w:szCs w:val="22"/>
                <w:lang w:val="en-US"/>
              </w:rPr>
              <w:t>or both “marketing and sales” and “servicing at origination” these expenses reflect the net expenses.</w:t>
            </w:r>
          </w:p>
          <w:p w14:paraId="35EBE8B4" w14:textId="1FE53956" w:rsidR="0022595E" w:rsidRPr="00D46B4C" w:rsidRDefault="0022595E" w:rsidP="00020B14">
            <w:pPr>
              <w:tabs>
                <w:tab w:val="left" w:pos="0"/>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For each Member State this exercise can be performed, based on which the index per Member State can be constructed and included in the determination of the VA.</w:t>
            </w:r>
          </w:p>
          <w:p w14:paraId="0EC9372C" w14:textId="77777777" w:rsidR="0022595E" w:rsidRPr="001462F7" w:rsidRDefault="0022595E" w:rsidP="00020B14">
            <w:pPr>
              <w:tabs>
                <w:tab w:val="left" w:pos="0"/>
              </w:tabs>
              <w:rPr>
                <w:rFonts w:ascii="Verdana" w:hAnsi="Verdana" w:cs="Helvetica"/>
                <w:color w:val="00000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58565080" w14:textId="77777777" w:rsidR="0022595E" w:rsidRPr="00FE3045" w:rsidRDefault="0022595E" w:rsidP="00020B14">
            <w:pPr>
              <w:tabs>
                <w:tab w:val="left" w:pos="0"/>
              </w:tabs>
              <w:rPr>
                <w:color w:val="000000"/>
                <w:sz w:val="22"/>
                <w:szCs w:val="22"/>
                <w:lang w:val="en-GB" w:eastAsia="fr-FR"/>
              </w:rPr>
            </w:pPr>
          </w:p>
        </w:tc>
      </w:tr>
      <w:tr w:rsidR="00FC5744" w:rsidRPr="001360A5" w14:paraId="12432B58"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5C62C14" w14:textId="49D85070" w:rsidR="0022595E" w:rsidRPr="00001686" w:rsidRDefault="0022595E" w:rsidP="00020B14">
            <w:pPr>
              <w:tabs>
                <w:tab w:val="left" w:pos="0"/>
              </w:tabs>
              <w:ind w:left="-96"/>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lastRenderedPageBreak/>
              <w:t>2</w:t>
            </w:r>
          </w:p>
        </w:tc>
        <w:tc>
          <w:tcPr>
            <w:tcW w:w="506" w:type="pct"/>
            <w:gridSpan w:val="2"/>
            <w:tcBorders>
              <w:top w:val="single" w:sz="4" w:space="0" w:color="auto"/>
              <w:left w:val="single" w:sz="4" w:space="0" w:color="auto"/>
              <w:bottom w:val="single" w:sz="4" w:space="0" w:color="auto"/>
              <w:right w:val="single" w:sz="4" w:space="0" w:color="auto"/>
            </w:tcBorders>
          </w:tcPr>
          <w:p w14:paraId="5E95E044" w14:textId="3A36204D" w:rsidR="0022595E" w:rsidRPr="00001686" w:rsidRDefault="0022595E" w:rsidP="00020B14">
            <w:pPr>
              <w:tabs>
                <w:tab w:val="left" w:pos="0"/>
              </w:tabs>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261</w:t>
            </w:r>
          </w:p>
        </w:tc>
        <w:tc>
          <w:tcPr>
            <w:tcW w:w="1999" w:type="pct"/>
            <w:tcBorders>
              <w:top w:val="single" w:sz="4" w:space="0" w:color="auto"/>
              <w:left w:val="single" w:sz="4" w:space="0" w:color="auto"/>
              <w:bottom w:val="single" w:sz="4" w:space="0" w:color="auto"/>
              <w:right w:val="single" w:sz="4" w:space="0" w:color="auto"/>
            </w:tcBorders>
          </w:tcPr>
          <w:p w14:paraId="36C98B36" w14:textId="6D7D1742" w:rsidR="0022595E" w:rsidRPr="00196D7B" w:rsidRDefault="0022595E" w:rsidP="00020B14">
            <w:pPr>
              <w:tabs>
                <w:tab w:val="left" w:pos="0"/>
              </w:tabs>
              <w:rPr>
                <w:rFonts w:ascii="Verdana" w:hAnsi="Verdana" w:cs="Helvetica"/>
                <w:color w:val="000000"/>
                <w:sz w:val="22"/>
                <w:szCs w:val="22"/>
                <w:lang w:val="en-GB" w:eastAsia="fr-FR"/>
              </w:rPr>
            </w:pPr>
            <w:r w:rsidRPr="00A15D4E">
              <w:rPr>
                <w:rFonts w:ascii="Verdana" w:hAnsi="Verdana" w:cs="Helvetica"/>
                <w:color w:val="7F7F7F" w:themeColor="text1" w:themeTint="80"/>
                <w:sz w:val="22"/>
                <w:szCs w:val="22"/>
                <w:lang w:val="en-US"/>
              </w:rPr>
              <w:t>EIOPA identifies three main objectives that can be attributed to the VA. The third attribute “</w:t>
            </w:r>
            <w:r w:rsidRPr="00440503">
              <w:rPr>
                <w:rFonts w:ascii="Verdana" w:hAnsi="Verdana" w:cs="Helvetica"/>
                <w:i/>
                <w:iCs/>
                <w:color w:val="7F7F7F" w:themeColor="text1" w:themeTint="80"/>
                <w:sz w:val="22"/>
                <w:szCs w:val="22"/>
                <w:lang w:val="en-US"/>
              </w:rPr>
              <w:t>recognize illiquidity characteristics of liabilities in the valuation of te</w:t>
            </w:r>
            <w:r w:rsidR="00963AA4">
              <w:rPr>
                <w:rFonts w:ascii="Verdana" w:hAnsi="Verdana" w:cs="Helvetica"/>
                <w:i/>
                <w:iCs/>
                <w:color w:val="7F7F7F" w:themeColor="text1" w:themeTint="80"/>
                <w:sz w:val="22"/>
                <w:szCs w:val="22"/>
                <w:lang w:val="en-US"/>
              </w:rPr>
              <w:t>c</w:t>
            </w:r>
            <w:r w:rsidRPr="00440503">
              <w:rPr>
                <w:rFonts w:ascii="Verdana" w:hAnsi="Verdana" w:cs="Helvetica"/>
                <w:i/>
                <w:iCs/>
                <w:color w:val="7F7F7F" w:themeColor="text1" w:themeTint="80"/>
                <w:sz w:val="22"/>
                <w:szCs w:val="22"/>
                <w:lang w:val="en-US"/>
              </w:rPr>
              <w:t>hnical provisions</w:t>
            </w:r>
            <w:r w:rsidRPr="00A15D4E">
              <w:rPr>
                <w:rFonts w:ascii="Verdana" w:hAnsi="Verdana" w:cs="Helvetica"/>
                <w:color w:val="7F7F7F" w:themeColor="text1" w:themeTint="80"/>
                <w:sz w:val="22"/>
                <w:szCs w:val="22"/>
                <w:lang w:val="en-US"/>
              </w:rPr>
              <w:t xml:space="preserve">” cannot be linked to the objectives </w:t>
            </w:r>
            <w:r w:rsidR="008C75BD" w:rsidRPr="008C75BD">
              <w:rPr>
                <w:rFonts w:ascii="Verdana" w:hAnsi="Verdana" w:cs="Helvetica"/>
                <w:color w:val="7F7F7F" w:themeColor="text1" w:themeTint="80"/>
                <w:sz w:val="22"/>
                <w:szCs w:val="22"/>
                <w:lang w:val="en-US"/>
              </w:rPr>
              <w:t>listed</w:t>
            </w:r>
            <w:r w:rsidRPr="008C75BD">
              <w:rPr>
                <w:rFonts w:ascii="Verdana" w:hAnsi="Verdana" w:cs="Helvetica"/>
                <w:color w:val="7F7F7F" w:themeColor="text1" w:themeTint="80"/>
                <w:sz w:val="22"/>
                <w:szCs w:val="22"/>
                <w:lang w:val="en-US"/>
              </w:rPr>
              <w:t xml:space="preserve"> in Recital </w:t>
            </w:r>
            <w:r w:rsidR="008C75BD" w:rsidRPr="008C75BD">
              <w:rPr>
                <w:rFonts w:ascii="Verdana" w:hAnsi="Verdana" w:cs="Helvetica"/>
                <w:color w:val="7F7F7F" w:themeColor="text1" w:themeTint="80"/>
                <w:sz w:val="22"/>
                <w:szCs w:val="22"/>
                <w:lang w:val="en-US"/>
              </w:rPr>
              <w:t xml:space="preserve">32 </w:t>
            </w:r>
            <w:r w:rsidRPr="00A15D4E">
              <w:rPr>
                <w:rFonts w:ascii="Verdana" w:hAnsi="Verdana" w:cs="Helvetica"/>
                <w:color w:val="7F7F7F" w:themeColor="text1" w:themeTint="80"/>
                <w:sz w:val="22"/>
                <w:szCs w:val="22"/>
                <w:lang w:val="en-US"/>
              </w:rPr>
              <w:t>of the Omnibus II Directive.</w:t>
            </w:r>
          </w:p>
        </w:tc>
        <w:tc>
          <w:tcPr>
            <w:tcW w:w="483" w:type="pct"/>
            <w:tcBorders>
              <w:top w:val="single" w:sz="4" w:space="0" w:color="auto"/>
              <w:left w:val="single" w:sz="4" w:space="0" w:color="auto"/>
              <w:bottom w:val="single" w:sz="4" w:space="0" w:color="auto"/>
              <w:right w:val="single" w:sz="4" w:space="0" w:color="auto"/>
            </w:tcBorders>
          </w:tcPr>
          <w:p w14:paraId="6CEE6FC8" w14:textId="77777777" w:rsidR="0022595E" w:rsidRPr="00FE3045" w:rsidRDefault="0022595E" w:rsidP="00020B14">
            <w:pPr>
              <w:tabs>
                <w:tab w:val="left" w:pos="0"/>
              </w:tabs>
              <w:rPr>
                <w:color w:val="000000"/>
                <w:sz w:val="22"/>
                <w:szCs w:val="22"/>
                <w:lang w:val="en-GB" w:eastAsia="fr-FR"/>
              </w:rPr>
            </w:pPr>
          </w:p>
        </w:tc>
      </w:tr>
      <w:tr w:rsidR="00FC5744" w:rsidRPr="001360A5" w14:paraId="413A4AAB"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4FF79C9" w14:textId="3BD08703" w:rsidR="0022595E" w:rsidRPr="00001686" w:rsidRDefault="0022595E" w:rsidP="00020B14">
            <w:pPr>
              <w:tabs>
                <w:tab w:val="left" w:pos="0"/>
              </w:tabs>
              <w:ind w:left="-96"/>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67EFE59D" w14:textId="0AFB18E3" w:rsidR="0022595E" w:rsidRPr="00001686" w:rsidRDefault="0022595E" w:rsidP="00020B14">
            <w:pPr>
              <w:tabs>
                <w:tab w:val="left" w:pos="0"/>
              </w:tabs>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262</w:t>
            </w:r>
          </w:p>
        </w:tc>
        <w:tc>
          <w:tcPr>
            <w:tcW w:w="1999" w:type="pct"/>
            <w:tcBorders>
              <w:top w:val="single" w:sz="4" w:space="0" w:color="auto"/>
              <w:left w:val="single" w:sz="4" w:space="0" w:color="auto"/>
              <w:bottom w:val="single" w:sz="4" w:space="0" w:color="auto"/>
              <w:right w:val="single" w:sz="4" w:space="0" w:color="auto"/>
            </w:tcBorders>
          </w:tcPr>
          <w:p w14:paraId="7948B0D1" w14:textId="5A221D16" w:rsidR="0022595E" w:rsidRPr="00196D7B" w:rsidRDefault="0022595E" w:rsidP="00020B14">
            <w:pPr>
              <w:tabs>
                <w:tab w:val="left" w:pos="0"/>
              </w:tabs>
              <w:rPr>
                <w:rFonts w:ascii="Verdana" w:hAnsi="Verdana" w:cs="Helvetica"/>
                <w:color w:val="000000"/>
                <w:sz w:val="22"/>
                <w:szCs w:val="22"/>
                <w:lang w:val="en-GB" w:eastAsia="fr-FR"/>
              </w:rPr>
            </w:pPr>
            <w:r w:rsidRPr="00D46B4C">
              <w:rPr>
                <w:rFonts w:ascii="Verdana" w:hAnsi="Verdana" w:cs="Helvetica"/>
                <w:color w:val="7F7F7F" w:themeColor="text1" w:themeTint="80"/>
                <w:sz w:val="22"/>
                <w:szCs w:val="22"/>
                <w:lang w:val="en-US"/>
              </w:rPr>
              <w:t>If the third objective is eliminated, several of the deficiencies are not so apparent. A deficiency which is not mention</w:t>
            </w:r>
            <w:r>
              <w:rPr>
                <w:rFonts w:ascii="Verdana" w:hAnsi="Verdana" w:cs="Helvetica"/>
                <w:color w:val="7F7F7F" w:themeColor="text1" w:themeTint="80"/>
                <w:sz w:val="22"/>
                <w:szCs w:val="22"/>
                <w:lang w:val="en-US"/>
              </w:rPr>
              <w:t>ed</w:t>
            </w:r>
            <w:r w:rsidRPr="00D46B4C">
              <w:rPr>
                <w:rFonts w:ascii="Verdana" w:hAnsi="Verdana" w:cs="Helvetica"/>
                <w:color w:val="7F7F7F" w:themeColor="text1" w:themeTint="80"/>
                <w:sz w:val="22"/>
                <w:szCs w:val="22"/>
                <w:lang w:val="en-US"/>
              </w:rPr>
              <w:t xml:space="preserve"> is the </w:t>
            </w:r>
            <w:r w:rsidRPr="0031488C">
              <w:rPr>
                <w:rFonts w:ascii="Verdana" w:hAnsi="Verdana" w:cs="Helvetica"/>
                <w:color w:val="7F7F7F" w:themeColor="text1" w:themeTint="80"/>
                <w:sz w:val="22"/>
                <w:szCs w:val="22"/>
                <w:lang w:val="en-US"/>
              </w:rPr>
              <w:t>less granular information used regarding the treatment of mortgage loans.</w:t>
            </w:r>
          </w:p>
        </w:tc>
        <w:tc>
          <w:tcPr>
            <w:tcW w:w="483" w:type="pct"/>
            <w:tcBorders>
              <w:top w:val="single" w:sz="4" w:space="0" w:color="auto"/>
              <w:left w:val="single" w:sz="4" w:space="0" w:color="auto"/>
              <w:bottom w:val="single" w:sz="4" w:space="0" w:color="auto"/>
              <w:right w:val="single" w:sz="4" w:space="0" w:color="auto"/>
            </w:tcBorders>
          </w:tcPr>
          <w:p w14:paraId="74B43AA2" w14:textId="77777777" w:rsidR="0022595E" w:rsidRPr="00FE3045" w:rsidRDefault="0022595E" w:rsidP="00020B14">
            <w:pPr>
              <w:tabs>
                <w:tab w:val="left" w:pos="0"/>
              </w:tabs>
              <w:rPr>
                <w:color w:val="000000"/>
                <w:sz w:val="22"/>
                <w:szCs w:val="22"/>
                <w:lang w:val="en-GB" w:eastAsia="fr-FR"/>
              </w:rPr>
            </w:pPr>
          </w:p>
        </w:tc>
      </w:tr>
      <w:tr w:rsidR="00FC5744" w:rsidRPr="001360A5" w14:paraId="24817922"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D46EEA3" w14:textId="1610D5BC" w:rsidR="0022595E" w:rsidRPr="00001686" w:rsidRDefault="0022595E" w:rsidP="00020B14">
            <w:pPr>
              <w:tabs>
                <w:tab w:val="left" w:pos="0"/>
              </w:tabs>
              <w:ind w:left="-96"/>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153D9E1D" w14:textId="520E0850" w:rsidR="0022595E" w:rsidRPr="00001686" w:rsidRDefault="0022595E" w:rsidP="00020B14">
            <w:pPr>
              <w:tabs>
                <w:tab w:val="left" w:pos="0"/>
              </w:tabs>
              <w:rPr>
                <w:rFonts w:ascii="Verdana" w:hAnsi="Verdana"/>
                <w:color w:val="7F7F7F" w:themeColor="text1" w:themeTint="80"/>
                <w:sz w:val="22"/>
                <w:szCs w:val="22"/>
                <w:lang w:val="en-GB" w:eastAsia="fr-FR"/>
              </w:rPr>
            </w:pPr>
            <w:r w:rsidRPr="00D433EC">
              <w:rPr>
                <w:rFonts w:ascii="Verdana" w:hAnsi="Verdana"/>
                <w:color w:val="7F7F7F" w:themeColor="text1" w:themeTint="80"/>
                <w:sz w:val="22"/>
                <w:szCs w:val="22"/>
                <w:lang w:val="en-GB" w:eastAsia="fr-FR"/>
              </w:rPr>
              <w:t>266</w:t>
            </w:r>
          </w:p>
        </w:tc>
        <w:tc>
          <w:tcPr>
            <w:tcW w:w="1999" w:type="pct"/>
            <w:tcBorders>
              <w:top w:val="single" w:sz="4" w:space="0" w:color="auto"/>
              <w:left w:val="single" w:sz="4" w:space="0" w:color="auto"/>
              <w:bottom w:val="single" w:sz="4" w:space="0" w:color="auto"/>
              <w:right w:val="single" w:sz="4" w:space="0" w:color="auto"/>
            </w:tcBorders>
          </w:tcPr>
          <w:p w14:paraId="77E7692B" w14:textId="436966F0" w:rsidR="0022595E" w:rsidRPr="00185035" w:rsidRDefault="00DE01F5" w:rsidP="00020B14">
            <w:pPr>
              <w:tabs>
                <w:tab w:val="left" w:pos="0"/>
              </w:tabs>
              <w:ind w:right="20"/>
              <w:rPr>
                <w:rFonts w:ascii="Verdana" w:hAnsi="Verdana" w:cs="Helvetica"/>
                <w:color w:val="7F7F7F" w:themeColor="text1" w:themeTint="80"/>
                <w:sz w:val="22"/>
                <w:szCs w:val="22"/>
                <w:lang w:val="en-US"/>
              </w:rPr>
            </w:pPr>
            <w:r>
              <w:rPr>
                <w:rFonts w:ascii="Verdana" w:hAnsi="Verdana" w:cs="Helvetica"/>
                <w:color w:val="7F7F7F" w:themeColor="text1" w:themeTint="80"/>
                <w:sz w:val="22"/>
                <w:szCs w:val="22"/>
                <w:lang w:val="en-GB"/>
              </w:rPr>
              <w:t xml:space="preserve">EIOPA refers to the overshooting impact of the VA </w:t>
            </w:r>
            <w:r>
              <w:rPr>
                <w:rFonts w:ascii="Verdana" w:hAnsi="Verdana" w:cs="Helvetica"/>
                <w:color w:val="7F7F7F" w:themeColor="text1" w:themeTint="80"/>
                <w:sz w:val="22"/>
                <w:szCs w:val="22"/>
                <w:lang w:val="en-US"/>
              </w:rPr>
              <w:t xml:space="preserve">by which </w:t>
            </w:r>
            <w:r w:rsidRPr="00DE01F5">
              <w:rPr>
                <w:rFonts w:ascii="Verdana" w:hAnsi="Verdana" w:cs="Helvetica"/>
                <w:color w:val="7F7F7F" w:themeColor="text1" w:themeTint="80"/>
                <w:sz w:val="22"/>
                <w:szCs w:val="22"/>
                <w:lang w:val="en-US"/>
              </w:rPr>
              <w:t xml:space="preserve">the </w:t>
            </w:r>
            <w:r>
              <w:rPr>
                <w:rFonts w:ascii="Verdana" w:hAnsi="Verdana" w:cs="Helvetica"/>
                <w:color w:val="7F7F7F" w:themeColor="text1" w:themeTint="80"/>
                <w:sz w:val="22"/>
                <w:szCs w:val="22"/>
                <w:lang w:val="en-US"/>
              </w:rPr>
              <w:t xml:space="preserve">dampening effect of the </w:t>
            </w:r>
            <w:r w:rsidRPr="00DE01F5">
              <w:rPr>
                <w:rFonts w:ascii="Verdana" w:hAnsi="Verdana" w:cs="Helvetica"/>
                <w:color w:val="7F7F7F" w:themeColor="text1" w:themeTint="80"/>
                <w:sz w:val="22"/>
                <w:szCs w:val="22"/>
                <w:lang w:val="en-US"/>
              </w:rPr>
              <w:t xml:space="preserve">VA exceeds the effect of a loss in the market </w:t>
            </w:r>
            <w:r w:rsidRPr="00DE01F5">
              <w:rPr>
                <w:rFonts w:ascii="Verdana" w:hAnsi="Verdana" w:cs="Helvetica"/>
                <w:color w:val="7F7F7F" w:themeColor="text1" w:themeTint="80"/>
                <w:sz w:val="22"/>
                <w:szCs w:val="22"/>
                <w:lang w:val="en-US"/>
              </w:rPr>
              <w:lastRenderedPageBreak/>
              <w:t>value of fixed-income assets</w:t>
            </w:r>
            <w:r>
              <w:rPr>
                <w:rFonts w:ascii="Verdana" w:hAnsi="Verdana" w:cs="Helvetica"/>
                <w:color w:val="7F7F7F" w:themeColor="text1" w:themeTint="80"/>
                <w:sz w:val="22"/>
                <w:szCs w:val="22"/>
                <w:lang w:val="en-US"/>
              </w:rPr>
              <w:t>; however,</w:t>
            </w:r>
            <w:r w:rsidR="000839D9">
              <w:rPr>
                <w:rFonts w:ascii="Verdana" w:hAnsi="Verdana" w:cs="Helvetica"/>
                <w:color w:val="7F7F7F" w:themeColor="text1" w:themeTint="80"/>
                <w:sz w:val="22"/>
                <w:szCs w:val="22"/>
                <w:lang w:val="en-US"/>
              </w:rPr>
              <w:t xml:space="preserve"> </w:t>
            </w:r>
            <w:r>
              <w:rPr>
                <w:rFonts w:ascii="Verdana" w:hAnsi="Verdana" w:cs="Helvetica"/>
                <w:color w:val="7F7F7F" w:themeColor="text1" w:themeTint="80"/>
                <w:sz w:val="22"/>
                <w:szCs w:val="22"/>
                <w:lang w:val="en-US"/>
              </w:rPr>
              <w:t xml:space="preserve">no reference is made to the undershooting effect of the VA; </w:t>
            </w:r>
            <w:r w:rsidRPr="00DE01F5">
              <w:rPr>
                <w:rFonts w:ascii="Verdana" w:hAnsi="Verdana" w:cs="Helvetica"/>
                <w:color w:val="7F7F7F" w:themeColor="text1" w:themeTint="80"/>
                <w:sz w:val="22"/>
                <w:szCs w:val="22"/>
                <w:lang w:val="en-US"/>
              </w:rPr>
              <w:t>Currently, the shorter the duration of technical provisions the less effective the adjustment mechanism is against the duration of the assets affected by the volatility of the spreads.</w:t>
            </w:r>
            <w:r w:rsidR="00C5695A">
              <w:rPr>
                <w:rFonts w:ascii="Verdana" w:hAnsi="Verdana" w:cs="Helvetica"/>
                <w:color w:val="7F7F7F" w:themeColor="text1" w:themeTint="80"/>
                <w:sz w:val="22"/>
                <w:szCs w:val="22"/>
                <w:lang w:val="en-US"/>
              </w:rPr>
              <w:t xml:space="preserve"> </w:t>
            </w:r>
            <w:r w:rsidR="00E56DCF">
              <w:rPr>
                <w:rFonts w:ascii="Verdana" w:hAnsi="Verdana" w:cs="Helvetica"/>
                <w:color w:val="7F7F7F" w:themeColor="text1" w:themeTint="80"/>
                <w:sz w:val="22"/>
                <w:szCs w:val="22"/>
                <w:lang w:val="en-US"/>
              </w:rPr>
              <w:t>Additionally,</w:t>
            </w:r>
            <w:r w:rsidR="00C5695A">
              <w:rPr>
                <w:rFonts w:ascii="Verdana" w:hAnsi="Verdana" w:cs="Helvetica"/>
                <w:color w:val="7F7F7F" w:themeColor="text1" w:themeTint="80"/>
                <w:sz w:val="22"/>
                <w:szCs w:val="22"/>
                <w:lang w:val="en-US"/>
              </w:rPr>
              <w:t xml:space="preserve"> and most importantly for non-life insurers, all the volatility of fixed income assets backing own funds including free surplus is not compensated for.</w:t>
            </w:r>
          </w:p>
        </w:tc>
        <w:tc>
          <w:tcPr>
            <w:tcW w:w="483" w:type="pct"/>
            <w:tcBorders>
              <w:top w:val="single" w:sz="4" w:space="0" w:color="auto"/>
              <w:left w:val="single" w:sz="4" w:space="0" w:color="auto"/>
              <w:bottom w:val="single" w:sz="4" w:space="0" w:color="auto"/>
              <w:right w:val="single" w:sz="4" w:space="0" w:color="auto"/>
            </w:tcBorders>
          </w:tcPr>
          <w:p w14:paraId="03BA7E07" w14:textId="77777777" w:rsidR="0022595E" w:rsidRPr="00FE3045" w:rsidRDefault="0022595E" w:rsidP="00020B14">
            <w:pPr>
              <w:tabs>
                <w:tab w:val="left" w:pos="0"/>
              </w:tabs>
              <w:rPr>
                <w:color w:val="000000"/>
                <w:sz w:val="22"/>
                <w:szCs w:val="22"/>
                <w:lang w:val="en-GB" w:eastAsia="fr-FR"/>
              </w:rPr>
            </w:pPr>
          </w:p>
        </w:tc>
      </w:tr>
      <w:tr w:rsidR="00FC5744" w:rsidRPr="001360A5" w14:paraId="2FA5C7AA"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562EE63" w14:textId="7BE92F82" w:rsidR="0022595E" w:rsidRPr="00001686" w:rsidRDefault="0022595E" w:rsidP="00020B14">
            <w:pPr>
              <w:tabs>
                <w:tab w:val="left" w:pos="0"/>
              </w:tabs>
              <w:ind w:left="-96"/>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7F601F95" w14:textId="28C9A3DB" w:rsidR="0022595E" w:rsidRPr="00001686" w:rsidRDefault="0022595E" w:rsidP="00020B14">
            <w:pPr>
              <w:tabs>
                <w:tab w:val="left" w:pos="0"/>
              </w:tabs>
              <w:rPr>
                <w:rFonts w:ascii="Verdana" w:hAnsi="Verdana"/>
                <w:color w:val="7F7F7F" w:themeColor="text1" w:themeTint="80"/>
                <w:sz w:val="22"/>
                <w:szCs w:val="22"/>
                <w:lang w:val="en-GB" w:eastAsia="fr-FR"/>
              </w:rPr>
            </w:pPr>
            <w:r w:rsidRPr="00D433EC">
              <w:rPr>
                <w:rFonts w:ascii="Verdana" w:hAnsi="Verdana"/>
                <w:color w:val="7F7F7F" w:themeColor="text1" w:themeTint="80"/>
                <w:sz w:val="22"/>
                <w:szCs w:val="22"/>
                <w:lang w:val="en-GB" w:eastAsia="fr-FR"/>
              </w:rPr>
              <w:t>268</w:t>
            </w:r>
          </w:p>
        </w:tc>
        <w:tc>
          <w:tcPr>
            <w:tcW w:w="1999" w:type="pct"/>
            <w:tcBorders>
              <w:top w:val="single" w:sz="4" w:space="0" w:color="auto"/>
              <w:left w:val="single" w:sz="4" w:space="0" w:color="auto"/>
              <w:bottom w:val="single" w:sz="4" w:space="0" w:color="auto"/>
              <w:right w:val="single" w:sz="4" w:space="0" w:color="auto"/>
            </w:tcBorders>
          </w:tcPr>
          <w:p w14:paraId="25A88C3E" w14:textId="3D9EE625" w:rsidR="0022595E" w:rsidRPr="00CF2245" w:rsidRDefault="0022595E" w:rsidP="00020B14">
            <w:pPr>
              <w:tabs>
                <w:tab w:val="left" w:pos="0"/>
              </w:tabs>
              <w:rPr>
                <w:rFonts w:ascii="Verdana" w:hAnsi="Verdana" w:cs="Helvetica"/>
                <w:color w:val="7F7F7F" w:themeColor="text1" w:themeTint="80"/>
                <w:sz w:val="22"/>
                <w:szCs w:val="22"/>
                <w:lang w:val="en-GB" w:eastAsia="fr-FR"/>
              </w:rPr>
            </w:pPr>
            <w:r w:rsidRPr="00395661">
              <w:rPr>
                <w:rFonts w:ascii="Verdana" w:hAnsi="Verdana" w:cs="Helvetica"/>
                <w:color w:val="7F7F7F" w:themeColor="text1" w:themeTint="80"/>
                <w:sz w:val="22"/>
                <w:szCs w:val="22"/>
                <w:lang w:val="en-US"/>
              </w:rPr>
              <w:t xml:space="preserve">In the duration, EIOPA should also consider the duration of the </w:t>
            </w:r>
            <w:r w:rsidR="00F52E8F" w:rsidRPr="00395661">
              <w:rPr>
                <w:rFonts w:ascii="Verdana" w:hAnsi="Verdana" w:cs="Helvetica"/>
                <w:color w:val="7F7F7F" w:themeColor="text1" w:themeTint="80"/>
                <w:sz w:val="22"/>
                <w:szCs w:val="22"/>
                <w:lang w:val="en-US"/>
              </w:rPr>
              <w:t>undertakings’</w:t>
            </w:r>
            <w:r w:rsidR="00EC07C8" w:rsidRPr="00395661">
              <w:rPr>
                <w:rFonts w:ascii="Verdana" w:hAnsi="Verdana" w:cs="Helvetica"/>
                <w:color w:val="7F7F7F" w:themeColor="text1" w:themeTint="80"/>
                <w:sz w:val="22"/>
                <w:szCs w:val="22"/>
                <w:lang w:val="en-US"/>
              </w:rPr>
              <w:t xml:space="preserve"> </w:t>
            </w:r>
            <w:r w:rsidRPr="00395661">
              <w:rPr>
                <w:rFonts w:ascii="Verdana" w:hAnsi="Verdana" w:cs="Helvetica"/>
                <w:color w:val="7F7F7F" w:themeColor="text1" w:themeTint="80"/>
                <w:sz w:val="22"/>
                <w:szCs w:val="22"/>
                <w:lang w:val="en-US"/>
              </w:rPr>
              <w:t xml:space="preserve">own funds. Insurers allocate fixed income securities to cover own funds. The undertaking’s own funds are an additional buffer which could cover for the exaggeration of the </w:t>
            </w:r>
            <w:r w:rsidR="00170767" w:rsidRPr="00395661">
              <w:rPr>
                <w:rFonts w:ascii="Verdana" w:hAnsi="Verdana" w:cs="Helvetica"/>
                <w:color w:val="7F7F7F" w:themeColor="text1" w:themeTint="80"/>
                <w:sz w:val="22"/>
                <w:szCs w:val="22"/>
                <w:lang w:val="en-US"/>
              </w:rPr>
              <w:t>spreads;</w:t>
            </w:r>
            <w:r w:rsidRPr="00395661">
              <w:rPr>
                <w:rFonts w:ascii="Verdana" w:hAnsi="Verdana" w:cs="Helvetica"/>
                <w:color w:val="7F7F7F" w:themeColor="text1" w:themeTint="80"/>
                <w:sz w:val="22"/>
                <w:szCs w:val="22"/>
                <w:lang w:val="en-US"/>
              </w:rPr>
              <w:t xml:space="preserve"> </w:t>
            </w:r>
            <w:r w:rsidR="00170767" w:rsidRPr="00395661">
              <w:rPr>
                <w:rFonts w:ascii="Verdana" w:hAnsi="Verdana" w:cs="Helvetica"/>
                <w:color w:val="7F7F7F" w:themeColor="text1" w:themeTint="80"/>
                <w:sz w:val="22"/>
                <w:szCs w:val="22"/>
                <w:lang w:val="en-US"/>
              </w:rPr>
              <w:t>however,</w:t>
            </w:r>
            <w:r w:rsidRPr="00395661">
              <w:rPr>
                <w:rFonts w:ascii="Verdana" w:hAnsi="Verdana" w:cs="Helvetica"/>
                <w:color w:val="7F7F7F" w:themeColor="text1" w:themeTint="80"/>
                <w:sz w:val="22"/>
                <w:szCs w:val="22"/>
                <w:lang w:val="en-US"/>
              </w:rPr>
              <w:t xml:space="preserve"> they are not considered in the equation. </w:t>
            </w:r>
            <w:r w:rsidR="00601673" w:rsidRPr="00395661">
              <w:rPr>
                <w:rFonts w:ascii="Verdana" w:hAnsi="Verdana" w:cs="Helvetica"/>
                <w:color w:val="7F7F7F" w:themeColor="text1" w:themeTint="80"/>
                <w:sz w:val="22"/>
                <w:szCs w:val="22"/>
                <w:lang w:val="en-US"/>
              </w:rPr>
              <w:t xml:space="preserve">Moreover, the overshooting case when duration of liabilities is detailed at length and EIOPA does not consider the opposite </w:t>
            </w:r>
            <w:r w:rsidR="00366457" w:rsidRPr="00395661">
              <w:rPr>
                <w:rFonts w:ascii="Verdana" w:hAnsi="Verdana" w:cs="Helvetica"/>
                <w:color w:val="7F7F7F" w:themeColor="text1" w:themeTint="80"/>
                <w:sz w:val="22"/>
                <w:szCs w:val="22"/>
                <w:lang w:val="en-US"/>
              </w:rPr>
              <w:t>case</w:t>
            </w:r>
            <w:r w:rsidR="00601673" w:rsidRPr="00395661">
              <w:rPr>
                <w:rFonts w:ascii="Verdana" w:hAnsi="Verdana" w:cs="Helvetica"/>
                <w:color w:val="7F7F7F" w:themeColor="text1" w:themeTint="80"/>
                <w:sz w:val="22"/>
                <w:szCs w:val="22"/>
                <w:lang w:val="en-US"/>
              </w:rPr>
              <w:t xml:space="preserve"> when duration of liabilities is shorter and the loss in the market value of assets is higher than the decrease in best estimates liabilities. </w:t>
            </w:r>
            <w:r w:rsidRPr="00395661">
              <w:rPr>
                <w:rFonts w:ascii="Verdana" w:hAnsi="Verdana" w:cs="Helvetica"/>
                <w:color w:val="7F7F7F" w:themeColor="text1" w:themeTint="80"/>
                <w:sz w:val="22"/>
                <w:szCs w:val="22"/>
                <w:lang w:val="en-US"/>
              </w:rPr>
              <w:t>The SCR and the economic balance sheet are both to be calculated on a going-concern basis.</w:t>
            </w:r>
            <w:r w:rsidR="00F70E77" w:rsidRPr="00395661">
              <w:rPr>
                <w:rFonts w:ascii="Verdana" w:hAnsi="Verdana" w:cs="Helvetica"/>
                <w:color w:val="7F7F7F" w:themeColor="text1" w:themeTint="80"/>
                <w:sz w:val="22"/>
                <w:szCs w:val="22"/>
                <w:lang w:val="en-US"/>
              </w:rPr>
              <w:t xml:space="preserve"> Another deficiency which has an impact is the </w:t>
            </w:r>
            <w:r w:rsidR="00BA2731" w:rsidRPr="00395661">
              <w:rPr>
                <w:rFonts w:ascii="Verdana" w:hAnsi="Verdana" w:cs="Helvetica"/>
                <w:color w:val="7F7F7F" w:themeColor="text1" w:themeTint="80"/>
                <w:sz w:val="22"/>
                <w:szCs w:val="22"/>
                <w:lang w:val="en-US"/>
              </w:rPr>
              <w:t>inappropriate</w:t>
            </w:r>
            <w:r w:rsidR="00F70E77" w:rsidRPr="00395661">
              <w:rPr>
                <w:rFonts w:ascii="Verdana" w:hAnsi="Verdana" w:cs="Helvetica"/>
                <w:color w:val="7F7F7F" w:themeColor="text1" w:themeTint="80"/>
                <w:sz w:val="22"/>
                <w:szCs w:val="22"/>
                <w:lang w:val="en-US"/>
              </w:rPr>
              <w:t xml:space="preserve"> treatment of distinct investment categories such as mortgage loans and unrated fixed income securities</w:t>
            </w:r>
          </w:p>
        </w:tc>
        <w:tc>
          <w:tcPr>
            <w:tcW w:w="483" w:type="pct"/>
            <w:tcBorders>
              <w:top w:val="single" w:sz="4" w:space="0" w:color="auto"/>
              <w:left w:val="single" w:sz="4" w:space="0" w:color="auto"/>
              <w:bottom w:val="single" w:sz="4" w:space="0" w:color="auto"/>
              <w:right w:val="single" w:sz="4" w:space="0" w:color="auto"/>
            </w:tcBorders>
          </w:tcPr>
          <w:p w14:paraId="4E18FCC4" w14:textId="77777777" w:rsidR="0022595E" w:rsidRPr="00FE3045" w:rsidRDefault="0022595E" w:rsidP="00020B14">
            <w:pPr>
              <w:tabs>
                <w:tab w:val="left" w:pos="0"/>
              </w:tabs>
              <w:rPr>
                <w:color w:val="000000"/>
                <w:sz w:val="22"/>
                <w:szCs w:val="22"/>
                <w:lang w:val="en-GB" w:eastAsia="fr-FR"/>
              </w:rPr>
            </w:pPr>
          </w:p>
        </w:tc>
      </w:tr>
      <w:tr w:rsidR="00FC5744" w:rsidRPr="001360A5" w14:paraId="7BEB4551"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8B43A75" w14:textId="0184893F" w:rsidR="0022595E" w:rsidRPr="00001686" w:rsidRDefault="0022595E" w:rsidP="00020B14">
            <w:pPr>
              <w:tabs>
                <w:tab w:val="left" w:pos="0"/>
              </w:tabs>
              <w:ind w:left="-96"/>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25336416" w14:textId="7B610A6C" w:rsidR="0022595E" w:rsidRPr="00001686" w:rsidRDefault="0022595E" w:rsidP="00020B14">
            <w:pPr>
              <w:tabs>
                <w:tab w:val="left" w:pos="0"/>
              </w:tabs>
              <w:rPr>
                <w:rFonts w:ascii="Verdana" w:hAnsi="Verdana"/>
                <w:color w:val="7F7F7F" w:themeColor="text1" w:themeTint="80"/>
                <w:sz w:val="22"/>
                <w:szCs w:val="22"/>
                <w:lang w:val="en-GB" w:eastAsia="fr-FR"/>
              </w:rPr>
            </w:pPr>
            <w:r w:rsidRPr="00D433EC">
              <w:rPr>
                <w:rFonts w:ascii="Verdana" w:hAnsi="Verdana"/>
                <w:color w:val="7F7F7F" w:themeColor="text1" w:themeTint="80"/>
                <w:sz w:val="22"/>
                <w:szCs w:val="22"/>
                <w:lang w:val="en-GB" w:eastAsia="fr-FR"/>
              </w:rPr>
              <w:t>269</w:t>
            </w:r>
          </w:p>
        </w:tc>
        <w:tc>
          <w:tcPr>
            <w:tcW w:w="1999" w:type="pct"/>
            <w:tcBorders>
              <w:top w:val="single" w:sz="4" w:space="0" w:color="auto"/>
              <w:left w:val="single" w:sz="4" w:space="0" w:color="auto"/>
              <w:bottom w:val="single" w:sz="4" w:space="0" w:color="auto"/>
              <w:right w:val="single" w:sz="4" w:space="0" w:color="auto"/>
            </w:tcBorders>
          </w:tcPr>
          <w:p w14:paraId="3F9361B4" w14:textId="23583FA4" w:rsidR="0022595E" w:rsidRPr="00CF2245" w:rsidRDefault="0022595E" w:rsidP="00020B14">
            <w:pPr>
              <w:tabs>
                <w:tab w:val="left" w:pos="0"/>
              </w:tabs>
              <w:rPr>
                <w:rFonts w:ascii="Verdana" w:hAnsi="Verdana"/>
                <w:color w:val="7F7F7F" w:themeColor="text1" w:themeTint="80"/>
                <w:sz w:val="22"/>
                <w:szCs w:val="22"/>
                <w:lang w:val="en-GB" w:eastAsia="fr-FR"/>
              </w:rPr>
            </w:pPr>
            <w:r w:rsidRPr="00395661">
              <w:rPr>
                <w:rFonts w:ascii="Verdana" w:hAnsi="Verdana" w:cs="Helvetica"/>
                <w:color w:val="7F7F7F" w:themeColor="text1" w:themeTint="80"/>
                <w:sz w:val="22"/>
                <w:szCs w:val="22"/>
                <w:lang w:val="en-US"/>
              </w:rPr>
              <w:t>It is worth mentioning that the VA and its potential benefits are not the only elements in the ALM and decision-making process of insurers with respect to investment mix.</w:t>
            </w:r>
          </w:p>
        </w:tc>
        <w:tc>
          <w:tcPr>
            <w:tcW w:w="483" w:type="pct"/>
            <w:tcBorders>
              <w:top w:val="single" w:sz="4" w:space="0" w:color="auto"/>
              <w:left w:val="single" w:sz="4" w:space="0" w:color="auto"/>
              <w:bottom w:val="single" w:sz="4" w:space="0" w:color="auto"/>
              <w:right w:val="single" w:sz="4" w:space="0" w:color="auto"/>
            </w:tcBorders>
          </w:tcPr>
          <w:p w14:paraId="14181BB2" w14:textId="77777777" w:rsidR="0022595E" w:rsidRPr="00FE3045" w:rsidRDefault="0022595E" w:rsidP="00020B14">
            <w:pPr>
              <w:tabs>
                <w:tab w:val="left" w:pos="0"/>
              </w:tabs>
              <w:rPr>
                <w:color w:val="000000"/>
                <w:sz w:val="22"/>
                <w:szCs w:val="22"/>
                <w:lang w:val="en-GB" w:eastAsia="fr-FR"/>
              </w:rPr>
            </w:pPr>
          </w:p>
        </w:tc>
      </w:tr>
      <w:tr w:rsidR="00FC5744" w:rsidRPr="00EA57B2" w14:paraId="35A07EB9"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D65C09C" w14:textId="4CE17CFB" w:rsidR="0022595E" w:rsidRPr="00001686" w:rsidRDefault="0022595E" w:rsidP="00020B14">
            <w:pPr>
              <w:tabs>
                <w:tab w:val="left" w:pos="0"/>
              </w:tabs>
              <w:ind w:left="-96"/>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239B1497" w14:textId="3503ACA4" w:rsidR="0022595E" w:rsidRPr="00001686" w:rsidRDefault="0022595E" w:rsidP="00020B14">
            <w:pPr>
              <w:tabs>
                <w:tab w:val="left" w:pos="0"/>
              </w:tabs>
              <w:rPr>
                <w:rFonts w:ascii="Verdana" w:hAnsi="Verdana"/>
                <w:color w:val="7F7F7F" w:themeColor="text1" w:themeTint="80"/>
                <w:sz w:val="22"/>
                <w:szCs w:val="22"/>
                <w:lang w:val="en-GB" w:eastAsia="fr-FR"/>
              </w:rPr>
            </w:pPr>
            <w:r w:rsidRPr="00D433EC">
              <w:rPr>
                <w:rFonts w:ascii="Verdana" w:hAnsi="Verdana"/>
                <w:color w:val="7F7F7F" w:themeColor="text1" w:themeTint="80"/>
                <w:sz w:val="22"/>
                <w:szCs w:val="22"/>
                <w:lang w:val="en-GB" w:eastAsia="fr-FR"/>
              </w:rPr>
              <w:t>275</w:t>
            </w:r>
          </w:p>
        </w:tc>
        <w:tc>
          <w:tcPr>
            <w:tcW w:w="1999" w:type="pct"/>
            <w:tcBorders>
              <w:top w:val="single" w:sz="4" w:space="0" w:color="auto"/>
              <w:left w:val="single" w:sz="4" w:space="0" w:color="auto"/>
              <w:bottom w:val="single" w:sz="4" w:space="0" w:color="auto"/>
              <w:right w:val="single" w:sz="4" w:space="0" w:color="auto"/>
            </w:tcBorders>
          </w:tcPr>
          <w:p w14:paraId="0F719842" w14:textId="13FB9268" w:rsidR="0022595E" w:rsidRPr="00CF2245" w:rsidRDefault="0022595E" w:rsidP="00020B14">
            <w:pPr>
              <w:tabs>
                <w:tab w:val="left" w:pos="0"/>
              </w:tabs>
              <w:rPr>
                <w:rFonts w:ascii="Verdana" w:hAnsi="Verdana" w:cs="Helvetica"/>
                <w:color w:val="7F7F7F" w:themeColor="text1" w:themeTint="80"/>
                <w:sz w:val="22"/>
                <w:szCs w:val="22"/>
                <w:lang w:val="en-US"/>
              </w:rPr>
            </w:pPr>
            <w:r w:rsidRPr="00395661">
              <w:rPr>
                <w:rFonts w:ascii="Verdana" w:hAnsi="Verdana" w:cs="Helvetica"/>
                <w:color w:val="7F7F7F" w:themeColor="text1" w:themeTint="80"/>
                <w:sz w:val="22"/>
                <w:szCs w:val="22"/>
                <w:lang w:val="en-US"/>
              </w:rPr>
              <w:t>EIOPA should also include the duration of the own funds as part of the analysis. In that instance, the graph and observation would differ</w:t>
            </w:r>
            <w:r w:rsidR="00EA57B2" w:rsidRPr="00395661">
              <w:rPr>
                <w:rFonts w:ascii="Verdana" w:hAnsi="Verdana" w:cs="Helvetica"/>
                <w:color w:val="7F7F7F" w:themeColor="text1" w:themeTint="80"/>
                <w:sz w:val="22"/>
                <w:szCs w:val="22"/>
                <w:lang w:val="en-US"/>
              </w:rPr>
              <w:t xml:space="preserve"> especially </w:t>
            </w:r>
            <w:r w:rsidRPr="00395661">
              <w:rPr>
                <w:rFonts w:ascii="Verdana" w:hAnsi="Verdana" w:cs="Helvetica"/>
                <w:color w:val="7F7F7F" w:themeColor="text1" w:themeTint="80"/>
                <w:sz w:val="22"/>
                <w:szCs w:val="22"/>
                <w:lang w:val="en-US"/>
              </w:rPr>
              <w:t xml:space="preserve">for Non-life insurers, the own funds comprise a big part of the liability side of the balance sheet. Investments are also backing the own funds. </w:t>
            </w:r>
          </w:p>
        </w:tc>
        <w:tc>
          <w:tcPr>
            <w:tcW w:w="483" w:type="pct"/>
            <w:tcBorders>
              <w:top w:val="single" w:sz="4" w:space="0" w:color="auto"/>
              <w:left w:val="single" w:sz="4" w:space="0" w:color="auto"/>
              <w:bottom w:val="single" w:sz="4" w:space="0" w:color="auto"/>
              <w:right w:val="single" w:sz="4" w:space="0" w:color="auto"/>
            </w:tcBorders>
          </w:tcPr>
          <w:p w14:paraId="13EAE6AF" w14:textId="77777777" w:rsidR="0022595E" w:rsidRPr="00FE3045" w:rsidRDefault="0022595E" w:rsidP="00020B14">
            <w:pPr>
              <w:tabs>
                <w:tab w:val="left" w:pos="0"/>
              </w:tabs>
              <w:rPr>
                <w:color w:val="000000"/>
                <w:sz w:val="22"/>
                <w:szCs w:val="22"/>
                <w:lang w:val="en-GB" w:eastAsia="fr-FR"/>
              </w:rPr>
            </w:pPr>
          </w:p>
        </w:tc>
      </w:tr>
      <w:tr w:rsidR="00FC5744" w:rsidRPr="001360A5" w14:paraId="6B5FB652"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8F98680" w14:textId="2F6EE8B0" w:rsidR="0022595E" w:rsidRPr="00001686" w:rsidRDefault="0022595E" w:rsidP="00020B14">
            <w:pPr>
              <w:tabs>
                <w:tab w:val="left" w:pos="0"/>
              </w:tabs>
              <w:ind w:left="-96"/>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67A999DD" w14:textId="5E86ADFA" w:rsidR="0022595E" w:rsidRPr="00001686" w:rsidRDefault="0022595E" w:rsidP="00020B14">
            <w:pPr>
              <w:tabs>
                <w:tab w:val="left" w:pos="0"/>
              </w:tabs>
              <w:rPr>
                <w:rFonts w:ascii="Verdana" w:hAnsi="Verdana"/>
                <w:color w:val="7F7F7F" w:themeColor="text1" w:themeTint="80"/>
                <w:sz w:val="22"/>
                <w:szCs w:val="22"/>
                <w:lang w:val="en-GB" w:eastAsia="fr-FR"/>
              </w:rPr>
            </w:pPr>
            <w:r w:rsidRPr="00D433EC">
              <w:rPr>
                <w:rFonts w:ascii="Verdana" w:hAnsi="Verdana"/>
                <w:color w:val="7F7F7F" w:themeColor="text1" w:themeTint="80"/>
                <w:sz w:val="22"/>
                <w:szCs w:val="22"/>
                <w:lang w:val="en-GB" w:eastAsia="fr-FR"/>
              </w:rPr>
              <w:t>2</w:t>
            </w:r>
            <w:r w:rsidRPr="000E1946">
              <w:rPr>
                <w:rFonts w:ascii="Verdana" w:hAnsi="Verdana"/>
                <w:color w:val="7F7F7F" w:themeColor="text1" w:themeTint="80"/>
                <w:sz w:val="22"/>
                <w:szCs w:val="22"/>
                <w:lang w:val="en-GB" w:eastAsia="fr-FR"/>
              </w:rPr>
              <w:t>76</w:t>
            </w:r>
          </w:p>
        </w:tc>
        <w:tc>
          <w:tcPr>
            <w:tcW w:w="1999" w:type="pct"/>
            <w:tcBorders>
              <w:top w:val="single" w:sz="4" w:space="0" w:color="auto"/>
              <w:left w:val="single" w:sz="4" w:space="0" w:color="auto"/>
              <w:bottom w:val="single" w:sz="4" w:space="0" w:color="auto"/>
              <w:right w:val="single" w:sz="4" w:space="0" w:color="auto"/>
            </w:tcBorders>
          </w:tcPr>
          <w:p w14:paraId="7080AA6B" w14:textId="74842528" w:rsidR="0022595E" w:rsidRPr="00D46B4C" w:rsidRDefault="0022595E" w:rsidP="00020B14">
            <w:pPr>
              <w:tabs>
                <w:tab w:val="left" w:pos="0"/>
              </w:tabs>
              <w:rPr>
                <w:rFonts w:ascii="Verdana" w:hAnsi="Verdana" w:cs="Helvetica"/>
                <w:color w:val="000000"/>
                <w:sz w:val="22"/>
                <w:szCs w:val="22"/>
                <w:lang w:val="en-US"/>
              </w:rPr>
            </w:pPr>
            <w:r w:rsidRPr="00D46B4C">
              <w:rPr>
                <w:rFonts w:ascii="Verdana" w:hAnsi="Verdana" w:cs="Helvetica"/>
                <w:color w:val="7F7F7F" w:themeColor="text1" w:themeTint="80"/>
                <w:sz w:val="22"/>
                <w:szCs w:val="22"/>
                <w:lang w:val="en-US"/>
              </w:rPr>
              <w:t xml:space="preserve">It is unclear whether EIOPA has included the </w:t>
            </w:r>
            <w:r>
              <w:rPr>
                <w:rFonts w:ascii="Verdana" w:hAnsi="Verdana" w:cs="Helvetica"/>
                <w:color w:val="7F7F7F" w:themeColor="text1" w:themeTint="80"/>
                <w:sz w:val="22"/>
                <w:szCs w:val="22"/>
                <w:lang w:val="en-US"/>
              </w:rPr>
              <w:t>r</w:t>
            </w:r>
            <w:r w:rsidRPr="00D46B4C">
              <w:rPr>
                <w:rFonts w:ascii="Verdana" w:hAnsi="Verdana" w:cs="Helvetica"/>
                <w:color w:val="7F7F7F" w:themeColor="text1" w:themeTint="80"/>
                <w:sz w:val="22"/>
                <w:szCs w:val="22"/>
                <w:lang w:val="en-US"/>
              </w:rPr>
              <w:t xml:space="preserve">isk margin as part of their analysis as </w:t>
            </w:r>
            <w:r>
              <w:rPr>
                <w:rFonts w:ascii="Verdana" w:hAnsi="Verdana" w:cs="Helvetica"/>
                <w:color w:val="7F7F7F" w:themeColor="text1" w:themeTint="80"/>
                <w:sz w:val="22"/>
                <w:szCs w:val="22"/>
                <w:lang w:val="en-US"/>
              </w:rPr>
              <w:t>reference is made</w:t>
            </w:r>
            <w:r w:rsidRPr="00D46B4C">
              <w:rPr>
                <w:rFonts w:ascii="Verdana" w:hAnsi="Verdana" w:cs="Helvetica"/>
                <w:color w:val="7F7F7F" w:themeColor="text1" w:themeTint="80"/>
                <w:sz w:val="22"/>
                <w:szCs w:val="22"/>
                <w:lang w:val="en-US"/>
              </w:rPr>
              <w:t xml:space="preserve"> to </w:t>
            </w:r>
            <w:r>
              <w:rPr>
                <w:rFonts w:ascii="Verdana" w:hAnsi="Verdana" w:cs="Helvetica"/>
                <w:color w:val="7F7F7F" w:themeColor="text1" w:themeTint="80"/>
                <w:sz w:val="22"/>
                <w:szCs w:val="22"/>
                <w:lang w:val="en-US"/>
              </w:rPr>
              <w:t xml:space="preserve">technical provisions </w:t>
            </w:r>
            <w:r w:rsidR="003A77E5">
              <w:rPr>
                <w:rFonts w:ascii="Verdana" w:hAnsi="Verdana" w:cs="Helvetica"/>
                <w:color w:val="7F7F7F" w:themeColor="text1" w:themeTint="80"/>
                <w:sz w:val="22"/>
                <w:szCs w:val="22"/>
                <w:lang w:val="en-US"/>
              </w:rPr>
              <w:t xml:space="preserve">only </w:t>
            </w:r>
            <w:r w:rsidRPr="00D46B4C">
              <w:rPr>
                <w:rFonts w:ascii="Verdana" w:hAnsi="Verdana" w:cs="Helvetica"/>
                <w:color w:val="7F7F7F" w:themeColor="text1" w:themeTint="80"/>
                <w:sz w:val="22"/>
                <w:szCs w:val="22"/>
                <w:lang w:val="en-US"/>
              </w:rPr>
              <w:t xml:space="preserve">and not </w:t>
            </w:r>
            <w:r>
              <w:rPr>
                <w:rFonts w:ascii="Verdana" w:hAnsi="Verdana" w:cs="Helvetica"/>
                <w:color w:val="7F7F7F" w:themeColor="text1" w:themeTint="80"/>
                <w:sz w:val="22"/>
                <w:szCs w:val="22"/>
                <w:lang w:val="en-US"/>
              </w:rPr>
              <w:t xml:space="preserve">best </w:t>
            </w:r>
            <w:r>
              <w:rPr>
                <w:rFonts w:ascii="Verdana" w:hAnsi="Verdana" w:cs="Helvetica"/>
                <w:color w:val="7F7F7F" w:themeColor="text1" w:themeTint="80"/>
                <w:sz w:val="22"/>
                <w:szCs w:val="22"/>
                <w:lang w:val="en-US"/>
              </w:rPr>
              <w:lastRenderedPageBreak/>
              <w:t>estimate</w:t>
            </w:r>
            <w:r w:rsidRPr="00D46B4C">
              <w:rPr>
                <w:rFonts w:ascii="Verdana" w:hAnsi="Verdana" w:cs="Helvetica"/>
                <w:color w:val="7F7F7F" w:themeColor="text1" w:themeTint="80"/>
                <w:sz w:val="22"/>
                <w:szCs w:val="22"/>
                <w:lang w:val="en-US"/>
              </w:rPr>
              <w:t xml:space="preserve">. The risk margin is not a cash flow </w:t>
            </w:r>
            <w:r>
              <w:rPr>
                <w:rFonts w:ascii="Verdana" w:hAnsi="Verdana" w:cs="Helvetica"/>
                <w:color w:val="7F7F7F" w:themeColor="text1" w:themeTint="80"/>
                <w:sz w:val="22"/>
                <w:szCs w:val="22"/>
                <w:lang w:val="en-US"/>
              </w:rPr>
              <w:t xml:space="preserve">item </w:t>
            </w:r>
            <w:r w:rsidRPr="00D46B4C">
              <w:rPr>
                <w:rFonts w:ascii="Verdana" w:hAnsi="Verdana" w:cs="Helvetica"/>
                <w:color w:val="7F7F7F" w:themeColor="text1" w:themeTint="80"/>
                <w:sz w:val="22"/>
                <w:szCs w:val="22"/>
                <w:lang w:val="en-US"/>
              </w:rPr>
              <w:t>and shou</w:t>
            </w:r>
            <w:r w:rsidR="00C07EA1">
              <w:rPr>
                <w:rFonts w:ascii="Verdana" w:hAnsi="Verdana" w:cs="Helvetica"/>
                <w:color w:val="7F7F7F" w:themeColor="text1" w:themeTint="80"/>
                <w:sz w:val="22"/>
                <w:szCs w:val="22"/>
                <w:lang w:val="en-US"/>
              </w:rPr>
              <w:t>l</w:t>
            </w:r>
            <w:r>
              <w:rPr>
                <w:rFonts w:ascii="Verdana" w:hAnsi="Verdana" w:cs="Helvetica"/>
                <w:color w:val="7F7F7F" w:themeColor="text1" w:themeTint="80"/>
                <w:sz w:val="22"/>
                <w:szCs w:val="22"/>
                <w:lang w:val="en-US"/>
              </w:rPr>
              <w:t xml:space="preserve">d therefore </w:t>
            </w:r>
            <w:r w:rsidRPr="00D46B4C">
              <w:rPr>
                <w:rFonts w:ascii="Verdana" w:hAnsi="Verdana" w:cs="Helvetica"/>
                <w:color w:val="7F7F7F" w:themeColor="text1" w:themeTint="80"/>
                <w:sz w:val="22"/>
                <w:szCs w:val="22"/>
                <w:lang w:val="en-US"/>
              </w:rPr>
              <w:t>be excluded from the analysis.</w:t>
            </w:r>
          </w:p>
        </w:tc>
        <w:tc>
          <w:tcPr>
            <w:tcW w:w="483" w:type="pct"/>
            <w:tcBorders>
              <w:top w:val="single" w:sz="4" w:space="0" w:color="auto"/>
              <w:left w:val="single" w:sz="4" w:space="0" w:color="auto"/>
              <w:bottom w:val="single" w:sz="4" w:space="0" w:color="auto"/>
              <w:right w:val="single" w:sz="4" w:space="0" w:color="auto"/>
            </w:tcBorders>
          </w:tcPr>
          <w:p w14:paraId="1316C3BC" w14:textId="77777777" w:rsidR="0022595E" w:rsidRPr="00FE3045" w:rsidRDefault="0022595E" w:rsidP="00020B14">
            <w:pPr>
              <w:tabs>
                <w:tab w:val="left" w:pos="0"/>
              </w:tabs>
              <w:rPr>
                <w:color w:val="000000"/>
                <w:sz w:val="22"/>
                <w:szCs w:val="22"/>
                <w:lang w:val="en-GB" w:eastAsia="fr-FR"/>
              </w:rPr>
            </w:pPr>
          </w:p>
        </w:tc>
      </w:tr>
      <w:tr w:rsidR="00FC5744" w:rsidRPr="001360A5" w14:paraId="23FF8631"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DA79311" w14:textId="786E02D0" w:rsidR="0022595E" w:rsidRPr="00001686" w:rsidRDefault="0022595E" w:rsidP="00E312FF">
            <w:pPr>
              <w:tabs>
                <w:tab w:val="left" w:pos="76"/>
              </w:tabs>
              <w:ind w:left="76"/>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70C1B303" w14:textId="14079EAE" w:rsidR="0022595E" w:rsidRPr="00001686" w:rsidRDefault="0022595E" w:rsidP="00020B14">
            <w:pPr>
              <w:tabs>
                <w:tab w:val="left" w:pos="0"/>
              </w:tabs>
              <w:rPr>
                <w:rFonts w:ascii="Verdana" w:hAnsi="Verdana"/>
                <w:color w:val="7F7F7F" w:themeColor="text1" w:themeTint="80"/>
                <w:sz w:val="22"/>
                <w:szCs w:val="22"/>
                <w:lang w:val="en-GB" w:eastAsia="fr-FR"/>
              </w:rPr>
            </w:pPr>
            <w:r w:rsidRPr="00D433EC">
              <w:rPr>
                <w:rFonts w:ascii="Verdana" w:hAnsi="Verdana"/>
                <w:color w:val="7F7F7F" w:themeColor="text1" w:themeTint="80"/>
                <w:sz w:val="22"/>
                <w:szCs w:val="22"/>
              </w:rPr>
              <w:t>277</w:t>
            </w:r>
          </w:p>
        </w:tc>
        <w:tc>
          <w:tcPr>
            <w:tcW w:w="1999" w:type="pct"/>
            <w:tcBorders>
              <w:top w:val="single" w:sz="4" w:space="0" w:color="auto"/>
              <w:left w:val="single" w:sz="4" w:space="0" w:color="auto"/>
              <w:bottom w:val="single" w:sz="4" w:space="0" w:color="auto"/>
              <w:right w:val="single" w:sz="4" w:space="0" w:color="auto"/>
            </w:tcBorders>
          </w:tcPr>
          <w:p w14:paraId="51FD7100" w14:textId="544D5B74" w:rsidR="0022595E" w:rsidRPr="00D46B4C" w:rsidRDefault="0022595E" w:rsidP="00020B14">
            <w:pPr>
              <w:tabs>
                <w:tab w:val="left" w:pos="0"/>
              </w:tabs>
              <w:rPr>
                <w:rFonts w:ascii="Verdana" w:hAnsi="Verdana" w:cs="Helvetica"/>
                <w:color w:val="000000"/>
                <w:sz w:val="22"/>
                <w:szCs w:val="22"/>
                <w:lang w:val="en-US"/>
              </w:rPr>
            </w:pPr>
            <w:r w:rsidRPr="00D46B4C">
              <w:rPr>
                <w:rFonts w:ascii="Verdana" w:hAnsi="Verdana"/>
                <w:color w:val="7F7F7F" w:themeColor="text1" w:themeTint="80"/>
                <w:sz w:val="22"/>
                <w:szCs w:val="22"/>
                <w:lang w:val="en-US"/>
              </w:rPr>
              <w:t xml:space="preserve">As mentioned in </w:t>
            </w:r>
            <w:r w:rsidR="00F52E8F">
              <w:rPr>
                <w:rFonts w:ascii="Verdana" w:hAnsi="Verdana"/>
                <w:color w:val="7F7F7F" w:themeColor="text1" w:themeTint="80"/>
                <w:sz w:val="22"/>
                <w:szCs w:val="22"/>
                <w:lang w:val="en-US"/>
              </w:rPr>
              <w:t>R</w:t>
            </w:r>
            <w:r w:rsidRPr="00D06C11">
              <w:rPr>
                <w:rFonts w:ascii="Verdana" w:hAnsi="Verdana" w:cs="Helvetica"/>
                <w:color w:val="7F7F7F" w:themeColor="text1" w:themeTint="80"/>
                <w:sz w:val="22"/>
                <w:szCs w:val="22"/>
                <w:lang w:val="en-US"/>
              </w:rPr>
              <w:t xml:space="preserve">ecital </w:t>
            </w:r>
            <w:r w:rsidR="00D06C11">
              <w:rPr>
                <w:rFonts w:ascii="Verdana" w:hAnsi="Verdana" w:cs="Helvetica"/>
                <w:color w:val="7F7F7F" w:themeColor="text1" w:themeTint="80"/>
                <w:sz w:val="22"/>
                <w:szCs w:val="22"/>
                <w:lang w:val="en-US"/>
              </w:rPr>
              <w:t xml:space="preserve">32 </w:t>
            </w:r>
            <w:r w:rsidR="00D06C11" w:rsidRPr="00D06C11">
              <w:rPr>
                <w:rFonts w:ascii="Verdana" w:hAnsi="Verdana" w:cs="Helvetica"/>
                <w:color w:val="7F7F7F" w:themeColor="text1" w:themeTint="80"/>
                <w:sz w:val="22"/>
                <w:szCs w:val="22"/>
                <w:lang w:val="en-US"/>
              </w:rPr>
              <w:t xml:space="preserve">of the Omnibus II Directive, </w:t>
            </w:r>
            <w:r w:rsidRPr="00D06C11">
              <w:rPr>
                <w:rFonts w:ascii="Verdana" w:hAnsi="Verdana" w:cs="Helvetica"/>
                <w:color w:val="7F7F7F" w:themeColor="text1" w:themeTint="80"/>
                <w:sz w:val="22"/>
                <w:szCs w:val="22"/>
                <w:lang w:val="en-US"/>
              </w:rPr>
              <w:t>the illiquidity of the technical provis</w:t>
            </w:r>
            <w:r w:rsidR="00C07EA1" w:rsidRPr="00D06C11">
              <w:rPr>
                <w:rFonts w:ascii="Verdana" w:hAnsi="Verdana" w:cs="Helvetica"/>
                <w:color w:val="7F7F7F" w:themeColor="text1" w:themeTint="80"/>
                <w:sz w:val="22"/>
                <w:szCs w:val="22"/>
                <w:lang w:val="en-US"/>
              </w:rPr>
              <w:t>i</w:t>
            </w:r>
            <w:r w:rsidRPr="00D06C11">
              <w:rPr>
                <w:rFonts w:ascii="Verdana" w:hAnsi="Verdana" w:cs="Helvetica"/>
                <w:color w:val="7F7F7F" w:themeColor="text1" w:themeTint="80"/>
                <w:sz w:val="22"/>
                <w:szCs w:val="22"/>
                <w:lang w:val="en-US"/>
              </w:rPr>
              <w:t>ons is not mentioned when addressing the VA</w:t>
            </w:r>
            <w:r w:rsidR="003A77E5" w:rsidRPr="00D06C11">
              <w:rPr>
                <w:rFonts w:ascii="Verdana" w:hAnsi="Verdana" w:cs="Helvetica"/>
                <w:color w:val="7F7F7F" w:themeColor="text1" w:themeTint="80"/>
                <w:sz w:val="22"/>
                <w:szCs w:val="22"/>
                <w:lang w:val="en-US"/>
              </w:rPr>
              <w:t xml:space="preserve">, however </w:t>
            </w:r>
            <w:r w:rsidRPr="00D06C11">
              <w:rPr>
                <w:rFonts w:ascii="Verdana" w:hAnsi="Verdana" w:cs="Helvetica"/>
                <w:color w:val="7F7F7F" w:themeColor="text1" w:themeTint="80"/>
                <w:sz w:val="22"/>
                <w:szCs w:val="22"/>
                <w:lang w:val="en-US"/>
              </w:rPr>
              <w:t>EIOPA clearly makes th</w:t>
            </w:r>
            <w:r w:rsidR="00DE5BB8">
              <w:rPr>
                <w:rFonts w:ascii="Verdana" w:hAnsi="Verdana" w:cs="Helvetica"/>
                <w:color w:val="7F7F7F" w:themeColor="text1" w:themeTint="80"/>
                <w:sz w:val="22"/>
                <w:szCs w:val="22"/>
                <w:lang w:val="en-US"/>
              </w:rPr>
              <w:t>at</w:t>
            </w:r>
            <w:r w:rsidRPr="00D06C11">
              <w:rPr>
                <w:rFonts w:ascii="Verdana" w:hAnsi="Verdana" w:cs="Helvetica"/>
                <w:color w:val="7F7F7F" w:themeColor="text1" w:themeTint="80"/>
                <w:sz w:val="22"/>
                <w:szCs w:val="22"/>
                <w:lang w:val="en-US"/>
              </w:rPr>
              <w:t xml:space="preserve"> link. In our opinion the </w:t>
            </w:r>
            <w:r w:rsidR="003A77E5" w:rsidRPr="00D06C11">
              <w:rPr>
                <w:rFonts w:ascii="Verdana" w:hAnsi="Verdana" w:cs="Helvetica"/>
                <w:color w:val="7F7F7F" w:themeColor="text1" w:themeTint="80"/>
                <w:sz w:val="22"/>
                <w:szCs w:val="22"/>
                <w:lang w:val="en-US"/>
              </w:rPr>
              <w:t xml:space="preserve">insurer´s </w:t>
            </w:r>
            <w:r w:rsidRPr="00D06C11">
              <w:rPr>
                <w:rFonts w:ascii="Verdana" w:hAnsi="Verdana" w:cs="Helvetica"/>
                <w:color w:val="7F7F7F" w:themeColor="text1" w:themeTint="80"/>
                <w:sz w:val="22"/>
                <w:szCs w:val="22"/>
                <w:lang w:val="en-US"/>
              </w:rPr>
              <w:t>own funds</w:t>
            </w:r>
            <w:r w:rsidRPr="00D46B4C">
              <w:rPr>
                <w:rFonts w:ascii="Verdana" w:hAnsi="Verdana"/>
                <w:color w:val="7F7F7F" w:themeColor="text1" w:themeTint="80"/>
                <w:sz w:val="22"/>
                <w:szCs w:val="22"/>
                <w:lang w:val="en-US"/>
              </w:rPr>
              <w:t xml:space="preserve"> should </w:t>
            </w:r>
            <w:r w:rsidRPr="00185035">
              <w:rPr>
                <w:rFonts w:ascii="Verdana" w:hAnsi="Verdana" w:cs="Helvetica"/>
                <w:color w:val="7F7F7F" w:themeColor="text1" w:themeTint="80"/>
                <w:sz w:val="22"/>
                <w:szCs w:val="22"/>
                <w:lang w:val="en-US"/>
              </w:rPr>
              <w:t xml:space="preserve">be </w:t>
            </w:r>
            <w:r w:rsidR="006D7A5C" w:rsidRPr="00185035">
              <w:rPr>
                <w:rFonts w:ascii="Verdana" w:hAnsi="Verdana" w:cs="Helvetica"/>
                <w:color w:val="7F7F7F" w:themeColor="text1" w:themeTint="80"/>
                <w:sz w:val="22"/>
                <w:szCs w:val="22"/>
                <w:lang w:val="en-US"/>
              </w:rPr>
              <w:t xml:space="preserve">included </w:t>
            </w:r>
            <w:r w:rsidRPr="00185035">
              <w:rPr>
                <w:rFonts w:ascii="Verdana" w:hAnsi="Verdana" w:cs="Helvetica"/>
                <w:color w:val="7F7F7F" w:themeColor="text1" w:themeTint="80"/>
                <w:sz w:val="22"/>
                <w:szCs w:val="22"/>
                <w:lang w:val="en-US"/>
              </w:rPr>
              <w:t xml:space="preserve">in the equation. </w:t>
            </w:r>
            <w:r w:rsidRPr="00823BC5">
              <w:rPr>
                <w:rFonts w:ascii="Verdana" w:hAnsi="Verdana" w:cs="Helvetica"/>
                <w:b/>
                <w:bCs/>
                <w:color w:val="7F7F7F" w:themeColor="text1" w:themeTint="80"/>
                <w:sz w:val="22"/>
                <w:szCs w:val="22"/>
                <w:lang w:val="en-US"/>
              </w:rPr>
              <w:t>The question is not on the illiquidity of the insurance liability but on the ability to avoid forced sales and the ability to keep receiving the agreed earnings of the</w:t>
            </w:r>
            <w:r w:rsidRPr="00823BC5">
              <w:rPr>
                <w:rFonts w:ascii="Verdana" w:hAnsi="Verdana"/>
                <w:b/>
                <w:bCs/>
                <w:color w:val="7F7F7F" w:themeColor="text1" w:themeTint="80"/>
                <w:sz w:val="22"/>
                <w:szCs w:val="22"/>
                <w:lang w:val="en-US"/>
              </w:rPr>
              <w:t xml:space="preserve"> financial instrument and value at redemption</w:t>
            </w:r>
            <w:r w:rsidRPr="00D46B4C">
              <w:rPr>
                <w:rFonts w:ascii="Verdana" w:hAnsi="Verdana"/>
                <w:color w:val="7F7F7F" w:themeColor="text1" w:themeTint="80"/>
                <w:sz w:val="22"/>
                <w:szCs w:val="22"/>
                <w:lang w:val="en-US"/>
              </w:rPr>
              <w:t>.</w:t>
            </w:r>
          </w:p>
        </w:tc>
        <w:tc>
          <w:tcPr>
            <w:tcW w:w="483" w:type="pct"/>
            <w:tcBorders>
              <w:top w:val="single" w:sz="4" w:space="0" w:color="auto"/>
              <w:left w:val="single" w:sz="4" w:space="0" w:color="auto"/>
              <w:bottom w:val="single" w:sz="4" w:space="0" w:color="auto"/>
              <w:right w:val="single" w:sz="4" w:space="0" w:color="auto"/>
            </w:tcBorders>
          </w:tcPr>
          <w:p w14:paraId="02E4F109" w14:textId="77777777" w:rsidR="0022595E" w:rsidRPr="00FE3045" w:rsidRDefault="0022595E" w:rsidP="00020B14">
            <w:pPr>
              <w:tabs>
                <w:tab w:val="left" w:pos="0"/>
              </w:tabs>
              <w:rPr>
                <w:color w:val="000000"/>
                <w:sz w:val="22"/>
                <w:szCs w:val="22"/>
                <w:lang w:val="en-GB" w:eastAsia="fr-FR"/>
              </w:rPr>
            </w:pPr>
          </w:p>
        </w:tc>
      </w:tr>
      <w:tr w:rsidR="00FC5744" w:rsidRPr="001360A5" w14:paraId="28F12D0B"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37367B6" w14:textId="2455536B" w:rsidR="0022595E" w:rsidRPr="00FE3045" w:rsidRDefault="0022595E" w:rsidP="00020B14">
            <w:pPr>
              <w:tabs>
                <w:tab w:val="left" w:pos="0"/>
              </w:tabs>
              <w:ind w:left="-96"/>
              <w:rPr>
                <w:rFonts w:ascii="Verdana" w:hAnsi="Verdana"/>
                <w:color w:val="000000"/>
                <w:sz w:val="22"/>
                <w:szCs w:val="22"/>
                <w:lang w:val="en-GB" w:eastAsia="fr-FR"/>
              </w:rPr>
            </w:pPr>
            <w:r w:rsidRPr="00001686">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0D5E91DA" w14:textId="035F4830" w:rsidR="0022595E" w:rsidRPr="000158FF" w:rsidRDefault="0022595E" w:rsidP="00020B14">
            <w:pPr>
              <w:tabs>
                <w:tab w:val="left" w:pos="0"/>
              </w:tabs>
              <w:rPr>
                <w:rFonts w:ascii="Verdana" w:hAnsi="Verdana"/>
                <w:color w:val="000000"/>
                <w:sz w:val="22"/>
                <w:szCs w:val="22"/>
                <w:lang w:val="en-GB" w:eastAsia="fr-FR"/>
              </w:rPr>
            </w:pPr>
            <w:r w:rsidRPr="00D46B4C">
              <w:rPr>
                <w:rFonts w:ascii="Verdana" w:hAnsi="Verdana"/>
                <w:color w:val="7F7F7F" w:themeColor="text1" w:themeTint="80"/>
                <w:sz w:val="22"/>
                <w:szCs w:val="22"/>
              </w:rPr>
              <w:t>279</w:t>
            </w:r>
          </w:p>
        </w:tc>
        <w:tc>
          <w:tcPr>
            <w:tcW w:w="1999" w:type="pct"/>
            <w:tcBorders>
              <w:top w:val="single" w:sz="4" w:space="0" w:color="auto"/>
              <w:left w:val="single" w:sz="4" w:space="0" w:color="auto"/>
              <w:bottom w:val="single" w:sz="4" w:space="0" w:color="auto"/>
              <w:right w:val="single" w:sz="4" w:space="0" w:color="auto"/>
            </w:tcBorders>
          </w:tcPr>
          <w:p w14:paraId="000E1EC8" w14:textId="1DB15884" w:rsidR="0022595E" w:rsidRPr="000158FF" w:rsidRDefault="0022595E" w:rsidP="00020B14">
            <w:pPr>
              <w:tabs>
                <w:tab w:val="left" w:pos="0"/>
              </w:tabs>
              <w:rPr>
                <w:rFonts w:ascii="Verdana" w:hAnsi="Verdana"/>
                <w:color w:val="000000"/>
                <w:sz w:val="22"/>
                <w:szCs w:val="22"/>
                <w:lang w:val="en-GB" w:eastAsia="fr-FR"/>
              </w:rPr>
            </w:pPr>
            <w:r>
              <w:rPr>
                <w:rFonts w:ascii="Verdana" w:hAnsi="Verdana"/>
                <w:color w:val="7F7F7F" w:themeColor="text1" w:themeTint="80"/>
                <w:sz w:val="22"/>
                <w:szCs w:val="22"/>
                <w:lang w:val="en-US"/>
              </w:rPr>
              <w:t>As r</w:t>
            </w:r>
            <w:r w:rsidRPr="00D46B4C">
              <w:rPr>
                <w:rFonts w:ascii="Verdana" w:hAnsi="Verdana"/>
                <w:color w:val="7F7F7F" w:themeColor="text1" w:themeTint="80"/>
                <w:sz w:val="22"/>
                <w:szCs w:val="22"/>
                <w:lang w:val="en-US"/>
              </w:rPr>
              <w:t xml:space="preserve">ightly mentioned by EIOPA, </w:t>
            </w:r>
            <w:r w:rsidRPr="00E107F2">
              <w:rPr>
                <w:rFonts w:ascii="Verdana" w:hAnsi="Verdana"/>
                <w:color w:val="7F7F7F" w:themeColor="text1" w:themeTint="80"/>
                <w:sz w:val="22"/>
                <w:szCs w:val="22"/>
                <w:lang w:val="en-US"/>
              </w:rPr>
              <w:t xml:space="preserve">the issue of forced sales </w:t>
            </w:r>
            <w:r w:rsidRPr="00D46B4C">
              <w:rPr>
                <w:rFonts w:ascii="Verdana" w:hAnsi="Verdana"/>
                <w:color w:val="7F7F7F" w:themeColor="text1" w:themeTint="80"/>
                <w:sz w:val="22"/>
                <w:szCs w:val="22"/>
                <w:lang w:val="en-US"/>
              </w:rPr>
              <w:t>should be considered by insurers. In a going concern, insurers are required to assess their ability to withstand any liquidity shock and the risk of forced selling i.e.</w:t>
            </w:r>
            <w:r w:rsidR="00A3261B">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 xml:space="preserve">the risk of having to realise </w:t>
            </w:r>
            <w:r>
              <w:rPr>
                <w:rFonts w:ascii="Verdana" w:hAnsi="Verdana"/>
                <w:color w:val="7F7F7F" w:themeColor="text1" w:themeTint="80"/>
                <w:sz w:val="22"/>
                <w:szCs w:val="22"/>
                <w:lang w:val="en-US"/>
              </w:rPr>
              <w:t xml:space="preserve">the </w:t>
            </w:r>
            <w:r w:rsidRPr="00D46B4C">
              <w:rPr>
                <w:rFonts w:ascii="Verdana" w:hAnsi="Verdana"/>
                <w:color w:val="7F7F7F" w:themeColor="text1" w:themeTint="80"/>
                <w:sz w:val="22"/>
                <w:szCs w:val="22"/>
                <w:lang w:val="en-US"/>
              </w:rPr>
              <w:t xml:space="preserve">unrealised losses. Rather than using the VA to assess this risk, </w:t>
            </w:r>
            <w:r w:rsidR="007858B4">
              <w:rPr>
                <w:rFonts w:ascii="Verdana" w:hAnsi="Verdana"/>
                <w:color w:val="7F7F7F" w:themeColor="text1" w:themeTint="80"/>
                <w:sz w:val="22"/>
                <w:szCs w:val="22"/>
                <w:lang w:val="en-US"/>
              </w:rPr>
              <w:t xml:space="preserve">the </w:t>
            </w:r>
            <w:r w:rsidRPr="00D46B4C">
              <w:rPr>
                <w:rFonts w:ascii="Verdana" w:hAnsi="Verdana"/>
                <w:color w:val="7F7F7F" w:themeColor="text1" w:themeTint="80"/>
                <w:sz w:val="22"/>
                <w:szCs w:val="22"/>
                <w:lang w:val="en-US"/>
              </w:rPr>
              <w:t>liquidity risk management and liquidity stress tests are the proper tooling to this end</w:t>
            </w:r>
            <w:r w:rsidRPr="00D46B4C">
              <w:rPr>
                <w:rFonts w:ascii="Verdana" w:hAnsi="Verdana"/>
                <w:color w:val="000000"/>
                <w:sz w:val="22"/>
                <w:szCs w:val="22"/>
                <w:lang w:val="en-US"/>
              </w:rPr>
              <w:t>.</w:t>
            </w:r>
          </w:p>
        </w:tc>
        <w:tc>
          <w:tcPr>
            <w:tcW w:w="483" w:type="pct"/>
            <w:tcBorders>
              <w:top w:val="single" w:sz="4" w:space="0" w:color="auto"/>
              <w:left w:val="single" w:sz="4" w:space="0" w:color="auto"/>
              <w:bottom w:val="single" w:sz="4" w:space="0" w:color="auto"/>
              <w:right w:val="single" w:sz="4" w:space="0" w:color="auto"/>
            </w:tcBorders>
          </w:tcPr>
          <w:p w14:paraId="38BF962E" w14:textId="77777777" w:rsidR="0022595E" w:rsidRPr="00FE3045" w:rsidRDefault="0022595E" w:rsidP="00020B14">
            <w:pPr>
              <w:tabs>
                <w:tab w:val="left" w:pos="0"/>
              </w:tabs>
              <w:rPr>
                <w:color w:val="000000"/>
                <w:sz w:val="22"/>
                <w:szCs w:val="22"/>
                <w:lang w:val="en-GB" w:eastAsia="fr-FR"/>
              </w:rPr>
            </w:pPr>
          </w:p>
        </w:tc>
      </w:tr>
      <w:tr w:rsidR="00FC5744" w:rsidRPr="001360A5" w14:paraId="4CCCBE97"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26EB1AE" w14:textId="04B938C2" w:rsidR="00891023" w:rsidRPr="00001686" w:rsidRDefault="00891023" w:rsidP="00020B14">
            <w:pPr>
              <w:tabs>
                <w:tab w:val="left" w:pos="0"/>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7BA34330" w14:textId="1C7849D5" w:rsidR="00891023" w:rsidRPr="00D46B4C" w:rsidRDefault="00891023" w:rsidP="00020B14">
            <w:pPr>
              <w:tabs>
                <w:tab w:val="left" w:pos="0"/>
              </w:tabs>
              <w:rPr>
                <w:rFonts w:ascii="Verdana" w:hAnsi="Verdana"/>
                <w:color w:val="7F7F7F" w:themeColor="text1" w:themeTint="80"/>
                <w:sz w:val="22"/>
                <w:szCs w:val="22"/>
                <w:lang w:val="en-GB" w:eastAsia="fr-FR"/>
              </w:rPr>
            </w:pPr>
            <w:r w:rsidRPr="008F70F8">
              <w:rPr>
                <w:rFonts w:ascii="Verdana" w:hAnsi="Verdana"/>
                <w:b/>
                <w:bCs/>
                <w:color w:val="7F7F7F" w:themeColor="text1" w:themeTint="80"/>
                <w:sz w:val="22"/>
                <w:szCs w:val="22"/>
                <w:lang w:val="en-GB" w:eastAsia="fr-FR"/>
              </w:rPr>
              <w:t>Question to stakeholder</w:t>
            </w:r>
            <w:r w:rsidRPr="00823BC5">
              <w:rPr>
                <w:rFonts w:ascii="Verdana" w:hAnsi="Verdana"/>
                <w:b/>
                <w:bCs/>
                <w:color w:val="7F7F7F" w:themeColor="text1" w:themeTint="80"/>
                <w:sz w:val="22"/>
                <w:szCs w:val="22"/>
                <w:lang w:val="en-GB" w:eastAsia="fr-FR"/>
              </w:rPr>
              <w:t>s</w:t>
            </w:r>
          </w:p>
        </w:tc>
        <w:tc>
          <w:tcPr>
            <w:tcW w:w="1999" w:type="pct"/>
            <w:tcBorders>
              <w:top w:val="single" w:sz="4" w:space="0" w:color="auto"/>
              <w:left w:val="single" w:sz="4" w:space="0" w:color="auto"/>
              <w:bottom w:val="single" w:sz="4" w:space="0" w:color="auto"/>
              <w:right w:val="single" w:sz="4" w:space="0" w:color="auto"/>
            </w:tcBorders>
          </w:tcPr>
          <w:p w14:paraId="2CDAE27C" w14:textId="7791FBB0" w:rsidR="00891023" w:rsidRPr="00823BC5" w:rsidRDefault="00891023" w:rsidP="00020B14">
            <w:pPr>
              <w:tabs>
                <w:tab w:val="left" w:pos="0"/>
              </w:tabs>
              <w:rPr>
                <w:rFonts w:ascii="Verdana" w:hAnsi="Verdana" w:cs="Verdana"/>
                <w:b/>
                <w:color w:val="7F7F7F" w:themeColor="text1" w:themeTint="80"/>
                <w:sz w:val="22"/>
                <w:szCs w:val="22"/>
                <w:lang w:val="en-US"/>
              </w:rPr>
            </w:pPr>
            <w:r w:rsidRPr="00823BC5">
              <w:rPr>
                <w:rFonts w:ascii="Verdana" w:hAnsi="Verdana" w:cs="Verdana"/>
                <w:b/>
                <w:color w:val="7F7F7F" w:themeColor="text1" w:themeTint="80"/>
                <w:sz w:val="22"/>
                <w:szCs w:val="22"/>
                <w:lang w:val="en-US"/>
              </w:rPr>
              <w:t>Q2.3: What is your view on the identified deficiencies of the current VA?</w:t>
            </w:r>
          </w:p>
          <w:p w14:paraId="39DB7473" w14:textId="4F07E09A" w:rsidR="00BC54AE" w:rsidRPr="00823BC5" w:rsidRDefault="00BC54AE" w:rsidP="00020B14">
            <w:pPr>
              <w:tabs>
                <w:tab w:val="left" w:pos="0"/>
              </w:tabs>
              <w:rPr>
                <w:rFonts w:ascii="Verdana" w:hAnsi="Verdana"/>
                <w:color w:val="7F7F7F" w:themeColor="text1" w:themeTint="80"/>
                <w:sz w:val="22"/>
                <w:szCs w:val="22"/>
                <w:lang w:val="en-GB" w:eastAsia="fr-FR"/>
              </w:rPr>
            </w:pPr>
            <w:r w:rsidRPr="00823BC5">
              <w:rPr>
                <w:rFonts w:ascii="Verdana" w:hAnsi="Verdana"/>
                <w:color w:val="7F7F7F" w:themeColor="text1" w:themeTint="80"/>
                <w:sz w:val="22"/>
                <w:szCs w:val="22"/>
                <w:lang w:val="en-GB" w:eastAsia="fr-FR"/>
              </w:rPr>
              <w:t xml:space="preserve">In our view the </w:t>
            </w:r>
            <w:r w:rsidRPr="001F7855">
              <w:rPr>
                <w:rFonts w:ascii="Verdana" w:hAnsi="Verdana"/>
                <w:b/>
                <w:bCs/>
                <w:color w:val="7F7F7F" w:themeColor="text1" w:themeTint="80"/>
                <w:sz w:val="22"/>
                <w:szCs w:val="22"/>
                <w:lang w:val="en-GB" w:eastAsia="fr-FR"/>
              </w:rPr>
              <w:t>VA should better account for the risk premium earned by undertakings</w:t>
            </w:r>
            <w:r w:rsidRPr="00823BC5">
              <w:rPr>
                <w:rFonts w:ascii="Verdana" w:hAnsi="Verdana"/>
                <w:color w:val="7F7F7F" w:themeColor="text1" w:themeTint="80"/>
                <w:sz w:val="22"/>
                <w:szCs w:val="22"/>
                <w:lang w:val="en-GB" w:eastAsia="fr-FR"/>
              </w:rPr>
              <w:t xml:space="preserve"> and </w:t>
            </w:r>
            <w:r w:rsidRPr="001F7855">
              <w:rPr>
                <w:rFonts w:ascii="Verdana" w:hAnsi="Verdana"/>
                <w:b/>
                <w:bCs/>
                <w:color w:val="7F7F7F" w:themeColor="text1" w:themeTint="80"/>
                <w:sz w:val="22"/>
                <w:szCs w:val="22"/>
                <w:lang w:val="en-GB" w:eastAsia="fr-FR"/>
              </w:rPr>
              <w:t>better reflect their real risk profile</w:t>
            </w:r>
            <w:r w:rsidRPr="00823BC5">
              <w:rPr>
                <w:rFonts w:ascii="Verdana" w:hAnsi="Verdana"/>
                <w:color w:val="7F7F7F" w:themeColor="text1" w:themeTint="80"/>
                <w:sz w:val="22"/>
                <w:szCs w:val="22"/>
                <w:lang w:val="en-GB" w:eastAsia="fr-FR"/>
              </w:rPr>
              <w:t xml:space="preserve">. Moreover, there are </w:t>
            </w:r>
            <w:r w:rsidRPr="001F7855">
              <w:rPr>
                <w:rFonts w:ascii="Verdana" w:hAnsi="Verdana"/>
                <w:b/>
                <w:bCs/>
                <w:color w:val="7F7F7F" w:themeColor="text1" w:themeTint="80"/>
                <w:sz w:val="22"/>
                <w:szCs w:val="22"/>
                <w:lang w:val="en-GB" w:eastAsia="fr-FR"/>
              </w:rPr>
              <w:t xml:space="preserve">deficiencies in the mitigation of the </w:t>
            </w:r>
            <w:r w:rsidR="007E48BC" w:rsidRPr="001F7855">
              <w:rPr>
                <w:rFonts w:ascii="Verdana" w:hAnsi="Verdana"/>
                <w:b/>
                <w:bCs/>
                <w:color w:val="7F7F7F" w:themeColor="text1" w:themeTint="80"/>
                <w:sz w:val="22"/>
                <w:szCs w:val="22"/>
                <w:lang w:val="en-GB" w:eastAsia="fr-FR"/>
              </w:rPr>
              <w:t>exaggerations</w:t>
            </w:r>
            <w:r w:rsidRPr="001F7855">
              <w:rPr>
                <w:rFonts w:ascii="Verdana" w:hAnsi="Verdana"/>
                <w:b/>
                <w:bCs/>
                <w:color w:val="7F7F7F" w:themeColor="text1" w:themeTint="80"/>
                <w:sz w:val="22"/>
                <w:szCs w:val="22"/>
                <w:lang w:val="en-GB" w:eastAsia="fr-FR"/>
              </w:rPr>
              <w:t xml:space="preserve"> of spreads</w:t>
            </w:r>
            <w:r w:rsidRPr="00823BC5">
              <w:rPr>
                <w:rFonts w:ascii="Verdana" w:hAnsi="Verdana"/>
                <w:color w:val="7F7F7F" w:themeColor="text1" w:themeTint="80"/>
                <w:sz w:val="22"/>
                <w:szCs w:val="22"/>
                <w:lang w:val="en-GB" w:eastAsia="fr-FR"/>
              </w:rPr>
              <w:t xml:space="preserve"> resulting in </w:t>
            </w:r>
            <w:r w:rsidRPr="001F7855">
              <w:rPr>
                <w:rFonts w:ascii="Verdana" w:hAnsi="Verdana"/>
                <w:b/>
                <w:bCs/>
                <w:color w:val="7F7F7F" w:themeColor="text1" w:themeTint="80"/>
                <w:sz w:val="22"/>
                <w:szCs w:val="22"/>
                <w:lang w:val="en-GB" w:eastAsia="fr-FR"/>
              </w:rPr>
              <w:t>artificial volatility</w:t>
            </w:r>
            <w:r w:rsidRPr="00823BC5">
              <w:rPr>
                <w:rFonts w:ascii="Verdana" w:hAnsi="Verdana"/>
                <w:color w:val="7F7F7F" w:themeColor="text1" w:themeTint="80"/>
                <w:sz w:val="22"/>
                <w:szCs w:val="22"/>
                <w:lang w:val="en-GB" w:eastAsia="fr-FR"/>
              </w:rPr>
              <w:t xml:space="preserve"> and </w:t>
            </w:r>
            <w:r w:rsidRPr="001F7855">
              <w:rPr>
                <w:rFonts w:ascii="Verdana" w:hAnsi="Verdana"/>
                <w:b/>
                <w:bCs/>
                <w:color w:val="7F7F7F" w:themeColor="text1" w:themeTint="80"/>
                <w:sz w:val="22"/>
                <w:szCs w:val="22"/>
                <w:lang w:val="en-GB" w:eastAsia="fr-FR"/>
              </w:rPr>
              <w:t>insufficient protection to own funds</w:t>
            </w:r>
            <w:r w:rsidRPr="00823BC5">
              <w:rPr>
                <w:rFonts w:ascii="Verdana" w:hAnsi="Verdana"/>
                <w:color w:val="7F7F7F" w:themeColor="text1" w:themeTint="80"/>
                <w:sz w:val="22"/>
                <w:szCs w:val="22"/>
                <w:lang w:val="en-GB" w:eastAsia="fr-FR"/>
              </w:rPr>
              <w:t>.</w:t>
            </w:r>
          </w:p>
          <w:p w14:paraId="330F2DDB" w14:textId="77777777" w:rsidR="00BC54AE" w:rsidRPr="00823BC5" w:rsidRDefault="00BC54AE" w:rsidP="00020B14">
            <w:pPr>
              <w:tabs>
                <w:tab w:val="left" w:pos="0"/>
              </w:tabs>
              <w:rPr>
                <w:rFonts w:ascii="Verdana" w:hAnsi="Verdana"/>
                <w:color w:val="7F7F7F" w:themeColor="text1" w:themeTint="80"/>
                <w:sz w:val="22"/>
                <w:szCs w:val="22"/>
                <w:lang w:val="en-GB" w:eastAsia="fr-FR"/>
              </w:rPr>
            </w:pPr>
            <w:r w:rsidRPr="00823BC5">
              <w:rPr>
                <w:rFonts w:ascii="Verdana" w:hAnsi="Verdana"/>
                <w:color w:val="7F7F7F" w:themeColor="text1" w:themeTint="80"/>
                <w:sz w:val="22"/>
                <w:szCs w:val="22"/>
                <w:lang w:val="en-GB" w:eastAsia="fr-FR"/>
              </w:rPr>
              <w:t xml:space="preserve">Therefore, AMICE has already submitted a detailed proposal for consideration (see Annex 1). </w:t>
            </w:r>
          </w:p>
          <w:p w14:paraId="685EE85F" w14:textId="62B450FC" w:rsidR="00BC54AE" w:rsidRPr="00823BC5" w:rsidRDefault="00BC54AE" w:rsidP="00020B14">
            <w:pPr>
              <w:tabs>
                <w:tab w:val="left" w:pos="0"/>
              </w:tabs>
              <w:rPr>
                <w:rFonts w:ascii="Verdana" w:hAnsi="Verdana"/>
                <w:color w:val="7F7F7F" w:themeColor="text1" w:themeTint="80"/>
                <w:sz w:val="22"/>
                <w:lang w:val="en-GB"/>
              </w:rPr>
            </w:pPr>
            <w:r w:rsidRPr="00823BC5">
              <w:rPr>
                <w:rFonts w:ascii="Verdana" w:hAnsi="Verdana"/>
                <w:color w:val="7F7F7F" w:themeColor="text1" w:themeTint="80"/>
                <w:sz w:val="22"/>
                <w:szCs w:val="22"/>
                <w:lang w:val="en-GB" w:eastAsia="fr-FR"/>
              </w:rPr>
              <w:t xml:space="preserve">AMICE identifies issues that </w:t>
            </w:r>
            <w:r w:rsidR="007E48BC" w:rsidRPr="00823BC5">
              <w:rPr>
                <w:rFonts w:ascii="Verdana" w:hAnsi="Verdana"/>
                <w:color w:val="7F7F7F" w:themeColor="text1" w:themeTint="80"/>
                <w:sz w:val="22"/>
                <w:szCs w:val="22"/>
                <w:lang w:val="en-GB" w:eastAsia="fr-FR"/>
              </w:rPr>
              <w:t>bring, the</w:t>
            </w:r>
            <w:r w:rsidRPr="00823BC5">
              <w:rPr>
                <w:rFonts w:ascii="Verdana" w:hAnsi="Verdana"/>
                <w:color w:val="7F7F7F" w:themeColor="text1" w:themeTint="80"/>
                <w:sz w:val="22"/>
                <w:szCs w:val="22"/>
                <w:lang w:val="en-GB" w:eastAsia="fr-FR"/>
              </w:rPr>
              <w:t xml:space="preserve"> non-life insurers perspective in the debate when assessing if the VA fulfils its objectives of protection of own funds and mitigation of artificial volatility. The issues are threefold</w:t>
            </w:r>
            <w:r w:rsidRPr="00823BC5">
              <w:rPr>
                <w:rFonts w:ascii="Verdana" w:hAnsi="Verdana"/>
                <w:color w:val="7F7F7F" w:themeColor="text1" w:themeTint="80"/>
                <w:sz w:val="22"/>
                <w:lang w:val="en-GB"/>
              </w:rPr>
              <w:t>:</w:t>
            </w:r>
          </w:p>
          <w:p w14:paraId="1C057F19" w14:textId="77777777" w:rsidR="00BC54AE" w:rsidRPr="00823BC5" w:rsidRDefault="00BC54AE" w:rsidP="00020B14">
            <w:pPr>
              <w:tabs>
                <w:tab w:val="left" w:pos="0"/>
              </w:tabs>
              <w:rPr>
                <w:rFonts w:ascii="Verdana" w:hAnsi="Verdana"/>
                <w:color w:val="7F7F7F" w:themeColor="text1" w:themeTint="80"/>
                <w:sz w:val="22"/>
                <w:szCs w:val="22"/>
                <w:lang w:val="en-GB" w:eastAsia="fr-FR"/>
              </w:rPr>
            </w:pPr>
          </w:p>
          <w:p w14:paraId="19E99BDB" w14:textId="62EB5288" w:rsidR="00BC54AE" w:rsidRPr="00823BC5" w:rsidRDefault="00BC54AE" w:rsidP="00020B14">
            <w:pPr>
              <w:pStyle w:val="ListParagraph"/>
              <w:numPr>
                <w:ilvl w:val="0"/>
                <w:numId w:val="32"/>
              </w:numPr>
              <w:tabs>
                <w:tab w:val="left" w:pos="0"/>
              </w:tabs>
              <w:ind w:left="0"/>
              <w:jc w:val="both"/>
              <w:rPr>
                <w:rFonts w:ascii="Verdana" w:hAnsi="Verdana"/>
                <w:color w:val="7F7F7F" w:themeColor="text1" w:themeTint="80"/>
                <w:lang w:val="en-GB" w:eastAsia="fr-FR"/>
              </w:rPr>
            </w:pPr>
            <w:r w:rsidRPr="00823BC5">
              <w:rPr>
                <w:rFonts w:ascii="Verdana" w:hAnsi="Verdana"/>
                <w:color w:val="7F7F7F" w:themeColor="text1" w:themeTint="80"/>
                <w:lang w:val="en-GB" w:eastAsia="fr-FR"/>
              </w:rPr>
              <w:lastRenderedPageBreak/>
              <w:t xml:space="preserve">First, </w:t>
            </w:r>
            <w:r w:rsidRPr="001F7855">
              <w:rPr>
                <w:rFonts w:ascii="Verdana" w:hAnsi="Verdana"/>
                <w:b/>
                <w:bCs/>
                <w:color w:val="7F7F7F" w:themeColor="text1" w:themeTint="80"/>
                <w:lang w:val="en-GB" w:eastAsia="fr-FR"/>
              </w:rPr>
              <w:t>there is no compensation for assets backing own funds</w:t>
            </w:r>
            <w:r w:rsidRPr="00823BC5">
              <w:rPr>
                <w:rFonts w:ascii="Verdana" w:hAnsi="Verdana"/>
                <w:color w:val="7F7F7F" w:themeColor="text1" w:themeTint="80"/>
                <w:lang w:val="en-GB" w:eastAsia="fr-FR"/>
              </w:rPr>
              <w:t xml:space="preserve"> by nature of the construction of the prudential balance sheet (no discounting of own funds and VA defined as an </w:t>
            </w:r>
            <w:r w:rsidR="007E48BC" w:rsidRPr="00823BC5">
              <w:rPr>
                <w:rFonts w:ascii="Verdana" w:hAnsi="Verdana"/>
                <w:color w:val="7F7F7F" w:themeColor="text1" w:themeTint="80"/>
                <w:lang w:val="en-GB" w:eastAsia="fr-FR"/>
              </w:rPr>
              <w:t>adjustment</w:t>
            </w:r>
            <w:r w:rsidRPr="00823BC5">
              <w:rPr>
                <w:rFonts w:ascii="Verdana" w:hAnsi="Verdana"/>
                <w:color w:val="7F7F7F" w:themeColor="text1" w:themeTint="80"/>
                <w:lang w:val="en-GB" w:eastAsia="fr-FR"/>
              </w:rPr>
              <w:t xml:space="preserve"> to the curve used to discount BE cash flows) </w:t>
            </w:r>
          </w:p>
          <w:p w14:paraId="320CD5C2" w14:textId="5410949D" w:rsidR="00BC54AE" w:rsidRPr="00823BC5" w:rsidRDefault="00BC54AE" w:rsidP="00020B14">
            <w:pPr>
              <w:pStyle w:val="ListParagraph"/>
              <w:numPr>
                <w:ilvl w:val="0"/>
                <w:numId w:val="32"/>
              </w:numPr>
              <w:tabs>
                <w:tab w:val="left" w:pos="0"/>
              </w:tabs>
              <w:ind w:left="0"/>
              <w:jc w:val="both"/>
              <w:rPr>
                <w:rFonts w:ascii="Verdana" w:hAnsi="Verdana"/>
                <w:color w:val="7F7F7F" w:themeColor="text1" w:themeTint="80"/>
                <w:lang w:val="en-GB" w:eastAsia="fr-FR"/>
              </w:rPr>
            </w:pPr>
            <w:r w:rsidRPr="00823BC5">
              <w:rPr>
                <w:rFonts w:ascii="Verdana" w:hAnsi="Verdana"/>
                <w:color w:val="7F7F7F" w:themeColor="text1" w:themeTint="80"/>
                <w:lang w:val="en-GB" w:eastAsia="fr-FR"/>
              </w:rPr>
              <w:t xml:space="preserve">Second, </w:t>
            </w:r>
            <w:r w:rsidRPr="001F7855">
              <w:rPr>
                <w:rFonts w:ascii="Verdana" w:hAnsi="Verdana"/>
                <w:b/>
                <w:bCs/>
                <w:color w:val="7F7F7F" w:themeColor="text1" w:themeTint="80"/>
                <w:lang w:val="en-GB" w:eastAsia="fr-FR"/>
              </w:rPr>
              <w:t>an unfavourable duration mismatch due to lack of going concern approach</w:t>
            </w:r>
            <w:r w:rsidRPr="00823BC5">
              <w:rPr>
                <w:rFonts w:ascii="Verdana" w:hAnsi="Verdana"/>
                <w:color w:val="7F7F7F" w:themeColor="text1" w:themeTint="80"/>
                <w:lang w:val="en-GB" w:eastAsia="fr-FR"/>
              </w:rPr>
              <w:t xml:space="preserve"> (contract boundaries </w:t>
            </w:r>
            <w:r w:rsidR="007E48BC" w:rsidRPr="00823BC5">
              <w:rPr>
                <w:rFonts w:ascii="Verdana" w:hAnsi="Verdana"/>
                <w:color w:val="7F7F7F" w:themeColor="text1" w:themeTint="80"/>
                <w:lang w:val="en-GB" w:eastAsia="fr-FR"/>
              </w:rPr>
              <w:t>truncate</w:t>
            </w:r>
            <w:r w:rsidRPr="00823BC5">
              <w:rPr>
                <w:rFonts w:ascii="Verdana" w:hAnsi="Verdana"/>
                <w:color w:val="7F7F7F" w:themeColor="text1" w:themeTint="80"/>
                <w:lang w:val="en-GB" w:eastAsia="fr-FR"/>
              </w:rPr>
              <w:t xml:space="preserve"> the BE duration which fails to reflect the going concern horizon to which assets durations are linked). </w:t>
            </w:r>
          </w:p>
          <w:p w14:paraId="31714BF8" w14:textId="77777777" w:rsidR="00BC54AE" w:rsidRPr="00823BC5" w:rsidRDefault="00BC54AE" w:rsidP="00020B14">
            <w:pPr>
              <w:pStyle w:val="ListParagraph"/>
              <w:numPr>
                <w:ilvl w:val="0"/>
                <w:numId w:val="32"/>
              </w:numPr>
              <w:tabs>
                <w:tab w:val="left" w:pos="0"/>
              </w:tabs>
              <w:ind w:left="0"/>
              <w:jc w:val="both"/>
              <w:rPr>
                <w:rFonts w:ascii="Verdana" w:hAnsi="Verdana"/>
                <w:color w:val="7F7F7F" w:themeColor="text1" w:themeTint="80"/>
                <w:lang w:val="en-GB" w:eastAsia="fr-FR"/>
              </w:rPr>
            </w:pPr>
            <w:r w:rsidRPr="00823BC5">
              <w:rPr>
                <w:rFonts w:ascii="Verdana" w:hAnsi="Verdana"/>
                <w:color w:val="7F7F7F" w:themeColor="text1" w:themeTint="80"/>
                <w:lang w:val="en-GB" w:eastAsia="fr-FR"/>
              </w:rPr>
              <w:t xml:space="preserve">Third, </w:t>
            </w:r>
            <w:r w:rsidRPr="001F7855">
              <w:rPr>
                <w:rFonts w:ascii="Verdana" w:hAnsi="Verdana"/>
                <w:b/>
                <w:bCs/>
                <w:color w:val="7F7F7F" w:themeColor="text1" w:themeTint="80"/>
                <w:lang w:val="en-GB" w:eastAsia="fr-FR"/>
              </w:rPr>
              <w:t>the too low application ratio (65%) is not justified when undertakings are able to demonstrate their capacity to hold bonds to maturity if necessary</w:t>
            </w:r>
            <w:r w:rsidRPr="00823BC5">
              <w:rPr>
                <w:rFonts w:ascii="Verdana" w:hAnsi="Verdana"/>
                <w:color w:val="7F7F7F" w:themeColor="text1" w:themeTint="80"/>
                <w:lang w:val="en-GB" w:eastAsia="fr-FR"/>
              </w:rPr>
              <w:t xml:space="preserve">. </w:t>
            </w:r>
          </w:p>
          <w:p w14:paraId="627C306C" w14:textId="64C3A996" w:rsidR="00BC54AE" w:rsidRPr="00823BC5" w:rsidRDefault="00BC54AE" w:rsidP="00020B14">
            <w:pPr>
              <w:pStyle w:val="ListParagraph"/>
              <w:tabs>
                <w:tab w:val="left" w:pos="0"/>
              </w:tabs>
              <w:spacing w:after="120"/>
              <w:ind w:left="0"/>
              <w:jc w:val="both"/>
              <w:rPr>
                <w:rFonts w:ascii="Verdana" w:hAnsi="Verdana"/>
                <w:color w:val="7F7F7F" w:themeColor="text1" w:themeTint="80"/>
                <w:lang w:val="en-GB" w:eastAsia="fr-FR"/>
              </w:rPr>
            </w:pPr>
            <w:r w:rsidRPr="00823BC5">
              <w:rPr>
                <w:rFonts w:ascii="Verdana" w:hAnsi="Verdana"/>
                <w:color w:val="7F7F7F" w:themeColor="text1" w:themeTint="80"/>
                <w:lang w:val="en-GB" w:eastAsia="fr-FR"/>
              </w:rPr>
              <w:t xml:space="preserve">AMICE also points at, the </w:t>
            </w:r>
            <w:r w:rsidRPr="001F7855">
              <w:rPr>
                <w:rFonts w:ascii="Verdana" w:hAnsi="Verdana"/>
                <w:b/>
                <w:bCs/>
                <w:color w:val="7F7F7F" w:themeColor="text1" w:themeTint="80"/>
                <w:lang w:val="en-GB" w:eastAsia="fr-FR"/>
              </w:rPr>
              <w:t>national trigger</w:t>
            </w:r>
            <w:r w:rsidRPr="00823BC5">
              <w:rPr>
                <w:rFonts w:ascii="Verdana" w:hAnsi="Verdana"/>
                <w:color w:val="7F7F7F" w:themeColor="text1" w:themeTint="80"/>
                <w:lang w:val="en-GB" w:eastAsia="fr-FR"/>
              </w:rPr>
              <w:t xml:space="preserve"> as it is currently designed and which </w:t>
            </w:r>
            <w:r w:rsidRPr="001F7855">
              <w:rPr>
                <w:rFonts w:ascii="Verdana" w:hAnsi="Verdana"/>
                <w:b/>
                <w:bCs/>
                <w:color w:val="7F7F7F" w:themeColor="text1" w:themeTint="80"/>
                <w:lang w:val="en-GB" w:eastAsia="fr-FR"/>
              </w:rPr>
              <w:t>proves to be inefficient</w:t>
            </w:r>
            <w:r w:rsidRPr="00823BC5">
              <w:rPr>
                <w:rFonts w:ascii="Verdana" w:hAnsi="Verdana"/>
                <w:color w:val="7F7F7F" w:themeColor="text1" w:themeTint="80"/>
                <w:lang w:val="en-GB" w:eastAsia="fr-FR"/>
              </w:rPr>
              <w:t xml:space="preserve"> and to </w:t>
            </w:r>
            <w:r w:rsidRPr="001F7855">
              <w:rPr>
                <w:rFonts w:ascii="Verdana" w:hAnsi="Verdana"/>
                <w:b/>
                <w:bCs/>
                <w:color w:val="7F7F7F" w:themeColor="text1" w:themeTint="80"/>
                <w:lang w:val="en-GB" w:eastAsia="fr-FR"/>
              </w:rPr>
              <w:t>create</w:t>
            </w:r>
            <w:r w:rsidR="00141932">
              <w:rPr>
                <w:rFonts w:ascii="Verdana" w:hAnsi="Verdana"/>
                <w:b/>
                <w:bCs/>
                <w:color w:val="7F7F7F" w:themeColor="text1" w:themeTint="80"/>
                <w:lang w:val="en-GB" w:eastAsia="fr-FR"/>
              </w:rPr>
              <w:t>s</w:t>
            </w:r>
            <w:r w:rsidRPr="001F7855">
              <w:rPr>
                <w:rFonts w:ascii="Verdana" w:hAnsi="Verdana"/>
                <w:b/>
                <w:bCs/>
                <w:color w:val="7F7F7F" w:themeColor="text1" w:themeTint="80"/>
                <w:lang w:val="en-GB" w:eastAsia="fr-FR"/>
              </w:rPr>
              <w:t xml:space="preserve"> cliff-edge effects</w:t>
            </w:r>
            <w:r w:rsidRPr="00823BC5">
              <w:rPr>
                <w:rFonts w:ascii="Verdana" w:hAnsi="Verdana"/>
                <w:color w:val="7F7F7F" w:themeColor="text1" w:themeTint="80"/>
                <w:lang w:val="en-GB" w:eastAsia="fr-FR"/>
              </w:rPr>
              <w:t>. This needs to be solved.</w:t>
            </w:r>
          </w:p>
          <w:p w14:paraId="515A9C70" w14:textId="5E984F9F" w:rsidR="00BC54AE" w:rsidRPr="00823BC5" w:rsidRDefault="00BC54AE" w:rsidP="00020B14">
            <w:pPr>
              <w:tabs>
                <w:tab w:val="left" w:pos="0"/>
              </w:tabs>
              <w:rPr>
                <w:rFonts w:ascii="Verdana" w:hAnsi="Verdana"/>
                <w:color w:val="7F7F7F" w:themeColor="text1" w:themeTint="80"/>
                <w:sz w:val="22"/>
                <w:szCs w:val="22"/>
                <w:lang w:val="en-US"/>
              </w:rPr>
            </w:pPr>
            <w:r w:rsidRPr="00823BC5">
              <w:rPr>
                <w:rFonts w:ascii="Verdana" w:hAnsi="Verdana"/>
                <w:color w:val="7F7F7F" w:themeColor="text1" w:themeTint="80"/>
                <w:sz w:val="22"/>
                <w:szCs w:val="22"/>
                <w:lang w:val="en-GB" w:eastAsia="fr-FR"/>
              </w:rPr>
              <w:t xml:space="preserve">AMICE insists that </w:t>
            </w:r>
            <w:r w:rsidRPr="001F7855">
              <w:rPr>
                <w:rFonts w:ascii="Verdana" w:hAnsi="Verdana"/>
                <w:b/>
                <w:bCs/>
                <w:color w:val="7F7F7F" w:themeColor="text1" w:themeTint="80"/>
                <w:sz w:val="22"/>
                <w:szCs w:val="22"/>
                <w:lang w:val="en-GB" w:eastAsia="fr-FR"/>
              </w:rPr>
              <w:t>the refinements should avoid introducing more complexity</w:t>
            </w:r>
            <w:r w:rsidRPr="00823BC5">
              <w:rPr>
                <w:rFonts w:ascii="Verdana" w:hAnsi="Verdana"/>
                <w:color w:val="7F7F7F" w:themeColor="text1" w:themeTint="80"/>
                <w:sz w:val="22"/>
                <w:szCs w:val="22"/>
                <w:lang w:val="en-GB" w:eastAsia="fr-FR"/>
              </w:rPr>
              <w:t xml:space="preserve"> and we believe the above refinements could be solved with </w:t>
            </w:r>
            <w:r w:rsidRPr="001F7855">
              <w:rPr>
                <w:rFonts w:ascii="Verdana" w:hAnsi="Verdana"/>
                <w:b/>
                <w:bCs/>
                <w:color w:val="7F7F7F" w:themeColor="text1" w:themeTint="80"/>
                <w:sz w:val="22"/>
                <w:szCs w:val="22"/>
                <w:lang w:val="en-GB" w:eastAsia="fr-FR"/>
              </w:rPr>
              <w:t>simple remediations</w:t>
            </w:r>
            <w:r w:rsidRPr="00823BC5">
              <w:rPr>
                <w:rFonts w:ascii="Verdana" w:hAnsi="Verdana"/>
                <w:color w:val="7F7F7F" w:themeColor="text1" w:themeTint="80"/>
                <w:sz w:val="22"/>
                <w:szCs w:val="22"/>
                <w:lang w:val="en-GB" w:eastAsia="fr-FR"/>
              </w:rPr>
              <w:t xml:space="preserve"> such as the </w:t>
            </w:r>
            <w:r w:rsidRPr="001F7855">
              <w:rPr>
                <w:rFonts w:ascii="Verdana" w:hAnsi="Verdana"/>
                <w:b/>
                <w:bCs/>
                <w:color w:val="7F7F7F" w:themeColor="text1" w:themeTint="80"/>
                <w:sz w:val="22"/>
                <w:szCs w:val="22"/>
                <w:lang w:val="en-GB" w:eastAsia="fr-FR"/>
              </w:rPr>
              <w:t>all-in increase at entity level of the application ratio up to 100%</w:t>
            </w:r>
            <w:r w:rsidRPr="00823BC5">
              <w:rPr>
                <w:rFonts w:ascii="Verdana" w:hAnsi="Verdana"/>
                <w:color w:val="7F7F7F" w:themeColor="text1" w:themeTint="80"/>
                <w:sz w:val="22"/>
                <w:szCs w:val="22"/>
                <w:lang w:val="en-GB" w:eastAsia="fr-FR"/>
              </w:rPr>
              <w:t xml:space="preserve"> or above where necessary to compensate several undershootings</w:t>
            </w:r>
            <w:r w:rsidR="003763F9">
              <w:rPr>
                <w:rFonts w:ascii="Verdana" w:hAnsi="Verdana"/>
                <w:color w:val="7F7F7F" w:themeColor="text1" w:themeTint="80"/>
                <w:sz w:val="22"/>
                <w:szCs w:val="22"/>
                <w:lang w:val="en-GB" w:eastAsia="fr-FR"/>
              </w:rPr>
              <w:t>.</w:t>
            </w:r>
          </w:p>
          <w:p w14:paraId="3671767D" w14:textId="77777777" w:rsidR="00BC54AE" w:rsidRPr="00823BC5" w:rsidRDefault="00BC54AE" w:rsidP="00020B14">
            <w:pPr>
              <w:tabs>
                <w:tab w:val="left" w:pos="0"/>
              </w:tabs>
              <w:rPr>
                <w:rFonts w:ascii="Verdana" w:hAnsi="Verdana" w:cs="Verdana"/>
                <w:b/>
                <w:color w:val="7F7F7F" w:themeColor="text1" w:themeTint="80"/>
                <w:sz w:val="22"/>
                <w:szCs w:val="22"/>
                <w:lang w:val="en-US"/>
              </w:rPr>
            </w:pPr>
          </w:p>
          <w:p w14:paraId="642F8716" w14:textId="3D96C870" w:rsidR="00891023" w:rsidRPr="00823BC5" w:rsidRDefault="00891023" w:rsidP="00020B14">
            <w:pPr>
              <w:tabs>
                <w:tab w:val="left" w:pos="0"/>
              </w:tabs>
              <w:rPr>
                <w:rFonts w:ascii="Verdana" w:hAnsi="Verdana"/>
                <w:color w:val="7F7F7F" w:themeColor="text1" w:themeTint="80"/>
                <w:sz w:val="22"/>
                <w:szCs w:val="22"/>
                <w:lang w:val="en-US"/>
              </w:rPr>
            </w:pPr>
            <w:r w:rsidRPr="00823BC5">
              <w:rPr>
                <w:rFonts w:ascii="Verdana" w:hAnsi="Verdana"/>
                <w:color w:val="7F7F7F" w:themeColor="text1" w:themeTint="80"/>
                <w:sz w:val="22"/>
                <w:szCs w:val="22"/>
                <w:lang w:val="en-US"/>
              </w:rPr>
              <w:t xml:space="preserve">EIOPA describes eight deficiencies which could impair the objectives of the VA as interpreted by EIOPA. EIOPA has identified three objectives of the VA, however in </w:t>
            </w:r>
            <w:r w:rsidR="00D631AE">
              <w:rPr>
                <w:rFonts w:ascii="Verdana" w:hAnsi="Verdana"/>
                <w:color w:val="7F7F7F" w:themeColor="text1" w:themeTint="80"/>
                <w:sz w:val="22"/>
                <w:szCs w:val="22"/>
                <w:lang w:val="en-US"/>
              </w:rPr>
              <w:t>R</w:t>
            </w:r>
            <w:r w:rsidRPr="00823BC5">
              <w:rPr>
                <w:rFonts w:ascii="Verdana" w:hAnsi="Verdana"/>
                <w:color w:val="7F7F7F" w:themeColor="text1" w:themeTint="80"/>
                <w:sz w:val="22"/>
                <w:szCs w:val="22"/>
                <w:lang w:val="en-US"/>
              </w:rPr>
              <w:t>ecital 32 of Directive 2014/51/EU the following is mentioned “</w:t>
            </w:r>
            <w:r w:rsidRPr="00823BC5">
              <w:rPr>
                <w:rFonts w:ascii="Verdana" w:hAnsi="Verdana"/>
                <w:i/>
                <w:color w:val="7F7F7F" w:themeColor="text1" w:themeTint="80"/>
                <w:sz w:val="22"/>
                <w:szCs w:val="22"/>
                <w:lang w:val="en-US"/>
              </w:rPr>
              <w:t xml:space="preserve">In order to prevent pro-cyclical investment behaviour, insurance and reinsurance undertakings should be allowed to adjust the relevant risk-free interest rate term structure for the calculation of the best estimate of technical provisions to mitigate the effect of exaggerations of bond spreads. Such a volatility adjustment should be </w:t>
            </w:r>
            <w:r w:rsidRPr="00823BC5">
              <w:rPr>
                <w:rFonts w:ascii="Verdana" w:hAnsi="Verdana"/>
                <w:i/>
                <w:color w:val="7F7F7F" w:themeColor="text1" w:themeTint="80"/>
                <w:sz w:val="22"/>
                <w:szCs w:val="22"/>
                <w:lang w:val="en-US"/>
              </w:rPr>
              <w:lastRenderedPageBreak/>
              <w:t>based on reference portfolios for the relevant currencies of those undertakings and, where necessary to ensure representativeness, on reference portfolios for national insurance markets. Insurance and reinsurance undertakings should publicly disclose the impact of the volatility adjustment on their financial position to ensure adequate transparency.</w:t>
            </w:r>
            <w:r w:rsidRPr="00823BC5">
              <w:rPr>
                <w:rFonts w:ascii="Verdana" w:hAnsi="Verdana"/>
                <w:color w:val="7F7F7F" w:themeColor="text1" w:themeTint="80"/>
                <w:sz w:val="22"/>
                <w:szCs w:val="22"/>
                <w:lang w:val="en-US"/>
              </w:rPr>
              <w:t>”. The third objective as mentioned by EIOPA (</w:t>
            </w:r>
            <w:r w:rsidR="00366457" w:rsidRPr="00823BC5">
              <w:rPr>
                <w:rFonts w:ascii="Verdana" w:hAnsi="Verdana"/>
                <w:color w:val="7F7F7F" w:themeColor="text1" w:themeTint="80"/>
                <w:sz w:val="22"/>
                <w:szCs w:val="22"/>
                <w:lang w:val="en-US"/>
              </w:rPr>
              <w:t>i.e. “r</w:t>
            </w:r>
            <w:r w:rsidRPr="00823BC5">
              <w:rPr>
                <w:rFonts w:ascii="Verdana" w:hAnsi="Verdana"/>
                <w:color w:val="7F7F7F" w:themeColor="text1" w:themeTint="80"/>
                <w:sz w:val="22"/>
                <w:szCs w:val="22"/>
                <w:lang w:val="en-US"/>
              </w:rPr>
              <w:t>ecognise illiquidity characteristics of liabilities in the valuation of technical provisions</w:t>
            </w:r>
            <w:r w:rsidR="00366457" w:rsidRPr="00823BC5">
              <w:rPr>
                <w:rFonts w:ascii="Verdana" w:hAnsi="Verdana"/>
                <w:color w:val="7F7F7F" w:themeColor="text1" w:themeTint="80"/>
                <w:sz w:val="22"/>
                <w:szCs w:val="22"/>
                <w:lang w:val="en-US"/>
              </w:rPr>
              <w:t>”</w:t>
            </w:r>
            <w:r w:rsidRPr="00823BC5">
              <w:rPr>
                <w:rFonts w:ascii="Verdana" w:hAnsi="Verdana"/>
                <w:color w:val="7F7F7F" w:themeColor="text1" w:themeTint="80"/>
                <w:sz w:val="22"/>
                <w:szCs w:val="22"/>
                <w:lang w:val="en-US"/>
              </w:rPr>
              <w:t>) is not included as an objective of the VA in that recital.</w:t>
            </w:r>
          </w:p>
          <w:p w14:paraId="0E5E413E" w14:textId="77777777" w:rsidR="00891023" w:rsidRPr="00823BC5" w:rsidRDefault="00891023" w:rsidP="00020B14">
            <w:pPr>
              <w:tabs>
                <w:tab w:val="left" w:pos="0"/>
              </w:tabs>
              <w:rPr>
                <w:rFonts w:ascii="Verdana" w:hAnsi="Verdana"/>
                <w:color w:val="7F7F7F" w:themeColor="text1" w:themeTint="80"/>
                <w:sz w:val="22"/>
                <w:szCs w:val="22"/>
                <w:lang w:val="en-US"/>
              </w:rPr>
            </w:pPr>
          </w:p>
          <w:p w14:paraId="50F9B0BA" w14:textId="4C2BF886" w:rsidR="00891023" w:rsidRPr="00823BC5" w:rsidRDefault="00891023" w:rsidP="00020B14">
            <w:pPr>
              <w:tabs>
                <w:tab w:val="left" w:pos="0"/>
              </w:tabs>
              <w:rPr>
                <w:rFonts w:ascii="Verdana" w:hAnsi="Verdana"/>
                <w:color w:val="7F7F7F" w:themeColor="text1" w:themeTint="80"/>
                <w:sz w:val="22"/>
                <w:szCs w:val="22"/>
                <w:lang w:val="en-US"/>
              </w:rPr>
            </w:pPr>
            <w:r w:rsidRPr="00823BC5">
              <w:rPr>
                <w:rFonts w:ascii="Verdana" w:hAnsi="Verdana"/>
                <w:color w:val="7F7F7F" w:themeColor="text1" w:themeTint="80"/>
                <w:sz w:val="22"/>
                <w:szCs w:val="22"/>
                <w:lang w:val="en-US"/>
              </w:rPr>
              <w:t xml:space="preserve">We agree with the deficiency 1 the possibility for an undershooting or overshooting of the current VA-approach. In any solution </w:t>
            </w:r>
            <w:r w:rsidRPr="00823BC5">
              <w:rPr>
                <w:rFonts w:ascii="Verdana" w:hAnsi="Verdana"/>
                <w:b/>
                <w:color w:val="7F7F7F" w:themeColor="text1" w:themeTint="80"/>
                <w:sz w:val="22"/>
                <w:szCs w:val="22"/>
                <w:lang w:val="en-US"/>
              </w:rPr>
              <w:t>both</w:t>
            </w:r>
            <w:r w:rsidRPr="00823BC5">
              <w:rPr>
                <w:rFonts w:ascii="Verdana" w:hAnsi="Verdana"/>
                <w:color w:val="7F7F7F" w:themeColor="text1" w:themeTint="80"/>
                <w:sz w:val="22"/>
                <w:szCs w:val="22"/>
                <w:lang w:val="en-US"/>
              </w:rPr>
              <w:t xml:space="preserve"> should be addressed to avoid material basis risk (</w:t>
            </w:r>
            <w:r w:rsidR="00366457" w:rsidRPr="00823BC5">
              <w:rPr>
                <w:rFonts w:ascii="Verdana" w:hAnsi="Verdana"/>
                <w:color w:val="7F7F7F" w:themeColor="text1" w:themeTint="80"/>
                <w:sz w:val="22"/>
                <w:szCs w:val="22"/>
                <w:lang w:val="en-US"/>
              </w:rPr>
              <w:t>i.e.</w:t>
            </w:r>
            <w:r w:rsidRPr="00823BC5">
              <w:rPr>
                <w:rFonts w:ascii="Verdana" w:hAnsi="Verdana"/>
                <w:color w:val="7F7F7F" w:themeColor="text1" w:themeTint="80"/>
                <w:sz w:val="22"/>
                <w:szCs w:val="22"/>
                <w:lang w:val="en-US"/>
              </w:rPr>
              <w:t xml:space="preserve"> the own portfolio deviates significantly for the reference portfolio used which could lead to lower or higher adjustments in the valuation of the best estimate). </w:t>
            </w:r>
          </w:p>
          <w:p w14:paraId="15FDBB2C" w14:textId="77777777" w:rsidR="00891023" w:rsidRPr="00823BC5" w:rsidRDefault="00891023" w:rsidP="00020B14">
            <w:pPr>
              <w:tabs>
                <w:tab w:val="left" w:pos="0"/>
              </w:tabs>
              <w:rPr>
                <w:rFonts w:ascii="Verdana" w:hAnsi="Verdana"/>
                <w:color w:val="7F7F7F" w:themeColor="text1" w:themeTint="80"/>
                <w:sz w:val="22"/>
                <w:szCs w:val="22"/>
                <w:lang w:val="en-US"/>
              </w:rPr>
            </w:pPr>
          </w:p>
          <w:p w14:paraId="4202342B" w14:textId="77777777" w:rsidR="00891023" w:rsidRPr="00823BC5" w:rsidRDefault="00891023" w:rsidP="00020B14">
            <w:pPr>
              <w:tabs>
                <w:tab w:val="left" w:pos="0"/>
              </w:tabs>
              <w:rPr>
                <w:rFonts w:ascii="Verdana" w:hAnsi="Verdana"/>
                <w:color w:val="7F7F7F" w:themeColor="text1" w:themeTint="80"/>
                <w:sz w:val="22"/>
                <w:szCs w:val="22"/>
                <w:lang w:val="en-US"/>
              </w:rPr>
            </w:pPr>
            <w:r w:rsidRPr="00823BC5">
              <w:rPr>
                <w:rFonts w:ascii="Verdana" w:hAnsi="Verdana"/>
                <w:color w:val="7F7F7F" w:themeColor="text1" w:themeTint="80"/>
                <w:sz w:val="22"/>
                <w:szCs w:val="22"/>
                <w:lang w:val="en-US"/>
              </w:rPr>
              <w:t>We do not agree with deficiency 2 as this is never been the objective of the VA. The issue which has to be addressed by the VA is the exaggeration of the bond spreads. This is done by adjusting the insurance liabilities. The VA refers to the actual economic balance sheet and not to the capital requirements. In the assessment of the illiquidity one could easily state that this is already included in the best estimate which basically serves as a volume factor to adjust the exaggeration of the bond spreads. In the best estimate, the insurer has already included best estimate assumptions with respect to mortality and policyholder behaviour.</w:t>
            </w:r>
          </w:p>
          <w:p w14:paraId="69981D66" w14:textId="77777777" w:rsidR="00891023" w:rsidRPr="001F7855" w:rsidRDefault="00891023" w:rsidP="00020B14">
            <w:pPr>
              <w:tabs>
                <w:tab w:val="left" w:pos="0"/>
              </w:tabs>
              <w:rPr>
                <w:rFonts w:ascii="Verdana" w:hAnsi="Verdana"/>
                <w:b/>
                <w:bCs/>
                <w:color w:val="7F7F7F" w:themeColor="text1" w:themeTint="80"/>
                <w:sz w:val="22"/>
                <w:szCs w:val="22"/>
                <w:lang w:val="en-GB" w:eastAsia="fr-FR"/>
              </w:rPr>
            </w:pPr>
            <w:r w:rsidRPr="00823BC5">
              <w:rPr>
                <w:rFonts w:ascii="Verdana" w:hAnsi="Verdana"/>
                <w:color w:val="7F7F7F" w:themeColor="text1" w:themeTint="80"/>
                <w:sz w:val="22"/>
                <w:szCs w:val="22"/>
                <w:lang w:val="en-GB" w:eastAsia="fr-FR"/>
              </w:rPr>
              <w:t xml:space="preserve">Furthermore on deficiency 2, EIOPA do not account for own funds when it states in paragraph 2.278 that </w:t>
            </w:r>
            <w:r w:rsidRPr="00823BC5">
              <w:rPr>
                <w:rFonts w:ascii="Verdana" w:hAnsi="Verdana"/>
                <w:i/>
                <w:color w:val="7F7F7F" w:themeColor="text1" w:themeTint="80"/>
                <w:sz w:val="22"/>
                <w:szCs w:val="22"/>
                <w:lang w:val="en-GB" w:eastAsia="fr-FR"/>
              </w:rPr>
              <w:t xml:space="preserve">“Where liabilities are illiquid, they can be valued by replication with illiquid assets that may yield an additional </w:t>
            </w:r>
            <w:r w:rsidRPr="00823BC5">
              <w:rPr>
                <w:rFonts w:ascii="Verdana" w:hAnsi="Verdana"/>
                <w:i/>
                <w:color w:val="7F7F7F" w:themeColor="text1" w:themeTint="80"/>
                <w:sz w:val="22"/>
                <w:szCs w:val="22"/>
                <w:lang w:val="en-GB" w:eastAsia="fr-FR"/>
              </w:rPr>
              <w:lastRenderedPageBreak/>
              <w:t>illiquidity premium; put differently, undertakings may be able to realize an additional return as stable insurance cash flows”</w:t>
            </w:r>
            <w:r w:rsidRPr="00823BC5">
              <w:rPr>
                <w:rFonts w:ascii="Verdana" w:hAnsi="Verdana"/>
                <w:color w:val="7F7F7F" w:themeColor="text1" w:themeTint="80"/>
                <w:sz w:val="22"/>
                <w:szCs w:val="22"/>
                <w:lang w:val="en-GB" w:eastAsia="fr-FR"/>
              </w:rPr>
              <w:t xml:space="preserve">. We want to stress that </w:t>
            </w:r>
            <w:r w:rsidRPr="001F7855">
              <w:rPr>
                <w:rFonts w:ascii="Verdana" w:hAnsi="Verdana"/>
                <w:b/>
                <w:bCs/>
                <w:color w:val="7F7F7F" w:themeColor="text1" w:themeTint="80"/>
                <w:sz w:val="22"/>
                <w:szCs w:val="22"/>
                <w:lang w:val="en-GB" w:eastAsia="fr-FR"/>
              </w:rPr>
              <w:t>own funds are highly illiquid liabilities</w:t>
            </w:r>
            <w:r w:rsidRPr="00823BC5">
              <w:rPr>
                <w:rFonts w:ascii="Verdana" w:hAnsi="Verdana"/>
                <w:color w:val="7F7F7F" w:themeColor="text1" w:themeTint="80"/>
                <w:sz w:val="22"/>
                <w:szCs w:val="22"/>
                <w:lang w:val="en-GB" w:eastAsia="fr-FR"/>
              </w:rPr>
              <w:t xml:space="preserve"> and </w:t>
            </w:r>
            <w:r w:rsidRPr="001F7855">
              <w:rPr>
                <w:rFonts w:ascii="Verdana" w:hAnsi="Verdana"/>
                <w:b/>
                <w:bCs/>
                <w:color w:val="7F7F7F" w:themeColor="text1" w:themeTint="80"/>
                <w:sz w:val="22"/>
                <w:szCs w:val="22"/>
                <w:lang w:val="en-GB" w:eastAsia="fr-FR"/>
              </w:rPr>
              <w:t>those liabilities are not linked to “insurance cash flows”.</w:t>
            </w:r>
          </w:p>
          <w:p w14:paraId="0BACD2B6" w14:textId="77777777" w:rsidR="00891023" w:rsidRPr="00823BC5" w:rsidRDefault="00891023" w:rsidP="00020B14">
            <w:pPr>
              <w:tabs>
                <w:tab w:val="left" w:pos="0"/>
              </w:tabs>
              <w:rPr>
                <w:rFonts w:ascii="Verdana" w:hAnsi="Verdana"/>
                <w:color w:val="7F7F7F" w:themeColor="text1" w:themeTint="80"/>
                <w:sz w:val="22"/>
                <w:szCs w:val="22"/>
                <w:lang w:val="en-GB" w:eastAsia="fr-FR"/>
              </w:rPr>
            </w:pPr>
            <w:r w:rsidRPr="00823BC5">
              <w:rPr>
                <w:rFonts w:ascii="Verdana" w:hAnsi="Verdana"/>
                <w:color w:val="7F7F7F" w:themeColor="text1" w:themeTint="80"/>
                <w:sz w:val="22"/>
                <w:szCs w:val="22"/>
                <w:lang w:val="en-GB" w:eastAsia="fr-FR"/>
              </w:rPr>
              <w:t>It is of the utmost importance to recognize that own funds are a stable liability smoothing the volatility of the balance sheet and allowing longer term views for undertakings.</w:t>
            </w:r>
          </w:p>
          <w:p w14:paraId="001C3EE0" w14:textId="77777777" w:rsidR="00891023" w:rsidRPr="00823BC5" w:rsidRDefault="00891023" w:rsidP="00020B14">
            <w:pPr>
              <w:tabs>
                <w:tab w:val="left" w:pos="0"/>
              </w:tabs>
              <w:rPr>
                <w:rFonts w:ascii="Verdana" w:hAnsi="Verdana"/>
                <w:color w:val="7F7F7F" w:themeColor="text1" w:themeTint="80"/>
                <w:sz w:val="22"/>
                <w:szCs w:val="22"/>
                <w:lang w:val="en-GB" w:eastAsia="fr-FR"/>
              </w:rPr>
            </w:pPr>
            <w:r w:rsidRPr="00823BC5">
              <w:rPr>
                <w:rFonts w:ascii="Verdana" w:hAnsi="Verdana"/>
                <w:color w:val="7F7F7F" w:themeColor="text1" w:themeTint="80"/>
                <w:sz w:val="22"/>
                <w:szCs w:val="22"/>
                <w:lang w:val="en-GB" w:eastAsia="fr-FR"/>
              </w:rPr>
              <w:t>We regret that this regretful lack of consideration for own funds as a key liability seems to flow through the whole consultation document.</w:t>
            </w:r>
          </w:p>
          <w:p w14:paraId="56A4D809" w14:textId="77777777" w:rsidR="00891023" w:rsidRPr="00823BC5" w:rsidRDefault="00891023" w:rsidP="00020B14">
            <w:pPr>
              <w:tabs>
                <w:tab w:val="left" w:pos="0"/>
              </w:tabs>
              <w:rPr>
                <w:rFonts w:ascii="Verdana" w:hAnsi="Verdana"/>
                <w:color w:val="7F7F7F" w:themeColor="text1" w:themeTint="80"/>
                <w:sz w:val="22"/>
                <w:szCs w:val="22"/>
                <w:lang w:val="en-GB"/>
              </w:rPr>
            </w:pPr>
          </w:p>
          <w:p w14:paraId="0D00C81C" w14:textId="77777777" w:rsidR="00891023" w:rsidRPr="00823BC5" w:rsidRDefault="00891023" w:rsidP="00020B14">
            <w:pPr>
              <w:tabs>
                <w:tab w:val="left" w:pos="0"/>
              </w:tabs>
              <w:rPr>
                <w:rFonts w:ascii="Verdana" w:hAnsi="Verdana"/>
                <w:color w:val="7F7F7F" w:themeColor="text1" w:themeTint="80"/>
                <w:sz w:val="22"/>
                <w:szCs w:val="22"/>
                <w:lang w:val="en-US"/>
              </w:rPr>
            </w:pPr>
            <w:r w:rsidRPr="00823BC5">
              <w:rPr>
                <w:rFonts w:ascii="Verdana" w:hAnsi="Verdana"/>
                <w:color w:val="7F7F7F" w:themeColor="text1" w:themeTint="80"/>
                <w:sz w:val="22"/>
                <w:szCs w:val="22"/>
                <w:lang w:val="en-US"/>
              </w:rPr>
              <w:t>We agree with the cliff effects which arises if the country mechanism kicks in.</w:t>
            </w:r>
          </w:p>
          <w:p w14:paraId="72099F2E" w14:textId="77777777" w:rsidR="00891023" w:rsidRPr="00823BC5" w:rsidRDefault="00891023" w:rsidP="00020B14">
            <w:pPr>
              <w:tabs>
                <w:tab w:val="left" w:pos="0"/>
              </w:tabs>
              <w:rPr>
                <w:rFonts w:ascii="Verdana" w:hAnsi="Verdana"/>
                <w:color w:val="7F7F7F" w:themeColor="text1" w:themeTint="80"/>
                <w:sz w:val="22"/>
                <w:szCs w:val="22"/>
                <w:lang w:val="en-US"/>
              </w:rPr>
            </w:pPr>
          </w:p>
          <w:p w14:paraId="762C8CB6" w14:textId="77777777" w:rsidR="00891023" w:rsidRPr="00823BC5" w:rsidRDefault="00891023" w:rsidP="00020B14">
            <w:pPr>
              <w:tabs>
                <w:tab w:val="left" w:pos="0"/>
              </w:tabs>
              <w:rPr>
                <w:rFonts w:ascii="Verdana" w:hAnsi="Verdana"/>
                <w:color w:val="7F7F7F" w:themeColor="text1" w:themeTint="80"/>
                <w:sz w:val="22"/>
                <w:szCs w:val="22"/>
                <w:lang w:val="en-US"/>
              </w:rPr>
            </w:pPr>
            <w:r w:rsidRPr="00823BC5">
              <w:rPr>
                <w:rFonts w:ascii="Verdana" w:hAnsi="Verdana"/>
                <w:color w:val="7F7F7F" w:themeColor="text1" w:themeTint="80"/>
                <w:sz w:val="22"/>
                <w:szCs w:val="22"/>
                <w:lang w:val="en-US"/>
              </w:rPr>
              <w:t>We do not agree with EIOPA’s analysis as included described in the fourth deficiency. EIOPA indicates that there is a misrepresentation of the risk correction. EIOPA refers to academic research as basis for their proposal. However, as clearly mentioned in the paper “We find that stock market returns, stock return volatility, and changes in GDP are strong predictors of default rates. Surprisingly, however, credit spreads are not.”. Secondly, the research does only refer to the US bond market in an historic context and does not relate to other fixed income categories such as government bonds or covered bonds or other secured securities. We do agree that there is some correlation between exposures which have migrated (downwards) from rating categories and the default rates of these exposures. But that is significantly less than EIOPA’s approach.</w:t>
            </w:r>
          </w:p>
          <w:p w14:paraId="261F1CA0" w14:textId="27423FE5" w:rsidR="00891023" w:rsidRPr="00823BC5" w:rsidRDefault="00891023" w:rsidP="00020B14">
            <w:pPr>
              <w:tabs>
                <w:tab w:val="left" w:pos="0"/>
              </w:tabs>
              <w:rPr>
                <w:rFonts w:ascii="Verdana" w:hAnsi="Verdana"/>
                <w:color w:val="7F7F7F" w:themeColor="text1" w:themeTint="80"/>
                <w:sz w:val="22"/>
                <w:szCs w:val="22"/>
                <w:lang w:val="en-US"/>
              </w:rPr>
            </w:pPr>
            <w:r w:rsidRPr="00823BC5">
              <w:rPr>
                <w:rFonts w:ascii="Verdana" w:hAnsi="Verdana"/>
                <w:color w:val="7F7F7F" w:themeColor="text1" w:themeTint="80"/>
                <w:sz w:val="22"/>
                <w:szCs w:val="22"/>
                <w:lang w:val="en-US"/>
              </w:rPr>
              <w:t xml:space="preserve">EIOPA mentions “VA almost always positive; not symmetric, i.e. no resilience </w:t>
            </w:r>
            <w:r w:rsidR="00366457" w:rsidRPr="00823BC5">
              <w:rPr>
                <w:rFonts w:ascii="Verdana" w:hAnsi="Verdana"/>
                <w:color w:val="7F7F7F" w:themeColor="text1" w:themeTint="80"/>
                <w:sz w:val="22"/>
                <w:szCs w:val="22"/>
                <w:lang w:val="en-US"/>
              </w:rPr>
              <w:t>builds</w:t>
            </w:r>
            <w:r w:rsidRPr="00823BC5">
              <w:rPr>
                <w:rFonts w:ascii="Verdana" w:hAnsi="Verdana"/>
                <w:color w:val="7F7F7F" w:themeColor="text1" w:themeTint="80"/>
                <w:sz w:val="22"/>
                <w:szCs w:val="22"/>
                <w:lang w:val="en-US"/>
              </w:rPr>
              <w:t xml:space="preserve"> up in “good times”” as a fifth deficiency. However, we are not sure why this is mentioned as a deficiency. The two possible </w:t>
            </w:r>
            <w:r w:rsidR="00366457" w:rsidRPr="00823BC5">
              <w:rPr>
                <w:rFonts w:ascii="Verdana" w:hAnsi="Verdana"/>
                <w:color w:val="7F7F7F" w:themeColor="text1" w:themeTint="80"/>
                <w:sz w:val="22"/>
                <w:szCs w:val="22"/>
                <w:lang w:val="en-US"/>
              </w:rPr>
              <w:lastRenderedPageBreak/>
              <w:t>situations</w:t>
            </w:r>
            <w:r w:rsidRPr="00823BC5">
              <w:rPr>
                <w:rFonts w:ascii="Verdana" w:hAnsi="Verdana"/>
                <w:color w:val="7F7F7F" w:themeColor="text1" w:themeTint="80"/>
                <w:sz w:val="22"/>
                <w:szCs w:val="22"/>
                <w:lang w:val="en-US"/>
              </w:rPr>
              <w:t xml:space="preserve"> as mentioned by EIOPA are far stretched and assumes all insurers would show herding behaviour. The investment decisions of Insurers are guided by more elements than EIOPA assumes in their condensed explanation of this deficiency.</w:t>
            </w:r>
          </w:p>
          <w:p w14:paraId="1299FF5E" w14:textId="77777777" w:rsidR="00891023" w:rsidRPr="00823BC5" w:rsidRDefault="00891023" w:rsidP="00020B14">
            <w:pPr>
              <w:tabs>
                <w:tab w:val="left" w:pos="0"/>
              </w:tabs>
              <w:rPr>
                <w:rFonts w:ascii="Verdana" w:hAnsi="Verdana"/>
                <w:color w:val="7F7F7F" w:themeColor="text1" w:themeTint="80"/>
                <w:sz w:val="22"/>
                <w:szCs w:val="22"/>
                <w:lang w:val="en-US"/>
              </w:rPr>
            </w:pPr>
          </w:p>
          <w:p w14:paraId="38E67970" w14:textId="77777777" w:rsidR="00891023" w:rsidRPr="00823BC5" w:rsidRDefault="00891023" w:rsidP="00020B14">
            <w:pPr>
              <w:tabs>
                <w:tab w:val="left" w:pos="0"/>
              </w:tabs>
              <w:rPr>
                <w:rFonts w:ascii="Verdana" w:hAnsi="Verdana"/>
                <w:color w:val="7F7F7F" w:themeColor="text1" w:themeTint="80"/>
                <w:sz w:val="22"/>
                <w:szCs w:val="22"/>
                <w:lang w:val="en-US"/>
              </w:rPr>
            </w:pPr>
            <w:r w:rsidRPr="00823BC5">
              <w:rPr>
                <w:rFonts w:ascii="Verdana" w:hAnsi="Verdana"/>
                <w:color w:val="7F7F7F" w:themeColor="text1" w:themeTint="80"/>
                <w:sz w:val="22"/>
                <w:szCs w:val="22"/>
                <w:lang w:val="en-US"/>
              </w:rPr>
              <w:t>On the fifth deficiency, one has to assess what it would imply if a VA would be negative and how often that would occur. Based on the scarcity of the occurrence this is not a real issue which needs to be resolved in the design of the VA.</w:t>
            </w:r>
          </w:p>
          <w:p w14:paraId="7CCD91AE" w14:textId="77777777" w:rsidR="00891023" w:rsidRPr="00823BC5" w:rsidRDefault="00891023" w:rsidP="00020B14">
            <w:pPr>
              <w:tabs>
                <w:tab w:val="left" w:pos="0"/>
              </w:tabs>
              <w:rPr>
                <w:rFonts w:ascii="Verdana" w:hAnsi="Verdana"/>
                <w:color w:val="7F7F7F" w:themeColor="text1" w:themeTint="80"/>
                <w:sz w:val="22"/>
                <w:szCs w:val="22"/>
                <w:lang w:val="en-US"/>
              </w:rPr>
            </w:pPr>
          </w:p>
          <w:p w14:paraId="755AB1CD" w14:textId="77777777" w:rsidR="00891023" w:rsidRPr="00823BC5" w:rsidRDefault="00891023" w:rsidP="00020B14">
            <w:pPr>
              <w:tabs>
                <w:tab w:val="left" w:pos="0"/>
              </w:tabs>
              <w:rPr>
                <w:rFonts w:ascii="Verdana" w:hAnsi="Verdana"/>
                <w:color w:val="7F7F7F" w:themeColor="text1" w:themeTint="80"/>
                <w:sz w:val="22"/>
                <w:szCs w:val="22"/>
                <w:lang w:val="en-US"/>
              </w:rPr>
            </w:pPr>
            <w:r w:rsidRPr="00823BC5">
              <w:rPr>
                <w:rFonts w:ascii="Verdana" w:hAnsi="Verdana"/>
                <w:color w:val="7F7F7F" w:themeColor="text1" w:themeTint="80"/>
                <w:sz w:val="22"/>
                <w:szCs w:val="22"/>
                <w:lang w:val="en-US"/>
              </w:rPr>
              <w:t xml:space="preserve">As sixth deficiency, EIOPA mentions that it is unclear how assumptions underlying the VA have been evidenced. It is true that not all decisions are backed by clear evidence and historic calibrations. But that could also be said of some other elements within the Solvency II calibration of the </w:t>
            </w:r>
            <w:r w:rsidRPr="00823BC5">
              <w:rPr>
                <w:rFonts w:ascii="Verdana" w:hAnsi="Verdana"/>
                <w:color w:val="7F7F7F" w:themeColor="text1" w:themeTint="80"/>
                <w:sz w:val="22"/>
                <w:szCs w:val="22"/>
                <w:lang w:val="en-US"/>
              </w:rPr>
              <w:br/>
              <w:t>(sub-) risks. The information backing several required scenarios is also based on single events or data of a single market and then extrapolated to apply for all Member States. The explanation and interpretation of EIOPA of the underlying assumptions does not justify any (additional) inclusion of prudence in the calculation of the VA.</w:t>
            </w:r>
          </w:p>
          <w:p w14:paraId="3363ED66" w14:textId="77777777" w:rsidR="00891023" w:rsidRPr="00823BC5" w:rsidRDefault="00891023" w:rsidP="00020B14">
            <w:pPr>
              <w:tabs>
                <w:tab w:val="left" w:pos="0"/>
              </w:tabs>
              <w:rPr>
                <w:rFonts w:ascii="Verdana" w:hAnsi="Verdana"/>
                <w:color w:val="7F7F7F" w:themeColor="text1" w:themeTint="80"/>
                <w:sz w:val="22"/>
                <w:szCs w:val="22"/>
                <w:lang w:val="en-US"/>
              </w:rPr>
            </w:pPr>
          </w:p>
          <w:p w14:paraId="4155869E" w14:textId="3399F262" w:rsidR="00891023" w:rsidRPr="00823BC5" w:rsidRDefault="00891023" w:rsidP="00020B14">
            <w:pPr>
              <w:tabs>
                <w:tab w:val="left" w:pos="0"/>
              </w:tabs>
              <w:rPr>
                <w:rFonts w:ascii="Verdana" w:hAnsi="Verdana"/>
                <w:color w:val="7F7F7F" w:themeColor="text1" w:themeTint="80"/>
                <w:sz w:val="22"/>
                <w:szCs w:val="22"/>
                <w:lang w:val="en-US"/>
              </w:rPr>
            </w:pPr>
            <w:r w:rsidRPr="00823BC5">
              <w:rPr>
                <w:rFonts w:ascii="Verdana" w:hAnsi="Verdana"/>
                <w:color w:val="7F7F7F" w:themeColor="text1" w:themeTint="80"/>
                <w:sz w:val="22"/>
                <w:szCs w:val="22"/>
                <w:lang w:val="en-US"/>
              </w:rPr>
              <w:t xml:space="preserve">We do not agree with the seventh deficiency as mentioned by EIOPA, because the VA is only a means to an end </w:t>
            </w:r>
            <w:r w:rsidR="00366457" w:rsidRPr="00823BC5">
              <w:rPr>
                <w:rFonts w:ascii="Verdana" w:hAnsi="Verdana"/>
                <w:color w:val="7F7F7F" w:themeColor="text1" w:themeTint="80"/>
                <w:sz w:val="22"/>
                <w:szCs w:val="22"/>
                <w:lang w:val="en-US"/>
              </w:rPr>
              <w:t>i.e.</w:t>
            </w:r>
            <w:r w:rsidRPr="00823BC5">
              <w:rPr>
                <w:rFonts w:ascii="Verdana" w:hAnsi="Verdana"/>
                <w:color w:val="7F7F7F" w:themeColor="text1" w:themeTint="80"/>
                <w:sz w:val="22"/>
                <w:szCs w:val="22"/>
                <w:lang w:val="en-US"/>
              </w:rPr>
              <w:t xml:space="preserve"> it is a mechanism to address the exaggeration of the bond spreads.</w:t>
            </w:r>
          </w:p>
        </w:tc>
        <w:tc>
          <w:tcPr>
            <w:tcW w:w="483" w:type="pct"/>
            <w:tcBorders>
              <w:top w:val="single" w:sz="4" w:space="0" w:color="auto"/>
              <w:left w:val="single" w:sz="4" w:space="0" w:color="auto"/>
              <w:bottom w:val="single" w:sz="4" w:space="0" w:color="auto"/>
              <w:right w:val="single" w:sz="4" w:space="0" w:color="auto"/>
            </w:tcBorders>
          </w:tcPr>
          <w:p w14:paraId="091A30BF" w14:textId="77777777" w:rsidR="00891023" w:rsidRPr="00C24334" w:rsidRDefault="00891023" w:rsidP="00020B14">
            <w:pPr>
              <w:tabs>
                <w:tab w:val="left" w:pos="0"/>
              </w:tabs>
              <w:rPr>
                <w:rFonts w:ascii="Verdana" w:hAnsi="Verdana"/>
                <w:color w:val="7F7F7F" w:themeColor="text1" w:themeTint="80"/>
                <w:sz w:val="22"/>
                <w:szCs w:val="22"/>
                <w:highlight w:val="yellow"/>
                <w:lang w:val="en-GB" w:eastAsia="fr-FR"/>
              </w:rPr>
            </w:pPr>
          </w:p>
        </w:tc>
      </w:tr>
      <w:tr w:rsidR="00FC5744" w:rsidRPr="001360A5" w14:paraId="1DA2177B"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0F9C5AE" w14:textId="50C3303C" w:rsidR="00891023" w:rsidRPr="00001686" w:rsidRDefault="00891023" w:rsidP="00020B14">
            <w:pPr>
              <w:tabs>
                <w:tab w:val="left" w:pos="0"/>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lastRenderedPageBreak/>
              <w:t>2</w:t>
            </w:r>
          </w:p>
        </w:tc>
        <w:tc>
          <w:tcPr>
            <w:tcW w:w="506" w:type="pct"/>
            <w:gridSpan w:val="2"/>
            <w:tcBorders>
              <w:top w:val="single" w:sz="4" w:space="0" w:color="auto"/>
              <w:left w:val="single" w:sz="4" w:space="0" w:color="auto"/>
              <w:bottom w:val="single" w:sz="4" w:space="0" w:color="auto"/>
              <w:right w:val="single" w:sz="4" w:space="0" w:color="auto"/>
            </w:tcBorders>
          </w:tcPr>
          <w:p w14:paraId="09214376" w14:textId="1E3BE2EB" w:rsidR="00891023" w:rsidRPr="00D46B4C" w:rsidRDefault="00891023" w:rsidP="00020B14">
            <w:pPr>
              <w:tabs>
                <w:tab w:val="left" w:pos="0"/>
              </w:tabs>
              <w:rPr>
                <w:rFonts w:ascii="Verdana" w:hAnsi="Verdana"/>
                <w:color w:val="7F7F7F" w:themeColor="text1" w:themeTint="80"/>
                <w:sz w:val="22"/>
                <w:szCs w:val="22"/>
                <w:lang w:val="en-GB" w:eastAsia="fr-FR"/>
              </w:rPr>
            </w:pPr>
            <w:r w:rsidRPr="008F70F8">
              <w:rPr>
                <w:rFonts w:ascii="Verdana" w:hAnsi="Verdana"/>
                <w:b/>
                <w:bCs/>
                <w:color w:val="7F7F7F" w:themeColor="text1" w:themeTint="80"/>
                <w:sz w:val="22"/>
                <w:szCs w:val="22"/>
                <w:lang w:val="en-GB" w:eastAsia="fr-FR"/>
              </w:rPr>
              <w:t>Question to stakeholder</w:t>
            </w:r>
            <w:r w:rsidRPr="002712C5">
              <w:rPr>
                <w:rFonts w:ascii="Verdana" w:hAnsi="Verdana"/>
                <w:b/>
                <w:bCs/>
                <w:color w:val="7F7F7F" w:themeColor="text1" w:themeTint="80"/>
                <w:sz w:val="22"/>
                <w:szCs w:val="22"/>
                <w:lang w:val="en-GB" w:eastAsia="fr-FR"/>
              </w:rPr>
              <w:t>s</w:t>
            </w:r>
          </w:p>
        </w:tc>
        <w:tc>
          <w:tcPr>
            <w:tcW w:w="1999" w:type="pct"/>
            <w:tcBorders>
              <w:top w:val="single" w:sz="4" w:space="0" w:color="auto"/>
              <w:left w:val="single" w:sz="4" w:space="0" w:color="auto"/>
              <w:bottom w:val="single" w:sz="4" w:space="0" w:color="auto"/>
              <w:right w:val="single" w:sz="4" w:space="0" w:color="auto"/>
            </w:tcBorders>
          </w:tcPr>
          <w:p w14:paraId="4D596FBE" w14:textId="77777777" w:rsidR="00891023" w:rsidRPr="00395661" w:rsidRDefault="00891023" w:rsidP="00020B14">
            <w:pPr>
              <w:tabs>
                <w:tab w:val="left" w:pos="0"/>
              </w:tabs>
              <w:rPr>
                <w:rFonts w:ascii="Verdana" w:hAnsi="Verdana" w:cs="Verdana"/>
                <w:b/>
                <w:color w:val="7F7F7F" w:themeColor="text1" w:themeTint="80"/>
                <w:sz w:val="22"/>
                <w:szCs w:val="22"/>
                <w:lang w:val="en-US"/>
              </w:rPr>
            </w:pPr>
            <w:r w:rsidRPr="00395661">
              <w:rPr>
                <w:rFonts w:ascii="Verdana" w:hAnsi="Verdana" w:cs="Verdana"/>
                <w:b/>
                <w:color w:val="7F7F7F" w:themeColor="text1" w:themeTint="80"/>
                <w:sz w:val="22"/>
                <w:szCs w:val="22"/>
                <w:lang w:val="en-US"/>
              </w:rPr>
              <w:t>Q2.4: What is your view on this deficiency of the country-specific component of the VA? How should it be addressed?</w:t>
            </w:r>
            <w:r w:rsidRPr="00395661">
              <w:rPr>
                <w:rFonts w:ascii="Verdana" w:hAnsi="Verdana" w:cs="Verdana"/>
                <w:bCs/>
                <w:color w:val="7F7F7F" w:themeColor="text1" w:themeTint="80"/>
                <w:sz w:val="22"/>
                <w:szCs w:val="22"/>
                <w:lang w:val="en-US"/>
              </w:rPr>
              <w:t xml:space="preserve"> </w:t>
            </w:r>
            <w:r w:rsidRPr="00395661">
              <w:rPr>
                <w:rFonts w:ascii="Verdana" w:hAnsi="Verdana" w:cs="Verdana"/>
                <w:b/>
                <w:color w:val="7F7F7F" w:themeColor="text1" w:themeTint="80"/>
                <w:sz w:val="22"/>
                <w:szCs w:val="22"/>
                <w:lang w:val="en-US"/>
              </w:rPr>
              <w:t>(You may want to take into account in particular the options 1, 7 and 8 set out in the following section.)</w:t>
            </w:r>
          </w:p>
          <w:p w14:paraId="7B20A6E8" w14:textId="376D7B26" w:rsidR="00891023" w:rsidRPr="00395661" w:rsidRDefault="00891023" w:rsidP="00020B14">
            <w:pPr>
              <w:tabs>
                <w:tab w:val="left" w:pos="0"/>
              </w:tabs>
              <w:spacing w:before="120" w:after="120"/>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lastRenderedPageBreak/>
              <w:t>A country-specific component of the VA should not be an option to respond to a crisis or event in a single country compared to the currency VA which</w:t>
            </w:r>
            <w:r w:rsidRPr="00CF2245">
              <w:rPr>
                <w:color w:val="7F7F7F" w:themeColor="text1" w:themeTint="80"/>
                <w:lang w:val="en-US"/>
              </w:rPr>
              <w:t xml:space="preserve"> </w:t>
            </w:r>
            <w:r w:rsidRPr="00395661">
              <w:rPr>
                <w:rFonts w:ascii="Verdana" w:hAnsi="Verdana"/>
                <w:color w:val="7F7F7F" w:themeColor="text1" w:themeTint="80"/>
                <w:sz w:val="22"/>
                <w:szCs w:val="22"/>
                <w:lang w:val="en-US"/>
              </w:rPr>
              <w:t>does not</w:t>
            </w:r>
            <w:r w:rsidRPr="00CF2245">
              <w:rPr>
                <w:rFonts w:ascii="Verdana" w:hAnsi="Verdana"/>
                <w:color w:val="7F7F7F" w:themeColor="text1" w:themeTint="80"/>
                <w:sz w:val="22"/>
                <w:szCs w:val="22"/>
                <w:lang w:val="en-US"/>
              </w:rPr>
              <w:t xml:space="preserve"> </w:t>
            </w:r>
            <w:r w:rsidRPr="00395661">
              <w:rPr>
                <w:rFonts w:ascii="Verdana" w:hAnsi="Verdana"/>
                <w:color w:val="7F7F7F" w:themeColor="text1" w:themeTint="80"/>
                <w:sz w:val="22"/>
                <w:szCs w:val="22"/>
                <w:lang w:val="en-US"/>
              </w:rPr>
              <w:t>make a distinction between country specific yields; the Country VA calculation should be seen in the context of a proportionate use of the VA.</w:t>
            </w:r>
          </w:p>
          <w:p w14:paraId="0FA952EF" w14:textId="03BEA7A2" w:rsidR="00891023" w:rsidRPr="00395661" w:rsidRDefault="00891023" w:rsidP="00020B14">
            <w:pPr>
              <w:tabs>
                <w:tab w:val="left" w:pos="0"/>
              </w:tabs>
              <w:spacing w:before="120" w:after="120"/>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As mentioned in Article 44 of the Solvency II Directive where the volatility adjustment is applied, the written policy on risk management should comprise a policy on the criteria for the application of the volatility adjustment: a written policy should therefore explain whether the insurer is able to use the VA or not. </w:t>
            </w:r>
          </w:p>
          <w:p w14:paraId="35A7BADD" w14:textId="5214AE86" w:rsidR="00891023" w:rsidRPr="00395661" w:rsidRDefault="00891023" w:rsidP="00020B14">
            <w:pPr>
              <w:tabs>
                <w:tab w:val="left" w:pos="0"/>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A second assessment is whether the insurer is able to use the VA because the risk management criteria are met, the Currency VA is used. If the insurer concludes that the basis risk is too significant the Country VA should be calculated regardless of trigger levels. </w:t>
            </w:r>
          </w:p>
          <w:p w14:paraId="07A36A4B" w14:textId="20D7D101" w:rsidR="00891023" w:rsidRPr="00395661" w:rsidRDefault="00891023" w:rsidP="00020B14">
            <w:pPr>
              <w:tabs>
                <w:tab w:val="left" w:pos="0"/>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A third assessment in the proportionate use of the VA is a subsequent assessment as to whether the remaining basis risk (i.e. difference between country layer and entity specific information) results in a significant basis risk. If that is the case, the entity specific information could be used to mitigate the basis risk. In this system, the basis risk should be minimal and the trigger point assessment and definition, the cliff edge effects and so do not necessarily exist.</w:t>
            </w:r>
          </w:p>
          <w:p w14:paraId="5C25AF87" w14:textId="4AE1A3E5" w:rsidR="00891023" w:rsidRPr="00395661" w:rsidRDefault="00891023" w:rsidP="00020B14">
            <w:pPr>
              <w:tabs>
                <w:tab w:val="left" w:pos="0"/>
              </w:tabs>
              <w:rPr>
                <w:rFonts w:ascii="Verdana" w:hAnsi="Verdana"/>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2CCBB316" w14:textId="77777777" w:rsidR="00891023" w:rsidRPr="00395661" w:rsidRDefault="00891023" w:rsidP="00020B14">
            <w:pPr>
              <w:tabs>
                <w:tab w:val="left" w:pos="0"/>
              </w:tabs>
              <w:rPr>
                <w:rFonts w:ascii="Verdana" w:hAnsi="Verdana"/>
                <w:color w:val="7F7F7F" w:themeColor="text1" w:themeTint="80"/>
                <w:sz w:val="22"/>
                <w:szCs w:val="22"/>
                <w:highlight w:val="yellow"/>
                <w:lang w:val="en-GB" w:eastAsia="fr-FR"/>
              </w:rPr>
            </w:pPr>
          </w:p>
        </w:tc>
      </w:tr>
      <w:tr w:rsidR="00FC5744" w:rsidRPr="001360A5" w14:paraId="13741C68"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1998072" w14:textId="202E1E83" w:rsidR="00891023" w:rsidRPr="00FE3045" w:rsidRDefault="00891023" w:rsidP="00020B14">
            <w:pPr>
              <w:tabs>
                <w:tab w:val="left" w:pos="0"/>
              </w:tabs>
              <w:ind w:left="-96"/>
              <w:rPr>
                <w:rFonts w:ascii="Verdana" w:hAnsi="Verdana"/>
                <w:color w:val="000000"/>
                <w:sz w:val="22"/>
                <w:szCs w:val="22"/>
                <w:lang w:val="en-GB" w:eastAsia="fr-FR"/>
              </w:rPr>
            </w:pPr>
            <w:r w:rsidRPr="00001686">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38E16810" w14:textId="24D3DDB8" w:rsidR="00891023" w:rsidRPr="00FE3045" w:rsidRDefault="00891023" w:rsidP="00020B14">
            <w:pPr>
              <w:tabs>
                <w:tab w:val="left" w:pos="0"/>
              </w:tabs>
              <w:rPr>
                <w:rFonts w:ascii="Verdana" w:hAnsi="Verdana"/>
                <w:color w:val="000000"/>
                <w:sz w:val="22"/>
                <w:szCs w:val="22"/>
                <w:lang w:val="en-GB" w:eastAsia="fr-FR"/>
              </w:rPr>
            </w:pPr>
            <w:r w:rsidRPr="00D46B4C">
              <w:rPr>
                <w:rFonts w:ascii="Verdana" w:hAnsi="Verdana"/>
                <w:color w:val="7F7F7F" w:themeColor="text1" w:themeTint="80"/>
                <w:sz w:val="22"/>
                <w:szCs w:val="22"/>
                <w:lang w:val="en-GB" w:eastAsia="fr-FR"/>
              </w:rPr>
              <w:t>290</w:t>
            </w:r>
          </w:p>
        </w:tc>
        <w:tc>
          <w:tcPr>
            <w:tcW w:w="1999" w:type="pct"/>
            <w:tcBorders>
              <w:top w:val="single" w:sz="4" w:space="0" w:color="auto"/>
              <w:left w:val="single" w:sz="4" w:space="0" w:color="auto"/>
              <w:bottom w:val="single" w:sz="4" w:space="0" w:color="auto"/>
              <w:right w:val="single" w:sz="4" w:space="0" w:color="auto"/>
            </w:tcBorders>
          </w:tcPr>
          <w:p w14:paraId="64A1ADBB" w14:textId="7B5261EE" w:rsidR="00891023" w:rsidRPr="00395661" w:rsidRDefault="00891023" w:rsidP="00020B14">
            <w:pPr>
              <w:tabs>
                <w:tab w:val="left" w:pos="0"/>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The graph depicts the spread development in corporate bonds in the “non-financial 4” category but not the default of this category. Moreover, EIOPA presents only the actual case of one specific category, but it does not display the case for the whole category of corporate bonds. For example, we query how the covered bonds behave during </w:t>
            </w:r>
            <w:r w:rsidRPr="00395661">
              <w:rPr>
                <w:rFonts w:ascii="Verdana" w:hAnsi="Verdana"/>
                <w:color w:val="7F7F7F" w:themeColor="text1" w:themeTint="80"/>
                <w:sz w:val="22"/>
                <w:szCs w:val="22"/>
                <w:lang w:val="en-US"/>
              </w:rPr>
              <w:lastRenderedPageBreak/>
              <w:t>the financial crisis</w:t>
            </w:r>
            <w:r w:rsidR="00E97862" w:rsidRPr="00395661">
              <w:rPr>
                <w:rFonts w:ascii="Verdana" w:hAnsi="Verdana"/>
                <w:color w:val="7F7F7F" w:themeColor="text1" w:themeTint="80"/>
                <w:sz w:val="22"/>
                <w:szCs w:val="22"/>
                <w:lang w:val="en-US"/>
              </w:rPr>
              <w:t xml:space="preserve"> and whether </w:t>
            </w:r>
            <w:r w:rsidRPr="00CF2245">
              <w:rPr>
                <w:rFonts w:ascii="Verdana" w:hAnsi="Verdana"/>
                <w:color w:val="7F7F7F" w:themeColor="text1" w:themeTint="80"/>
                <w:sz w:val="22"/>
                <w:szCs w:val="22"/>
                <w:lang w:val="en-US"/>
              </w:rPr>
              <w:t xml:space="preserve">there </w:t>
            </w:r>
            <w:r w:rsidR="00E97862" w:rsidRPr="00CF2245">
              <w:rPr>
                <w:rFonts w:ascii="Verdana" w:hAnsi="Verdana"/>
                <w:color w:val="7F7F7F" w:themeColor="text1" w:themeTint="80"/>
                <w:sz w:val="22"/>
                <w:szCs w:val="22"/>
                <w:lang w:val="en-US"/>
              </w:rPr>
              <w:t xml:space="preserve">was </w:t>
            </w:r>
            <w:r w:rsidRPr="00CF2245">
              <w:rPr>
                <w:rFonts w:ascii="Verdana" w:hAnsi="Verdana"/>
                <w:color w:val="7F7F7F" w:themeColor="text1" w:themeTint="80"/>
                <w:sz w:val="22"/>
                <w:szCs w:val="22"/>
                <w:lang w:val="en-US"/>
              </w:rPr>
              <w:t>any default</w:t>
            </w:r>
            <w:r w:rsidR="00E97862" w:rsidRPr="00CF2245">
              <w:rPr>
                <w:rFonts w:ascii="Verdana" w:hAnsi="Verdana"/>
                <w:color w:val="7F7F7F" w:themeColor="text1" w:themeTint="80"/>
                <w:sz w:val="22"/>
                <w:szCs w:val="22"/>
                <w:lang w:val="en-US"/>
              </w:rPr>
              <w:t>.</w:t>
            </w:r>
            <w:r w:rsidRPr="00CF2245">
              <w:rPr>
                <w:rFonts w:ascii="Verdana" w:hAnsi="Verdana"/>
                <w:color w:val="7F7F7F" w:themeColor="text1" w:themeTint="80"/>
                <w:sz w:val="22"/>
                <w:szCs w:val="22"/>
                <w:lang w:val="en-US"/>
              </w:rPr>
              <w:t xml:space="preserve"> </w:t>
            </w:r>
            <w:r w:rsidR="00E97862" w:rsidRPr="00CF2245">
              <w:rPr>
                <w:rFonts w:ascii="Verdana" w:hAnsi="Verdana"/>
                <w:color w:val="7F7F7F" w:themeColor="text1" w:themeTint="80"/>
                <w:sz w:val="22"/>
                <w:szCs w:val="22"/>
                <w:lang w:val="en-US"/>
              </w:rPr>
              <w:t xml:space="preserve">Further information is needed as to whether </w:t>
            </w:r>
            <w:r w:rsidRPr="00CF2245">
              <w:rPr>
                <w:rFonts w:ascii="Verdana" w:hAnsi="Verdana"/>
                <w:color w:val="7F7F7F" w:themeColor="text1" w:themeTint="80"/>
                <w:sz w:val="22"/>
                <w:szCs w:val="22"/>
                <w:lang w:val="en-US"/>
              </w:rPr>
              <w:t xml:space="preserve">the behavior </w:t>
            </w:r>
            <w:r w:rsidR="00E97862" w:rsidRPr="00CF2245">
              <w:rPr>
                <w:rFonts w:ascii="Verdana" w:hAnsi="Verdana"/>
                <w:color w:val="7F7F7F" w:themeColor="text1" w:themeTint="80"/>
                <w:sz w:val="22"/>
                <w:szCs w:val="22"/>
                <w:lang w:val="en-US"/>
              </w:rPr>
              <w:t xml:space="preserve">was </w:t>
            </w:r>
            <w:r w:rsidRPr="00CF2245">
              <w:rPr>
                <w:rFonts w:ascii="Verdana" w:hAnsi="Verdana"/>
                <w:color w:val="7F7F7F" w:themeColor="text1" w:themeTint="80"/>
                <w:sz w:val="22"/>
                <w:szCs w:val="22"/>
                <w:lang w:val="en-US"/>
              </w:rPr>
              <w:t>similar to mortgage securitisations in the Netherlands</w:t>
            </w:r>
            <w:r w:rsidR="00E97862" w:rsidRPr="00CF2245">
              <w:rPr>
                <w:rFonts w:ascii="Verdana" w:hAnsi="Verdana"/>
                <w:color w:val="7F7F7F" w:themeColor="text1" w:themeTint="80"/>
                <w:sz w:val="22"/>
                <w:szCs w:val="22"/>
                <w:lang w:val="en-US"/>
              </w:rPr>
              <w:t>.</w:t>
            </w:r>
          </w:p>
          <w:p w14:paraId="3A61EEB3" w14:textId="159A89B5" w:rsidR="00891023" w:rsidRPr="00395661" w:rsidRDefault="00891023" w:rsidP="00020B14">
            <w:pPr>
              <w:tabs>
                <w:tab w:val="left" w:pos="0"/>
              </w:tabs>
              <w:rPr>
                <w:rFonts w:ascii="Verdana" w:hAnsi="Verdana"/>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5A0F2E67" w14:textId="2283EE09" w:rsidR="00891023" w:rsidRPr="00CF2245" w:rsidRDefault="00891023" w:rsidP="00020B14">
            <w:pPr>
              <w:tabs>
                <w:tab w:val="left" w:pos="0"/>
              </w:tabs>
              <w:rPr>
                <w:rFonts w:ascii="Verdana" w:hAnsi="Verdana"/>
                <w:color w:val="7F7F7F" w:themeColor="text1" w:themeTint="80"/>
                <w:sz w:val="22"/>
                <w:szCs w:val="22"/>
                <w:lang w:val="en-GB" w:eastAsia="fr-FR"/>
              </w:rPr>
            </w:pPr>
          </w:p>
        </w:tc>
      </w:tr>
      <w:tr w:rsidR="00FC5744" w:rsidRPr="001360A5" w14:paraId="00898F3C"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2ADB780" w14:textId="2C47681F" w:rsidR="00891023" w:rsidRPr="00001686" w:rsidRDefault="00891023" w:rsidP="00020B14">
            <w:pPr>
              <w:tabs>
                <w:tab w:val="left" w:pos="0"/>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4D6587B8" w14:textId="00792370" w:rsidR="00891023" w:rsidRPr="00D8794F" w:rsidRDefault="00891023" w:rsidP="00020B14">
            <w:pPr>
              <w:tabs>
                <w:tab w:val="left" w:pos="0"/>
              </w:tabs>
              <w:rPr>
                <w:rFonts w:ascii="Verdana" w:hAnsi="Verdana"/>
                <w:color w:val="7F7F7F" w:themeColor="text1" w:themeTint="80"/>
                <w:sz w:val="22"/>
                <w:szCs w:val="22"/>
              </w:rPr>
            </w:pPr>
            <w:r>
              <w:rPr>
                <w:rFonts w:ascii="Verdana" w:hAnsi="Verdana"/>
                <w:color w:val="7F7F7F" w:themeColor="text1" w:themeTint="80"/>
                <w:sz w:val="22"/>
                <w:szCs w:val="22"/>
              </w:rPr>
              <w:t>291</w:t>
            </w:r>
          </w:p>
        </w:tc>
        <w:tc>
          <w:tcPr>
            <w:tcW w:w="1999" w:type="pct"/>
            <w:tcBorders>
              <w:top w:val="single" w:sz="4" w:space="0" w:color="auto"/>
              <w:left w:val="single" w:sz="4" w:space="0" w:color="auto"/>
              <w:bottom w:val="single" w:sz="4" w:space="0" w:color="auto"/>
              <w:right w:val="single" w:sz="4" w:space="0" w:color="auto"/>
            </w:tcBorders>
          </w:tcPr>
          <w:p w14:paraId="37073E17" w14:textId="3A4F8B70" w:rsidR="00891023" w:rsidRPr="00395661" w:rsidRDefault="00891023" w:rsidP="00020B14">
            <w:pPr>
              <w:tabs>
                <w:tab w:val="left" w:pos="0"/>
              </w:tabs>
              <w:spacing w:before="120" w:after="120"/>
              <w:rPr>
                <w:rFonts w:ascii="Verdana" w:hAnsi="Verdana"/>
                <w:i/>
                <w:color w:val="7F7F7F" w:themeColor="text1" w:themeTint="80"/>
                <w:sz w:val="22"/>
                <w:szCs w:val="22"/>
                <w:lang w:val="en-GB" w:eastAsia="fr-FR"/>
              </w:rPr>
            </w:pPr>
            <w:r w:rsidRPr="00395661">
              <w:rPr>
                <w:rFonts w:ascii="Verdana" w:hAnsi="Verdana"/>
                <w:iCs/>
                <w:color w:val="7F7F7F" w:themeColor="text1" w:themeTint="80"/>
                <w:sz w:val="22"/>
                <w:szCs w:val="22"/>
                <w:lang w:val="en-GB" w:eastAsia="fr-FR"/>
              </w:rPr>
              <w:t xml:space="preserve">EIOPA points out that the historical evidence of credit spread movements indicate that when spreads increase, also the number of defaults increase; in that respect credit spread changes cannot be considered fully as exaggeration or artificial. </w:t>
            </w:r>
            <w:r w:rsidRPr="00395661">
              <w:rPr>
                <w:rFonts w:ascii="Verdana" w:hAnsi="Verdana"/>
                <w:color w:val="7F7F7F" w:themeColor="text1" w:themeTint="80"/>
                <w:sz w:val="22"/>
                <w:szCs w:val="22"/>
                <w:lang w:val="en-GB" w:eastAsia="fr-FR"/>
              </w:rPr>
              <w:t>EIOPA adds that “</w:t>
            </w:r>
            <w:r w:rsidRPr="00395661">
              <w:rPr>
                <w:rFonts w:ascii="Verdana" w:hAnsi="Verdana"/>
                <w:i/>
                <w:color w:val="7F7F7F" w:themeColor="text1" w:themeTint="80"/>
                <w:sz w:val="22"/>
                <w:szCs w:val="22"/>
                <w:lang w:val="en-GB" w:eastAsia="fr-FR"/>
              </w:rPr>
              <w:t xml:space="preserve">academic research indicates that defaults take up approximately 50 percent of the credit spread”, </w:t>
            </w:r>
            <w:r w:rsidRPr="00395661">
              <w:rPr>
                <w:rFonts w:ascii="Verdana" w:hAnsi="Verdana"/>
                <w:color w:val="7F7F7F" w:themeColor="text1" w:themeTint="80"/>
                <w:sz w:val="22"/>
                <w:szCs w:val="22"/>
                <w:lang w:val="en-GB" w:eastAsia="fr-FR"/>
              </w:rPr>
              <w:t>quoting a paper from K. Giesecke et al. However</w:t>
            </w:r>
            <w:r w:rsidRPr="003763F9">
              <w:rPr>
                <w:rFonts w:ascii="Verdana" w:hAnsi="Verdana"/>
                <w:i/>
                <w:color w:val="7F7F7F" w:themeColor="text1" w:themeTint="80"/>
                <w:sz w:val="22"/>
                <w:szCs w:val="22"/>
                <w:lang w:val="en-GB" w:eastAsia="fr-FR"/>
              </w:rPr>
              <w:t>, the</w:t>
            </w:r>
            <w:r w:rsidRPr="00CF2245">
              <w:rPr>
                <w:rFonts w:ascii="Verdana" w:hAnsi="Verdana"/>
                <w:iCs/>
                <w:color w:val="7F7F7F" w:themeColor="text1" w:themeTint="80"/>
                <w:sz w:val="22"/>
                <w:szCs w:val="22"/>
                <w:lang w:val="en-GB" w:eastAsia="fr-FR"/>
              </w:rPr>
              <w:t xml:space="preserve"> paper demonstrates instead that there is not a direct connection between spreads and default, </w:t>
            </w:r>
            <w:r w:rsidR="00366457" w:rsidRPr="00395661">
              <w:rPr>
                <w:rFonts w:ascii="Verdana" w:hAnsi="Verdana"/>
                <w:iCs/>
                <w:color w:val="7F7F7F" w:themeColor="text1" w:themeTint="80"/>
                <w:sz w:val="22"/>
                <w:szCs w:val="22"/>
                <w:lang w:val="en-GB" w:eastAsia="fr-FR"/>
              </w:rPr>
              <w:t>Furthermore</w:t>
            </w:r>
            <w:r w:rsidRPr="00395661">
              <w:rPr>
                <w:rFonts w:ascii="Verdana" w:hAnsi="Verdana"/>
                <w:color w:val="7F7F7F" w:themeColor="text1" w:themeTint="80"/>
                <w:sz w:val="22"/>
                <w:szCs w:val="22"/>
                <w:lang w:val="en-GB" w:eastAsia="fr-FR"/>
              </w:rPr>
              <w:t xml:space="preserve">, the authors </w:t>
            </w:r>
            <w:r w:rsidRPr="00395661">
              <w:rPr>
                <w:rFonts w:ascii="Verdana" w:hAnsi="Verdana"/>
                <w:iCs/>
                <w:color w:val="7F7F7F" w:themeColor="text1" w:themeTint="80"/>
                <w:sz w:val="22"/>
                <w:szCs w:val="22"/>
                <w:lang w:val="en-GB" w:eastAsia="fr-FR"/>
              </w:rPr>
              <w:t>find that credit spreads are significantly influenced by factors that are difficult to link to credit fundamentals</w:t>
            </w:r>
            <w:r w:rsidRPr="00395661">
              <w:rPr>
                <w:rFonts w:ascii="Verdana" w:hAnsi="Verdana"/>
                <w:color w:val="7F7F7F" w:themeColor="text1" w:themeTint="80"/>
                <w:sz w:val="22"/>
                <w:szCs w:val="22"/>
                <w:lang w:val="en-GB" w:eastAsia="fr-FR"/>
              </w:rPr>
              <w:t xml:space="preserve"> and that they </w:t>
            </w:r>
            <w:r w:rsidRPr="00395661">
              <w:rPr>
                <w:rFonts w:ascii="Verdana" w:hAnsi="Verdana"/>
                <w:iCs/>
                <w:color w:val="7F7F7F" w:themeColor="text1" w:themeTint="80"/>
                <w:sz w:val="22"/>
                <w:szCs w:val="22"/>
                <w:lang w:val="en-GB" w:eastAsia="fr-FR"/>
              </w:rPr>
              <w:t>find little or no evidence that credit spreads respond to current or lagged default rates.</w:t>
            </w:r>
            <w:r w:rsidRPr="00395661">
              <w:rPr>
                <w:rFonts w:ascii="Verdana" w:hAnsi="Verdana"/>
                <w:color w:val="7F7F7F" w:themeColor="text1" w:themeTint="80"/>
                <w:sz w:val="22"/>
                <w:szCs w:val="22"/>
                <w:lang w:val="en-GB" w:eastAsia="fr-FR"/>
              </w:rPr>
              <w:t xml:space="preserve"> The Authors then conclude that </w:t>
            </w:r>
            <w:r w:rsidRPr="00395661">
              <w:rPr>
                <w:rFonts w:ascii="Verdana" w:hAnsi="Verdana"/>
                <w:i/>
                <w:color w:val="7F7F7F" w:themeColor="text1" w:themeTint="80"/>
                <w:sz w:val="22"/>
                <w:szCs w:val="22"/>
                <w:lang w:val="en-GB" w:eastAsia="fr-FR"/>
              </w:rPr>
              <w:t>“Taken together, these counterintuitive results support the view that corporate credit spreads are driven largely by factors such as illiquidity”.</w:t>
            </w:r>
          </w:p>
          <w:p w14:paraId="7BC0E0F5" w14:textId="77777777" w:rsidR="00891023" w:rsidRPr="00395661" w:rsidRDefault="00891023"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Finally, we would like to recall that the VA was introduced precisely because in some specific situations the spreads during the debt crisis were not good indicators of the default levels but rather an indication of the extreme risk aversion of market participants. Hence, the fact that the risk correction does not increase is fully in line with the intended design of the VA.</w:t>
            </w:r>
          </w:p>
          <w:p w14:paraId="4B146CB5" w14:textId="660C2A55" w:rsidR="00891023" w:rsidRPr="00395661" w:rsidRDefault="00891023" w:rsidP="00020B14">
            <w:pPr>
              <w:tabs>
                <w:tab w:val="left" w:pos="0"/>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699B293A" w14:textId="77777777" w:rsidR="00891023" w:rsidRPr="00CF2245" w:rsidRDefault="00891023" w:rsidP="00020B14">
            <w:pPr>
              <w:tabs>
                <w:tab w:val="left" w:pos="0"/>
              </w:tabs>
              <w:rPr>
                <w:color w:val="7F7F7F" w:themeColor="text1" w:themeTint="80"/>
                <w:sz w:val="22"/>
                <w:szCs w:val="22"/>
                <w:lang w:val="en-GB" w:eastAsia="fr-FR"/>
              </w:rPr>
            </w:pPr>
          </w:p>
        </w:tc>
      </w:tr>
      <w:tr w:rsidR="00FC5744" w:rsidRPr="001360A5" w14:paraId="00F793A0"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6E43930" w14:textId="29B46B44" w:rsidR="00891023" w:rsidRPr="00001686" w:rsidRDefault="00891023" w:rsidP="00020B14">
            <w:pPr>
              <w:tabs>
                <w:tab w:val="left" w:pos="0"/>
              </w:tabs>
              <w:ind w:left="-96"/>
              <w:rPr>
                <w:rFonts w:ascii="Verdana" w:hAnsi="Verdana"/>
                <w:color w:val="7F7F7F" w:themeColor="text1" w:themeTint="80"/>
                <w:sz w:val="22"/>
                <w:szCs w:val="22"/>
                <w:lang w:val="en-GB" w:eastAsia="fr-FR"/>
              </w:rPr>
            </w:pPr>
            <w:r w:rsidRPr="00001686">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7C729078" w14:textId="1DC8537F" w:rsidR="00891023" w:rsidRPr="00001686" w:rsidRDefault="00891023" w:rsidP="00020B14">
            <w:pPr>
              <w:tabs>
                <w:tab w:val="left" w:pos="0"/>
              </w:tabs>
              <w:rPr>
                <w:rFonts w:ascii="Verdana" w:hAnsi="Verdana"/>
                <w:color w:val="7F7F7F" w:themeColor="text1" w:themeTint="80"/>
                <w:sz w:val="22"/>
                <w:szCs w:val="22"/>
                <w:lang w:val="en-GB" w:eastAsia="fr-FR"/>
              </w:rPr>
            </w:pPr>
            <w:r w:rsidRPr="00D8794F">
              <w:rPr>
                <w:rFonts w:ascii="Verdana" w:hAnsi="Verdana"/>
                <w:color w:val="7F7F7F" w:themeColor="text1" w:themeTint="80"/>
                <w:sz w:val="22"/>
                <w:szCs w:val="22"/>
              </w:rPr>
              <w:t>292</w:t>
            </w:r>
          </w:p>
        </w:tc>
        <w:tc>
          <w:tcPr>
            <w:tcW w:w="1999" w:type="pct"/>
            <w:tcBorders>
              <w:top w:val="single" w:sz="4" w:space="0" w:color="auto"/>
              <w:left w:val="single" w:sz="4" w:space="0" w:color="auto"/>
              <w:bottom w:val="single" w:sz="4" w:space="0" w:color="auto"/>
              <w:right w:val="single" w:sz="4" w:space="0" w:color="auto"/>
            </w:tcBorders>
          </w:tcPr>
          <w:p w14:paraId="521D47F9" w14:textId="0408158B" w:rsidR="00891023" w:rsidRPr="000158FF" w:rsidRDefault="00891023" w:rsidP="00020B14">
            <w:pPr>
              <w:tabs>
                <w:tab w:val="left" w:pos="0"/>
              </w:tabs>
              <w:rPr>
                <w:rFonts w:ascii="Verdana" w:hAnsi="Verdana"/>
                <w:color w:val="000000"/>
                <w:sz w:val="22"/>
                <w:szCs w:val="22"/>
                <w:lang w:val="en-GB" w:eastAsia="fr-FR"/>
              </w:rPr>
            </w:pPr>
            <w:r w:rsidRPr="00F52E8F">
              <w:rPr>
                <w:rFonts w:ascii="Verdana" w:hAnsi="Verdana"/>
                <w:color w:val="7F7F7F" w:themeColor="text1" w:themeTint="80"/>
                <w:sz w:val="22"/>
                <w:szCs w:val="22"/>
                <w:lang w:val="en-GB" w:eastAsia="fr-FR"/>
              </w:rPr>
              <w:t>The information referred to is based on time series up to 2008 but it does not go into detail of the 2008-2012 period, which EIOPA provides as evidence. We query as to whether this information</w:t>
            </w:r>
            <w:r w:rsidRPr="00D46B4C">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 xml:space="preserve">is </w:t>
            </w:r>
            <w:r w:rsidRPr="00D46B4C">
              <w:rPr>
                <w:rFonts w:ascii="Verdana" w:hAnsi="Verdana"/>
                <w:color w:val="7F7F7F" w:themeColor="text1" w:themeTint="80"/>
                <w:sz w:val="22"/>
                <w:szCs w:val="22"/>
                <w:lang w:val="en-US"/>
              </w:rPr>
              <w:t xml:space="preserve">still relevant </w:t>
            </w:r>
            <w:r w:rsidRPr="00D46B4C">
              <w:rPr>
                <w:rFonts w:ascii="Verdana" w:hAnsi="Verdana"/>
                <w:color w:val="7F7F7F" w:themeColor="text1" w:themeTint="80"/>
                <w:sz w:val="22"/>
                <w:szCs w:val="22"/>
                <w:lang w:val="en-US"/>
              </w:rPr>
              <w:lastRenderedPageBreak/>
              <w:t xml:space="preserve">considering the turn of events following the 2008 </w:t>
            </w:r>
            <w:r>
              <w:rPr>
                <w:rFonts w:ascii="Verdana" w:hAnsi="Verdana"/>
                <w:color w:val="7F7F7F" w:themeColor="text1" w:themeTint="80"/>
                <w:sz w:val="22"/>
                <w:szCs w:val="22"/>
                <w:lang w:val="en-US"/>
              </w:rPr>
              <w:t xml:space="preserve">financial </w:t>
            </w:r>
            <w:r w:rsidRPr="00D46B4C">
              <w:rPr>
                <w:rFonts w:ascii="Verdana" w:hAnsi="Verdana"/>
                <w:color w:val="7F7F7F" w:themeColor="text1" w:themeTint="80"/>
                <w:sz w:val="22"/>
                <w:szCs w:val="22"/>
                <w:lang w:val="en-US"/>
              </w:rPr>
              <w:t>crisis and how that relate</w:t>
            </w:r>
            <w:r>
              <w:rPr>
                <w:rFonts w:ascii="Verdana" w:hAnsi="Verdana"/>
                <w:color w:val="7F7F7F" w:themeColor="text1" w:themeTint="80"/>
                <w:sz w:val="22"/>
                <w:szCs w:val="22"/>
                <w:lang w:val="en-US"/>
              </w:rPr>
              <w:t>d</w:t>
            </w:r>
            <w:r w:rsidRPr="00D46B4C">
              <w:rPr>
                <w:rFonts w:ascii="Verdana" w:hAnsi="Verdana"/>
                <w:color w:val="7F7F7F" w:themeColor="text1" w:themeTint="80"/>
                <w:sz w:val="22"/>
                <w:szCs w:val="22"/>
                <w:lang w:val="en-US"/>
              </w:rPr>
              <w:t xml:space="preserve"> to all different investment categories which can be identified in the corporate bonds portfolio</w:t>
            </w:r>
            <w:r>
              <w:rPr>
                <w:rFonts w:ascii="Verdana" w:hAnsi="Verdana"/>
                <w:color w:val="7F7F7F" w:themeColor="text1" w:themeTint="80"/>
                <w:sz w:val="22"/>
                <w:szCs w:val="22"/>
                <w:lang w:val="en-US"/>
              </w:rPr>
              <w:t>.</w:t>
            </w:r>
            <w:r w:rsidRPr="00D46B4C">
              <w:rPr>
                <w:rFonts w:ascii="Verdana" w:hAnsi="Verdana"/>
                <w:color w:val="7F7F7F" w:themeColor="text1" w:themeTint="80"/>
                <w:sz w:val="22"/>
                <w:szCs w:val="22"/>
                <w:lang w:val="en-US"/>
              </w:rPr>
              <w:br/>
              <w:t>In their abstract</w:t>
            </w:r>
            <w:r>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 xml:space="preserve">the paper even states </w:t>
            </w:r>
            <w:r>
              <w:rPr>
                <w:rFonts w:ascii="Verdana" w:hAnsi="Verdana"/>
                <w:color w:val="7F7F7F" w:themeColor="text1" w:themeTint="80"/>
                <w:sz w:val="22"/>
                <w:szCs w:val="22"/>
                <w:lang w:val="en-US"/>
              </w:rPr>
              <w:t xml:space="preserve">that </w:t>
            </w:r>
            <w:r w:rsidRPr="00D46B4C">
              <w:rPr>
                <w:rFonts w:ascii="Verdana" w:hAnsi="Verdana"/>
                <w:color w:val="7F7F7F" w:themeColor="text1" w:themeTint="80"/>
                <w:sz w:val="22"/>
                <w:szCs w:val="22"/>
                <w:lang w:val="en-US"/>
              </w:rPr>
              <w:t>credit spreads do not appear to have predictive power for subsequent default rates.</w:t>
            </w:r>
            <w:r>
              <w:rPr>
                <w:rFonts w:ascii="Verdana" w:hAnsi="Verdana"/>
                <w:color w:val="7F7F7F" w:themeColor="text1" w:themeTint="80"/>
                <w:sz w:val="22"/>
                <w:szCs w:val="22"/>
                <w:lang w:val="en-US"/>
              </w:rPr>
              <w:t xml:space="preserve"> It also </w:t>
            </w:r>
            <w:r w:rsidRPr="00D46B4C">
              <w:rPr>
                <w:rFonts w:ascii="Verdana" w:hAnsi="Verdana"/>
                <w:color w:val="7F7F7F" w:themeColor="text1" w:themeTint="80"/>
                <w:sz w:val="22"/>
                <w:szCs w:val="22"/>
                <w:lang w:val="en-US"/>
              </w:rPr>
              <w:t xml:space="preserve">refers to US data only which is not reflective of the </w:t>
            </w:r>
            <w:r>
              <w:rPr>
                <w:rFonts w:ascii="Verdana" w:hAnsi="Verdana"/>
                <w:color w:val="7F7F7F" w:themeColor="text1" w:themeTint="80"/>
                <w:sz w:val="22"/>
                <w:szCs w:val="22"/>
                <w:lang w:val="en-US"/>
              </w:rPr>
              <w:t xml:space="preserve">European’s </w:t>
            </w:r>
            <w:r w:rsidRPr="00D46B4C">
              <w:rPr>
                <w:rFonts w:ascii="Verdana" w:hAnsi="Verdana"/>
                <w:color w:val="7F7F7F" w:themeColor="text1" w:themeTint="80"/>
                <w:sz w:val="22"/>
                <w:szCs w:val="22"/>
                <w:lang w:val="en-US"/>
              </w:rPr>
              <w:t>reference portfolio</w:t>
            </w:r>
            <w:r w:rsidRPr="00D46B4C">
              <w:rPr>
                <w:rFonts w:ascii="Verdana" w:hAnsi="Verdana"/>
                <w:color w:val="000000"/>
                <w:sz w:val="22"/>
                <w:szCs w:val="22"/>
                <w:lang w:val="en-US"/>
              </w:rPr>
              <w:t>.</w:t>
            </w:r>
          </w:p>
        </w:tc>
        <w:tc>
          <w:tcPr>
            <w:tcW w:w="483" w:type="pct"/>
            <w:tcBorders>
              <w:top w:val="single" w:sz="4" w:space="0" w:color="auto"/>
              <w:left w:val="single" w:sz="4" w:space="0" w:color="auto"/>
              <w:bottom w:val="single" w:sz="4" w:space="0" w:color="auto"/>
              <w:right w:val="single" w:sz="4" w:space="0" w:color="auto"/>
            </w:tcBorders>
          </w:tcPr>
          <w:p w14:paraId="485F0960" w14:textId="77777777" w:rsidR="00891023" w:rsidRPr="00FE3045" w:rsidRDefault="00891023" w:rsidP="00020B14">
            <w:pPr>
              <w:tabs>
                <w:tab w:val="left" w:pos="0"/>
              </w:tabs>
              <w:rPr>
                <w:color w:val="000000"/>
                <w:sz w:val="22"/>
                <w:szCs w:val="22"/>
                <w:lang w:val="en-GB" w:eastAsia="fr-FR"/>
              </w:rPr>
            </w:pPr>
          </w:p>
        </w:tc>
      </w:tr>
      <w:tr w:rsidR="00FC5744" w:rsidRPr="001360A5" w14:paraId="32E44C43"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8912A4F" w14:textId="47873977" w:rsidR="00891023" w:rsidRPr="00FE3045" w:rsidRDefault="00891023" w:rsidP="00020B14">
            <w:pPr>
              <w:tabs>
                <w:tab w:val="left" w:pos="0"/>
              </w:tabs>
              <w:ind w:left="-96"/>
              <w:rPr>
                <w:rFonts w:ascii="Verdana" w:hAnsi="Verdana"/>
                <w:color w:val="000000"/>
                <w:sz w:val="22"/>
                <w:szCs w:val="22"/>
                <w:lang w:val="en-GB" w:eastAsia="fr-FR"/>
              </w:rPr>
            </w:pPr>
            <w:r w:rsidRPr="00D46B4C">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74111620" w14:textId="293803BC" w:rsidR="00891023" w:rsidRPr="000158FF" w:rsidRDefault="00891023" w:rsidP="00020B14">
            <w:pPr>
              <w:tabs>
                <w:tab w:val="left" w:pos="0"/>
              </w:tabs>
              <w:rPr>
                <w:rFonts w:ascii="Verdana" w:hAnsi="Verdana"/>
                <w:color w:val="000000"/>
                <w:sz w:val="22"/>
                <w:szCs w:val="22"/>
                <w:lang w:val="en-GB" w:eastAsia="fr-FR"/>
              </w:rPr>
            </w:pPr>
            <w:r w:rsidRPr="00D46B4C">
              <w:rPr>
                <w:rFonts w:ascii="Verdana" w:hAnsi="Verdana"/>
                <w:color w:val="7F7F7F" w:themeColor="text1" w:themeTint="80"/>
                <w:sz w:val="22"/>
                <w:szCs w:val="22"/>
              </w:rPr>
              <w:t>293</w:t>
            </w:r>
          </w:p>
        </w:tc>
        <w:tc>
          <w:tcPr>
            <w:tcW w:w="1999" w:type="pct"/>
            <w:tcBorders>
              <w:top w:val="single" w:sz="4" w:space="0" w:color="auto"/>
              <w:left w:val="single" w:sz="4" w:space="0" w:color="auto"/>
              <w:bottom w:val="single" w:sz="4" w:space="0" w:color="auto"/>
              <w:right w:val="single" w:sz="4" w:space="0" w:color="auto"/>
            </w:tcBorders>
          </w:tcPr>
          <w:p w14:paraId="4E8ACC86" w14:textId="1325D01B" w:rsidR="00891023" w:rsidRPr="000158FF" w:rsidRDefault="00891023" w:rsidP="00020B14">
            <w:pPr>
              <w:tabs>
                <w:tab w:val="left" w:pos="0"/>
              </w:tabs>
              <w:rPr>
                <w:rFonts w:ascii="Verdana" w:hAnsi="Verdana"/>
                <w:color w:val="000000"/>
                <w:sz w:val="22"/>
                <w:szCs w:val="22"/>
                <w:lang w:val="en-GB" w:eastAsia="fr-FR"/>
              </w:rPr>
            </w:pPr>
            <w:r w:rsidRPr="00D46B4C">
              <w:rPr>
                <w:rFonts w:ascii="Verdana" w:hAnsi="Verdana"/>
                <w:color w:val="7F7F7F" w:themeColor="text1" w:themeTint="80"/>
                <w:sz w:val="22"/>
                <w:szCs w:val="22"/>
                <w:lang w:val="en-US"/>
              </w:rPr>
              <w:t xml:space="preserve">EIOPA states that the credit spread reflects a compensation for expected losses, a credit risk premium for unexpected losses, a liquidity risk premium and potentially a compensation/correction for other risks/options. All these components could be considered to be in the spread, but a real split into the components and subsequent quantification will </w:t>
            </w:r>
            <w:r>
              <w:rPr>
                <w:rFonts w:ascii="Verdana" w:hAnsi="Verdana"/>
                <w:color w:val="7F7F7F" w:themeColor="text1" w:themeTint="80"/>
                <w:sz w:val="22"/>
                <w:szCs w:val="22"/>
                <w:lang w:val="en-US"/>
              </w:rPr>
              <w:t xml:space="preserve">have to </w:t>
            </w:r>
            <w:r w:rsidRPr="00D46B4C">
              <w:rPr>
                <w:rFonts w:ascii="Verdana" w:hAnsi="Verdana"/>
                <w:color w:val="7F7F7F" w:themeColor="text1" w:themeTint="80"/>
                <w:sz w:val="22"/>
                <w:szCs w:val="22"/>
                <w:lang w:val="en-US"/>
              </w:rPr>
              <w:t xml:space="preserve">be subject to a lot of expert judgment. </w:t>
            </w:r>
            <w:r w:rsidRPr="00987CAC">
              <w:rPr>
                <w:rFonts w:ascii="Verdana" w:hAnsi="Verdana"/>
                <w:color w:val="7F7F7F" w:themeColor="text1" w:themeTint="80"/>
                <w:sz w:val="22"/>
                <w:szCs w:val="22"/>
                <w:lang w:val="en-US"/>
              </w:rPr>
              <w:t>Moreover</w:t>
            </w:r>
            <w:r>
              <w:rPr>
                <w:rFonts w:ascii="Verdana" w:hAnsi="Verdana"/>
                <w:color w:val="7F7F7F" w:themeColor="text1" w:themeTint="80"/>
                <w:sz w:val="22"/>
                <w:szCs w:val="22"/>
                <w:lang w:val="en-US"/>
              </w:rPr>
              <w:t>,</w:t>
            </w:r>
            <w:r w:rsidRPr="00987CAC">
              <w:rPr>
                <w:rFonts w:ascii="Verdana" w:hAnsi="Verdana"/>
                <w:color w:val="7F7F7F" w:themeColor="text1" w:themeTint="80"/>
                <w:sz w:val="22"/>
                <w:szCs w:val="22"/>
                <w:lang w:val="en-US"/>
              </w:rPr>
              <w:t xml:space="preserve"> there is not unanimity across the academic community about th</w:t>
            </w:r>
            <w:r>
              <w:rPr>
                <w:rFonts w:ascii="Verdana" w:hAnsi="Verdana"/>
                <w:color w:val="7F7F7F" w:themeColor="text1" w:themeTint="80"/>
                <w:sz w:val="22"/>
                <w:szCs w:val="22"/>
                <w:lang w:val="en-US"/>
              </w:rPr>
              <w:t>at</w:t>
            </w:r>
            <w:r w:rsidRPr="00987CAC">
              <w:rPr>
                <w:rFonts w:ascii="Verdana" w:hAnsi="Verdana"/>
                <w:color w:val="7F7F7F" w:themeColor="text1" w:themeTint="80"/>
                <w:sz w:val="22"/>
                <w:szCs w:val="22"/>
                <w:lang w:val="en-US"/>
              </w:rPr>
              <w:t xml:space="preserve"> </w:t>
            </w:r>
            <w:r w:rsidRPr="00545D77">
              <w:rPr>
                <w:rFonts w:ascii="Verdana" w:hAnsi="Verdana"/>
                <w:color w:val="7F7F7F" w:themeColor="text1" w:themeTint="80"/>
                <w:sz w:val="22"/>
                <w:szCs w:val="22"/>
                <w:lang w:val="en-US"/>
              </w:rPr>
              <w:t>split.</w:t>
            </w:r>
            <w:r w:rsidR="005C57B5" w:rsidRPr="00545D77">
              <w:rPr>
                <w:rFonts w:ascii="Verdana" w:hAnsi="Verdana"/>
                <w:color w:val="7F7F7F" w:themeColor="text1" w:themeTint="80"/>
                <w:lang w:val="en-US"/>
              </w:rPr>
              <w:t xml:space="preserve"> </w:t>
            </w:r>
            <w:r w:rsidR="005C57B5" w:rsidRPr="00545D77">
              <w:rPr>
                <w:rFonts w:ascii="Verdana" w:hAnsi="Verdana"/>
                <w:color w:val="7F7F7F" w:themeColor="text1" w:themeTint="80"/>
                <w:sz w:val="22"/>
                <w:szCs w:val="22"/>
                <w:lang w:val="en-US"/>
              </w:rPr>
              <w:t>A component of the spreads in the form of a mere remuneration to attract investors should also be envisaged as suggested by some literature.</w:t>
            </w:r>
          </w:p>
        </w:tc>
        <w:tc>
          <w:tcPr>
            <w:tcW w:w="483" w:type="pct"/>
            <w:tcBorders>
              <w:top w:val="single" w:sz="4" w:space="0" w:color="auto"/>
              <w:left w:val="single" w:sz="4" w:space="0" w:color="auto"/>
              <w:bottom w:val="single" w:sz="4" w:space="0" w:color="auto"/>
              <w:right w:val="single" w:sz="4" w:space="0" w:color="auto"/>
            </w:tcBorders>
          </w:tcPr>
          <w:p w14:paraId="3DD5171B" w14:textId="77777777" w:rsidR="00891023" w:rsidRPr="00FE3045" w:rsidRDefault="00891023" w:rsidP="00020B14">
            <w:pPr>
              <w:tabs>
                <w:tab w:val="left" w:pos="0"/>
              </w:tabs>
              <w:rPr>
                <w:color w:val="000000"/>
                <w:sz w:val="22"/>
                <w:szCs w:val="22"/>
                <w:lang w:val="en-GB" w:eastAsia="fr-FR"/>
              </w:rPr>
            </w:pPr>
          </w:p>
        </w:tc>
      </w:tr>
      <w:tr w:rsidR="00FC5744" w:rsidRPr="001360A5" w14:paraId="3A9F6E48"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3031085" w14:textId="49E0937F" w:rsidR="00891023" w:rsidRPr="00FE3045" w:rsidRDefault="00891023" w:rsidP="00020B14">
            <w:pPr>
              <w:tabs>
                <w:tab w:val="left" w:pos="0"/>
              </w:tabs>
              <w:ind w:left="-96"/>
              <w:rPr>
                <w:rFonts w:ascii="Verdana" w:hAnsi="Verdana"/>
                <w:color w:val="000000"/>
                <w:sz w:val="22"/>
                <w:szCs w:val="22"/>
                <w:lang w:val="en-GB" w:eastAsia="fr-FR"/>
              </w:rPr>
            </w:pPr>
            <w:r w:rsidRPr="00D46B4C">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679D9E4C" w14:textId="143B4763" w:rsidR="00891023" w:rsidRPr="006241BF" w:rsidRDefault="00891023" w:rsidP="00020B14">
            <w:pPr>
              <w:tabs>
                <w:tab w:val="left" w:pos="0"/>
              </w:tabs>
              <w:rPr>
                <w:rFonts w:ascii="Verdana" w:hAnsi="Verdana"/>
                <w:color w:val="000000"/>
                <w:sz w:val="22"/>
                <w:szCs w:val="22"/>
                <w:lang w:val="en-GB" w:eastAsia="fr-FR"/>
              </w:rPr>
            </w:pPr>
            <w:r w:rsidRPr="00D46B4C">
              <w:rPr>
                <w:rFonts w:ascii="Verdana" w:hAnsi="Verdana"/>
                <w:color w:val="7F7F7F" w:themeColor="text1" w:themeTint="80"/>
                <w:sz w:val="22"/>
                <w:szCs w:val="22"/>
              </w:rPr>
              <w:t>296</w:t>
            </w:r>
          </w:p>
        </w:tc>
        <w:tc>
          <w:tcPr>
            <w:tcW w:w="1999" w:type="pct"/>
            <w:tcBorders>
              <w:top w:val="single" w:sz="4" w:space="0" w:color="auto"/>
              <w:left w:val="single" w:sz="4" w:space="0" w:color="auto"/>
              <w:bottom w:val="single" w:sz="4" w:space="0" w:color="auto"/>
              <w:right w:val="single" w:sz="4" w:space="0" w:color="auto"/>
            </w:tcBorders>
          </w:tcPr>
          <w:p w14:paraId="24CEC910" w14:textId="648E4AF6" w:rsidR="00891023" w:rsidRPr="000158FF" w:rsidRDefault="00891023" w:rsidP="00020B14">
            <w:pPr>
              <w:tabs>
                <w:tab w:val="left" w:pos="0"/>
              </w:tabs>
              <w:rPr>
                <w:rFonts w:ascii="Verdana" w:hAnsi="Verdana"/>
                <w:color w:val="000000"/>
                <w:sz w:val="22"/>
                <w:szCs w:val="22"/>
                <w:lang w:val="en-GB" w:eastAsia="fr-FR"/>
              </w:rPr>
            </w:pPr>
            <w:r w:rsidRPr="00D46B4C">
              <w:rPr>
                <w:rFonts w:ascii="Verdana" w:hAnsi="Verdana"/>
                <w:color w:val="7F7F7F" w:themeColor="text1" w:themeTint="80"/>
                <w:sz w:val="22"/>
                <w:szCs w:val="22"/>
                <w:lang w:val="en-US"/>
              </w:rPr>
              <w:t>EIOPA presents a case of pro-</w:t>
            </w:r>
            <w:r>
              <w:rPr>
                <w:rFonts w:ascii="Verdana" w:hAnsi="Verdana"/>
                <w:color w:val="7F7F7F" w:themeColor="text1" w:themeTint="80"/>
                <w:sz w:val="22"/>
                <w:szCs w:val="22"/>
                <w:lang w:val="en-US"/>
              </w:rPr>
              <w:t>cyclicality</w:t>
            </w:r>
            <w:r w:rsidRPr="00D46B4C">
              <w:rPr>
                <w:rFonts w:ascii="Verdana" w:hAnsi="Verdana"/>
                <w:color w:val="7F7F7F" w:themeColor="text1" w:themeTint="80"/>
                <w:sz w:val="22"/>
                <w:szCs w:val="22"/>
                <w:lang w:val="en-US"/>
              </w:rPr>
              <w:t xml:space="preserve"> with respect to the "search of yield". EIOPA </w:t>
            </w:r>
            <w:r>
              <w:rPr>
                <w:rFonts w:ascii="Verdana" w:hAnsi="Verdana"/>
                <w:color w:val="7F7F7F" w:themeColor="text1" w:themeTint="80"/>
                <w:sz w:val="22"/>
                <w:szCs w:val="22"/>
                <w:lang w:val="en-US"/>
              </w:rPr>
              <w:t>does not</w:t>
            </w:r>
            <w:r w:rsidRPr="00D46B4C">
              <w:rPr>
                <w:rFonts w:ascii="Verdana" w:hAnsi="Verdana"/>
                <w:color w:val="7F7F7F" w:themeColor="text1" w:themeTint="80"/>
                <w:sz w:val="22"/>
                <w:szCs w:val="22"/>
                <w:lang w:val="en-US"/>
              </w:rPr>
              <w:t xml:space="preserve"> mention</w:t>
            </w:r>
            <w:r>
              <w:rPr>
                <w:rFonts w:ascii="Verdana" w:hAnsi="Verdana"/>
                <w:color w:val="7F7F7F" w:themeColor="text1" w:themeTint="80"/>
                <w:sz w:val="22"/>
                <w:szCs w:val="22"/>
                <w:lang w:val="en-US"/>
              </w:rPr>
              <w:t xml:space="preserve"> however </w:t>
            </w:r>
            <w:r w:rsidRPr="00D46B4C">
              <w:rPr>
                <w:rFonts w:ascii="Verdana" w:hAnsi="Verdana"/>
                <w:color w:val="7F7F7F" w:themeColor="text1" w:themeTint="80"/>
                <w:sz w:val="22"/>
                <w:szCs w:val="22"/>
                <w:lang w:val="en-US"/>
              </w:rPr>
              <w:t xml:space="preserve">that </w:t>
            </w:r>
            <w:r>
              <w:rPr>
                <w:rFonts w:ascii="Verdana" w:hAnsi="Verdana"/>
                <w:color w:val="7F7F7F" w:themeColor="text1" w:themeTint="80"/>
                <w:sz w:val="22"/>
                <w:szCs w:val="22"/>
                <w:lang w:val="en-US"/>
              </w:rPr>
              <w:t>riskier</w:t>
            </w:r>
            <w:r w:rsidRPr="00D46B4C">
              <w:rPr>
                <w:rFonts w:ascii="Verdana" w:hAnsi="Verdana"/>
                <w:color w:val="7F7F7F" w:themeColor="text1" w:themeTint="80"/>
                <w:sz w:val="22"/>
                <w:szCs w:val="22"/>
                <w:lang w:val="en-US"/>
              </w:rPr>
              <w:t xml:space="preserve"> assets imply higher capital requirements. The insurer’s decision to invest </w:t>
            </w:r>
            <w:r>
              <w:rPr>
                <w:rFonts w:ascii="Verdana" w:hAnsi="Verdana"/>
                <w:color w:val="7F7F7F" w:themeColor="text1" w:themeTint="80"/>
                <w:sz w:val="22"/>
                <w:szCs w:val="22"/>
                <w:lang w:val="en-US"/>
              </w:rPr>
              <w:t xml:space="preserve">in certain assets </w:t>
            </w:r>
            <w:r w:rsidRPr="00D46B4C">
              <w:rPr>
                <w:rFonts w:ascii="Verdana" w:hAnsi="Verdana"/>
                <w:color w:val="7F7F7F" w:themeColor="text1" w:themeTint="80"/>
                <w:sz w:val="22"/>
                <w:szCs w:val="22"/>
                <w:lang w:val="en-US"/>
              </w:rPr>
              <w:t xml:space="preserve">is based on a risk/return </w:t>
            </w:r>
            <w:r>
              <w:rPr>
                <w:rFonts w:ascii="Verdana" w:hAnsi="Verdana"/>
                <w:color w:val="7F7F7F" w:themeColor="text1" w:themeTint="80"/>
                <w:sz w:val="22"/>
                <w:szCs w:val="22"/>
                <w:lang w:val="en-US"/>
              </w:rPr>
              <w:t xml:space="preserve">trade-off </w:t>
            </w:r>
            <w:r w:rsidRPr="00D46B4C">
              <w:rPr>
                <w:rFonts w:ascii="Verdana" w:hAnsi="Verdana"/>
                <w:color w:val="7F7F7F" w:themeColor="text1" w:themeTint="80"/>
                <w:sz w:val="22"/>
                <w:szCs w:val="22"/>
                <w:lang w:val="en-US"/>
              </w:rPr>
              <w:t xml:space="preserve">and not on the VA. </w:t>
            </w:r>
            <w:r>
              <w:rPr>
                <w:rFonts w:ascii="Verdana" w:hAnsi="Verdana"/>
                <w:color w:val="7F7F7F" w:themeColor="text1" w:themeTint="80"/>
                <w:sz w:val="22"/>
                <w:szCs w:val="22"/>
                <w:lang w:val="en-US"/>
              </w:rPr>
              <w:t xml:space="preserve">Moreover, </w:t>
            </w:r>
            <w:r w:rsidRPr="00D46B4C">
              <w:rPr>
                <w:rFonts w:ascii="Verdana" w:hAnsi="Verdana"/>
                <w:color w:val="7F7F7F" w:themeColor="text1" w:themeTint="80"/>
                <w:sz w:val="22"/>
                <w:szCs w:val="22"/>
                <w:lang w:val="en-US"/>
              </w:rPr>
              <w:t>insurers invest on a going concern basis</w:t>
            </w:r>
            <w:r>
              <w:rPr>
                <w:rFonts w:ascii="Verdana" w:hAnsi="Verdana"/>
                <w:color w:val="7F7F7F" w:themeColor="text1" w:themeTint="80"/>
                <w:sz w:val="22"/>
                <w:szCs w:val="22"/>
                <w:lang w:val="en-US"/>
              </w:rPr>
              <w:t xml:space="preserve"> and t</w:t>
            </w:r>
            <w:r w:rsidRPr="00D46B4C">
              <w:rPr>
                <w:rFonts w:ascii="Verdana" w:hAnsi="Verdana"/>
                <w:color w:val="7F7F7F" w:themeColor="text1" w:themeTint="80"/>
                <w:sz w:val="22"/>
                <w:szCs w:val="22"/>
                <w:lang w:val="en-US"/>
              </w:rPr>
              <w:t>he procyclical effect mentioned by EIOPA is somewhat far-fetched.</w:t>
            </w:r>
          </w:p>
        </w:tc>
        <w:tc>
          <w:tcPr>
            <w:tcW w:w="483" w:type="pct"/>
            <w:tcBorders>
              <w:top w:val="single" w:sz="4" w:space="0" w:color="auto"/>
              <w:left w:val="single" w:sz="4" w:space="0" w:color="auto"/>
              <w:bottom w:val="single" w:sz="4" w:space="0" w:color="auto"/>
              <w:right w:val="single" w:sz="4" w:space="0" w:color="auto"/>
            </w:tcBorders>
          </w:tcPr>
          <w:p w14:paraId="2C044387" w14:textId="77777777" w:rsidR="00891023" w:rsidRPr="00FE3045" w:rsidRDefault="00891023" w:rsidP="00020B14">
            <w:pPr>
              <w:tabs>
                <w:tab w:val="left" w:pos="0"/>
              </w:tabs>
              <w:rPr>
                <w:color w:val="000000"/>
                <w:sz w:val="22"/>
                <w:szCs w:val="22"/>
                <w:lang w:val="en-GB" w:eastAsia="fr-FR"/>
              </w:rPr>
            </w:pPr>
          </w:p>
        </w:tc>
      </w:tr>
      <w:tr w:rsidR="00FC5744" w:rsidRPr="00196D7B" w14:paraId="3AD59F0F"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208C3D9" w14:textId="46807A4C" w:rsidR="00891023" w:rsidRPr="00D46B4C" w:rsidRDefault="00891023" w:rsidP="00020B14">
            <w:pPr>
              <w:tabs>
                <w:tab w:val="left" w:pos="0"/>
              </w:tabs>
              <w:ind w:left="-96"/>
              <w:rPr>
                <w:rFonts w:ascii="Verdana" w:hAnsi="Verdana"/>
                <w:color w:val="7F7F7F" w:themeColor="text1" w:themeTint="80"/>
                <w:sz w:val="22"/>
                <w:szCs w:val="22"/>
                <w:lang w:val="en-GB" w:eastAsia="fr-FR"/>
              </w:rPr>
            </w:pPr>
            <w:r w:rsidRPr="00D46B4C">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354E384B" w14:textId="412E5AE2" w:rsidR="00891023" w:rsidRPr="00D46B4C" w:rsidRDefault="00891023" w:rsidP="00020B14">
            <w:pPr>
              <w:tabs>
                <w:tab w:val="left" w:pos="0"/>
              </w:tabs>
              <w:rPr>
                <w:rFonts w:ascii="Verdana" w:hAnsi="Verdana"/>
                <w:color w:val="7F7F7F" w:themeColor="text1" w:themeTint="80"/>
                <w:sz w:val="22"/>
                <w:szCs w:val="22"/>
                <w:lang w:val="en-GB" w:eastAsia="fr-FR"/>
              </w:rPr>
            </w:pPr>
            <w:r w:rsidRPr="00D46B4C">
              <w:rPr>
                <w:rFonts w:ascii="Verdana" w:hAnsi="Verdana"/>
                <w:color w:val="7F7F7F" w:themeColor="text1" w:themeTint="80"/>
                <w:sz w:val="22"/>
                <w:szCs w:val="22"/>
              </w:rPr>
              <w:t>297</w:t>
            </w:r>
          </w:p>
        </w:tc>
        <w:tc>
          <w:tcPr>
            <w:tcW w:w="1999" w:type="pct"/>
            <w:tcBorders>
              <w:top w:val="single" w:sz="4" w:space="0" w:color="auto"/>
              <w:left w:val="single" w:sz="4" w:space="0" w:color="auto"/>
              <w:bottom w:val="single" w:sz="4" w:space="0" w:color="auto"/>
              <w:right w:val="single" w:sz="4" w:space="0" w:color="auto"/>
            </w:tcBorders>
          </w:tcPr>
          <w:p w14:paraId="14D274A2" w14:textId="5339AD40" w:rsidR="00891023" w:rsidRPr="000158FF" w:rsidRDefault="00891023" w:rsidP="00020B14">
            <w:pPr>
              <w:tabs>
                <w:tab w:val="left" w:pos="0"/>
              </w:tabs>
              <w:rPr>
                <w:rFonts w:ascii="Verdana" w:hAnsi="Verdana"/>
                <w:color w:val="000000"/>
                <w:sz w:val="22"/>
                <w:szCs w:val="22"/>
                <w:lang w:val="en-GB" w:eastAsia="fr-FR"/>
              </w:rPr>
            </w:pPr>
            <w:r w:rsidRPr="00001686">
              <w:rPr>
                <w:rFonts w:ascii="Verdana" w:hAnsi="Verdana"/>
                <w:color w:val="7F7F7F" w:themeColor="text1" w:themeTint="80"/>
                <w:sz w:val="22"/>
                <w:szCs w:val="22"/>
                <w:lang w:val="en-US"/>
              </w:rPr>
              <w:t>See comment above</w:t>
            </w:r>
          </w:p>
        </w:tc>
        <w:tc>
          <w:tcPr>
            <w:tcW w:w="483" w:type="pct"/>
            <w:tcBorders>
              <w:top w:val="single" w:sz="4" w:space="0" w:color="auto"/>
              <w:left w:val="single" w:sz="4" w:space="0" w:color="auto"/>
              <w:bottom w:val="single" w:sz="4" w:space="0" w:color="auto"/>
              <w:right w:val="single" w:sz="4" w:space="0" w:color="auto"/>
            </w:tcBorders>
          </w:tcPr>
          <w:p w14:paraId="68D12717" w14:textId="77777777" w:rsidR="00891023" w:rsidRPr="00FE3045" w:rsidRDefault="00891023" w:rsidP="00020B14">
            <w:pPr>
              <w:tabs>
                <w:tab w:val="left" w:pos="0"/>
              </w:tabs>
              <w:rPr>
                <w:color w:val="000000"/>
                <w:sz w:val="22"/>
                <w:szCs w:val="22"/>
                <w:lang w:val="en-GB" w:eastAsia="fr-FR"/>
              </w:rPr>
            </w:pPr>
          </w:p>
        </w:tc>
      </w:tr>
      <w:tr w:rsidR="00FC5744" w:rsidRPr="001360A5" w14:paraId="4822581E"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DD98CB1" w14:textId="40B6F923" w:rsidR="00891023" w:rsidRPr="00681E7F" w:rsidRDefault="00891023" w:rsidP="00020B14">
            <w:pPr>
              <w:tabs>
                <w:tab w:val="left" w:pos="0"/>
              </w:tabs>
              <w:ind w:left="-96"/>
              <w:rPr>
                <w:rFonts w:ascii="Verdana" w:hAnsi="Verdana"/>
                <w:color w:val="7F7F7F" w:themeColor="text1" w:themeTint="80"/>
                <w:sz w:val="22"/>
                <w:szCs w:val="22"/>
                <w:lang w:val="en-GB" w:eastAsia="fr-FR"/>
              </w:rPr>
            </w:pPr>
            <w:r w:rsidRPr="00681E7F">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6DF712C7" w14:textId="2A61799A" w:rsidR="00891023" w:rsidRPr="00681E7F" w:rsidRDefault="00891023" w:rsidP="00020B14">
            <w:pPr>
              <w:tabs>
                <w:tab w:val="left" w:pos="0"/>
              </w:tabs>
              <w:rPr>
                <w:rFonts w:ascii="Verdana" w:hAnsi="Verdana"/>
                <w:color w:val="7F7F7F" w:themeColor="text1" w:themeTint="80"/>
                <w:sz w:val="22"/>
                <w:szCs w:val="22"/>
                <w:lang w:val="en-GB" w:eastAsia="fr-FR"/>
              </w:rPr>
            </w:pPr>
            <w:r w:rsidRPr="00681E7F">
              <w:rPr>
                <w:rFonts w:ascii="Verdana" w:hAnsi="Verdana"/>
                <w:color w:val="7F7F7F" w:themeColor="text1" w:themeTint="80"/>
                <w:sz w:val="22"/>
                <w:szCs w:val="22"/>
              </w:rPr>
              <w:t>300</w:t>
            </w:r>
          </w:p>
        </w:tc>
        <w:tc>
          <w:tcPr>
            <w:tcW w:w="1999" w:type="pct"/>
            <w:tcBorders>
              <w:top w:val="single" w:sz="4" w:space="0" w:color="auto"/>
              <w:left w:val="single" w:sz="4" w:space="0" w:color="auto"/>
              <w:bottom w:val="single" w:sz="4" w:space="0" w:color="auto"/>
              <w:right w:val="single" w:sz="4" w:space="0" w:color="auto"/>
            </w:tcBorders>
          </w:tcPr>
          <w:p w14:paraId="265EFA63" w14:textId="5202D3EB" w:rsidR="005C57B5" w:rsidRPr="001F7855" w:rsidRDefault="00891023" w:rsidP="00020B14">
            <w:pPr>
              <w:tabs>
                <w:tab w:val="left" w:pos="0"/>
              </w:tabs>
              <w:jc w:val="both"/>
              <w:rPr>
                <w:rFonts w:ascii="Verdana" w:hAnsi="Verdana"/>
                <w:color w:val="7F7F7F" w:themeColor="text1" w:themeTint="80"/>
                <w:sz w:val="22"/>
                <w:szCs w:val="22"/>
                <w:lang w:val="en-US"/>
              </w:rPr>
            </w:pPr>
            <w:r>
              <w:rPr>
                <w:rFonts w:ascii="Verdana" w:hAnsi="Verdana"/>
                <w:color w:val="7F7F7F" w:themeColor="text1" w:themeTint="80"/>
                <w:sz w:val="22"/>
                <w:szCs w:val="22"/>
                <w:lang w:val="en-US"/>
              </w:rPr>
              <w:t xml:space="preserve">EIOPA seems to indicate that the use of the VA </w:t>
            </w:r>
            <w:r w:rsidRPr="008C75BD">
              <w:rPr>
                <w:rFonts w:ascii="Verdana" w:hAnsi="Verdana"/>
                <w:color w:val="7F7F7F" w:themeColor="text1" w:themeTint="80"/>
                <w:sz w:val="22"/>
                <w:szCs w:val="22"/>
                <w:lang w:val="en-US"/>
              </w:rPr>
              <w:t xml:space="preserve">is contradictory with the market consistency principle since markets provide for only one value for a given financial instrument, otherwise arbitrage is possible. However, </w:t>
            </w:r>
            <w:r>
              <w:rPr>
                <w:rFonts w:ascii="Verdana" w:hAnsi="Verdana"/>
                <w:color w:val="7F7F7F" w:themeColor="text1" w:themeTint="80"/>
                <w:sz w:val="22"/>
                <w:szCs w:val="22"/>
                <w:lang w:val="en-US"/>
              </w:rPr>
              <w:t>R</w:t>
            </w:r>
            <w:r w:rsidRPr="00D46B4C">
              <w:rPr>
                <w:rFonts w:ascii="Verdana" w:hAnsi="Verdana"/>
                <w:color w:val="7F7F7F" w:themeColor="text1" w:themeTint="80"/>
                <w:sz w:val="22"/>
                <w:szCs w:val="22"/>
                <w:lang w:val="en-US"/>
              </w:rPr>
              <w:t>ecital 32 of the Directive 2014/51/EU clearly mention</w:t>
            </w:r>
            <w:r w:rsidRPr="00681E7F">
              <w:rPr>
                <w:rFonts w:ascii="Verdana" w:hAnsi="Verdana"/>
                <w:color w:val="7F7F7F" w:themeColor="text1" w:themeTint="80"/>
                <w:sz w:val="22"/>
                <w:szCs w:val="22"/>
                <w:lang w:val="en-US"/>
              </w:rPr>
              <w:t>s that</w:t>
            </w:r>
            <w:r w:rsidRPr="00D46B4C">
              <w:rPr>
                <w:rFonts w:ascii="Verdana" w:hAnsi="Verdana"/>
                <w:color w:val="7F7F7F" w:themeColor="text1" w:themeTint="80"/>
                <w:sz w:val="22"/>
                <w:szCs w:val="22"/>
                <w:lang w:val="en-US"/>
              </w:rPr>
              <w:t xml:space="preserve"> </w:t>
            </w:r>
            <w:r w:rsidRPr="00681E7F">
              <w:rPr>
                <w:rFonts w:ascii="Verdana" w:hAnsi="Verdana"/>
                <w:color w:val="7F7F7F" w:themeColor="text1" w:themeTint="80"/>
                <w:sz w:val="22"/>
                <w:szCs w:val="22"/>
                <w:lang w:val="en-US"/>
              </w:rPr>
              <w:t>i</w:t>
            </w:r>
            <w:r w:rsidRPr="00D46B4C">
              <w:rPr>
                <w:rFonts w:ascii="Verdana" w:hAnsi="Verdana"/>
                <w:color w:val="7F7F7F" w:themeColor="text1" w:themeTint="80"/>
                <w:sz w:val="22"/>
                <w:szCs w:val="22"/>
                <w:lang w:val="en-US"/>
              </w:rPr>
              <w:t xml:space="preserve">n order to prevent pro-cyclical investment behavior, insurance and reinsurance </w:t>
            </w:r>
            <w:r w:rsidRPr="00D46B4C">
              <w:rPr>
                <w:rFonts w:ascii="Verdana" w:hAnsi="Verdana"/>
                <w:color w:val="7F7F7F" w:themeColor="text1" w:themeTint="80"/>
                <w:sz w:val="22"/>
                <w:szCs w:val="22"/>
                <w:lang w:val="en-US"/>
              </w:rPr>
              <w:lastRenderedPageBreak/>
              <w:t>undertakings should be allowed to adjust the relevant risk-free interest rate term structure for the calculation of the best estimate of technical provisions to mitigate the effect of exaggerations of bond spreads.</w:t>
            </w:r>
            <w:r w:rsidR="005C57B5">
              <w:rPr>
                <w:rFonts w:ascii="Verdana" w:hAnsi="Verdana"/>
                <w:color w:val="FF0000"/>
                <w:sz w:val="22"/>
                <w:szCs w:val="22"/>
                <w:lang w:val="en-US"/>
              </w:rPr>
              <w:t xml:space="preserve"> </w:t>
            </w:r>
            <w:r w:rsidR="005C57B5" w:rsidRPr="001F7855">
              <w:rPr>
                <w:rFonts w:ascii="Verdana" w:hAnsi="Verdana"/>
                <w:color w:val="7F7F7F" w:themeColor="text1" w:themeTint="80"/>
                <w:sz w:val="22"/>
                <w:szCs w:val="22"/>
                <w:lang w:val="en-US"/>
              </w:rPr>
              <w:t>It is precisely to enhance the market consistent dynamics of the BE estimate valuation behavior with the one of the assets marked at market that the VA is needed.</w:t>
            </w:r>
          </w:p>
          <w:p w14:paraId="3A984A23" w14:textId="26596C22" w:rsidR="00891023" w:rsidRPr="000158FF" w:rsidRDefault="00891023" w:rsidP="00020B14">
            <w:pPr>
              <w:tabs>
                <w:tab w:val="left" w:pos="0"/>
              </w:tabs>
              <w:rPr>
                <w:rFonts w:ascii="Verdana" w:hAnsi="Verdana"/>
                <w:color w:val="00000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7F6105A4" w14:textId="4E70B4B6" w:rsidR="00891023" w:rsidRPr="00001686" w:rsidRDefault="00891023" w:rsidP="00020B14">
            <w:pPr>
              <w:tabs>
                <w:tab w:val="left" w:pos="0"/>
              </w:tabs>
              <w:rPr>
                <w:color w:val="000000"/>
                <w:sz w:val="22"/>
                <w:szCs w:val="22"/>
                <w:lang w:val="en-GB" w:eastAsia="fr-FR"/>
              </w:rPr>
            </w:pPr>
          </w:p>
        </w:tc>
      </w:tr>
      <w:tr w:rsidR="00FC5744" w:rsidRPr="001360A5" w14:paraId="1F0738AC"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707E60A" w14:textId="504FB60C" w:rsidR="00891023" w:rsidRPr="00D46B4C" w:rsidRDefault="00891023" w:rsidP="00020B14">
            <w:pPr>
              <w:tabs>
                <w:tab w:val="left" w:pos="0"/>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2510C9CD" w14:textId="5D5A86E6" w:rsidR="00891023" w:rsidRPr="00D46B4C" w:rsidRDefault="00891023" w:rsidP="00020B14">
            <w:pPr>
              <w:tabs>
                <w:tab w:val="left" w:pos="0"/>
              </w:tabs>
              <w:rPr>
                <w:rFonts w:ascii="Verdana" w:hAnsi="Verdana"/>
                <w:color w:val="7F7F7F" w:themeColor="text1" w:themeTint="80"/>
                <w:sz w:val="22"/>
                <w:szCs w:val="22"/>
              </w:rPr>
            </w:pPr>
            <w:r>
              <w:rPr>
                <w:rFonts w:ascii="Verdana" w:hAnsi="Verdana"/>
                <w:color w:val="7F7F7F" w:themeColor="text1" w:themeTint="80"/>
                <w:sz w:val="22"/>
                <w:szCs w:val="22"/>
              </w:rPr>
              <w:t>318</w:t>
            </w:r>
          </w:p>
        </w:tc>
        <w:tc>
          <w:tcPr>
            <w:tcW w:w="1999" w:type="pct"/>
            <w:tcBorders>
              <w:top w:val="single" w:sz="4" w:space="0" w:color="auto"/>
              <w:left w:val="single" w:sz="4" w:space="0" w:color="auto"/>
              <w:bottom w:val="single" w:sz="4" w:space="0" w:color="auto"/>
              <w:right w:val="single" w:sz="4" w:space="0" w:color="auto"/>
            </w:tcBorders>
          </w:tcPr>
          <w:p w14:paraId="0D8C788E" w14:textId="15E3374C" w:rsidR="00891023" w:rsidRPr="00440503" w:rsidRDefault="00891023" w:rsidP="00020B14">
            <w:pPr>
              <w:tabs>
                <w:tab w:val="left" w:pos="0"/>
              </w:tabs>
              <w:rPr>
                <w:rFonts w:ascii="Verdana" w:hAnsi="Verdana"/>
                <w:color w:val="7F7F7F" w:themeColor="text1" w:themeTint="80"/>
                <w:sz w:val="22"/>
                <w:szCs w:val="22"/>
                <w:lang w:val="en-US"/>
              </w:rPr>
            </w:pPr>
            <w:r w:rsidRPr="00440503">
              <w:rPr>
                <w:rFonts w:ascii="Verdana" w:hAnsi="Verdana"/>
                <w:color w:val="7F7F7F" w:themeColor="text1" w:themeTint="80"/>
                <w:sz w:val="22"/>
                <w:szCs w:val="22"/>
                <w:lang w:val="en-US"/>
              </w:rPr>
              <w:t xml:space="preserve">For mortgage loans there should be a separate treatment (see comment </w:t>
            </w:r>
            <w:r>
              <w:rPr>
                <w:rFonts w:ascii="Verdana" w:hAnsi="Verdana"/>
                <w:color w:val="7F7F7F" w:themeColor="text1" w:themeTint="80"/>
                <w:sz w:val="22"/>
                <w:szCs w:val="22"/>
                <w:lang w:val="en-US"/>
              </w:rPr>
              <w:t>to</w:t>
            </w:r>
            <w:r w:rsidRPr="00440503">
              <w:rPr>
                <w:rFonts w:ascii="Verdana" w:hAnsi="Verdana"/>
                <w:color w:val="7F7F7F" w:themeColor="text1" w:themeTint="80"/>
                <w:sz w:val="22"/>
                <w:szCs w:val="22"/>
                <w:lang w:val="en-US"/>
              </w:rPr>
              <w:t xml:space="preserve"> para</w:t>
            </w:r>
            <w:r>
              <w:rPr>
                <w:rFonts w:ascii="Verdana" w:hAnsi="Verdana"/>
                <w:color w:val="7F7F7F" w:themeColor="text1" w:themeTint="80"/>
                <w:sz w:val="22"/>
                <w:szCs w:val="22"/>
                <w:lang w:val="en-US"/>
              </w:rPr>
              <w:t>graph</w:t>
            </w:r>
            <w:r w:rsidRPr="00440503">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2.</w:t>
            </w:r>
            <w:r w:rsidRPr="00440503">
              <w:rPr>
                <w:rFonts w:ascii="Verdana" w:hAnsi="Verdana"/>
                <w:color w:val="7F7F7F" w:themeColor="text1" w:themeTint="80"/>
                <w:sz w:val="22"/>
                <w:szCs w:val="22"/>
                <w:lang w:val="en-US"/>
              </w:rPr>
              <w:t>260)</w:t>
            </w:r>
          </w:p>
          <w:p w14:paraId="101A91D8" w14:textId="77777777" w:rsidR="00891023" w:rsidRPr="00001686" w:rsidRDefault="00891023" w:rsidP="00020B14">
            <w:pPr>
              <w:tabs>
                <w:tab w:val="left" w:pos="0"/>
              </w:tabs>
              <w:rPr>
                <w:rFonts w:ascii="Verdana" w:hAnsi="Verdana"/>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6659D32C" w14:textId="77777777" w:rsidR="00891023" w:rsidRPr="00FE3045" w:rsidRDefault="00891023" w:rsidP="00020B14">
            <w:pPr>
              <w:tabs>
                <w:tab w:val="left" w:pos="0"/>
              </w:tabs>
              <w:rPr>
                <w:color w:val="000000"/>
                <w:sz w:val="22"/>
                <w:szCs w:val="22"/>
                <w:lang w:val="en-GB" w:eastAsia="fr-FR"/>
              </w:rPr>
            </w:pPr>
          </w:p>
        </w:tc>
      </w:tr>
      <w:tr w:rsidR="00FC5744" w:rsidRPr="001360A5" w14:paraId="6E897DED"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5525DE4" w14:textId="16F44462" w:rsidR="00891023" w:rsidRPr="00D46B4C" w:rsidRDefault="00891023" w:rsidP="00020B14">
            <w:pPr>
              <w:tabs>
                <w:tab w:val="left" w:pos="0"/>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13E8B252" w14:textId="17EBD280" w:rsidR="00891023" w:rsidRPr="00D46B4C" w:rsidRDefault="00891023" w:rsidP="00020B14">
            <w:pPr>
              <w:tabs>
                <w:tab w:val="left" w:pos="0"/>
              </w:tabs>
              <w:rPr>
                <w:rFonts w:ascii="Verdana" w:hAnsi="Verdana"/>
                <w:color w:val="7F7F7F" w:themeColor="text1" w:themeTint="80"/>
                <w:sz w:val="22"/>
                <w:szCs w:val="22"/>
              </w:rPr>
            </w:pPr>
            <w:r>
              <w:rPr>
                <w:rFonts w:ascii="Verdana" w:hAnsi="Verdana"/>
                <w:color w:val="7F7F7F" w:themeColor="text1" w:themeTint="80"/>
                <w:sz w:val="22"/>
                <w:szCs w:val="22"/>
              </w:rPr>
              <w:t>320</w:t>
            </w:r>
          </w:p>
        </w:tc>
        <w:tc>
          <w:tcPr>
            <w:tcW w:w="1999" w:type="pct"/>
            <w:tcBorders>
              <w:top w:val="single" w:sz="4" w:space="0" w:color="auto"/>
              <w:left w:val="single" w:sz="4" w:space="0" w:color="auto"/>
              <w:bottom w:val="single" w:sz="4" w:space="0" w:color="auto"/>
              <w:right w:val="single" w:sz="4" w:space="0" w:color="auto"/>
            </w:tcBorders>
          </w:tcPr>
          <w:p w14:paraId="11220966" w14:textId="36BA4C67" w:rsidR="00891023" w:rsidRPr="00440503" w:rsidRDefault="00891023" w:rsidP="00020B14">
            <w:pPr>
              <w:tabs>
                <w:tab w:val="left" w:pos="0"/>
              </w:tabs>
              <w:rPr>
                <w:rFonts w:ascii="Verdana" w:hAnsi="Verdana"/>
                <w:color w:val="7F7F7F" w:themeColor="text1" w:themeTint="80"/>
                <w:sz w:val="22"/>
                <w:szCs w:val="22"/>
                <w:lang w:val="en-US"/>
              </w:rPr>
            </w:pPr>
            <w:r w:rsidRPr="00440503">
              <w:rPr>
                <w:rFonts w:ascii="Verdana" w:hAnsi="Verdana"/>
                <w:color w:val="7F7F7F" w:themeColor="text1" w:themeTint="80"/>
                <w:sz w:val="22"/>
                <w:szCs w:val="22"/>
                <w:lang w:val="en-US"/>
              </w:rPr>
              <w:t xml:space="preserve">See our comments at </w:t>
            </w:r>
            <w:r w:rsidR="00185035">
              <w:rPr>
                <w:rFonts w:ascii="Verdana" w:hAnsi="Verdana"/>
                <w:color w:val="7F7F7F" w:themeColor="text1" w:themeTint="80"/>
                <w:sz w:val="22"/>
                <w:szCs w:val="22"/>
                <w:lang w:val="en-US"/>
              </w:rPr>
              <w:t>O</w:t>
            </w:r>
            <w:r w:rsidRPr="00440503">
              <w:rPr>
                <w:rFonts w:ascii="Verdana" w:hAnsi="Verdana"/>
                <w:color w:val="7F7F7F" w:themeColor="text1" w:themeTint="80"/>
                <w:sz w:val="22"/>
                <w:szCs w:val="22"/>
                <w:lang w:val="en-US"/>
              </w:rPr>
              <w:t>ption 6</w:t>
            </w:r>
          </w:p>
          <w:p w14:paraId="610DB9FF" w14:textId="77777777" w:rsidR="00891023" w:rsidRPr="00001686" w:rsidRDefault="00891023" w:rsidP="00020B14">
            <w:pPr>
              <w:tabs>
                <w:tab w:val="left" w:pos="0"/>
              </w:tabs>
              <w:rPr>
                <w:rFonts w:ascii="Verdana" w:hAnsi="Verdana"/>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66A54D0B" w14:textId="77777777" w:rsidR="00891023" w:rsidRPr="00FE3045" w:rsidRDefault="00891023" w:rsidP="00020B14">
            <w:pPr>
              <w:tabs>
                <w:tab w:val="left" w:pos="0"/>
              </w:tabs>
              <w:rPr>
                <w:color w:val="000000"/>
                <w:sz w:val="22"/>
                <w:szCs w:val="22"/>
                <w:lang w:val="en-GB" w:eastAsia="fr-FR"/>
              </w:rPr>
            </w:pPr>
          </w:p>
        </w:tc>
      </w:tr>
      <w:tr w:rsidR="00FC5744" w:rsidRPr="001360A5" w14:paraId="70E5A5B5"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89B5455" w14:textId="3A614593" w:rsidR="00891023" w:rsidRPr="00D46B4C" w:rsidRDefault="00891023" w:rsidP="00020B14">
            <w:pPr>
              <w:tabs>
                <w:tab w:val="left" w:pos="0"/>
              </w:tabs>
              <w:ind w:left="-96"/>
              <w:rPr>
                <w:rFonts w:ascii="Verdana" w:hAnsi="Verdana"/>
                <w:color w:val="7F7F7F" w:themeColor="text1" w:themeTint="80"/>
                <w:sz w:val="22"/>
                <w:szCs w:val="22"/>
                <w:lang w:val="en-GB" w:eastAsia="fr-FR"/>
              </w:rPr>
            </w:pPr>
            <w:r w:rsidRPr="00D46B4C">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29FF2E20" w14:textId="7882D931" w:rsidR="00891023" w:rsidRPr="00D46B4C" w:rsidRDefault="00891023" w:rsidP="00020B14">
            <w:pPr>
              <w:tabs>
                <w:tab w:val="left" w:pos="0"/>
              </w:tabs>
              <w:rPr>
                <w:rFonts w:ascii="Verdana" w:hAnsi="Verdana"/>
                <w:color w:val="7F7F7F" w:themeColor="text1" w:themeTint="80"/>
                <w:sz w:val="22"/>
                <w:szCs w:val="22"/>
                <w:lang w:val="en-GB" w:eastAsia="fr-FR"/>
              </w:rPr>
            </w:pPr>
            <w:r w:rsidRPr="00D46B4C">
              <w:rPr>
                <w:rFonts w:ascii="Verdana" w:hAnsi="Verdana"/>
                <w:color w:val="7F7F7F" w:themeColor="text1" w:themeTint="80"/>
                <w:sz w:val="22"/>
                <w:szCs w:val="22"/>
              </w:rPr>
              <w:t>324</w:t>
            </w:r>
          </w:p>
        </w:tc>
        <w:tc>
          <w:tcPr>
            <w:tcW w:w="1999" w:type="pct"/>
            <w:tcBorders>
              <w:top w:val="single" w:sz="4" w:space="0" w:color="auto"/>
              <w:left w:val="single" w:sz="4" w:space="0" w:color="auto"/>
              <w:bottom w:val="single" w:sz="4" w:space="0" w:color="auto"/>
              <w:right w:val="single" w:sz="4" w:space="0" w:color="auto"/>
            </w:tcBorders>
          </w:tcPr>
          <w:p w14:paraId="48579CFF" w14:textId="440AF55F" w:rsidR="00891023" w:rsidRDefault="00891023" w:rsidP="00020B14">
            <w:pPr>
              <w:tabs>
                <w:tab w:val="left" w:pos="0"/>
              </w:tabs>
              <w:rPr>
                <w:rFonts w:ascii="Verdana" w:hAnsi="Verdana"/>
                <w:color w:val="7F7F7F" w:themeColor="text1" w:themeTint="80"/>
                <w:sz w:val="22"/>
                <w:szCs w:val="22"/>
                <w:lang w:val="en-US"/>
              </w:rPr>
            </w:pPr>
            <w:r w:rsidRPr="00001686">
              <w:rPr>
                <w:rFonts w:ascii="Verdana" w:hAnsi="Verdana"/>
                <w:color w:val="7F7F7F" w:themeColor="text1" w:themeTint="80"/>
                <w:sz w:val="22"/>
                <w:szCs w:val="22"/>
                <w:lang w:val="en-US"/>
              </w:rPr>
              <w:t xml:space="preserve">EIOPA states that regarding </w:t>
            </w:r>
            <w:r w:rsidR="003763F9">
              <w:rPr>
                <w:rFonts w:ascii="Verdana" w:hAnsi="Verdana"/>
                <w:color w:val="7F7F7F" w:themeColor="text1" w:themeTint="80"/>
                <w:sz w:val="22"/>
                <w:szCs w:val="22"/>
                <w:lang w:val="en-US"/>
              </w:rPr>
              <w:t>O</w:t>
            </w:r>
            <w:r w:rsidRPr="00001686">
              <w:rPr>
                <w:rFonts w:ascii="Verdana" w:hAnsi="Verdana"/>
                <w:color w:val="7F7F7F" w:themeColor="text1" w:themeTint="80"/>
                <w:sz w:val="22"/>
                <w:szCs w:val="22"/>
                <w:lang w:val="en-US"/>
              </w:rPr>
              <w:t>ption 1 – undertaking specific VA</w:t>
            </w:r>
            <w:r w:rsidRPr="004F5634">
              <w:rPr>
                <w:rFonts w:ascii="Verdana" w:hAnsi="Verdana"/>
                <w:i/>
                <w:iCs/>
                <w:color w:val="7F7F7F" w:themeColor="text1" w:themeTint="80"/>
                <w:sz w:val="22"/>
                <w:szCs w:val="22"/>
                <w:lang w:val="en-US"/>
              </w:rPr>
              <w:t xml:space="preserve"> </w:t>
            </w:r>
            <w:r>
              <w:rPr>
                <w:rFonts w:ascii="Verdana" w:hAnsi="Verdana"/>
                <w:i/>
                <w:iCs/>
                <w:color w:val="7F7F7F" w:themeColor="text1" w:themeTint="80"/>
                <w:sz w:val="22"/>
                <w:szCs w:val="22"/>
                <w:lang w:val="en-US"/>
              </w:rPr>
              <w:t>“</w:t>
            </w:r>
            <w:r w:rsidRPr="004F5634">
              <w:rPr>
                <w:rFonts w:ascii="Verdana" w:hAnsi="Verdana"/>
                <w:i/>
                <w:iCs/>
                <w:color w:val="7F7F7F" w:themeColor="text1" w:themeTint="80"/>
                <w:sz w:val="22"/>
                <w:szCs w:val="22"/>
                <w:lang w:val="en-US"/>
              </w:rPr>
              <w:t>thus there is no unique transfer value for undertakings with similar liabilities".</w:t>
            </w:r>
            <w:r w:rsidRPr="00001686">
              <w:rPr>
                <w:rFonts w:ascii="Verdana" w:hAnsi="Verdana"/>
                <w:color w:val="7F7F7F" w:themeColor="text1" w:themeTint="80"/>
                <w:sz w:val="22"/>
                <w:szCs w:val="22"/>
                <w:lang w:val="en-US"/>
              </w:rPr>
              <w:t xml:space="preserve"> However, in the transfer of an insurance liability, the third party is also able to use the VA and thus has a similar value. This should even be recognised in the value and calculation of the risk margin.</w:t>
            </w:r>
          </w:p>
          <w:p w14:paraId="6FA56A21" w14:textId="77777777" w:rsidR="00891023" w:rsidRDefault="00891023" w:rsidP="00020B14">
            <w:pPr>
              <w:tabs>
                <w:tab w:val="left" w:pos="0"/>
              </w:tabs>
              <w:rPr>
                <w:rFonts w:ascii="Verdana" w:hAnsi="Verdana"/>
                <w:color w:val="7F7F7F" w:themeColor="text1" w:themeTint="80"/>
                <w:sz w:val="22"/>
                <w:szCs w:val="22"/>
                <w:lang w:val="en-US"/>
              </w:rPr>
            </w:pPr>
          </w:p>
          <w:p w14:paraId="755A3391" w14:textId="79A68EB7" w:rsidR="00891023" w:rsidRDefault="00891023" w:rsidP="00020B14">
            <w:pPr>
              <w:tabs>
                <w:tab w:val="left" w:pos="0"/>
              </w:tabs>
              <w:rPr>
                <w:rFonts w:ascii="Verdana" w:hAnsi="Verdana"/>
                <w:color w:val="7F7F7F" w:themeColor="text1" w:themeTint="80"/>
                <w:sz w:val="22"/>
                <w:szCs w:val="22"/>
                <w:lang w:val="en-US"/>
              </w:rPr>
            </w:pPr>
            <w:r w:rsidRPr="003A6E48">
              <w:rPr>
                <w:rFonts w:ascii="Verdana" w:hAnsi="Verdana"/>
                <w:color w:val="7F7F7F" w:themeColor="text1" w:themeTint="80"/>
                <w:sz w:val="22"/>
                <w:szCs w:val="22"/>
                <w:lang w:val="en-US"/>
              </w:rPr>
              <w:t>Risky investment</w:t>
            </w:r>
            <w:r>
              <w:rPr>
                <w:rFonts w:ascii="Verdana" w:hAnsi="Verdana"/>
                <w:color w:val="7F7F7F" w:themeColor="text1" w:themeTint="80"/>
                <w:sz w:val="22"/>
                <w:szCs w:val="22"/>
                <w:lang w:val="en-US"/>
              </w:rPr>
              <w:t>s</w:t>
            </w:r>
            <w:r w:rsidRPr="003A6E48">
              <w:rPr>
                <w:rFonts w:ascii="Verdana" w:hAnsi="Verdana"/>
                <w:color w:val="7F7F7F" w:themeColor="text1" w:themeTint="80"/>
                <w:sz w:val="22"/>
                <w:szCs w:val="22"/>
                <w:lang w:val="en-US"/>
              </w:rPr>
              <w:t xml:space="preserve"> will probably provide a higher return and a higher VA; however, it will also result in a higher capital requirement. As long as this increased capital requirement will outweigh the benefits of the VA, the incentives will not be there as the surplus capital will decrease.</w:t>
            </w:r>
          </w:p>
          <w:p w14:paraId="3D995505" w14:textId="37E55E2A" w:rsidR="00891023" w:rsidRPr="000158FF" w:rsidRDefault="00891023" w:rsidP="00020B14">
            <w:pPr>
              <w:tabs>
                <w:tab w:val="left" w:pos="0"/>
              </w:tabs>
              <w:rPr>
                <w:rFonts w:ascii="Verdana" w:hAnsi="Verdana"/>
                <w:color w:val="00000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3E5F8106" w14:textId="77777777" w:rsidR="00891023" w:rsidRPr="00FE3045" w:rsidRDefault="00891023" w:rsidP="00020B14">
            <w:pPr>
              <w:tabs>
                <w:tab w:val="left" w:pos="0"/>
              </w:tabs>
              <w:rPr>
                <w:color w:val="000000"/>
                <w:sz w:val="22"/>
                <w:szCs w:val="22"/>
                <w:lang w:val="en-GB" w:eastAsia="fr-FR"/>
              </w:rPr>
            </w:pPr>
          </w:p>
        </w:tc>
      </w:tr>
      <w:tr w:rsidR="00FC5744" w:rsidRPr="001360A5" w14:paraId="05EF1A5A"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759C1AC" w14:textId="7332782B" w:rsidR="00891023" w:rsidRPr="00D46B4C" w:rsidRDefault="00891023" w:rsidP="00020B14">
            <w:pPr>
              <w:tabs>
                <w:tab w:val="left" w:pos="0"/>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69679576" w14:textId="774A1919" w:rsidR="00891023" w:rsidRPr="00D46B4C" w:rsidRDefault="00891023" w:rsidP="00020B14">
            <w:pPr>
              <w:tabs>
                <w:tab w:val="left" w:pos="0"/>
              </w:tabs>
              <w:rPr>
                <w:rFonts w:ascii="Verdana" w:hAnsi="Verdana"/>
                <w:color w:val="7F7F7F" w:themeColor="text1" w:themeTint="80"/>
                <w:sz w:val="22"/>
                <w:szCs w:val="22"/>
              </w:rPr>
            </w:pPr>
            <w:r>
              <w:rPr>
                <w:rFonts w:ascii="Verdana" w:hAnsi="Verdana"/>
                <w:color w:val="7F7F7F" w:themeColor="text1" w:themeTint="80"/>
                <w:sz w:val="22"/>
                <w:szCs w:val="22"/>
              </w:rPr>
              <w:t>325</w:t>
            </w:r>
          </w:p>
        </w:tc>
        <w:tc>
          <w:tcPr>
            <w:tcW w:w="1999" w:type="pct"/>
            <w:tcBorders>
              <w:top w:val="single" w:sz="4" w:space="0" w:color="auto"/>
              <w:left w:val="single" w:sz="4" w:space="0" w:color="auto"/>
              <w:bottom w:val="single" w:sz="4" w:space="0" w:color="auto"/>
              <w:right w:val="single" w:sz="4" w:space="0" w:color="auto"/>
            </w:tcBorders>
          </w:tcPr>
          <w:p w14:paraId="076A3431" w14:textId="113BF3CD" w:rsidR="00891023" w:rsidRPr="003A6E48" w:rsidRDefault="00891023" w:rsidP="00020B14">
            <w:pPr>
              <w:tabs>
                <w:tab w:val="left" w:pos="0"/>
              </w:tabs>
              <w:rPr>
                <w:rFonts w:ascii="Verdana" w:hAnsi="Verdana"/>
                <w:color w:val="7F7F7F" w:themeColor="text1" w:themeTint="80"/>
                <w:sz w:val="22"/>
                <w:szCs w:val="22"/>
                <w:lang w:val="en-US"/>
              </w:rPr>
            </w:pPr>
            <w:r w:rsidRPr="003A6E48">
              <w:rPr>
                <w:rFonts w:ascii="Verdana" w:hAnsi="Verdana"/>
                <w:color w:val="7F7F7F" w:themeColor="text1" w:themeTint="80"/>
                <w:sz w:val="22"/>
                <w:szCs w:val="22"/>
                <w:lang w:val="en-US"/>
              </w:rPr>
              <w:t>The safeguard as mentioned under a</w:t>
            </w:r>
            <w:r>
              <w:rPr>
                <w:rFonts w:ascii="Verdana" w:hAnsi="Verdana"/>
                <w:color w:val="7F7F7F" w:themeColor="text1" w:themeTint="80"/>
                <w:sz w:val="22"/>
                <w:szCs w:val="22"/>
                <w:lang w:val="en-US"/>
              </w:rPr>
              <w:t>)</w:t>
            </w:r>
            <w:r w:rsidRPr="003A6E48">
              <w:rPr>
                <w:rFonts w:ascii="Verdana" w:hAnsi="Verdana"/>
                <w:color w:val="7F7F7F" w:themeColor="text1" w:themeTint="80"/>
                <w:sz w:val="22"/>
                <w:szCs w:val="22"/>
                <w:lang w:val="en-US"/>
              </w:rPr>
              <w:t xml:space="preserve"> is treating any exposures below BBB as </w:t>
            </w:r>
            <w:r>
              <w:rPr>
                <w:rFonts w:ascii="Verdana" w:hAnsi="Verdana"/>
                <w:color w:val="7F7F7F" w:themeColor="text1" w:themeTint="80"/>
                <w:sz w:val="22"/>
                <w:szCs w:val="22"/>
                <w:lang w:val="en-US"/>
              </w:rPr>
              <w:t>risky</w:t>
            </w:r>
            <w:r w:rsidRPr="003A6E48">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We query h</w:t>
            </w:r>
            <w:r w:rsidRPr="003A6E48">
              <w:rPr>
                <w:rFonts w:ascii="Verdana" w:hAnsi="Verdana"/>
                <w:color w:val="7F7F7F" w:themeColor="text1" w:themeTint="80"/>
                <w:sz w:val="22"/>
                <w:szCs w:val="22"/>
                <w:lang w:val="en-US"/>
              </w:rPr>
              <w:t xml:space="preserve">ow this safeguard </w:t>
            </w:r>
            <w:r>
              <w:rPr>
                <w:rFonts w:ascii="Verdana" w:hAnsi="Verdana"/>
                <w:color w:val="7F7F7F" w:themeColor="text1" w:themeTint="80"/>
                <w:sz w:val="22"/>
                <w:szCs w:val="22"/>
                <w:lang w:val="en-US"/>
              </w:rPr>
              <w:t xml:space="preserve">is </w:t>
            </w:r>
            <w:r w:rsidRPr="003A6E48">
              <w:rPr>
                <w:rFonts w:ascii="Verdana" w:hAnsi="Verdana"/>
                <w:color w:val="7F7F7F" w:themeColor="text1" w:themeTint="80"/>
                <w:sz w:val="22"/>
                <w:szCs w:val="22"/>
                <w:lang w:val="en-US"/>
              </w:rPr>
              <w:t xml:space="preserve">used for non-rated investments. These can have a very well and established track record; </w:t>
            </w:r>
            <w:r>
              <w:rPr>
                <w:rFonts w:ascii="Verdana" w:hAnsi="Verdana"/>
                <w:color w:val="7F7F7F" w:themeColor="text1" w:themeTint="80"/>
                <w:sz w:val="22"/>
                <w:szCs w:val="22"/>
                <w:lang w:val="en-US"/>
              </w:rPr>
              <w:t xml:space="preserve">they </w:t>
            </w:r>
            <w:r w:rsidRPr="003A6E48">
              <w:rPr>
                <w:rFonts w:ascii="Verdana" w:hAnsi="Verdana"/>
                <w:color w:val="7F7F7F" w:themeColor="text1" w:themeTint="80"/>
                <w:sz w:val="22"/>
                <w:szCs w:val="22"/>
                <w:lang w:val="en-US"/>
              </w:rPr>
              <w:t xml:space="preserve">can </w:t>
            </w:r>
            <w:r>
              <w:rPr>
                <w:rFonts w:ascii="Verdana" w:hAnsi="Verdana"/>
                <w:color w:val="7F7F7F" w:themeColor="text1" w:themeTint="80"/>
                <w:sz w:val="22"/>
                <w:szCs w:val="22"/>
                <w:lang w:val="en-US"/>
              </w:rPr>
              <w:t xml:space="preserve">also </w:t>
            </w:r>
            <w:r w:rsidRPr="003A6E48">
              <w:rPr>
                <w:rFonts w:ascii="Verdana" w:hAnsi="Verdana"/>
                <w:color w:val="7F7F7F" w:themeColor="text1" w:themeTint="80"/>
                <w:sz w:val="22"/>
                <w:szCs w:val="22"/>
                <w:lang w:val="en-US"/>
              </w:rPr>
              <w:t xml:space="preserve">have a </w:t>
            </w:r>
            <w:r>
              <w:rPr>
                <w:rFonts w:ascii="Verdana" w:hAnsi="Verdana"/>
                <w:color w:val="7F7F7F" w:themeColor="text1" w:themeTint="80"/>
                <w:sz w:val="22"/>
                <w:szCs w:val="22"/>
                <w:lang w:val="en-US"/>
              </w:rPr>
              <w:t xml:space="preserve">very good </w:t>
            </w:r>
            <w:r w:rsidRPr="003A6E48">
              <w:rPr>
                <w:rFonts w:ascii="Verdana" w:hAnsi="Verdana"/>
                <w:color w:val="7F7F7F" w:themeColor="text1" w:themeTint="80"/>
                <w:sz w:val="22"/>
                <w:szCs w:val="22"/>
                <w:lang w:val="en-US"/>
              </w:rPr>
              <w:t xml:space="preserve">default rate. This safeguard will have a negative bias towards those type of investments. The safeguard under </w:t>
            </w:r>
            <w:r w:rsidRPr="003A6E48">
              <w:rPr>
                <w:rFonts w:ascii="Verdana" w:hAnsi="Verdana"/>
                <w:color w:val="7F7F7F" w:themeColor="text1" w:themeTint="80"/>
                <w:sz w:val="22"/>
                <w:szCs w:val="22"/>
                <w:lang w:val="en-US"/>
              </w:rPr>
              <w:lastRenderedPageBreak/>
              <w:t>a</w:t>
            </w:r>
            <w:r>
              <w:rPr>
                <w:rFonts w:ascii="Verdana" w:hAnsi="Verdana"/>
                <w:color w:val="7F7F7F" w:themeColor="text1" w:themeTint="80"/>
                <w:sz w:val="22"/>
                <w:szCs w:val="22"/>
                <w:lang w:val="en-US"/>
              </w:rPr>
              <w:t>)</w:t>
            </w:r>
            <w:r w:rsidRPr="003A6E48">
              <w:rPr>
                <w:rFonts w:ascii="Verdana" w:hAnsi="Verdana"/>
                <w:color w:val="7F7F7F" w:themeColor="text1" w:themeTint="80"/>
                <w:sz w:val="22"/>
                <w:szCs w:val="22"/>
                <w:lang w:val="en-US"/>
              </w:rPr>
              <w:t xml:space="preserve"> does not work well for countries where the CQS is already at this level</w:t>
            </w:r>
            <w:r>
              <w:rPr>
                <w:rFonts w:ascii="Verdana" w:hAnsi="Verdana"/>
                <w:color w:val="7F7F7F" w:themeColor="text1" w:themeTint="80"/>
                <w:sz w:val="22"/>
                <w:szCs w:val="22"/>
                <w:lang w:val="en-US"/>
              </w:rPr>
              <w:t>;</w:t>
            </w:r>
            <w:r w:rsidRPr="003A6E48">
              <w:rPr>
                <w:rFonts w:ascii="Verdana" w:hAnsi="Verdana"/>
                <w:color w:val="7F7F7F" w:themeColor="text1" w:themeTint="80"/>
                <w:sz w:val="22"/>
                <w:szCs w:val="22"/>
                <w:lang w:val="en-US"/>
              </w:rPr>
              <w:t xml:space="preserve"> Any CQS of individual exposures will be lower.</w:t>
            </w:r>
          </w:p>
          <w:p w14:paraId="45DDAFA0" w14:textId="07602AD7" w:rsidR="00891023" w:rsidRPr="00AF13F2" w:rsidRDefault="00891023" w:rsidP="00020B14">
            <w:pPr>
              <w:tabs>
                <w:tab w:val="left" w:pos="0"/>
              </w:tabs>
              <w:rPr>
                <w:rFonts w:ascii="Verdana" w:hAnsi="Verdana"/>
                <w:color w:val="7F7F7F" w:themeColor="text1" w:themeTint="80"/>
                <w:sz w:val="22"/>
                <w:szCs w:val="22"/>
                <w:lang w:val="en-US"/>
              </w:rPr>
            </w:pPr>
            <w:r w:rsidRPr="003A6E48">
              <w:rPr>
                <w:rFonts w:ascii="Verdana" w:hAnsi="Verdana"/>
                <w:color w:val="7F7F7F" w:themeColor="text1" w:themeTint="80"/>
                <w:sz w:val="22"/>
                <w:szCs w:val="22"/>
                <w:lang w:val="en-US"/>
              </w:rPr>
              <w:t xml:space="preserve">The safeguards as mentioned under (c) could be appropriate. However, we see no added value for </w:t>
            </w:r>
            <w:r>
              <w:rPr>
                <w:rFonts w:ascii="Verdana" w:hAnsi="Verdana"/>
                <w:color w:val="7F7F7F" w:themeColor="text1" w:themeTint="80"/>
                <w:sz w:val="22"/>
                <w:szCs w:val="22"/>
                <w:lang w:val="en-US"/>
              </w:rPr>
              <w:t xml:space="preserve">requesting </w:t>
            </w:r>
            <w:r w:rsidRPr="003A6E48">
              <w:rPr>
                <w:rFonts w:ascii="Verdana" w:hAnsi="Verdana"/>
                <w:color w:val="7F7F7F" w:themeColor="text1" w:themeTint="80"/>
                <w:sz w:val="22"/>
                <w:szCs w:val="22"/>
                <w:lang w:val="en-US"/>
              </w:rPr>
              <w:t xml:space="preserve">a disclosure in the SFCR. </w:t>
            </w:r>
            <w:r>
              <w:rPr>
                <w:rFonts w:ascii="Verdana" w:hAnsi="Verdana"/>
                <w:color w:val="7F7F7F" w:themeColor="text1" w:themeTint="80"/>
                <w:sz w:val="22"/>
                <w:szCs w:val="22"/>
                <w:lang w:val="en-US"/>
              </w:rPr>
              <w:t>Reporting the information</w:t>
            </w:r>
            <w:r w:rsidRPr="003A6E48">
              <w:rPr>
                <w:rFonts w:ascii="Verdana" w:hAnsi="Verdana"/>
                <w:color w:val="7F7F7F" w:themeColor="text1" w:themeTint="80"/>
                <w:sz w:val="22"/>
                <w:szCs w:val="22"/>
                <w:lang w:val="en-US"/>
              </w:rPr>
              <w:t xml:space="preserve"> to the supervisor</w:t>
            </w:r>
            <w:r>
              <w:rPr>
                <w:rFonts w:ascii="Verdana" w:hAnsi="Verdana"/>
                <w:color w:val="7F7F7F" w:themeColor="text1" w:themeTint="80"/>
                <w:sz w:val="22"/>
                <w:szCs w:val="22"/>
                <w:lang w:val="en-US"/>
              </w:rPr>
              <w:t>y authority only</w:t>
            </w:r>
            <w:r w:rsidRPr="003A6E48">
              <w:rPr>
                <w:rFonts w:ascii="Verdana" w:hAnsi="Verdana"/>
                <w:color w:val="7F7F7F" w:themeColor="text1" w:themeTint="80"/>
                <w:sz w:val="22"/>
                <w:szCs w:val="22"/>
                <w:lang w:val="en-US"/>
              </w:rPr>
              <w:t xml:space="preserve"> is deemed to be </w:t>
            </w:r>
            <w:r>
              <w:rPr>
                <w:rFonts w:ascii="Verdana" w:hAnsi="Verdana"/>
                <w:color w:val="7F7F7F" w:themeColor="text1" w:themeTint="80"/>
                <w:sz w:val="22"/>
                <w:szCs w:val="22"/>
                <w:lang w:val="en-US"/>
              </w:rPr>
              <w:t xml:space="preserve">more </w:t>
            </w:r>
            <w:r w:rsidRPr="003A6E48">
              <w:rPr>
                <w:rFonts w:ascii="Verdana" w:hAnsi="Verdana"/>
                <w:color w:val="7F7F7F" w:themeColor="text1" w:themeTint="80"/>
                <w:sz w:val="22"/>
                <w:szCs w:val="22"/>
                <w:lang w:val="en-US"/>
              </w:rPr>
              <w:t>appropriate.</w:t>
            </w:r>
          </w:p>
        </w:tc>
        <w:tc>
          <w:tcPr>
            <w:tcW w:w="483" w:type="pct"/>
            <w:tcBorders>
              <w:top w:val="single" w:sz="4" w:space="0" w:color="auto"/>
              <w:left w:val="single" w:sz="4" w:space="0" w:color="auto"/>
              <w:bottom w:val="single" w:sz="4" w:space="0" w:color="auto"/>
              <w:right w:val="single" w:sz="4" w:space="0" w:color="auto"/>
            </w:tcBorders>
          </w:tcPr>
          <w:p w14:paraId="64A76C35" w14:textId="77777777" w:rsidR="00891023" w:rsidRPr="00FE3045" w:rsidRDefault="00891023" w:rsidP="00020B14">
            <w:pPr>
              <w:tabs>
                <w:tab w:val="left" w:pos="0"/>
              </w:tabs>
              <w:rPr>
                <w:color w:val="000000"/>
                <w:sz w:val="22"/>
                <w:szCs w:val="22"/>
                <w:lang w:val="en-GB" w:eastAsia="fr-FR"/>
              </w:rPr>
            </w:pPr>
          </w:p>
        </w:tc>
      </w:tr>
      <w:tr w:rsidR="00FC5744" w:rsidRPr="006D7A5C" w14:paraId="5492F02F"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5130B7D" w14:textId="1CF6928F" w:rsidR="00891023" w:rsidRPr="00D46B4C" w:rsidRDefault="00891023" w:rsidP="00020B14">
            <w:pPr>
              <w:tabs>
                <w:tab w:val="left" w:pos="0"/>
              </w:tabs>
              <w:ind w:left="-96"/>
              <w:rPr>
                <w:rFonts w:ascii="Verdana" w:hAnsi="Verdana"/>
                <w:color w:val="7F7F7F" w:themeColor="text1" w:themeTint="80"/>
                <w:sz w:val="22"/>
                <w:szCs w:val="22"/>
                <w:lang w:val="en-GB" w:eastAsia="fr-FR"/>
              </w:rPr>
            </w:pPr>
            <w:r w:rsidRPr="00D46B4C">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36AC8244" w14:textId="4ED31B3F" w:rsidR="00891023" w:rsidRPr="00D46B4C" w:rsidRDefault="00891023" w:rsidP="00020B14">
            <w:pPr>
              <w:tabs>
                <w:tab w:val="left" w:pos="0"/>
              </w:tabs>
              <w:rPr>
                <w:rFonts w:ascii="Verdana" w:hAnsi="Verdana"/>
                <w:color w:val="7F7F7F" w:themeColor="text1" w:themeTint="80"/>
                <w:sz w:val="22"/>
                <w:szCs w:val="22"/>
                <w:lang w:val="en-GB" w:eastAsia="fr-FR"/>
              </w:rPr>
            </w:pPr>
            <w:r w:rsidRPr="00D46B4C">
              <w:rPr>
                <w:rFonts w:ascii="Verdana" w:hAnsi="Verdana"/>
                <w:color w:val="7F7F7F" w:themeColor="text1" w:themeTint="80"/>
                <w:sz w:val="22"/>
                <w:szCs w:val="22"/>
              </w:rPr>
              <w:t>325</w:t>
            </w:r>
          </w:p>
        </w:tc>
        <w:tc>
          <w:tcPr>
            <w:tcW w:w="1999" w:type="pct"/>
            <w:tcBorders>
              <w:top w:val="single" w:sz="4" w:space="0" w:color="auto"/>
              <w:left w:val="single" w:sz="4" w:space="0" w:color="auto"/>
              <w:bottom w:val="single" w:sz="4" w:space="0" w:color="auto"/>
              <w:right w:val="single" w:sz="4" w:space="0" w:color="auto"/>
            </w:tcBorders>
          </w:tcPr>
          <w:p w14:paraId="12C6BEBF" w14:textId="77941FFB" w:rsidR="00891023" w:rsidRPr="00395661" w:rsidRDefault="00891023" w:rsidP="00020B14">
            <w:pPr>
              <w:tabs>
                <w:tab w:val="left" w:pos="0"/>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In the assessment of "potential for wrong incentives", EIOPA</w:t>
            </w:r>
            <w:r w:rsidRPr="003720A2">
              <w:rPr>
                <w:rFonts w:ascii="Verdana" w:hAnsi="Verdana"/>
                <w:color w:val="7F7F7F" w:themeColor="text1" w:themeTint="80"/>
                <w:sz w:val="22"/>
                <w:szCs w:val="22"/>
                <w:lang w:val="en-US"/>
              </w:rPr>
              <w:t xml:space="preserve"> </w:t>
            </w:r>
            <w:r w:rsidRPr="00395661">
              <w:rPr>
                <w:rFonts w:ascii="Verdana" w:hAnsi="Verdana"/>
                <w:color w:val="7F7F7F" w:themeColor="text1" w:themeTint="80"/>
                <w:sz w:val="22"/>
                <w:szCs w:val="22"/>
                <w:lang w:val="en-US"/>
              </w:rPr>
              <w:t>should look at the already implemented Solvency II governance and risk management processes including the prudent person principle. EIOPA does not consider that insurers make investment decisions on multiple other elements rather than the VA alone; Insurers, who have a rating provided by an ECAI, will also have a different perspective when investing in riskier assets. This could impede their targeted rating.</w:t>
            </w:r>
          </w:p>
          <w:p w14:paraId="6D634D98" w14:textId="2411EE66" w:rsidR="00891023" w:rsidRPr="00395661" w:rsidRDefault="00891023" w:rsidP="00020B14">
            <w:pPr>
              <w:tabs>
                <w:tab w:val="left" w:pos="0"/>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Option 1 is presented in </w:t>
            </w:r>
            <w:r w:rsidR="00366457" w:rsidRPr="00395661">
              <w:rPr>
                <w:rFonts w:ascii="Verdana" w:hAnsi="Verdana"/>
                <w:color w:val="7F7F7F" w:themeColor="text1" w:themeTint="80"/>
                <w:sz w:val="22"/>
                <w:szCs w:val="22"/>
                <w:lang w:val="en-US"/>
              </w:rPr>
              <w:t>isolation;</w:t>
            </w:r>
            <w:r w:rsidRPr="00395661">
              <w:rPr>
                <w:rFonts w:ascii="Verdana" w:hAnsi="Verdana"/>
                <w:color w:val="7F7F7F" w:themeColor="text1" w:themeTint="80"/>
                <w:sz w:val="22"/>
                <w:szCs w:val="22"/>
                <w:lang w:val="en-US"/>
              </w:rPr>
              <w:t xml:space="preserve"> </w:t>
            </w:r>
            <w:r w:rsidR="00BA2731" w:rsidRPr="00395661">
              <w:rPr>
                <w:rFonts w:ascii="Verdana" w:hAnsi="Verdana"/>
                <w:color w:val="7F7F7F" w:themeColor="text1" w:themeTint="80"/>
                <w:sz w:val="22"/>
                <w:szCs w:val="22"/>
                <w:lang w:val="en-US"/>
              </w:rPr>
              <w:t>therefore,</w:t>
            </w:r>
            <w:r w:rsidRPr="00395661">
              <w:rPr>
                <w:rFonts w:ascii="Verdana" w:hAnsi="Verdana"/>
                <w:color w:val="7F7F7F" w:themeColor="text1" w:themeTint="80"/>
                <w:sz w:val="22"/>
                <w:szCs w:val="22"/>
                <w:lang w:val="en-US"/>
              </w:rPr>
              <w:t xml:space="preserve"> another safeguard is difficult to present in this section. See the answer to Question 2.5.</w:t>
            </w:r>
          </w:p>
          <w:p w14:paraId="130E4BF7" w14:textId="47F81191" w:rsidR="00891023" w:rsidRPr="00CF2245" w:rsidRDefault="00891023" w:rsidP="00020B14">
            <w:pPr>
              <w:tabs>
                <w:tab w:val="left" w:pos="0"/>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2684ED5E" w14:textId="77777777" w:rsidR="00891023" w:rsidRPr="00CF2245" w:rsidRDefault="00891023" w:rsidP="00020B14">
            <w:pPr>
              <w:tabs>
                <w:tab w:val="left" w:pos="0"/>
              </w:tabs>
              <w:rPr>
                <w:color w:val="7F7F7F" w:themeColor="text1" w:themeTint="80"/>
                <w:sz w:val="22"/>
                <w:szCs w:val="22"/>
                <w:lang w:val="en-GB" w:eastAsia="fr-FR"/>
              </w:rPr>
            </w:pPr>
          </w:p>
        </w:tc>
      </w:tr>
      <w:tr w:rsidR="00FC5744" w:rsidRPr="001360A5" w14:paraId="60D29132"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4152E64" w14:textId="3003CDAF" w:rsidR="00891023" w:rsidRPr="00681E7F" w:rsidRDefault="00891023" w:rsidP="00020B14">
            <w:pPr>
              <w:tabs>
                <w:tab w:val="left" w:pos="0"/>
              </w:tabs>
              <w:ind w:left="-96"/>
              <w:rPr>
                <w:rFonts w:ascii="Verdana" w:hAnsi="Verdana"/>
                <w:color w:val="7F7F7F" w:themeColor="text1" w:themeTint="80"/>
                <w:sz w:val="22"/>
                <w:szCs w:val="22"/>
                <w:lang w:val="en-GB" w:eastAsia="fr-FR"/>
              </w:rPr>
            </w:pPr>
            <w:r w:rsidRPr="00681E7F">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5BA17AB5" w14:textId="13C90FD7" w:rsidR="00891023" w:rsidRPr="00681E7F" w:rsidRDefault="00891023" w:rsidP="00020B14">
            <w:pPr>
              <w:tabs>
                <w:tab w:val="left" w:pos="0"/>
              </w:tabs>
              <w:rPr>
                <w:rFonts w:ascii="Verdana" w:hAnsi="Verdana"/>
                <w:color w:val="7F7F7F" w:themeColor="text1" w:themeTint="80"/>
                <w:sz w:val="22"/>
                <w:szCs w:val="22"/>
                <w:lang w:val="en-GB" w:eastAsia="fr-FR"/>
              </w:rPr>
            </w:pPr>
            <w:r w:rsidRPr="00681E7F">
              <w:rPr>
                <w:rFonts w:ascii="Verdana" w:hAnsi="Verdana"/>
                <w:color w:val="7F7F7F" w:themeColor="text1" w:themeTint="80"/>
                <w:sz w:val="22"/>
                <w:szCs w:val="22"/>
              </w:rPr>
              <w:t>326</w:t>
            </w:r>
          </w:p>
        </w:tc>
        <w:tc>
          <w:tcPr>
            <w:tcW w:w="1999" w:type="pct"/>
            <w:tcBorders>
              <w:top w:val="single" w:sz="4" w:space="0" w:color="auto"/>
              <w:left w:val="single" w:sz="4" w:space="0" w:color="auto"/>
              <w:bottom w:val="single" w:sz="4" w:space="0" w:color="auto"/>
              <w:right w:val="single" w:sz="4" w:space="0" w:color="auto"/>
            </w:tcBorders>
          </w:tcPr>
          <w:p w14:paraId="7B20EC4E" w14:textId="1A0D3D68" w:rsidR="00891023" w:rsidRPr="00395661" w:rsidRDefault="00891023" w:rsidP="00020B14">
            <w:pPr>
              <w:tabs>
                <w:tab w:val="left" w:pos="0"/>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The safeguards mentioned by EIOPA (especially the risk-correction) will have a pro-cyclical effect. The risk correction should have a relationship with the actual/expected default after the exaggeration of the spreads. Under (c) EIOPA mentions some safeguards, however EIOPA already collects on a frequent basis asset-by-asset information (QRT S06 02); we query why is this additional information needed. The NSA can already assess whether insurers comply with the prudent person principle, the ALM policies, their risk appetite statements and identify vulnerabilities which should be addressed</w:t>
            </w:r>
            <w:r w:rsidRPr="00CF2245">
              <w:rPr>
                <w:rFonts w:ascii="Verdana" w:hAnsi="Verdana"/>
                <w:color w:val="7F7F7F" w:themeColor="text1" w:themeTint="80"/>
                <w:sz w:val="22"/>
                <w:szCs w:val="22"/>
                <w:lang w:val="en-US"/>
              </w:rPr>
              <w:t>.</w:t>
            </w:r>
            <w:r w:rsidRPr="00395661">
              <w:rPr>
                <w:rFonts w:ascii="Verdana" w:hAnsi="Verdana"/>
                <w:color w:val="7F7F7F" w:themeColor="text1" w:themeTint="80"/>
                <w:sz w:val="22"/>
                <w:szCs w:val="22"/>
                <w:lang w:val="en-US"/>
              </w:rPr>
              <w:t xml:space="preserve"> </w:t>
            </w:r>
          </w:p>
          <w:p w14:paraId="5CED5D6D" w14:textId="41989A62" w:rsidR="00891023" w:rsidRPr="00395661" w:rsidRDefault="00891023"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US"/>
              </w:rPr>
              <w:t>No additional safeguards are therefore needed; following the supervisory dialogue between insurers and the supervisor should suffice.</w:t>
            </w:r>
          </w:p>
        </w:tc>
        <w:tc>
          <w:tcPr>
            <w:tcW w:w="483" w:type="pct"/>
            <w:tcBorders>
              <w:top w:val="single" w:sz="4" w:space="0" w:color="auto"/>
              <w:left w:val="single" w:sz="4" w:space="0" w:color="auto"/>
              <w:bottom w:val="single" w:sz="4" w:space="0" w:color="auto"/>
              <w:right w:val="single" w:sz="4" w:space="0" w:color="auto"/>
            </w:tcBorders>
          </w:tcPr>
          <w:p w14:paraId="1925F91D" w14:textId="5E9CCDCF" w:rsidR="00891023" w:rsidRPr="00CF2245" w:rsidRDefault="00891023" w:rsidP="00020B14">
            <w:pPr>
              <w:tabs>
                <w:tab w:val="left" w:pos="0"/>
              </w:tabs>
              <w:rPr>
                <w:color w:val="7F7F7F" w:themeColor="text1" w:themeTint="80"/>
                <w:sz w:val="22"/>
                <w:szCs w:val="22"/>
                <w:lang w:val="en-GB" w:eastAsia="fr-FR"/>
              </w:rPr>
            </w:pPr>
          </w:p>
        </w:tc>
      </w:tr>
      <w:tr w:rsidR="00FC5744" w:rsidRPr="001360A5" w14:paraId="706E70AA"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079FA43" w14:textId="11B42192" w:rsidR="00891023" w:rsidRPr="00F0251A" w:rsidRDefault="00891023" w:rsidP="00020B14">
            <w:pPr>
              <w:tabs>
                <w:tab w:val="left" w:pos="0"/>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lastRenderedPageBreak/>
              <w:t>2</w:t>
            </w:r>
          </w:p>
        </w:tc>
        <w:tc>
          <w:tcPr>
            <w:tcW w:w="506" w:type="pct"/>
            <w:gridSpan w:val="2"/>
            <w:tcBorders>
              <w:top w:val="single" w:sz="4" w:space="0" w:color="auto"/>
              <w:left w:val="single" w:sz="4" w:space="0" w:color="auto"/>
              <w:bottom w:val="single" w:sz="4" w:space="0" w:color="auto"/>
              <w:right w:val="single" w:sz="4" w:space="0" w:color="auto"/>
            </w:tcBorders>
          </w:tcPr>
          <w:p w14:paraId="1282DE32" w14:textId="3F2D35CF" w:rsidR="00891023" w:rsidRPr="00F0251A" w:rsidRDefault="00891023" w:rsidP="00020B14">
            <w:pPr>
              <w:tabs>
                <w:tab w:val="left" w:pos="0"/>
              </w:tabs>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327</w:t>
            </w:r>
          </w:p>
        </w:tc>
        <w:tc>
          <w:tcPr>
            <w:tcW w:w="1999" w:type="pct"/>
            <w:tcBorders>
              <w:top w:val="single" w:sz="4" w:space="0" w:color="auto"/>
              <w:left w:val="single" w:sz="4" w:space="0" w:color="auto"/>
              <w:bottom w:val="single" w:sz="4" w:space="0" w:color="auto"/>
              <w:right w:val="single" w:sz="4" w:space="0" w:color="auto"/>
            </w:tcBorders>
          </w:tcPr>
          <w:p w14:paraId="4192CF66" w14:textId="467C7D40" w:rsidR="00891023" w:rsidRPr="00395661" w:rsidRDefault="00891023"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The mechanism proposed by EIOPA assumes that the risk which should be captured by the RC is increasing progressively with the lower CQS (rating). This has never been the case. In times of crisis, the liquidity of the markets deteriorates; The trades in exposures with lower CQS will be the first to hit, and this in turn will drive the spreads upwards. This does not reflect the similar increase in defaults or possibility of defaults. The risk correction as proposed by EIOPA is used to other purposes than the purpose as described in article 77d (3) of the Directive. The current proposal will also have a negative bias towards non-rated exposures.</w:t>
            </w:r>
          </w:p>
        </w:tc>
        <w:tc>
          <w:tcPr>
            <w:tcW w:w="483" w:type="pct"/>
            <w:tcBorders>
              <w:top w:val="single" w:sz="4" w:space="0" w:color="auto"/>
              <w:left w:val="single" w:sz="4" w:space="0" w:color="auto"/>
              <w:bottom w:val="single" w:sz="4" w:space="0" w:color="auto"/>
              <w:right w:val="single" w:sz="4" w:space="0" w:color="auto"/>
            </w:tcBorders>
          </w:tcPr>
          <w:p w14:paraId="382B4E7A" w14:textId="77777777" w:rsidR="00891023" w:rsidRPr="00CF2245" w:rsidRDefault="00891023" w:rsidP="00020B14">
            <w:pPr>
              <w:tabs>
                <w:tab w:val="left" w:pos="0"/>
              </w:tabs>
              <w:rPr>
                <w:color w:val="7F7F7F" w:themeColor="text1" w:themeTint="80"/>
                <w:sz w:val="22"/>
                <w:szCs w:val="22"/>
                <w:lang w:val="en-GB" w:eastAsia="fr-FR"/>
              </w:rPr>
            </w:pPr>
          </w:p>
        </w:tc>
      </w:tr>
      <w:tr w:rsidR="00FC5744" w:rsidRPr="001360A5" w14:paraId="259FBC53"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C966642" w14:textId="7C088B80" w:rsidR="00891023" w:rsidRPr="00F0251A" w:rsidRDefault="00891023" w:rsidP="00020B14">
            <w:pPr>
              <w:tabs>
                <w:tab w:val="left" w:pos="0"/>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3</w:t>
            </w:r>
          </w:p>
        </w:tc>
        <w:tc>
          <w:tcPr>
            <w:tcW w:w="506" w:type="pct"/>
            <w:gridSpan w:val="2"/>
            <w:tcBorders>
              <w:top w:val="single" w:sz="4" w:space="0" w:color="auto"/>
              <w:left w:val="single" w:sz="4" w:space="0" w:color="auto"/>
              <w:bottom w:val="single" w:sz="4" w:space="0" w:color="auto"/>
              <w:right w:val="single" w:sz="4" w:space="0" w:color="auto"/>
            </w:tcBorders>
          </w:tcPr>
          <w:p w14:paraId="10DDE299" w14:textId="322A7CFE" w:rsidR="00891023" w:rsidRPr="00F0251A" w:rsidRDefault="00891023" w:rsidP="00020B14">
            <w:pPr>
              <w:tabs>
                <w:tab w:val="left" w:pos="0"/>
              </w:tabs>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331</w:t>
            </w:r>
          </w:p>
        </w:tc>
        <w:tc>
          <w:tcPr>
            <w:tcW w:w="1999" w:type="pct"/>
            <w:tcBorders>
              <w:top w:val="single" w:sz="4" w:space="0" w:color="auto"/>
              <w:left w:val="single" w:sz="4" w:space="0" w:color="auto"/>
              <w:bottom w:val="single" w:sz="4" w:space="0" w:color="auto"/>
              <w:right w:val="single" w:sz="4" w:space="0" w:color="auto"/>
            </w:tcBorders>
          </w:tcPr>
          <w:p w14:paraId="244F192D" w14:textId="41EFBE5B" w:rsidR="00891023" w:rsidRPr="00395661" w:rsidRDefault="00891023"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 xml:space="preserve">Concerning the safeguards on Pillar II, we consider that the ORSA should remain as much as possible an </w:t>
            </w:r>
            <w:r w:rsidR="00E97862" w:rsidRPr="00CF2245">
              <w:rPr>
                <w:rFonts w:ascii="Verdana" w:hAnsi="Verdana"/>
                <w:color w:val="7F7F7F" w:themeColor="text1" w:themeTint="80"/>
                <w:sz w:val="22"/>
                <w:szCs w:val="22"/>
                <w:lang w:val="en-GB" w:eastAsia="fr-FR"/>
              </w:rPr>
              <w:t xml:space="preserve">own risk and solvency assessment </w:t>
            </w:r>
            <w:r w:rsidRPr="00395661">
              <w:rPr>
                <w:rFonts w:ascii="Verdana" w:hAnsi="Verdana"/>
                <w:color w:val="7F7F7F" w:themeColor="text1" w:themeTint="80"/>
                <w:sz w:val="22"/>
                <w:szCs w:val="22"/>
                <w:lang w:val="en-GB" w:eastAsia="fr-FR"/>
              </w:rPr>
              <w:t xml:space="preserve">and the sensitivity analyses to be performed should be based on </w:t>
            </w:r>
            <w:r w:rsidR="00E97862" w:rsidRPr="00395661">
              <w:rPr>
                <w:rFonts w:ascii="Verdana" w:hAnsi="Verdana"/>
                <w:color w:val="7F7F7F" w:themeColor="text1" w:themeTint="80"/>
                <w:sz w:val="22"/>
                <w:szCs w:val="22"/>
                <w:lang w:val="en-GB" w:eastAsia="fr-FR"/>
              </w:rPr>
              <w:t xml:space="preserve">the </w:t>
            </w:r>
            <w:r w:rsidR="00BA2731" w:rsidRPr="00395661">
              <w:rPr>
                <w:rFonts w:ascii="Verdana" w:hAnsi="Verdana"/>
                <w:color w:val="7F7F7F" w:themeColor="text1" w:themeTint="80"/>
                <w:sz w:val="22"/>
                <w:szCs w:val="22"/>
                <w:lang w:val="en-GB" w:eastAsia="fr-FR"/>
              </w:rPr>
              <w:t>undertaking’s risk</w:t>
            </w:r>
            <w:r w:rsidRPr="00395661">
              <w:rPr>
                <w:rFonts w:ascii="Verdana" w:hAnsi="Verdana"/>
                <w:color w:val="7F7F7F" w:themeColor="text1" w:themeTint="80"/>
                <w:sz w:val="22"/>
                <w:szCs w:val="22"/>
                <w:lang w:val="en-GB" w:eastAsia="fr-FR"/>
              </w:rPr>
              <w:t xml:space="preserve"> profile rather than on a normalized list. </w:t>
            </w:r>
          </w:p>
          <w:p w14:paraId="2B4ABB49" w14:textId="50A03B16" w:rsidR="00891023" w:rsidRPr="00395661" w:rsidRDefault="00366457"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Moreover,</w:t>
            </w:r>
            <w:r w:rsidR="00891023" w:rsidRPr="00395661">
              <w:rPr>
                <w:rFonts w:ascii="Verdana" w:hAnsi="Verdana"/>
                <w:color w:val="7F7F7F" w:themeColor="text1" w:themeTint="80"/>
                <w:sz w:val="22"/>
                <w:szCs w:val="22"/>
                <w:lang w:val="en-GB" w:eastAsia="fr-FR"/>
              </w:rPr>
              <w:t xml:space="preserve"> the </w:t>
            </w:r>
            <w:r w:rsidR="00E97862" w:rsidRPr="00395661">
              <w:rPr>
                <w:rFonts w:ascii="Verdana" w:hAnsi="Verdana"/>
                <w:color w:val="7F7F7F" w:themeColor="text1" w:themeTint="80"/>
                <w:sz w:val="22"/>
                <w:szCs w:val="22"/>
                <w:lang w:val="en-GB" w:eastAsia="fr-FR"/>
              </w:rPr>
              <w:t xml:space="preserve">statement in the paper </w:t>
            </w:r>
            <w:r w:rsidR="00891023" w:rsidRPr="00395661">
              <w:rPr>
                <w:rFonts w:ascii="Verdana" w:hAnsi="Verdana"/>
                <w:color w:val="7F7F7F" w:themeColor="text1" w:themeTint="80"/>
                <w:sz w:val="22"/>
                <w:szCs w:val="22"/>
                <w:lang w:val="en-GB" w:eastAsia="fr-FR"/>
              </w:rPr>
              <w:t>that “</w:t>
            </w:r>
            <w:r w:rsidR="00891023" w:rsidRPr="00CF2245">
              <w:rPr>
                <w:rFonts w:ascii="Verdana" w:hAnsi="Verdana"/>
                <w:i/>
                <w:iCs/>
                <w:color w:val="7F7F7F" w:themeColor="text1" w:themeTint="80"/>
                <w:sz w:val="22"/>
                <w:szCs w:val="22"/>
                <w:lang w:val="en-GB" w:eastAsia="fr-FR"/>
              </w:rPr>
              <w:t>the average credit quality of the portfolio would be lowered with the only intend to improve the solvency position</w:t>
            </w:r>
            <w:r w:rsidR="00891023" w:rsidRPr="00395661">
              <w:rPr>
                <w:rFonts w:ascii="Verdana" w:hAnsi="Verdana"/>
                <w:color w:val="7F7F7F" w:themeColor="text1" w:themeTint="80"/>
                <w:sz w:val="22"/>
                <w:szCs w:val="22"/>
                <w:lang w:val="en-GB" w:eastAsia="fr-FR"/>
              </w:rPr>
              <w:t xml:space="preserve">” assumes that the gain </w:t>
            </w:r>
            <w:r w:rsidR="00E97862" w:rsidRPr="00395661">
              <w:rPr>
                <w:rFonts w:ascii="Verdana" w:hAnsi="Verdana"/>
                <w:color w:val="7F7F7F" w:themeColor="text1" w:themeTint="80"/>
                <w:sz w:val="22"/>
                <w:szCs w:val="22"/>
                <w:lang w:val="en-GB" w:eastAsia="fr-FR"/>
              </w:rPr>
              <w:t>for the undertaking</w:t>
            </w:r>
            <w:r w:rsidR="009B0CEC" w:rsidRPr="00395661">
              <w:rPr>
                <w:rFonts w:ascii="Verdana" w:hAnsi="Verdana"/>
                <w:color w:val="7F7F7F" w:themeColor="text1" w:themeTint="80"/>
                <w:sz w:val="22"/>
                <w:szCs w:val="22"/>
                <w:lang w:val="en-GB" w:eastAsia="fr-FR"/>
              </w:rPr>
              <w:t xml:space="preserve"> </w:t>
            </w:r>
            <w:r w:rsidR="00891023" w:rsidRPr="00395661">
              <w:rPr>
                <w:rFonts w:ascii="Verdana" w:hAnsi="Verdana"/>
                <w:color w:val="7F7F7F" w:themeColor="text1" w:themeTint="80"/>
                <w:sz w:val="22"/>
                <w:szCs w:val="22"/>
                <w:lang w:val="en-GB" w:eastAsia="fr-FR"/>
              </w:rPr>
              <w:t xml:space="preserve">from </w:t>
            </w:r>
            <w:r w:rsidR="009B0CEC" w:rsidRPr="00395661">
              <w:rPr>
                <w:rFonts w:ascii="Verdana" w:hAnsi="Verdana"/>
                <w:color w:val="7F7F7F" w:themeColor="text1" w:themeTint="80"/>
                <w:sz w:val="22"/>
                <w:szCs w:val="22"/>
                <w:lang w:val="en-GB" w:eastAsia="fr-FR"/>
              </w:rPr>
              <w:t xml:space="preserve">the </w:t>
            </w:r>
            <w:r w:rsidR="00891023" w:rsidRPr="00395661">
              <w:rPr>
                <w:rFonts w:ascii="Verdana" w:hAnsi="Verdana"/>
                <w:color w:val="7F7F7F" w:themeColor="text1" w:themeTint="80"/>
                <w:sz w:val="22"/>
                <w:szCs w:val="22"/>
                <w:lang w:val="en-GB" w:eastAsia="fr-FR"/>
              </w:rPr>
              <w:t xml:space="preserve">VA application is higher than the increase in capital requirements. </w:t>
            </w:r>
          </w:p>
        </w:tc>
        <w:tc>
          <w:tcPr>
            <w:tcW w:w="483" w:type="pct"/>
            <w:tcBorders>
              <w:top w:val="single" w:sz="4" w:space="0" w:color="auto"/>
              <w:left w:val="single" w:sz="4" w:space="0" w:color="auto"/>
              <w:bottom w:val="single" w:sz="4" w:space="0" w:color="auto"/>
              <w:right w:val="single" w:sz="4" w:space="0" w:color="auto"/>
            </w:tcBorders>
          </w:tcPr>
          <w:p w14:paraId="6CFF9FBB" w14:textId="77777777" w:rsidR="00891023" w:rsidRPr="00CF2245" w:rsidRDefault="00891023" w:rsidP="00020B14">
            <w:pPr>
              <w:tabs>
                <w:tab w:val="left" w:pos="0"/>
              </w:tabs>
              <w:rPr>
                <w:color w:val="7F7F7F" w:themeColor="text1" w:themeTint="80"/>
                <w:sz w:val="22"/>
                <w:szCs w:val="22"/>
                <w:lang w:val="en-GB" w:eastAsia="fr-FR"/>
              </w:rPr>
            </w:pPr>
          </w:p>
        </w:tc>
      </w:tr>
      <w:tr w:rsidR="00FC5744" w:rsidRPr="001360A5" w14:paraId="73111A9F"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8D12031" w14:textId="4AD736F2" w:rsidR="00891023" w:rsidRPr="00F0251A" w:rsidRDefault="00891023" w:rsidP="00020B14">
            <w:pPr>
              <w:tabs>
                <w:tab w:val="left" w:pos="0"/>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3</w:t>
            </w:r>
          </w:p>
        </w:tc>
        <w:tc>
          <w:tcPr>
            <w:tcW w:w="506" w:type="pct"/>
            <w:gridSpan w:val="2"/>
            <w:tcBorders>
              <w:top w:val="single" w:sz="4" w:space="0" w:color="auto"/>
              <w:left w:val="single" w:sz="4" w:space="0" w:color="auto"/>
              <w:bottom w:val="single" w:sz="4" w:space="0" w:color="auto"/>
              <w:right w:val="single" w:sz="4" w:space="0" w:color="auto"/>
            </w:tcBorders>
          </w:tcPr>
          <w:p w14:paraId="59CCBC82" w14:textId="5F080CCE" w:rsidR="00891023" w:rsidRPr="00F0251A" w:rsidRDefault="00891023" w:rsidP="00020B14">
            <w:pPr>
              <w:tabs>
                <w:tab w:val="left" w:pos="0"/>
              </w:tabs>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332</w:t>
            </w:r>
          </w:p>
        </w:tc>
        <w:tc>
          <w:tcPr>
            <w:tcW w:w="1999" w:type="pct"/>
            <w:tcBorders>
              <w:top w:val="single" w:sz="4" w:space="0" w:color="auto"/>
              <w:left w:val="single" w:sz="4" w:space="0" w:color="auto"/>
              <w:bottom w:val="single" w:sz="4" w:space="0" w:color="auto"/>
              <w:right w:val="single" w:sz="4" w:space="0" w:color="auto"/>
            </w:tcBorders>
          </w:tcPr>
          <w:p w14:paraId="72373387" w14:textId="2E078CE4" w:rsidR="00891023" w:rsidRPr="00395661" w:rsidRDefault="00891023"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 xml:space="preserve">We do not favour </w:t>
            </w:r>
            <w:r w:rsidR="009B0CEC" w:rsidRPr="00395661">
              <w:rPr>
                <w:rFonts w:ascii="Verdana" w:hAnsi="Verdana"/>
                <w:color w:val="7F7F7F" w:themeColor="text1" w:themeTint="80"/>
                <w:sz w:val="22"/>
                <w:szCs w:val="22"/>
                <w:lang w:val="en-GB" w:eastAsia="fr-FR"/>
              </w:rPr>
              <w:t xml:space="preserve">any </w:t>
            </w:r>
            <w:r w:rsidRPr="00395661">
              <w:rPr>
                <w:rFonts w:ascii="Verdana" w:hAnsi="Verdana"/>
                <w:color w:val="7F7F7F" w:themeColor="text1" w:themeTint="80"/>
                <w:sz w:val="22"/>
                <w:szCs w:val="22"/>
                <w:lang w:val="en-GB" w:eastAsia="fr-FR"/>
              </w:rPr>
              <w:t xml:space="preserve">additional reporting. The overall review of Solvency II should aim </w:t>
            </w:r>
            <w:r w:rsidR="009B0CEC" w:rsidRPr="00395661">
              <w:rPr>
                <w:rFonts w:ascii="Verdana" w:hAnsi="Verdana"/>
                <w:color w:val="7F7F7F" w:themeColor="text1" w:themeTint="80"/>
                <w:sz w:val="22"/>
                <w:szCs w:val="22"/>
                <w:lang w:val="en-GB" w:eastAsia="fr-FR"/>
              </w:rPr>
              <w:t xml:space="preserve">at </w:t>
            </w:r>
            <w:r w:rsidRPr="00395661">
              <w:rPr>
                <w:rFonts w:ascii="Verdana" w:hAnsi="Verdana"/>
                <w:color w:val="7F7F7F" w:themeColor="text1" w:themeTint="80"/>
                <w:sz w:val="22"/>
                <w:szCs w:val="22"/>
                <w:lang w:val="en-GB" w:eastAsia="fr-FR"/>
              </w:rPr>
              <w:t>add</w:t>
            </w:r>
            <w:r w:rsidR="009B0CEC" w:rsidRPr="00395661">
              <w:rPr>
                <w:rFonts w:ascii="Verdana" w:hAnsi="Verdana"/>
                <w:color w:val="7F7F7F" w:themeColor="text1" w:themeTint="80"/>
                <w:sz w:val="22"/>
                <w:szCs w:val="22"/>
                <w:lang w:val="en-GB" w:eastAsia="fr-FR"/>
              </w:rPr>
              <w:t>ing</w:t>
            </w:r>
            <w:r w:rsidRPr="00395661">
              <w:rPr>
                <w:rFonts w:ascii="Verdana" w:hAnsi="Verdana"/>
                <w:color w:val="7F7F7F" w:themeColor="text1" w:themeTint="80"/>
                <w:sz w:val="22"/>
                <w:szCs w:val="22"/>
                <w:lang w:val="en-GB" w:eastAsia="fr-FR"/>
              </w:rPr>
              <w:t xml:space="preserve"> </w:t>
            </w:r>
            <w:r w:rsidR="009B0CEC" w:rsidRPr="00395661">
              <w:rPr>
                <w:rFonts w:ascii="Verdana" w:hAnsi="Verdana"/>
                <w:color w:val="7F7F7F" w:themeColor="text1" w:themeTint="80"/>
                <w:sz w:val="22"/>
                <w:szCs w:val="22"/>
                <w:lang w:val="en-GB" w:eastAsia="fr-FR"/>
              </w:rPr>
              <w:t xml:space="preserve">new </w:t>
            </w:r>
            <w:r w:rsidRPr="00395661">
              <w:rPr>
                <w:rFonts w:ascii="Verdana" w:hAnsi="Verdana"/>
                <w:color w:val="7F7F7F" w:themeColor="text1" w:themeTint="80"/>
                <w:sz w:val="22"/>
                <w:szCs w:val="22"/>
                <w:lang w:val="en-GB" w:eastAsia="fr-FR"/>
              </w:rPr>
              <w:t xml:space="preserve">simplification and soften </w:t>
            </w:r>
            <w:r w:rsidR="009B0CEC" w:rsidRPr="00395661">
              <w:rPr>
                <w:rFonts w:ascii="Verdana" w:hAnsi="Verdana"/>
                <w:color w:val="7F7F7F" w:themeColor="text1" w:themeTint="80"/>
                <w:sz w:val="22"/>
                <w:szCs w:val="22"/>
                <w:lang w:val="en-GB" w:eastAsia="fr-FR"/>
              </w:rPr>
              <w:t xml:space="preserve">that </w:t>
            </w:r>
            <w:r w:rsidRPr="00395661">
              <w:rPr>
                <w:rFonts w:ascii="Verdana" w:hAnsi="Verdana"/>
                <w:color w:val="7F7F7F" w:themeColor="text1" w:themeTint="80"/>
                <w:sz w:val="22"/>
                <w:szCs w:val="22"/>
                <w:lang w:val="en-GB" w:eastAsia="fr-FR"/>
              </w:rPr>
              <w:t xml:space="preserve">operational burden for undertakings rather than adding new reporting constraints. </w:t>
            </w:r>
          </w:p>
          <w:p w14:paraId="1E68B6B9" w14:textId="77777777" w:rsidR="00891023" w:rsidRPr="00395661" w:rsidRDefault="00891023" w:rsidP="00020B14">
            <w:pPr>
              <w:tabs>
                <w:tab w:val="left" w:pos="0"/>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32369579" w14:textId="77777777" w:rsidR="00891023" w:rsidRPr="00CF2245" w:rsidRDefault="00891023" w:rsidP="00020B14">
            <w:pPr>
              <w:tabs>
                <w:tab w:val="left" w:pos="0"/>
              </w:tabs>
              <w:rPr>
                <w:color w:val="7F7F7F" w:themeColor="text1" w:themeTint="80"/>
                <w:sz w:val="22"/>
                <w:szCs w:val="22"/>
                <w:lang w:val="en-GB" w:eastAsia="fr-FR"/>
              </w:rPr>
            </w:pPr>
          </w:p>
        </w:tc>
      </w:tr>
      <w:tr w:rsidR="00FC5744" w:rsidRPr="001360A5" w14:paraId="2A808927" w14:textId="77777777" w:rsidTr="002F78B0">
        <w:trPr>
          <w:gridAfter w:val="6"/>
          <w:wAfter w:w="1433" w:type="pct"/>
          <w:trHeight w:val="155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6DB582F" w14:textId="77777777" w:rsidR="00891023" w:rsidRPr="00001686" w:rsidRDefault="00891023" w:rsidP="00020B14">
            <w:pPr>
              <w:tabs>
                <w:tab w:val="left" w:pos="0"/>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67D2D618" w14:textId="77777777" w:rsidR="00891023" w:rsidRPr="00001686" w:rsidRDefault="00891023" w:rsidP="00020B14">
            <w:pPr>
              <w:tabs>
                <w:tab w:val="left" w:pos="0"/>
              </w:tabs>
              <w:rPr>
                <w:rFonts w:ascii="Verdana" w:hAnsi="Verdana"/>
                <w:color w:val="7F7F7F" w:themeColor="text1" w:themeTint="80"/>
                <w:sz w:val="22"/>
                <w:szCs w:val="22"/>
                <w:lang w:val="en-GB" w:eastAsia="fr-FR"/>
              </w:rPr>
            </w:pPr>
            <w:r w:rsidRPr="008F70F8">
              <w:rPr>
                <w:rFonts w:ascii="Verdana" w:hAnsi="Verdana"/>
                <w:b/>
                <w:bCs/>
                <w:color w:val="7F7F7F" w:themeColor="text1" w:themeTint="80"/>
                <w:sz w:val="22"/>
                <w:szCs w:val="22"/>
                <w:lang w:val="en-GB" w:eastAsia="fr-FR"/>
              </w:rPr>
              <w:t>Question to stakeholder</w:t>
            </w:r>
            <w:r w:rsidRPr="00C03164">
              <w:rPr>
                <w:rFonts w:ascii="Verdana" w:hAnsi="Verdana"/>
                <w:b/>
                <w:bCs/>
                <w:color w:val="7F7F7F" w:themeColor="text1" w:themeTint="80"/>
                <w:sz w:val="22"/>
                <w:szCs w:val="22"/>
                <w:lang w:val="en-GB" w:eastAsia="fr-FR"/>
              </w:rPr>
              <w:t>s</w:t>
            </w:r>
          </w:p>
        </w:tc>
        <w:tc>
          <w:tcPr>
            <w:tcW w:w="1999" w:type="pct"/>
            <w:tcBorders>
              <w:top w:val="single" w:sz="4" w:space="0" w:color="auto"/>
              <w:left w:val="single" w:sz="4" w:space="0" w:color="auto"/>
              <w:bottom w:val="single" w:sz="4" w:space="0" w:color="auto"/>
              <w:right w:val="single" w:sz="4" w:space="0" w:color="auto"/>
            </w:tcBorders>
          </w:tcPr>
          <w:p w14:paraId="365E0EDF" w14:textId="77777777" w:rsidR="00891023" w:rsidRPr="00395661" w:rsidRDefault="00891023" w:rsidP="00020B14">
            <w:pPr>
              <w:tabs>
                <w:tab w:val="left" w:pos="0"/>
              </w:tabs>
              <w:rPr>
                <w:rFonts w:ascii="Verdana" w:hAnsi="Verdana"/>
                <w:b/>
                <w:bCs/>
                <w:color w:val="7F7F7F" w:themeColor="text1" w:themeTint="80"/>
                <w:sz w:val="22"/>
                <w:szCs w:val="22"/>
                <w:lang w:val="en-GB" w:eastAsia="fr-FR"/>
              </w:rPr>
            </w:pPr>
            <w:r w:rsidRPr="00395661">
              <w:rPr>
                <w:rFonts w:ascii="Verdana" w:hAnsi="Verdana"/>
                <w:b/>
                <w:bCs/>
                <w:color w:val="7F7F7F" w:themeColor="text1" w:themeTint="80"/>
                <w:sz w:val="22"/>
                <w:szCs w:val="22"/>
                <w:lang w:val="en-GB" w:eastAsia="fr-FR"/>
              </w:rPr>
              <w:t>Q2.5: What is your view on the safeguards to avoid wrong investment incentives? In particular, how can wrong incentives with regard to investments in government bonds best be avoided?</w:t>
            </w:r>
          </w:p>
          <w:p w14:paraId="439F0187" w14:textId="3D61E028" w:rsidR="009B0CEC" w:rsidRPr="00395661" w:rsidRDefault="00891023"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Please refer to our previous comments</w:t>
            </w:r>
            <w:r w:rsidR="009B0CEC" w:rsidRPr="00395661">
              <w:rPr>
                <w:rFonts w:ascii="Verdana" w:hAnsi="Verdana"/>
                <w:color w:val="7F7F7F" w:themeColor="text1" w:themeTint="80"/>
                <w:sz w:val="22"/>
                <w:szCs w:val="22"/>
                <w:lang w:val="en-GB" w:eastAsia="fr-FR"/>
              </w:rPr>
              <w:t xml:space="preserve"> to </w:t>
            </w:r>
            <w:r w:rsidRPr="00395661">
              <w:rPr>
                <w:rFonts w:ascii="Verdana" w:hAnsi="Verdana"/>
                <w:color w:val="7F7F7F" w:themeColor="text1" w:themeTint="80"/>
                <w:sz w:val="22"/>
                <w:szCs w:val="22"/>
                <w:lang w:val="en-GB" w:eastAsia="fr-FR"/>
              </w:rPr>
              <w:t>paragraph</w:t>
            </w:r>
            <w:r w:rsidR="009B0CEC" w:rsidRPr="00395661">
              <w:rPr>
                <w:rFonts w:ascii="Verdana" w:hAnsi="Verdana"/>
                <w:color w:val="7F7F7F" w:themeColor="text1" w:themeTint="80"/>
                <w:sz w:val="22"/>
                <w:szCs w:val="22"/>
                <w:lang w:val="en-GB" w:eastAsia="fr-FR"/>
              </w:rPr>
              <w:t>s</w:t>
            </w:r>
            <w:r w:rsidRPr="00395661">
              <w:rPr>
                <w:rFonts w:ascii="Verdana" w:hAnsi="Verdana"/>
                <w:color w:val="7F7F7F" w:themeColor="text1" w:themeTint="80"/>
                <w:sz w:val="22"/>
                <w:szCs w:val="22"/>
                <w:lang w:val="en-GB" w:eastAsia="fr-FR"/>
              </w:rPr>
              <w:t xml:space="preserve"> 2.325 to 2.332</w:t>
            </w:r>
            <w:r w:rsidR="009B0CEC" w:rsidRPr="00395661">
              <w:rPr>
                <w:rFonts w:ascii="Verdana" w:hAnsi="Verdana"/>
                <w:color w:val="7F7F7F" w:themeColor="text1" w:themeTint="80"/>
                <w:sz w:val="22"/>
                <w:szCs w:val="22"/>
                <w:lang w:val="en-GB" w:eastAsia="fr-FR"/>
              </w:rPr>
              <w:t xml:space="preserve"> to this consultation paper</w:t>
            </w:r>
            <w:r w:rsidRPr="00395661">
              <w:rPr>
                <w:rFonts w:ascii="Verdana" w:hAnsi="Verdana"/>
                <w:color w:val="7F7F7F" w:themeColor="text1" w:themeTint="80"/>
                <w:sz w:val="22"/>
                <w:szCs w:val="22"/>
                <w:lang w:val="en-GB" w:eastAsia="fr-FR"/>
              </w:rPr>
              <w:t>.</w:t>
            </w:r>
            <w:r w:rsidR="009B0CEC" w:rsidRPr="00395661">
              <w:rPr>
                <w:rFonts w:ascii="Verdana" w:hAnsi="Verdana"/>
                <w:color w:val="7F7F7F" w:themeColor="text1" w:themeTint="80"/>
                <w:sz w:val="22"/>
                <w:szCs w:val="22"/>
                <w:lang w:val="en-GB" w:eastAsia="fr-FR"/>
              </w:rPr>
              <w:t xml:space="preserve"> </w:t>
            </w:r>
          </w:p>
          <w:p w14:paraId="21827DB4" w14:textId="15448897" w:rsidR="00891023" w:rsidRPr="00395661" w:rsidRDefault="00891023"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lastRenderedPageBreak/>
              <w:t xml:space="preserve">The objective of the VA is to mitigate the impact of </w:t>
            </w:r>
            <w:r w:rsidR="00366457" w:rsidRPr="00395661">
              <w:rPr>
                <w:rFonts w:ascii="Verdana" w:hAnsi="Verdana"/>
                <w:color w:val="7F7F7F" w:themeColor="text1" w:themeTint="80"/>
                <w:sz w:val="22"/>
                <w:szCs w:val="22"/>
                <w:lang w:val="en-GB" w:eastAsia="fr-FR"/>
              </w:rPr>
              <w:t>exaggerations</w:t>
            </w:r>
            <w:r w:rsidRPr="00395661">
              <w:rPr>
                <w:rFonts w:ascii="Verdana" w:hAnsi="Verdana"/>
                <w:color w:val="7F7F7F" w:themeColor="text1" w:themeTint="80"/>
                <w:sz w:val="22"/>
                <w:szCs w:val="22"/>
                <w:lang w:val="en-GB" w:eastAsia="fr-FR"/>
              </w:rPr>
              <w:t xml:space="preserve"> of bonds spread developments. The ability for insurers to avoid forced sales would indicate the circumstance in a going</w:t>
            </w:r>
            <w:r w:rsidR="009B0CEC" w:rsidRPr="00395661">
              <w:rPr>
                <w:rFonts w:ascii="Verdana" w:hAnsi="Verdana"/>
                <w:color w:val="7F7F7F" w:themeColor="text1" w:themeTint="80"/>
                <w:sz w:val="22"/>
                <w:szCs w:val="22"/>
                <w:lang w:val="en-GB" w:eastAsia="fr-FR"/>
              </w:rPr>
              <w:t>-</w:t>
            </w:r>
            <w:r w:rsidRPr="00395661">
              <w:rPr>
                <w:rFonts w:ascii="Verdana" w:hAnsi="Verdana"/>
                <w:color w:val="7F7F7F" w:themeColor="text1" w:themeTint="80"/>
                <w:sz w:val="22"/>
                <w:szCs w:val="22"/>
                <w:lang w:val="en-GB" w:eastAsia="fr-FR"/>
              </w:rPr>
              <w:t xml:space="preserve">concern that insurers are able to avoid the realisation of the spread risk associated with this exaggeration. In order to avoid unjustified capital relief, </w:t>
            </w:r>
            <w:r w:rsidR="00366457" w:rsidRPr="00395661">
              <w:rPr>
                <w:rFonts w:ascii="Verdana" w:hAnsi="Verdana"/>
                <w:color w:val="7F7F7F" w:themeColor="text1" w:themeTint="80"/>
                <w:sz w:val="22"/>
                <w:szCs w:val="22"/>
                <w:lang w:val="en-GB" w:eastAsia="fr-FR"/>
              </w:rPr>
              <w:t>an</w:t>
            </w:r>
            <w:r w:rsidRPr="00395661">
              <w:rPr>
                <w:rFonts w:ascii="Verdana" w:hAnsi="Verdana"/>
                <w:color w:val="7F7F7F" w:themeColor="text1" w:themeTint="80"/>
                <w:sz w:val="22"/>
                <w:szCs w:val="22"/>
                <w:lang w:val="en-GB" w:eastAsia="fr-FR"/>
              </w:rPr>
              <w:t xml:space="preserve"> insurer could treat the net result of the </w:t>
            </w:r>
            <w:r w:rsidR="00366457" w:rsidRPr="00395661">
              <w:rPr>
                <w:rFonts w:ascii="Verdana" w:hAnsi="Verdana"/>
                <w:color w:val="7F7F7F" w:themeColor="text1" w:themeTint="80"/>
                <w:sz w:val="22"/>
                <w:szCs w:val="22"/>
                <w:lang w:val="en-GB" w:eastAsia="fr-FR"/>
              </w:rPr>
              <w:t>exaggeration</w:t>
            </w:r>
            <w:r w:rsidRPr="00395661">
              <w:rPr>
                <w:rFonts w:ascii="Verdana" w:hAnsi="Verdana"/>
                <w:color w:val="7F7F7F" w:themeColor="text1" w:themeTint="80"/>
                <w:sz w:val="22"/>
                <w:szCs w:val="22"/>
                <w:lang w:val="en-GB" w:eastAsia="fr-FR"/>
              </w:rPr>
              <w:t xml:space="preserve"> of the bond spreads and the VA as a non-distributable part of the own funds, if this is significant </w:t>
            </w:r>
            <w:r w:rsidR="00366457" w:rsidRPr="00395661">
              <w:rPr>
                <w:rFonts w:ascii="Verdana" w:hAnsi="Verdana"/>
                <w:color w:val="7F7F7F" w:themeColor="text1" w:themeTint="80"/>
                <w:sz w:val="22"/>
                <w:szCs w:val="22"/>
                <w:lang w:val="en-GB" w:eastAsia="fr-FR"/>
              </w:rPr>
              <w:t>i.e.</w:t>
            </w:r>
            <w:r w:rsidRPr="00395661">
              <w:rPr>
                <w:rFonts w:ascii="Verdana" w:hAnsi="Verdana"/>
                <w:color w:val="7F7F7F" w:themeColor="text1" w:themeTint="80"/>
                <w:sz w:val="22"/>
                <w:szCs w:val="22"/>
                <w:lang w:val="en-GB" w:eastAsia="fr-FR"/>
              </w:rPr>
              <w:t xml:space="preserve"> if significant basis risk is recognised, the amount of basis risk will be assumed to be non-distributable. This will also reduce the incentive for wrong risk management significantly, as the search for a higher VA, will lead to a higher basis risk and thus higher non-distributable part of the own funds, which could even reduce the eligible own funds.</w:t>
            </w:r>
          </w:p>
          <w:p w14:paraId="261D2321" w14:textId="77777777" w:rsidR="00891023" w:rsidRPr="00395661" w:rsidRDefault="00891023" w:rsidP="00020B14">
            <w:pPr>
              <w:tabs>
                <w:tab w:val="left" w:pos="0"/>
              </w:tabs>
              <w:rPr>
                <w:rFonts w:ascii="Verdana" w:hAnsi="Verdana"/>
                <w:color w:val="7F7F7F" w:themeColor="text1" w:themeTint="80"/>
                <w:sz w:val="22"/>
                <w:szCs w:val="22"/>
                <w:lang w:val="en-GB" w:eastAsia="fr-FR"/>
              </w:rPr>
            </w:pPr>
          </w:p>
          <w:p w14:paraId="46D9806E" w14:textId="0138B2AB" w:rsidR="00891023" w:rsidRPr="00395661" w:rsidRDefault="00891023"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 xml:space="preserve">EIOPA described the possibility to calculate the VA on a previous investment mix as one possible means to reduce the incentive for wrong risk management. We tend to agree, however, it should be stated that only significant alterations of the investment mix without proper justification by the insurer should be the trigger </w:t>
            </w:r>
            <w:r w:rsidR="00366457" w:rsidRPr="00395661">
              <w:rPr>
                <w:rFonts w:ascii="Verdana" w:hAnsi="Verdana"/>
                <w:color w:val="7F7F7F" w:themeColor="text1" w:themeTint="80"/>
                <w:sz w:val="22"/>
                <w:szCs w:val="22"/>
                <w:lang w:val="en-GB" w:eastAsia="fr-FR"/>
              </w:rPr>
              <w:t>i.e.</w:t>
            </w:r>
            <w:r w:rsidRPr="00395661">
              <w:rPr>
                <w:rFonts w:ascii="Verdana" w:hAnsi="Verdana"/>
                <w:color w:val="7F7F7F" w:themeColor="text1" w:themeTint="80"/>
                <w:sz w:val="22"/>
                <w:szCs w:val="22"/>
                <w:lang w:val="en-GB" w:eastAsia="fr-FR"/>
              </w:rPr>
              <w:t xml:space="preserve"> there should be a proper due process.</w:t>
            </w:r>
          </w:p>
          <w:p w14:paraId="2120D4D4" w14:textId="77777777" w:rsidR="00891023" w:rsidRPr="00395661" w:rsidRDefault="00891023" w:rsidP="00020B14">
            <w:pPr>
              <w:tabs>
                <w:tab w:val="left" w:pos="0"/>
              </w:tabs>
              <w:rPr>
                <w:rFonts w:ascii="Verdana" w:hAnsi="Verdana"/>
                <w:color w:val="7F7F7F" w:themeColor="text1" w:themeTint="80"/>
                <w:sz w:val="22"/>
                <w:szCs w:val="22"/>
                <w:lang w:val="en-GB" w:eastAsia="fr-FR"/>
              </w:rPr>
            </w:pPr>
          </w:p>
          <w:p w14:paraId="03918CD4" w14:textId="77777777" w:rsidR="00891023" w:rsidRPr="00395661" w:rsidRDefault="00891023"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Another measure is the treatment of investments below investment grade rating. We also tend to agree with this approach. However, a solution should be provided for non-rated investment exposures. Several non-rated exposures have very low default probabilities and characteristics and/or (partial) guarantees/collateral requirements which should be reflected in the treatment (by the way this should also be included in the methodology applied for the risk correction).</w:t>
            </w:r>
          </w:p>
          <w:p w14:paraId="7A9FD9B7" w14:textId="77B00288" w:rsidR="00891023" w:rsidRPr="00395661" w:rsidRDefault="00891023" w:rsidP="00020B14">
            <w:pPr>
              <w:tabs>
                <w:tab w:val="left" w:pos="0"/>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61704128" w14:textId="77777777" w:rsidR="00891023" w:rsidRPr="00CF2245" w:rsidRDefault="00891023" w:rsidP="00020B14">
            <w:pPr>
              <w:tabs>
                <w:tab w:val="left" w:pos="0"/>
              </w:tabs>
              <w:rPr>
                <w:color w:val="7F7F7F" w:themeColor="text1" w:themeTint="80"/>
                <w:sz w:val="22"/>
                <w:szCs w:val="22"/>
                <w:lang w:val="en-GB" w:eastAsia="fr-FR"/>
              </w:rPr>
            </w:pPr>
          </w:p>
        </w:tc>
      </w:tr>
      <w:tr w:rsidR="00FC5744" w:rsidRPr="001360A5" w14:paraId="204E0CA6"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91905D5" w14:textId="2E995E41" w:rsidR="00891023" w:rsidRPr="00F0251A" w:rsidRDefault="00891023" w:rsidP="00020B14">
            <w:pPr>
              <w:tabs>
                <w:tab w:val="left" w:pos="0"/>
              </w:tabs>
              <w:ind w:left="-96"/>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lastRenderedPageBreak/>
              <w:t>2</w:t>
            </w:r>
          </w:p>
        </w:tc>
        <w:tc>
          <w:tcPr>
            <w:tcW w:w="506" w:type="pct"/>
            <w:gridSpan w:val="2"/>
            <w:tcBorders>
              <w:top w:val="single" w:sz="4" w:space="0" w:color="auto"/>
              <w:left w:val="single" w:sz="4" w:space="0" w:color="auto"/>
              <w:bottom w:val="single" w:sz="4" w:space="0" w:color="auto"/>
              <w:right w:val="single" w:sz="4" w:space="0" w:color="auto"/>
            </w:tcBorders>
          </w:tcPr>
          <w:p w14:paraId="2001679D" w14:textId="69C30393" w:rsidR="00891023" w:rsidRPr="00F0251A" w:rsidRDefault="00891023" w:rsidP="00020B14">
            <w:pPr>
              <w:tabs>
                <w:tab w:val="left" w:pos="0"/>
              </w:tabs>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t>362</w:t>
            </w:r>
          </w:p>
        </w:tc>
        <w:tc>
          <w:tcPr>
            <w:tcW w:w="1999" w:type="pct"/>
            <w:tcBorders>
              <w:top w:val="single" w:sz="4" w:space="0" w:color="auto"/>
              <w:left w:val="single" w:sz="4" w:space="0" w:color="auto"/>
              <w:bottom w:val="single" w:sz="4" w:space="0" w:color="auto"/>
              <w:right w:val="single" w:sz="4" w:space="0" w:color="auto"/>
            </w:tcBorders>
          </w:tcPr>
          <w:p w14:paraId="260B63F9" w14:textId="30DDED32" w:rsidR="00891023" w:rsidRPr="00395661" w:rsidRDefault="00891023" w:rsidP="00020B14">
            <w:pPr>
              <w:tabs>
                <w:tab w:val="left" w:pos="0"/>
              </w:tabs>
              <w:rPr>
                <w:rFonts w:ascii="Verdana" w:hAnsi="Verdana"/>
                <w:i/>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 xml:space="preserve">Option 4 is supposed to address </w:t>
            </w:r>
            <w:r w:rsidRPr="00395661">
              <w:rPr>
                <w:rFonts w:ascii="Verdana" w:hAnsi="Verdana"/>
                <w:i/>
                <w:color w:val="7F7F7F" w:themeColor="text1" w:themeTint="80"/>
                <w:sz w:val="22"/>
                <w:szCs w:val="22"/>
                <w:lang w:val="en-GB" w:eastAsia="fr-FR"/>
              </w:rPr>
              <w:t>“the over and undershooting stemming from duration and ‘volume’ allocation mismatches."</w:t>
            </w:r>
          </w:p>
          <w:p w14:paraId="70F0C474" w14:textId="50B3FBBC" w:rsidR="00891023" w:rsidRPr="00395661" w:rsidRDefault="00891023"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However, the cap introduced in paragraph 2.364 effectively hinders the application ratio to correct undershooting. We regret that having noticed under shooting cases, EIOPA has not leveraged on its advice diagnosis to fix this issue the way it did with overshooting.</w:t>
            </w:r>
          </w:p>
        </w:tc>
        <w:tc>
          <w:tcPr>
            <w:tcW w:w="483" w:type="pct"/>
            <w:tcBorders>
              <w:top w:val="single" w:sz="4" w:space="0" w:color="auto"/>
              <w:left w:val="single" w:sz="4" w:space="0" w:color="auto"/>
              <w:bottom w:val="single" w:sz="4" w:space="0" w:color="auto"/>
              <w:right w:val="single" w:sz="4" w:space="0" w:color="auto"/>
            </w:tcBorders>
          </w:tcPr>
          <w:p w14:paraId="5FAD8ED9" w14:textId="77777777" w:rsidR="00891023" w:rsidRPr="00CF2245" w:rsidRDefault="00891023" w:rsidP="00020B14">
            <w:pPr>
              <w:tabs>
                <w:tab w:val="left" w:pos="0"/>
              </w:tabs>
              <w:rPr>
                <w:color w:val="7F7F7F" w:themeColor="text1" w:themeTint="80"/>
                <w:sz w:val="22"/>
                <w:szCs w:val="22"/>
                <w:lang w:val="en-GB" w:eastAsia="fr-FR"/>
              </w:rPr>
            </w:pPr>
          </w:p>
        </w:tc>
      </w:tr>
      <w:tr w:rsidR="00FC5744" w:rsidRPr="001360A5" w14:paraId="63BA7884"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4B6D6FF" w14:textId="1314BC9A" w:rsidR="00891023" w:rsidRPr="00F0251A" w:rsidRDefault="00891023" w:rsidP="00020B14">
            <w:pPr>
              <w:tabs>
                <w:tab w:val="left" w:pos="0"/>
              </w:tabs>
              <w:ind w:left="-96"/>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0562E7CE" w14:textId="5C9F6A5F" w:rsidR="00891023" w:rsidRPr="00F0251A" w:rsidRDefault="00891023" w:rsidP="00020B14">
            <w:pPr>
              <w:tabs>
                <w:tab w:val="left" w:pos="0"/>
              </w:tabs>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t>390</w:t>
            </w:r>
            <w:r>
              <w:rPr>
                <w:rFonts w:ascii="Verdana" w:hAnsi="Verdana"/>
                <w:color w:val="7F7F7F" w:themeColor="text1" w:themeTint="80"/>
                <w:sz w:val="22"/>
                <w:szCs w:val="22"/>
                <w:lang w:val="en-GB" w:eastAsia="fr-FR"/>
              </w:rPr>
              <w:t xml:space="preserve"> &amp; 391</w:t>
            </w:r>
          </w:p>
        </w:tc>
        <w:tc>
          <w:tcPr>
            <w:tcW w:w="1999" w:type="pct"/>
            <w:tcBorders>
              <w:top w:val="single" w:sz="4" w:space="0" w:color="auto"/>
              <w:left w:val="single" w:sz="4" w:space="0" w:color="auto"/>
              <w:bottom w:val="single" w:sz="4" w:space="0" w:color="auto"/>
              <w:right w:val="single" w:sz="4" w:space="0" w:color="auto"/>
            </w:tcBorders>
          </w:tcPr>
          <w:p w14:paraId="56E70C73" w14:textId="7047E3A5" w:rsidR="00891023" w:rsidRPr="00395661" w:rsidRDefault="00891023"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 xml:space="preserve">EIOPA raises the question whether any adjustment should apply to short term non-life insurance contracts. </w:t>
            </w:r>
          </w:p>
          <w:p w14:paraId="78D58ED6" w14:textId="6814AA99" w:rsidR="00891023" w:rsidRPr="00395661" w:rsidRDefault="00891023"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 xml:space="preserve">We </w:t>
            </w:r>
            <w:r w:rsidR="006D7A5C">
              <w:rPr>
                <w:rFonts w:ascii="Verdana" w:hAnsi="Verdana"/>
                <w:color w:val="7F7F7F" w:themeColor="text1" w:themeTint="80"/>
                <w:sz w:val="22"/>
                <w:szCs w:val="22"/>
                <w:lang w:val="en-GB" w:eastAsia="fr-FR"/>
              </w:rPr>
              <w:t>disagree with</w:t>
            </w:r>
            <w:r w:rsidRPr="00395661">
              <w:rPr>
                <w:rFonts w:ascii="Verdana" w:hAnsi="Verdana"/>
                <w:color w:val="7F7F7F" w:themeColor="text1" w:themeTint="80"/>
                <w:sz w:val="22"/>
                <w:szCs w:val="22"/>
                <w:lang w:val="en-GB" w:eastAsia="fr-FR"/>
              </w:rPr>
              <w:t xml:space="preserve"> EIOPA</w:t>
            </w:r>
            <w:r w:rsidR="006D7A5C">
              <w:rPr>
                <w:rFonts w:ascii="Verdana" w:hAnsi="Verdana"/>
                <w:color w:val="7F7F7F" w:themeColor="text1" w:themeTint="80"/>
                <w:sz w:val="22"/>
                <w:szCs w:val="22"/>
                <w:lang w:val="en-GB" w:eastAsia="fr-FR"/>
              </w:rPr>
              <w:t>´s conclusions</w:t>
            </w:r>
            <w:r w:rsidRPr="00395661">
              <w:rPr>
                <w:rFonts w:ascii="Verdana" w:hAnsi="Verdana"/>
                <w:color w:val="7F7F7F" w:themeColor="text1" w:themeTint="80"/>
                <w:sz w:val="22"/>
                <w:szCs w:val="22"/>
                <w:lang w:val="en-GB" w:eastAsia="fr-FR"/>
              </w:rPr>
              <w:t xml:space="preserve"> for the following reasons:</w:t>
            </w:r>
          </w:p>
          <w:p w14:paraId="33D599A2" w14:textId="495AD0B8" w:rsidR="00891023" w:rsidRPr="00395661" w:rsidRDefault="00891023" w:rsidP="00020B14">
            <w:pPr>
              <w:pStyle w:val="ListParagraph"/>
              <w:numPr>
                <w:ilvl w:val="0"/>
                <w:numId w:val="14"/>
              </w:numPr>
              <w:tabs>
                <w:tab w:val="left" w:pos="0"/>
              </w:tabs>
              <w:ind w:left="0"/>
              <w:rPr>
                <w:rFonts w:ascii="Verdana" w:hAnsi="Verdana"/>
                <w:color w:val="7F7F7F" w:themeColor="text1" w:themeTint="80"/>
                <w:lang w:val="en-GB" w:eastAsia="fr-FR"/>
              </w:rPr>
            </w:pPr>
            <w:r w:rsidRPr="00395661">
              <w:rPr>
                <w:rFonts w:ascii="Verdana" w:hAnsi="Verdana"/>
                <w:color w:val="7F7F7F" w:themeColor="text1" w:themeTint="80"/>
                <w:lang w:val="en-GB" w:eastAsia="fr-FR"/>
              </w:rPr>
              <w:t>Non-life insurance liabilities are usually not redeemable</w:t>
            </w:r>
            <w:r w:rsidR="00AF2DC0" w:rsidRPr="00395661">
              <w:rPr>
                <w:rFonts w:ascii="Verdana" w:hAnsi="Verdana"/>
                <w:color w:val="7F7F7F" w:themeColor="text1" w:themeTint="80"/>
                <w:lang w:val="en-GB" w:eastAsia="fr-FR"/>
              </w:rPr>
              <w:t xml:space="preserve"> (</w:t>
            </w:r>
            <w:r w:rsidR="00366457" w:rsidRPr="00395661">
              <w:rPr>
                <w:rFonts w:ascii="Verdana" w:hAnsi="Verdana"/>
                <w:color w:val="7F7F7F" w:themeColor="text1" w:themeTint="80"/>
                <w:lang w:val="en-GB" w:eastAsia="fr-FR"/>
              </w:rPr>
              <w:t>i.e.</w:t>
            </w:r>
            <w:r w:rsidR="00AF2DC0" w:rsidRPr="00395661">
              <w:rPr>
                <w:rFonts w:ascii="Verdana" w:hAnsi="Verdana"/>
                <w:color w:val="7F7F7F" w:themeColor="text1" w:themeTint="80"/>
                <w:lang w:val="en-GB" w:eastAsia="fr-FR"/>
              </w:rPr>
              <w:t xml:space="preserve"> they cannot be lapsed)</w:t>
            </w:r>
            <w:r w:rsidRPr="00395661">
              <w:rPr>
                <w:rFonts w:ascii="Verdana" w:hAnsi="Verdana"/>
                <w:color w:val="7F7F7F" w:themeColor="text1" w:themeTint="80"/>
                <w:lang w:val="en-GB" w:eastAsia="fr-FR"/>
              </w:rPr>
              <w:t xml:space="preserve">, have a very predictable pattern. Such liabilities are therefore very illiquid and should not be prevented to benefit from the VA. </w:t>
            </w:r>
          </w:p>
          <w:p w14:paraId="2473B94A" w14:textId="2568F86F" w:rsidR="00891023" w:rsidRPr="00395661" w:rsidRDefault="00891023" w:rsidP="00020B14">
            <w:pPr>
              <w:pStyle w:val="ListParagraph"/>
              <w:numPr>
                <w:ilvl w:val="0"/>
                <w:numId w:val="14"/>
              </w:numPr>
              <w:tabs>
                <w:tab w:val="left" w:pos="0"/>
              </w:tabs>
              <w:ind w:left="0"/>
              <w:rPr>
                <w:rFonts w:ascii="Verdana" w:hAnsi="Verdana"/>
                <w:color w:val="7F7F7F" w:themeColor="text1" w:themeTint="80"/>
                <w:lang w:val="en-GB" w:eastAsia="fr-FR"/>
              </w:rPr>
            </w:pPr>
            <w:r w:rsidRPr="00395661">
              <w:rPr>
                <w:rFonts w:ascii="Verdana" w:hAnsi="Verdana"/>
                <w:color w:val="7F7F7F" w:themeColor="text1" w:themeTint="80"/>
                <w:lang w:val="en-GB" w:eastAsia="fr-FR"/>
              </w:rPr>
              <w:t xml:space="preserve">The fact that </w:t>
            </w:r>
            <w:r w:rsidRPr="00395661">
              <w:rPr>
                <w:rFonts w:ascii="Verdana" w:hAnsi="Verdana"/>
                <w:i/>
                <w:color w:val="7F7F7F" w:themeColor="text1" w:themeTint="80"/>
                <w:lang w:val="en-GB" w:eastAsia="fr-FR"/>
              </w:rPr>
              <w:t>“it is not straightforward to determine stressed cash-flows for non-life insurance”</w:t>
            </w:r>
            <w:r w:rsidRPr="00395661">
              <w:rPr>
                <w:rFonts w:ascii="Verdana" w:hAnsi="Verdana"/>
                <w:color w:val="7F7F7F" w:themeColor="text1" w:themeTint="80"/>
                <w:lang w:val="en-GB" w:eastAsia="fr-FR"/>
              </w:rPr>
              <w:t xml:space="preserve"> mentioned in paragraph 2.391 may be debatable but is no reason to discard the logic explained above on the ability for undertakings to capture an illiquidity premium.</w:t>
            </w:r>
          </w:p>
          <w:p w14:paraId="3E638448" w14:textId="470F88B3" w:rsidR="00891023" w:rsidRPr="00395661" w:rsidRDefault="00891023" w:rsidP="00020B14">
            <w:pPr>
              <w:tabs>
                <w:tab w:val="left" w:pos="0"/>
              </w:tabs>
              <w:spacing w:before="120" w:after="120"/>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The illiquidity of liabilities focuses on insurance liabilities and do not account for own funds that are illiquid and leave the opportunity to undertakings to capture an illiquidity premium. This is an issue of importance for non-life insurers where own funds may represent a significant part of the balance sheet. It is an</w:t>
            </w:r>
            <w:r w:rsidRPr="00395661">
              <w:rPr>
                <w:rFonts w:ascii="Verdana" w:hAnsi="Verdana"/>
                <w:color w:val="7F7F7F" w:themeColor="text1" w:themeTint="80"/>
                <w:lang w:val="en-GB" w:eastAsia="fr-FR"/>
              </w:rPr>
              <w:t xml:space="preserve"> </w:t>
            </w:r>
            <w:r w:rsidRPr="00395661">
              <w:rPr>
                <w:rFonts w:ascii="Verdana" w:hAnsi="Verdana"/>
                <w:color w:val="7F7F7F" w:themeColor="text1" w:themeTint="80"/>
                <w:sz w:val="22"/>
                <w:szCs w:val="22"/>
                <w:lang w:val="en-GB" w:eastAsia="fr-FR"/>
              </w:rPr>
              <w:t>issue of importance for mutuals with their specificities in capital structure.</w:t>
            </w:r>
          </w:p>
        </w:tc>
        <w:tc>
          <w:tcPr>
            <w:tcW w:w="483" w:type="pct"/>
            <w:tcBorders>
              <w:top w:val="single" w:sz="4" w:space="0" w:color="auto"/>
              <w:left w:val="single" w:sz="4" w:space="0" w:color="auto"/>
              <w:bottom w:val="single" w:sz="4" w:space="0" w:color="auto"/>
              <w:right w:val="single" w:sz="4" w:space="0" w:color="auto"/>
            </w:tcBorders>
          </w:tcPr>
          <w:p w14:paraId="0AD68BB6" w14:textId="77777777" w:rsidR="00891023" w:rsidRPr="00CF2245" w:rsidRDefault="00891023" w:rsidP="00020B14">
            <w:pPr>
              <w:tabs>
                <w:tab w:val="left" w:pos="0"/>
              </w:tabs>
              <w:rPr>
                <w:color w:val="7F7F7F" w:themeColor="text1" w:themeTint="80"/>
                <w:sz w:val="22"/>
                <w:szCs w:val="22"/>
                <w:lang w:val="en-GB" w:eastAsia="fr-FR"/>
              </w:rPr>
            </w:pPr>
          </w:p>
        </w:tc>
      </w:tr>
      <w:tr w:rsidR="00FC5744" w:rsidRPr="001360A5" w14:paraId="2EE36057"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97CF55B" w14:textId="322BD2FE" w:rsidR="00891023" w:rsidRPr="00F0251A" w:rsidRDefault="00891023" w:rsidP="00020B14">
            <w:pPr>
              <w:tabs>
                <w:tab w:val="left" w:pos="0"/>
              </w:tabs>
              <w:ind w:left="-96"/>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59DD8F5B" w14:textId="64A2214A" w:rsidR="00891023" w:rsidRPr="00F0251A" w:rsidRDefault="00891023" w:rsidP="00020B14">
            <w:pPr>
              <w:tabs>
                <w:tab w:val="left" w:pos="0"/>
              </w:tabs>
              <w:rPr>
                <w:rFonts w:ascii="Verdana" w:hAnsi="Verdana"/>
                <w:color w:val="7F7F7F" w:themeColor="text1" w:themeTint="80"/>
                <w:sz w:val="22"/>
                <w:szCs w:val="22"/>
                <w:lang w:val="en-GB" w:eastAsia="fr-FR"/>
              </w:rPr>
            </w:pPr>
            <w:r w:rsidRPr="008F70F8">
              <w:rPr>
                <w:rFonts w:ascii="Verdana" w:hAnsi="Verdana"/>
                <w:b/>
                <w:bCs/>
                <w:color w:val="7F7F7F" w:themeColor="text1" w:themeTint="80"/>
                <w:sz w:val="22"/>
                <w:szCs w:val="22"/>
                <w:lang w:val="en-GB" w:eastAsia="fr-FR"/>
              </w:rPr>
              <w:t>Question to stakeholder</w:t>
            </w:r>
            <w:r w:rsidRPr="003720A2">
              <w:rPr>
                <w:rFonts w:ascii="Verdana" w:hAnsi="Verdana"/>
                <w:b/>
                <w:bCs/>
                <w:color w:val="7F7F7F" w:themeColor="text1" w:themeTint="80"/>
                <w:sz w:val="22"/>
                <w:szCs w:val="22"/>
                <w:lang w:val="en-GB" w:eastAsia="fr-FR"/>
              </w:rPr>
              <w:t>s</w:t>
            </w:r>
          </w:p>
        </w:tc>
        <w:tc>
          <w:tcPr>
            <w:tcW w:w="1999" w:type="pct"/>
            <w:tcBorders>
              <w:top w:val="single" w:sz="4" w:space="0" w:color="auto"/>
              <w:left w:val="single" w:sz="4" w:space="0" w:color="auto"/>
              <w:bottom w:val="single" w:sz="4" w:space="0" w:color="auto"/>
              <w:right w:val="single" w:sz="4" w:space="0" w:color="auto"/>
            </w:tcBorders>
          </w:tcPr>
          <w:p w14:paraId="3E69CC8F" w14:textId="77777777" w:rsidR="00891023" w:rsidRPr="00395661" w:rsidRDefault="00891023" w:rsidP="00020B14">
            <w:pPr>
              <w:tabs>
                <w:tab w:val="left" w:pos="0"/>
              </w:tabs>
              <w:rPr>
                <w:rFonts w:ascii="Verdana" w:hAnsi="Verdana"/>
                <w:b/>
                <w:bCs/>
                <w:color w:val="7F7F7F" w:themeColor="text1" w:themeTint="80"/>
                <w:sz w:val="22"/>
                <w:szCs w:val="22"/>
                <w:lang w:val="en-GB" w:eastAsia="fr-FR"/>
              </w:rPr>
            </w:pPr>
            <w:r w:rsidRPr="00395661">
              <w:rPr>
                <w:rFonts w:ascii="Verdana" w:hAnsi="Verdana"/>
                <w:b/>
                <w:bCs/>
                <w:color w:val="7F7F7F" w:themeColor="text1" w:themeTint="80"/>
                <w:sz w:val="22"/>
                <w:szCs w:val="22"/>
                <w:lang w:val="en-GB" w:eastAsia="fr-FR"/>
              </w:rPr>
              <w:t>Q2.6: Should liquidity buffers be recognized in the VA calculation? If yes, please describe how they should be recognized.</w:t>
            </w:r>
          </w:p>
          <w:p w14:paraId="5B8308D3" w14:textId="77777777" w:rsidR="00891023" w:rsidRPr="00395661" w:rsidRDefault="00891023" w:rsidP="00020B14">
            <w:pPr>
              <w:tabs>
                <w:tab w:val="left" w:pos="0"/>
              </w:tabs>
              <w:rPr>
                <w:rFonts w:ascii="Verdana" w:hAnsi="Verdana"/>
                <w:color w:val="7F7F7F" w:themeColor="text1" w:themeTint="80"/>
                <w:sz w:val="22"/>
                <w:szCs w:val="22"/>
                <w:lang w:val="en-GB" w:eastAsia="fr-FR"/>
              </w:rPr>
            </w:pPr>
          </w:p>
          <w:p w14:paraId="242E0472" w14:textId="3ADD59C1" w:rsidR="00891023" w:rsidRPr="00395661" w:rsidRDefault="00891023"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lastRenderedPageBreak/>
              <w:t>The whole discussion about Option 5 does not make any reference to the illiquidity features of own funds. For instance, in paragraph 2.416 the classification of insurance contracts along their degree of illiquidity, could be extended to own funds.</w:t>
            </w:r>
          </w:p>
          <w:p w14:paraId="23D17418" w14:textId="4CF6692F" w:rsidR="00891023" w:rsidRPr="00395661" w:rsidRDefault="00891023" w:rsidP="00020B14">
            <w:pPr>
              <w:tabs>
                <w:tab w:val="left" w:pos="0"/>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355F94FC" w14:textId="77777777" w:rsidR="00891023" w:rsidRPr="00CF2245" w:rsidRDefault="00891023" w:rsidP="00020B14">
            <w:pPr>
              <w:tabs>
                <w:tab w:val="left" w:pos="0"/>
              </w:tabs>
              <w:rPr>
                <w:color w:val="7F7F7F" w:themeColor="text1" w:themeTint="80"/>
                <w:sz w:val="22"/>
                <w:szCs w:val="22"/>
                <w:lang w:val="en-GB" w:eastAsia="fr-FR"/>
              </w:rPr>
            </w:pPr>
          </w:p>
        </w:tc>
      </w:tr>
      <w:tr w:rsidR="00FC5744" w:rsidRPr="001360A5" w14:paraId="201428F8"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3F3A672" w14:textId="16576279" w:rsidR="00891023" w:rsidRPr="00F0251A" w:rsidRDefault="00891023" w:rsidP="00020B14">
            <w:pPr>
              <w:tabs>
                <w:tab w:val="left" w:pos="0"/>
              </w:tabs>
              <w:ind w:left="-96"/>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15455023" w14:textId="1335E9CF" w:rsidR="00891023" w:rsidRPr="008F70F8" w:rsidRDefault="00891023" w:rsidP="00020B14">
            <w:pPr>
              <w:tabs>
                <w:tab w:val="left" w:pos="0"/>
              </w:tabs>
              <w:rPr>
                <w:rFonts w:ascii="Verdana" w:hAnsi="Verdana"/>
                <w:b/>
                <w:bCs/>
                <w:color w:val="7F7F7F" w:themeColor="text1" w:themeTint="80"/>
                <w:sz w:val="22"/>
                <w:szCs w:val="22"/>
                <w:lang w:val="en-GB" w:eastAsia="fr-FR"/>
              </w:rPr>
            </w:pPr>
            <w:r w:rsidRPr="008F70F8">
              <w:rPr>
                <w:rFonts w:ascii="Verdana" w:hAnsi="Verdana"/>
                <w:b/>
                <w:bCs/>
                <w:color w:val="7F7F7F" w:themeColor="text1" w:themeTint="80"/>
                <w:sz w:val="22"/>
                <w:szCs w:val="22"/>
                <w:lang w:val="en-GB" w:eastAsia="fr-FR"/>
              </w:rPr>
              <w:t>Question to stakeholders</w:t>
            </w:r>
          </w:p>
        </w:tc>
        <w:tc>
          <w:tcPr>
            <w:tcW w:w="1999" w:type="pct"/>
            <w:tcBorders>
              <w:top w:val="single" w:sz="4" w:space="0" w:color="auto"/>
              <w:left w:val="single" w:sz="4" w:space="0" w:color="auto"/>
              <w:bottom w:val="single" w:sz="4" w:space="0" w:color="auto"/>
              <w:right w:val="single" w:sz="4" w:space="0" w:color="auto"/>
            </w:tcBorders>
          </w:tcPr>
          <w:p w14:paraId="34642686" w14:textId="77777777" w:rsidR="00891023" w:rsidRPr="00395661" w:rsidRDefault="00891023" w:rsidP="00020B14">
            <w:pPr>
              <w:tabs>
                <w:tab w:val="left" w:pos="0"/>
              </w:tabs>
              <w:rPr>
                <w:rFonts w:ascii="Verdana" w:hAnsi="Verdana"/>
                <w:b/>
                <w:bCs/>
                <w:color w:val="7F7F7F" w:themeColor="text1" w:themeTint="80"/>
                <w:sz w:val="22"/>
                <w:szCs w:val="22"/>
                <w:lang w:val="en-GB" w:eastAsia="fr-FR"/>
              </w:rPr>
            </w:pPr>
            <w:r w:rsidRPr="00395661">
              <w:rPr>
                <w:rFonts w:ascii="Verdana" w:hAnsi="Verdana"/>
                <w:b/>
                <w:bCs/>
                <w:color w:val="7F7F7F" w:themeColor="text1" w:themeTint="80"/>
                <w:sz w:val="22"/>
                <w:szCs w:val="22"/>
                <w:lang w:val="en-GB" w:eastAsia="fr-FR"/>
              </w:rPr>
              <w:t>Q2.7: What are your views on Approach 1 and Approach 2? Your comments are also invited on the options that are implemented in Approach 1 and Approach 2 as well as on the other options specified in this section.</w:t>
            </w:r>
          </w:p>
          <w:p w14:paraId="42DF313C" w14:textId="77777777" w:rsidR="00891023" w:rsidRPr="00395661" w:rsidRDefault="00891023" w:rsidP="00020B14">
            <w:pPr>
              <w:tabs>
                <w:tab w:val="left" w:pos="0"/>
              </w:tabs>
              <w:rPr>
                <w:rFonts w:ascii="Verdana" w:hAnsi="Verdana"/>
                <w:b/>
                <w:bCs/>
                <w:color w:val="7F7F7F" w:themeColor="text1" w:themeTint="80"/>
                <w:sz w:val="22"/>
                <w:szCs w:val="22"/>
                <w:lang w:val="en-GB" w:eastAsia="fr-FR"/>
              </w:rPr>
            </w:pPr>
          </w:p>
          <w:p w14:paraId="7A4BBCC9" w14:textId="4306B5D7" w:rsidR="00891023" w:rsidRPr="00395661" w:rsidRDefault="00891023"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Several points have retained our attention in these approaches:</w:t>
            </w:r>
          </w:p>
          <w:p w14:paraId="46966CDF" w14:textId="5DA4B46E" w:rsidR="00891023" w:rsidRPr="00395661" w:rsidRDefault="00891023" w:rsidP="00020B14">
            <w:pPr>
              <w:pStyle w:val="ListParagraph"/>
              <w:numPr>
                <w:ilvl w:val="0"/>
                <w:numId w:val="15"/>
              </w:numPr>
              <w:tabs>
                <w:tab w:val="left" w:pos="0"/>
              </w:tabs>
              <w:spacing w:before="120" w:after="120"/>
              <w:ind w:left="0" w:hanging="357"/>
              <w:rPr>
                <w:rFonts w:ascii="Verdana" w:hAnsi="Verdana"/>
                <w:color w:val="7F7F7F" w:themeColor="text1" w:themeTint="80"/>
                <w:lang w:val="en-GB" w:eastAsia="fr-FR"/>
              </w:rPr>
            </w:pPr>
            <w:r w:rsidRPr="00395661">
              <w:rPr>
                <w:rFonts w:ascii="Verdana" w:hAnsi="Verdana"/>
                <w:color w:val="7F7F7F" w:themeColor="text1" w:themeTint="80"/>
                <w:lang w:val="en-GB" w:eastAsia="fr-FR"/>
              </w:rPr>
              <w:t xml:space="preserve">EIOPA points out that the current VA design may lead in some situations to over or undershooting. However, we note that the asymmetrical correction against asset volume and duration mismatch only caters for overshooting. We would suggest a more balanced approach that copes with both over and under-shooting in a balanced way. </w:t>
            </w:r>
          </w:p>
          <w:p w14:paraId="13DB789D" w14:textId="77777777" w:rsidR="00891023" w:rsidRPr="00395661" w:rsidRDefault="00891023" w:rsidP="00020B14">
            <w:pPr>
              <w:pStyle w:val="ListParagraph"/>
              <w:numPr>
                <w:ilvl w:val="0"/>
                <w:numId w:val="15"/>
              </w:numPr>
              <w:tabs>
                <w:tab w:val="left" w:pos="0"/>
              </w:tabs>
              <w:spacing w:before="120" w:after="120"/>
              <w:ind w:left="0" w:hanging="357"/>
              <w:rPr>
                <w:rFonts w:ascii="Verdana" w:hAnsi="Verdana"/>
                <w:color w:val="7F7F7F" w:themeColor="text1" w:themeTint="80"/>
                <w:lang w:val="en-GB" w:eastAsia="fr-FR"/>
              </w:rPr>
            </w:pPr>
            <w:r w:rsidRPr="00395661">
              <w:rPr>
                <w:rFonts w:ascii="Verdana" w:hAnsi="Verdana"/>
                <w:color w:val="7F7F7F" w:themeColor="text1" w:themeTint="80"/>
                <w:lang w:val="en-GB" w:eastAsia="fr-FR"/>
              </w:rPr>
              <w:t>Artificial temporary volatility associated with the widening of spreads should be compensated for assets backing own funds where long term management is exercised on the asset portfolio</w:t>
            </w:r>
            <w:r w:rsidRPr="00395661">
              <w:rPr>
                <w:rFonts w:ascii="Verdana" w:hAnsi="Verdana"/>
                <w:b/>
                <w:bCs/>
                <w:color w:val="7F7F7F" w:themeColor="text1" w:themeTint="80"/>
                <w:lang w:val="en-GB" w:eastAsia="fr-FR"/>
              </w:rPr>
              <w:t>.</w:t>
            </w:r>
          </w:p>
          <w:p w14:paraId="25201B77" w14:textId="3CC03361" w:rsidR="00891023" w:rsidRPr="00395661" w:rsidRDefault="00891023"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 xml:space="preserve">The computation of an entity specific ratio as the maximum between two entity specific ratios induces numerous extra computations to be performed before undertakings may start to compute the </w:t>
            </w:r>
            <w:r w:rsidR="00A21D87">
              <w:rPr>
                <w:rFonts w:ascii="Verdana" w:hAnsi="Verdana"/>
                <w:color w:val="7F7F7F" w:themeColor="text1" w:themeTint="80"/>
                <w:sz w:val="22"/>
                <w:szCs w:val="22"/>
                <w:lang w:val="en-GB" w:eastAsia="fr-FR"/>
              </w:rPr>
              <w:t>Solvency II</w:t>
            </w:r>
            <w:r w:rsidRPr="00395661">
              <w:rPr>
                <w:rFonts w:ascii="Verdana" w:hAnsi="Verdana"/>
                <w:color w:val="7F7F7F" w:themeColor="text1" w:themeTint="80"/>
                <w:sz w:val="22"/>
                <w:szCs w:val="22"/>
                <w:lang w:val="en-GB" w:eastAsia="fr-FR"/>
              </w:rPr>
              <w:t xml:space="preserve"> balance sheet.</w:t>
            </w:r>
          </w:p>
          <w:p w14:paraId="1F2017B3" w14:textId="55F1917F" w:rsidR="00891023" w:rsidRPr="00395661" w:rsidRDefault="00891023" w:rsidP="00020B14">
            <w:pPr>
              <w:tabs>
                <w:tab w:val="left" w:pos="0"/>
              </w:tabs>
              <w:rPr>
                <w:rFonts w:ascii="Verdana" w:hAnsi="Verdana"/>
                <w:b/>
                <w:bCs/>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See also “General comments – AMICE’s proposal on Risk correction”</w:t>
            </w:r>
            <w:r w:rsidR="00CC533D" w:rsidRPr="00395661">
              <w:rPr>
                <w:rFonts w:ascii="Verdana" w:hAnsi="Verdana"/>
                <w:color w:val="7F7F7F" w:themeColor="text1" w:themeTint="80"/>
                <w:sz w:val="22"/>
                <w:szCs w:val="22"/>
                <w:lang w:val="en-GB" w:eastAsia="fr-FR"/>
              </w:rPr>
              <w:t>.</w:t>
            </w:r>
          </w:p>
        </w:tc>
        <w:tc>
          <w:tcPr>
            <w:tcW w:w="483" w:type="pct"/>
            <w:tcBorders>
              <w:top w:val="single" w:sz="4" w:space="0" w:color="auto"/>
              <w:left w:val="single" w:sz="4" w:space="0" w:color="auto"/>
              <w:bottom w:val="single" w:sz="4" w:space="0" w:color="auto"/>
              <w:right w:val="single" w:sz="4" w:space="0" w:color="auto"/>
            </w:tcBorders>
          </w:tcPr>
          <w:p w14:paraId="2D39DE5C" w14:textId="77777777" w:rsidR="00891023" w:rsidRPr="00CF2245" w:rsidRDefault="00891023" w:rsidP="00020B14">
            <w:pPr>
              <w:tabs>
                <w:tab w:val="left" w:pos="0"/>
              </w:tabs>
              <w:rPr>
                <w:color w:val="7F7F7F" w:themeColor="text1" w:themeTint="80"/>
                <w:sz w:val="22"/>
                <w:szCs w:val="22"/>
                <w:lang w:val="en-GB" w:eastAsia="fr-FR"/>
              </w:rPr>
            </w:pPr>
          </w:p>
        </w:tc>
      </w:tr>
      <w:tr w:rsidR="00FC5744" w:rsidRPr="001360A5" w14:paraId="6050575B"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07478C0" w14:textId="3C4A3DB3" w:rsidR="00891023" w:rsidRPr="00F0251A" w:rsidRDefault="00891023" w:rsidP="00020B14">
            <w:pPr>
              <w:tabs>
                <w:tab w:val="left" w:pos="0"/>
              </w:tabs>
              <w:ind w:left="-96"/>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lastRenderedPageBreak/>
              <w:t>2</w:t>
            </w:r>
          </w:p>
        </w:tc>
        <w:tc>
          <w:tcPr>
            <w:tcW w:w="506" w:type="pct"/>
            <w:gridSpan w:val="2"/>
            <w:tcBorders>
              <w:top w:val="single" w:sz="4" w:space="0" w:color="auto"/>
              <w:left w:val="single" w:sz="4" w:space="0" w:color="auto"/>
              <w:bottom w:val="single" w:sz="4" w:space="0" w:color="auto"/>
              <w:right w:val="single" w:sz="4" w:space="0" w:color="auto"/>
            </w:tcBorders>
          </w:tcPr>
          <w:p w14:paraId="4F49429A" w14:textId="24EF9472" w:rsidR="00891023" w:rsidRPr="00F0251A" w:rsidRDefault="00891023" w:rsidP="00020B14">
            <w:pPr>
              <w:tabs>
                <w:tab w:val="left" w:pos="0"/>
              </w:tabs>
              <w:rPr>
                <w:rFonts w:ascii="Verdana" w:hAnsi="Verdana"/>
                <w:color w:val="7F7F7F" w:themeColor="text1" w:themeTint="80"/>
                <w:sz w:val="22"/>
                <w:szCs w:val="22"/>
                <w:lang w:val="en-GB" w:eastAsia="fr-FR"/>
              </w:rPr>
            </w:pPr>
            <w:r w:rsidRPr="008F70F8">
              <w:rPr>
                <w:rFonts w:ascii="Verdana" w:hAnsi="Verdana"/>
                <w:b/>
                <w:bCs/>
                <w:color w:val="7F7F7F" w:themeColor="text1" w:themeTint="80"/>
                <w:sz w:val="22"/>
                <w:szCs w:val="22"/>
                <w:lang w:val="en-GB" w:eastAsia="fr-FR"/>
              </w:rPr>
              <w:t>Question to stakeholder</w:t>
            </w:r>
            <w:r w:rsidRPr="000C1ED6">
              <w:rPr>
                <w:rFonts w:ascii="Verdana" w:hAnsi="Verdana"/>
                <w:b/>
                <w:bCs/>
                <w:color w:val="7F7F7F" w:themeColor="text1" w:themeTint="80"/>
                <w:sz w:val="22"/>
                <w:szCs w:val="22"/>
                <w:lang w:val="en-GB" w:eastAsia="fr-FR"/>
              </w:rPr>
              <w:t>s</w:t>
            </w:r>
          </w:p>
        </w:tc>
        <w:tc>
          <w:tcPr>
            <w:tcW w:w="1999" w:type="pct"/>
            <w:tcBorders>
              <w:top w:val="single" w:sz="4" w:space="0" w:color="auto"/>
              <w:left w:val="single" w:sz="4" w:space="0" w:color="auto"/>
              <w:bottom w:val="single" w:sz="4" w:space="0" w:color="auto"/>
              <w:right w:val="single" w:sz="4" w:space="0" w:color="auto"/>
            </w:tcBorders>
          </w:tcPr>
          <w:p w14:paraId="55B58223" w14:textId="593915DA" w:rsidR="00891023" w:rsidRPr="00395661" w:rsidRDefault="00891023" w:rsidP="00020B14">
            <w:pPr>
              <w:tabs>
                <w:tab w:val="left" w:pos="0"/>
              </w:tabs>
              <w:rPr>
                <w:rFonts w:ascii="Verdana" w:hAnsi="Verdana"/>
                <w:b/>
                <w:bCs/>
                <w:color w:val="7F7F7F" w:themeColor="text1" w:themeTint="80"/>
                <w:sz w:val="22"/>
                <w:szCs w:val="22"/>
                <w:lang w:val="en-GB" w:eastAsia="fr-FR"/>
              </w:rPr>
            </w:pPr>
            <w:r w:rsidRPr="00395661">
              <w:rPr>
                <w:rFonts w:ascii="Verdana" w:hAnsi="Verdana"/>
                <w:b/>
                <w:bCs/>
                <w:color w:val="7F7F7F" w:themeColor="text1" w:themeTint="80"/>
                <w:sz w:val="22"/>
                <w:szCs w:val="22"/>
                <w:lang w:val="en-GB" w:eastAsia="fr-FR"/>
              </w:rPr>
              <w:t>Q2.8 What is your view on the general application ratio? Should it be changed in case approach 1 or approach 2 to the VA design would be adopted?</w:t>
            </w:r>
          </w:p>
          <w:p w14:paraId="6A0FAB46" w14:textId="77777777" w:rsidR="00891023" w:rsidRPr="00395661" w:rsidRDefault="00891023" w:rsidP="00020B14">
            <w:pPr>
              <w:tabs>
                <w:tab w:val="left" w:pos="0"/>
              </w:tabs>
              <w:rPr>
                <w:rFonts w:ascii="Verdana" w:hAnsi="Verdana"/>
                <w:color w:val="7F7F7F" w:themeColor="text1" w:themeTint="80"/>
                <w:sz w:val="22"/>
                <w:szCs w:val="22"/>
                <w:lang w:val="en-GB" w:eastAsia="fr-FR"/>
              </w:rPr>
            </w:pPr>
          </w:p>
          <w:p w14:paraId="1CD1FE07" w14:textId="18816D8A" w:rsidR="00891023" w:rsidRPr="00395661" w:rsidRDefault="00891023" w:rsidP="00020B14">
            <w:pPr>
              <w:tabs>
                <w:tab w:val="left" w:pos="0"/>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In both approaches, we are the opinion that there is no justification for the GAR. Considering EIOPA’s approaches and identified issues, there is no justification to remain with a GAR of 65%. We even tend to state that the GAR should be 100% based on content of the current approaches.</w:t>
            </w:r>
          </w:p>
          <w:p w14:paraId="35C3ED76" w14:textId="77777777" w:rsidR="00891023" w:rsidRPr="00395661" w:rsidRDefault="00891023" w:rsidP="00020B14">
            <w:pPr>
              <w:tabs>
                <w:tab w:val="left" w:pos="0"/>
              </w:tabs>
              <w:rPr>
                <w:rFonts w:ascii="Verdana" w:hAnsi="Verdana"/>
                <w:b/>
                <w:bCs/>
                <w:color w:val="7F7F7F" w:themeColor="text1" w:themeTint="80"/>
                <w:sz w:val="22"/>
                <w:szCs w:val="22"/>
                <w:lang w:val="en-GB" w:eastAsia="fr-FR"/>
              </w:rPr>
            </w:pPr>
          </w:p>
          <w:p w14:paraId="488CFA84" w14:textId="2F4E4DE9" w:rsidR="00891023" w:rsidRPr="00395661" w:rsidRDefault="00891023" w:rsidP="00020B14">
            <w:pPr>
              <w:tabs>
                <w:tab w:val="left" w:pos="0"/>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63737B5C" w14:textId="77777777" w:rsidR="00891023" w:rsidRPr="00CF2245" w:rsidRDefault="00891023" w:rsidP="00020B14">
            <w:pPr>
              <w:tabs>
                <w:tab w:val="left" w:pos="0"/>
              </w:tabs>
              <w:rPr>
                <w:color w:val="7F7F7F" w:themeColor="text1" w:themeTint="80"/>
                <w:sz w:val="22"/>
                <w:szCs w:val="22"/>
                <w:lang w:val="en-GB" w:eastAsia="fr-FR"/>
              </w:rPr>
            </w:pPr>
          </w:p>
        </w:tc>
      </w:tr>
      <w:tr w:rsidR="00FC5744" w:rsidRPr="00395661" w14:paraId="2BD516A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5341D39" w14:textId="27A50F6C" w:rsidR="00891023" w:rsidRPr="00FE3045" w:rsidRDefault="00891023" w:rsidP="00020B14">
            <w:pPr>
              <w:tabs>
                <w:tab w:val="left" w:pos="0"/>
              </w:tabs>
              <w:ind w:left="-96"/>
              <w:rPr>
                <w:rFonts w:ascii="Verdana" w:hAnsi="Verdana"/>
                <w:color w:val="000000"/>
                <w:sz w:val="22"/>
                <w:szCs w:val="22"/>
                <w:lang w:val="en-GB" w:eastAsia="fr-FR"/>
              </w:rPr>
            </w:pPr>
            <w:r w:rsidRPr="0003536E">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3B51BB0C" w14:textId="5D46C611" w:rsidR="00891023" w:rsidRPr="00FE3045" w:rsidRDefault="00891023" w:rsidP="00020B14">
            <w:pPr>
              <w:tabs>
                <w:tab w:val="left" w:pos="0"/>
              </w:tabs>
              <w:rPr>
                <w:rFonts w:ascii="Verdana" w:hAnsi="Verdana"/>
                <w:color w:val="000000"/>
                <w:sz w:val="22"/>
                <w:szCs w:val="22"/>
                <w:lang w:val="en-GB" w:eastAsia="fr-FR"/>
              </w:rPr>
            </w:pPr>
            <w:r w:rsidRPr="001E6C34">
              <w:rPr>
                <w:rFonts w:ascii="Verdana" w:hAnsi="Verdana"/>
                <w:color w:val="7F7F7F" w:themeColor="text1" w:themeTint="80"/>
                <w:sz w:val="22"/>
                <w:szCs w:val="22"/>
                <w:lang w:val="en-GB" w:eastAsia="fr-FR"/>
              </w:rPr>
              <w:t>General comments – AMICE´s Proposal</w:t>
            </w:r>
          </w:p>
        </w:tc>
        <w:tc>
          <w:tcPr>
            <w:tcW w:w="1999" w:type="pct"/>
            <w:tcBorders>
              <w:top w:val="single" w:sz="4" w:space="0" w:color="auto"/>
              <w:left w:val="single" w:sz="4" w:space="0" w:color="auto"/>
              <w:bottom w:val="single" w:sz="4" w:space="0" w:color="auto"/>
              <w:right w:val="single" w:sz="4" w:space="0" w:color="auto"/>
            </w:tcBorders>
          </w:tcPr>
          <w:p w14:paraId="3B678A97" w14:textId="28AF9769" w:rsidR="00891023" w:rsidRPr="00395661" w:rsidRDefault="00891023" w:rsidP="00020B14">
            <w:pPr>
              <w:tabs>
                <w:tab w:val="left" w:pos="0"/>
              </w:tabs>
              <w:rPr>
                <w:rFonts w:ascii="Verdana" w:hAnsi="Verdana"/>
                <w:b/>
                <w:color w:val="7F7F7F" w:themeColor="text1" w:themeTint="80"/>
                <w:sz w:val="22"/>
                <w:szCs w:val="22"/>
                <w:lang w:val="en-US"/>
              </w:rPr>
            </w:pPr>
            <w:r w:rsidRPr="00395661">
              <w:rPr>
                <w:rFonts w:ascii="Verdana" w:hAnsi="Verdana"/>
                <w:b/>
                <w:color w:val="7F7F7F" w:themeColor="text1" w:themeTint="80"/>
                <w:sz w:val="22"/>
                <w:szCs w:val="22"/>
                <w:lang w:val="en-US"/>
              </w:rPr>
              <w:t>Risk correction</w:t>
            </w:r>
          </w:p>
          <w:p w14:paraId="0E3CA637" w14:textId="77777777" w:rsidR="00891023" w:rsidRPr="00395661" w:rsidRDefault="00891023" w:rsidP="00020B14">
            <w:pPr>
              <w:pStyle w:val="Heading1"/>
              <w:keepLines/>
              <w:tabs>
                <w:tab w:val="clear" w:pos="360"/>
                <w:tab w:val="left" w:pos="0"/>
              </w:tabs>
              <w:spacing w:before="120" w:after="120" w:line="264" w:lineRule="auto"/>
              <w:ind w:hanging="432"/>
              <w:rPr>
                <w:rFonts w:ascii="Verdana" w:hAnsi="Verdana"/>
                <w:color w:val="7F7F7F" w:themeColor="text1" w:themeTint="80"/>
                <w:sz w:val="22"/>
                <w:szCs w:val="22"/>
              </w:rPr>
            </w:pPr>
            <w:bookmarkStart w:id="8" w:name="_Ref528825584"/>
            <w:bookmarkStart w:id="9" w:name="_Toc969235"/>
            <w:r w:rsidRPr="00395661">
              <w:rPr>
                <w:rFonts w:ascii="Verdana" w:hAnsi="Verdana"/>
                <w:color w:val="7F7F7F" w:themeColor="text1" w:themeTint="80"/>
                <w:sz w:val="22"/>
                <w:szCs w:val="22"/>
              </w:rPr>
              <w:t xml:space="preserve">Introduction </w:t>
            </w:r>
          </w:p>
          <w:p w14:paraId="47C139E9" w14:textId="77777777" w:rsidR="00891023" w:rsidRPr="00395661" w:rsidRDefault="00891023" w:rsidP="00020B14">
            <w:pPr>
              <w:tabs>
                <w:tab w:val="left" w:pos="0"/>
              </w:tabs>
              <w:spacing w:after="60" w:line="264" w:lineRule="auto"/>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EIOPA has specified the following deficiencies for the risk correction [1]:</w:t>
            </w:r>
          </w:p>
          <w:p w14:paraId="5AD786BF" w14:textId="77777777" w:rsidR="00891023" w:rsidRPr="00395661" w:rsidRDefault="00891023" w:rsidP="00020B14">
            <w:pPr>
              <w:pStyle w:val="ListParagraph"/>
              <w:numPr>
                <w:ilvl w:val="0"/>
                <w:numId w:val="18"/>
              </w:numPr>
              <w:tabs>
                <w:tab w:val="left" w:pos="0"/>
              </w:tabs>
              <w:spacing w:after="60" w:line="264" w:lineRule="auto"/>
              <w:ind w:left="0"/>
              <w:contextualSpacing/>
              <w:rPr>
                <w:rFonts w:ascii="Verdana" w:hAnsi="Verdana"/>
                <w:color w:val="7F7F7F" w:themeColor="text1" w:themeTint="80"/>
                <w:lang w:val="en-US"/>
              </w:rPr>
            </w:pPr>
            <w:r w:rsidRPr="00395661">
              <w:rPr>
                <w:rFonts w:ascii="Verdana" w:hAnsi="Verdana"/>
                <w:color w:val="7F7F7F" w:themeColor="text1" w:themeTint="80"/>
                <w:lang w:val="en-US"/>
              </w:rPr>
              <w:t>Almost insensitive to credit spread changes</w:t>
            </w:r>
          </w:p>
          <w:p w14:paraId="195924D5" w14:textId="1DA39494" w:rsidR="00891023" w:rsidRPr="00395661" w:rsidRDefault="00891023" w:rsidP="00020B14">
            <w:pPr>
              <w:pStyle w:val="ListParagraph"/>
              <w:numPr>
                <w:ilvl w:val="0"/>
                <w:numId w:val="18"/>
              </w:numPr>
              <w:tabs>
                <w:tab w:val="left" w:pos="0"/>
              </w:tabs>
              <w:spacing w:after="60" w:line="264" w:lineRule="auto"/>
              <w:ind w:left="0"/>
              <w:contextualSpacing/>
              <w:rPr>
                <w:rFonts w:ascii="Verdana" w:hAnsi="Verdana"/>
                <w:color w:val="7F7F7F" w:themeColor="text1" w:themeTint="80"/>
                <w:lang w:val="en-US"/>
              </w:rPr>
            </w:pPr>
            <w:r w:rsidRPr="00395661">
              <w:rPr>
                <w:rFonts w:ascii="Verdana" w:hAnsi="Verdana"/>
                <w:color w:val="7F7F7F" w:themeColor="text1" w:themeTint="80"/>
                <w:lang w:val="en-US"/>
              </w:rPr>
              <w:t>Does not reflect the actual default losses</w:t>
            </w:r>
          </w:p>
          <w:p w14:paraId="0BE6B1E2" w14:textId="74E8B1F9" w:rsidR="00891023" w:rsidRPr="00395661" w:rsidRDefault="00891023" w:rsidP="00020B14">
            <w:pPr>
              <w:pStyle w:val="ListParagraph"/>
              <w:numPr>
                <w:ilvl w:val="0"/>
                <w:numId w:val="18"/>
              </w:numPr>
              <w:tabs>
                <w:tab w:val="left" w:pos="0"/>
              </w:tabs>
              <w:spacing w:after="60" w:line="264" w:lineRule="auto"/>
              <w:ind w:left="0"/>
              <w:contextualSpacing/>
              <w:rPr>
                <w:rFonts w:ascii="Verdana" w:hAnsi="Verdana"/>
                <w:color w:val="7F7F7F" w:themeColor="text1" w:themeTint="80"/>
                <w:lang w:val="en-US"/>
              </w:rPr>
            </w:pPr>
            <w:r w:rsidRPr="00395661">
              <w:rPr>
                <w:rFonts w:ascii="Verdana" w:hAnsi="Verdana"/>
                <w:color w:val="7F7F7F" w:themeColor="text1" w:themeTint="80"/>
                <w:lang w:val="en-US"/>
              </w:rPr>
              <w:t>Does not reflect the credit risk premium for unexpected losses</w:t>
            </w:r>
          </w:p>
          <w:p w14:paraId="2C42EEEA" w14:textId="0701CEC6" w:rsidR="00891023" w:rsidRPr="00395661" w:rsidRDefault="00891023" w:rsidP="00020B14">
            <w:pPr>
              <w:pStyle w:val="ListParagraph"/>
              <w:numPr>
                <w:ilvl w:val="0"/>
                <w:numId w:val="18"/>
              </w:numPr>
              <w:tabs>
                <w:tab w:val="left" w:pos="0"/>
              </w:tabs>
              <w:spacing w:after="60" w:line="264" w:lineRule="auto"/>
              <w:ind w:left="0"/>
              <w:contextualSpacing/>
              <w:rPr>
                <w:rFonts w:ascii="Verdana" w:hAnsi="Verdana"/>
                <w:color w:val="7F7F7F" w:themeColor="text1" w:themeTint="80"/>
                <w:lang w:val="en-US"/>
              </w:rPr>
            </w:pPr>
            <w:r w:rsidRPr="00395661">
              <w:rPr>
                <w:rFonts w:ascii="Verdana" w:hAnsi="Verdana"/>
                <w:color w:val="7F7F7F" w:themeColor="text1" w:themeTint="80"/>
                <w:lang w:val="en-US"/>
              </w:rPr>
              <w:t>Unnecessarily reflects the cost-of-downgrade</w:t>
            </w:r>
          </w:p>
          <w:p w14:paraId="1ED4493F" w14:textId="033E0167" w:rsidR="00891023" w:rsidRPr="00395661" w:rsidRDefault="00891023" w:rsidP="00020B14">
            <w:pPr>
              <w:tabs>
                <w:tab w:val="left" w:pos="0"/>
              </w:tabs>
              <w:spacing w:after="60"/>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EIOPA has proposed to base the calibration risk correction on the academic literature on liquidity risk. In particular, EIOPA has defined the risk correction is everything that is not liquidity premium. However, when addressing the four deficiencies above, it seems more natural to focus on cash flow losses (in particular credit risk). The problem with a liquidity premium is that it is very difficult to define and to measure. We argue below in more detail that the risk correction should measure cash flow losses. Cash flow risk can be defined and measured in a direct and </w:t>
            </w:r>
            <w:r w:rsidRPr="00395661">
              <w:rPr>
                <w:rFonts w:ascii="Verdana" w:hAnsi="Verdana"/>
                <w:color w:val="7F7F7F" w:themeColor="text1" w:themeTint="80"/>
                <w:sz w:val="22"/>
                <w:szCs w:val="22"/>
                <w:lang w:val="en-US"/>
              </w:rPr>
              <w:lastRenderedPageBreak/>
              <w:t xml:space="preserve">objective manner and it is the relevant risk for insurers to address under a buy-and-hold strategy during crisis times. </w:t>
            </w:r>
          </w:p>
          <w:bookmarkEnd w:id="8"/>
          <w:bookmarkEnd w:id="9"/>
          <w:p w14:paraId="510ABF3E" w14:textId="77777777" w:rsidR="00891023" w:rsidRPr="00395661" w:rsidRDefault="00891023" w:rsidP="00020B14">
            <w:pPr>
              <w:pStyle w:val="Heading1"/>
              <w:keepLines/>
              <w:tabs>
                <w:tab w:val="clear" w:pos="360"/>
                <w:tab w:val="left" w:pos="0"/>
              </w:tabs>
              <w:spacing w:after="0" w:line="264" w:lineRule="auto"/>
              <w:ind w:hanging="432"/>
              <w:rPr>
                <w:rFonts w:ascii="Verdana" w:hAnsi="Verdana"/>
                <w:color w:val="7F7F7F" w:themeColor="text1" w:themeTint="80"/>
                <w:sz w:val="22"/>
                <w:szCs w:val="22"/>
              </w:rPr>
            </w:pPr>
            <w:r w:rsidRPr="00395661">
              <w:rPr>
                <w:rFonts w:ascii="Verdana" w:hAnsi="Verdana"/>
                <w:color w:val="7F7F7F" w:themeColor="text1" w:themeTint="80"/>
                <w:sz w:val="22"/>
                <w:szCs w:val="22"/>
              </w:rPr>
              <w:t>Risk correction</w:t>
            </w:r>
          </w:p>
          <w:p w14:paraId="245780B2" w14:textId="77777777" w:rsidR="00891023" w:rsidRPr="00395661" w:rsidRDefault="00891023" w:rsidP="00020B14">
            <w:pPr>
              <w:pStyle w:val="ListParagraph"/>
              <w:tabs>
                <w:tab w:val="left" w:pos="0"/>
              </w:tabs>
              <w:spacing w:after="120"/>
              <w:ind w:left="0"/>
              <w:jc w:val="both"/>
              <w:rPr>
                <w:rFonts w:ascii="Verdana" w:hAnsi="Verdana"/>
                <w:color w:val="7F7F7F" w:themeColor="text1" w:themeTint="80"/>
                <w:kern w:val="24"/>
                <w:lang w:val="en-US"/>
              </w:rPr>
            </w:pPr>
            <w:r w:rsidRPr="00395661">
              <w:rPr>
                <w:rFonts w:ascii="Verdana" w:hAnsi="Verdana"/>
                <w:color w:val="7F7F7F" w:themeColor="text1" w:themeTint="80"/>
                <w:kern w:val="24"/>
                <w:lang w:val="en-US"/>
              </w:rPr>
              <w:t xml:space="preserve">We start by introducing some relevant concepts behind the Matching Adjustment (MA), the Volatility Adjustment (VA), the application ratio and the risk correction. When it is conceptually clear what each component should measure, a quantitative framework can be developed. The central reasoning behind the MA is that a certain asset spread, namely for liquidity risk, can be earned with limited risk, if the corresponding asset is used to match an illiquid (stable) liability and is held to maturity. Namely in that case, liquidity risk does not affect the company holding the asset, since the replicating asset is not sold in the meantime. Solvency II regulation allows to include the corresponding illiquidity spread in the valuation on the liability side. The logic is that stable liability cash flows can be hedged with illiquid assets, which makes the liabilities less expensive, because they are replicated by cheaper instruments. </w:t>
            </w:r>
          </w:p>
          <w:p w14:paraId="4BF0F7F7" w14:textId="77777777" w:rsidR="00891023" w:rsidRPr="00395661" w:rsidRDefault="00891023" w:rsidP="00020B14">
            <w:pPr>
              <w:tabs>
                <w:tab w:val="left" w:pos="0"/>
              </w:tabs>
              <w:jc w:val="both"/>
              <w:rPr>
                <w:rFonts w:ascii="Verdana" w:hAnsi="Verdana"/>
                <w:color w:val="7F7F7F" w:themeColor="text1" w:themeTint="80"/>
                <w:kern w:val="24"/>
                <w:sz w:val="22"/>
                <w:szCs w:val="22"/>
                <w:lang w:val="en-US"/>
              </w:rPr>
            </w:pPr>
            <w:r w:rsidRPr="00395661">
              <w:rPr>
                <w:rFonts w:ascii="Verdana" w:hAnsi="Verdana"/>
                <w:color w:val="7F7F7F" w:themeColor="text1" w:themeTint="80"/>
                <w:kern w:val="24"/>
                <w:sz w:val="22"/>
                <w:szCs w:val="22"/>
                <w:lang w:val="en-US"/>
              </w:rPr>
              <w:t xml:space="preserve">In case of the Volatility Adjustment, the matching criteria are less strict than for the MA, but the financial background is similar. Insurers avoid forced selling in times of crises, which limits liquidity risk under stress. An application ratio is used for the VA to account for less strict matching and illiquidity criteria compared to the MA. EIOPA formulates the main objectives of the VA as follows [1]: </w:t>
            </w:r>
          </w:p>
          <w:p w14:paraId="7665AD9F" w14:textId="02D3A983" w:rsidR="00891023" w:rsidRPr="00395661" w:rsidRDefault="00891023" w:rsidP="00020B14">
            <w:pPr>
              <w:tabs>
                <w:tab w:val="left" w:pos="0"/>
              </w:tabs>
              <w:contextualSpacing/>
              <w:jc w:val="both"/>
              <w:rPr>
                <w:rFonts w:ascii="Verdana" w:hAnsi="Verdana"/>
                <w:color w:val="7F7F7F" w:themeColor="text1" w:themeTint="80"/>
                <w:kern w:val="24"/>
                <w:sz w:val="22"/>
                <w:szCs w:val="22"/>
                <w:lang w:val="en-US"/>
              </w:rPr>
            </w:pPr>
            <w:r w:rsidRPr="00395661">
              <w:rPr>
                <w:rFonts w:ascii="Verdana" w:hAnsi="Verdana"/>
                <w:color w:val="7F7F7F" w:themeColor="text1" w:themeTint="80"/>
                <w:kern w:val="24"/>
                <w:sz w:val="22"/>
                <w:szCs w:val="22"/>
                <w:lang w:val="en-US"/>
              </w:rPr>
              <w:t>1. Prevent procyclical investment behavior;</w:t>
            </w:r>
          </w:p>
          <w:p w14:paraId="35C2A65F" w14:textId="77777777" w:rsidR="00891023" w:rsidRPr="00395661" w:rsidRDefault="00891023" w:rsidP="00020B14">
            <w:pPr>
              <w:pStyle w:val="ListParagraph"/>
              <w:tabs>
                <w:tab w:val="left" w:pos="0"/>
              </w:tabs>
              <w:ind w:left="0"/>
              <w:jc w:val="both"/>
              <w:rPr>
                <w:rFonts w:ascii="Verdana" w:hAnsi="Verdana"/>
                <w:color w:val="7F7F7F" w:themeColor="text1" w:themeTint="80"/>
                <w:kern w:val="24"/>
                <w:lang w:val="en-US"/>
              </w:rPr>
            </w:pPr>
            <w:r w:rsidRPr="00395661">
              <w:rPr>
                <w:rFonts w:ascii="Verdana" w:hAnsi="Verdana"/>
                <w:color w:val="7F7F7F" w:themeColor="text1" w:themeTint="80"/>
                <w:kern w:val="24"/>
                <w:lang w:val="en-US"/>
              </w:rPr>
              <w:t xml:space="preserve">2. Mitigate the impact of exaggerations of bond spreads on own funds; </w:t>
            </w:r>
          </w:p>
          <w:p w14:paraId="07755CDD" w14:textId="77777777" w:rsidR="00891023" w:rsidRPr="00395661" w:rsidRDefault="00891023" w:rsidP="00020B14">
            <w:pPr>
              <w:tabs>
                <w:tab w:val="left" w:pos="0"/>
              </w:tabs>
              <w:contextualSpacing/>
              <w:jc w:val="both"/>
              <w:rPr>
                <w:rFonts w:ascii="Verdana" w:hAnsi="Verdana"/>
                <w:color w:val="7F7F7F" w:themeColor="text1" w:themeTint="80"/>
                <w:kern w:val="24"/>
                <w:sz w:val="22"/>
                <w:szCs w:val="22"/>
                <w:lang w:val="en-US"/>
              </w:rPr>
            </w:pPr>
            <w:r w:rsidRPr="00395661">
              <w:rPr>
                <w:rFonts w:ascii="Verdana" w:hAnsi="Verdana"/>
                <w:color w:val="7F7F7F" w:themeColor="text1" w:themeTint="80"/>
                <w:kern w:val="24"/>
                <w:sz w:val="22"/>
                <w:szCs w:val="22"/>
                <w:lang w:val="en-US"/>
              </w:rPr>
              <w:t>3. Recognise illiquidity characteristics of liabilities in the valuation of technical provisions.</w:t>
            </w:r>
          </w:p>
          <w:p w14:paraId="3C782F4D" w14:textId="77777777" w:rsidR="00891023" w:rsidRPr="00395661" w:rsidRDefault="00891023" w:rsidP="00020B14">
            <w:pPr>
              <w:pStyle w:val="Heading2"/>
              <w:keepLines/>
              <w:tabs>
                <w:tab w:val="clear" w:pos="1080"/>
                <w:tab w:val="left" w:pos="0"/>
              </w:tabs>
              <w:spacing w:after="0" w:line="276" w:lineRule="auto"/>
              <w:ind w:left="0" w:hanging="576"/>
              <w:jc w:val="both"/>
              <w:rPr>
                <w:rFonts w:ascii="Verdana" w:eastAsiaTheme="minorEastAsia" w:hAnsi="Verdana"/>
                <w:color w:val="7F7F7F" w:themeColor="text1" w:themeTint="80"/>
                <w:sz w:val="22"/>
                <w:szCs w:val="22"/>
              </w:rPr>
            </w:pPr>
            <w:r w:rsidRPr="00395661">
              <w:rPr>
                <w:rFonts w:ascii="Verdana" w:eastAsiaTheme="minorEastAsia" w:hAnsi="Verdana"/>
                <w:color w:val="7F7F7F" w:themeColor="text1" w:themeTint="80"/>
                <w:sz w:val="22"/>
                <w:szCs w:val="22"/>
              </w:rPr>
              <w:lastRenderedPageBreak/>
              <w:t>Concepts</w:t>
            </w:r>
          </w:p>
          <w:p w14:paraId="69BB6C78" w14:textId="77777777" w:rsidR="00891023" w:rsidRPr="00395661" w:rsidRDefault="00891023" w:rsidP="00020B14">
            <w:pPr>
              <w:pStyle w:val="ListParagraph"/>
              <w:tabs>
                <w:tab w:val="left" w:pos="0"/>
              </w:tabs>
              <w:spacing w:after="120"/>
              <w:ind w:left="0"/>
              <w:jc w:val="both"/>
              <w:rPr>
                <w:rFonts w:ascii="Verdana" w:eastAsiaTheme="minorEastAsia" w:hAnsi="Verdana"/>
                <w:color w:val="7F7F7F" w:themeColor="text1" w:themeTint="80"/>
                <w:kern w:val="24"/>
                <w:lang w:val="en-US"/>
              </w:rPr>
            </w:pPr>
            <w:r w:rsidRPr="00395661">
              <w:rPr>
                <w:rFonts w:ascii="Verdana" w:eastAsiaTheme="minorEastAsia" w:hAnsi="Verdana"/>
                <w:color w:val="7F7F7F" w:themeColor="text1" w:themeTint="80"/>
                <w:kern w:val="24"/>
                <w:lang w:val="en-US"/>
              </w:rPr>
              <w:t>In order to develop a conceptual framework for the risk correction it should first be specified what the risk correction should measure (and what not). We first note that deviations from the matching assumption and deviations from the forced selling assumption in the VA should be addressed in the application ratio. To avoid double counting we should not address these issues again in the risk correction. We thus assume that (after applying the appropriate application ratio) sufficient cash flow matching and avoidance of forced selling holds. We will refer to these as the key assumptions.</w:t>
            </w:r>
          </w:p>
          <w:p w14:paraId="563D2D15" w14:textId="7F2969E4" w:rsidR="00891023" w:rsidRPr="00395661" w:rsidRDefault="00891023" w:rsidP="00020B14">
            <w:pPr>
              <w:pStyle w:val="ListParagraph"/>
              <w:tabs>
                <w:tab w:val="left" w:pos="0"/>
              </w:tabs>
              <w:spacing w:after="120"/>
              <w:ind w:left="0"/>
              <w:jc w:val="both"/>
              <w:rPr>
                <w:rFonts w:ascii="Verdana" w:eastAsiaTheme="minorEastAsia" w:hAnsi="Verdana"/>
                <w:color w:val="7F7F7F" w:themeColor="text1" w:themeTint="80"/>
                <w:kern w:val="24"/>
                <w:lang w:val="en-US"/>
              </w:rPr>
            </w:pPr>
            <w:r w:rsidRPr="00395661">
              <w:rPr>
                <w:rFonts w:ascii="Verdana" w:eastAsiaTheme="minorEastAsia" w:hAnsi="Verdana"/>
                <w:color w:val="7F7F7F" w:themeColor="text1" w:themeTint="80"/>
                <w:kern w:val="24"/>
                <w:lang w:val="en-US"/>
              </w:rPr>
              <w:t>As a next step it is relevant to clarify what is meant by illiquidity risk. Illiquidity risk is naturally defined in this context as all risks that affect the value of (fixed-income) assets without affecting the underlying cash flows. Illiquidity risk is defined in this way as the complement of cash flow risk. From the above discussion it is clear that under a replicating buy-and-hold strategy, only cash flow risks affect the insurer. An important example of cash flow risk is credit risk. In fixed-income contracts without exotic features credit risk is the main cash flow risk. In the remainder we focus on credit risk, but any other cash flow risks can be measured and included along the same lines.</w:t>
            </w:r>
          </w:p>
          <w:p w14:paraId="03F75147" w14:textId="694B1DBB" w:rsidR="00891023" w:rsidRPr="00395661" w:rsidRDefault="00891023" w:rsidP="00020B14">
            <w:pPr>
              <w:pStyle w:val="Heading2"/>
              <w:keepLines/>
              <w:tabs>
                <w:tab w:val="clear" w:pos="1080"/>
                <w:tab w:val="left" w:pos="0"/>
              </w:tabs>
              <w:spacing w:after="0" w:line="276" w:lineRule="auto"/>
              <w:ind w:left="0" w:hanging="576"/>
              <w:jc w:val="both"/>
              <w:rPr>
                <w:rFonts w:ascii="Verdana" w:eastAsiaTheme="minorEastAsia" w:hAnsi="Verdana"/>
                <w:color w:val="7F7F7F" w:themeColor="text1" w:themeTint="80"/>
                <w:sz w:val="22"/>
                <w:szCs w:val="22"/>
              </w:rPr>
            </w:pPr>
            <w:r w:rsidRPr="00395661">
              <w:rPr>
                <w:rFonts w:ascii="Verdana" w:eastAsiaTheme="minorEastAsia" w:hAnsi="Verdana"/>
                <w:color w:val="7F7F7F" w:themeColor="text1" w:themeTint="80"/>
                <w:sz w:val="22"/>
                <w:szCs w:val="22"/>
              </w:rPr>
              <w:t>Example</w:t>
            </w:r>
          </w:p>
          <w:p w14:paraId="41F5D1AE" w14:textId="77777777" w:rsidR="00891023" w:rsidRPr="00395661" w:rsidRDefault="00891023" w:rsidP="00020B14">
            <w:pPr>
              <w:pStyle w:val="ListParagraph"/>
              <w:tabs>
                <w:tab w:val="left" w:pos="0"/>
              </w:tabs>
              <w:spacing w:after="120" w:line="264" w:lineRule="auto"/>
              <w:ind w:left="0"/>
              <w:jc w:val="both"/>
              <w:rPr>
                <w:rFonts w:ascii="Verdana" w:eastAsiaTheme="minorEastAsia" w:hAnsi="Verdana"/>
                <w:color w:val="7F7F7F" w:themeColor="text1" w:themeTint="80"/>
                <w:kern w:val="24"/>
                <w:lang w:val="en-US"/>
              </w:rPr>
            </w:pPr>
            <w:r w:rsidRPr="00395661">
              <w:rPr>
                <w:rFonts w:ascii="Verdana" w:eastAsiaTheme="minorEastAsia" w:hAnsi="Verdana"/>
                <w:color w:val="7F7F7F" w:themeColor="text1" w:themeTint="80"/>
                <w:kern w:val="24"/>
                <w:lang w:val="en-US"/>
              </w:rPr>
              <w:t>Having specified what the risk correction should capture, namely all potential cash flow losses (both expected and unexpected), we proceed by considering explicit examples.</w:t>
            </w:r>
          </w:p>
          <w:p w14:paraId="0E79E598" w14:textId="77777777" w:rsidR="00891023" w:rsidRPr="00395661" w:rsidRDefault="00891023" w:rsidP="00020B14">
            <w:pPr>
              <w:pStyle w:val="ListParagraph"/>
              <w:tabs>
                <w:tab w:val="left" w:pos="0"/>
              </w:tabs>
              <w:spacing w:before="120" w:after="120" w:line="264" w:lineRule="auto"/>
              <w:ind w:left="0"/>
              <w:jc w:val="both"/>
              <w:rPr>
                <w:rFonts w:ascii="Verdana" w:eastAsiaTheme="minorEastAsia" w:hAnsi="Verdana"/>
                <w:i/>
                <w:color w:val="7F7F7F" w:themeColor="text1" w:themeTint="80"/>
                <w:kern w:val="24"/>
                <w:u w:val="single"/>
                <w:lang w:val="en-US"/>
              </w:rPr>
            </w:pPr>
            <w:r w:rsidRPr="00395661">
              <w:rPr>
                <w:rFonts w:ascii="Verdana" w:eastAsiaTheme="minorEastAsia" w:hAnsi="Verdana"/>
                <w:i/>
                <w:color w:val="7F7F7F" w:themeColor="text1" w:themeTint="80"/>
                <w:kern w:val="24"/>
                <w:u w:val="single"/>
                <w:lang w:val="en-US"/>
              </w:rPr>
              <w:t>Case 1: Expected credit risk</w:t>
            </w:r>
          </w:p>
          <w:p w14:paraId="7569A27A" w14:textId="75B86986" w:rsidR="00891023" w:rsidRPr="00395661" w:rsidRDefault="00891023" w:rsidP="00020B14">
            <w:pPr>
              <w:pStyle w:val="ListParagraph"/>
              <w:tabs>
                <w:tab w:val="left" w:pos="0"/>
              </w:tabs>
              <w:spacing w:after="120" w:line="264" w:lineRule="auto"/>
              <w:ind w:left="0"/>
              <w:jc w:val="both"/>
              <w:rPr>
                <w:rFonts w:ascii="Verdana" w:eastAsiaTheme="minorEastAsia" w:hAnsi="Verdana"/>
                <w:color w:val="7F7F7F" w:themeColor="text1" w:themeTint="80"/>
                <w:kern w:val="24"/>
                <w:lang w:val="en-US"/>
              </w:rPr>
            </w:pPr>
            <w:r w:rsidRPr="00395661">
              <w:rPr>
                <w:rFonts w:ascii="Verdana" w:eastAsiaTheme="minorEastAsia" w:hAnsi="Verdana"/>
                <w:color w:val="7F7F7F" w:themeColor="text1" w:themeTint="80"/>
                <w:kern w:val="24"/>
                <w:lang w:val="en-US"/>
              </w:rPr>
              <w:t xml:space="preserve">Because the application ratio should capture deviations from illiquidity and perfect matching, we apply the key assumptions of stable and matched liability cash flows for the risk correction. We denote the </w:t>
            </w:r>
            <w:r w:rsidRPr="00395661">
              <w:rPr>
                <w:rFonts w:ascii="Verdana" w:eastAsiaTheme="minorEastAsia" w:hAnsi="Verdana"/>
                <w:color w:val="7F7F7F" w:themeColor="text1" w:themeTint="80"/>
                <w:kern w:val="24"/>
                <w:lang w:val="en-US"/>
              </w:rPr>
              <w:lastRenderedPageBreak/>
              <w:t xml:space="preserve">cumulative credit loss at maturity </w:t>
            </w:r>
            <m:oMath>
              <m:r>
                <w:rPr>
                  <w:rFonts w:ascii="Cambria Math" w:eastAsiaTheme="minorEastAsia" w:hAnsi="Cambria Math"/>
                  <w:color w:val="7F7F7F" w:themeColor="text1" w:themeTint="80"/>
                  <w:kern w:val="24"/>
                </w:rPr>
                <m:t>T</m:t>
              </m:r>
            </m:oMath>
            <w:r w:rsidRPr="00395661">
              <w:rPr>
                <w:rFonts w:ascii="Verdana" w:eastAsiaTheme="minorEastAsia" w:hAnsi="Verdana"/>
                <w:color w:val="7F7F7F" w:themeColor="text1" w:themeTint="80"/>
                <w:kern w:val="24"/>
                <w:lang w:val="en-US"/>
              </w:rPr>
              <w:t xml:space="preserve"> as </w:t>
            </w:r>
            <m:oMath>
              <m:sSub>
                <m:sSubPr>
                  <m:ctrlPr>
                    <w:rPr>
                      <w:rFonts w:ascii="Cambria Math" w:eastAsiaTheme="minorEastAsia" w:hAnsi="Cambria Math"/>
                      <w:i/>
                      <w:color w:val="7F7F7F" w:themeColor="text1" w:themeTint="80"/>
                      <w:kern w:val="24"/>
                    </w:rPr>
                  </m:ctrlPr>
                </m:sSubPr>
                <m:e>
                  <m:r>
                    <w:rPr>
                      <w:rFonts w:ascii="Cambria Math" w:eastAsiaTheme="minorEastAsia" w:hAnsi="Cambria Math"/>
                      <w:color w:val="7F7F7F" w:themeColor="text1" w:themeTint="80"/>
                      <w:kern w:val="24"/>
                    </w:rPr>
                    <m:t>CL</m:t>
                  </m:r>
                </m:e>
                <m:sub>
                  <m:r>
                    <w:rPr>
                      <w:rFonts w:ascii="Cambria Math" w:eastAsiaTheme="minorEastAsia" w:hAnsi="Cambria Math"/>
                      <w:color w:val="7F7F7F" w:themeColor="text1" w:themeTint="80"/>
                      <w:kern w:val="24"/>
                    </w:rPr>
                    <m:t>T</m:t>
                  </m:r>
                </m:sub>
              </m:sSub>
            </m:oMath>
            <w:r w:rsidRPr="00395661">
              <w:rPr>
                <w:rFonts w:ascii="Verdana" w:eastAsiaTheme="minorEastAsia" w:hAnsi="Verdana"/>
                <w:color w:val="7F7F7F" w:themeColor="text1" w:themeTint="80"/>
                <w:kern w:val="24"/>
                <w:lang w:val="en-US"/>
              </w:rPr>
              <w:t xml:space="preserve">. Cumulative credit losses for corporate bonds are standardly reported by data reports of credit agencies. </w:t>
            </w:r>
            <w:r w:rsidRPr="00395661">
              <w:rPr>
                <w:rFonts w:ascii="Verdana" w:eastAsiaTheme="minorEastAsia" w:hAnsi="Verdana"/>
                <w:color w:val="7F7F7F" w:themeColor="text1" w:themeTint="80"/>
                <w:lang w:val="en-US"/>
              </w:rPr>
              <w:t xml:space="preserve">We assume in first instance the cumulative credit loss </w:t>
            </w:r>
            <m:oMath>
              <m:r>
                <w:rPr>
                  <w:rFonts w:ascii="Cambria Math" w:eastAsiaTheme="minorEastAsia" w:hAnsi="Cambria Math"/>
                  <w:color w:val="7F7F7F" w:themeColor="text1" w:themeTint="80"/>
                </w:rPr>
                <m:t>C</m:t>
              </m:r>
              <m:sSub>
                <m:sSubPr>
                  <m:ctrlPr>
                    <w:rPr>
                      <w:rFonts w:ascii="Cambria Math" w:hAnsi="Cambria Math"/>
                      <w:i/>
                      <w:color w:val="7F7F7F" w:themeColor="text1" w:themeTint="80"/>
                    </w:rPr>
                  </m:ctrlPr>
                </m:sSubPr>
                <m:e>
                  <m:r>
                    <w:rPr>
                      <w:rFonts w:ascii="Cambria Math" w:hAnsi="Cambria Math"/>
                      <w:color w:val="7F7F7F" w:themeColor="text1" w:themeTint="80"/>
                    </w:rPr>
                    <m:t>L</m:t>
                  </m:r>
                </m:e>
                <m:sub>
                  <m:r>
                    <w:rPr>
                      <w:rFonts w:ascii="Cambria Math" w:hAnsi="Cambria Math"/>
                      <w:color w:val="7F7F7F" w:themeColor="text1" w:themeTint="80"/>
                    </w:rPr>
                    <m:t>T</m:t>
                  </m:r>
                </m:sub>
              </m:sSub>
            </m:oMath>
            <w:r w:rsidRPr="00395661">
              <w:rPr>
                <w:rFonts w:ascii="Verdana" w:eastAsiaTheme="minorEastAsia" w:hAnsi="Verdana"/>
                <w:color w:val="7F7F7F" w:themeColor="text1" w:themeTint="80"/>
                <w:lang w:val="en-US"/>
              </w:rPr>
              <w:t xml:space="preserve"> to be predictable. The reason is to create a setting in which the risk correction can unambiguously be specified. </w:t>
            </w:r>
            <w:r w:rsidRPr="00395661">
              <w:rPr>
                <w:rFonts w:ascii="Verdana" w:eastAsiaTheme="minorEastAsia" w:hAnsi="Verdana"/>
                <w:color w:val="7F7F7F" w:themeColor="text1" w:themeTint="80"/>
                <w:kern w:val="24"/>
                <w:lang w:val="en-US"/>
              </w:rPr>
              <w:t xml:space="preserve"> Consider a stable liability </w:t>
            </w:r>
            <w:r w:rsidRPr="00395661">
              <w:rPr>
                <w:rFonts w:ascii="Verdana" w:hAnsi="Verdana"/>
                <w:color w:val="7F7F7F" w:themeColor="text1" w:themeTint="80"/>
                <w:lang w:val="en-US"/>
              </w:rPr>
              <w:t xml:space="preserve">cash flow </w:t>
            </w:r>
            <m:oMath>
              <m:sSub>
                <m:sSubPr>
                  <m:ctrlPr>
                    <w:rPr>
                      <w:rFonts w:ascii="Cambria Math" w:hAnsi="Cambria Math"/>
                      <w:i/>
                      <w:color w:val="7F7F7F" w:themeColor="text1" w:themeTint="80"/>
                    </w:rPr>
                  </m:ctrlPr>
                </m:sSubPr>
                <m:e>
                  <m:r>
                    <w:rPr>
                      <w:rFonts w:ascii="Cambria Math" w:hAnsi="Cambria Math"/>
                      <w:color w:val="7F7F7F" w:themeColor="text1" w:themeTint="80"/>
                    </w:rPr>
                    <m:t>L</m:t>
                  </m:r>
                </m:e>
                <m:sub>
                  <m:r>
                    <w:rPr>
                      <w:rFonts w:ascii="Cambria Math" w:hAnsi="Cambria Math"/>
                      <w:color w:val="7F7F7F" w:themeColor="text1" w:themeTint="80"/>
                    </w:rPr>
                    <m:t>T</m:t>
                  </m:r>
                </m:sub>
              </m:sSub>
            </m:oMath>
            <w:r w:rsidRPr="00395661">
              <w:rPr>
                <w:rFonts w:ascii="Verdana" w:eastAsiaTheme="minorEastAsia" w:hAnsi="Verdana"/>
                <w:color w:val="7F7F7F" w:themeColor="text1" w:themeTint="80"/>
                <w:lang w:val="en-US"/>
              </w:rPr>
              <w:t xml:space="preserve"> </w:t>
            </w:r>
            <w:r w:rsidRPr="00395661">
              <w:rPr>
                <w:rFonts w:ascii="Verdana" w:hAnsi="Verdana"/>
                <w:color w:val="7F7F7F" w:themeColor="text1" w:themeTint="80"/>
                <w:lang w:val="en-US"/>
              </w:rPr>
              <w:t xml:space="preserve">at maturity </w:t>
            </w:r>
            <m:oMath>
              <m:r>
                <w:rPr>
                  <w:rFonts w:ascii="Cambria Math" w:hAnsi="Cambria Math"/>
                  <w:color w:val="7F7F7F" w:themeColor="text1" w:themeTint="80"/>
                </w:rPr>
                <m:t>T</m:t>
              </m:r>
            </m:oMath>
            <w:r w:rsidRPr="00395661">
              <w:rPr>
                <w:rFonts w:ascii="Verdana" w:eastAsiaTheme="minorEastAsia" w:hAnsi="Verdana"/>
                <w:color w:val="7F7F7F" w:themeColor="text1" w:themeTint="80"/>
                <w:lang w:val="en-US"/>
              </w:rPr>
              <w:t>. The matching asset is a</w:t>
            </w:r>
            <w:r w:rsidRPr="00395661">
              <w:rPr>
                <w:rFonts w:ascii="Verdana" w:hAnsi="Verdana"/>
                <w:color w:val="7F7F7F" w:themeColor="text1" w:themeTint="80"/>
                <w:lang w:val="en-US"/>
              </w:rPr>
              <w:t xml:space="preserve"> zero-coupon bond with notional </w:t>
            </w:r>
            <m:oMath>
              <m:sSub>
                <m:sSubPr>
                  <m:ctrlPr>
                    <w:rPr>
                      <w:rFonts w:ascii="Cambria Math" w:hAnsi="Cambria Math"/>
                      <w:i/>
                      <w:color w:val="7F7F7F" w:themeColor="text1" w:themeTint="80"/>
                    </w:rPr>
                  </m:ctrlPr>
                </m:sSubPr>
                <m:e>
                  <m:r>
                    <w:rPr>
                      <w:rFonts w:ascii="Cambria Math" w:hAnsi="Cambria Math"/>
                      <w:color w:val="7F7F7F" w:themeColor="text1" w:themeTint="80"/>
                      <w:lang w:val="en-US"/>
                    </w:rPr>
                    <m:t xml:space="preserve"> </m:t>
                  </m:r>
                  <m:r>
                    <w:rPr>
                      <w:rFonts w:ascii="Cambria Math" w:hAnsi="Cambria Math"/>
                      <w:color w:val="7F7F7F" w:themeColor="text1" w:themeTint="80"/>
                    </w:rPr>
                    <m:t>N</m:t>
                  </m:r>
                </m:e>
                <m:sub>
                  <m:r>
                    <w:rPr>
                      <w:rFonts w:ascii="Cambria Math" w:hAnsi="Cambria Math"/>
                      <w:color w:val="7F7F7F" w:themeColor="text1" w:themeTint="80"/>
                    </w:rPr>
                    <m:t>T</m:t>
                  </m:r>
                </m:sub>
              </m:sSub>
              <m:r>
                <w:rPr>
                  <w:rFonts w:ascii="Cambria Math" w:hAnsi="Cambria Math"/>
                  <w:color w:val="7F7F7F" w:themeColor="text1" w:themeTint="80"/>
                  <w:lang w:val="en-US"/>
                </w:rPr>
                <m:t>=</m:t>
              </m:r>
              <m:f>
                <m:fPr>
                  <m:ctrlPr>
                    <w:rPr>
                      <w:rFonts w:ascii="Cambria Math" w:hAnsi="Cambria Math"/>
                      <w:i/>
                      <w:color w:val="7F7F7F" w:themeColor="text1" w:themeTint="80"/>
                    </w:rPr>
                  </m:ctrlPr>
                </m:fPr>
                <m:num>
                  <m:r>
                    <m:rPr>
                      <m:sty m:val="p"/>
                    </m:rPr>
                    <w:rPr>
                      <w:rFonts w:ascii="Cambria Math" w:hAnsi="Cambria Math"/>
                      <w:color w:val="7F7F7F" w:themeColor="text1" w:themeTint="80"/>
                      <w:lang w:val="en-US"/>
                    </w:rPr>
                    <m:t xml:space="preserve"> </m:t>
                  </m:r>
                  <m:sSub>
                    <m:sSubPr>
                      <m:ctrlPr>
                        <w:rPr>
                          <w:rFonts w:ascii="Cambria Math" w:hAnsi="Cambria Math"/>
                          <w:i/>
                          <w:color w:val="7F7F7F" w:themeColor="text1" w:themeTint="80"/>
                        </w:rPr>
                      </m:ctrlPr>
                    </m:sSubPr>
                    <m:e>
                      <m:r>
                        <w:rPr>
                          <w:rFonts w:ascii="Cambria Math" w:hAnsi="Cambria Math"/>
                          <w:color w:val="7F7F7F" w:themeColor="text1" w:themeTint="80"/>
                        </w:rPr>
                        <m:t>L</m:t>
                      </m:r>
                    </m:e>
                    <m:sub>
                      <m:r>
                        <w:rPr>
                          <w:rFonts w:ascii="Cambria Math" w:hAnsi="Cambria Math"/>
                          <w:color w:val="7F7F7F" w:themeColor="text1" w:themeTint="80"/>
                        </w:rPr>
                        <m:t>T</m:t>
                      </m:r>
                    </m:sub>
                  </m:sSub>
                </m:num>
                <m:den>
                  <m:r>
                    <w:rPr>
                      <w:rFonts w:ascii="Cambria Math" w:hAnsi="Cambria Math"/>
                      <w:color w:val="7F7F7F" w:themeColor="text1" w:themeTint="80"/>
                      <w:lang w:val="en-US"/>
                    </w:rPr>
                    <m:t>1-</m:t>
                  </m:r>
                  <m:r>
                    <w:rPr>
                      <w:rFonts w:ascii="Cambria Math" w:eastAsiaTheme="minorEastAsia" w:hAnsi="Cambria Math"/>
                      <w:color w:val="7F7F7F" w:themeColor="text1" w:themeTint="80"/>
                    </w:rPr>
                    <m:t>C</m:t>
                  </m:r>
                  <m:sSub>
                    <m:sSubPr>
                      <m:ctrlPr>
                        <w:rPr>
                          <w:rFonts w:ascii="Cambria Math" w:hAnsi="Cambria Math"/>
                          <w:i/>
                          <w:color w:val="7F7F7F" w:themeColor="text1" w:themeTint="80"/>
                        </w:rPr>
                      </m:ctrlPr>
                    </m:sSubPr>
                    <m:e>
                      <m:r>
                        <w:rPr>
                          <w:rFonts w:ascii="Cambria Math" w:hAnsi="Cambria Math"/>
                          <w:color w:val="7F7F7F" w:themeColor="text1" w:themeTint="80"/>
                        </w:rPr>
                        <m:t>L</m:t>
                      </m:r>
                    </m:e>
                    <m:sub>
                      <m:r>
                        <w:rPr>
                          <w:rFonts w:ascii="Cambria Math" w:hAnsi="Cambria Math"/>
                          <w:color w:val="7F7F7F" w:themeColor="text1" w:themeTint="80"/>
                        </w:rPr>
                        <m:t>T</m:t>
                      </m:r>
                    </m:sub>
                  </m:sSub>
                </m:den>
              </m:f>
            </m:oMath>
            <w:r w:rsidRPr="00395661">
              <w:rPr>
                <w:rFonts w:ascii="Verdana" w:eastAsiaTheme="minorEastAsia" w:hAnsi="Verdana"/>
                <w:color w:val="7F7F7F" w:themeColor="text1" w:themeTint="80"/>
                <w:lang w:val="en-US"/>
              </w:rPr>
              <w:t xml:space="preserve">, because </w:t>
            </w:r>
            <m:oMath>
              <m:sSub>
                <m:sSubPr>
                  <m:ctrlPr>
                    <w:rPr>
                      <w:rFonts w:ascii="Cambria Math" w:hAnsi="Cambria Math"/>
                      <w:i/>
                      <w:color w:val="7F7F7F" w:themeColor="text1" w:themeTint="80"/>
                    </w:rPr>
                  </m:ctrlPr>
                </m:sSubPr>
                <m:e>
                  <m:r>
                    <w:rPr>
                      <w:rFonts w:ascii="Cambria Math" w:hAnsi="Cambria Math"/>
                      <w:color w:val="7F7F7F" w:themeColor="text1" w:themeTint="80"/>
                      <w:lang w:val="en-US"/>
                    </w:rPr>
                    <m:t xml:space="preserve"> </m:t>
                  </m:r>
                  <m:r>
                    <w:rPr>
                      <w:rFonts w:ascii="Cambria Math" w:hAnsi="Cambria Math"/>
                      <w:color w:val="7F7F7F" w:themeColor="text1" w:themeTint="80"/>
                    </w:rPr>
                    <m:t>N</m:t>
                  </m:r>
                </m:e>
                <m:sub>
                  <m:r>
                    <w:rPr>
                      <w:rFonts w:ascii="Cambria Math" w:hAnsi="Cambria Math"/>
                      <w:color w:val="7F7F7F" w:themeColor="text1" w:themeTint="80"/>
                    </w:rPr>
                    <m:t>T</m:t>
                  </m:r>
                </m:sub>
              </m:sSub>
              <m:d>
                <m:dPr>
                  <m:ctrlPr>
                    <w:rPr>
                      <w:rFonts w:ascii="Cambria Math" w:eastAsiaTheme="minorEastAsia" w:hAnsi="Cambria Math"/>
                      <w:i/>
                      <w:color w:val="7F7F7F" w:themeColor="text1" w:themeTint="80"/>
                    </w:rPr>
                  </m:ctrlPr>
                </m:dPr>
                <m:e>
                  <m:r>
                    <w:rPr>
                      <w:rFonts w:ascii="Cambria Math" w:hAnsi="Cambria Math"/>
                      <w:color w:val="7F7F7F" w:themeColor="text1" w:themeTint="80"/>
                      <w:lang w:val="en-US"/>
                    </w:rPr>
                    <m:t>1-</m:t>
                  </m:r>
                  <m:r>
                    <w:rPr>
                      <w:rFonts w:ascii="Cambria Math" w:eastAsiaTheme="minorEastAsia" w:hAnsi="Cambria Math"/>
                      <w:color w:val="7F7F7F" w:themeColor="text1" w:themeTint="80"/>
                    </w:rPr>
                    <m:t>C</m:t>
                  </m:r>
                  <m:sSub>
                    <m:sSubPr>
                      <m:ctrlPr>
                        <w:rPr>
                          <w:rFonts w:ascii="Cambria Math" w:hAnsi="Cambria Math"/>
                          <w:i/>
                          <w:color w:val="7F7F7F" w:themeColor="text1" w:themeTint="80"/>
                        </w:rPr>
                      </m:ctrlPr>
                    </m:sSubPr>
                    <m:e>
                      <m:r>
                        <w:rPr>
                          <w:rFonts w:ascii="Cambria Math" w:hAnsi="Cambria Math"/>
                          <w:color w:val="7F7F7F" w:themeColor="text1" w:themeTint="80"/>
                        </w:rPr>
                        <m:t>L</m:t>
                      </m:r>
                    </m:e>
                    <m:sub>
                      <m:r>
                        <w:rPr>
                          <w:rFonts w:ascii="Cambria Math" w:hAnsi="Cambria Math"/>
                          <w:color w:val="7F7F7F" w:themeColor="text1" w:themeTint="80"/>
                        </w:rPr>
                        <m:t>T</m:t>
                      </m:r>
                    </m:sub>
                  </m:sSub>
                </m:e>
              </m:d>
              <m:r>
                <w:rPr>
                  <w:rFonts w:ascii="Cambria Math" w:eastAsiaTheme="minorEastAsia" w:hAnsi="Cambria Math"/>
                  <w:color w:val="7F7F7F" w:themeColor="text1" w:themeTint="80"/>
                  <w:lang w:val="en-US"/>
                </w:rPr>
                <m:t>=</m:t>
              </m:r>
              <m:sSub>
                <m:sSubPr>
                  <m:ctrlPr>
                    <w:rPr>
                      <w:rFonts w:ascii="Cambria Math" w:hAnsi="Cambria Math"/>
                      <w:i/>
                      <w:color w:val="7F7F7F" w:themeColor="text1" w:themeTint="80"/>
                    </w:rPr>
                  </m:ctrlPr>
                </m:sSubPr>
                <m:e>
                  <m:r>
                    <w:rPr>
                      <w:rFonts w:ascii="Cambria Math" w:hAnsi="Cambria Math"/>
                      <w:color w:val="7F7F7F" w:themeColor="text1" w:themeTint="80"/>
                    </w:rPr>
                    <m:t>L</m:t>
                  </m:r>
                </m:e>
                <m:sub>
                  <m:r>
                    <w:rPr>
                      <w:rFonts w:ascii="Cambria Math" w:hAnsi="Cambria Math"/>
                      <w:color w:val="7F7F7F" w:themeColor="text1" w:themeTint="80"/>
                    </w:rPr>
                    <m:t>T</m:t>
                  </m:r>
                </m:sub>
              </m:sSub>
            </m:oMath>
            <w:r w:rsidRPr="00395661">
              <w:rPr>
                <w:rFonts w:ascii="Verdana" w:eastAsiaTheme="minorEastAsia" w:hAnsi="Verdana"/>
                <w:color w:val="7F7F7F" w:themeColor="text1" w:themeTint="80"/>
                <w:lang w:val="en-US"/>
              </w:rPr>
              <w:t xml:space="preserve"> remains at maturity after including credit loss. The value of the replicating asset is given in terms of the risk-free rate </w:t>
            </w:r>
            <m:oMath>
              <m:sSub>
                <m:sSubPr>
                  <m:ctrlPr>
                    <w:rPr>
                      <w:rFonts w:ascii="Cambria Math" w:hAnsi="Cambria Math"/>
                      <w:i/>
                      <w:color w:val="7F7F7F" w:themeColor="text1" w:themeTint="80"/>
                    </w:rPr>
                  </m:ctrlPr>
                </m:sSubPr>
                <m:e>
                  <m:r>
                    <w:rPr>
                      <w:rFonts w:ascii="Cambria Math" w:hAnsi="Cambria Math"/>
                      <w:color w:val="7F7F7F" w:themeColor="text1" w:themeTint="80"/>
                    </w:rPr>
                    <m:t>r</m:t>
                  </m:r>
                </m:e>
                <m:sub>
                  <m:r>
                    <w:rPr>
                      <w:rFonts w:ascii="Cambria Math" w:hAnsi="Cambria Math"/>
                      <w:color w:val="7F7F7F" w:themeColor="text1" w:themeTint="80"/>
                    </w:rPr>
                    <m:t>T</m:t>
                  </m:r>
                </m:sub>
              </m:sSub>
            </m:oMath>
            <w:r w:rsidRPr="00395661">
              <w:rPr>
                <w:rFonts w:ascii="Verdana" w:eastAsiaTheme="minorEastAsia" w:hAnsi="Verdana"/>
                <w:color w:val="7F7F7F" w:themeColor="text1" w:themeTint="80"/>
                <w:lang w:val="en-US"/>
              </w:rPr>
              <w:t xml:space="preserve"> and the spread </w:t>
            </w:r>
            <m:oMath>
              <m:sSub>
                <m:sSubPr>
                  <m:ctrlPr>
                    <w:rPr>
                      <w:rFonts w:ascii="Cambria Math" w:hAnsi="Cambria Math"/>
                      <w:i/>
                      <w:color w:val="7F7F7F" w:themeColor="text1" w:themeTint="80"/>
                    </w:rPr>
                  </m:ctrlPr>
                </m:sSubPr>
                <m:e>
                  <m:r>
                    <w:rPr>
                      <w:rFonts w:ascii="Cambria Math" w:hAnsi="Cambria Math"/>
                      <w:color w:val="7F7F7F" w:themeColor="text1" w:themeTint="80"/>
                    </w:rPr>
                    <m:t>s</m:t>
                  </m:r>
                </m:e>
                <m:sub>
                  <m:r>
                    <w:rPr>
                      <w:rFonts w:ascii="Cambria Math" w:hAnsi="Cambria Math"/>
                      <w:color w:val="7F7F7F" w:themeColor="text1" w:themeTint="80"/>
                    </w:rPr>
                    <m:t>T</m:t>
                  </m:r>
                </m:sub>
              </m:sSub>
            </m:oMath>
            <w:r w:rsidRPr="00395661">
              <w:rPr>
                <w:rFonts w:ascii="Verdana" w:eastAsiaTheme="minorEastAsia" w:hAnsi="Verdana"/>
                <w:color w:val="7F7F7F" w:themeColor="text1" w:themeTint="80"/>
                <w:lang w:val="en-US"/>
              </w:rPr>
              <w:t xml:space="preserve"> as:</w:t>
            </w:r>
          </w:p>
          <w:p w14:paraId="708B0D3E" w14:textId="77777777" w:rsidR="00891023" w:rsidRPr="00395661" w:rsidRDefault="005D2D16" w:rsidP="00020B14">
            <w:pPr>
              <w:tabs>
                <w:tab w:val="left" w:pos="0"/>
              </w:tabs>
              <w:spacing w:before="120" w:after="120"/>
              <w:rPr>
                <w:rFonts w:ascii="Verdana" w:eastAsiaTheme="minorEastAsia" w:hAnsi="Verdana"/>
                <w:color w:val="7F7F7F" w:themeColor="text1" w:themeTint="80"/>
                <w:sz w:val="22"/>
                <w:szCs w:val="22"/>
              </w:rPr>
            </w:pPr>
            <m:oMathPara>
              <m:oMath>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 xml:space="preserve"> V</m:t>
                    </m:r>
                  </m:e>
                  <m:sub>
                    <m:r>
                      <w:rPr>
                        <w:rFonts w:ascii="Cambria Math" w:hAnsi="Cambria Math"/>
                        <w:color w:val="7F7F7F" w:themeColor="text1" w:themeTint="80"/>
                        <w:sz w:val="22"/>
                        <w:szCs w:val="22"/>
                      </w:rPr>
                      <m:t>A</m:t>
                    </m:r>
                  </m:sub>
                </m:sSub>
                <m:r>
                  <w:rPr>
                    <w:rFonts w:ascii="Cambria Math" w:eastAsiaTheme="minorEastAsia" w:hAnsi="Cambria Math"/>
                    <w:color w:val="7F7F7F" w:themeColor="text1" w:themeTint="80"/>
                    <w:sz w:val="22"/>
                    <w:szCs w:val="22"/>
                  </w:rPr>
                  <m:t>=</m:t>
                </m:r>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 xml:space="preserve"> N</m:t>
                    </m:r>
                  </m:e>
                  <m:sub>
                    <m:r>
                      <w:rPr>
                        <w:rFonts w:ascii="Cambria Math" w:hAnsi="Cambria Math"/>
                        <w:color w:val="7F7F7F" w:themeColor="text1" w:themeTint="80"/>
                        <w:sz w:val="22"/>
                        <w:szCs w:val="22"/>
                      </w:rPr>
                      <m:t>T</m:t>
                    </m:r>
                  </m:sub>
                </m:sSub>
                <m:sSup>
                  <m:sSupPr>
                    <m:ctrlPr>
                      <w:rPr>
                        <w:rFonts w:ascii="Cambria Math" w:hAnsi="Cambria Math"/>
                        <w:i/>
                        <w:color w:val="7F7F7F" w:themeColor="text1" w:themeTint="80"/>
                        <w:sz w:val="22"/>
                        <w:szCs w:val="22"/>
                      </w:rPr>
                    </m:ctrlPr>
                  </m:sSupPr>
                  <m:e>
                    <m:r>
                      <w:rPr>
                        <w:rFonts w:ascii="Cambria Math" w:hAnsi="Cambria Math"/>
                        <w:color w:val="7F7F7F" w:themeColor="text1" w:themeTint="80"/>
                        <w:sz w:val="22"/>
                        <w:szCs w:val="22"/>
                      </w:rPr>
                      <m:t>e</m:t>
                    </m:r>
                  </m:e>
                  <m:sup>
                    <m:r>
                      <w:rPr>
                        <w:rFonts w:ascii="Cambria Math" w:hAnsi="Cambria Math"/>
                        <w:color w:val="7F7F7F" w:themeColor="text1" w:themeTint="80"/>
                        <w:sz w:val="22"/>
                        <w:szCs w:val="22"/>
                      </w:rPr>
                      <m:t>-(</m:t>
                    </m:r>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r</m:t>
                        </m:r>
                      </m:e>
                      <m:sub>
                        <m:r>
                          <w:rPr>
                            <w:rFonts w:ascii="Cambria Math" w:hAnsi="Cambria Math"/>
                            <w:color w:val="7F7F7F" w:themeColor="text1" w:themeTint="80"/>
                            <w:sz w:val="22"/>
                            <w:szCs w:val="22"/>
                          </w:rPr>
                          <m:t>T</m:t>
                        </m:r>
                      </m:sub>
                    </m:sSub>
                    <m:r>
                      <w:rPr>
                        <w:rFonts w:ascii="Cambria Math" w:hAnsi="Cambria Math"/>
                        <w:color w:val="7F7F7F" w:themeColor="text1" w:themeTint="80"/>
                        <w:sz w:val="22"/>
                        <w:szCs w:val="22"/>
                      </w:rPr>
                      <m:t>+</m:t>
                    </m:r>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s</m:t>
                        </m:r>
                      </m:e>
                      <m:sub>
                        <m:r>
                          <w:rPr>
                            <w:rFonts w:ascii="Cambria Math" w:hAnsi="Cambria Math"/>
                            <w:color w:val="7F7F7F" w:themeColor="text1" w:themeTint="80"/>
                            <w:sz w:val="22"/>
                            <w:szCs w:val="22"/>
                          </w:rPr>
                          <m:t>T</m:t>
                        </m:r>
                      </m:sub>
                    </m:sSub>
                    <m:r>
                      <w:rPr>
                        <w:rFonts w:ascii="Cambria Math" w:hAnsi="Cambria Math"/>
                        <w:color w:val="7F7F7F" w:themeColor="text1" w:themeTint="80"/>
                        <w:sz w:val="22"/>
                        <w:szCs w:val="22"/>
                      </w:rPr>
                      <m:t>)T</m:t>
                    </m:r>
                  </m:sup>
                </m:sSup>
                <m:r>
                  <w:rPr>
                    <w:rFonts w:ascii="Cambria Math" w:hAnsi="Cambria Math"/>
                    <w:color w:val="7F7F7F" w:themeColor="text1" w:themeTint="80"/>
                    <w:sz w:val="22"/>
                    <w:szCs w:val="22"/>
                  </w:rPr>
                  <m:t>=</m:t>
                </m:r>
                <m:f>
                  <m:fPr>
                    <m:ctrlPr>
                      <w:rPr>
                        <w:rFonts w:ascii="Cambria Math" w:hAnsi="Cambria Math"/>
                        <w:i/>
                        <w:color w:val="7F7F7F" w:themeColor="text1" w:themeTint="80"/>
                        <w:sz w:val="22"/>
                        <w:szCs w:val="22"/>
                      </w:rPr>
                    </m:ctrlPr>
                  </m:fPr>
                  <m:num>
                    <m:r>
                      <m:rPr>
                        <m:sty m:val="p"/>
                      </m:rPr>
                      <w:rPr>
                        <w:rFonts w:ascii="Cambria Math" w:hAnsi="Cambria Math"/>
                        <w:color w:val="7F7F7F" w:themeColor="text1" w:themeTint="80"/>
                        <w:sz w:val="22"/>
                        <w:szCs w:val="22"/>
                      </w:rPr>
                      <m:t xml:space="preserve"> </m:t>
                    </m:r>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L</m:t>
                        </m:r>
                      </m:e>
                      <m:sub>
                        <m:r>
                          <w:rPr>
                            <w:rFonts w:ascii="Cambria Math" w:hAnsi="Cambria Math"/>
                            <w:color w:val="7F7F7F" w:themeColor="text1" w:themeTint="80"/>
                            <w:sz w:val="22"/>
                            <w:szCs w:val="22"/>
                          </w:rPr>
                          <m:t>T</m:t>
                        </m:r>
                      </m:sub>
                    </m:sSub>
                  </m:num>
                  <m:den>
                    <m:r>
                      <w:rPr>
                        <w:rFonts w:ascii="Cambria Math" w:hAnsi="Cambria Math"/>
                        <w:color w:val="7F7F7F" w:themeColor="text1" w:themeTint="80"/>
                        <w:sz w:val="22"/>
                        <w:szCs w:val="22"/>
                      </w:rPr>
                      <m:t>1-</m:t>
                    </m:r>
                    <m:r>
                      <w:rPr>
                        <w:rFonts w:ascii="Cambria Math" w:eastAsiaTheme="minorEastAsia" w:hAnsi="Cambria Math"/>
                        <w:color w:val="7F7F7F" w:themeColor="text1" w:themeTint="80"/>
                        <w:sz w:val="22"/>
                        <w:szCs w:val="22"/>
                      </w:rPr>
                      <m:t>C</m:t>
                    </m:r>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L</m:t>
                        </m:r>
                      </m:e>
                      <m:sub>
                        <m:r>
                          <w:rPr>
                            <w:rFonts w:ascii="Cambria Math" w:hAnsi="Cambria Math"/>
                            <w:color w:val="7F7F7F" w:themeColor="text1" w:themeTint="80"/>
                            <w:sz w:val="22"/>
                            <w:szCs w:val="22"/>
                          </w:rPr>
                          <m:t>T</m:t>
                        </m:r>
                      </m:sub>
                    </m:sSub>
                  </m:den>
                </m:f>
                <m:sSup>
                  <m:sSupPr>
                    <m:ctrlPr>
                      <w:rPr>
                        <w:rFonts w:ascii="Cambria Math" w:hAnsi="Cambria Math"/>
                        <w:i/>
                        <w:color w:val="7F7F7F" w:themeColor="text1" w:themeTint="80"/>
                        <w:sz w:val="22"/>
                        <w:szCs w:val="22"/>
                      </w:rPr>
                    </m:ctrlPr>
                  </m:sSupPr>
                  <m:e>
                    <m:r>
                      <w:rPr>
                        <w:rFonts w:ascii="Cambria Math" w:hAnsi="Cambria Math"/>
                        <w:color w:val="7F7F7F" w:themeColor="text1" w:themeTint="80"/>
                        <w:sz w:val="22"/>
                        <w:szCs w:val="22"/>
                      </w:rPr>
                      <m:t>e</m:t>
                    </m:r>
                  </m:e>
                  <m:sup>
                    <m:r>
                      <w:rPr>
                        <w:rFonts w:ascii="Cambria Math" w:hAnsi="Cambria Math"/>
                        <w:color w:val="7F7F7F" w:themeColor="text1" w:themeTint="80"/>
                        <w:sz w:val="22"/>
                        <w:szCs w:val="22"/>
                      </w:rPr>
                      <m:t>-(</m:t>
                    </m:r>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r</m:t>
                        </m:r>
                      </m:e>
                      <m:sub>
                        <m:r>
                          <w:rPr>
                            <w:rFonts w:ascii="Cambria Math" w:hAnsi="Cambria Math"/>
                            <w:color w:val="7F7F7F" w:themeColor="text1" w:themeTint="80"/>
                            <w:sz w:val="22"/>
                            <w:szCs w:val="22"/>
                          </w:rPr>
                          <m:t>T</m:t>
                        </m:r>
                      </m:sub>
                    </m:sSub>
                    <m:r>
                      <w:rPr>
                        <w:rFonts w:ascii="Cambria Math" w:hAnsi="Cambria Math"/>
                        <w:color w:val="7F7F7F" w:themeColor="text1" w:themeTint="80"/>
                        <w:sz w:val="22"/>
                        <w:szCs w:val="22"/>
                      </w:rPr>
                      <m:t>+</m:t>
                    </m:r>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s</m:t>
                        </m:r>
                      </m:e>
                      <m:sub>
                        <m:r>
                          <w:rPr>
                            <w:rFonts w:ascii="Cambria Math" w:hAnsi="Cambria Math"/>
                            <w:color w:val="7F7F7F" w:themeColor="text1" w:themeTint="80"/>
                            <w:sz w:val="22"/>
                            <w:szCs w:val="22"/>
                          </w:rPr>
                          <m:t>T</m:t>
                        </m:r>
                      </m:sub>
                    </m:sSub>
                    <m:r>
                      <w:rPr>
                        <w:rFonts w:ascii="Cambria Math" w:hAnsi="Cambria Math"/>
                        <w:color w:val="7F7F7F" w:themeColor="text1" w:themeTint="80"/>
                        <w:sz w:val="22"/>
                        <w:szCs w:val="22"/>
                      </w:rPr>
                      <m:t>)T</m:t>
                    </m:r>
                  </m:sup>
                </m:sSup>
              </m:oMath>
            </m:oMathPara>
          </w:p>
          <w:p w14:paraId="2187E528" w14:textId="77777777" w:rsidR="00891023" w:rsidRPr="00395661" w:rsidRDefault="00891023" w:rsidP="00020B14">
            <w:pPr>
              <w:tabs>
                <w:tab w:val="left" w:pos="0"/>
              </w:tabs>
              <w:spacing w:after="120"/>
              <w:rPr>
                <w:rFonts w:ascii="Verdana" w:eastAsiaTheme="minorEastAsia" w:hAnsi="Verdana"/>
                <w:color w:val="7F7F7F" w:themeColor="text1" w:themeTint="80"/>
                <w:sz w:val="22"/>
                <w:szCs w:val="22"/>
                <w:lang w:val="en-US"/>
              </w:rPr>
            </w:pPr>
            <w:r w:rsidRPr="00395661">
              <w:rPr>
                <w:rFonts w:ascii="Verdana" w:eastAsiaTheme="minorEastAsia" w:hAnsi="Verdana"/>
                <w:color w:val="7F7F7F" w:themeColor="text1" w:themeTint="80"/>
                <w:sz w:val="22"/>
                <w:szCs w:val="22"/>
                <w:lang w:val="en-US"/>
              </w:rPr>
              <w:t xml:space="preserve">The value of the liability is by definition of the volatility adjustment </w:t>
            </w:r>
            <m:oMath>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va</m:t>
                  </m:r>
                </m:e>
                <m:sub>
                  <m:r>
                    <w:rPr>
                      <w:rFonts w:ascii="Cambria Math" w:hAnsi="Cambria Math"/>
                      <w:color w:val="7F7F7F" w:themeColor="text1" w:themeTint="80"/>
                      <w:sz w:val="22"/>
                      <w:szCs w:val="22"/>
                    </w:rPr>
                    <m:t>T</m:t>
                  </m:r>
                </m:sub>
              </m:sSub>
            </m:oMath>
            <w:r w:rsidRPr="00395661">
              <w:rPr>
                <w:rFonts w:ascii="Verdana" w:eastAsiaTheme="minorEastAsia" w:hAnsi="Verdana"/>
                <w:color w:val="7F7F7F" w:themeColor="text1" w:themeTint="80"/>
                <w:sz w:val="22"/>
                <w:szCs w:val="22"/>
                <w:lang w:val="en-US"/>
              </w:rPr>
              <w:t xml:space="preserve"> given by:</w:t>
            </w:r>
          </w:p>
          <w:p w14:paraId="756EFD14" w14:textId="77777777" w:rsidR="00891023" w:rsidRPr="00395661" w:rsidRDefault="005D2D16" w:rsidP="00020B14">
            <w:pPr>
              <w:tabs>
                <w:tab w:val="left" w:pos="0"/>
              </w:tabs>
              <w:spacing w:after="120"/>
              <w:rPr>
                <w:rFonts w:ascii="Verdana" w:eastAsiaTheme="minorEastAsia" w:hAnsi="Verdana"/>
                <w:color w:val="7F7F7F" w:themeColor="text1" w:themeTint="80"/>
                <w:sz w:val="22"/>
                <w:szCs w:val="22"/>
              </w:rPr>
            </w:pPr>
            <m:oMathPara>
              <m:oMath>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 xml:space="preserve"> V</m:t>
                    </m:r>
                  </m:e>
                  <m:sub>
                    <m:r>
                      <w:rPr>
                        <w:rFonts w:ascii="Cambria Math" w:hAnsi="Cambria Math"/>
                        <w:color w:val="7F7F7F" w:themeColor="text1" w:themeTint="80"/>
                        <w:sz w:val="22"/>
                        <w:szCs w:val="22"/>
                      </w:rPr>
                      <m:t>L</m:t>
                    </m:r>
                  </m:sub>
                </m:sSub>
                <m:r>
                  <w:rPr>
                    <w:rFonts w:ascii="Cambria Math" w:eastAsiaTheme="minorEastAsia" w:hAnsi="Cambria Math"/>
                    <w:color w:val="7F7F7F" w:themeColor="text1" w:themeTint="80"/>
                    <w:sz w:val="22"/>
                    <w:szCs w:val="22"/>
                  </w:rPr>
                  <m:t>=</m:t>
                </m:r>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 xml:space="preserve"> L</m:t>
                    </m:r>
                  </m:e>
                  <m:sub>
                    <m:r>
                      <w:rPr>
                        <w:rFonts w:ascii="Cambria Math" w:hAnsi="Cambria Math"/>
                        <w:color w:val="7F7F7F" w:themeColor="text1" w:themeTint="80"/>
                        <w:sz w:val="22"/>
                        <w:szCs w:val="22"/>
                      </w:rPr>
                      <m:t>T</m:t>
                    </m:r>
                  </m:sub>
                </m:sSub>
                <m:sSup>
                  <m:sSupPr>
                    <m:ctrlPr>
                      <w:rPr>
                        <w:rFonts w:ascii="Cambria Math" w:hAnsi="Cambria Math"/>
                        <w:i/>
                        <w:color w:val="7F7F7F" w:themeColor="text1" w:themeTint="80"/>
                        <w:sz w:val="22"/>
                        <w:szCs w:val="22"/>
                      </w:rPr>
                    </m:ctrlPr>
                  </m:sSupPr>
                  <m:e>
                    <m:r>
                      <w:rPr>
                        <w:rFonts w:ascii="Cambria Math" w:hAnsi="Cambria Math"/>
                        <w:color w:val="7F7F7F" w:themeColor="text1" w:themeTint="80"/>
                        <w:sz w:val="22"/>
                        <w:szCs w:val="22"/>
                      </w:rPr>
                      <m:t>e</m:t>
                    </m:r>
                  </m:e>
                  <m:sup>
                    <m:r>
                      <w:rPr>
                        <w:rFonts w:ascii="Cambria Math" w:hAnsi="Cambria Math"/>
                        <w:color w:val="7F7F7F" w:themeColor="text1" w:themeTint="80"/>
                        <w:sz w:val="22"/>
                        <w:szCs w:val="22"/>
                      </w:rPr>
                      <m:t>-(</m:t>
                    </m:r>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r</m:t>
                        </m:r>
                      </m:e>
                      <m:sub>
                        <m:r>
                          <w:rPr>
                            <w:rFonts w:ascii="Cambria Math" w:hAnsi="Cambria Math"/>
                            <w:color w:val="7F7F7F" w:themeColor="text1" w:themeTint="80"/>
                            <w:sz w:val="22"/>
                            <w:szCs w:val="22"/>
                          </w:rPr>
                          <m:t>T</m:t>
                        </m:r>
                      </m:sub>
                    </m:sSub>
                    <m:r>
                      <w:rPr>
                        <w:rFonts w:ascii="Cambria Math" w:hAnsi="Cambria Math"/>
                        <w:color w:val="7F7F7F" w:themeColor="text1" w:themeTint="80"/>
                        <w:sz w:val="22"/>
                        <w:szCs w:val="22"/>
                      </w:rPr>
                      <m:t>+</m:t>
                    </m:r>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va</m:t>
                        </m:r>
                      </m:e>
                      <m:sub>
                        <m:r>
                          <w:rPr>
                            <w:rFonts w:ascii="Cambria Math" w:hAnsi="Cambria Math"/>
                            <w:color w:val="7F7F7F" w:themeColor="text1" w:themeTint="80"/>
                            <w:sz w:val="22"/>
                            <w:szCs w:val="22"/>
                          </w:rPr>
                          <m:t>T</m:t>
                        </m:r>
                      </m:sub>
                    </m:sSub>
                    <m:r>
                      <w:rPr>
                        <w:rFonts w:ascii="Cambria Math" w:hAnsi="Cambria Math"/>
                        <w:color w:val="7F7F7F" w:themeColor="text1" w:themeTint="80"/>
                        <w:sz w:val="22"/>
                        <w:szCs w:val="22"/>
                      </w:rPr>
                      <m:t>)T</m:t>
                    </m:r>
                  </m:sup>
                </m:sSup>
              </m:oMath>
            </m:oMathPara>
          </w:p>
          <w:p w14:paraId="3DEFE865" w14:textId="77777777" w:rsidR="00891023" w:rsidRPr="00395661" w:rsidRDefault="00891023" w:rsidP="00020B14">
            <w:pPr>
              <w:tabs>
                <w:tab w:val="left" w:pos="0"/>
              </w:tabs>
              <w:rPr>
                <w:rFonts w:ascii="Verdana" w:eastAsiaTheme="minorEastAsi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In case of perfect illiquidity and replication, </w:t>
            </w:r>
            <w:r w:rsidRPr="00395661">
              <w:rPr>
                <w:rFonts w:ascii="Verdana" w:eastAsiaTheme="minorEastAsia" w:hAnsi="Verdana"/>
                <w:color w:val="7F7F7F" w:themeColor="text1" w:themeTint="80"/>
                <w:sz w:val="22"/>
                <w:szCs w:val="22"/>
                <w:lang w:val="en-US"/>
              </w:rPr>
              <w:t>the application rate must equal</w:t>
            </w:r>
            <m:oMath>
              <m:r>
                <w:rPr>
                  <w:rFonts w:ascii="Cambria Math" w:eastAsiaTheme="minorEastAsia" w:hAnsi="Cambria Math"/>
                  <w:color w:val="7F7F7F" w:themeColor="text1" w:themeTint="80"/>
                  <w:sz w:val="22"/>
                  <w:szCs w:val="22"/>
                  <w:lang w:val="en-US"/>
                </w:rPr>
                <m:t xml:space="preserve"> </m:t>
              </m:r>
            </m:oMath>
            <w:r w:rsidRPr="00395661">
              <w:rPr>
                <w:rFonts w:ascii="Verdana" w:eastAsiaTheme="minorEastAsia" w:hAnsi="Verdana"/>
                <w:color w:val="7F7F7F" w:themeColor="text1" w:themeTint="80"/>
                <w:sz w:val="22"/>
                <w:szCs w:val="22"/>
                <w:lang w:val="en-US"/>
              </w:rPr>
              <w:t xml:space="preserve">1 to avoid inconsistent valuation. Using  </w:t>
            </w:r>
            <m:oMath>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va</m:t>
                  </m:r>
                </m:e>
                <m:sub>
                  <m:r>
                    <w:rPr>
                      <w:rFonts w:ascii="Cambria Math" w:hAnsi="Cambria Math"/>
                      <w:color w:val="7F7F7F" w:themeColor="text1" w:themeTint="80"/>
                      <w:sz w:val="22"/>
                      <w:szCs w:val="22"/>
                    </w:rPr>
                    <m:t>T</m:t>
                  </m:r>
                </m:sub>
              </m:sSub>
              <m:r>
                <w:rPr>
                  <w:rFonts w:ascii="Cambria Math" w:eastAsiaTheme="minorEastAsia" w:hAnsi="Cambria Math"/>
                  <w:color w:val="7F7F7F" w:themeColor="text1" w:themeTint="80"/>
                  <w:sz w:val="22"/>
                  <w:szCs w:val="22"/>
                  <w:lang w:val="en-US"/>
                </w:rPr>
                <m:t>=(</m:t>
              </m:r>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s</m:t>
                  </m:r>
                </m:e>
                <m:sub>
                  <m:r>
                    <w:rPr>
                      <w:rFonts w:ascii="Cambria Math" w:hAnsi="Cambria Math"/>
                      <w:color w:val="7F7F7F" w:themeColor="text1" w:themeTint="80"/>
                      <w:sz w:val="22"/>
                      <w:szCs w:val="22"/>
                    </w:rPr>
                    <m:t>T</m:t>
                  </m:r>
                </m:sub>
              </m:sSub>
              <m:r>
                <w:rPr>
                  <w:rFonts w:ascii="Cambria Math" w:hAnsi="Cambria Math"/>
                  <w:color w:val="7F7F7F" w:themeColor="text1" w:themeTint="80"/>
                  <w:sz w:val="22"/>
                  <w:szCs w:val="22"/>
                  <w:lang w:val="en-US"/>
                </w:rPr>
                <m:t>-</m:t>
              </m:r>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rc</m:t>
                  </m:r>
                </m:e>
                <m:sub>
                  <m:r>
                    <w:rPr>
                      <w:rFonts w:ascii="Cambria Math" w:hAnsi="Cambria Math"/>
                      <w:color w:val="7F7F7F" w:themeColor="text1" w:themeTint="80"/>
                      <w:sz w:val="22"/>
                      <w:szCs w:val="22"/>
                    </w:rPr>
                    <m:t>T</m:t>
                  </m:r>
                </m:sub>
              </m:sSub>
              <m:r>
                <w:rPr>
                  <w:rFonts w:ascii="Cambria Math" w:hAnsi="Cambria Math"/>
                  <w:color w:val="7F7F7F" w:themeColor="text1" w:themeTint="80"/>
                  <w:sz w:val="22"/>
                  <w:szCs w:val="22"/>
                  <w:lang w:val="en-US"/>
                </w:rPr>
                <m:t>)</m:t>
              </m:r>
            </m:oMath>
            <w:r w:rsidRPr="00395661">
              <w:rPr>
                <w:rFonts w:ascii="Verdana" w:eastAsiaTheme="minorEastAsia" w:hAnsi="Verdana"/>
                <w:color w:val="7F7F7F" w:themeColor="text1" w:themeTint="80"/>
                <w:sz w:val="22"/>
                <w:szCs w:val="22"/>
                <w:lang w:val="en-US"/>
              </w:rPr>
              <w:t xml:space="preserve"> with </w:t>
            </w:r>
            <m:oMath>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rPr>
                    <m:t>rc</m:t>
                  </m:r>
                </m:e>
                <m:sub>
                  <m:r>
                    <w:rPr>
                      <w:rFonts w:ascii="Cambria Math" w:hAnsi="Cambria Math"/>
                      <w:color w:val="7F7F7F" w:themeColor="text1" w:themeTint="80"/>
                      <w:sz w:val="22"/>
                      <w:szCs w:val="22"/>
                    </w:rPr>
                    <m:t>T</m:t>
                  </m:r>
                </m:sub>
              </m:sSub>
            </m:oMath>
            <w:r w:rsidRPr="00395661">
              <w:rPr>
                <w:rFonts w:ascii="Verdana" w:eastAsiaTheme="minorEastAsia" w:hAnsi="Verdana"/>
                <w:color w:val="7F7F7F" w:themeColor="text1" w:themeTint="80"/>
                <w:sz w:val="22"/>
                <w:szCs w:val="22"/>
                <w:lang w:val="en-US"/>
              </w:rPr>
              <w:t xml:space="preserve"> the risk correction and</w:t>
            </w:r>
            <m:oMath>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lang w:val="en-US"/>
                    </w:rPr>
                    <m:t xml:space="preserve"> </m:t>
                  </m:r>
                  <m:r>
                    <w:rPr>
                      <w:rFonts w:ascii="Cambria Math" w:hAnsi="Cambria Math"/>
                      <w:color w:val="7F7F7F" w:themeColor="text1" w:themeTint="80"/>
                      <w:sz w:val="22"/>
                      <w:szCs w:val="22"/>
                    </w:rPr>
                    <m:t>V</m:t>
                  </m:r>
                </m:e>
                <m:sub>
                  <m:r>
                    <w:rPr>
                      <w:rFonts w:ascii="Cambria Math" w:hAnsi="Cambria Math"/>
                      <w:color w:val="7F7F7F" w:themeColor="text1" w:themeTint="80"/>
                      <w:sz w:val="22"/>
                      <w:szCs w:val="22"/>
                    </w:rPr>
                    <m:t>A</m:t>
                  </m:r>
                </m:sub>
              </m:sSub>
              <m:r>
                <w:rPr>
                  <w:rFonts w:ascii="Cambria Math" w:eastAsiaTheme="minorEastAsia" w:hAnsi="Cambria Math"/>
                  <w:color w:val="7F7F7F" w:themeColor="text1" w:themeTint="80"/>
                  <w:sz w:val="22"/>
                  <w:szCs w:val="22"/>
                  <w:lang w:val="en-US"/>
                </w:rPr>
                <m:t>=</m:t>
              </m:r>
              <m:sSub>
                <m:sSubPr>
                  <m:ctrlPr>
                    <w:rPr>
                      <w:rFonts w:ascii="Cambria Math" w:hAnsi="Cambria Math"/>
                      <w:i/>
                      <w:color w:val="7F7F7F" w:themeColor="text1" w:themeTint="80"/>
                      <w:sz w:val="22"/>
                      <w:szCs w:val="22"/>
                    </w:rPr>
                  </m:ctrlPr>
                </m:sSubPr>
                <m:e>
                  <m:r>
                    <w:rPr>
                      <w:rFonts w:ascii="Cambria Math" w:hAnsi="Cambria Math"/>
                      <w:color w:val="7F7F7F" w:themeColor="text1" w:themeTint="80"/>
                      <w:sz w:val="22"/>
                      <w:szCs w:val="22"/>
                      <w:lang w:val="en-US"/>
                    </w:rPr>
                    <m:t xml:space="preserve"> </m:t>
                  </m:r>
                  <m:r>
                    <w:rPr>
                      <w:rFonts w:ascii="Cambria Math" w:hAnsi="Cambria Math"/>
                      <w:color w:val="7F7F7F" w:themeColor="text1" w:themeTint="80"/>
                      <w:sz w:val="22"/>
                      <w:szCs w:val="22"/>
                    </w:rPr>
                    <m:t>V</m:t>
                  </m:r>
                </m:e>
                <m:sub>
                  <m:r>
                    <w:rPr>
                      <w:rFonts w:ascii="Cambria Math" w:hAnsi="Cambria Math"/>
                      <w:color w:val="7F7F7F" w:themeColor="text1" w:themeTint="80"/>
                      <w:sz w:val="22"/>
                      <w:szCs w:val="22"/>
                    </w:rPr>
                    <m:t>L</m:t>
                  </m:r>
                </m:sub>
              </m:sSub>
            </m:oMath>
            <w:r w:rsidRPr="00395661">
              <w:rPr>
                <w:rFonts w:ascii="Verdana" w:eastAsiaTheme="minorEastAsia" w:hAnsi="Verdana"/>
                <w:color w:val="7F7F7F" w:themeColor="text1" w:themeTint="80"/>
                <w:sz w:val="22"/>
                <w:szCs w:val="22"/>
                <w:lang w:val="en-US"/>
              </w:rPr>
              <w:t>, we obtain:</w:t>
            </w:r>
          </w:p>
          <w:p w14:paraId="37B3358C" w14:textId="77777777" w:rsidR="00891023" w:rsidRPr="00395661" w:rsidRDefault="005D2D16" w:rsidP="00020B14">
            <w:pPr>
              <w:pStyle w:val="ListParagraph"/>
              <w:tabs>
                <w:tab w:val="left" w:pos="0"/>
              </w:tabs>
              <w:spacing w:before="120" w:after="120" w:line="264" w:lineRule="auto"/>
              <w:ind w:left="0"/>
              <w:jc w:val="both"/>
              <w:rPr>
                <w:rFonts w:ascii="Verdana" w:eastAsiaTheme="minorEastAsia" w:hAnsi="Verdana"/>
                <w:color w:val="7F7F7F" w:themeColor="text1" w:themeTint="80"/>
                <w:kern w:val="24"/>
              </w:rPr>
            </w:pPr>
            <m:oMathPara>
              <m:oMath>
                <m:sSub>
                  <m:sSubPr>
                    <m:ctrlPr>
                      <w:rPr>
                        <w:rFonts w:ascii="Cambria Math" w:hAnsi="Cambria Math"/>
                        <w:i/>
                        <w:color w:val="7F7F7F" w:themeColor="text1" w:themeTint="80"/>
                      </w:rPr>
                    </m:ctrlPr>
                  </m:sSubPr>
                  <m:e>
                    <m:r>
                      <w:rPr>
                        <w:rFonts w:ascii="Cambria Math" w:hAnsi="Cambria Math"/>
                        <w:color w:val="7F7F7F" w:themeColor="text1" w:themeTint="80"/>
                      </w:rPr>
                      <m:t xml:space="preserve"> RC</m:t>
                    </m:r>
                  </m:e>
                  <m:sub>
                    <m:r>
                      <w:rPr>
                        <w:rFonts w:ascii="Cambria Math" w:hAnsi="Cambria Math"/>
                        <w:color w:val="7F7F7F" w:themeColor="text1" w:themeTint="80"/>
                      </w:rPr>
                      <m:t>T</m:t>
                    </m:r>
                  </m:sub>
                </m:sSub>
                <m:r>
                  <w:rPr>
                    <w:rFonts w:ascii="Cambria Math" w:eastAsiaTheme="minorEastAsia" w:hAnsi="Cambria Math"/>
                    <w:color w:val="7F7F7F" w:themeColor="text1" w:themeTint="80"/>
                    <w:kern w:val="24"/>
                  </w:rPr>
                  <m:t>=-</m:t>
                </m:r>
                <m:f>
                  <m:fPr>
                    <m:ctrlPr>
                      <w:rPr>
                        <w:rFonts w:ascii="Cambria Math" w:eastAsiaTheme="minorEastAsia" w:hAnsi="Cambria Math"/>
                        <w:i/>
                        <w:color w:val="7F7F7F" w:themeColor="text1" w:themeTint="80"/>
                        <w:kern w:val="24"/>
                      </w:rPr>
                    </m:ctrlPr>
                  </m:fPr>
                  <m:num>
                    <m:r>
                      <w:rPr>
                        <w:rFonts w:ascii="Cambria Math" w:eastAsiaTheme="minorEastAsia" w:hAnsi="Cambria Math"/>
                        <w:color w:val="7F7F7F" w:themeColor="text1" w:themeTint="80"/>
                        <w:kern w:val="24"/>
                      </w:rPr>
                      <m:t>1</m:t>
                    </m:r>
                  </m:num>
                  <m:den>
                    <m:r>
                      <w:rPr>
                        <w:rFonts w:ascii="Cambria Math" w:eastAsiaTheme="minorEastAsia" w:hAnsi="Cambria Math"/>
                        <w:color w:val="7F7F7F" w:themeColor="text1" w:themeTint="80"/>
                        <w:kern w:val="24"/>
                      </w:rPr>
                      <m:t>T</m:t>
                    </m:r>
                  </m:den>
                </m:f>
                <m:r>
                  <m:rPr>
                    <m:sty m:val="p"/>
                  </m:rPr>
                  <w:rPr>
                    <w:rFonts w:ascii="Cambria Math" w:eastAsiaTheme="minorEastAsia" w:hAnsi="Cambria Math"/>
                    <w:color w:val="7F7F7F" w:themeColor="text1" w:themeTint="80"/>
                    <w:kern w:val="24"/>
                  </w:rPr>
                  <m:t>log⁡</m:t>
                </m:r>
                <m:r>
                  <w:rPr>
                    <w:rFonts w:ascii="Cambria Math" w:eastAsiaTheme="minorEastAsia" w:hAnsi="Cambria Math"/>
                    <w:color w:val="7F7F7F" w:themeColor="text1" w:themeTint="80"/>
                    <w:kern w:val="24"/>
                  </w:rPr>
                  <m:t>(1-</m:t>
                </m:r>
                <m:r>
                  <w:rPr>
                    <w:rFonts w:ascii="Cambria Math" w:eastAsiaTheme="minorEastAsia" w:hAnsi="Cambria Math"/>
                    <w:color w:val="7F7F7F" w:themeColor="text1" w:themeTint="80"/>
                  </w:rPr>
                  <m:t>C</m:t>
                </m:r>
                <m:sSub>
                  <m:sSubPr>
                    <m:ctrlPr>
                      <w:rPr>
                        <w:rFonts w:ascii="Cambria Math" w:hAnsi="Cambria Math"/>
                        <w:i/>
                        <w:color w:val="7F7F7F" w:themeColor="text1" w:themeTint="80"/>
                      </w:rPr>
                    </m:ctrlPr>
                  </m:sSubPr>
                  <m:e>
                    <m:r>
                      <w:rPr>
                        <w:rFonts w:ascii="Cambria Math" w:hAnsi="Cambria Math"/>
                        <w:color w:val="7F7F7F" w:themeColor="text1" w:themeTint="80"/>
                      </w:rPr>
                      <m:t>L</m:t>
                    </m:r>
                  </m:e>
                  <m:sub>
                    <m:r>
                      <w:rPr>
                        <w:rFonts w:ascii="Cambria Math" w:hAnsi="Cambria Math"/>
                        <w:color w:val="7F7F7F" w:themeColor="text1" w:themeTint="80"/>
                      </w:rPr>
                      <m:t>T</m:t>
                    </m:r>
                  </m:sub>
                </m:sSub>
                <m:r>
                  <w:rPr>
                    <w:rFonts w:ascii="Cambria Math" w:eastAsiaTheme="minorEastAsia" w:hAnsi="Cambria Math"/>
                    <w:color w:val="7F7F7F" w:themeColor="text1" w:themeTint="80"/>
                    <w:kern w:val="24"/>
                  </w:rPr>
                  <m:t>)</m:t>
                </m:r>
              </m:oMath>
            </m:oMathPara>
          </w:p>
          <w:p w14:paraId="711A00F1" w14:textId="77777777" w:rsidR="00891023" w:rsidRPr="00395661" w:rsidRDefault="00891023" w:rsidP="00020B14">
            <w:pPr>
              <w:tabs>
                <w:tab w:val="left" w:pos="0"/>
              </w:tabs>
              <w:spacing w:after="120"/>
              <w:rPr>
                <w:rFonts w:ascii="Verdana" w:eastAsiaTheme="minorEastAsia" w:hAnsi="Verdana"/>
                <w:color w:val="7F7F7F" w:themeColor="text1" w:themeTint="80"/>
                <w:kern w:val="24"/>
                <w:sz w:val="22"/>
                <w:szCs w:val="22"/>
                <w:lang w:val="en-US"/>
              </w:rPr>
            </w:pPr>
            <w:r w:rsidRPr="00395661">
              <w:rPr>
                <w:rFonts w:ascii="Verdana" w:eastAsiaTheme="minorEastAsia" w:hAnsi="Verdana"/>
                <w:color w:val="7F7F7F" w:themeColor="text1" w:themeTint="80"/>
                <w:kern w:val="24"/>
                <w:sz w:val="22"/>
                <w:szCs w:val="22"/>
                <w:lang w:val="en-US"/>
              </w:rPr>
              <w:t xml:space="preserve">This is the expression for the risk correction in case of perfect illiquidity and perfect matching in terms of cumulative credit loss over the maturity </w:t>
            </w:r>
            <m:oMath>
              <m:r>
                <w:rPr>
                  <w:rFonts w:ascii="Cambria Math" w:eastAsiaTheme="minorEastAsia" w:hAnsi="Cambria Math"/>
                  <w:color w:val="7F7F7F" w:themeColor="text1" w:themeTint="80"/>
                  <w:kern w:val="24"/>
                  <w:sz w:val="22"/>
                  <w:szCs w:val="22"/>
                </w:rPr>
                <m:t>T</m:t>
              </m:r>
            </m:oMath>
            <w:r w:rsidRPr="00395661">
              <w:rPr>
                <w:rFonts w:ascii="Verdana" w:eastAsiaTheme="minorEastAsia" w:hAnsi="Verdana"/>
                <w:color w:val="7F7F7F" w:themeColor="text1" w:themeTint="80"/>
                <w:kern w:val="24"/>
                <w:sz w:val="22"/>
                <w:szCs w:val="22"/>
                <w:lang w:val="en-US"/>
              </w:rPr>
              <w:t xml:space="preserve"> of the bond, when credit loss is predictable. Again, deviations from perfect illiquidity and perfect matching should be captured in the application ratio. Typical historical average cumulative </w:t>
            </w:r>
            <w:r w:rsidRPr="00395661">
              <w:rPr>
                <w:rFonts w:ascii="Verdana" w:eastAsiaTheme="minorEastAsia" w:hAnsi="Verdana"/>
                <w:color w:val="7F7F7F" w:themeColor="text1" w:themeTint="80"/>
                <w:kern w:val="24"/>
                <w:sz w:val="22"/>
                <w:szCs w:val="22"/>
                <w:lang w:val="en-US"/>
              </w:rPr>
              <w:lastRenderedPageBreak/>
              <w:t>credit losses for 5-year BBB bonds are 50 bps, corresponding to an historical average risk correction of 10 bps. During the most recent crisis years cumulative default rates have been somewhat higher than the historical average (e.g. considering 5-year cumulative default rates for the cohort starting 2008), but the observed increase in credit losses has been much less than the increase in spreads.</w:t>
            </w:r>
          </w:p>
          <w:p w14:paraId="0DA30987" w14:textId="77777777" w:rsidR="00891023" w:rsidRPr="00395661" w:rsidRDefault="00891023" w:rsidP="00020B14">
            <w:pPr>
              <w:tabs>
                <w:tab w:val="left" w:pos="0"/>
              </w:tabs>
              <w:spacing w:before="120" w:after="120"/>
              <w:rPr>
                <w:rFonts w:ascii="Verdana" w:eastAsiaTheme="minorEastAsia" w:hAnsi="Verdana"/>
                <w:color w:val="7F7F7F" w:themeColor="text1" w:themeTint="80"/>
                <w:kern w:val="24"/>
                <w:sz w:val="22"/>
                <w:szCs w:val="22"/>
                <w:lang w:val="en-US"/>
              </w:rPr>
            </w:pPr>
            <w:r w:rsidRPr="00395661">
              <w:rPr>
                <w:rFonts w:ascii="Verdana" w:eastAsiaTheme="minorEastAsia" w:hAnsi="Verdana"/>
                <w:color w:val="7F7F7F" w:themeColor="text1" w:themeTint="80"/>
                <w:kern w:val="24"/>
                <w:sz w:val="22"/>
                <w:szCs w:val="22"/>
                <w:lang w:val="en-US"/>
              </w:rPr>
              <w:t xml:space="preserve">We note that for financial bonds, the spreads for 5-year BBB bonds have risen to 1500 bps during the most recent crisis. The proposal of EIOPA is to use a risk correction of 60% in these cases. Using the above formula, this risk correction corresponds to a cumulative credit loss of about 35%. Considering a recovery rate of 50%, this means that the cumulative default probability implied by the proposed risk correction is about 70%. The observed 5-year cumulative default rates for BBB corporate bonds issued in 2008, which thus includes all crisis years, is somewhere around 1%. Even though central governments have bailed-out several financial institutions, the default probabilities implied by the EIOPA risk correction are very high, especially compared to observed default rates. </w:t>
            </w:r>
          </w:p>
          <w:p w14:paraId="42B129C7" w14:textId="77777777" w:rsidR="00891023" w:rsidRPr="00395661" w:rsidRDefault="00891023" w:rsidP="00020B14">
            <w:pPr>
              <w:pStyle w:val="ListParagraph"/>
              <w:tabs>
                <w:tab w:val="left" w:pos="0"/>
              </w:tabs>
              <w:spacing w:after="120" w:line="264" w:lineRule="auto"/>
              <w:ind w:left="0"/>
              <w:jc w:val="both"/>
              <w:rPr>
                <w:rFonts w:ascii="Verdana" w:eastAsiaTheme="minorEastAsia" w:hAnsi="Verdana"/>
                <w:i/>
                <w:color w:val="7F7F7F" w:themeColor="text1" w:themeTint="80"/>
                <w:kern w:val="24"/>
                <w:lang w:val="en-US"/>
              </w:rPr>
            </w:pPr>
            <w:r w:rsidRPr="00395661">
              <w:rPr>
                <w:rFonts w:ascii="Verdana" w:eastAsiaTheme="minorEastAsia" w:hAnsi="Verdana"/>
                <w:i/>
                <w:color w:val="7F7F7F" w:themeColor="text1" w:themeTint="80"/>
                <w:kern w:val="24"/>
                <w:lang w:val="en-US"/>
              </w:rPr>
              <w:t>Case 2: Unexpected cash flow risk</w:t>
            </w:r>
          </w:p>
          <w:p w14:paraId="219C97CE" w14:textId="77777777" w:rsidR="00891023" w:rsidRPr="00395661" w:rsidRDefault="00891023" w:rsidP="00020B14">
            <w:pPr>
              <w:tabs>
                <w:tab w:val="left" w:pos="0"/>
              </w:tabs>
              <w:spacing w:after="120"/>
              <w:rPr>
                <w:rFonts w:ascii="Verdana" w:eastAsiaTheme="minorEastAsia" w:hAnsi="Verdana"/>
                <w:color w:val="7F7F7F" w:themeColor="text1" w:themeTint="80"/>
                <w:kern w:val="24"/>
                <w:sz w:val="22"/>
                <w:szCs w:val="22"/>
                <w:lang w:val="en-US"/>
              </w:rPr>
            </w:pPr>
            <w:r w:rsidRPr="00395661">
              <w:rPr>
                <w:rFonts w:ascii="Verdana" w:eastAsiaTheme="minorEastAsia" w:hAnsi="Verdana"/>
                <w:color w:val="7F7F7F" w:themeColor="text1" w:themeTint="80"/>
                <w:kern w:val="24"/>
                <w:sz w:val="22"/>
                <w:szCs w:val="22"/>
                <w:lang w:val="en-US"/>
              </w:rPr>
              <w:t>Since credit losses are not perfectly predictable, it is natural to distinguish between expected credit loss and unexpected credit loss (see EIOPA</w:t>
            </w:r>
            <w:r w:rsidRPr="00395661">
              <w:rPr>
                <w:rFonts w:ascii="Verdana" w:hAnsi="Verdana"/>
                <w:color w:val="7F7F7F" w:themeColor="text1" w:themeTint="80"/>
                <w:sz w:val="22"/>
                <w:szCs w:val="22"/>
                <w:lang w:val="en-US"/>
              </w:rPr>
              <w:t xml:space="preserve"> requirement 3).  into a schematic formula, we obtain:</w:t>
            </w:r>
          </w:p>
          <w:p w14:paraId="0F786B84" w14:textId="77777777" w:rsidR="00891023" w:rsidRPr="00395661" w:rsidRDefault="00891023" w:rsidP="00020B14">
            <w:pPr>
              <w:pStyle w:val="ListParagraph"/>
              <w:tabs>
                <w:tab w:val="left" w:pos="0"/>
              </w:tabs>
              <w:spacing w:before="120" w:after="120" w:line="264" w:lineRule="auto"/>
              <w:ind w:left="0"/>
              <w:jc w:val="both"/>
              <w:rPr>
                <w:rFonts w:ascii="Verdana" w:eastAsiaTheme="minorEastAsia" w:hAnsi="Verdana"/>
                <w:color w:val="7F7F7F" w:themeColor="text1" w:themeTint="80"/>
                <w:kern w:val="24"/>
                <w:lang w:val="en-US"/>
              </w:rPr>
            </w:pPr>
            <m:oMathPara>
              <m:oMath>
                <m:r>
                  <w:rPr>
                    <w:rFonts w:ascii="Cambria Math" w:eastAsiaTheme="minorEastAsia" w:hAnsi="Cambria Math"/>
                    <w:color w:val="7F7F7F" w:themeColor="text1" w:themeTint="80"/>
                    <w:kern w:val="24"/>
                  </w:rPr>
                  <m:t>RC</m:t>
                </m:r>
                <m:r>
                  <w:rPr>
                    <w:rFonts w:ascii="Cambria Math" w:eastAsiaTheme="minorEastAsia" w:hAnsi="Cambria Math"/>
                    <w:color w:val="7F7F7F" w:themeColor="text1" w:themeTint="80"/>
                    <w:kern w:val="24"/>
                    <w:lang w:val="en-US"/>
                  </w:rPr>
                  <m:t>=</m:t>
                </m:r>
                <m:r>
                  <w:rPr>
                    <w:rFonts w:ascii="Cambria Math" w:eastAsiaTheme="minorEastAsia" w:hAnsi="Cambria Math"/>
                    <w:color w:val="7F7F7F" w:themeColor="text1" w:themeTint="80"/>
                    <w:kern w:val="24"/>
                  </w:rPr>
                  <m:t>α</m:t>
                </m:r>
                <m:r>
                  <w:rPr>
                    <w:rFonts w:ascii="Cambria Math" w:eastAsiaTheme="minorEastAsia" w:hAnsi="Cambria Math"/>
                    <w:color w:val="7F7F7F" w:themeColor="text1" w:themeTint="80"/>
                    <w:kern w:val="24"/>
                    <w:lang w:val="en-US"/>
                  </w:rPr>
                  <m:t xml:space="preserve"> </m:t>
                </m:r>
                <m:r>
                  <m:rPr>
                    <m:nor/>
                  </m:rPr>
                  <w:rPr>
                    <w:rFonts w:ascii="Verdana" w:eastAsiaTheme="minorEastAsia" w:hAnsi="Verdana"/>
                    <w:i/>
                    <w:color w:val="7F7F7F" w:themeColor="text1" w:themeTint="80"/>
                    <w:kern w:val="24"/>
                    <w:lang w:val="en-US"/>
                  </w:rPr>
                  <m:t>ECL</m:t>
                </m:r>
                <m:r>
                  <w:rPr>
                    <w:rFonts w:ascii="Cambria Math" w:eastAsiaTheme="minorEastAsia" w:hAnsi="Cambria Math"/>
                    <w:color w:val="7F7F7F" w:themeColor="text1" w:themeTint="80"/>
                    <w:kern w:val="24"/>
                    <w:lang w:val="en-US"/>
                  </w:rPr>
                  <m:t xml:space="preserve">+ </m:t>
                </m:r>
                <m:r>
                  <w:rPr>
                    <w:rFonts w:ascii="Cambria Math" w:eastAsiaTheme="minorEastAsia" w:hAnsi="Cambria Math"/>
                    <w:color w:val="7F7F7F" w:themeColor="text1" w:themeTint="80"/>
                    <w:kern w:val="24"/>
                  </w:rPr>
                  <m:t>β</m:t>
                </m:r>
                <m:r>
                  <w:rPr>
                    <w:rFonts w:ascii="Cambria Math" w:eastAsiaTheme="minorEastAsia" w:hAnsi="Cambria Math"/>
                    <w:color w:val="7F7F7F" w:themeColor="text1" w:themeTint="80"/>
                    <w:kern w:val="24"/>
                    <w:lang w:val="en-US"/>
                  </w:rPr>
                  <m:t xml:space="preserve"> </m:t>
                </m:r>
                <m:r>
                  <m:rPr>
                    <m:nor/>
                  </m:rPr>
                  <w:rPr>
                    <w:rFonts w:ascii="Verdana" w:eastAsiaTheme="minorEastAsia" w:hAnsi="Verdana"/>
                    <w:i/>
                    <w:color w:val="7F7F7F" w:themeColor="text1" w:themeTint="80"/>
                    <w:kern w:val="24"/>
                    <w:lang w:val="en-US"/>
                  </w:rPr>
                  <m:t>UCL</m:t>
                </m:r>
              </m:oMath>
            </m:oMathPara>
          </w:p>
          <w:p w14:paraId="19C16AD7" w14:textId="6DAA7271" w:rsidR="00891023" w:rsidRPr="00395661" w:rsidRDefault="00891023" w:rsidP="00020B14">
            <w:pPr>
              <w:tabs>
                <w:tab w:val="left" w:pos="0"/>
              </w:tabs>
              <w:spacing w:before="120" w:after="120"/>
              <w:rPr>
                <w:rFonts w:ascii="Verdana" w:eastAsiaTheme="minorEastAsia" w:hAnsi="Verdana"/>
                <w:color w:val="7F7F7F" w:themeColor="text1" w:themeTint="80"/>
                <w:kern w:val="24"/>
                <w:sz w:val="22"/>
                <w:szCs w:val="22"/>
                <w:lang w:val="en-US"/>
              </w:rPr>
            </w:pPr>
            <w:r w:rsidRPr="00395661">
              <w:rPr>
                <w:rFonts w:ascii="Verdana" w:eastAsiaTheme="minorEastAsia" w:hAnsi="Verdana"/>
                <w:color w:val="7F7F7F" w:themeColor="text1" w:themeTint="80"/>
                <w:kern w:val="24"/>
                <w:sz w:val="22"/>
                <w:szCs w:val="22"/>
                <w:lang w:val="en-US"/>
              </w:rPr>
              <w:t xml:space="preserve">Such a decomposition of a risk charge in terms of a best estimate part and the uncertainty around the best estimate is very common. Solvency </w:t>
            </w:r>
            <w:r w:rsidRPr="00395661">
              <w:rPr>
                <w:rFonts w:ascii="Verdana" w:eastAsiaTheme="minorEastAsia" w:hAnsi="Verdana"/>
                <w:color w:val="7F7F7F" w:themeColor="text1" w:themeTint="80"/>
                <w:kern w:val="24"/>
                <w:sz w:val="22"/>
                <w:szCs w:val="22"/>
                <w:lang w:val="en-US"/>
              </w:rPr>
              <w:lastRenderedPageBreak/>
              <w:t>II has made a very specific choice how to charge unexpected cash flow risks through the risk margin.</w:t>
            </w:r>
            <w:r w:rsidRPr="00395661">
              <w:rPr>
                <w:rFonts w:ascii="Verdana" w:hAnsi="Verdana"/>
                <w:color w:val="7F7F7F" w:themeColor="text1" w:themeTint="80"/>
                <w:sz w:val="22"/>
                <w:szCs w:val="22"/>
                <w:lang w:val="en-US"/>
              </w:rPr>
              <w:t xml:space="preserve"> The charge should be such that the capital costs to maintain solvency each year with a certainty of 99.5% is included over the lifetime of the financial contract. Capital charges and risk margins for default risk under Solvency II are known under the standard formula.</w:t>
            </w:r>
          </w:p>
          <w:p w14:paraId="2C2C8350" w14:textId="77777777" w:rsidR="00891023" w:rsidRPr="00395661" w:rsidRDefault="00891023" w:rsidP="00020B14">
            <w:pPr>
              <w:pStyle w:val="ListParagraph"/>
              <w:tabs>
                <w:tab w:val="left" w:pos="0"/>
              </w:tabs>
              <w:spacing w:after="120"/>
              <w:ind w:left="0"/>
              <w:jc w:val="both"/>
              <w:rPr>
                <w:rFonts w:ascii="Verdana" w:eastAsiaTheme="minorEastAsia" w:hAnsi="Verdana"/>
                <w:color w:val="7F7F7F" w:themeColor="text1" w:themeTint="80"/>
                <w:kern w:val="24"/>
                <w:lang w:val="en-US"/>
              </w:rPr>
            </w:pPr>
            <w:r w:rsidRPr="00395661">
              <w:rPr>
                <w:rFonts w:ascii="Verdana" w:eastAsiaTheme="minorEastAsia" w:hAnsi="Verdana"/>
                <w:color w:val="7F7F7F" w:themeColor="text1" w:themeTint="80"/>
                <w:kern w:val="24"/>
                <w:lang w:val="en-US"/>
              </w:rPr>
              <w:t>In case of a through-the-cycle risk charge for credit loss, the expected and unexpected credit loss should be modelled by their unconditional mean and risk margin. However, based on requirement 1 and 2, EIOPA seems to prefer point-in-time estimates of the risk correction, which means that the expected and unexpected credit loss should be modelled by the conditional mean and risk margin on the current economy. EIOPA suggests in particular that current credit spreads are related to future credit losses. Although this claim is not supported by the selected literature by EIOPA [2], we have seen in the most recent crisis that increased credit spreads indeed preceded increased migration and default risk.</w:t>
            </w:r>
          </w:p>
          <w:p w14:paraId="42B6594C" w14:textId="77777777" w:rsidR="00891023" w:rsidRPr="00395661" w:rsidRDefault="00891023" w:rsidP="00020B14">
            <w:pPr>
              <w:pStyle w:val="ListParagraph"/>
              <w:tabs>
                <w:tab w:val="left" w:pos="0"/>
              </w:tabs>
              <w:spacing w:before="120" w:after="120"/>
              <w:ind w:left="0"/>
              <w:jc w:val="both"/>
              <w:rPr>
                <w:rFonts w:ascii="Verdana" w:eastAsiaTheme="minorEastAsia" w:hAnsi="Verdana"/>
                <w:color w:val="7F7F7F" w:themeColor="text1" w:themeTint="80"/>
                <w:kern w:val="24"/>
                <w:lang w:val="en-US"/>
              </w:rPr>
            </w:pPr>
            <w:r w:rsidRPr="00395661">
              <w:rPr>
                <w:rFonts w:ascii="Verdana" w:eastAsiaTheme="minorEastAsia" w:hAnsi="Verdana"/>
                <w:color w:val="7F7F7F" w:themeColor="text1" w:themeTint="80"/>
                <w:kern w:val="24"/>
                <w:lang w:val="en-US"/>
              </w:rPr>
              <w:t>If we combine the requirements for EIOPA to address expected and unexpected credit risk, as well as to include a dependency on credit spreads, then it is natural to consider:</w:t>
            </w:r>
          </w:p>
          <w:p w14:paraId="688C8C27" w14:textId="77777777" w:rsidR="00891023" w:rsidRPr="00395661" w:rsidRDefault="00891023" w:rsidP="00020B14">
            <w:pPr>
              <w:pStyle w:val="ListParagraph"/>
              <w:tabs>
                <w:tab w:val="left" w:pos="0"/>
              </w:tabs>
              <w:spacing w:before="120" w:after="120" w:line="264" w:lineRule="auto"/>
              <w:ind w:left="0"/>
              <w:jc w:val="both"/>
              <w:rPr>
                <w:rFonts w:ascii="Verdana" w:eastAsiaTheme="minorEastAsia" w:hAnsi="Verdana"/>
                <w:color w:val="7F7F7F" w:themeColor="text1" w:themeTint="80"/>
                <w:kern w:val="24"/>
                <w:lang w:val="es-ES"/>
              </w:rPr>
            </w:pPr>
            <m:oMathPara>
              <m:oMath>
                <m:r>
                  <w:rPr>
                    <w:rFonts w:ascii="Cambria Math" w:eastAsiaTheme="minorEastAsia" w:hAnsi="Cambria Math"/>
                    <w:color w:val="7F7F7F" w:themeColor="text1" w:themeTint="80"/>
                    <w:kern w:val="24"/>
                  </w:rPr>
                  <m:t>RC</m:t>
                </m:r>
                <m:r>
                  <w:rPr>
                    <w:rFonts w:ascii="Cambria Math" w:eastAsiaTheme="minorEastAsia" w:hAnsi="Cambria Math"/>
                    <w:color w:val="7F7F7F" w:themeColor="text1" w:themeTint="80"/>
                    <w:kern w:val="24"/>
                    <w:lang w:val="es-ES"/>
                  </w:rPr>
                  <m:t>=</m:t>
                </m:r>
                <m:r>
                  <w:rPr>
                    <w:rFonts w:ascii="Cambria Math" w:eastAsiaTheme="minorEastAsia" w:hAnsi="Cambria Math"/>
                    <w:color w:val="7F7F7F" w:themeColor="text1" w:themeTint="80"/>
                    <w:kern w:val="24"/>
                  </w:rPr>
                  <m:t>α</m:t>
                </m:r>
                <m:r>
                  <w:rPr>
                    <w:rFonts w:ascii="Cambria Math" w:eastAsiaTheme="minorEastAsia" w:hAnsi="Cambria Math"/>
                    <w:color w:val="7F7F7F" w:themeColor="text1" w:themeTint="80"/>
                    <w:kern w:val="24"/>
                    <w:lang w:val="es-ES"/>
                  </w:rPr>
                  <m:t xml:space="preserve"> </m:t>
                </m:r>
                <m:r>
                  <m:rPr>
                    <m:sty m:val="p"/>
                  </m:rPr>
                  <w:rPr>
                    <w:rFonts w:ascii="Cambria Math" w:eastAsiaTheme="minorEastAsia" w:hAnsi="Cambria Math"/>
                    <w:color w:val="7F7F7F" w:themeColor="text1" w:themeTint="80"/>
                    <w:kern w:val="24"/>
                    <w:lang w:val="es-ES"/>
                  </w:rPr>
                  <m:t>max(</m:t>
                </m:r>
                <m:r>
                  <m:rPr>
                    <m:nor/>
                  </m:rPr>
                  <w:rPr>
                    <w:rFonts w:ascii="Verdana" w:eastAsiaTheme="minorEastAsia" w:hAnsi="Verdana"/>
                    <w:color w:val="7F7F7F" w:themeColor="text1" w:themeTint="80"/>
                    <w:kern w:val="24"/>
                    <w:lang w:val="es-ES"/>
                  </w:rPr>
                  <m:t>LTAS,0)</m:t>
                </m:r>
                <m:r>
                  <w:rPr>
                    <w:rFonts w:ascii="Cambria Math" w:eastAsiaTheme="minorEastAsia" w:hAnsi="Cambria Math"/>
                    <w:color w:val="7F7F7F" w:themeColor="text1" w:themeTint="80"/>
                    <w:kern w:val="24"/>
                    <w:lang w:val="es-ES"/>
                  </w:rPr>
                  <m:t xml:space="preserve">+ </m:t>
                </m:r>
                <m:r>
                  <w:rPr>
                    <w:rFonts w:ascii="Cambria Math" w:eastAsiaTheme="minorEastAsia" w:hAnsi="Cambria Math"/>
                    <w:color w:val="7F7F7F" w:themeColor="text1" w:themeTint="80"/>
                    <w:kern w:val="24"/>
                  </w:rPr>
                  <m:t>β</m:t>
                </m:r>
                <m:r>
                  <w:rPr>
                    <w:rFonts w:ascii="Cambria Math" w:eastAsiaTheme="minorEastAsia" w:hAnsi="Cambria Math"/>
                    <w:color w:val="7F7F7F" w:themeColor="text1" w:themeTint="80"/>
                    <w:kern w:val="24"/>
                    <w:lang w:val="es-ES"/>
                  </w:rPr>
                  <m:t xml:space="preserve"> </m:t>
                </m:r>
                <m:r>
                  <m:rPr>
                    <m:sty m:val="p"/>
                  </m:rPr>
                  <w:rPr>
                    <w:rFonts w:ascii="Cambria Math" w:eastAsiaTheme="minorEastAsia" w:hAnsi="Cambria Math"/>
                    <w:color w:val="7F7F7F" w:themeColor="text1" w:themeTint="80"/>
                    <w:kern w:val="24"/>
                    <w:lang w:val="es-ES"/>
                  </w:rPr>
                  <m:t>max(</m:t>
                </m:r>
                <m:r>
                  <w:rPr>
                    <w:rFonts w:ascii="Cambria Math" w:eastAsiaTheme="minorEastAsia" w:hAnsi="Cambria Math"/>
                    <w:color w:val="7F7F7F" w:themeColor="text1" w:themeTint="80"/>
                    <w:kern w:val="24"/>
                  </w:rPr>
                  <m:t>S</m:t>
                </m:r>
                <m:r>
                  <m:rPr>
                    <m:sty m:val="p"/>
                  </m:rPr>
                  <w:rPr>
                    <w:rFonts w:ascii="Cambria Math" w:eastAsiaTheme="minorEastAsia" w:hAnsi="Cambria Math"/>
                    <w:color w:val="7F7F7F" w:themeColor="text1" w:themeTint="80"/>
                    <w:kern w:val="24"/>
                    <w:lang w:val="es-ES"/>
                  </w:rPr>
                  <m:t>-LTAS,0)</m:t>
                </m:r>
              </m:oMath>
            </m:oMathPara>
          </w:p>
          <w:p w14:paraId="72E9A24F" w14:textId="6D097DEC" w:rsidR="00891023" w:rsidRPr="00395661" w:rsidRDefault="00891023" w:rsidP="00020B14">
            <w:pPr>
              <w:pStyle w:val="ListParagraph"/>
              <w:tabs>
                <w:tab w:val="left" w:pos="0"/>
              </w:tabs>
              <w:spacing w:before="120" w:after="120"/>
              <w:ind w:left="0"/>
              <w:jc w:val="both"/>
              <w:rPr>
                <w:rFonts w:ascii="Verdana" w:eastAsiaTheme="minorEastAsia" w:hAnsi="Verdana"/>
                <w:color w:val="7F7F7F" w:themeColor="text1" w:themeTint="80"/>
                <w:kern w:val="24"/>
                <w:lang w:val="en-US"/>
              </w:rPr>
            </w:pPr>
            <w:r w:rsidRPr="00395661">
              <w:rPr>
                <w:rFonts w:ascii="Verdana" w:eastAsiaTheme="minorEastAsia" w:hAnsi="Verdana"/>
                <w:color w:val="7F7F7F" w:themeColor="text1" w:themeTint="80"/>
                <w:kern w:val="24"/>
                <w:lang w:val="en-US"/>
              </w:rPr>
              <w:t xml:space="preserve">The current risk correction of EIOPA has </w:t>
            </w:r>
            <m:oMath>
              <m:r>
                <w:rPr>
                  <w:rFonts w:ascii="Cambria Math" w:eastAsiaTheme="minorEastAsia" w:hAnsi="Cambria Math"/>
                  <w:color w:val="7F7F7F" w:themeColor="text1" w:themeTint="80"/>
                  <w:kern w:val="24"/>
                </w:rPr>
                <m:t>α</m:t>
              </m:r>
              <m:r>
                <w:rPr>
                  <w:rFonts w:ascii="Cambria Math" w:eastAsiaTheme="minorEastAsia" w:hAnsi="Cambria Math"/>
                  <w:color w:val="7F7F7F" w:themeColor="text1" w:themeTint="80"/>
                  <w:kern w:val="24"/>
                  <w:lang w:val="en-US"/>
                </w:rPr>
                <m:t>=35%</m:t>
              </m:r>
            </m:oMath>
            <w:r w:rsidRPr="00395661">
              <w:rPr>
                <w:rFonts w:ascii="Verdana" w:eastAsiaTheme="minorEastAsia" w:hAnsi="Verdana"/>
                <w:color w:val="7F7F7F" w:themeColor="text1" w:themeTint="80"/>
                <w:kern w:val="24"/>
                <w:lang w:val="en-US"/>
              </w:rPr>
              <w:t xml:space="preserve"> for corporate bonds, which is already quite high compared to historical credit losses for investment grade bonds literature studies. In the literature typically a lower fraction is found for credit losses [3]. In order to calibrate </w:t>
            </w:r>
            <m:oMath>
              <m:r>
                <w:rPr>
                  <w:rFonts w:ascii="Cambria Math" w:eastAsiaTheme="minorEastAsia" w:hAnsi="Cambria Math"/>
                  <w:color w:val="7F7F7F" w:themeColor="text1" w:themeTint="80"/>
                  <w:kern w:val="24"/>
                </w:rPr>
                <m:t>β</m:t>
              </m:r>
            </m:oMath>
            <w:r w:rsidRPr="00395661">
              <w:rPr>
                <w:rFonts w:ascii="Verdana" w:eastAsiaTheme="minorEastAsia" w:hAnsi="Verdana"/>
                <w:color w:val="7F7F7F" w:themeColor="text1" w:themeTint="80"/>
                <w:kern w:val="24"/>
                <w:lang w:val="en-US"/>
              </w:rPr>
              <w:t xml:space="preserve"> for the risk correction, the relation between observed credit spreads and credit </w:t>
            </w:r>
            <w:r w:rsidRPr="00395661">
              <w:rPr>
                <w:rFonts w:ascii="Verdana" w:eastAsiaTheme="minorEastAsia" w:hAnsi="Verdana"/>
                <w:color w:val="7F7F7F" w:themeColor="text1" w:themeTint="80"/>
                <w:kern w:val="24"/>
                <w:lang w:val="en-US"/>
              </w:rPr>
              <w:lastRenderedPageBreak/>
              <w:t xml:space="preserve">losses in times of enhanced credit risk can be studied. Note that when credit spreads rise more than actual credit losses during crisis times, then </w:t>
            </w:r>
            <m:oMath>
              <m:r>
                <w:rPr>
                  <w:rFonts w:ascii="Cambria Math" w:eastAsiaTheme="minorEastAsia" w:hAnsi="Cambria Math"/>
                  <w:color w:val="7F7F7F" w:themeColor="text1" w:themeTint="80"/>
                  <w:kern w:val="24"/>
                </w:rPr>
                <m:t>β</m:t>
              </m:r>
            </m:oMath>
            <w:r w:rsidRPr="00395661">
              <w:rPr>
                <w:rFonts w:ascii="Verdana" w:eastAsiaTheme="minorEastAsia" w:hAnsi="Verdana"/>
                <w:color w:val="7F7F7F" w:themeColor="text1" w:themeTint="80"/>
                <w:kern w:val="24"/>
                <w:lang w:val="en-US"/>
              </w:rPr>
              <w:t xml:space="preserve"> is expected to be smaller than </w:t>
            </w:r>
            <m:oMath>
              <m:r>
                <w:rPr>
                  <w:rFonts w:ascii="Cambria Math" w:eastAsiaTheme="minorEastAsia" w:hAnsi="Cambria Math"/>
                  <w:color w:val="7F7F7F" w:themeColor="text1" w:themeTint="80"/>
                  <w:kern w:val="24"/>
                </w:rPr>
                <m:t>α</m:t>
              </m:r>
            </m:oMath>
            <w:r w:rsidRPr="00395661">
              <w:rPr>
                <w:rFonts w:ascii="Verdana" w:eastAsiaTheme="minorEastAsia" w:hAnsi="Verdana"/>
                <w:color w:val="7F7F7F" w:themeColor="text1" w:themeTint="80"/>
                <w:kern w:val="24"/>
                <w:lang w:val="en-US"/>
              </w:rPr>
              <w:t xml:space="preserve">. For example, in the past crisis, credit spreads for 5-year bonds rose with a factor of 5 to 10 in 2008, while cumulative 5-year credit losses only rose with factor 1 to 2 over the crisis years. As a result, </w:t>
            </w:r>
            <m:oMath>
              <m:r>
                <w:rPr>
                  <w:rFonts w:ascii="Cambria Math" w:eastAsiaTheme="minorEastAsia" w:hAnsi="Cambria Math"/>
                  <w:color w:val="7F7F7F" w:themeColor="text1" w:themeTint="80"/>
                  <w:kern w:val="24"/>
                </w:rPr>
                <m:t>β</m:t>
              </m:r>
            </m:oMath>
            <w:r w:rsidRPr="00395661">
              <w:rPr>
                <w:rFonts w:ascii="Verdana" w:eastAsiaTheme="minorEastAsia" w:hAnsi="Verdana"/>
                <w:color w:val="7F7F7F" w:themeColor="text1" w:themeTint="80"/>
                <w:kern w:val="24"/>
                <w:lang w:val="en-US"/>
              </w:rPr>
              <w:t xml:space="preserve"> is expected to be a factor 3 to 5 smaller than </w:t>
            </w:r>
            <m:oMath>
              <m:r>
                <w:rPr>
                  <w:rFonts w:ascii="Cambria Math" w:eastAsiaTheme="minorEastAsia" w:hAnsi="Cambria Math"/>
                  <w:color w:val="7F7F7F" w:themeColor="text1" w:themeTint="80"/>
                  <w:kern w:val="24"/>
                </w:rPr>
                <m:t>α</m:t>
              </m:r>
            </m:oMath>
            <w:r w:rsidRPr="00395661">
              <w:rPr>
                <w:rFonts w:ascii="Verdana" w:eastAsiaTheme="minorEastAsia" w:hAnsi="Verdana"/>
                <w:color w:val="7F7F7F" w:themeColor="text1" w:themeTint="80"/>
                <w:kern w:val="24"/>
                <w:lang w:val="en-US"/>
              </w:rPr>
              <w:t xml:space="preserve"> if calibration is based on the most recent crisis. If calibration is based on all crises in financial history a weaker relation is expected [2].</w:t>
            </w:r>
          </w:p>
          <w:p w14:paraId="0804B15B" w14:textId="77777777" w:rsidR="00891023" w:rsidRPr="00395661" w:rsidRDefault="00891023" w:rsidP="00020B14">
            <w:pPr>
              <w:pStyle w:val="ListParagraph"/>
              <w:tabs>
                <w:tab w:val="left" w:pos="0"/>
              </w:tabs>
              <w:spacing w:before="120" w:after="120"/>
              <w:ind w:left="0"/>
              <w:jc w:val="both"/>
              <w:rPr>
                <w:rFonts w:ascii="Verdana" w:eastAsiaTheme="minorEastAsia" w:hAnsi="Verdana"/>
                <w:color w:val="7F7F7F" w:themeColor="text1" w:themeTint="80"/>
                <w:kern w:val="24"/>
                <w:lang w:val="en-US"/>
              </w:rPr>
            </w:pPr>
            <w:r w:rsidRPr="00395661">
              <w:rPr>
                <w:rFonts w:ascii="Verdana" w:eastAsiaTheme="minorEastAsia" w:hAnsi="Verdana"/>
                <w:color w:val="7F7F7F" w:themeColor="text1" w:themeTint="80"/>
                <w:kern w:val="24"/>
                <w:lang w:val="en-US"/>
              </w:rPr>
              <w:t>A disadvantage for a risk correction that is too high for lower ratings in crisis times, is that it can lead to procyclical behavior and forced selling of the corresponding bonds when this is unnecessary.</w:t>
            </w:r>
          </w:p>
          <w:p w14:paraId="37149EE4" w14:textId="77777777" w:rsidR="00891023" w:rsidRPr="00395661" w:rsidRDefault="00891023" w:rsidP="00020B14">
            <w:pPr>
              <w:pStyle w:val="ListParagraph"/>
              <w:tabs>
                <w:tab w:val="left" w:pos="0"/>
              </w:tabs>
              <w:spacing w:before="240" w:line="264" w:lineRule="auto"/>
              <w:ind w:left="0"/>
              <w:jc w:val="both"/>
              <w:rPr>
                <w:rFonts w:ascii="Verdana" w:eastAsiaTheme="minorEastAsia" w:hAnsi="Verdana"/>
                <w:b/>
                <w:color w:val="7F7F7F" w:themeColor="text1" w:themeTint="80"/>
                <w:kern w:val="24"/>
                <w:lang w:val="en-US"/>
              </w:rPr>
            </w:pPr>
            <w:r w:rsidRPr="00395661">
              <w:rPr>
                <w:rFonts w:ascii="Verdana" w:eastAsiaTheme="minorEastAsia" w:hAnsi="Verdana"/>
                <w:b/>
                <w:color w:val="7F7F7F" w:themeColor="text1" w:themeTint="80"/>
                <w:kern w:val="24"/>
                <w:lang w:val="en-US"/>
              </w:rPr>
              <w:t>References</w:t>
            </w:r>
          </w:p>
          <w:p w14:paraId="2D205876" w14:textId="68B12BF4" w:rsidR="00891023" w:rsidRPr="00395661" w:rsidRDefault="00891023" w:rsidP="00020B14">
            <w:pPr>
              <w:pStyle w:val="ListParagraph"/>
              <w:tabs>
                <w:tab w:val="left" w:pos="0"/>
              </w:tabs>
              <w:spacing w:line="264" w:lineRule="auto"/>
              <w:ind w:left="0"/>
              <w:jc w:val="both"/>
              <w:rPr>
                <w:rFonts w:ascii="Verdana" w:eastAsiaTheme="minorEastAsia" w:hAnsi="Verdana"/>
                <w:i/>
                <w:iCs/>
                <w:color w:val="7F7F7F" w:themeColor="text1" w:themeTint="80"/>
                <w:kern w:val="24"/>
                <w:lang w:val="en-US"/>
              </w:rPr>
            </w:pPr>
            <w:r w:rsidRPr="00395661">
              <w:rPr>
                <w:rFonts w:ascii="Verdana" w:eastAsiaTheme="minorEastAsia" w:hAnsi="Verdana"/>
                <w:i/>
                <w:iCs/>
                <w:color w:val="7F7F7F" w:themeColor="text1" w:themeTint="80"/>
                <w:kern w:val="24"/>
                <w:lang w:val="en-US"/>
              </w:rPr>
              <w:t>[1]</w:t>
            </w:r>
            <w:r w:rsidRPr="00395661">
              <w:rPr>
                <w:rFonts w:ascii="Verdana" w:hAnsi="Verdana"/>
                <w:i/>
                <w:iCs/>
                <w:color w:val="7F7F7F" w:themeColor="text1" w:themeTint="80"/>
                <w:lang w:val="en-US"/>
              </w:rPr>
              <w:t xml:space="preserve"> EIOPA</w:t>
            </w:r>
            <w:r w:rsidRPr="00395661">
              <w:rPr>
                <w:rFonts w:ascii="Verdana" w:eastAsiaTheme="minorEastAsia" w:hAnsi="Verdana"/>
                <w:i/>
                <w:iCs/>
                <w:color w:val="7F7F7F" w:themeColor="text1" w:themeTint="80"/>
                <w:kern w:val="24"/>
                <w:lang w:val="en-US"/>
              </w:rPr>
              <w:t xml:space="preserve"> Consultation Paper on the Opinion on the 2020 review of Solvency II</w:t>
            </w:r>
          </w:p>
          <w:p w14:paraId="4CEE7338" w14:textId="77777777" w:rsidR="00891023" w:rsidRPr="00395661" w:rsidRDefault="00891023" w:rsidP="00020B14">
            <w:pPr>
              <w:pStyle w:val="ListParagraph"/>
              <w:tabs>
                <w:tab w:val="left" w:pos="0"/>
              </w:tabs>
              <w:spacing w:line="264" w:lineRule="auto"/>
              <w:ind w:left="0"/>
              <w:jc w:val="both"/>
              <w:rPr>
                <w:rFonts w:ascii="Verdana" w:hAnsi="Verdana"/>
                <w:i/>
                <w:iCs/>
                <w:color w:val="7F7F7F" w:themeColor="text1" w:themeTint="80"/>
                <w:lang w:val="en-US"/>
              </w:rPr>
            </w:pPr>
            <w:r w:rsidRPr="00395661">
              <w:rPr>
                <w:rFonts w:ascii="Verdana" w:eastAsiaTheme="minorEastAsia" w:hAnsi="Verdana"/>
                <w:i/>
                <w:iCs/>
                <w:color w:val="7F7F7F" w:themeColor="text1" w:themeTint="80"/>
                <w:kern w:val="24"/>
                <w:lang w:val="en-US"/>
              </w:rPr>
              <w:t xml:space="preserve">[2]  Giesecke et al., Corporate Bond Default Risk: A 150-Year Perspective, </w:t>
            </w:r>
            <w:r w:rsidRPr="00395661">
              <w:rPr>
                <w:rFonts w:ascii="Verdana" w:hAnsi="Verdana"/>
                <w:i/>
                <w:iCs/>
                <w:color w:val="7F7F7F" w:themeColor="text1" w:themeTint="80"/>
                <w:lang w:val="en-US"/>
              </w:rPr>
              <w:t xml:space="preserve">Journal of Financial  Economics  </w:t>
            </w:r>
          </w:p>
          <w:p w14:paraId="72C708B4" w14:textId="5784E8FC" w:rsidR="00891023" w:rsidRPr="00395661" w:rsidRDefault="00891023" w:rsidP="00020B14">
            <w:pPr>
              <w:pStyle w:val="ListParagraph"/>
              <w:tabs>
                <w:tab w:val="left" w:pos="0"/>
              </w:tabs>
              <w:spacing w:line="264" w:lineRule="auto"/>
              <w:ind w:left="0"/>
              <w:jc w:val="both"/>
              <w:rPr>
                <w:rFonts w:ascii="Verdana" w:eastAsiaTheme="minorEastAsia" w:hAnsi="Verdana"/>
                <w:i/>
                <w:iCs/>
                <w:color w:val="7F7F7F" w:themeColor="text1" w:themeTint="80"/>
                <w:kern w:val="24"/>
                <w:lang w:val="en-US"/>
              </w:rPr>
            </w:pPr>
            <w:r w:rsidRPr="00395661">
              <w:rPr>
                <w:rFonts w:ascii="Verdana" w:eastAsiaTheme="minorEastAsia" w:hAnsi="Verdana"/>
                <w:i/>
                <w:iCs/>
                <w:color w:val="7F7F7F" w:themeColor="text1" w:themeTint="80"/>
                <w:kern w:val="24"/>
                <w:lang w:val="en-US"/>
              </w:rPr>
              <w:t>[3] Huang and Huang,</w:t>
            </w:r>
            <w:r w:rsidRPr="00395661">
              <w:rPr>
                <w:rFonts w:ascii="Verdana" w:hAnsi="Verdana"/>
                <w:i/>
                <w:iCs/>
                <w:color w:val="7F7F7F" w:themeColor="text1" w:themeTint="80"/>
                <w:lang w:val="en-US"/>
              </w:rPr>
              <w:t xml:space="preserve"> </w:t>
            </w:r>
            <w:r w:rsidRPr="00395661">
              <w:rPr>
                <w:rFonts w:ascii="Verdana" w:eastAsiaTheme="minorEastAsia" w:hAnsi="Verdana"/>
                <w:i/>
                <w:iCs/>
                <w:color w:val="7F7F7F" w:themeColor="text1" w:themeTint="80"/>
                <w:kern w:val="24"/>
                <w:lang w:val="en-US"/>
              </w:rPr>
              <w:t>how much of the corporate-treasury yield spread is due to credit risk? Review of Asset Pricing Studies</w:t>
            </w:r>
          </w:p>
          <w:p w14:paraId="49817CB2" w14:textId="77777777" w:rsidR="00891023" w:rsidRPr="00395661" w:rsidRDefault="00891023" w:rsidP="00020B14">
            <w:pPr>
              <w:tabs>
                <w:tab w:val="left" w:pos="0"/>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0799A17E" w14:textId="77777777" w:rsidR="00891023" w:rsidRPr="00CF2245" w:rsidRDefault="00891023" w:rsidP="00020B14">
            <w:pPr>
              <w:tabs>
                <w:tab w:val="left" w:pos="0"/>
              </w:tabs>
              <w:rPr>
                <w:color w:val="7F7F7F" w:themeColor="text1" w:themeTint="80"/>
                <w:sz w:val="22"/>
                <w:szCs w:val="22"/>
                <w:lang w:val="en-GB" w:eastAsia="fr-FR"/>
              </w:rPr>
            </w:pPr>
          </w:p>
        </w:tc>
      </w:tr>
      <w:tr w:rsidR="00891023" w:rsidRPr="001360A5" w14:paraId="752ED87A"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3185CDA4" w14:textId="79F8B789" w:rsidR="00891023" w:rsidRPr="002B6246" w:rsidRDefault="00891023" w:rsidP="00020B14">
            <w:pPr>
              <w:tabs>
                <w:tab w:val="left" w:pos="0"/>
              </w:tabs>
              <w:ind w:left="-96"/>
              <w:rPr>
                <w:rFonts w:ascii="Verdana" w:hAnsi="Verdana"/>
                <w:b/>
                <w:bCs/>
                <w:color w:val="7F7F7F" w:themeColor="text1" w:themeTint="80"/>
                <w:sz w:val="22"/>
                <w:szCs w:val="22"/>
                <w:lang w:val="en-GB" w:eastAsia="fr-FR"/>
              </w:rPr>
            </w:pPr>
            <w:r w:rsidRPr="002B6246">
              <w:rPr>
                <w:rFonts w:ascii="Verdana" w:hAnsi="Verdana"/>
                <w:b/>
                <w:bCs/>
                <w:color w:val="7F7F7F" w:themeColor="text1" w:themeTint="80"/>
                <w:sz w:val="22"/>
                <w:szCs w:val="22"/>
                <w:lang w:val="en-GB" w:eastAsia="fr-FR"/>
              </w:rPr>
              <w:lastRenderedPageBreak/>
              <w:t>2.4.7 Dynamic VA for the standard formula</w:t>
            </w:r>
          </w:p>
        </w:tc>
      </w:tr>
      <w:tr w:rsidR="00FC5744" w:rsidRPr="001360A5" w14:paraId="786B3D76"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133C09A" w14:textId="7B3086EA" w:rsidR="00891023" w:rsidRPr="00CA2E03" w:rsidRDefault="00891023" w:rsidP="00020B14">
            <w:pPr>
              <w:tabs>
                <w:tab w:val="left" w:pos="0"/>
                <w:tab w:val="left" w:pos="4536"/>
              </w:tabs>
              <w:ind w:left="-96"/>
              <w:rPr>
                <w:rFonts w:ascii="Verdana" w:hAnsi="Verdana"/>
                <w:color w:val="7F7F7F" w:themeColor="text1" w:themeTint="80"/>
                <w:sz w:val="22"/>
                <w:szCs w:val="22"/>
                <w:lang w:val="en-GB" w:eastAsia="fr-FR"/>
              </w:rPr>
            </w:pPr>
            <w:r w:rsidRPr="00D46B4C">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59708639" w14:textId="506B2469" w:rsidR="00891023" w:rsidRPr="00163527" w:rsidRDefault="00891023"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General Comments</w:t>
            </w:r>
          </w:p>
        </w:tc>
        <w:tc>
          <w:tcPr>
            <w:tcW w:w="1999" w:type="pct"/>
            <w:tcBorders>
              <w:top w:val="single" w:sz="4" w:space="0" w:color="auto"/>
              <w:left w:val="single" w:sz="4" w:space="0" w:color="auto"/>
              <w:bottom w:val="single" w:sz="4" w:space="0" w:color="auto"/>
              <w:right w:val="single" w:sz="4" w:space="0" w:color="auto"/>
            </w:tcBorders>
          </w:tcPr>
          <w:p w14:paraId="779D9FD4" w14:textId="238CB3DC" w:rsidR="00891023" w:rsidRDefault="006D7A5C" w:rsidP="00020B14">
            <w:pPr>
              <w:tabs>
                <w:tab w:val="left" w:pos="0"/>
                <w:tab w:val="left" w:pos="4536"/>
              </w:tabs>
              <w:rPr>
                <w:rFonts w:ascii="Verdana" w:hAnsi="Verdana"/>
                <w:color w:val="7F7F7F" w:themeColor="text1" w:themeTint="80"/>
                <w:sz w:val="22"/>
                <w:szCs w:val="22"/>
                <w:lang w:val="en-GB" w:eastAsia="fr-FR"/>
              </w:rPr>
            </w:pPr>
            <w:r w:rsidRPr="00C24334">
              <w:rPr>
                <w:rFonts w:ascii="Verdana" w:hAnsi="Verdana"/>
                <w:color w:val="7F7F7F" w:themeColor="text1" w:themeTint="80"/>
                <w:sz w:val="22"/>
                <w:szCs w:val="22"/>
                <w:lang w:val="en-GB" w:eastAsia="fr-FR"/>
              </w:rPr>
              <w:t>Contrary to</w:t>
            </w:r>
            <w:r w:rsidR="00891023" w:rsidRPr="00C24334">
              <w:rPr>
                <w:rFonts w:ascii="Verdana" w:hAnsi="Verdana"/>
                <w:color w:val="7F7F7F" w:themeColor="text1" w:themeTint="80"/>
                <w:sz w:val="22"/>
                <w:szCs w:val="22"/>
                <w:lang w:val="en-GB" w:eastAsia="fr-FR"/>
              </w:rPr>
              <w:t xml:space="preserve"> EIOPA’s advice</w:t>
            </w:r>
            <w:r w:rsidRPr="00C24334">
              <w:rPr>
                <w:rFonts w:ascii="Verdana" w:hAnsi="Verdana"/>
                <w:color w:val="7F7F7F" w:themeColor="text1" w:themeTint="80"/>
                <w:sz w:val="22"/>
                <w:szCs w:val="22"/>
                <w:lang w:val="en-GB" w:eastAsia="fr-FR"/>
              </w:rPr>
              <w:t>, we think</w:t>
            </w:r>
            <w:r w:rsidR="00891023" w:rsidRPr="00C24334">
              <w:rPr>
                <w:rFonts w:ascii="Verdana" w:hAnsi="Verdana"/>
                <w:color w:val="7F7F7F" w:themeColor="text1" w:themeTint="80"/>
                <w:sz w:val="22"/>
                <w:szCs w:val="22"/>
                <w:lang w:val="en-GB" w:eastAsia="fr-FR"/>
              </w:rPr>
              <w:t xml:space="preserve"> that the SCR standard formula should be changed to allow for the dynamic VA. The allowance to use the </w:t>
            </w:r>
            <w:r w:rsidR="00891023" w:rsidRPr="00C24334">
              <w:rPr>
                <w:rFonts w:ascii="Verdana" w:hAnsi="Verdana"/>
                <w:b/>
                <w:color w:val="7F7F7F" w:themeColor="text1" w:themeTint="80"/>
                <w:sz w:val="22"/>
                <w:szCs w:val="22"/>
                <w:lang w:val="en-GB" w:eastAsia="fr-FR"/>
              </w:rPr>
              <w:t>dynamic volatility adjustment</w:t>
            </w:r>
            <w:r w:rsidR="00891023" w:rsidRPr="00C24334">
              <w:rPr>
                <w:rFonts w:ascii="Verdana" w:hAnsi="Verdana"/>
                <w:color w:val="7F7F7F" w:themeColor="text1" w:themeTint="80"/>
                <w:sz w:val="22"/>
                <w:szCs w:val="22"/>
                <w:lang w:val="en-GB" w:eastAsia="fr-FR"/>
              </w:rPr>
              <w:t xml:space="preserve"> in internal models and not in the standard formula does not provide a level playing field in terms of Solvency </w:t>
            </w:r>
            <w:r w:rsidR="00891023" w:rsidRPr="00163527">
              <w:rPr>
                <w:rFonts w:ascii="Verdana" w:hAnsi="Verdana"/>
                <w:color w:val="7F7F7F" w:themeColor="text1" w:themeTint="80"/>
                <w:sz w:val="22"/>
                <w:szCs w:val="22"/>
                <w:lang w:val="en-GB" w:eastAsia="fr-FR"/>
              </w:rPr>
              <w:t xml:space="preserve">II across insurers. The Level 1 text states that a total balance sheet approach should be applied. This principle is not followed in the </w:t>
            </w:r>
            <w:r w:rsidR="00891023" w:rsidRPr="00163527">
              <w:rPr>
                <w:rFonts w:ascii="Verdana" w:hAnsi="Verdana"/>
                <w:color w:val="7F7F7F" w:themeColor="text1" w:themeTint="80"/>
                <w:sz w:val="22"/>
                <w:szCs w:val="22"/>
                <w:lang w:val="en-GB" w:eastAsia="fr-FR"/>
              </w:rPr>
              <w:lastRenderedPageBreak/>
              <w:t>Delegated Acts as in the spread risk module only reference to assets is made. However, this is foreseen in Article 181 of the Delegated Acts for the matching adjustment. A replication of this article for the volatility adjustment would allow standard formula players to apply the dynamic VA.</w:t>
            </w:r>
            <w:r w:rsidR="00C5695A">
              <w:rPr>
                <w:rFonts w:ascii="Verdana" w:hAnsi="Verdana"/>
                <w:color w:val="7F7F7F" w:themeColor="text1" w:themeTint="80"/>
                <w:sz w:val="22"/>
                <w:szCs w:val="22"/>
                <w:lang w:val="en-GB" w:eastAsia="fr-FR"/>
              </w:rPr>
              <w:t xml:space="preserve"> There should be a consistent approach between the prudential balance sheet valuation mechanisms and the SCR computation. The calibration of the DVA should be inspired by the methodology underlying the VA, and here also, an all-in adjustment to the application ratio could factor all the features and capacity to hold bonds to maturity after the 1 in 200 shock.</w:t>
            </w:r>
          </w:p>
          <w:p w14:paraId="4CDA0DFA" w14:textId="3481EE3E" w:rsidR="00C5695A" w:rsidRPr="00163527" w:rsidRDefault="00C5695A" w:rsidP="00020B14">
            <w:pPr>
              <w:tabs>
                <w:tab w:val="left" w:pos="0"/>
                <w:tab w:val="left" w:pos="4536"/>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6456FE6B" w14:textId="77777777" w:rsidR="00891023" w:rsidRPr="00163527" w:rsidRDefault="00891023" w:rsidP="00020B14">
            <w:pPr>
              <w:tabs>
                <w:tab w:val="left" w:pos="0"/>
                <w:tab w:val="left" w:pos="4536"/>
              </w:tabs>
              <w:ind w:left="-96"/>
              <w:rPr>
                <w:color w:val="7F7F7F" w:themeColor="text1" w:themeTint="80"/>
                <w:sz w:val="22"/>
                <w:szCs w:val="22"/>
                <w:lang w:val="en-GB" w:eastAsia="fr-FR"/>
              </w:rPr>
            </w:pPr>
          </w:p>
        </w:tc>
      </w:tr>
      <w:tr w:rsidR="00FC5744" w:rsidRPr="001360A5" w14:paraId="461D02C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521DBF7" w14:textId="70D50CD9" w:rsidR="00891023" w:rsidRPr="00FE3045" w:rsidRDefault="00891023" w:rsidP="00020B14">
            <w:pPr>
              <w:tabs>
                <w:tab w:val="left" w:pos="0"/>
                <w:tab w:val="left" w:pos="4536"/>
              </w:tabs>
              <w:ind w:left="-96"/>
              <w:rPr>
                <w:rFonts w:ascii="Verdana" w:hAnsi="Verdana"/>
                <w:color w:val="000000"/>
                <w:sz w:val="22"/>
                <w:szCs w:val="22"/>
                <w:lang w:val="en-GB" w:eastAsia="fr-FR"/>
              </w:rPr>
            </w:pPr>
            <w:bookmarkStart w:id="10" w:name="_Hlk29464466"/>
            <w:r w:rsidRPr="000C1ED6">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3F007590" w14:textId="4A8AB4AD" w:rsidR="00891023" w:rsidRPr="00A0371A" w:rsidRDefault="00891023" w:rsidP="00020B14">
            <w:pPr>
              <w:tabs>
                <w:tab w:val="left" w:pos="0"/>
                <w:tab w:val="left" w:pos="4536"/>
              </w:tabs>
              <w:ind w:left="-96"/>
              <w:rPr>
                <w:rFonts w:ascii="Verdana" w:hAnsi="Verdana"/>
                <w:b/>
                <w:bCs/>
                <w:color w:val="7F7F7F" w:themeColor="text1" w:themeTint="80"/>
                <w:sz w:val="22"/>
                <w:szCs w:val="22"/>
                <w:lang w:val="en-GB" w:eastAsia="fr-FR"/>
              </w:rPr>
            </w:pPr>
            <w:r w:rsidRPr="00A0371A">
              <w:rPr>
                <w:rFonts w:ascii="Verdana" w:hAnsi="Verdana"/>
                <w:b/>
                <w:bCs/>
                <w:color w:val="7F7F7F" w:themeColor="text1" w:themeTint="80"/>
                <w:sz w:val="22"/>
                <w:szCs w:val="22"/>
                <w:lang w:val="en-GB" w:eastAsia="fr-FR"/>
              </w:rPr>
              <w:t>Question to stakeholders</w:t>
            </w:r>
          </w:p>
        </w:tc>
        <w:tc>
          <w:tcPr>
            <w:tcW w:w="1999" w:type="pct"/>
            <w:tcBorders>
              <w:top w:val="single" w:sz="4" w:space="0" w:color="auto"/>
              <w:left w:val="single" w:sz="4" w:space="0" w:color="auto"/>
              <w:bottom w:val="single" w:sz="4" w:space="0" w:color="auto"/>
              <w:right w:val="single" w:sz="4" w:space="0" w:color="auto"/>
            </w:tcBorders>
          </w:tcPr>
          <w:p w14:paraId="0FF5793D" w14:textId="77777777" w:rsidR="00891023" w:rsidRPr="00395661" w:rsidRDefault="00891023" w:rsidP="00020B14">
            <w:pPr>
              <w:tabs>
                <w:tab w:val="left" w:pos="0"/>
                <w:tab w:val="left" w:pos="4536"/>
              </w:tabs>
              <w:spacing w:line="239" w:lineRule="auto"/>
              <w:ind w:right="20"/>
              <w:jc w:val="both"/>
              <w:rPr>
                <w:b/>
                <w:bCs/>
                <w:color w:val="7F7F7F" w:themeColor="text1" w:themeTint="80"/>
                <w:sz w:val="22"/>
                <w:szCs w:val="22"/>
                <w:lang w:val="en-US"/>
              </w:rPr>
            </w:pPr>
            <w:r w:rsidRPr="00395661">
              <w:rPr>
                <w:rFonts w:ascii="Verdana" w:eastAsia="Verdana" w:hAnsi="Verdana" w:cs="Verdana"/>
                <w:b/>
                <w:bCs/>
                <w:color w:val="7F7F7F" w:themeColor="text1" w:themeTint="80"/>
                <w:sz w:val="22"/>
                <w:szCs w:val="22"/>
                <w:lang w:val="en-US"/>
              </w:rPr>
              <w:t>Q2.9 Should the dynamic VA be allowed for in the SCR standard formula? If yes, how should it be implemented?</w:t>
            </w:r>
          </w:p>
          <w:p w14:paraId="4D584FB8" w14:textId="3C05F2A5" w:rsidR="00891023" w:rsidRPr="00395661" w:rsidRDefault="00891023" w:rsidP="00020B14">
            <w:pPr>
              <w:tabs>
                <w:tab w:val="left" w:pos="0"/>
                <w:tab w:val="left" w:pos="4536"/>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In the Directive 2009/138/EC, Article 105, it is stated that an insurance or reinsurance undertaking has to account for the effects of the scenario on the whole of the economic balance sheet</w:t>
            </w:r>
            <w:r w:rsidR="009B0CEC" w:rsidRPr="00395661">
              <w:rPr>
                <w:rFonts w:ascii="Verdana" w:hAnsi="Verdana"/>
                <w:color w:val="7F7F7F" w:themeColor="text1" w:themeTint="80"/>
                <w:sz w:val="22"/>
                <w:szCs w:val="22"/>
                <w:lang w:val="en-US"/>
              </w:rPr>
              <w:t>:</w:t>
            </w:r>
          </w:p>
          <w:p w14:paraId="4FF71EB5" w14:textId="77777777" w:rsidR="00891023" w:rsidRPr="00395661" w:rsidRDefault="00891023" w:rsidP="00020B14">
            <w:pPr>
              <w:pStyle w:val="CM1"/>
              <w:tabs>
                <w:tab w:val="left" w:pos="0"/>
                <w:tab w:val="left" w:pos="4536"/>
              </w:tabs>
              <w:spacing w:before="200" w:after="200"/>
              <w:rPr>
                <w:rFonts w:ascii="Verdana" w:hAnsi="Verdana"/>
                <w:i/>
                <w:iCs/>
                <w:color w:val="7F7F7F" w:themeColor="text1" w:themeTint="80"/>
                <w:sz w:val="22"/>
                <w:szCs w:val="22"/>
              </w:rPr>
            </w:pPr>
            <w:r w:rsidRPr="00395661">
              <w:rPr>
                <w:rFonts w:ascii="Verdana" w:hAnsi="Verdana"/>
                <w:color w:val="7F7F7F" w:themeColor="text1" w:themeTint="80"/>
                <w:sz w:val="22"/>
                <w:szCs w:val="22"/>
              </w:rPr>
              <w:t>“…</w:t>
            </w:r>
            <w:r w:rsidRPr="00395661">
              <w:rPr>
                <w:rFonts w:ascii="Verdana" w:hAnsi="Verdana"/>
                <w:i/>
                <w:iCs/>
                <w:color w:val="7F7F7F" w:themeColor="text1" w:themeTint="80"/>
                <w:sz w:val="22"/>
                <w:szCs w:val="22"/>
              </w:rPr>
              <w:t>The market risk module shall reflect the risk arising from the level or volatility of market prices of financial instruments which have an impact upon the value of the assets and liabilities of the undertaking. It shall properly reflect the structural mismatch between assets and liabilities, in particular with respect to the duration thereof.</w:t>
            </w:r>
            <w:r w:rsidRPr="00395661">
              <w:rPr>
                <w:rFonts w:ascii="Verdana" w:hAnsi="Verdana"/>
                <w:i/>
                <w:iCs/>
                <w:color w:val="7F7F7F" w:themeColor="text1" w:themeTint="80"/>
                <w:sz w:val="22"/>
                <w:szCs w:val="22"/>
              </w:rPr>
              <w:br/>
              <w:t>…</w:t>
            </w:r>
            <w:r w:rsidRPr="00395661">
              <w:rPr>
                <w:rFonts w:ascii="Verdana" w:hAnsi="Verdana"/>
                <w:i/>
                <w:iCs/>
                <w:color w:val="7F7F7F" w:themeColor="text1" w:themeTint="80"/>
                <w:sz w:val="22"/>
                <w:szCs w:val="22"/>
              </w:rPr>
              <w:br/>
              <w:t>(d) the sensitivity of the values of assets, liabilities and financial instruments to changes in the level or in the volatility of credit spreads over the risk-free interest rate term structure (spread risk);</w:t>
            </w:r>
            <w:r w:rsidRPr="00395661">
              <w:rPr>
                <w:rFonts w:ascii="Verdana" w:hAnsi="Verdana"/>
                <w:i/>
                <w:iCs/>
                <w:color w:val="7F7F7F" w:themeColor="text1" w:themeTint="80"/>
                <w:sz w:val="22"/>
                <w:szCs w:val="22"/>
              </w:rPr>
              <w:br/>
              <w:t>….”</w:t>
            </w:r>
          </w:p>
          <w:p w14:paraId="5661EFED" w14:textId="6DFEE7D8" w:rsidR="00891023" w:rsidRPr="00395661" w:rsidRDefault="00891023" w:rsidP="00020B14">
            <w:pPr>
              <w:tabs>
                <w:tab w:val="left" w:pos="0"/>
                <w:tab w:val="left" w:pos="4536"/>
              </w:tabs>
              <w:spacing w:after="120"/>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lastRenderedPageBreak/>
              <w:t xml:space="preserve">If an insurance or reinsurance undertaking uses the </w:t>
            </w:r>
            <w:r w:rsidR="009B0CEC" w:rsidRPr="00395661">
              <w:rPr>
                <w:rFonts w:ascii="Verdana" w:hAnsi="Verdana"/>
                <w:color w:val="7F7F7F" w:themeColor="text1" w:themeTint="80"/>
                <w:sz w:val="22"/>
                <w:szCs w:val="22"/>
                <w:lang w:val="en-US"/>
              </w:rPr>
              <w:t>v</w:t>
            </w:r>
            <w:r w:rsidRPr="00395661">
              <w:rPr>
                <w:rFonts w:ascii="Verdana" w:hAnsi="Verdana"/>
                <w:color w:val="7F7F7F" w:themeColor="text1" w:themeTint="80"/>
                <w:sz w:val="22"/>
                <w:szCs w:val="22"/>
                <w:lang w:val="en-US"/>
              </w:rPr>
              <w:t xml:space="preserve">olatility </w:t>
            </w:r>
            <w:r w:rsidR="009B0CEC" w:rsidRPr="00395661">
              <w:rPr>
                <w:rFonts w:ascii="Verdana" w:hAnsi="Verdana"/>
                <w:color w:val="7F7F7F" w:themeColor="text1" w:themeTint="80"/>
                <w:sz w:val="22"/>
                <w:szCs w:val="22"/>
                <w:lang w:val="en-US"/>
              </w:rPr>
              <w:t>a</w:t>
            </w:r>
            <w:r w:rsidRPr="00395661">
              <w:rPr>
                <w:rFonts w:ascii="Verdana" w:hAnsi="Verdana"/>
                <w:color w:val="7F7F7F" w:themeColor="text1" w:themeTint="80"/>
                <w:sz w:val="22"/>
                <w:szCs w:val="22"/>
                <w:lang w:val="en-US"/>
              </w:rPr>
              <w:t>djustment</w:t>
            </w:r>
            <w:r w:rsidR="009B0CEC" w:rsidRPr="00395661">
              <w:rPr>
                <w:rFonts w:ascii="Verdana" w:hAnsi="Verdana"/>
                <w:color w:val="7F7F7F" w:themeColor="text1" w:themeTint="80"/>
                <w:sz w:val="22"/>
                <w:szCs w:val="22"/>
                <w:lang w:val="en-US"/>
              </w:rPr>
              <w:t xml:space="preserve"> (VA)</w:t>
            </w:r>
            <w:r w:rsidRPr="00395661">
              <w:rPr>
                <w:rFonts w:ascii="Verdana" w:hAnsi="Verdana"/>
                <w:color w:val="7F7F7F" w:themeColor="text1" w:themeTint="80"/>
                <w:sz w:val="22"/>
                <w:szCs w:val="22"/>
                <w:lang w:val="en-US"/>
              </w:rPr>
              <w:t xml:space="preserve"> in accordance with their risk management policy, applying the spread scenario will have the following impact on </w:t>
            </w:r>
            <w:r w:rsidR="00A735E4" w:rsidRPr="00395661">
              <w:rPr>
                <w:rFonts w:ascii="Verdana" w:hAnsi="Verdana"/>
                <w:color w:val="7F7F7F" w:themeColor="text1" w:themeTint="80"/>
                <w:sz w:val="22"/>
                <w:szCs w:val="22"/>
                <w:lang w:val="en-US"/>
              </w:rPr>
              <w:t xml:space="preserve">its </w:t>
            </w:r>
            <w:r w:rsidRPr="00395661">
              <w:rPr>
                <w:rFonts w:ascii="Verdana" w:hAnsi="Verdana"/>
                <w:color w:val="7F7F7F" w:themeColor="text1" w:themeTint="80"/>
                <w:sz w:val="22"/>
                <w:szCs w:val="22"/>
                <w:lang w:val="en-US"/>
              </w:rPr>
              <w:t>economic balance sheet:</w:t>
            </w:r>
          </w:p>
          <w:p w14:paraId="063E3FB4" w14:textId="1CE261A1" w:rsidR="00891023" w:rsidRPr="00395661" w:rsidRDefault="00A735E4" w:rsidP="00020B14">
            <w:pPr>
              <w:pStyle w:val="ListParagraph"/>
              <w:numPr>
                <w:ilvl w:val="0"/>
                <w:numId w:val="25"/>
              </w:numPr>
              <w:tabs>
                <w:tab w:val="left" w:pos="0"/>
                <w:tab w:val="left" w:pos="4536"/>
              </w:tabs>
              <w:spacing w:before="120" w:after="120"/>
              <w:ind w:left="0" w:hanging="357"/>
              <w:rPr>
                <w:rFonts w:ascii="Verdana" w:hAnsi="Verdana"/>
                <w:color w:val="7F7F7F" w:themeColor="text1" w:themeTint="80"/>
                <w:lang w:val="en-US"/>
              </w:rPr>
            </w:pPr>
            <w:r w:rsidRPr="00395661">
              <w:rPr>
                <w:rFonts w:ascii="Verdana" w:hAnsi="Verdana"/>
                <w:color w:val="7F7F7F" w:themeColor="text1" w:themeTint="80"/>
                <w:lang w:val="en-US"/>
              </w:rPr>
              <w:t>On the a</w:t>
            </w:r>
            <w:r w:rsidR="00891023" w:rsidRPr="00395661">
              <w:rPr>
                <w:rFonts w:ascii="Verdana" w:hAnsi="Verdana"/>
                <w:color w:val="7F7F7F" w:themeColor="text1" w:themeTint="80"/>
                <w:lang w:val="en-US"/>
              </w:rPr>
              <w:t>sset</w:t>
            </w:r>
            <w:r w:rsidRPr="00395661">
              <w:rPr>
                <w:rFonts w:ascii="Verdana" w:hAnsi="Verdana"/>
                <w:color w:val="7F7F7F" w:themeColor="text1" w:themeTint="80"/>
                <w:lang w:val="en-US"/>
              </w:rPr>
              <w:t xml:space="preserve"> side</w:t>
            </w:r>
            <w:r w:rsidR="00891023" w:rsidRPr="00395661">
              <w:rPr>
                <w:rFonts w:ascii="Verdana" w:hAnsi="Verdana"/>
                <w:color w:val="7F7F7F" w:themeColor="text1" w:themeTint="80"/>
                <w:lang w:val="en-US"/>
              </w:rPr>
              <w:t>: Spread sensitive assets will decrease in value due to the increase of spreads. This will have an increasing effect on the deferred taxes and or actual taxation (subject to local fiscal legislation)</w:t>
            </w:r>
            <w:r w:rsidRPr="00395661">
              <w:rPr>
                <w:rFonts w:ascii="Verdana" w:hAnsi="Verdana"/>
                <w:color w:val="7F7F7F" w:themeColor="text1" w:themeTint="80"/>
                <w:lang w:val="en-US"/>
              </w:rPr>
              <w:t>;</w:t>
            </w:r>
          </w:p>
          <w:p w14:paraId="1D1E7F62" w14:textId="1CE614BC" w:rsidR="00891023" w:rsidRPr="00395661" w:rsidRDefault="00A735E4" w:rsidP="00020B14">
            <w:pPr>
              <w:pStyle w:val="ListParagraph"/>
              <w:numPr>
                <w:ilvl w:val="0"/>
                <w:numId w:val="25"/>
              </w:numPr>
              <w:tabs>
                <w:tab w:val="left" w:pos="0"/>
                <w:tab w:val="left" w:pos="4536"/>
              </w:tabs>
              <w:spacing w:after="120"/>
              <w:ind w:left="0" w:hanging="357"/>
              <w:contextualSpacing/>
              <w:rPr>
                <w:rFonts w:ascii="Verdana" w:hAnsi="Verdana"/>
                <w:color w:val="7F7F7F" w:themeColor="text1" w:themeTint="80"/>
                <w:lang w:val="en-US"/>
              </w:rPr>
            </w:pPr>
            <w:r w:rsidRPr="00395661">
              <w:rPr>
                <w:rFonts w:ascii="Verdana" w:hAnsi="Verdana"/>
                <w:color w:val="7F7F7F" w:themeColor="text1" w:themeTint="80"/>
                <w:lang w:val="en-US"/>
              </w:rPr>
              <w:t>On the liability side:</w:t>
            </w:r>
            <w:r w:rsidR="00891023" w:rsidRPr="00395661">
              <w:rPr>
                <w:rFonts w:ascii="Verdana" w:hAnsi="Verdana"/>
                <w:color w:val="7F7F7F" w:themeColor="text1" w:themeTint="80"/>
                <w:lang w:val="en-US"/>
              </w:rPr>
              <w:t xml:space="preserve"> As spreads increase according to the scenarios applied </w:t>
            </w:r>
            <w:r w:rsidRPr="00395661">
              <w:rPr>
                <w:rFonts w:ascii="Verdana" w:hAnsi="Verdana"/>
                <w:color w:val="7F7F7F" w:themeColor="text1" w:themeTint="80"/>
                <w:lang w:val="en-US"/>
              </w:rPr>
              <w:t xml:space="preserve">either in the </w:t>
            </w:r>
            <w:r w:rsidR="00F8443C" w:rsidRPr="00395661">
              <w:rPr>
                <w:rFonts w:ascii="Verdana" w:hAnsi="Verdana"/>
                <w:color w:val="7F7F7F" w:themeColor="text1" w:themeTint="80"/>
                <w:lang w:val="en-US"/>
              </w:rPr>
              <w:t>s</w:t>
            </w:r>
            <w:r w:rsidRPr="00395661">
              <w:rPr>
                <w:rFonts w:ascii="Verdana" w:hAnsi="Verdana"/>
                <w:color w:val="7F7F7F" w:themeColor="text1" w:themeTint="80"/>
                <w:lang w:val="en-US"/>
              </w:rPr>
              <w:t xml:space="preserve">tandard </w:t>
            </w:r>
            <w:r w:rsidR="00F8443C" w:rsidRPr="00395661">
              <w:rPr>
                <w:rFonts w:ascii="Verdana" w:hAnsi="Verdana"/>
                <w:color w:val="7F7F7F" w:themeColor="text1" w:themeTint="80"/>
                <w:lang w:val="en-US"/>
              </w:rPr>
              <w:t>f</w:t>
            </w:r>
            <w:r w:rsidRPr="00395661">
              <w:rPr>
                <w:rFonts w:ascii="Verdana" w:hAnsi="Verdana"/>
                <w:color w:val="7F7F7F" w:themeColor="text1" w:themeTint="80"/>
                <w:lang w:val="en-US"/>
              </w:rPr>
              <w:t>ormula</w:t>
            </w:r>
            <w:r w:rsidR="00891023" w:rsidRPr="00395661">
              <w:rPr>
                <w:rFonts w:ascii="Verdana" w:hAnsi="Verdana"/>
                <w:color w:val="7F7F7F" w:themeColor="text1" w:themeTint="80"/>
                <w:lang w:val="en-US"/>
              </w:rPr>
              <w:t xml:space="preserve"> or </w:t>
            </w:r>
            <w:r w:rsidRPr="00395661">
              <w:rPr>
                <w:rFonts w:ascii="Verdana" w:hAnsi="Verdana"/>
                <w:color w:val="7F7F7F" w:themeColor="text1" w:themeTint="80"/>
                <w:lang w:val="en-US"/>
              </w:rPr>
              <w:t>(partial) internal model</w:t>
            </w:r>
            <w:r w:rsidR="00891023" w:rsidRPr="00395661">
              <w:rPr>
                <w:rFonts w:ascii="Verdana" w:hAnsi="Verdana"/>
                <w:color w:val="7F7F7F" w:themeColor="text1" w:themeTint="80"/>
                <w:lang w:val="en-US"/>
              </w:rPr>
              <w:t>, the input values of the VA will change</w:t>
            </w:r>
            <w:r w:rsidRPr="00395661">
              <w:rPr>
                <w:rFonts w:ascii="Verdana" w:hAnsi="Verdana"/>
                <w:color w:val="7F7F7F" w:themeColor="text1" w:themeTint="80"/>
                <w:lang w:val="en-US"/>
              </w:rPr>
              <w:t>;</w:t>
            </w:r>
            <w:r w:rsidR="00891023" w:rsidRPr="00395661">
              <w:rPr>
                <w:rFonts w:ascii="Verdana" w:hAnsi="Verdana"/>
                <w:color w:val="7F7F7F" w:themeColor="text1" w:themeTint="80"/>
                <w:lang w:val="en-US"/>
              </w:rPr>
              <w:t xml:space="preserve"> This will increase the value of the VA. The increase of the VA will </w:t>
            </w:r>
            <w:r w:rsidR="00F8443C" w:rsidRPr="00395661">
              <w:rPr>
                <w:rFonts w:ascii="Verdana" w:hAnsi="Verdana"/>
                <w:color w:val="7F7F7F" w:themeColor="text1" w:themeTint="80"/>
                <w:lang w:val="en-US"/>
              </w:rPr>
              <w:t xml:space="preserve">also </w:t>
            </w:r>
            <w:r w:rsidR="00891023" w:rsidRPr="00395661">
              <w:rPr>
                <w:rFonts w:ascii="Verdana" w:hAnsi="Verdana"/>
                <w:color w:val="7F7F7F" w:themeColor="text1" w:themeTint="80"/>
                <w:lang w:val="en-US"/>
              </w:rPr>
              <w:t>have an impact on the value of the best estimate</w:t>
            </w:r>
            <w:r w:rsidRPr="00395661">
              <w:rPr>
                <w:rFonts w:ascii="Verdana" w:hAnsi="Verdana"/>
                <w:color w:val="7F7F7F" w:themeColor="text1" w:themeTint="80"/>
                <w:lang w:val="en-US"/>
              </w:rPr>
              <w:t>:</w:t>
            </w:r>
            <w:r w:rsidR="00891023" w:rsidRPr="00395661">
              <w:rPr>
                <w:rFonts w:ascii="Verdana" w:hAnsi="Verdana"/>
                <w:color w:val="7F7F7F" w:themeColor="text1" w:themeTint="80"/>
                <w:lang w:val="en-US"/>
              </w:rPr>
              <w:t xml:space="preserve"> This value will decrease, which in turn will have an increasing effect on the deferred tax liabilities or </w:t>
            </w:r>
            <w:r w:rsidR="00F8443C" w:rsidRPr="00395661">
              <w:rPr>
                <w:rFonts w:ascii="Verdana" w:hAnsi="Verdana"/>
                <w:color w:val="7F7F7F" w:themeColor="text1" w:themeTint="80"/>
                <w:lang w:val="en-US"/>
              </w:rPr>
              <w:t xml:space="preserve">a </w:t>
            </w:r>
            <w:r w:rsidR="00891023" w:rsidRPr="00395661">
              <w:rPr>
                <w:rFonts w:ascii="Verdana" w:hAnsi="Verdana"/>
                <w:color w:val="7F7F7F" w:themeColor="text1" w:themeTint="80"/>
                <w:lang w:val="en-US"/>
              </w:rPr>
              <w:t>decreas</w:t>
            </w:r>
            <w:r w:rsidRPr="00395661">
              <w:rPr>
                <w:rFonts w:ascii="Verdana" w:hAnsi="Verdana"/>
                <w:color w:val="7F7F7F" w:themeColor="text1" w:themeTint="80"/>
                <w:lang w:val="en-US"/>
              </w:rPr>
              <w:t>ing impact</w:t>
            </w:r>
            <w:r w:rsidR="00891023" w:rsidRPr="00395661">
              <w:rPr>
                <w:rFonts w:ascii="Verdana" w:hAnsi="Verdana"/>
                <w:color w:val="7F7F7F" w:themeColor="text1" w:themeTint="80"/>
                <w:lang w:val="en-US"/>
              </w:rPr>
              <w:t xml:space="preserve"> </w:t>
            </w:r>
            <w:r w:rsidRPr="00395661">
              <w:rPr>
                <w:rFonts w:ascii="Verdana" w:hAnsi="Verdana"/>
                <w:color w:val="7F7F7F" w:themeColor="text1" w:themeTint="80"/>
                <w:lang w:val="en-US"/>
              </w:rPr>
              <w:t>o</w:t>
            </w:r>
            <w:r w:rsidR="00891023" w:rsidRPr="00395661">
              <w:rPr>
                <w:rFonts w:ascii="Verdana" w:hAnsi="Verdana"/>
                <w:color w:val="7F7F7F" w:themeColor="text1" w:themeTint="80"/>
                <w:lang w:val="en-US"/>
              </w:rPr>
              <w:t>n the deferred tax assets or actual taxation.</w:t>
            </w:r>
          </w:p>
          <w:p w14:paraId="3609A5C6" w14:textId="2C34862D" w:rsidR="00891023" w:rsidRPr="00395661" w:rsidRDefault="00891023" w:rsidP="00020B14">
            <w:pPr>
              <w:tabs>
                <w:tab w:val="left" w:pos="0"/>
                <w:tab w:val="left" w:pos="4536"/>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As the capital requirement </w:t>
            </w:r>
            <w:r w:rsidR="00542982" w:rsidRPr="00395661">
              <w:rPr>
                <w:rFonts w:ascii="Verdana" w:hAnsi="Verdana"/>
                <w:color w:val="7F7F7F" w:themeColor="text1" w:themeTint="80"/>
                <w:sz w:val="22"/>
                <w:szCs w:val="22"/>
                <w:lang w:val="en-US"/>
              </w:rPr>
              <w:t>reflect</w:t>
            </w:r>
            <w:r w:rsidR="007C551F" w:rsidRPr="00395661">
              <w:rPr>
                <w:rFonts w:ascii="Verdana" w:hAnsi="Verdana"/>
                <w:color w:val="7F7F7F" w:themeColor="text1" w:themeTint="80"/>
                <w:sz w:val="22"/>
                <w:szCs w:val="22"/>
                <w:lang w:val="en-US"/>
              </w:rPr>
              <w:t>s</w:t>
            </w:r>
            <w:r w:rsidRPr="00395661">
              <w:rPr>
                <w:rFonts w:ascii="Verdana" w:hAnsi="Verdana"/>
                <w:color w:val="7F7F7F" w:themeColor="text1" w:themeTint="80"/>
                <w:sz w:val="22"/>
                <w:szCs w:val="22"/>
                <w:lang w:val="en-US"/>
              </w:rPr>
              <w:t xml:space="preserve"> the impact of the scenario on the </w:t>
            </w:r>
            <w:r w:rsidR="00F8443C" w:rsidRPr="00395661">
              <w:rPr>
                <w:rFonts w:ascii="Verdana" w:hAnsi="Verdana"/>
                <w:color w:val="7F7F7F" w:themeColor="text1" w:themeTint="80"/>
                <w:sz w:val="22"/>
                <w:szCs w:val="22"/>
                <w:lang w:val="en-US"/>
              </w:rPr>
              <w:t>i</w:t>
            </w:r>
            <w:r w:rsidR="00F8443C" w:rsidRPr="00395661">
              <w:rPr>
                <w:rFonts w:ascii="Verdana" w:eastAsia="Calibri" w:hAnsi="Verdana" w:cs="Calibri"/>
                <w:color w:val="7F7F7F" w:themeColor="text1" w:themeTint="80"/>
                <w:sz w:val="22"/>
                <w:szCs w:val="22"/>
                <w:lang w:val="en-US" w:eastAsia="en-US"/>
              </w:rPr>
              <w:t xml:space="preserve">nsurers’ </w:t>
            </w:r>
            <w:r w:rsidRPr="00395661">
              <w:rPr>
                <w:rFonts w:ascii="Verdana" w:hAnsi="Verdana"/>
                <w:color w:val="7F7F7F" w:themeColor="text1" w:themeTint="80"/>
                <w:sz w:val="22"/>
                <w:szCs w:val="22"/>
                <w:lang w:val="en-US"/>
              </w:rPr>
              <w:t>basic own funds, the aggregation of the impact of spread changes on the assets and liabilities is to be determined</w:t>
            </w:r>
            <w:r w:rsidR="00F8443C" w:rsidRPr="00395661">
              <w:rPr>
                <w:rFonts w:ascii="Verdana" w:hAnsi="Verdana"/>
                <w:color w:val="7F7F7F" w:themeColor="text1" w:themeTint="80"/>
                <w:sz w:val="22"/>
                <w:szCs w:val="22"/>
                <w:lang w:val="en-US"/>
              </w:rPr>
              <w:t>;</w:t>
            </w:r>
            <w:r w:rsidRPr="00395661">
              <w:rPr>
                <w:rFonts w:ascii="Verdana" w:hAnsi="Verdana"/>
                <w:color w:val="7F7F7F" w:themeColor="text1" w:themeTint="80"/>
                <w:sz w:val="22"/>
                <w:szCs w:val="22"/>
                <w:lang w:val="en-US"/>
              </w:rPr>
              <w:t xml:space="preserve"> In the current practice, the impact on the assets is deemed to resemble the spread risk capital requirement, while the impact in the liabilities is </w:t>
            </w:r>
            <w:r w:rsidR="00542982" w:rsidRPr="00395661">
              <w:rPr>
                <w:rFonts w:ascii="Verdana" w:hAnsi="Verdana"/>
                <w:color w:val="7F7F7F" w:themeColor="text1" w:themeTint="80"/>
                <w:sz w:val="22"/>
                <w:szCs w:val="22"/>
                <w:lang w:val="en-US"/>
              </w:rPr>
              <w:t xml:space="preserve">expected </w:t>
            </w:r>
            <w:r w:rsidRPr="00395661">
              <w:rPr>
                <w:rFonts w:ascii="Verdana" w:hAnsi="Verdana"/>
                <w:color w:val="7F7F7F" w:themeColor="text1" w:themeTint="80"/>
                <w:sz w:val="22"/>
                <w:szCs w:val="22"/>
                <w:lang w:val="en-US"/>
              </w:rPr>
              <w:t xml:space="preserve">to </w:t>
            </w:r>
            <w:r w:rsidR="00542982" w:rsidRPr="00395661">
              <w:rPr>
                <w:rFonts w:ascii="Verdana" w:hAnsi="Verdana"/>
                <w:color w:val="7F7F7F" w:themeColor="text1" w:themeTint="80"/>
                <w:sz w:val="22"/>
                <w:szCs w:val="22"/>
                <w:lang w:val="en-US"/>
              </w:rPr>
              <w:t xml:space="preserve">mirror </w:t>
            </w:r>
            <w:r w:rsidRPr="00395661">
              <w:rPr>
                <w:rFonts w:ascii="Verdana" w:hAnsi="Verdana"/>
                <w:color w:val="7F7F7F" w:themeColor="text1" w:themeTint="80"/>
                <w:sz w:val="22"/>
                <w:szCs w:val="22"/>
                <w:lang w:val="en-US"/>
              </w:rPr>
              <w:t>the dynamic VA.</w:t>
            </w:r>
          </w:p>
          <w:p w14:paraId="2B29683C" w14:textId="77777777" w:rsidR="00891023" w:rsidRPr="00395661" w:rsidRDefault="00891023" w:rsidP="00020B14">
            <w:pPr>
              <w:tabs>
                <w:tab w:val="left" w:pos="0"/>
                <w:tab w:val="left" w:pos="4536"/>
              </w:tabs>
              <w:rPr>
                <w:rFonts w:ascii="Verdana" w:hAnsi="Verdana"/>
                <w:color w:val="7F7F7F" w:themeColor="text1" w:themeTint="80"/>
                <w:sz w:val="22"/>
                <w:szCs w:val="22"/>
                <w:lang w:val="en-US"/>
              </w:rPr>
            </w:pPr>
          </w:p>
          <w:p w14:paraId="6E908E53" w14:textId="3CD374B0" w:rsidR="00891023" w:rsidRPr="00395661" w:rsidRDefault="00891023" w:rsidP="00020B14">
            <w:pPr>
              <w:tabs>
                <w:tab w:val="left" w:pos="0"/>
                <w:tab w:val="left" w:pos="4536"/>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The calculation as described can be used for (partial) internal models and the standard formula. The resulting capital requirement is consistent with the actual risk profile of the spread sensitive parts of the economic balance sheet and the going concern requirement for the economic balance sheet and </w:t>
            </w:r>
            <w:r w:rsidR="007C551F" w:rsidRPr="00395661">
              <w:rPr>
                <w:rFonts w:ascii="Verdana" w:hAnsi="Verdana"/>
                <w:color w:val="7F7F7F" w:themeColor="text1" w:themeTint="80"/>
                <w:sz w:val="22"/>
                <w:szCs w:val="22"/>
                <w:lang w:val="en-US"/>
              </w:rPr>
              <w:t>SCR’s computation</w:t>
            </w:r>
            <w:r w:rsidRPr="00395661">
              <w:rPr>
                <w:rFonts w:ascii="Verdana" w:hAnsi="Verdana"/>
                <w:color w:val="7F7F7F" w:themeColor="text1" w:themeTint="80"/>
                <w:sz w:val="22"/>
                <w:szCs w:val="22"/>
                <w:lang w:val="en-US"/>
              </w:rPr>
              <w:t xml:space="preserve">. In </w:t>
            </w:r>
            <w:r w:rsidR="007C551F" w:rsidRPr="00395661">
              <w:rPr>
                <w:rFonts w:ascii="Verdana" w:hAnsi="Verdana"/>
                <w:color w:val="7F7F7F" w:themeColor="text1" w:themeTint="80"/>
                <w:sz w:val="22"/>
                <w:szCs w:val="22"/>
                <w:lang w:val="en-US"/>
              </w:rPr>
              <w:t xml:space="preserve">a </w:t>
            </w:r>
            <w:r w:rsidRPr="00395661">
              <w:rPr>
                <w:rFonts w:ascii="Verdana" w:hAnsi="Verdana"/>
                <w:color w:val="7F7F7F" w:themeColor="text1" w:themeTint="80"/>
                <w:sz w:val="22"/>
                <w:szCs w:val="22"/>
                <w:lang w:val="en-US"/>
              </w:rPr>
              <w:t>going concern</w:t>
            </w:r>
            <w:r w:rsidR="00E56DCF">
              <w:rPr>
                <w:rFonts w:ascii="Verdana" w:hAnsi="Verdana"/>
                <w:color w:val="7F7F7F" w:themeColor="text1" w:themeTint="80"/>
                <w:sz w:val="22"/>
                <w:szCs w:val="22"/>
                <w:lang w:val="en-US"/>
              </w:rPr>
              <w:t>,</w:t>
            </w:r>
            <w:r w:rsidR="007C551F" w:rsidRPr="00395661">
              <w:rPr>
                <w:rFonts w:ascii="Verdana" w:hAnsi="Verdana"/>
                <w:color w:val="7F7F7F" w:themeColor="text1" w:themeTint="80"/>
                <w:sz w:val="22"/>
                <w:szCs w:val="22"/>
                <w:lang w:val="en-US"/>
              </w:rPr>
              <w:t xml:space="preserve"> insurers</w:t>
            </w:r>
            <w:r w:rsidRPr="00395661">
              <w:rPr>
                <w:rFonts w:ascii="Verdana" w:hAnsi="Verdana"/>
                <w:color w:val="7F7F7F" w:themeColor="text1" w:themeTint="80"/>
                <w:sz w:val="22"/>
                <w:szCs w:val="22"/>
                <w:lang w:val="en-US"/>
              </w:rPr>
              <w:t xml:space="preserve"> </w:t>
            </w:r>
            <w:r w:rsidR="007C551F" w:rsidRPr="00395661">
              <w:rPr>
                <w:rFonts w:ascii="Verdana" w:hAnsi="Verdana"/>
                <w:color w:val="7F7F7F" w:themeColor="text1" w:themeTint="80"/>
                <w:sz w:val="22"/>
                <w:szCs w:val="22"/>
                <w:lang w:val="en-US"/>
              </w:rPr>
              <w:t>are</w:t>
            </w:r>
            <w:r w:rsidRPr="00395661">
              <w:rPr>
                <w:rFonts w:ascii="Verdana" w:hAnsi="Verdana"/>
                <w:color w:val="7F7F7F" w:themeColor="text1" w:themeTint="80"/>
                <w:sz w:val="22"/>
                <w:szCs w:val="22"/>
                <w:lang w:val="en-US"/>
              </w:rPr>
              <w:t xml:space="preserve"> generally </w:t>
            </w:r>
            <w:r w:rsidR="007C551F" w:rsidRPr="00395661">
              <w:rPr>
                <w:rFonts w:ascii="Verdana" w:hAnsi="Verdana"/>
                <w:color w:val="7F7F7F" w:themeColor="text1" w:themeTint="80"/>
                <w:sz w:val="22"/>
                <w:szCs w:val="22"/>
                <w:lang w:val="en-US"/>
              </w:rPr>
              <w:t xml:space="preserve">not affected by the market fluctuations caused by </w:t>
            </w:r>
            <w:r w:rsidR="007C551F" w:rsidRPr="00395661">
              <w:rPr>
                <w:rFonts w:ascii="Verdana" w:hAnsi="Verdana"/>
                <w:color w:val="7F7F7F" w:themeColor="text1" w:themeTint="80"/>
                <w:sz w:val="22"/>
                <w:szCs w:val="22"/>
                <w:lang w:val="en-US"/>
              </w:rPr>
              <w:lastRenderedPageBreak/>
              <w:t xml:space="preserve">spread movements other than the risk of default; </w:t>
            </w:r>
            <w:r w:rsidRPr="00395661">
              <w:rPr>
                <w:rFonts w:ascii="Verdana" w:hAnsi="Verdana"/>
                <w:color w:val="7F7F7F" w:themeColor="text1" w:themeTint="80"/>
                <w:sz w:val="22"/>
                <w:szCs w:val="22"/>
                <w:lang w:val="en-US"/>
              </w:rPr>
              <w:t xml:space="preserve">In </w:t>
            </w:r>
            <w:r w:rsidR="007C551F" w:rsidRPr="00395661">
              <w:rPr>
                <w:rFonts w:ascii="Verdana" w:hAnsi="Verdana"/>
                <w:color w:val="7F7F7F" w:themeColor="text1" w:themeTint="80"/>
                <w:sz w:val="22"/>
                <w:szCs w:val="22"/>
                <w:lang w:val="en-US"/>
              </w:rPr>
              <w:t xml:space="preserve">this </w:t>
            </w:r>
            <w:r w:rsidRPr="00395661">
              <w:rPr>
                <w:rFonts w:ascii="Verdana" w:hAnsi="Verdana"/>
                <w:color w:val="7F7F7F" w:themeColor="text1" w:themeTint="80"/>
                <w:sz w:val="22"/>
                <w:szCs w:val="22"/>
                <w:lang w:val="en-US"/>
              </w:rPr>
              <w:t xml:space="preserve">case, the </w:t>
            </w:r>
            <w:r w:rsidR="00F2574D" w:rsidRPr="00395661">
              <w:rPr>
                <w:rFonts w:ascii="Verdana" w:hAnsi="Verdana"/>
                <w:color w:val="7F7F7F" w:themeColor="text1" w:themeTint="80"/>
                <w:sz w:val="22"/>
                <w:szCs w:val="22"/>
                <w:lang w:val="en-US"/>
              </w:rPr>
              <w:t>insurers</w:t>
            </w:r>
            <w:r w:rsidRPr="00395661">
              <w:rPr>
                <w:rFonts w:ascii="Verdana" w:hAnsi="Verdana"/>
                <w:color w:val="7F7F7F" w:themeColor="text1" w:themeTint="80"/>
                <w:sz w:val="22"/>
                <w:szCs w:val="22"/>
                <w:lang w:val="en-US"/>
              </w:rPr>
              <w:t xml:space="preserve"> </w:t>
            </w:r>
            <w:r w:rsidR="00F2574D" w:rsidRPr="00395661">
              <w:rPr>
                <w:rFonts w:ascii="Verdana" w:hAnsi="Verdana"/>
                <w:color w:val="7F7F7F" w:themeColor="text1" w:themeTint="80"/>
                <w:sz w:val="22"/>
                <w:szCs w:val="22"/>
                <w:lang w:val="en-US"/>
              </w:rPr>
              <w:t>will be</w:t>
            </w:r>
            <w:r w:rsidRPr="00395661">
              <w:rPr>
                <w:rFonts w:ascii="Verdana" w:hAnsi="Verdana"/>
                <w:color w:val="7F7F7F" w:themeColor="text1" w:themeTint="80"/>
                <w:sz w:val="22"/>
                <w:szCs w:val="22"/>
                <w:lang w:val="en-US"/>
              </w:rPr>
              <w:t xml:space="preserve"> missing cash flows which </w:t>
            </w:r>
            <w:r w:rsidR="00F2574D" w:rsidRPr="00395661">
              <w:rPr>
                <w:rFonts w:ascii="Verdana" w:hAnsi="Verdana"/>
                <w:color w:val="7F7F7F" w:themeColor="text1" w:themeTint="80"/>
                <w:sz w:val="22"/>
                <w:szCs w:val="22"/>
                <w:lang w:val="en-US"/>
              </w:rPr>
              <w:t>are</w:t>
            </w:r>
            <w:r w:rsidRPr="00395661">
              <w:rPr>
                <w:rFonts w:ascii="Verdana" w:hAnsi="Verdana"/>
                <w:color w:val="7F7F7F" w:themeColor="text1" w:themeTint="80"/>
                <w:sz w:val="22"/>
                <w:szCs w:val="22"/>
                <w:lang w:val="en-US"/>
              </w:rPr>
              <w:t xml:space="preserve"> needed to support the benefits, claims and pay-outs </w:t>
            </w:r>
            <w:r w:rsidR="00F2574D" w:rsidRPr="00395661">
              <w:rPr>
                <w:rFonts w:ascii="Verdana" w:hAnsi="Verdana"/>
                <w:color w:val="7F7F7F" w:themeColor="text1" w:themeTint="80"/>
                <w:sz w:val="22"/>
                <w:szCs w:val="22"/>
                <w:lang w:val="en-US"/>
              </w:rPr>
              <w:t xml:space="preserve">to </w:t>
            </w:r>
            <w:r w:rsidRPr="00395661">
              <w:rPr>
                <w:rFonts w:ascii="Verdana" w:hAnsi="Verdana"/>
                <w:color w:val="7F7F7F" w:themeColor="text1" w:themeTint="80"/>
                <w:sz w:val="22"/>
                <w:szCs w:val="22"/>
                <w:lang w:val="en-US"/>
              </w:rPr>
              <w:t xml:space="preserve">the various </w:t>
            </w:r>
            <w:r w:rsidR="00F2574D" w:rsidRPr="00395661">
              <w:rPr>
                <w:rFonts w:ascii="Verdana" w:hAnsi="Verdana"/>
                <w:color w:val="7F7F7F" w:themeColor="text1" w:themeTint="80"/>
                <w:sz w:val="22"/>
                <w:szCs w:val="22"/>
                <w:lang w:val="en-US"/>
              </w:rPr>
              <w:t>policyholders</w:t>
            </w:r>
            <w:r w:rsidRPr="00395661">
              <w:rPr>
                <w:rFonts w:ascii="Verdana" w:hAnsi="Verdana"/>
                <w:color w:val="7F7F7F" w:themeColor="text1" w:themeTint="80"/>
                <w:sz w:val="22"/>
                <w:szCs w:val="22"/>
                <w:lang w:val="en-US"/>
              </w:rPr>
              <w:t>.</w:t>
            </w:r>
          </w:p>
          <w:p w14:paraId="3AB0FFC3" w14:textId="77777777" w:rsidR="00891023" w:rsidRPr="00395661" w:rsidRDefault="00891023" w:rsidP="00020B14">
            <w:pPr>
              <w:tabs>
                <w:tab w:val="left" w:pos="0"/>
                <w:tab w:val="left" w:pos="4536"/>
              </w:tabs>
              <w:rPr>
                <w:rFonts w:ascii="Verdana" w:hAnsi="Verdana"/>
                <w:color w:val="7F7F7F" w:themeColor="text1" w:themeTint="80"/>
                <w:sz w:val="22"/>
                <w:szCs w:val="22"/>
                <w:lang w:val="en-US"/>
              </w:rPr>
            </w:pPr>
          </w:p>
          <w:p w14:paraId="3350AE30" w14:textId="591231FD" w:rsidR="00891023" w:rsidRPr="00395661" w:rsidRDefault="00891023" w:rsidP="00020B14">
            <w:pPr>
              <w:tabs>
                <w:tab w:val="left" w:pos="0"/>
                <w:tab w:val="left" w:pos="4536"/>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The implementation of the VA within the Standard Formula requires a change </w:t>
            </w:r>
            <w:r w:rsidR="00F2574D" w:rsidRPr="00395661">
              <w:rPr>
                <w:rFonts w:ascii="Verdana" w:hAnsi="Verdana"/>
                <w:color w:val="7F7F7F" w:themeColor="text1" w:themeTint="80"/>
                <w:sz w:val="22"/>
                <w:szCs w:val="22"/>
                <w:lang w:val="en-US"/>
              </w:rPr>
              <w:t>to</w:t>
            </w:r>
            <w:r w:rsidRPr="00395661">
              <w:rPr>
                <w:rFonts w:ascii="Verdana" w:hAnsi="Verdana"/>
                <w:color w:val="7F7F7F" w:themeColor="text1" w:themeTint="80"/>
                <w:sz w:val="22"/>
                <w:szCs w:val="22"/>
                <w:lang w:val="en-US"/>
              </w:rPr>
              <w:t xml:space="preserve"> Article 175 (1) of the Solvency II Delegated Regulation by adding « -SCRdva » to the formula.</w:t>
            </w:r>
          </w:p>
          <w:p w14:paraId="393732D1" w14:textId="77777777" w:rsidR="00891023" w:rsidRPr="00395661" w:rsidRDefault="00891023" w:rsidP="00020B14">
            <w:pPr>
              <w:tabs>
                <w:tab w:val="left" w:pos="0"/>
                <w:tab w:val="left" w:pos="4536"/>
              </w:tabs>
              <w:rPr>
                <w:rFonts w:ascii="Verdana" w:hAnsi="Verdana"/>
                <w:color w:val="7F7F7F" w:themeColor="text1" w:themeTint="80"/>
                <w:sz w:val="22"/>
                <w:szCs w:val="22"/>
                <w:lang w:val="en-US"/>
              </w:rPr>
            </w:pPr>
          </w:p>
          <w:p w14:paraId="15A54B6D" w14:textId="2A14A91A" w:rsidR="00891023" w:rsidRPr="00395661" w:rsidRDefault="00891023" w:rsidP="00020B14">
            <w:pPr>
              <w:tabs>
                <w:tab w:val="left" w:pos="0"/>
                <w:tab w:val="left" w:pos="4536"/>
              </w:tabs>
              <w:spacing w:after="120"/>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The SCRdva can be calculated in two manners: </w:t>
            </w:r>
          </w:p>
          <w:p w14:paraId="014B63BA" w14:textId="67DCD3F7" w:rsidR="00891023" w:rsidRPr="00395661" w:rsidRDefault="00891023" w:rsidP="00020B14">
            <w:pPr>
              <w:pStyle w:val="ListParagraph"/>
              <w:numPr>
                <w:ilvl w:val="0"/>
                <w:numId w:val="26"/>
              </w:numPr>
              <w:tabs>
                <w:tab w:val="left" w:pos="0"/>
                <w:tab w:val="left" w:pos="4536"/>
              </w:tabs>
              <w:spacing w:after="120"/>
              <w:ind w:left="0" w:hanging="357"/>
              <w:rPr>
                <w:rFonts w:ascii="Verdana" w:hAnsi="Verdana"/>
                <w:color w:val="7F7F7F" w:themeColor="text1" w:themeTint="80"/>
                <w:lang w:val="en-US"/>
              </w:rPr>
            </w:pPr>
            <w:r w:rsidRPr="00395661">
              <w:rPr>
                <w:rFonts w:ascii="Verdana" w:hAnsi="Verdana"/>
                <w:color w:val="7F7F7F" w:themeColor="text1" w:themeTint="80"/>
                <w:lang w:val="en-US"/>
              </w:rPr>
              <w:t xml:space="preserve">the first approach is more precise and would require EIOPA to apply the scenarios as defined in the </w:t>
            </w:r>
            <w:r w:rsidR="00F2574D" w:rsidRPr="00395661">
              <w:rPr>
                <w:rFonts w:ascii="Verdana" w:hAnsi="Verdana"/>
                <w:color w:val="7F7F7F" w:themeColor="text1" w:themeTint="80"/>
                <w:lang w:val="en-US"/>
              </w:rPr>
              <w:t xml:space="preserve">Delegated </w:t>
            </w:r>
            <w:r w:rsidRPr="00395661">
              <w:rPr>
                <w:rFonts w:ascii="Verdana" w:hAnsi="Verdana"/>
                <w:color w:val="7F7F7F" w:themeColor="text1" w:themeTint="80"/>
                <w:lang w:val="en-US"/>
              </w:rPr>
              <w:t>Regulation 2015/35</w:t>
            </w:r>
            <w:r w:rsidR="00A735E4" w:rsidRPr="00395661">
              <w:rPr>
                <w:rFonts w:ascii="Verdana" w:hAnsi="Verdana"/>
                <w:color w:val="7F7F7F" w:themeColor="text1" w:themeTint="80"/>
                <w:lang w:val="en-US"/>
              </w:rPr>
              <w:t xml:space="preserve">, </w:t>
            </w:r>
            <w:r w:rsidRPr="00395661">
              <w:rPr>
                <w:rFonts w:ascii="Verdana" w:hAnsi="Verdana"/>
                <w:color w:val="7F7F7F" w:themeColor="text1" w:themeTint="80"/>
                <w:lang w:val="en-US"/>
              </w:rPr>
              <w:t>article</w:t>
            </w:r>
            <w:r w:rsidR="00A735E4" w:rsidRPr="00395661">
              <w:rPr>
                <w:rFonts w:ascii="Verdana" w:hAnsi="Verdana"/>
                <w:color w:val="7F7F7F" w:themeColor="text1" w:themeTint="80"/>
                <w:lang w:val="en-US"/>
              </w:rPr>
              <w:t>s</w:t>
            </w:r>
            <w:r w:rsidRPr="00395661">
              <w:rPr>
                <w:rFonts w:ascii="Verdana" w:hAnsi="Verdana"/>
                <w:color w:val="7F7F7F" w:themeColor="text1" w:themeTint="80"/>
                <w:lang w:val="en-US"/>
              </w:rPr>
              <w:t xml:space="preserve"> 176-180</w:t>
            </w:r>
            <w:r w:rsidR="00A735E4" w:rsidRPr="00395661">
              <w:rPr>
                <w:rFonts w:ascii="Verdana" w:hAnsi="Verdana"/>
                <w:color w:val="7F7F7F" w:themeColor="text1" w:themeTint="80"/>
                <w:lang w:val="en-US"/>
              </w:rPr>
              <w:t>,</w:t>
            </w:r>
            <w:r w:rsidRPr="00395661">
              <w:rPr>
                <w:rFonts w:ascii="Verdana" w:hAnsi="Verdana"/>
                <w:color w:val="7F7F7F" w:themeColor="text1" w:themeTint="80"/>
                <w:lang w:val="en-US"/>
              </w:rPr>
              <w:t xml:space="preserve"> to the calculated VA (reference portfolio) and </w:t>
            </w:r>
            <w:r w:rsidR="00F2574D" w:rsidRPr="00395661">
              <w:rPr>
                <w:rFonts w:ascii="Verdana" w:hAnsi="Verdana"/>
                <w:color w:val="7F7F7F" w:themeColor="text1" w:themeTint="80"/>
                <w:lang w:val="en-US"/>
              </w:rPr>
              <w:t xml:space="preserve">publish </w:t>
            </w:r>
            <w:r w:rsidR="00BA2731" w:rsidRPr="00395661">
              <w:rPr>
                <w:rFonts w:ascii="Verdana" w:hAnsi="Verdana"/>
                <w:color w:val="7F7F7F" w:themeColor="text1" w:themeTint="80"/>
                <w:lang w:val="en-US"/>
              </w:rPr>
              <w:t>a</w:t>
            </w:r>
            <w:r w:rsidR="00F2574D" w:rsidRPr="00395661">
              <w:rPr>
                <w:rFonts w:ascii="Verdana" w:hAnsi="Verdana"/>
                <w:color w:val="7F7F7F" w:themeColor="text1" w:themeTint="80"/>
                <w:lang w:val="en-US"/>
              </w:rPr>
              <w:t xml:space="preserve"> stressed</w:t>
            </w:r>
            <w:r w:rsidRPr="00395661">
              <w:rPr>
                <w:rFonts w:ascii="Verdana" w:hAnsi="Verdana"/>
                <w:color w:val="7F7F7F" w:themeColor="text1" w:themeTint="80"/>
                <w:lang w:val="en-US"/>
              </w:rPr>
              <w:t xml:space="preserve"> VA to be considered </w:t>
            </w:r>
            <w:r w:rsidR="00F2574D" w:rsidRPr="00395661">
              <w:rPr>
                <w:rFonts w:ascii="Verdana" w:hAnsi="Verdana"/>
                <w:color w:val="7F7F7F" w:themeColor="text1" w:themeTint="80"/>
                <w:lang w:val="en-US"/>
              </w:rPr>
              <w:t xml:space="preserve">by firms </w:t>
            </w:r>
            <w:r w:rsidRPr="00395661">
              <w:rPr>
                <w:rFonts w:ascii="Verdana" w:hAnsi="Verdana"/>
                <w:color w:val="7F7F7F" w:themeColor="text1" w:themeTint="80"/>
                <w:lang w:val="en-US"/>
              </w:rPr>
              <w:t xml:space="preserve">when determining the capital requirement for spread risk. </w:t>
            </w:r>
            <w:r w:rsidR="00F2574D" w:rsidRPr="00395661">
              <w:rPr>
                <w:rFonts w:ascii="Verdana" w:hAnsi="Verdana"/>
                <w:color w:val="7F7F7F" w:themeColor="text1" w:themeTint="80"/>
                <w:lang w:val="en-US"/>
              </w:rPr>
              <w:t>I</w:t>
            </w:r>
            <w:r w:rsidRPr="00395661">
              <w:rPr>
                <w:rFonts w:ascii="Verdana" w:hAnsi="Verdana"/>
                <w:color w:val="7F7F7F" w:themeColor="text1" w:themeTint="80"/>
                <w:lang w:val="en-US"/>
              </w:rPr>
              <w:t>nsurers would recalculate their best estimate based on the stressed VA</w:t>
            </w:r>
            <w:r w:rsidR="00F2574D" w:rsidRPr="00395661">
              <w:rPr>
                <w:rFonts w:ascii="Verdana" w:hAnsi="Verdana"/>
                <w:color w:val="7F7F7F" w:themeColor="text1" w:themeTint="80"/>
                <w:lang w:val="en-US"/>
              </w:rPr>
              <w:t xml:space="preserve"> and t</w:t>
            </w:r>
            <w:r w:rsidRPr="00395661">
              <w:rPr>
                <w:rFonts w:ascii="Verdana" w:hAnsi="Verdana"/>
                <w:color w:val="7F7F7F" w:themeColor="text1" w:themeTint="80"/>
                <w:lang w:val="en-US"/>
              </w:rPr>
              <w:t xml:space="preserve">he resulting outcome </w:t>
            </w:r>
            <w:r w:rsidR="00F2574D" w:rsidRPr="00395661">
              <w:rPr>
                <w:rFonts w:ascii="Verdana" w:hAnsi="Verdana"/>
                <w:color w:val="7F7F7F" w:themeColor="text1" w:themeTint="80"/>
                <w:lang w:val="en-US"/>
              </w:rPr>
              <w:t>would be the</w:t>
            </w:r>
            <w:r w:rsidRPr="00395661">
              <w:rPr>
                <w:rFonts w:ascii="Verdana" w:hAnsi="Verdana"/>
                <w:color w:val="7F7F7F" w:themeColor="text1" w:themeTint="80"/>
                <w:lang w:val="en-US"/>
              </w:rPr>
              <w:t xml:space="preserve"> SCRdva</w:t>
            </w:r>
            <w:r w:rsidR="00F2574D" w:rsidRPr="00395661">
              <w:rPr>
                <w:rFonts w:ascii="Verdana" w:hAnsi="Verdana"/>
                <w:color w:val="7F7F7F" w:themeColor="text1" w:themeTint="80"/>
                <w:lang w:val="en-US"/>
              </w:rPr>
              <w:t>.</w:t>
            </w:r>
          </w:p>
          <w:p w14:paraId="443D82DA" w14:textId="08587251" w:rsidR="00891023" w:rsidRDefault="00891023" w:rsidP="00020B14">
            <w:pPr>
              <w:pStyle w:val="ListParagraph"/>
              <w:numPr>
                <w:ilvl w:val="0"/>
                <w:numId w:val="26"/>
              </w:numPr>
              <w:tabs>
                <w:tab w:val="left" w:pos="0"/>
                <w:tab w:val="left" w:pos="4536"/>
              </w:tabs>
              <w:ind w:left="0"/>
              <w:rPr>
                <w:rFonts w:ascii="Verdana" w:hAnsi="Verdana"/>
                <w:color w:val="7F7F7F" w:themeColor="text1" w:themeTint="80"/>
                <w:lang w:val="en-US"/>
              </w:rPr>
            </w:pPr>
            <w:r w:rsidRPr="00395661">
              <w:rPr>
                <w:rFonts w:ascii="Verdana" w:hAnsi="Verdana"/>
                <w:color w:val="7F7F7F" w:themeColor="text1" w:themeTint="80"/>
                <w:lang w:val="en-US"/>
              </w:rPr>
              <w:t xml:space="preserve">the second approach would be to introduce a similar article as </w:t>
            </w:r>
            <w:r w:rsidR="00F2574D" w:rsidRPr="00395661">
              <w:rPr>
                <w:rFonts w:ascii="Verdana" w:hAnsi="Verdana"/>
                <w:color w:val="7F7F7F" w:themeColor="text1" w:themeTint="80"/>
                <w:lang w:val="en-US"/>
              </w:rPr>
              <w:t xml:space="preserve">the one </w:t>
            </w:r>
            <w:r w:rsidRPr="00395661">
              <w:rPr>
                <w:rFonts w:ascii="Verdana" w:hAnsi="Verdana"/>
                <w:color w:val="7F7F7F" w:themeColor="text1" w:themeTint="80"/>
                <w:lang w:val="en-US"/>
              </w:rPr>
              <w:t xml:space="preserve">applied for the matching adjustment </w:t>
            </w:r>
            <w:r w:rsidR="00F2574D" w:rsidRPr="00395661">
              <w:rPr>
                <w:rFonts w:ascii="Verdana" w:hAnsi="Verdana"/>
                <w:color w:val="7F7F7F" w:themeColor="text1" w:themeTint="80"/>
                <w:lang w:val="en-US"/>
              </w:rPr>
              <w:t>in the S</w:t>
            </w:r>
            <w:r w:rsidRPr="00395661">
              <w:rPr>
                <w:rFonts w:ascii="Verdana" w:hAnsi="Verdana"/>
                <w:color w:val="7F7F7F" w:themeColor="text1" w:themeTint="80"/>
                <w:lang w:val="en-US"/>
              </w:rPr>
              <w:t xml:space="preserve">pread risk </w:t>
            </w:r>
            <w:r w:rsidR="00F2574D" w:rsidRPr="00395661">
              <w:rPr>
                <w:rFonts w:ascii="Verdana" w:hAnsi="Verdana"/>
                <w:color w:val="7F7F7F" w:themeColor="text1" w:themeTint="80"/>
                <w:lang w:val="en-US"/>
              </w:rPr>
              <w:t>sub-module;</w:t>
            </w:r>
            <w:r w:rsidRPr="00395661">
              <w:rPr>
                <w:rFonts w:ascii="Verdana" w:hAnsi="Verdana"/>
                <w:color w:val="7F7F7F" w:themeColor="text1" w:themeTint="80"/>
                <w:lang w:val="en-US"/>
              </w:rPr>
              <w:t xml:space="preserve"> Article 181 </w:t>
            </w:r>
            <w:r w:rsidR="00F2574D" w:rsidRPr="00395661">
              <w:rPr>
                <w:rFonts w:ascii="Verdana" w:hAnsi="Verdana"/>
                <w:color w:val="7F7F7F" w:themeColor="text1" w:themeTint="80"/>
                <w:lang w:val="en-US"/>
              </w:rPr>
              <w:t xml:space="preserve">of the Solvency II Delegated Regulation </w:t>
            </w:r>
            <w:r w:rsidRPr="00395661">
              <w:rPr>
                <w:rFonts w:ascii="Verdana" w:hAnsi="Verdana"/>
                <w:color w:val="7F7F7F" w:themeColor="text1" w:themeTint="80"/>
                <w:lang w:val="en-US"/>
              </w:rPr>
              <w:t xml:space="preserve">could be </w:t>
            </w:r>
            <w:r w:rsidR="00F2574D" w:rsidRPr="00395661">
              <w:rPr>
                <w:rFonts w:ascii="Verdana" w:hAnsi="Verdana"/>
                <w:color w:val="7F7F7F" w:themeColor="text1" w:themeTint="80"/>
                <w:lang w:val="en-US"/>
              </w:rPr>
              <w:t xml:space="preserve">further </w:t>
            </w:r>
            <w:r w:rsidRPr="00395661">
              <w:rPr>
                <w:rFonts w:ascii="Verdana" w:hAnsi="Verdana"/>
                <w:color w:val="7F7F7F" w:themeColor="text1" w:themeTint="80"/>
                <w:lang w:val="en-US"/>
              </w:rPr>
              <w:t>elaborated to include the reducing effect of the VA. In this article appropriate consideration should be given to non-rated investment exposures.</w:t>
            </w:r>
          </w:p>
          <w:p w14:paraId="08306B24" w14:textId="089BD201" w:rsidR="00724EAC" w:rsidRPr="00823BC5" w:rsidRDefault="00724EAC" w:rsidP="00020B14">
            <w:pPr>
              <w:pStyle w:val="ListParagraph"/>
              <w:numPr>
                <w:ilvl w:val="0"/>
                <w:numId w:val="26"/>
              </w:numPr>
              <w:tabs>
                <w:tab w:val="left" w:pos="0"/>
                <w:tab w:val="left" w:pos="4536"/>
              </w:tabs>
              <w:spacing w:after="120"/>
              <w:ind w:left="0" w:hanging="357"/>
              <w:rPr>
                <w:rFonts w:ascii="Verdana" w:hAnsi="Verdana"/>
                <w:color w:val="7F7F7F" w:themeColor="text1" w:themeTint="80"/>
                <w:lang w:val="en-GB" w:eastAsia="fr-FR"/>
              </w:rPr>
            </w:pPr>
            <w:r w:rsidRPr="00823BC5">
              <w:rPr>
                <w:rFonts w:ascii="Verdana" w:hAnsi="Verdana"/>
                <w:color w:val="7F7F7F" w:themeColor="text1" w:themeTint="80"/>
                <w:lang w:val="en-GB" w:eastAsia="fr-FR"/>
              </w:rPr>
              <w:t xml:space="preserve">The calibration of the DVA should be inspired by the methodology underlying the VA, and here also, an all-in </w:t>
            </w:r>
            <w:r w:rsidR="00E56DCF" w:rsidRPr="00823BC5">
              <w:rPr>
                <w:rFonts w:ascii="Verdana" w:hAnsi="Verdana"/>
                <w:color w:val="7F7F7F" w:themeColor="text1" w:themeTint="80"/>
                <w:lang w:val="en-GB" w:eastAsia="fr-FR"/>
              </w:rPr>
              <w:t>adjustment</w:t>
            </w:r>
            <w:r w:rsidRPr="00823BC5">
              <w:rPr>
                <w:rFonts w:ascii="Verdana" w:hAnsi="Verdana"/>
                <w:color w:val="7F7F7F" w:themeColor="text1" w:themeTint="80"/>
                <w:lang w:val="en-GB" w:eastAsia="fr-FR"/>
              </w:rPr>
              <w:t xml:space="preserve"> to the application ratio could factor all the features and capacity to hold the bonds to maturity after the 1 in 200 shock.</w:t>
            </w:r>
          </w:p>
          <w:p w14:paraId="4C52379A" w14:textId="4FEE6F03" w:rsidR="0062444B" w:rsidRPr="00F55D23" w:rsidRDefault="0062444B" w:rsidP="00020B14">
            <w:pPr>
              <w:tabs>
                <w:tab w:val="left" w:pos="0"/>
                <w:tab w:val="left" w:pos="4536"/>
              </w:tabs>
              <w:rPr>
                <w:rFonts w:ascii="Verdana" w:hAnsi="Verdana"/>
                <w:color w:val="7F7F7F" w:themeColor="text1" w:themeTint="80"/>
                <w:lang w:val="en-US"/>
              </w:rPr>
            </w:pPr>
            <w:r>
              <w:rPr>
                <w:rFonts w:ascii="Verdana" w:hAnsi="Verdana"/>
                <w:color w:val="7F7F7F" w:themeColor="text1" w:themeTint="80"/>
                <w:sz w:val="22"/>
                <w:szCs w:val="22"/>
                <w:lang w:val="en-US"/>
              </w:rPr>
              <w:lastRenderedPageBreak/>
              <w:t>We</w:t>
            </w:r>
            <w:r w:rsidRPr="00803835">
              <w:rPr>
                <w:rFonts w:ascii="Verdana" w:hAnsi="Verdana"/>
                <w:color w:val="7F7F7F" w:themeColor="text1" w:themeTint="80"/>
                <w:sz w:val="22"/>
                <w:szCs w:val="22"/>
                <w:lang w:val="en-US"/>
              </w:rPr>
              <w:t xml:space="preserve"> note that the introduction of the dynamic VA in </w:t>
            </w:r>
            <w:r w:rsidR="00E56DCF">
              <w:rPr>
                <w:rFonts w:ascii="Verdana" w:hAnsi="Verdana"/>
                <w:color w:val="7F7F7F" w:themeColor="text1" w:themeTint="80"/>
                <w:sz w:val="22"/>
                <w:szCs w:val="22"/>
                <w:lang w:val="en-US"/>
              </w:rPr>
              <w:t xml:space="preserve">the </w:t>
            </w:r>
            <w:r w:rsidRPr="00803835">
              <w:rPr>
                <w:rFonts w:ascii="Verdana" w:hAnsi="Verdana"/>
                <w:color w:val="7F7F7F" w:themeColor="text1" w:themeTint="80"/>
                <w:sz w:val="22"/>
                <w:szCs w:val="22"/>
                <w:lang w:val="en-US"/>
              </w:rPr>
              <w:t>Standard Formula would not and should not impact the 0% risk weighting for Member State sovereign debt.</w:t>
            </w:r>
          </w:p>
          <w:p w14:paraId="0FAADF32" w14:textId="77777777" w:rsidR="00891023" w:rsidRPr="00395661" w:rsidRDefault="00891023" w:rsidP="00020B14">
            <w:pPr>
              <w:tabs>
                <w:tab w:val="left" w:pos="0"/>
                <w:tab w:val="left" w:pos="4536"/>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29413863" w14:textId="77777777" w:rsidR="00891023" w:rsidRPr="00CF2245" w:rsidRDefault="00891023" w:rsidP="00020B14">
            <w:pPr>
              <w:tabs>
                <w:tab w:val="left" w:pos="0"/>
                <w:tab w:val="left" w:pos="4536"/>
              </w:tabs>
              <w:ind w:left="-96"/>
              <w:rPr>
                <w:color w:val="7F7F7F" w:themeColor="text1" w:themeTint="80"/>
                <w:sz w:val="22"/>
                <w:szCs w:val="22"/>
                <w:lang w:val="en-GB" w:eastAsia="fr-FR"/>
              </w:rPr>
            </w:pPr>
          </w:p>
        </w:tc>
      </w:tr>
      <w:bookmarkEnd w:id="10"/>
      <w:tr w:rsidR="00891023" w:rsidRPr="001360A5" w14:paraId="4137F3F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00D33229" w14:textId="0591CDD7" w:rsidR="00891023" w:rsidRPr="00395661" w:rsidRDefault="00891023" w:rsidP="00020B14">
            <w:pPr>
              <w:tabs>
                <w:tab w:val="left" w:pos="0"/>
                <w:tab w:val="left" w:pos="4536"/>
              </w:tabs>
              <w:rPr>
                <w:rFonts w:ascii="Verdana" w:hAnsi="Verdana"/>
                <w:b/>
                <w:bCs/>
                <w:color w:val="7F7F7F" w:themeColor="text1" w:themeTint="80"/>
                <w:sz w:val="22"/>
                <w:szCs w:val="22"/>
                <w:lang w:val="en-GB" w:eastAsia="fr-FR"/>
              </w:rPr>
            </w:pPr>
            <w:r w:rsidRPr="00395661">
              <w:rPr>
                <w:rFonts w:ascii="Verdana" w:hAnsi="Verdana"/>
                <w:b/>
                <w:bCs/>
                <w:color w:val="7F7F7F" w:themeColor="text1" w:themeTint="80"/>
                <w:sz w:val="22"/>
                <w:szCs w:val="22"/>
                <w:lang w:val="en-GB" w:eastAsia="fr-FR"/>
              </w:rPr>
              <w:lastRenderedPageBreak/>
              <w:t>2.6 Transitional measures on the RFR and on technical provisions</w:t>
            </w:r>
          </w:p>
        </w:tc>
      </w:tr>
      <w:tr w:rsidR="00FC5744" w:rsidRPr="001360A5" w14:paraId="4A2420D7"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FDC2B87" w14:textId="29F25680" w:rsidR="00891023" w:rsidRPr="007F0222" w:rsidRDefault="00891023" w:rsidP="00020B14">
            <w:pPr>
              <w:tabs>
                <w:tab w:val="left" w:pos="0"/>
                <w:tab w:val="left" w:pos="4536"/>
              </w:tabs>
              <w:ind w:left="-96"/>
              <w:rPr>
                <w:rFonts w:ascii="Verdana" w:hAnsi="Verdana"/>
                <w:color w:val="7F7F7F" w:themeColor="text1" w:themeTint="80"/>
                <w:sz w:val="22"/>
                <w:szCs w:val="22"/>
                <w:lang w:val="en-GB" w:eastAsia="fr-FR"/>
              </w:rPr>
            </w:pPr>
            <w:r w:rsidRPr="007F0222">
              <w:rPr>
                <w:rFonts w:ascii="Verdana" w:hAnsi="Verdana"/>
                <w:color w:val="7F7F7F" w:themeColor="text1" w:themeTint="80"/>
                <w:sz w:val="22"/>
                <w:szCs w:val="22"/>
                <w:lang w:val="en-GB" w:eastAsia="fr-FR"/>
              </w:rPr>
              <w:t xml:space="preserve">2 </w:t>
            </w:r>
          </w:p>
        </w:tc>
        <w:tc>
          <w:tcPr>
            <w:tcW w:w="506" w:type="pct"/>
            <w:gridSpan w:val="2"/>
            <w:tcBorders>
              <w:top w:val="single" w:sz="4" w:space="0" w:color="auto"/>
              <w:left w:val="single" w:sz="4" w:space="0" w:color="auto"/>
              <w:bottom w:val="single" w:sz="4" w:space="0" w:color="auto"/>
              <w:right w:val="single" w:sz="4" w:space="0" w:color="auto"/>
            </w:tcBorders>
          </w:tcPr>
          <w:p w14:paraId="2CC8F693" w14:textId="03112186" w:rsidR="00891023" w:rsidRPr="0037678F" w:rsidRDefault="00891023" w:rsidP="00020B14">
            <w:pPr>
              <w:tabs>
                <w:tab w:val="left" w:pos="0"/>
                <w:tab w:val="left" w:pos="4536"/>
              </w:tabs>
              <w:ind w:left="-96"/>
              <w:rPr>
                <w:rFonts w:ascii="Verdana" w:eastAsia="Verdana" w:hAnsi="Verdana" w:cs="Verdana"/>
                <w:color w:val="7F7F7F" w:themeColor="text1" w:themeTint="80"/>
                <w:sz w:val="22"/>
                <w:szCs w:val="22"/>
                <w:lang w:val="en-US"/>
              </w:rPr>
            </w:pPr>
            <w:r w:rsidRPr="007F0222">
              <w:rPr>
                <w:rFonts w:ascii="Verdana" w:hAnsi="Verdana"/>
                <w:color w:val="7F7F7F" w:themeColor="text1" w:themeTint="80"/>
                <w:sz w:val="22"/>
                <w:szCs w:val="22"/>
                <w:lang w:val="en-GB" w:eastAsia="fr-FR"/>
              </w:rPr>
              <w:t>68</w:t>
            </w:r>
            <w:r>
              <w:rPr>
                <w:rFonts w:ascii="Verdana" w:hAnsi="Verdana"/>
                <w:color w:val="7F7F7F" w:themeColor="text1" w:themeTint="80"/>
                <w:sz w:val="22"/>
                <w:szCs w:val="22"/>
                <w:lang w:val="en-GB" w:eastAsia="fr-FR"/>
              </w:rPr>
              <w:t>0</w:t>
            </w:r>
          </w:p>
          <w:p w14:paraId="4C7EB48E" w14:textId="77777777" w:rsidR="00891023" w:rsidRDefault="00891023" w:rsidP="00020B14">
            <w:pPr>
              <w:tabs>
                <w:tab w:val="left" w:pos="0"/>
                <w:tab w:val="left" w:pos="4536"/>
              </w:tabs>
              <w:ind w:left="-96"/>
              <w:rPr>
                <w:rFonts w:ascii="Verdana" w:eastAsia="Verdana" w:hAnsi="Verdana" w:cs="Verdana"/>
                <w:color w:val="7F7F7F" w:themeColor="text1" w:themeTint="80"/>
                <w:sz w:val="22"/>
                <w:szCs w:val="22"/>
                <w:lang w:val="en-US"/>
              </w:rPr>
            </w:pPr>
          </w:p>
        </w:tc>
        <w:tc>
          <w:tcPr>
            <w:tcW w:w="1999" w:type="pct"/>
            <w:tcBorders>
              <w:top w:val="single" w:sz="4" w:space="0" w:color="auto"/>
              <w:left w:val="single" w:sz="4" w:space="0" w:color="auto"/>
              <w:bottom w:val="single" w:sz="4" w:space="0" w:color="auto"/>
              <w:right w:val="single" w:sz="4" w:space="0" w:color="auto"/>
            </w:tcBorders>
          </w:tcPr>
          <w:p w14:paraId="43909D0B" w14:textId="0727494B" w:rsidR="00891023" w:rsidRPr="00395661" w:rsidRDefault="00891023" w:rsidP="00020B14">
            <w:pPr>
              <w:tabs>
                <w:tab w:val="left" w:pos="0"/>
                <w:tab w:val="left" w:pos="4536"/>
              </w:tabs>
              <w:rPr>
                <w:rFonts w:ascii="Verdana" w:hAnsi="Verdana"/>
                <w:b/>
                <w:bCs/>
                <w:color w:val="7F7F7F" w:themeColor="text1" w:themeTint="80"/>
                <w:sz w:val="22"/>
                <w:szCs w:val="22"/>
                <w:u w:val="single"/>
                <w:lang w:val="en-GB" w:eastAsia="fr-FR"/>
              </w:rPr>
            </w:pPr>
            <w:r w:rsidRPr="00395661">
              <w:rPr>
                <w:rFonts w:ascii="Verdana" w:eastAsia="Verdana" w:hAnsi="Verdana" w:cs="Verdana"/>
                <w:b/>
                <w:bCs/>
                <w:color w:val="7F7F7F" w:themeColor="text1" w:themeTint="80"/>
                <w:sz w:val="22"/>
                <w:szCs w:val="22"/>
                <w:u w:val="single"/>
                <w:lang w:val="en-US"/>
              </w:rPr>
              <w:t>Predominant application of the transitionals by undertakings without capital gap</w:t>
            </w:r>
          </w:p>
          <w:p w14:paraId="5AE2376A" w14:textId="71547063" w:rsidR="00891023" w:rsidRPr="00395661" w:rsidRDefault="00891023" w:rsidP="00020B14">
            <w:pPr>
              <w:tabs>
                <w:tab w:val="left" w:pos="0"/>
                <w:tab w:val="left" w:pos="4536"/>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 xml:space="preserve">When Solvency II entered into force, all firms had the choice to apply a transitional measure on technical provisions. Some decided not to do so in order to show financial strength or smooth the volatility of the Solvency II regime (i.e. SCR ratios are very volatile and they can deteriorate very quickly). </w:t>
            </w:r>
          </w:p>
          <w:p w14:paraId="33E1959C" w14:textId="47C49057" w:rsidR="00891023" w:rsidRPr="00395661" w:rsidRDefault="00891023" w:rsidP="00020B14">
            <w:pPr>
              <w:tabs>
                <w:tab w:val="left" w:pos="0"/>
                <w:tab w:val="left" w:pos="4536"/>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 xml:space="preserve">Furthermore, any firm applying a transitional measure at a later stage should only consider the remaining period until 2032. </w:t>
            </w:r>
          </w:p>
        </w:tc>
        <w:tc>
          <w:tcPr>
            <w:tcW w:w="483" w:type="pct"/>
            <w:tcBorders>
              <w:top w:val="single" w:sz="4" w:space="0" w:color="auto"/>
              <w:left w:val="single" w:sz="4" w:space="0" w:color="auto"/>
              <w:bottom w:val="single" w:sz="4" w:space="0" w:color="auto"/>
              <w:right w:val="single" w:sz="4" w:space="0" w:color="auto"/>
            </w:tcBorders>
          </w:tcPr>
          <w:p w14:paraId="70355C55" w14:textId="77777777" w:rsidR="00891023" w:rsidRPr="00CF2245" w:rsidRDefault="00891023" w:rsidP="00020B14">
            <w:pPr>
              <w:tabs>
                <w:tab w:val="left" w:pos="0"/>
                <w:tab w:val="left" w:pos="4536"/>
              </w:tabs>
              <w:ind w:left="-96"/>
              <w:rPr>
                <w:color w:val="7F7F7F" w:themeColor="text1" w:themeTint="80"/>
                <w:sz w:val="22"/>
                <w:szCs w:val="22"/>
                <w:lang w:val="en-GB" w:eastAsia="fr-FR"/>
              </w:rPr>
            </w:pPr>
          </w:p>
        </w:tc>
      </w:tr>
      <w:tr w:rsidR="00FC5744" w:rsidRPr="001360A5" w14:paraId="4A50AA61"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27E3557" w14:textId="433FCE26" w:rsidR="00891023" w:rsidRPr="007F0222" w:rsidRDefault="00891023" w:rsidP="00020B14">
            <w:pPr>
              <w:tabs>
                <w:tab w:val="left" w:pos="0"/>
                <w:tab w:val="left" w:pos="4536"/>
              </w:tabs>
              <w:ind w:left="-96"/>
              <w:rPr>
                <w:rFonts w:ascii="Verdana" w:hAnsi="Verdana"/>
                <w:color w:val="7F7F7F" w:themeColor="text1" w:themeTint="80"/>
                <w:sz w:val="22"/>
                <w:szCs w:val="22"/>
                <w:lang w:val="en-GB" w:eastAsia="fr-FR"/>
              </w:rPr>
            </w:pPr>
            <w:r w:rsidRPr="007F0222">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1ED1336F" w14:textId="67A36603" w:rsidR="00891023" w:rsidRPr="00C87508" w:rsidRDefault="00891023" w:rsidP="00020B14">
            <w:pPr>
              <w:tabs>
                <w:tab w:val="left" w:pos="0"/>
                <w:tab w:val="left" w:pos="4536"/>
              </w:tabs>
              <w:ind w:left="-96"/>
              <w:rPr>
                <w:rFonts w:ascii="Verdana" w:hAnsi="Verdana"/>
                <w:color w:val="7F7F7F" w:themeColor="text1" w:themeTint="80"/>
                <w:sz w:val="22"/>
                <w:szCs w:val="22"/>
                <w:lang w:val="en-GB" w:eastAsia="fr-FR"/>
              </w:rPr>
            </w:pPr>
            <w:r w:rsidRPr="007F0222">
              <w:rPr>
                <w:rFonts w:ascii="Verdana" w:hAnsi="Verdana"/>
                <w:color w:val="7F7F7F" w:themeColor="text1" w:themeTint="80"/>
                <w:sz w:val="22"/>
                <w:szCs w:val="22"/>
                <w:lang w:val="en-GB" w:eastAsia="fr-FR"/>
              </w:rPr>
              <w:t>684</w:t>
            </w:r>
          </w:p>
        </w:tc>
        <w:tc>
          <w:tcPr>
            <w:tcW w:w="1999" w:type="pct"/>
            <w:tcBorders>
              <w:top w:val="single" w:sz="4" w:space="0" w:color="auto"/>
              <w:left w:val="single" w:sz="4" w:space="0" w:color="auto"/>
              <w:bottom w:val="single" w:sz="4" w:space="0" w:color="auto"/>
              <w:right w:val="single" w:sz="4" w:space="0" w:color="auto"/>
            </w:tcBorders>
          </w:tcPr>
          <w:p w14:paraId="5AAEE138" w14:textId="6B662C7D" w:rsidR="00891023" w:rsidRPr="00395661" w:rsidRDefault="00891023" w:rsidP="00020B14">
            <w:pPr>
              <w:tabs>
                <w:tab w:val="left" w:pos="0"/>
                <w:tab w:val="left" w:pos="4536"/>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We welcome EIOPA’s clarification that undertakings that do not meet the SCR without the transitionals need, according to Article 308e of the Directive, to have a phasing-in plan that sets out the measures they intend to take to overcome their dependency on the measures. However, undertakings that depend on the transitional to meet the SCR without the measures do not need to make a phasing-in plan.</w:t>
            </w:r>
          </w:p>
        </w:tc>
        <w:tc>
          <w:tcPr>
            <w:tcW w:w="483" w:type="pct"/>
            <w:tcBorders>
              <w:top w:val="single" w:sz="4" w:space="0" w:color="auto"/>
              <w:left w:val="single" w:sz="4" w:space="0" w:color="auto"/>
              <w:bottom w:val="single" w:sz="4" w:space="0" w:color="auto"/>
              <w:right w:val="single" w:sz="4" w:space="0" w:color="auto"/>
            </w:tcBorders>
          </w:tcPr>
          <w:p w14:paraId="02030E85" w14:textId="77777777" w:rsidR="00891023" w:rsidRPr="00CF2245" w:rsidRDefault="00891023" w:rsidP="00020B14">
            <w:pPr>
              <w:tabs>
                <w:tab w:val="left" w:pos="0"/>
                <w:tab w:val="left" w:pos="4536"/>
              </w:tabs>
              <w:ind w:left="-96"/>
              <w:rPr>
                <w:color w:val="7F7F7F" w:themeColor="text1" w:themeTint="80"/>
                <w:sz w:val="22"/>
                <w:szCs w:val="22"/>
                <w:lang w:val="en-GB" w:eastAsia="fr-FR"/>
              </w:rPr>
            </w:pPr>
          </w:p>
        </w:tc>
      </w:tr>
      <w:tr w:rsidR="00FC5744" w:rsidRPr="001360A5" w14:paraId="414706B1"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2240D53" w14:textId="028D6413" w:rsidR="00891023" w:rsidRPr="007F0222" w:rsidRDefault="00891023" w:rsidP="00020B14">
            <w:pPr>
              <w:tabs>
                <w:tab w:val="left" w:pos="0"/>
                <w:tab w:val="left" w:pos="4536"/>
              </w:tabs>
              <w:ind w:left="-96"/>
              <w:rPr>
                <w:rFonts w:ascii="Verdana" w:hAnsi="Verdana"/>
                <w:color w:val="7F7F7F" w:themeColor="text1" w:themeTint="80"/>
                <w:sz w:val="22"/>
                <w:szCs w:val="22"/>
                <w:lang w:val="en-GB" w:eastAsia="fr-FR"/>
              </w:rPr>
            </w:pPr>
            <w:r w:rsidRPr="007F0222">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5C1FFBA6" w14:textId="0544DE5C" w:rsidR="00891023" w:rsidRPr="00C87508" w:rsidRDefault="00891023" w:rsidP="00020B14">
            <w:pPr>
              <w:tabs>
                <w:tab w:val="left" w:pos="0"/>
                <w:tab w:val="left" w:pos="4536"/>
              </w:tabs>
              <w:ind w:left="-96"/>
              <w:rPr>
                <w:rFonts w:ascii="Verdana" w:hAnsi="Verdana"/>
                <w:color w:val="7F7F7F" w:themeColor="text1" w:themeTint="80"/>
                <w:sz w:val="22"/>
                <w:szCs w:val="22"/>
                <w:lang w:val="en-GB" w:eastAsia="fr-FR"/>
              </w:rPr>
            </w:pPr>
            <w:r w:rsidRPr="00C87508">
              <w:rPr>
                <w:rFonts w:ascii="Verdana" w:hAnsi="Verdana"/>
                <w:color w:val="7F7F7F" w:themeColor="text1" w:themeTint="80"/>
                <w:sz w:val="22"/>
                <w:szCs w:val="22"/>
                <w:lang w:val="en-GB" w:eastAsia="fr-FR"/>
              </w:rPr>
              <w:t>708</w:t>
            </w:r>
          </w:p>
        </w:tc>
        <w:tc>
          <w:tcPr>
            <w:tcW w:w="1999" w:type="pct"/>
            <w:tcBorders>
              <w:top w:val="single" w:sz="4" w:space="0" w:color="auto"/>
              <w:left w:val="single" w:sz="4" w:space="0" w:color="auto"/>
              <w:bottom w:val="single" w:sz="4" w:space="0" w:color="auto"/>
              <w:right w:val="single" w:sz="4" w:space="0" w:color="auto"/>
            </w:tcBorders>
          </w:tcPr>
          <w:p w14:paraId="220C0797" w14:textId="77777777" w:rsidR="00891023" w:rsidRPr="00395661" w:rsidRDefault="00891023" w:rsidP="00020B14">
            <w:pPr>
              <w:tabs>
                <w:tab w:val="left" w:pos="0"/>
                <w:tab w:val="left" w:pos="4536"/>
              </w:tabs>
              <w:spacing w:after="120"/>
              <w:rPr>
                <w:rFonts w:ascii="Verdana" w:hAnsi="Verdana"/>
                <w:b/>
                <w:bCs/>
                <w:color w:val="7F7F7F" w:themeColor="text1" w:themeTint="80"/>
                <w:sz w:val="22"/>
                <w:szCs w:val="22"/>
                <w:u w:val="single"/>
                <w:lang w:val="en-GB" w:eastAsia="fr-FR"/>
              </w:rPr>
            </w:pPr>
            <w:r w:rsidRPr="00395661">
              <w:rPr>
                <w:rFonts w:ascii="Verdana" w:hAnsi="Verdana"/>
                <w:b/>
                <w:bCs/>
                <w:color w:val="7F7F7F" w:themeColor="text1" w:themeTint="80"/>
                <w:sz w:val="22"/>
                <w:szCs w:val="22"/>
                <w:u w:val="single"/>
                <w:lang w:val="en-GB" w:eastAsia="fr-FR"/>
              </w:rPr>
              <w:t>Approval of transitionals after 1 January 2016</w:t>
            </w:r>
          </w:p>
          <w:p w14:paraId="55BA7685" w14:textId="3374C73C" w:rsidR="00891023" w:rsidRPr="00395661" w:rsidRDefault="00891023" w:rsidP="00020B14">
            <w:pPr>
              <w:tabs>
                <w:tab w:val="left" w:pos="0"/>
                <w:tab w:val="left" w:pos="4536"/>
              </w:tabs>
              <w:spacing w:after="120"/>
              <w:rPr>
                <w:rFonts w:ascii="Verdana" w:hAnsi="Verdana"/>
                <w:b/>
                <w:bCs/>
                <w:color w:val="7F7F7F" w:themeColor="text1" w:themeTint="80"/>
                <w:sz w:val="22"/>
                <w:szCs w:val="22"/>
                <w:u w:val="single"/>
                <w:lang w:val="en-GB" w:eastAsia="fr-FR"/>
              </w:rPr>
            </w:pPr>
            <w:r w:rsidRPr="00395661">
              <w:rPr>
                <w:rFonts w:ascii="Verdana" w:hAnsi="Verdana" w:cs="Helvetica"/>
                <w:color w:val="7F7F7F" w:themeColor="text1" w:themeTint="80"/>
                <w:sz w:val="22"/>
                <w:szCs w:val="22"/>
                <w:lang w:val="en-US"/>
              </w:rPr>
              <w:t xml:space="preserve">To the extent that the current low interest rate environment continues, the </w:t>
            </w:r>
            <w:r w:rsidRPr="00395661">
              <w:rPr>
                <w:rFonts w:ascii="Verdana" w:hAnsi="Verdana" w:cs="Helvetica"/>
                <w:b/>
                <w:bCs/>
                <w:color w:val="7F7F7F" w:themeColor="text1" w:themeTint="80"/>
                <w:sz w:val="22"/>
                <w:szCs w:val="22"/>
                <w:lang w:val="en-US"/>
              </w:rPr>
              <w:t>transitional measure</w:t>
            </w:r>
            <w:r w:rsidRPr="00395661">
              <w:rPr>
                <w:rFonts w:ascii="Verdana" w:hAnsi="Verdana" w:cs="Helvetica"/>
                <w:color w:val="7F7F7F" w:themeColor="text1" w:themeTint="80"/>
                <w:sz w:val="22"/>
                <w:szCs w:val="22"/>
                <w:lang w:val="en-US"/>
              </w:rPr>
              <w:t xml:space="preserve"> between Solvency I and Solvency II </w:t>
            </w:r>
            <w:r w:rsidRPr="00395661">
              <w:rPr>
                <w:rFonts w:ascii="Verdana" w:hAnsi="Verdana" w:cs="Helvetica"/>
                <w:b/>
                <w:bCs/>
                <w:color w:val="7F7F7F" w:themeColor="text1" w:themeTint="80"/>
                <w:sz w:val="22"/>
                <w:szCs w:val="22"/>
                <w:lang w:val="en-US"/>
              </w:rPr>
              <w:t>will be less effective</w:t>
            </w:r>
            <w:r w:rsidRPr="00395661">
              <w:rPr>
                <w:rFonts w:ascii="Verdana" w:hAnsi="Verdana" w:cs="Helvetica"/>
                <w:color w:val="7F7F7F" w:themeColor="text1" w:themeTint="80"/>
                <w:sz w:val="22"/>
                <w:szCs w:val="22"/>
                <w:lang w:val="en-US"/>
              </w:rPr>
              <w:t xml:space="preserve"> in the first years of implementation and </w:t>
            </w:r>
            <w:r w:rsidRPr="00395661">
              <w:rPr>
                <w:rFonts w:ascii="Verdana" w:hAnsi="Verdana" w:cs="Helvetica"/>
                <w:b/>
                <w:bCs/>
                <w:color w:val="7F7F7F" w:themeColor="text1" w:themeTint="80"/>
                <w:sz w:val="22"/>
                <w:szCs w:val="22"/>
                <w:lang w:val="en-US"/>
              </w:rPr>
              <w:t>will become more demanding as time goes by</w:t>
            </w:r>
            <w:r w:rsidRPr="00395661">
              <w:rPr>
                <w:rFonts w:ascii="Verdana" w:hAnsi="Verdana" w:cs="Helvetica"/>
                <w:color w:val="7F7F7F" w:themeColor="text1" w:themeTint="80"/>
                <w:sz w:val="22"/>
                <w:szCs w:val="22"/>
                <w:lang w:val="en-US"/>
              </w:rPr>
              <w:t>.</w:t>
            </w:r>
          </w:p>
          <w:p w14:paraId="6D61C194" w14:textId="77777777" w:rsidR="00891023" w:rsidRPr="00CF2245" w:rsidRDefault="00891023" w:rsidP="00020B14">
            <w:pPr>
              <w:tabs>
                <w:tab w:val="left" w:pos="0"/>
                <w:tab w:val="left" w:pos="4536"/>
              </w:tabs>
              <w:rPr>
                <w:rFonts w:ascii="Verdana" w:hAnsi="Verdana" w:cs="Helvetica"/>
                <w:color w:val="7F7F7F" w:themeColor="text1" w:themeTint="80"/>
                <w:sz w:val="22"/>
                <w:szCs w:val="22"/>
                <w:lang w:val="en-US"/>
              </w:rPr>
            </w:pPr>
            <w:r w:rsidRPr="00395661">
              <w:rPr>
                <w:rFonts w:ascii="Verdana" w:hAnsi="Verdana" w:cs="Helvetica"/>
                <w:color w:val="7F7F7F" w:themeColor="text1" w:themeTint="80"/>
                <w:sz w:val="22"/>
                <w:szCs w:val="22"/>
                <w:lang w:val="en-US"/>
              </w:rPr>
              <w:t xml:space="preserve">We </w:t>
            </w:r>
            <w:r w:rsidRPr="00395661">
              <w:rPr>
                <w:rFonts w:ascii="Verdana" w:hAnsi="Verdana" w:cs="Helvetica"/>
                <w:color w:val="7F7F7F" w:themeColor="text1" w:themeTint="80"/>
                <w:sz w:val="22"/>
                <w:szCs w:val="22"/>
                <w:u w:val="single"/>
                <w:lang w:val="en-US"/>
              </w:rPr>
              <w:t>would have expected to find in the EIOPA’s paper</w:t>
            </w:r>
            <w:r w:rsidRPr="00395661">
              <w:rPr>
                <w:rFonts w:ascii="Verdana" w:hAnsi="Verdana" w:cs="Helvetica"/>
                <w:color w:val="7F7F7F" w:themeColor="text1" w:themeTint="80"/>
                <w:sz w:val="22"/>
                <w:szCs w:val="22"/>
                <w:lang w:val="en-US"/>
              </w:rPr>
              <w:t xml:space="preserve"> an </w:t>
            </w:r>
            <w:r w:rsidRPr="00395661">
              <w:rPr>
                <w:rFonts w:ascii="Verdana" w:hAnsi="Verdana" w:cs="Helvetica"/>
                <w:b/>
                <w:bCs/>
                <w:color w:val="7F7F7F" w:themeColor="text1" w:themeTint="80"/>
                <w:sz w:val="22"/>
                <w:szCs w:val="22"/>
                <w:lang w:val="en-US"/>
              </w:rPr>
              <w:t>assessment as to how the current low interest rate environment has an impact on the effectiveness of the transitional measure</w:t>
            </w:r>
            <w:r w:rsidRPr="00395661">
              <w:rPr>
                <w:rFonts w:ascii="Verdana" w:hAnsi="Verdana" w:cs="Helvetica"/>
                <w:color w:val="7F7F7F" w:themeColor="text1" w:themeTint="80"/>
                <w:sz w:val="22"/>
                <w:szCs w:val="22"/>
                <w:lang w:val="en-US"/>
              </w:rPr>
              <w:t xml:space="preserve">. If the </w:t>
            </w:r>
            <w:r w:rsidRPr="00395661">
              <w:rPr>
                <w:rFonts w:ascii="Verdana" w:hAnsi="Verdana" w:cs="Helvetica"/>
                <w:color w:val="7F7F7F" w:themeColor="text1" w:themeTint="80"/>
                <w:sz w:val="22"/>
                <w:szCs w:val="22"/>
                <w:lang w:val="en-US"/>
              </w:rPr>
              <w:lastRenderedPageBreak/>
              <w:t>interest rates go down, the convergence to the Solvency II rates would be more difficult and more costly to achieve. If the interest rates would have gone up from the enter into force of Solvency II, the convergence would have been much faster</w:t>
            </w:r>
            <w:r w:rsidRPr="00CF2245">
              <w:rPr>
                <w:rFonts w:ascii="Verdana" w:hAnsi="Verdana" w:cs="Helvetica"/>
                <w:color w:val="7F7F7F" w:themeColor="text1" w:themeTint="80"/>
                <w:sz w:val="22"/>
                <w:szCs w:val="22"/>
                <w:lang w:val="en-US"/>
              </w:rPr>
              <w:t>.</w:t>
            </w:r>
          </w:p>
          <w:p w14:paraId="5205E89E" w14:textId="750F4370" w:rsidR="00891023" w:rsidRPr="00CF2245" w:rsidRDefault="00891023" w:rsidP="00020B14">
            <w:pPr>
              <w:tabs>
                <w:tab w:val="left" w:pos="0"/>
                <w:tab w:val="left" w:pos="4536"/>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47B9E305" w14:textId="77777777" w:rsidR="00891023" w:rsidRPr="00CF2245" w:rsidRDefault="00891023" w:rsidP="00020B14">
            <w:pPr>
              <w:tabs>
                <w:tab w:val="left" w:pos="0"/>
                <w:tab w:val="left" w:pos="4536"/>
              </w:tabs>
              <w:ind w:left="-96"/>
              <w:rPr>
                <w:color w:val="7F7F7F" w:themeColor="text1" w:themeTint="80"/>
                <w:sz w:val="22"/>
                <w:szCs w:val="22"/>
                <w:lang w:val="en-GB" w:eastAsia="fr-FR"/>
              </w:rPr>
            </w:pPr>
          </w:p>
        </w:tc>
      </w:tr>
      <w:tr w:rsidR="00FC5744" w:rsidRPr="001360A5" w14:paraId="2C708617"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0C01A3B" w14:textId="6AE05CF1" w:rsidR="00891023" w:rsidRPr="009634BA" w:rsidRDefault="00891023" w:rsidP="00020B14">
            <w:pPr>
              <w:tabs>
                <w:tab w:val="left" w:pos="0"/>
                <w:tab w:val="left" w:pos="4536"/>
              </w:tabs>
              <w:ind w:left="-96"/>
              <w:rPr>
                <w:rFonts w:ascii="Verdana" w:hAnsi="Verdana"/>
                <w:color w:val="7F7F7F" w:themeColor="text1" w:themeTint="80"/>
                <w:sz w:val="22"/>
                <w:szCs w:val="22"/>
                <w:lang w:val="en-GB" w:eastAsia="fr-FR"/>
              </w:rPr>
            </w:pPr>
            <w:r w:rsidRPr="009634BA">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54BB2119" w14:textId="0D3C078F" w:rsidR="00891023" w:rsidRPr="009634BA" w:rsidRDefault="00891023" w:rsidP="00020B14">
            <w:pPr>
              <w:tabs>
                <w:tab w:val="left" w:pos="0"/>
                <w:tab w:val="left" w:pos="4536"/>
              </w:tabs>
              <w:ind w:left="-96"/>
              <w:rPr>
                <w:rFonts w:ascii="Verdana" w:hAnsi="Verdana"/>
                <w:color w:val="7F7F7F" w:themeColor="text1" w:themeTint="80"/>
                <w:sz w:val="22"/>
                <w:szCs w:val="22"/>
                <w:lang w:val="en-GB" w:eastAsia="fr-FR"/>
              </w:rPr>
            </w:pPr>
            <w:r w:rsidRPr="009634BA">
              <w:rPr>
                <w:rFonts w:ascii="Verdana" w:hAnsi="Verdana"/>
                <w:color w:val="7F7F7F" w:themeColor="text1" w:themeTint="80"/>
                <w:sz w:val="22"/>
                <w:szCs w:val="22"/>
                <w:lang w:val="en-GB" w:eastAsia="fr-FR"/>
              </w:rPr>
              <w:t>685 &amp; 686</w:t>
            </w:r>
          </w:p>
        </w:tc>
        <w:tc>
          <w:tcPr>
            <w:tcW w:w="1999" w:type="pct"/>
            <w:tcBorders>
              <w:top w:val="single" w:sz="4" w:space="0" w:color="auto"/>
              <w:left w:val="single" w:sz="4" w:space="0" w:color="auto"/>
              <w:bottom w:val="single" w:sz="4" w:space="0" w:color="auto"/>
              <w:right w:val="single" w:sz="4" w:space="0" w:color="auto"/>
            </w:tcBorders>
          </w:tcPr>
          <w:p w14:paraId="69E0A9D6" w14:textId="1D9831CF" w:rsidR="00891023" w:rsidRPr="00395661" w:rsidRDefault="00891023" w:rsidP="00020B14">
            <w:pPr>
              <w:tabs>
                <w:tab w:val="left" w:pos="0"/>
                <w:tab w:val="left" w:pos="4536"/>
              </w:tabs>
              <w:rPr>
                <w:rFonts w:ascii="Verdana" w:hAnsi="Verdana"/>
                <w:color w:val="7F7F7F" w:themeColor="text1" w:themeTint="80"/>
                <w:sz w:val="22"/>
                <w:szCs w:val="22"/>
                <w:lang w:val="en-GB" w:eastAsia="fr-FR"/>
              </w:rPr>
            </w:pPr>
            <w:r w:rsidRPr="00395661">
              <w:rPr>
                <w:rFonts w:ascii="Verdana" w:hAnsi="Verdana"/>
                <w:color w:val="7F7F7F" w:themeColor="text1" w:themeTint="80"/>
                <w:sz w:val="22"/>
                <w:szCs w:val="22"/>
                <w:lang w:val="en-GB" w:eastAsia="fr-FR"/>
              </w:rPr>
              <w:t>EIOPA explains that four NSA would not allow undertakings to start using the transitional measure at a later date than 1 January 2016. This is against the Omnibus II Directive which allows the application of the transitional measure at a later stage,</w:t>
            </w:r>
          </w:p>
          <w:p w14:paraId="29F1A9DB" w14:textId="77777777" w:rsidR="00891023" w:rsidRPr="00CF2245" w:rsidRDefault="00891023" w:rsidP="00020B14">
            <w:pPr>
              <w:tabs>
                <w:tab w:val="left" w:pos="0"/>
                <w:tab w:val="left" w:pos="4536"/>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370DEE02" w14:textId="77777777" w:rsidR="00891023" w:rsidRPr="00CF2245" w:rsidRDefault="00891023" w:rsidP="00020B14">
            <w:pPr>
              <w:tabs>
                <w:tab w:val="left" w:pos="0"/>
                <w:tab w:val="left" w:pos="4536"/>
              </w:tabs>
              <w:ind w:left="-96"/>
              <w:rPr>
                <w:color w:val="7F7F7F" w:themeColor="text1" w:themeTint="80"/>
                <w:sz w:val="22"/>
                <w:szCs w:val="22"/>
                <w:lang w:val="en-GB" w:eastAsia="fr-FR"/>
              </w:rPr>
            </w:pPr>
          </w:p>
        </w:tc>
      </w:tr>
      <w:tr w:rsidR="00891023" w:rsidRPr="001360A5" w14:paraId="3536CEA6"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6090FC95" w14:textId="025F57ED" w:rsidR="00891023" w:rsidRPr="00395661" w:rsidRDefault="00891023" w:rsidP="00020B14">
            <w:pPr>
              <w:tabs>
                <w:tab w:val="left" w:pos="0"/>
                <w:tab w:val="left" w:pos="4536"/>
              </w:tabs>
              <w:spacing w:line="360" w:lineRule="auto"/>
              <w:rPr>
                <w:rFonts w:ascii="Verdana" w:hAnsi="Verdana"/>
                <w:b/>
                <w:bCs/>
                <w:color w:val="7F7F7F" w:themeColor="text1" w:themeTint="80"/>
                <w:sz w:val="22"/>
                <w:szCs w:val="22"/>
                <w:lang w:val="en-GB" w:eastAsia="fr-FR"/>
              </w:rPr>
            </w:pPr>
            <w:r w:rsidRPr="00395661">
              <w:rPr>
                <w:rFonts w:ascii="Verdana" w:hAnsi="Verdana"/>
                <w:b/>
                <w:bCs/>
                <w:color w:val="7F7F7F" w:themeColor="text1" w:themeTint="80"/>
                <w:sz w:val="22"/>
                <w:szCs w:val="22"/>
                <w:lang w:val="en-GB" w:eastAsia="fr-FR"/>
              </w:rPr>
              <w:t>2.7 Risk Management provisions on LTG measures</w:t>
            </w:r>
          </w:p>
        </w:tc>
      </w:tr>
      <w:tr w:rsidR="00FC5744" w:rsidRPr="001360A5" w14:paraId="041FD92E"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91AC86B" w14:textId="5FA74047" w:rsidR="00891023" w:rsidRPr="002B6246" w:rsidRDefault="00891023" w:rsidP="00020B14">
            <w:pPr>
              <w:tabs>
                <w:tab w:val="left" w:pos="0"/>
                <w:tab w:val="left" w:pos="4536"/>
              </w:tabs>
              <w:ind w:left="-96"/>
              <w:rPr>
                <w:rFonts w:ascii="Verdana" w:hAnsi="Verdana"/>
                <w:color w:val="7F7F7F" w:themeColor="text1" w:themeTint="80"/>
                <w:sz w:val="22"/>
                <w:szCs w:val="22"/>
                <w:lang w:val="en-US" w:eastAsia="fr-FR"/>
              </w:rPr>
            </w:pPr>
            <w:r>
              <w:rPr>
                <w:rFonts w:ascii="Verdana" w:hAnsi="Verdana"/>
                <w:color w:val="7F7F7F" w:themeColor="text1" w:themeTint="80"/>
                <w:sz w:val="22"/>
                <w:szCs w:val="22"/>
                <w:lang w:val="en-US" w:eastAsia="fr-FR"/>
              </w:rPr>
              <w:t>2.7</w:t>
            </w:r>
          </w:p>
        </w:tc>
        <w:tc>
          <w:tcPr>
            <w:tcW w:w="506" w:type="pct"/>
            <w:gridSpan w:val="2"/>
            <w:tcBorders>
              <w:top w:val="single" w:sz="4" w:space="0" w:color="auto"/>
              <w:left w:val="single" w:sz="4" w:space="0" w:color="auto"/>
              <w:bottom w:val="single" w:sz="4" w:space="0" w:color="auto"/>
              <w:right w:val="single" w:sz="4" w:space="0" w:color="auto"/>
            </w:tcBorders>
          </w:tcPr>
          <w:p w14:paraId="4387B126" w14:textId="2DD5CCBA" w:rsidR="00891023" w:rsidRPr="002B6246" w:rsidRDefault="00891023"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General comments</w:t>
            </w:r>
          </w:p>
        </w:tc>
        <w:tc>
          <w:tcPr>
            <w:tcW w:w="1999" w:type="pct"/>
            <w:tcBorders>
              <w:top w:val="single" w:sz="4" w:space="0" w:color="auto"/>
              <w:left w:val="single" w:sz="4" w:space="0" w:color="auto"/>
              <w:bottom w:val="single" w:sz="4" w:space="0" w:color="auto"/>
              <w:right w:val="single" w:sz="4" w:space="0" w:color="auto"/>
            </w:tcBorders>
          </w:tcPr>
          <w:p w14:paraId="25FA7A39" w14:textId="77777777" w:rsidR="006D7A5C" w:rsidRPr="00C24334" w:rsidRDefault="006D7A5C" w:rsidP="00020B14">
            <w:pPr>
              <w:tabs>
                <w:tab w:val="left" w:pos="0"/>
                <w:tab w:val="left" w:pos="4536"/>
              </w:tabs>
              <w:spacing w:before="120" w:after="120"/>
              <w:rPr>
                <w:rFonts w:ascii="Verdana" w:hAnsi="Verdana" w:cstheme="minorHAnsi"/>
                <w:color w:val="7F7F7F" w:themeColor="text1" w:themeTint="80"/>
                <w:sz w:val="22"/>
                <w:szCs w:val="22"/>
                <w:lang w:val="en-US"/>
              </w:rPr>
            </w:pPr>
            <w:r w:rsidRPr="00C24334">
              <w:rPr>
                <w:rFonts w:ascii="Verdana" w:hAnsi="Verdana" w:cstheme="minorHAnsi"/>
                <w:color w:val="7F7F7F" w:themeColor="text1" w:themeTint="80"/>
                <w:sz w:val="22"/>
                <w:szCs w:val="22"/>
                <w:lang w:val="en-US"/>
              </w:rPr>
              <w:t>Regarding the LTG proposals we oppose EIOPA’s proposals to give powers to NSAs to limit capital distributions based on measures that are not consistent with the Solvency Capital Requirements that the European Parliament has set with the Directive. An undertaking holding capital at or above the requirements should in general be considered safe and sound. It should be able to operate without restrictions.</w:t>
            </w:r>
          </w:p>
          <w:p w14:paraId="152FB041" w14:textId="77777777" w:rsidR="006D7A5C" w:rsidRPr="00C24334" w:rsidRDefault="006D7A5C" w:rsidP="00020B14">
            <w:pPr>
              <w:tabs>
                <w:tab w:val="left" w:pos="0"/>
                <w:tab w:val="left" w:pos="4536"/>
              </w:tabs>
              <w:rPr>
                <w:rFonts w:ascii="Verdana" w:hAnsi="Verdana" w:cstheme="minorHAnsi"/>
                <w:color w:val="7F7F7F" w:themeColor="text1" w:themeTint="80"/>
                <w:sz w:val="22"/>
                <w:szCs w:val="22"/>
                <w:lang w:val="en-US"/>
              </w:rPr>
            </w:pPr>
            <w:r w:rsidRPr="00C24334">
              <w:rPr>
                <w:rFonts w:ascii="Verdana" w:hAnsi="Verdana" w:cstheme="minorHAnsi"/>
                <w:color w:val="7F7F7F" w:themeColor="text1" w:themeTint="80"/>
                <w:sz w:val="22"/>
                <w:szCs w:val="22"/>
                <w:lang w:val="en-US"/>
              </w:rPr>
              <w:t>The requirement to publicly report the solvency position with UFR 100 basis points down, should be removed.</w:t>
            </w:r>
          </w:p>
          <w:p w14:paraId="61897565" w14:textId="64CE1150" w:rsidR="006D7A5C" w:rsidRPr="00565AD3" w:rsidRDefault="006D7A5C" w:rsidP="00020B14">
            <w:pPr>
              <w:tabs>
                <w:tab w:val="left" w:pos="0"/>
                <w:tab w:val="left" w:pos="4536"/>
              </w:tabs>
              <w:rPr>
                <w:rFonts w:ascii="Verdana" w:hAnsi="Verdana" w:cstheme="minorHAnsi"/>
                <w:color w:val="7F7F7F" w:themeColor="text1" w:themeTint="80"/>
                <w:sz w:val="22"/>
                <w:szCs w:val="22"/>
                <w:lang w:val="en-GB"/>
              </w:rPr>
            </w:pPr>
            <w:r w:rsidRPr="00C24334">
              <w:rPr>
                <w:rFonts w:ascii="Verdana" w:hAnsi="Verdana" w:cstheme="minorHAnsi"/>
                <w:color w:val="7F7F7F" w:themeColor="text1" w:themeTint="80"/>
                <w:sz w:val="22"/>
                <w:szCs w:val="22"/>
                <w:lang w:val="en-US"/>
              </w:rPr>
              <w:t xml:space="preserve">According to EIOPA’S LTGA </w:t>
            </w:r>
            <w:r w:rsidR="00E56DCF" w:rsidRPr="00C24334">
              <w:rPr>
                <w:rFonts w:ascii="Verdana" w:hAnsi="Verdana" w:cstheme="minorHAnsi"/>
                <w:color w:val="7F7F7F" w:themeColor="text1" w:themeTint="80"/>
                <w:sz w:val="22"/>
                <w:szCs w:val="22"/>
                <w:lang w:val="en-US"/>
              </w:rPr>
              <w:t>report</w:t>
            </w:r>
            <w:r w:rsidR="00E56DCF">
              <w:rPr>
                <w:rFonts w:ascii="Verdana" w:hAnsi="Verdana" w:cstheme="minorHAnsi"/>
                <w:color w:val="7F7F7F" w:themeColor="text1" w:themeTint="80"/>
                <w:sz w:val="22"/>
                <w:szCs w:val="22"/>
                <w:lang w:val="en-US"/>
              </w:rPr>
              <w:t>,</w:t>
            </w:r>
            <w:r w:rsidRPr="00C24334">
              <w:rPr>
                <w:rFonts w:ascii="Verdana" w:hAnsi="Verdana" w:cstheme="minorHAnsi"/>
                <w:color w:val="7F7F7F" w:themeColor="text1" w:themeTint="80"/>
                <w:sz w:val="22"/>
                <w:szCs w:val="22"/>
                <w:lang w:val="en-US"/>
              </w:rPr>
              <w:t xml:space="preserve"> there was no evidence of any wrong investment behaviour of insurers in the past period.</w:t>
            </w:r>
            <w:r w:rsidR="00565AD3">
              <w:rPr>
                <w:rFonts w:ascii="Verdana" w:hAnsi="Verdana" w:cstheme="minorHAnsi"/>
                <w:color w:val="7F7F7F" w:themeColor="text1" w:themeTint="80"/>
                <w:sz w:val="22"/>
                <w:szCs w:val="22"/>
                <w:lang w:val="en-US"/>
              </w:rPr>
              <w:t xml:space="preserve"> </w:t>
            </w:r>
          </w:p>
          <w:p w14:paraId="47A3D772" w14:textId="6ECF7E2A" w:rsidR="00B6182D" w:rsidRPr="00823BC5" w:rsidRDefault="00B6182D" w:rsidP="00020B14">
            <w:pPr>
              <w:tabs>
                <w:tab w:val="left" w:pos="0"/>
                <w:tab w:val="left" w:pos="4536"/>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738D05AE" w14:textId="507B2851" w:rsidR="00891023" w:rsidRPr="00395661" w:rsidRDefault="00891023" w:rsidP="00020B14">
            <w:pPr>
              <w:tabs>
                <w:tab w:val="left" w:pos="0"/>
                <w:tab w:val="left" w:pos="4536"/>
              </w:tabs>
              <w:ind w:left="-96"/>
              <w:rPr>
                <w:color w:val="7F7F7F" w:themeColor="text1" w:themeTint="80"/>
                <w:sz w:val="22"/>
                <w:szCs w:val="22"/>
                <w:lang w:val="en-GB" w:eastAsia="fr-FR"/>
              </w:rPr>
            </w:pPr>
          </w:p>
        </w:tc>
      </w:tr>
      <w:tr w:rsidR="00FC5744" w:rsidRPr="001360A5" w14:paraId="5F64C66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4DB5BA7" w14:textId="6C29F0CB" w:rsidR="006D7A5C" w:rsidRPr="002B6246" w:rsidRDefault="006D7A5C"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7E57FA5E" w14:textId="64E059D2" w:rsidR="006D7A5C" w:rsidRPr="002B6246" w:rsidRDefault="006D7A5C"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762</w:t>
            </w:r>
          </w:p>
        </w:tc>
        <w:tc>
          <w:tcPr>
            <w:tcW w:w="1999" w:type="pct"/>
            <w:tcBorders>
              <w:top w:val="single" w:sz="4" w:space="0" w:color="auto"/>
              <w:left w:val="single" w:sz="4" w:space="0" w:color="auto"/>
              <w:bottom w:val="single" w:sz="4" w:space="0" w:color="auto"/>
              <w:right w:val="single" w:sz="4" w:space="0" w:color="auto"/>
            </w:tcBorders>
          </w:tcPr>
          <w:p w14:paraId="3E3CF5B8" w14:textId="77777777" w:rsidR="006D7A5C" w:rsidRPr="00CF2245" w:rsidRDefault="006D7A5C" w:rsidP="00020B14">
            <w:pPr>
              <w:pStyle w:val="CEABullet-Level1"/>
              <w:numPr>
                <w:ilvl w:val="0"/>
                <w:numId w:val="0"/>
              </w:numPr>
              <w:tabs>
                <w:tab w:val="left" w:pos="0"/>
                <w:tab w:val="left" w:pos="4536"/>
              </w:tabs>
              <w:adjustRightInd/>
              <w:spacing w:line="240" w:lineRule="auto"/>
              <w:jc w:val="left"/>
              <w:rPr>
                <w:rFonts w:cstheme="minorHAnsi"/>
                <w:color w:val="7F7F7F" w:themeColor="text1" w:themeTint="80"/>
                <w:sz w:val="22"/>
                <w:szCs w:val="22"/>
                <w:lang w:val="en-US" w:eastAsia="fr-BE"/>
              </w:rPr>
            </w:pPr>
            <w:r w:rsidRPr="00CF2245">
              <w:rPr>
                <w:rFonts w:cstheme="minorHAnsi"/>
                <w:color w:val="7F7F7F" w:themeColor="text1" w:themeTint="80"/>
                <w:sz w:val="22"/>
                <w:szCs w:val="22"/>
                <w:lang w:val="en-US" w:eastAsia="fr-BE"/>
              </w:rPr>
              <w:t>We struggle to fully understand the implications of what is meant by “other voluntary capital distributions” and how this term should be interpreted exactly.</w:t>
            </w:r>
            <w:r>
              <w:rPr>
                <w:rFonts w:cstheme="minorHAnsi"/>
                <w:color w:val="7F7F7F" w:themeColor="text1" w:themeTint="80"/>
                <w:sz w:val="22"/>
                <w:szCs w:val="22"/>
                <w:lang w:val="en-US" w:eastAsia="fr-BE"/>
              </w:rPr>
              <w:t xml:space="preserve"> </w:t>
            </w:r>
            <w:r w:rsidRPr="00395661">
              <w:rPr>
                <w:rFonts w:cstheme="minorHAnsi"/>
                <w:color w:val="7F7F7F" w:themeColor="text1" w:themeTint="80"/>
                <w:sz w:val="22"/>
                <w:szCs w:val="22"/>
                <w:lang w:val="en-US" w:eastAsia="fr-BE"/>
              </w:rPr>
              <w:t>T</w:t>
            </w:r>
            <w:r w:rsidRPr="00CF2245">
              <w:rPr>
                <w:rFonts w:cstheme="minorHAnsi"/>
                <w:color w:val="7F7F7F" w:themeColor="text1" w:themeTint="80"/>
                <w:sz w:val="22"/>
                <w:szCs w:val="22"/>
                <w:lang w:val="en-US" w:eastAsia="fr-BE"/>
              </w:rPr>
              <w:t>he possibility for mutual insurers to allocate bonuses to our policyholders should not in any way be included in these distributions.</w:t>
            </w:r>
          </w:p>
          <w:p w14:paraId="102CED26" w14:textId="77777777" w:rsidR="006D7A5C" w:rsidRPr="00395661" w:rsidRDefault="006D7A5C" w:rsidP="00020B14">
            <w:pPr>
              <w:tabs>
                <w:tab w:val="left" w:pos="0"/>
                <w:tab w:val="left" w:pos="4536"/>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26928E2B" w14:textId="77777777" w:rsidR="006D7A5C" w:rsidRPr="00395661" w:rsidRDefault="006D7A5C" w:rsidP="00020B14">
            <w:pPr>
              <w:tabs>
                <w:tab w:val="left" w:pos="0"/>
                <w:tab w:val="left" w:pos="4536"/>
              </w:tabs>
              <w:ind w:left="-96"/>
              <w:rPr>
                <w:color w:val="7F7F7F" w:themeColor="text1" w:themeTint="80"/>
                <w:sz w:val="22"/>
                <w:szCs w:val="22"/>
                <w:lang w:val="en-GB" w:eastAsia="fr-FR"/>
              </w:rPr>
            </w:pPr>
          </w:p>
        </w:tc>
      </w:tr>
      <w:tr w:rsidR="006D7A5C" w:rsidRPr="001360A5" w14:paraId="0BF2EA8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63032D6F" w14:textId="1EBCDCB1" w:rsidR="006D7A5C" w:rsidRPr="002B6246" w:rsidRDefault="006D7A5C" w:rsidP="00020B14">
            <w:pPr>
              <w:tabs>
                <w:tab w:val="left" w:pos="0"/>
                <w:tab w:val="left" w:pos="4536"/>
              </w:tabs>
              <w:rPr>
                <w:color w:val="7F7F7F" w:themeColor="text1" w:themeTint="80"/>
                <w:sz w:val="22"/>
                <w:szCs w:val="22"/>
                <w:lang w:val="en-GB" w:eastAsia="fr-FR"/>
              </w:rPr>
            </w:pPr>
            <w:r w:rsidRPr="002B6246">
              <w:rPr>
                <w:rFonts w:ascii="Verdana" w:hAnsi="Verdana"/>
                <w:b/>
                <w:bCs/>
                <w:color w:val="7F7F7F" w:themeColor="text1" w:themeTint="80"/>
                <w:sz w:val="22"/>
                <w:szCs w:val="22"/>
                <w:lang w:val="en-GB" w:eastAsia="fr-FR"/>
              </w:rPr>
              <w:t>2.9 Long-term and strategic investments</w:t>
            </w:r>
          </w:p>
        </w:tc>
      </w:tr>
      <w:tr w:rsidR="00FC5744" w:rsidRPr="001360A5" w14:paraId="1919B807"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B5FF86C" w14:textId="033DE86C" w:rsidR="006D7A5C" w:rsidRPr="00F0251A" w:rsidRDefault="006D7A5C" w:rsidP="00020B14">
            <w:pPr>
              <w:tabs>
                <w:tab w:val="left" w:pos="0"/>
                <w:tab w:val="left" w:pos="4536"/>
              </w:tabs>
              <w:ind w:left="-96"/>
              <w:rPr>
                <w:rFonts w:ascii="Verdana" w:hAnsi="Verdana"/>
                <w:color w:val="7F7F7F" w:themeColor="text1" w:themeTint="80"/>
                <w:sz w:val="22"/>
                <w:szCs w:val="22"/>
                <w:lang w:val="en-US" w:eastAsia="fr-FR"/>
              </w:rPr>
            </w:pPr>
            <w:r w:rsidRPr="00F0251A">
              <w:rPr>
                <w:rFonts w:ascii="Verdana" w:hAnsi="Verdana"/>
                <w:color w:val="7F7F7F" w:themeColor="text1" w:themeTint="80"/>
                <w:sz w:val="22"/>
                <w:szCs w:val="22"/>
                <w:lang w:val="en-US"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2BCA408B" w14:textId="3BF944B9" w:rsidR="006D7A5C" w:rsidRPr="00F0251A" w:rsidRDefault="006D7A5C" w:rsidP="00020B14">
            <w:pPr>
              <w:tabs>
                <w:tab w:val="left" w:pos="0"/>
                <w:tab w:val="left" w:pos="4536"/>
              </w:tabs>
              <w:ind w:left="-96"/>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t>842</w:t>
            </w:r>
          </w:p>
        </w:tc>
        <w:tc>
          <w:tcPr>
            <w:tcW w:w="1999" w:type="pct"/>
            <w:tcBorders>
              <w:top w:val="single" w:sz="4" w:space="0" w:color="auto"/>
              <w:left w:val="single" w:sz="4" w:space="0" w:color="auto"/>
              <w:bottom w:val="single" w:sz="4" w:space="0" w:color="auto"/>
              <w:right w:val="single" w:sz="4" w:space="0" w:color="auto"/>
            </w:tcBorders>
          </w:tcPr>
          <w:p w14:paraId="0E9C6192" w14:textId="77777777" w:rsidR="00724EAC" w:rsidRPr="00395661" w:rsidRDefault="00724EAC" w:rsidP="00020B14">
            <w:pPr>
              <w:pStyle w:val="ListParagraph"/>
              <w:tabs>
                <w:tab w:val="left" w:pos="0"/>
                <w:tab w:val="left" w:pos="4536"/>
              </w:tabs>
              <w:spacing w:after="160"/>
              <w:ind w:left="0"/>
              <w:contextualSpacing/>
              <w:jc w:val="both"/>
              <w:rPr>
                <w:rFonts w:ascii="Verdana" w:eastAsia="Times New Roman" w:hAnsi="Verdana"/>
                <w:color w:val="7F7F7F" w:themeColor="text1" w:themeTint="80"/>
                <w:lang w:val="en-GB"/>
              </w:rPr>
            </w:pPr>
            <w:r w:rsidRPr="00395661">
              <w:rPr>
                <w:rFonts w:ascii="Verdana" w:hAnsi="Verdana"/>
                <w:color w:val="7F7F7F" w:themeColor="text1" w:themeTint="80"/>
                <w:lang w:val="en-GB"/>
              </w:rPr>
              <w:t>One of the main objectives of the European’s Capital Market Union aspects is to unlock more investments and to mobilise capital to be channelled into funding the European economy.</w:t>
            </w:r>
            <w:r w:rsidRPr="00395661">
              <w:rPr>
                <w:rFonts w:ascii="Verdana" w:eastAsia="Times New Roman" w:hAnsi="Verdana"/>
                <w:color w:val="7F7F7F" w:themeColor="text1" w:themeTint="80"/>
                <w:lang w:val="en-GB"/>
              </w:rPr>
              <w:t xml:space="preserve"> </w:t>
            </w:r>
          </w:p>
          <w:p w14:paraId="2057DEEE" w14:textId="77777777" w:rsidR="00724EAC" w:rsidRPr="00CF2245" w:rsidRDefault="00724EAC" w:rsidP="00020B14">
            <w:pPr>
              <w:pStyle w:val="ListParagraph"/>
              <w:tabs>
                <w:tab w:val="left" w:pos="0"/>
                <w:tab w:val="left" w:pos="4536"/>
              </w:tabs>
              <w:spacing w:after="160"/>
              <w:ind w:left="0"/>
              <w:contextualSpacing/>
              <w:jc w:val="both"/>
              <w:rPr>
                <w:rFonts w:ascii="Verdana" w:hAnsi="Verdana"/>
                <w:color w:val="7F7F7F" w:themeColor="text1" w:themeTint="80"/>
                <w:lang w:val="en-US"/>
              </w:rPr>
            </w:pPr>
          </w:p>
          <w:p w14:paraId="66100F79" w14:textId="77777777" w:rsidR="00724EAC" w:rsidRPr="00395661" w:rsidRDefault="00724EAC" w:rsidP="00020B14">
            <w:pPr>
              <w:pStyle w:val="ListParagraph"/>
              <w:tabs>
                <w:tab w:val="left" w:pos="0"/>
                <w:tab w:val="left" w:pos="4536"/>
              </w:tabs>
              <w:spacing w:after="160"/>
              <w:ind w:left="0"/>
              <w:contextualSpacing/>
              <w:jc w:val="both"/>
              <w:rPr>
                <w:rFonts w:ascii="Verdana" w:eastAsia="Times New Roman" w:hAnsi="Verdana"/>
                <w:color w:val="7F7F7F" w:themeColor="text1" w:themeTint="80"/>
                <w:lang w:val="en-GB"/>
              </w:rPr>
            </w:pPr>
            <w:r>
              <w:rPr>
                <w:rFonts w:ascii="Verdana" w:eastAsia="Times New Roman" w:hAnsi="Verdana"/>
                <w:color w:val="7F7F7F" w:themeColor="text1" w:themeTint="80"/>
                <w:lang w:val="en-GB"/>
              </w:rPr>
              <w:t xml:space="preserve">Here again, </w:t>
            </w:r>
            <w:r w:rsidRPr="00395661">
              <w:rPr>
                <w:rFonts w:ascii="Verdana" w:eastAsia="Times New Roman" w:hAnsi="Verdana"/>
                <w:color w:val="7F7F7F" w:themeColor="text1" w:themeTint="80"/>
                <w:lang w:val="en-GB"/>
              </w:rPr>
              <w:t>EIOPA’s advice should better account for the going concern perspective of insurance undertakings and their ability to avoid forced sales during adverse market situations and the realization of unexpected losses</w:t>
            </w:r>
            <w:r>
              <w:rPr>
                <w:rFonts w:ascii="Verdana" w:eastAsia="Times New Roman" w:hAnsi="Verdana"/>
                <w:color w:val="7F7F7F" w:themeColor="text1" w:themeTint="80"/>
                <w:lang w:val="en-GB"/>
              </w:rPr>
              <w:t xml:space="preserve"> which stand for a key management action featuring a long term perspective investment management</w:t>
            </w:r>
            <w:r w:rsidRPr="00395661">
              <w:rPr>
                <w:rFonts w:ascii="Verdana" w:eastAsia="Times New Roman" w:hAnsi="Verdana"/>
                <w:color w:val="7F7F7F" w:themeColor="text1" w:themeTint="80"/>
                <w:lang w:val="en-GB"/>
              </w:rPr>
              <w:t xml:space="preserve"> The measure of risk should remain the 1-year horizon value at risk but account for the possibility to smooth market fluctuations over longer term</w:t>
            </w:r>
            <w:r>
              <w:rPr>
                <w:rFonts w:ascii="Verdana" w:eastAsia="Times New Roman" w:hAnsi="Verdana"/>
                <w:color w:val="7F7F7F" w:themeColor="text1" w:themeTint="80"/>
                <w:lang w:val="en-GB"/>
              </w:rPr>
              <w:t xml:space="preserve"> because of the management actions in place</w:t>
            </w:r>
            <w:r w:rsidRPr="00395661">
              <w:rPr>
                <w:rFonts w:ascii="Verdana" w:eastAsia="Times New Roman" w:hAnsi="Verdana"/>
                <w:color w:val="7F7F7F" w:themeColor="text1" w:themeTint="80"/>
                <w:lang w:val="en-GB"/>
              </w:rPr>
              <w:t>.</w:t>
            </w:r>
          </w:p>
          <w:p w14:paraId="112E8BF2" w14:textId="77777777" w:rsidR="00724EAC" w:rsidRDefault="00724EAC" w:rsidP="00020B14">
            <w:pPr>
              <w:pStyle w:val="ListParagraph"/>
              <w:tabs>
                <w:tab w:val="left" w:pos="0"/>
                <w:tab w:val="left" w:pos="4536"/>
              </w:tabs>
              <w:spacing w:before="120" w:after="120"/>
              <w:ind w:left="0"/>
              <w:jc w:val="both"/>
              <w:rPr>
                <w:rFonts w:ascii="Verdana" w:eastAsia="Times New Roman" w:hAnsi="Verdana"/>
                <w:color w:val="7F7F7F" w:themeColor="text1" w:themeTint="80"/>
                <w:lang w:val="en-GB"/>
              </w:rPr>
            </w:pPr>
            <w:r w:rsidRPr="00455BE6">
              <w:rPr>
                <w:rFonts w:ascii="Verdana" w:eastAsia="Times New Roman" w:hAnsi="Verdana"/>
                <w:b/>
                <w:color w:val="7F7F7F" w:themeColor="text1" w:themeTint="80"/>
                <w:lang w:val="en-GB"/>
              </w:rPr>
              <w:t>Likewise, the advice should account for the operational difficulty to implement the criteria set in Article 171a. The application of the criteria should avoid undue operational complexity deterring, de facto, the application of the criteria for long-term investors. The application should remain feasible at a reasonable cost even for those undertakings using pooled assets backing pooled liabilities</w:t>
            </w:r>
            <w:r w:rsidRPr="00395661">
              <w:rPr>
                <w:rFonts w:ascii="Verdana" w:eastAsia="Times New Roman" w:hAnsi="Verdana"/>
                <w:color w:val="7F7F7F" w:themeColor="text1" w:themeTint="80"/>
                <w:lang w:val="en-GB"/>
              </w:rPr>
              <w:t>.</w:t>
            </w:r>
          </w:p>
          <w:p w14:paraId="41BB8779" w14:textId="77777777" w:rsidR="00724EAC" w:rsidRPr="003F3FBA" w:rsidRDefault="00724EAC" w:rsidP="00020B14">
            <w:pPr>
              <w:pStyle w:val="ListParagraph"/>
              <w:tabs>
                <w:tab w:val="left" w:pos="0"/>
                <w:tab w:val="left" w:pos="4536"/>
              </w:tabs>
              <w:spacing w:before="120" w:after="120"/>
              <w:ind w:left="0"/>
              <w:jc w:val="both"/>
              <w:rPr>
                <w:rFonts w:ascii="Verdana" w:eastAsia="Times New Roman" w:hAnsi="Verdana"/>
                <w:b/>
                <w:color w:val="7F7F7F" w:themeColor="text1" w:themeTint="80"/>
                <w:lang w:val="en-GB"/>
              </w:rPr>
            </w:pPr>
            <w:r w:rsidRPr="003F3FBA">
              <w:rPr>
                <w:rFonts w:ascii="Verdana" w:eastAsia="Times New Roman" w:hAnsi="Verdana"/>
                <w:b/>
                <w:color w:val="7F7F7F" w:themeColor="text1" w:themeTint="80"/>
                <w:lang w:val="en-GB"/>
              </w:rPr>
              <w:t xml:space="preserve">We would like to refer to a note that </w:t>
            </w:r>
            <w:r w:rsidRPr="003F3FBA">
              <w:rPr>
                <w:rFonts w:ascii="Verdana" w:hAnsi="Verdana"/>
                <w:b/>
                <w:color w:val="7F7F7F" w:themeColor="text1" w:themeTint="80"/>
                <w:lang w:val="en-GB" w:eastAsia="fr-FR"/>
              </w:rPr>
              <w:t>AMICE has already submitted on the criteria of article 171a (see Annex 2).</w:t>
            </w:r>
          </w:p>
          <w:p w14:paraId="52490E83" w14:textId="77777777" w:rsidR="00724EAC" w:rsidRPr="003F3FBA" w:rsidRDefault="00724EAC" w:rsidP="00020B14">
            <w:pPr>
              <w:tabs>
                <w:tab w:val="left" w:pos="0"/>
                <w:tab w:val="left" w:pos="4536"/>
              </w:tabs>
              <w:rPr>
                <w:rFonts w:ascii="Verdana" w:hAnsi="Verdana" w:cstheme="minorHAnsi"/>
                <w:color w:val="7F7F7F" w:themeColor="text1" w:themeTint="80"/>
                <w:sz w:val="22"/>
                <w:szCs w:val="22"/>
                <w:lang w:val="en-GB"/>
              </w:rPr>
            </w:pPr>
          </w:p>
          <w:p w14:paraId="5D8C2961" w14:textId="77777777" w:rsidR="00724EAC" w:rsidRDefault="006D7A5C" w:rsidP="00020B14">
            <w:pPr>
              <w:tabs>
                <w:tab w:val="left" w:pos="0"/>
                <w:tab w:val="left" w:pos="4536"/>
              </w:tabs>
              <w:spacing w:after="120"/>
              <w:rPr>
                <w:rFonts w:ascii="Verdana" w:hAnsi="Verdana" w:cstheme="minorHAnsi"/>
                <w:color w:val="7F7F7F" w:themeColor="text1" w:themeTint="80"/>
                <w:sz w:val="22"/>
                <w:szCs w:val="22"/>
                <w:lang w:val="en-US"/>
              </w:rPr>
            </w:pPr>
            <w:r w:rsidRPr="003B5DBA">
              <w:rPr>
                <w:rFonts w:ascii="Verdana" w:hAnsi="Verdana" w:cstheme="minorHAnsi"/>
                <w:color w:val="7F7F7F" w:themeColor="text1" w:themeTint="80"/>
                <w:sz w:val="22"/>
                <w:szCs w:val="22"/>
                <w:lang w:val="en-US"/>
              </w:rPr>
              <w:t>We oppose EIOPA’s proposals t</w:t>
            </w:r>
            <w:r>
              <w:rPr>
                <w:rFonts w:ascii="Verdana" w:hAnsi="Verdana" w:cstheme="minorHAnsi"/>
                <w:color w:val="7F7F7F" w:themeColor="text1" w:themeTint="80"/>
                <w:sz w:val="22"/>
                <w:szCs w:val="22"/>
                <w:lang w:val="en-US"/>
              </w:rPr>
              <w:t>hat</w:t>
            </w:r>
            <w:r w:rsidRPr="003B5DBA">
              <w:rPr>
                <w:rFonts w:ascii="Verdana" w:hAnsi="Verdana" w:cstheme="minorHAnsi"/>
                <w:color w:val="7F7F7F" w:themeColor="text1" w:themeTint="80"/>
                <w:sz w:val="22"/>
                <w:szCs w:val="22"/>
                <w:lang w:val="en-US"/>
              </w:rPr>
              <w:t xml:space="preserve"> further criterion </w:t>
            </w:r>
            <w:r>
              <w:rPr>
                <w:rFonts w:ascii="Verdana" w:hAnsi="Verdana" w:cstheme="minorHAnsi"/>
                <w:color w:val="7F7F7F" w:themeColor="text1" w:themeTint="80"/>
                <w:sz w:val="22"/>
                <w:szCs w:val="22"/>
                <w:lang w:val="en-US"/>
              </w:rPr>
              <w:t xml:space="preserve">should </w:t>
            </w:r>
            <w:r w:rsidRPr="003B5DBA">
              <w:rPr>
                <w:rFonts w:ascii="Verdana" w:hAnsi="Verdana" w:cstheme="minorHAnsi"/>
                <w:color w:val="7F7F7F" w:themeColor="text1" w:themeTint="80"/>
                <w:sz w:val="22"/>
                <w:szCs w:val="22"/>
                <w:lang w:val="en-US"/>
              </w:rPr>
              <w:t xml:space="preserve">be </w:t>
            </w:r>
            <w:r>
              <w:rPr>
                <w:rFonts w:ascii="Verdana" w:hAnsi="Verdana" w:cstheme="minorHAnsi"/>
                <w:color w:val="7F7F7F" w:themeColor="text1" w:themeTint="80"/>
                <w:sz w:val="22"/>
                <w:szCs w:val="22"/>
                <w:lang w:val="en-US"/>
              </w:rPr>
              <w:t>added to article 171a (1)</w:t>
            </w:r>
            <w:r w:rsidRPr="003B5DBA">
              <w:rPr>
                <w:rFonts w:ascii="Verdana" w:hAnsi="Verdana" w:cstheme="minorHAnsi"/>
                <w:color w:val="7F7F7F" w:themeColor="text1" w:themeTint="80"/>
                <w:sz w:val="22"/>
                <w:szCs w:val="22"/>
                <w:lang w:val="en-US"/>
              </w:rPr>
              <w:t xml:space="preserve"> </w:t>
            </w:r>
            <w:r>
              <w:rPr>
                <w:rFonts w:ascii="Verdana" w:hAnsi="Verdana" w:cstheme="minorHAnsi"/>
                <w:color w:val="7F7F7F" w:themeColor="text1" w:themeTint="80"/>
                <w:sz w:val="22"/>
                <w:szCs w:val="22"/>
                <w:lang w:val="en-US"/>
              </w:rPr>
              <w:t>with</w:t>
            </w:r>
            <w:r w:rsidRPr="003B5DBA">
              <w:rPr>
                <w:rFonts w:ascii="Verdana" w:hAnsi="Verdana" w:cstheme="minorHAnsi"/>
                <w:color w:val="7F7F7F" w:themeColor="text1" w:themeTint="80"/>
                <w:sz w:val="22"/>
                <w:szCs w:val="22"/>
                <w:lang w:val="en-US"/>
              </w:rPr>
              <w:t xml:space="preserve"> regards to </w:t>
            </w:r>
            <w:r>
              <w:rPr>
                <w:rFonts w:ascii="Verdana" w:hAnsi="Verdana" w:cstheme="minorHAnsi"/>
                <w:color w:val="7F7F7F" w:themeColor="text1" w:themeTint="80"/>
                <w:sz w:val="22"/>
                <w:szCs w:val="22"/>
                <w:lang w:val="en-US"/>
              </w:rPr>
              <w:t>l</w:t>
            </w:r>
            <w:r w:rsidRPr="003B5DBA">
              <w:rPr>
                <w:rFonts w:ascii="Verdana" w:hAnsi="Verdana" w:cstheme="minorHAnsi"/>
                <w:color w:val="7F7F7F" w:themeColor="text1" w:themeTint="80"/>
                <w:sz w:val="22"/>
                <w:szCs w:val="22"/>
                <w:lang w:val="en-US"/>
              </w:rPr>
              <w:t>ong-term equity</w:t>
            </w:r>
            <w:r>
              <w:rPr>
                <w:rFonts w:ascii="Verdana" w:hAnsi="Verdana" w:cstheme="minorHAnsi"/>
                <w:color w:val="7F7F7F" w:themeColor="text1" w:themeTint="80"/>
                <w:sz w:val="22"/>
                <w:szCs w:val="22"/>
                <w:lang w:val="en-US"/>
              </w:rPr>
              <w:t xml:space="preserve">. </w:t>
            </w:r>
            <w:r w:rsidR="00724EAC">
              <w:rPr>
                <w:rFonts w:ascii="Verdana" w:hAnsi="Verdana" w:cstheme="minorHAnsi"/>
                <w:color w:val="7F7F7F" w:themeColor="text1" w:themeTint="80"/>
                <w:sz w:val="22"/>
                <w:szCs w:val="22"/>
                <w:lang w:val="en-US"/>
              </w:rPr>
              <w:t xml:space="preserve">Rather than adding new burdensome criteria the existing criteria should be revised to allow </w:t>
            </w:r>
            <w:r w:rsidR="00724EAC">
              <w:rPr>
                <w:rFonts w:ascii="Verdana" w:hAnsi="Verdana" w:cstheme="minorHAnsi"/>
                <w:color w:val="7F7F7F" w:themeColor="text1" w:themeTint="80"/>
                <w:sz w:val="22"/>
                <w:szCs w:val="22"/>
                <w:lang w:val="en-US"/>
              </w:rPr>
              <w:lastRenderedPageBreak/>
              <w:t xml:space="preserve">applicability of the article that is unduly restrained by some un- / counter-effective criteria; </w:t>
            </w:r>
          </w:p>
          <w:p w14:paraId="1136B808" w14:textId="2D23EF98" w:rsidR="006D7A5C" w:rsidRPr="003B5DBA" w:rsidRDefault="00724EAC" w:rsidP="00020B14">
            <w:pPr>
              <w:tabs>
                <w:tab w:val="left" w:pos="0"/>
                <w:tab w:val="left" w:pos="4536"/>
              </w:tabs>
              <w:rPr>
                <w:rFonts w:ascii="Verdana" w:hAnsi="Verdana" w:cstheme="minorHAnsi"/>
                <w:color w:val="7F7F7F" w:themeColor="text1" w:themeTint="80"/>
                <w:sz w:val="22"/>
                <w:szCs w:val="22"/>
                <w:lang w:val="en-US"/>
              </w:rPr>
            </w:pPr>
            <w:r>
              <w:rPr>
                <w:rFonts w:ascii="Verdana" w:hAnsi="Verdana" w:cstheme="minorHAnsi"/>
                <w:color w:val="7F7F7F" w:themeColor="text1" w:themeTint="80"/>
                <w:sz w:val="22"/>
                <w:szCs w:val="22"/>
                <w:lang w:val="en-US"/>
              </w:rPr>
              <w:t>Any</w:t>
            </w:r>
            <w:r w:rsidRPr="003B5DBA">
              <w:rPr>
                <w:rFonts w:ascii="Verdana" w:hAnsi="Verdana" w:cstheme="minorHAnsi"/>
                <w:color w:val="7F7F7F" w:themeColor="text1" w:themeTint="80"/>
                <w:sz w:val="22"/>
                <w:szCs w:val="22"/>
                <w:lang w:val="en-US"/>
              </w:rPr>
              <w:t xml:space="preserve"> </w:t>
            </w:r>
            <w:r w:rsidR="006D7A5C" w:rsidRPr="003B5DBA">
              <w:rPr>
                <w:rFonts w:ascii="Verdana" w:hAnsi="Verdana" w:cstheme="minorHAnsi"/>
                <w:color w:val="7F7F7F" w:themeColor="text1" w:themeTint="80"/>
                <w:sz w:val="22"/>
                <w:szCs w:val="22"/>
                <w:lang w:val="en-US"/>
              </w:rPr>
              <w:t xml:space="preserve">additional </w:t>
            </w:r>
            <w:r w:rsidR="006D7A5C">
              <w:rPr>
                <w:rFonts w:ascii="Verdana" w:hAnsi="Verdana" w:cstheme="minorHAnsi"/>
                <w:color w:val="7F7F7F" w:themeColor="text1" w:themeTint="80"/>
                <w:sz w:val="22"/>
                <w:szCs w:val="22"/>
                <w:lang w:val="en-US"/>
              </w:rPr>
              <w:t>criterion</w:t>
            </w:r>
            <w:r w:rsidR="006D7A5C" w:rsidRPr="003B5DBA">
              <w:rPr>
                <w:rFonts w:ascii="Verdana" w:hAnsi="Verdana" w:cstheme="minorHAnsi"/>
                <w:color w:val="7F7F7F" w:themeColor="text1" w:themeTint="80"/>
                <w:sz w:val="22"/>
                <w:szCs w:val="22"/>
                <w:lang w:val="en-US"/>
              </w:rPr>
              <w:t xml:space="preserve"> risk</w:t>
            </w:r>
            <w:r w:rsidR="006D7A5C">
              <w:rPr>
                <w:rFonts w:ascii="Verdana" w:hAnsi="Verdana" w:cstheme="minorHAnsi"/>
                <w:color w:val="7F7F7F" w:themeColor="text1" w:themeTint="80"/>
                <w:sz w:val="22"/>
                <w:szCs w:val="22"/>
                <w:lang w:val="en-US"/>
              </w:rPr>
              <w:t>s</w:t>
            </w:r>
            <w:r w:rsidR="006D7A5C" w:rsidRPr="003B5DBA">
              <w:rPr>
                <w:rFonts w:ascii="Verdana" w:hAnsi="Verdana" w:cstheme="minorHAnsi"/>
                <w:color w:val="7F7F7F" w:themeColor="text1" w:themeTint="80"/>
                <w:sz w:val="22"/>
                <w:szCs w:val="22"/>
                <w:lang w:val="en-US"/>
              </w:rPr>
              <w:t xml:space="preserve"> adding extra requirements and burden which </w:t>
            </w:r>
            <w:r w:rsidR="006D7A5C">
              <w:rPr>
                <w:rFonts w:ascii="Verdana" w:hAnsi="Verdana" w:cstheme="minorHAnsi"/>
                <w:color w:val="7F7F7F" w:themeColor="text1" w:themeTint="80"/>
                <w:sz w:val="22"/>
                <w:szCs w:val="22"/>
                <w:lang w:val="en-US"/>
              </w:rPr>
              <w:t>will</w:t>
            </w:r>
            <w:r w:rsidR="006D7A5C" w:rsidRPr="003B5DBA">
              <w:rPr>
                <w:rFonts w:ascii="Verdana" w:hAnsi="Verdana" w:cstheme="minorHAnsi"/>
                <w:color w:val="7F7F7F" w:themeColor="text1" w:themeTint="80"/>
                <w:sz w:val="22"/>
                <w:szCs w:val="22"/>
                <w:lang w:val="en-US"/>
              </w:rPr>
              <w:t xml:space="preserve"> </w:t>
            </w:r>
            <w:r w:rsidR="006D7A5C">
              <w:rPr>
                <w:rFonts w:ascii="Verdana" w:hAnsi="Verdana" w:cstheme="minorHAnsi"/>
                <w:color w:val="7F7F7F" w:themeColor="text1" w:themeTint="80"/>
                <w:sz w:val="22"/>
                <w:szCs w:val="22"/>
                <w:lang w:val="en-US"/>
              </w:rPr>
              <w:t xml:space="preserve">not only be </w:t>
            </w:r>
            <w:r w:rsidR="006D7A5C" w:rsidRPr="003B5DBA">
              <w:rPr>
                <w:rFonts w:ascii="Verdana" w:hAnsi="Verdana" w:cstheme="minorHAnsi"/>
                <w:color w:val="7F7F7F" w:themeColor="text1" w:themeTint="80"/>
                <w:sz w:val="22"/>
                <w:szCs w:val="22"/>
                <w:lang w:val="en-US"/>
              </w:rPr>
              <w:t xml:space="preserve">onerous to apply but </w:t>
            </w:r>
            <w:r w:rsidR="006D7A5C">
              <w:rPr>
                <w:rFonts w:ascii="Verdana" w:hAnsi="Verdana" w:cstheme="minorHAnsi"/>
                <w:color w:val="7F7F7F" w:themeColor="text1" w:themeTint="80"/>
                <w:sz w:val="22"/>
                <w:szCs w:val="22"/>
                <w:lang w:val="en-US"/>
              </w:rPr>
              <w:t xml:space="preserve">it will </w:t>
            </w:r>
            <w:r w:rsidR="006D7A5C" w:rsidRPr="003B5DBA">
              <w:rPr>
                <w:rFonts w:ascii="Verdana" w:hAnsi="Verdana" w:cstheme="minorHAnsi"/>
                <w:color w:val="7F7F7F" w:themeColor="text1" w:themeTint="80"/>
                <w:sz w:val="22"/>
                <w:szCs w:val="22"/>
                <w:lang w:val="en-US"/>
              </w:rPr>
              <w:t xml:space="preserve">also reduce the practical use of these measures. There is a need to ensure </w:t>
            </w:r>
            <w:r w:rsidR="006D7A5C">
              <w:rPr>
                <w:rFonts w:ascii="Verdana" w:hAnsi="Verdana" w:cstheme="minorHAnsi"/>
                <w:color w:val="7F7F7F" w:themeColor="text1" w:themeTint="80"/>
                <w:sz w:val="22"/>
                <w:szCs w:val="22"/>
                <w:lang w:val="en-US"/>
              </w:rPr>
              <w:t xml:space="preserve">that </w:t>
            </w:r>
            <w:r w:rsidR="006D7A5C" w:rsidRPr="003B5DBA">
              <w:rPr>
                <w:rFonts w:ascii="Verdana" w:hAnsi="Verdana" w:cstheme="minorHAnsi"/>
                <w:color w:val="7F7F7F" w:themeColor="text1" w:themeTint="80"/>
                <w:sz w:val="22"/>
                <w:szCs w:val="22"/>
                <w:lang w:val="en-US"/>
              </w:rPr>
              <w:t xml:space="preserve">the new long-term equity category works in practice so that the lower risk faced by insurers </w:t>
            </w:r>
            <w:r w:rsidR="006D7A5C">
              <w:rPr>
                <w:rFonts w:ascii="Verdana" w:hAnsi="Verdana" w:cstheme="minorHAnsi"/>
                <w:color w:val="7F7F7F" w:themeColor="text1" w:themeTint="80"/>
                <w:sz w:val="22"/>
                <w:szCs w:val="22"/>
                <w:lang w:val="en-US"/>
              </w:rPr>
              <w:t>investing in</w:t>
            </w:r>
            <w:r w:rsidR="006D7A5C" w:rsidRPr="003B5DBA">
              <w:rPr>
                <w:rFonts w:ascii="Verdana" w:hAnsi="Verdana" w:cstheme="minorHAnsi"/>
                <w:color w:val="7F7F7F" w:themeColor="text1" w:themeTint="80"/>
                <w:sz w:val="22"/>
                <w:szCs w:val="22"/>
                <w:lang w:val="en-US"/>
              </w:rPr>
              <w:t xml:space="preserve"> long-term </w:t>
            </w:r>
            <w:r w:rsidR="006D7A5C">
              <w:rPr>
                <w:rFonts w:ascii="Verdana" w:hAnsi="Verdana" w:cstheme="minorHAnsi"/>
                <w:color w:val="7F7F7F" w:themeColor="text1" w:themeTint="80"/>
                <w:sz w:val="22"/>
                <w:szCs w:val="22"/>
                <w:lang w:val="en-US"/>
              </w:rPr>
              <w:t>equity</w:t>
            </w:r>
            <w:r w:rsidR="006D7A5C" w:rsidRPr="003B5DBA">
              <w:rPr>
                <w:rFonts w:ascii="Verdana" w:hAnsi="Verdana" w:cstheme="minorHAnsi"/>
                <w:color w:val="7F7F7F" w:themeColor="text1" w:themeTint="80"/>
                <w:sz w:val="22"/>
                <w:szCs w:val="22"/>
                <w:lang w:val="en-US"/>
              </w:rPr>
              <w:t xml:space="preserve"> and related equity investments </w:t>
            </w:r>
            <w:r w:rsidR="006D7A5C">
              <w:rPr>
                <w:rFonts w:ascii="Verdana" w:hAnsi="Verdana" w:cstheme="minorHAnsi"/>
                <w:color w:val="7F7F7F" w:themeColor="text1" w:themeTint="80"/>
                <w:sz w:val="22"/>
                <w:szCs w:val="22"/>
                <w:lang w:val="en-US"/>
              </w:rPr>
              <w:t>are</w:t>
            </w:r>
            <w:r w:rsidR="006D7A5C" w:rsidRPr="003B5DBA">
              <w:rPr>
                <w:rFonts w:ascii="Verdana" w:hAnsi="Verdana" w:cstheme="minorHAnsi"/>
                <w:color w:val="7F7F7F" w:themeColor="text1" w:themeTint="80"/>
                <w:sz w:val="22"/>
                <w:szCs w:val="22"/>
                <w:lang w:val="en-US"/>
              </w:rPr>
              <w:t xml:space="preserve"> correctly captured and </w:t>
            </w:r>
            <w:r w:rsidR="006D7A5C">
              <w:rPr>
                <w:rFonts w:ascii="Verdana" w:hAnsi="Verdana" w:cstheme="minorHAnsi"/>
                <w:color w:val="7F7F7F" w:themeColor="text1" w:themeTint="80"/>
                <w:sz w:val="22"/>
                <w:szCs w:val="22"/>
                <w:lang w:val="en-US"/>
              </w:rPr>
              <w:t xml:space="preserve">the </w:t>
            </w:r>
            <w:r w:rsidR="006D7A5C" w:rsidRPr="003B5DBA">
              <w:rPr>
                <w:rFonts w:ascii="Verdana" w:hAnsi="Verdana" w:cstheme="minorHAnsi"/>
                <w:color w:val="7F7F7F" w:themeColor="text1" w:themeTint="80"/>
                <w:sz w:val="22"/>
                <w:szCs w:val="22"/>
                <w:lang w:val="en-US"/>
              </w:rPr>
              <w:t>barriers against investing in the real economy are reduced. Care must be taken in this area (and in fact all areas) to avoid adding s</w:t>
            </w:r>
            <w:r w:rsidR="006D7A5C">
              <w:rPr>
                <w:rFonts w:ascii="Verdana" w:hAnsi="Verdana" w:cstheme="minorHAnsi"/>
                <w:color w:val="7F7F7F" w:themeColor="text1" w:themeTint="80"/>
                <w:sz w:val="22"/>
                <w:szCs w:val="22"/>
                <w:lang w:val="en-US"/>
              </w:rPr>
              <w:t>uch</w:t>
            </w:r>
            <w:r w:rsidR="006D7A5C" w:rsidRPr="003B5DBA">
              <w:rPr>
                <w:rFonts w:ascii="Verdana" w:hAnsi="Verdana" w:cstheme="minorHAnsi"/>
                <w:color w:val="7F7F7F" w:themeColor="text1" w:themeTint="80"/>
                <w:sz w:val="22"/>
                <w:szCs w:val="22"/>
                <w:lang w:val="en-US"/>
              </w:rPr>
              <w:t xml:space="preserve"> constraining criteria that will result in </w:t>
            </w:r>
            <w:r w:rsidR="006D7A5C">
              <w:rPr>
                <w:rFonts w:ascii="Verdana" w:hAnsi="Verdana" w:cstheme="minorHAnsi"/>
                <w:color w:val="7F7F7F" w:themeColor="text1" w:themeTint="80"/>
                <w:sz w:val="22"/>
                <w:szCs w:val="22"/>
                <w:lang w:val="en-US"/>
              </w:rPr>
              <w:t xml:space="preserve">a </w:t>
            </w:r>
            <w:r w:rsidR="006D7A5C" w:rsidRPr="003B5DBA">
              <w:rPr>
                <w:rFonts w:ascii="Verdana" w:hAnsi="Verdana" w:cstheme="minorHAnsi"/>
                <w:color w:val="7F7F7F" w:themeColor="text1" w:themeTint="80"/>
                <w:sz w:val="22"/>
                <w:szCs w:val="22"/>
                <w:lang w:val="en-US"/>
              </w:rPr>
              <w:t>limited application</w:t>
            </w:r>
            <w:r w:rsidR="006D7A5C">
              <w:rPr>
                <w:rFonts w:ascii="Verdana" w:hAnsi="Verdana" w:cstheme="minorHAnsi"/>
                <w:color w:val="7F7F7F" w:themeColor="text1" w:themeTint="80"/>
                <w:sz w:val="22"/>
                <w:szCs w:val="22"/>
                <w:lang w:val="en-US"/>
              </w:rPr>
              <w:t xml:space="preserve"> of this new asset class</w:t>
            </w:r>
            <w:r w:rsidR="006D7A5C" w:rsidRPr="003B5DBA">
              <w:rPr>
                <w:rFonts w:ascii="Verdana" w:hAnsi="Verdana" w:cstheme="minorHAnsi"/>
                <w:color w:val="7F7F7F" w:themeColor="text1" w:themeTint="80"/>
                <w:sz w:val="22"/>
                <w:szCs w:val="22"/>
                <w:lang w:val="en-US"/>
              </w:rPr>
              <w:t>.</w:t>
            </w:r>
          </w:p>
          <w:p w14:paraId="71B630F8" w14:textId="77777777" w:rsidR="006D7A5C" w:rsidRPr="003B5DBA" w:rsidRDefault="006D7A5C" w:rsidP="00020B14">
            <w:pPr>
              <w:tabs>
                <w:tab w:val="left" w:pos="0"/>
                <w:tab w:val="left" w:pos="4536"/>
              </w:tabs>
              <w:rPr>
                <w:rFonts w:ascii="Verdana" w:hAnsi="Verdana"/>
                <w:color w:val="7F7F7F" w:themeColor="text1" w:themeTint="80"/>
                <w:sz w:val="22"/>
                <w:szCs w:val="22"/>
                <w:lang w:val="en-GB" w:eastAsia="fr-FR"/>
              </w:rPr>
            </w:pPr>
          </w:p>
          <w:p w14:paraId="75818ED4" w14:textId="77777777" w:rsidR="006D7A5C" w:rsidRPr="003B5DBA" w:rsidRDefault="006D7A5C" w:rsidP="00020B14">
            <w:pPr>
              <w:tabs>
                <w:tab w:val="left" w:pos="0"/>
                <w:tab w:val="left" w:pos="4536"/>
              </w:tabs>
              <w:rPr>
                <w:rFonts w:ascii="Verdana" w:hAnsi="Verdana"/>
                <w:color w:val="7F7F7F" w:themeColor="text1" w:themeTint="80"/>
                <w:sz w:val="22"/>
                <w:szCs w:val="22"/>
                <w:lang w:val="en-GB" w:eastAsia="fr-FR"/>
              </w:rPr>
            </w:pPr>
            <w:r w:rsidRPr="003B5DBA">
              <w:rPr>
                <w:rFonts w:ascii="Verdana" w:hAnsi="Verdana"/>
                <w:color w:val="7F7F7F" w:themeColor="text1" w:themeTint="80"/>
                <w:sz w:val="22"/>
                <w:szCs w:val="22"/>
                <w:lang w:val="en-GB" w:eastAsia="fr-FR"/>
              </w:rPr>
              <w:t>The use of excess returns (over the 10 years RFR) is not the appropriate measure to estimate losses, plain returns should be considered.</w:t>
            </w:r>
          </w:p>
          <w:p w14:paraId="6D49EE6F" w14:textId="1FC687BD" w:rsidR="00724EAC" w:rsidRPr="003B5DBA" w:rsidRDefault="006D7A5C" w:rsidP="00020B14">
            <w:pPr>
              <w:tabs>
                <w:tab w:val="left" w:pos="0"/>
                <w:tab w:val="left" w:pos="4536"/>
              </w:tabs>
              <w:rPr>
                <w:rFonts w:ascii="Verdana" w:hAnsi="Verdana"/>
                <w:color w:val="7F7F7F" w:themeColor="text1" w:themeTint="80"/>
                <w:sz w:val="22"/>
                <w:szCs w:val="22"/>
                <w:lang w:val="en-GB" w:eastAsia="fr-FR"/>
              </w:rPr>
            </w:pPr>
            <w:r w:rsidRPr="003B5DBA">
              <w:rPr>
                <w:rFonts w:ascii="Verdana" w:hAnsi="Verdana"/>
                <w:color w:val="7F7F7F" w:themeColor="text1" w:themeTint="80"/>
                <w:sz w:val="22"/>
                <w:szCs w:val="22"/>
                <w:lang w:val="en-GB" w:eastAsia="fr-FR"/>
              </w:rPr>
              <w:t>The use of the excess returns is generally used to compute risk-premiums that fuel the allocation between various asset classes and the comparison performed between expected risks and returns. However, the matter at hand is the estimation of the economic loss that may be faced in the case of an adverse market</w:t>
            </w:r>
            <w:r w:rsidR="00724EAC">
              <w:rPr>
                <w:rFonts w:ascii="Verdana" w:hAnsi="Verdana"/>
                <w:color w:val="7F7F7F" w:themeColor="text1" w:themeTint="80"/>
                <w:sz w:val="22"/>
                <w:szCs w:val="22"/>
                <w:lang w:val="en-GB" w:eastAsia="fr-FR"/>
              </w:rPr>
              <w:t xml:space="preserve"> on a 1-year term horizon basis</w:t>
            </w:r>
            <w:r w:rsidRPr="003B5DBA">
              <w:rPr>
                <w:rFonts w:ascii="Verdana" w:hAnsi="Verdana"/>
                <w:color w:val="7F7F7F" w:themeColor="text1" w:themeTint="80"/>
                <w:sz w:val="22"/>
                <w:szCs w:val="22"/>
                <w:lang w:val="en-GB" w:eastAsia="fr-FR"/>
              </w:rPr>
              <w:t>. In this case, looking at the risk premium is biased since the effectively registered loss is the loss in value of the underlying investment rather than the difference of return between two asset classes.</w:t>
            </w:r>
            <w:r w:rsidR="00724EAC">
              <w:rPr>
                <w:rFonts w:ascii="Verdana" w:hAnsi="Verdana"/>
                <w:color w:val="7F7F7F" w:themeColor="text1" w:themeTint="80"/>
                <w:sz w:val="22"/>
                <w:szCs w:val="22"/>
                <w:lang w:val="en-GB" w:eastAsia="fr-FR"/>
              </w:rPr>
              <w:t xml:space="preserve"> What is needed is a proper assessment of the maximum loss possibly to be faced on a long term basis “annualized” to take into account the one year term horizon </w:t>
            </w:r>
            <w:r w:rsidR="00E56DCF">
              <w:rPr>
                <w:rFonts w:ascii="Verdana" w:hAnsi="Verdana"/>
                <w:color w:val="7F7F7F" w:themeColor="text1" w:themeTint="80"/>
                <w:sz w:val="22"/>
                <w:szCs w:val="22"/>
                <w:lang w:val="en-GB" w:eastAsia="fr-FR"/>
              </w:rPr>
              <w:t>i.e.</w:t>
            </w:r>
            <w:r w:rsidR="00724EAC">
              <w:rPr>
                <w:rFonts w:ascii="Verdana" w:hAnsi="Verdana"/>
                <w:color w:val="7F7F7F" w:themeColor="text1" w:themeTint="80"/>
                <w:sz w:val="22"/>
                <w:szCs w:val="22"/>
                <w:lang w:val="en-GB" w:eastAsia="fr-FR"/>
              </w:rPr>
              <w:t xml:space="preserve"> the maximum loss attainable on a 1 year horizon term basis considering the ability to smooth performance when managing equity </w:t>
            </w:r>
            <w:r w:rsidR="00724EAC">
              <w:rPr>
                <w:rFonts w:ascii="Verdana" w:hAnsi="Verdana"/>
                <w:color w:val="7F7F7F" w:themeColor="text1" w:themeTint="80"/>
                <w:sz w:val="22"/>
                <w:szCs w:val="22"/>
                <w:lang w:val="en-GB" w:eastAsia="fr-FR"/>
              </w:rPr>
              <w:lastRenderedPageBreak/>
              <w:t>investment with a long term stance and considering the management actions in place and the ability to avoid forced sales.</w:t>
            </w:r>
          </w:p>
          <w:p w14:paraId="7A254516" w14:textId="20EB0276" w:rsidR="006D7A5C" w:rsidRPr="003B5DBA" w:rsidRDefault="006D7A5C" w:rsidP="00020B14">
            <w:pPr>
              <w:tabs>
                <w:tab w:val="left" w:pos="0"/>
                <w:tab w:val="left" w:pos="4536"/>
              </w:tabs>
              <w:rPr>
                <w:rFonts w:ascii="Verdana" w:hAnsi="Verdana"/>
                <w:color w:val="7F7F7F" w:themeColor="text1" w:themeTint="80"/>
                <w:sz w:val="22"/>
                <w:szCs w:val="22"/>
                <w:lang w:val="en-US" w:eastAsia="fr-FR"/>
              </w:rPr>
            </w:pPr>
            <w:r w:rsidRPr="003B5DBA">
              <w:rPr>
                <w:rFonts w:ascii="Verdana" w:hAnsi="Verdana"/>
                <w:color w:val="7F7F7F" w:themeColor="text1" w:themeTint="80"/>
                <w:sz w:val="22"/>
                <w:szCs w:val="22"/>
                <w:lang w:val="en-US" w:eastAsia="fr-FR"/>
              </w:rPr>
              <w:t>The following charts compares MSCI World and MSCI World excess returns over the 10-year US Treasury bond rate.</w:t>
            </w:r>
          </w:p>
          <w:p w14:paraId="02D863B8" w14:textId="77777777" w:rsidR="006D7A5C" w:rsidRPr="003B5DBA" w:rsidRDefault="006D7A5C" w:rsidP="00020B14">
            <w:pPr>
              <w:tabs>
                <w:tab w:val="left" w:pos="0"/>
                <w:tab w:val="left" w:pos="4536"/>
              </w:tabs>
              <w:rPr>
                <w:rFonts w:ascii="Verdana" w:hAnsi="Verdana"/>
                <w:color w:val="7F7F7F" w:themeColor="text1" w:themeTint="80"/>
                <w:sz w:val="22"/>
                <w:szCs w:val="22"/>
                <w:lang w:val="en-US" w:eastAsia="fr-FR"/>
              </w:rPr>
            </w:pPr>
            <w:r w:rsidRPr="003B5DBA">
              <w:rPr>
                <w:rFonts w:ascii="Verdana" w:hAnsi="Verdana"/>
                <w:color w:val="7F7F7F" w:themeColor="text1" w:themeTint="80"/>
                <w:sz w:val="22"/>
                <w:szCs w:val="22"/>
                <w:lang w:val="en-US" w:eastAsia="fr-FR"/>
              </w:rPr>
              <w:t xml:space="preserve"> </w:t>
            </w:r>
            <w:r w:rsidRPr="003B5DBA">
              <w:rPr>
                <w:rFonts w:ascii="Verdana" w:hAnsi="Verdana"/>
                <w:noProof/>
                <w:color w:val="7F7F7F" w:themeColor="text1" w:themeTint="80"/>
                <w:sz w:val="22"/>
                <w:szCs w:val="22"/>
                <w:lang w:val="en-GB" w:eastAsia="en-GB"/>
              </w:rPr>
              <w:drawing>
                <wp:inline distT="0" distB="0" distL="0" distR="0" wp14:anchorId="4AC55F5D" wp14:editId="10E84A01">
                  <wp:extent cx="4386635" cy="286294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95554" cy="2868766"/>
                          </a:xfrm>
                          <a:prstGeom prst="rect">
                            <a:avLst/>
                          </a:prstGeom>
                          <a:noFill/>
                        </pic:spPr>
                      </pic:pic>
                    </a:graphicData>
                  </a:graphic>
                </wp:inline>
              </w:drawing>
            </w:r>
          </w:p>
          <w:p w14:paraId="091AF156" w14:textId="42762DBC" w:rsidR="006D7A5C" w:rsidRPr="003B5DBA" w:rsidRDefault="006D7A5C" w:rsidP="00020B14">
            <w:pPr>
              <w:tabs>
                <w:tab w:val="left" w:pos="0"/>
                <w:tab w:val="left" w:pos="4536"/>
              </w:tabs>
              <w:spacing w:line="239" w:lineRule="auto"/>
              <w:ind w:right="6" w:hanging="565"/>
              <w:jc w:val="both"/>
              <w:rPr>
                <w:rFonts w:ascii="Verdana" w:eastAsia="Verdana" w:hAnsi="Verdana" w:cs="Verdana"/>
                <w:b/>
                <w:bCs/>
                <w:color w:val="7F7F7F" w:themeColor="text1" w:themeTint="80"/>
                <w:sz w:val="22"/>
                <w:szCs w:val="22"/>
                <w:lang w:val="en-US"/>
              </w:rPr>
            </w:pPr>
            <w:r w:rsidRPr="003B5DBA">
              <w:rPr>
                <w:rFonts w:ascii="Verdana" w:hAnsi="Verdana"/>
                <w:color w:val="7F7F7F" w:themeColor="text1" w:themeTint="80"/>
                <w:sz w:val="22"/>
                <w:szCs w:val="22"/>
                <w:lang w:val="en-US" w:eastAsia="fr-FR"/>
              </w:rPr>
              <w:t>The wide difference between those two indices advocates in our understanding for picking plain index in state of excess returns while measuring the effective economic exposure.</w:t>
            </w:r>
          </w:p>
        </w:tc>
        <w:tc>
          <w:tcPr>
            <w:tcW w:w="483" w:type="pct"/>
            <w:tcBorders>
              <w:top w:val="single" w:sz="4" w:space="0" w:color="auto"/>
              <w:left w:val="single" w:sz="4" w:space="0" w:color="auto"/>
              <w:bottom w:val="single" w:sz="4" w:space="0" w:color="auto"/>
              <w:right w:val="single" w:sz="4" w:space="0" w:color="auto"/>
            </w:tcBorders>
          </w:tcPr>
          <w:p w14:paraId="69A925BD" w14:textId="77777777" w:rsidR="006D7A5C" w:rsidRPr="00FE3045" w:rsidRDefault="006D7A5C" w:rsidP="00020B14">
            <w:pPr>
              <w:tabs>
                <w:tab w:val="left" w:pos="0"/>
                <w:tab w:val="left" w:pos="4536"/>
              </w:tabs>
              <w:ind w:left="-96"/>
              <w:rPr>
                <w:color w:val="000000"/>
                <w:sz w:val="22"/>
                <w:szCs w:val="22"/>
                <w:lang w:val="en-GB" w:eastAsia="fr-FR"/>
              </w:rPr>
            </w:pPr>
          </w:p>
        </w:tc>
      </w:tr>
      <w:tr w:rsidR="00FC5744" w:rsidRPr="001360A5" w14:paraId="06956535"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3D4DF24" w14:textId="065CCDD3" w:rsidR="006D7A5C" w:rsidRPr="00F0251A" w:rsidRDefault="006D7A5C" w:rsidP="00020B14">
            <w:pPr>
              <w:tabs>
                <w:tab w:val="left" w:pos="0"/>
                <w:tab w:val="left" w:pos="4536"/>
              </w:tabs>
              <w:ind w:left="-96"/>
              <w:rPr>
                <w:rFonts w:ascii="Verdana" w:hAnsi="Verdana"/>
                <w:color w:val="7F7F7F" w:themeColor="text1" w:themeTint="80"/>
                <w:sz w:val="22"/>
                <w:szCs w:val="22"/>
                <w:lang w:val="en-US" w:eastAsia="fr-FR"/>
              </w:rPr>
            </w:pPr>
            <w:r w:rsidRPr="00F0251A">
              <w:rPr>
                <w:rFonts w:ascii="Verdana" w:hAnsi="Verdana"/>
                <w:color w:val="7F7F7F" w:themeColor="text1" w:themeTint="80"/>
                <w:sz w:val="22"/>
                <w:szCs w:val="22"/>
                <w:lang w:val="en-US" w:eastAsia="fr-FR"/>
              </w:rPr>
              <w:lastRenderedPageBreak/>
              <w:t>2</w:t>
            </w:r>
          </w:p>
        </w:tc>
        <w:tc>
          <w:tcPr>
            <w:tcW w:w="506" w:type="pct"/>
            <w:gridSpan w:val="2"/>
            <w:tcBorders>
              <w:top w:val="single" w:sz="4" w:space="0" w:color="auto"/>
              <w:left w:val="single" w:sz="4" w:space="0" w:color="auto"/>
              <w:bottom w:val="single" w:sz="4" w:space="0" w:color="auto"/>
              <w:right w:val="single" w:sz="4" w:space="0" w:color="auto"/>
            </w:tcBorders>
          </w:tcPr>
          <w:p w14:paraId="48817086" w14:textId="45134FCE" w:rsidR="006D7A5C" w:rsidRPr="00F0251A" w:rsidRDefault="006D7A5C" w:rsidP="00020B14">
            <w:pPr>
              <w:tabs>
                <w:tab w:val="left" w:pos="0"/>
                <w:tab w:val="left" w:pos="4536"/>
              </w:tabs>
              <w:ind w:left="-96"/>
              <w:rPr>
                <w:rFonts w:ascii="Verdana" w:hAnsi="Verdana"/>
                <w:color w:val="7F7F7F" w:themeColor="text1" w:themeTint="80"/>
                <w:sz w:val="22"/>
                <w:szCs w:val="22"/>
                <w:lang w:val="en-GB" w:eastAsia="fr-FR"/>
              </w:rPr>
            </w:pPr>
            <w:r w:rsidRPr="008F70F8">
              <w:rPr>
                <w:rFonts w:ascii="Verdana" w:hAnsi="Verdana"/>
                <w:b/>
                <w:bCs/>
                <w:color w:val="7F7F7F" w:themeColor="text1" w:themeTint="80"/>
                <w:sz w:val="22"/>
                <w:szCs w:val="22"/>
                <w:lang w:val="en-GB" w:eastAsia="fr-FR"/>
              </w:rPr>
              <w:t>Question to stakeholder</w:t>
            </w:r>
            <w:r w:rsidRPr="000C1ED6">
              <w:rPr>
                <w:rFonts w:ascii="Verdana" w:hAnsi="Verdana"/>
                <w:b/>
                <w:bCs/>
                <w:color w:val="7F7F7F" w:themeColor="text1" w:themeTint="80"/>
                <w:sz w:val="22"/>
                <w:szCs w:val="22"/>
                <w:lang w:val="en-GB" w:eastAsia="fr-FR"/>
              </w:rPr>
              <w:t>s</w:t>
            </w:r>
          </w:p>
        </w:tc>
        <w:tc>
          <w:tcPr>
            <w:tcW w:w="1999" w:type="pct"/>
            <w:tcBorders>
              <w:top w:val="single" w:sz="4" w:space="0" w:color="auto"/>
              <w:left w:val="single" w:sz="4" w:space="0" w:color="auto"/>
              <w:bottom w:val="single" w:sz="4" w:space="0" w:color="auto"/>
              <w:right w:val="single" w:sz="4" w:space="0" w:color="auto"/>
            </w:tcBorders>
          </w:tcPr>
          <w:p w14:paraId="1A066302" w14:textId="6735D57C" w:rsidR="006D7A5C" w:rsidRPr="00C24334" w:rsidRDefault="006D7A5C" w:rsidP="00020B14">
            <w:pPr>
              <w:tabs>
                <w:tab w:val="left" w:pos="0"/>
                <w:tab w:val="left" w:pos="4536"/>
              </w:tabs>
              <w:spacing w:line="239" w:lineRule="auto"/>
              <w:ind w:right="6" w:hanging="565"/>
              <w:jc w:val="both"/>
              <w:rPr>
                <w:rFonts w:ascii="Verdana" w:eastAsia="Verdana" w:hAnsi="Verdana" w:cs="Verdana"/>
                <w:b/>
                <w:bCs/>
                <w:color w:val="7F7F7F" w:themeColor="text1" w:themeTint="80"/>
                <w:sz w:val="22"/>
                <w:szCs w:val="22"/>
                <w:lang w:val="en-US"/>
              </w:rPr>
            </w:pPr>
            <w:r w:rsidRPr="00C24334">
              <w:rPr>
                <w:rFonts w:ascii="Verdana" w:eastAsia="Verdana" w:hAnsi="Verdana" w:cs="Verdana"/>
                <w:b/>
                <w:bCs/>
                <w:color w:val="7F7F7F" w:themeColor="text1" w:themeTint="80"/>
                <w:sz w:val="22"/>
                <w:szCs w:val="22"/>
                <w:lang w:val="en-US"/>
              </w:rPr>
              <w:t>Q2.10: Should the correlation of risks between the participation and the participating undertaking be taken into account in determining whether a participation can benefit from the lower capital charge for strategic equity investment? Please explain your view.</w:t>
            </w:r>
          </w:p>
          <w:p w14:paraId="21F53FF8" w14:textId="77777777" w:rsidR="006D7A5C" w:rsidRPr="00823BC5" w:rsidRDefault="006D7A5C" w:rsidP="00020B14">
            <w:pPr>
              <w:tabs>
                <w:tab w:val="left" w:pos="0"/>
                <w:tab w:val="left" w:pos="4536"/>
              </w:tabs>
              <w:rPr>
                <w:rFonts w:ascii="Verdana" w:hAnsi="Verdana"/>
                <w:color w:val="7F7F7F" w:themeColor="text1" w:themeTint="80"/>
                <w:sz w:val="22"/>
                <w:szCs w:val="22"/>
                <w:lang w:val="en-GB"/>
              </w:rPr>
            </w:pPr>
            <w:r w:rsidRPr="00823BC5">
              <w:rPr>
                <w:rFonts w:ascii="Verdana" w:hAnsi="Verdana"/>
                <w:color w:val="7F7F7F" w:themeColor="text1" w:themeTint="80"/>
                <w:sz w:val="22"/>
                <w:szCs w:val="22"/>
                <w:lang w:val="en-GB"/>
              </w:rPr>
              <w:lastRenderedPageBreak/>
              <w:t>No. The correlation of risks is not the deciding factor whether the lower capital requirement can be applied or whether this is justified. If a risk perspective is to be applied, a look though approach could be used to evidence the lower capital requirement is justified. However, this should be applied in a proportionate manner in order not to increase the administrative burden.</w:t>
            </w:r>
          </w:p>
          <w:p w14:paraId="174BDD13" w14:textId="10978225" w:rsidR="006D7A5C" w:rsidRPr="00C24334" w:rsidRDefault="006D7A5C" w:rsidP="00020B14">
            <w:pPr>
              <w:tabs>
                <w:tab w:val="left" w:pos="0"/>
                <w:tab w:val="left" w:pos="4536"/>
              </w:tabs>
              <w:spacing w:line="239" w:lineRule="auto"/>
              <w:ind w:right="6" w:hanging="565"/>
              <w:jc w:val="both"/>
              <w:rPr>
                <w:color w:val="7F7F7F" w:themeColor="text1" w:themeTint="80"/>
                <w:sz w:val="22"/>
                <w:szCs w:val="22"/>
                <w:lang w:val="en-GB"/>
              </w:rPr>
            </w:pPr>
          </w:p>
          <w:p w14:paraId="28C695AE" w14:textId="77777777" w:rsidR="006D7A5C" w:rsidRPr="00C24334" w:rsidRDefault="006D7A5C" w:rsidP="00020B14">
            <w:pPr>
              <w:tabs>
                <w:tab w:val="left" w:pos="0"/>
                <w:tab w:val="left" w:pos="4536"/>
              </w:tabs>
              <w:spacing w:line="124" w:lineRule="exact"/>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6568F53F" w14:textId="77777777" w:rsidR="006D7A5C" w:rsidRPr="00FE3045" w:rsidRDefault="006D7A5C" w:rsidP="00020B14">
            <w:pPr>
              <w:tabs>
                <w:tab w:val="left" w:pos="0"/>
                <w:tab w:val="left" w:pos="4536"/>
              </w:tabs>
              <w:ind w:left="-96"/>
              <w:rPr>
                <w:color w:val="000000"/>
                <w:sz w:val="22"/>
                <w:szCs w:val="22"/>
                <w:lang w:val="en-GB" w:eastAsia="fr-FR"/>
              </w:rPr>
            </w:pPr>
          </w:p>
        </w:tc>
      </w:tr>
      <w:tr w:rsidR="00FC5744" w:rsidRPr="001360A5" w14:paraId="736C8463"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C584446" w14:textId="148B8ED5" w:rsidR="006D7A5C" w:rsidRPr="00F0251A" w:rsidRDefault="006D7A5C" w:rsidP="00020B14">
            <w:pPr>
              <w:tabs>
                <w:tab w:val="left" w:pos="0"/>
                <w:tab w:val="left" w:pos="4536"/>
              </w:tabs>
              <w:ind w:left="-96"/>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513FF6BD" w14:textId="6FD8E969" w:rsidR="006D7A5C" w:rsidRPr="005C0581" w:rsidRDefault="006D7A5C" w:rsidP="00020B14">
            <w:pPr>
              <w:tabs>
                <w:tab w:val="left" w:pos="0"/>
                <w:tab w:val="left" w:pos="4536"/>
              </w:tabs>
              <w:ind w:left="-96"/>
              <w:rPr>
                <w:rFonts w:ascii="Verdana" w:hAnsi="Verdana"/>
                <w:b/>
                <w:bCs/>
                <w:color w:val="7F7F7F" w:themeColor="text1" w:themeTint="80"/>
                <w:sz w:val="22"/>
                <w:szCs w:val="22"/>
                <w:lang w:val="en-GB" w:eastAsia="fr-FR"/>
              </w:rPr>
            </w:pPr>
            <w:r w:rsidRPr="005C0581">
              <w:rPr>
                <w:rFonts w:ascii="Verdana" w:hAnsi="Verdana"/>
                <w:b/>
                <w:bCs/>
                <w:color w:val="7F7F7F" w:themeColor="text1" w:themeTint="80"/>
                <w:sz w:val="22"/>
                <w:szCs w:val="22"/>
                <w:lang w:val="en-GB" w:eastAsia="fr-FR"/>
              </w:rPr>
              <w:t>Question to stakeholders</w:t>
            </w:r>
          </w:p>
        </w:tc>
        <w:tc>
          <w:tcPr>
            <w:tcW w:w="1999" w:type="pct"/>
            <w:tcBorders>
              <w:top w:val="single" w:sz="4" w:space="0" w:color="auto"/>
              <w:left w:val="single" w:sz="4" w:space="0" w:color="auto"/>
              <w:bottom w:val="single" w:sz="4" w:space="0" w:color="auto"/>
              <w:right w:val="single" w:sz="4" w:space="0" w:color="auto"/>
            </w:tcBorders>
          </w:tcPr>
          <w:p w14:paraId="3AACC5AC" w14:textId="2497E4F7" w:rsidR="006D7A5C" w:rsidRPr="00C24334" w:rsidRDefault="006D7A5C" w:rsidP="00020B14">
            <w:pPr>
              <w:tabs>
                <w:tab w:val="left" w:pos="0"/>
                <w:tab w:val="left" w:pos="4536"/>
              </w:tabs>
              <w:rPr>
                <w:rFonts w:ascii="Verdana" w:eastAsia="Verdana" w:hAnsi="Verdana" w:cs="Verdana"/>
                <w:b/>
                <w:bCs/>
                <w:color w:val="7F7F7F" w:themeColor="text1" w:themeTint="80"/>
                <w:sz w:val="22"/>
                <w:szCs w:val="22"/>
                <w:lang w:val="en-US"/>
              </w:rPr>
            </w:pPr>
            <w:r w:rsidRPr="00C24334">
              <w:rPr>
                <w:rFonts w:ascii="Verdana" w:eastAsia="Verdana" w:hAnsi="Verdana" w:cs="Verdana"/>
                <w:b/>
                <w:bCs/>
                <w:color w:val="7F7F7F" w:themeColor="text1" w:themeTint="80"/>
                <w:sz w:val="22"/>
                <w:szCs w:val="22"/>
                <w:lang w:val="en-US"/>
              </w:rPr>
              <w:t>Q2.11</w:t>
            </w:r>
            <w:r w:rsidRPr="00C24334">
              <w:rPr>
                <w:rFonts w:ascii="Verdana" w:eastAsia="Verdana" w:hAnsi="Verdana" w:cs="Verdana"/>
                <w:b/>
                <w:bCs/>
                <w:color w:val="7F7F7F" w:themeColor="text1" w:themeTint="80"/>
                <w:lang w:val="en-US"/>
              </w:rPr>
              <w:t xml:space="preserve">: </w:t>
            </w:r>
            <w:r w:rsidRPr="00C24334">
              <w:rPr>
                <w:rFonts w:ascii="Verdana" w:eastAsia="Verdana" w:hAnsi="Verdana" w:cs="Verdana"/>
                <w:b/>
                <w:bCs/>
                <w:color w:val="7F7F7F" w:themeColor="text1" w:themeTint="80"/>
                <w:sz w:val="22"/>
                <w:szCs w:val="22"/>
                <w:lang w:val="en-US"/>
              </w:rPr>
              <w:t>Considering the diversification of long-term equity risk with other risks: Do you have evidence to support any of the options set out in this section?</w:t>
            </w:r>
          </w:p>
          <w:p w14:paraId="112821BE" w14:textId="6DDA37FA" w:rsidR="006D7A5C" w:rsidRPr="00C24334" w:rsidRDefault="006D7A5C" w:rsidP="00020B14">
            <w:pPr>
              <w:tabs>
                <w:tab w:val="left" w:pos="0"/>
                <w:tab w:val="left" w:pos="4536"/>
              </w:tabs>
              <w:spacing w:line="238" w:lineRule="auto"/>
              <w:rPr>
                <w:rFonts w:ascii="Verdana" w:eastAsia="Verdana" w:hAnsi="Verdana" w:cs="Verdana"/>
                <w:b/>
                <w:bCs/>
                <w:color w:val="7F7F7F" w:themeColor="text1" w:themeTint="80"/>
                <w:sz w:val="22"/>
                <w:szCs w:val="22"/>
                <w:lang w:val="en-US"/>
              </w:rPr>
            </w:pPr>
            <w:r w:rsidRPr="00C24334">
              <w:rPr>
                <w:rFonts w:ascii="Verdana" w:eastAsia="Verdana" w:hAnsi="Verdana" w:cs="Verdana"/>
                <w:b/>
                <w:bCs/>
                <w:color w:val="7F7F7F" w:themeColor="text1" w:themeTint="80"/>
                <w:sz w:val="22"/>
                <w:szCs w:val="22"/>
                <w:lang w:val="en-US"/>
              </w:rPr>
              <w:t>If the answer is “Yes”, please elaborate on it.</w:t>
            </w:r>
          </w:p>
          <w:p w14:paraId="3F0B4695" w14:textId="77777777" w:rsidR="00724EAC" w:rsidRDefault="00724EAC" w:rsidP="00020B14">
            <w:pPr>
              <w:tabs>
                <w:tab w:val="left" w:pos="0"/>
                <w:tab w:val="left" w:pos="4536"/>
              </w:tabs>
              <w:spacing w:line="239" w:lineRule="auto"/>
              <w:ind w:right="6" w:hanging="565"/>
              <w:jc w:val="both"/>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That is not needed as this is shifting the perspective under which article 171a has been constructed and the way the modules and sub-modules are articulated for all risks in the Standard Formula.</w:t>
            </w:r>
          </w:p>
          <w:p w14:paraId="2E9FA12D" w14:textId="1E522F1C" w:rsidR="00724EAC" w:rsidRDefault="00724EAC" w:rsidP="00020B14">
            <w:pPr>
              <w:tabs>
                <w:tab w:val="left" w:pos="0"/>
                <w:tab w:val="left" w:pos="4536"/>
              </w:tabs>
              <w:spacing w:line="239" w:lineRule="auto"/>
              <w:ind w:right="6" w:hanging="565"/>
              <w:jc w:val="both"/>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 xml:space="preserve">The risk </w:t>
            </w:r>
            <w:r w:rsidR="00E56DCF">
              <w:rPr>
                <w:rFonts w:ascii="Verdana" w:hAnsi="Verdana"/>
                <w:color w:val="7F7F7F" w:themeColor="text1" w:themeTint="80"/>
                <w:sz w:val="22"/>
                <w:szCs w:val="22"/>
                <w:lang w:val="en-GB" w:eastAsia="fr-FR"/>
              </w:rPr>
              <w:t>under consideration</w:t>
            </w:r>
            <w:r>
              <w:rPr>
                <w:rFonts w:ascii="Verdana" w:hAnsi="Verdana"/>
                <w:color w:val="7F7F7F" w:themeColor="text1" w:themeTint="80"/>
                <w:sz w:val="22"/>
                <w:szCs w:val="22"/>
                <w:lang w:val="en-GB" w:eastAsia="fr-FR"/>
              </w:rPr>
              <w:t xml:space="preserve"> is still a risk that should be measured on a 1 year time horizon basis but considering the longer perspective under which the portfolio of equity is managed and that allows to smooth the performance/losses when the proper management actions and ability to avoid forced sales are in place.</w:t>
            </w:r>
          </w:p>
          <w:p w14:paraId="3CF711D1" w14:textId="77777777" w:rsidR="00724EAC" w:rsidRDefault="00724EAC" w:rsidP="00020B14">
            <w:pPr>
              <w:tabs>
                <w:tab w:val="left" w:pos="0"/>
                <w:tab w:val="left" w:pos="4536"/>
              </w:tabs>
              <w:spacing w:line="239" w:lineRule="auto"/>
              <w:ind w:right="6" w:hanging="565"/>
              <w:jc w:val="both"/>
              <w:rPr>
                <w:color w:val="7F7F7F" w:themeColor="text1" w:themeTint="80"/>
                <w:sz w:val="22"/>
                <w:szCs w:val="22"/>
                <w:lang w:val="en-US"/>
              </w:rPr>
            </w:pPr>
            <w:r>
              <w:rPr>
                <w:rFonts w:ascii="Verdana" w:hAnsi="Verdana"/>
                <w:color w:val="7F7F7F" w:themeColor="text1" w:themeTint="80"/>
                <w:sz w:val="22"/>
                <w:szCs w:val="22"/>
                <w:lang w:val="en-GB" w:eastAsia="fr-FR"/>
              </w:rPr>
              <w:t>One could either refer to an “annualized” or “conditional” VAR.</w:t>
            </w:r>
          </w:p>
          <w:p w14:paraId="1DE98B2D" w14:textId="77777777" w:rsidR="006D7A5C" w:rsidRPr="00C24334" w:rsidRDefault="006D7A5C" w:rsidP="00020B14">
            <w:pPr>
              <w:tabs>
                <w:tab w:val="left" w:pos="0"/>
                <w:tab w:val="left" w:pos="4536"/>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238D0103" w14:textId="77777777" w:rsidR="006D7A5C" w:rsidRPr="00FE3045" w:rsidRDefault="006D7A5C" w:rsidP="00020B14">
            <w:pPr>
              <w:tabs>
                <w:tab w:val="left" w:pos="0"/>
                <w:tab w:val="left" w:pos="4536"/>
              </w:tabs>
              <w:ind w:left="-96"/>
              <w:rPr>
                <w:color w:val="000000"/>
                <w:sz w:val="22"/>
                <w:szCs w:val="22"/>
                <w:lang w:val="en-GB" w:eastAsia="fr-FR"/>
              </w:rPr>
            </w:pPr>
          </w:p>
        </w:tc>
      </w:tr>
      <w:tr w:rsidR="00FC5744" w:rsidRPr="001360A5" w14:paraId="0C302EA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8E6A88F" w14:textId="5D6A3E82" w:rsidR="006D7A5C" w:rsidRPr="00F0251A" w:rsidRDefault="006D7A5C" w:rsidP="00020B14">
            <w:pPr>
              <w:tabs>
                <w:tab w:val="left" w:pos="0"/>
                <w:tab w:val="left" w:pos="4536"/>
              </w:tabs>
              <w:ind w:left="-96"/>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63DD2201" w14:textId="6AD19655" w:rsidR="006D7A5C" w:rsidRPr="005C0581" w:rsidRDefault="006D7A5C" w:rsidP="00020B14">
            <w:pPr>
              <w:tabs>
                <w:tab w:val="left" w:pos="0"/>
                <w:tab w:val="left" w:pos="4536"/>
              </w:tabs>
              <w:ind w:left="-96"/>
              <w:rPr>
                <w:rFonts w:ascii="Verdana" w:hAnsi="Verdana"/>
                <w:b/>
                <w:bCs/>
                <w:color w:val="7F7F7F" w:themeColor="text1" w:themeTint="80"/>
                <w:sz w:val="22"/>
                <w:szCs w:val="22"/>
                <w:lang w:val="en-GB" w:eastAsia="fr-FR"/>
              </w:rPr>
            </w:pPr>
            <w:r w:rsidRPr="005C0581">
              <w:rPr>
                <w:rFonts w:ascii="Verdana" w:hAnsi="Verdana"/>
                <w:b/>
                <w:bCs/>
                <w:color w:val="7F7F7F" w:themeColor="text1" w:themeTint="80"/>
                <w:sz w:val="22"/>
                <w:szCs w:val="22"/>
                <w:lang w:val="en-GB" w:eastAsia="fr-FR"/>
              </w:rPr>
              <w:t>Question to stakeholders</w:t>
            </w:r>
          </w:p>
        </w:tc>
        <w:tc>
          <w:tcPr>
            <w:tcW w:w="1999" w:type="pct"/>
            <w:tcBorders>
              <w:top w:val="single" w:sz="4" w:space="0" w:color="auto"/>
              <w:left w:val="single" w:sz="4" w:space="0" w:color="auto"/>
              <w:bottom w:val="single" w:sz="4" w:space="0" w:color="auto"/>
              <w:right w:val="single" w:sz="4" w:space="0" w:color="auto"/>
            </w:tcBorders>
          </w:tcPr>
          <w:p w14:paraId="120B4FA5" w14:textId="2849C92D" w:rsidR="006D7A5C" w:rsidRPr="00C24334" w:rsidRDefault="006D7A5C" w:rsidP="00020B14">
            <w:pPr>
              <w:tabs>
                <w:tab w:val="left" w:pos="0"/>
                <w:tab w:val="left" w:pos="4536"/>
              </w:tabs>
              <w:spacing w:line="239" w:lineRule="auto"/>
              <w:ind w:right="6" w:hanging="565"/>
              <w:jc w:val="both"/>
              <w:rPr>
                <w:rFonts w:ascii="Verdana" w:eastAsia="Verdana" w:hAnsi="Verdana" w:cs="Verdana"/>
                <w:b/>
                <w:bCs/>
                <w:color w:val="7F7F7F" w:themeColor="text1" w:themeTint="80"/>
                <w:sz w:val="22"/>
                <w:szCs w:val="22"/>
                <w:lang w:val="en-US"/>
              </w:rPr>
            </w:pPr>
            <w:r w:rsidRPr="00C24334">
              <w:rPr>
                <w:rFonts w:ascii="Verdana" w:eastAsia="Verdana" w:hAnsi="Verdana" w:cs="Verdana"/>
                <w:b/>
                <w:bCs/>
                <w:color w:val="7F7F7F" w:themeColor="text1" w:themeTint="80"/>
                <w:sz w:val="22"/>
                <w:szCs w:val="22"/>
                <w:lang w:val="en-US"/>
              </w:rPr>
              <w:t>Q2.12: Do you consider that the illiquidity of liabilities (and more broadly the characteristics of insurance business) are reflected in an appropriate manner in the current equity risk sub-module? If the answer is “No”, please elaborate on the changes that you deem necessary.</w:t>
            </w:r>
          </w:p>
          <w:p w14:paraId="31B77A0C" w14:textId="77777777" w:rsidR="006D7A5C" w:rsidRPr="00C24334" w:rsidRDefault="006D7A5C" w:rsidP="00020B14">
            <w:pPr>
              <w:tabs>
                <w:tab w:val="left" w:pos="0"/>
                <w:tab w:val="left" w:pos="4536"/>
              </w:tabs>
              <w:spacing w:line="239" w:lineRule="auto"/>
              <w:ind w:right="6" w:hanging="565"/>
              <w:jc w:val="both"/>
              <w:rPr>
                <w:rFonts w:ascii="Verdana" w:eastAsia="Verdana" w:hAnsi="Verdana" w:cs="Verdana"/>
                <w:color w:val="7F7F7F" w:themeColor="text1" w:themeTint="80"/>
                <w:sz w:val="22"/>
                <w:szCs w:val="22"/>
                <w:lang w:val="en-US"/>
              </w:rPr>
            </w:pPr>
          </w:p>
          <w:p w14:paraId="22E28BAA" w14:textId="77777777" w:rsidR="006D7A5C" w:rsidRPr="00C24334" w:rsidRDefault="006D7A5C" w:rsidP="00020B14">
            <w:pPr>
              <w:tabs>
                <w:tab w:val="left" w:pos="0"/>
                <w:tab w:val="left" w:pos="4536"/>
              </w:tabs>
              <w:rPr>
                <w:rFonts w:ascii="Verdana" w:hAnsi="Verdana"/>
                <w:color w:val="7F7F7F" w:themeColor="text1" w:themeTint="80"/>
                <w:sz w:val="22"/>
                <w:szCs w:val="22"/>
                <w:lang w:val="en-GB" w:eastAsia="fr-FR"/>
              </w:rPr>
            </w:pPr>
            <w:r w:rsidRPr="00C24334">
              <w:rPr>
                <w:rFonts w:ascii="Verdana" w:hAnsi="Verdana"/>
                <w:color w:val="7F7F7F" w:themeColor="text1" w:themeTint="80"/>
                <w:sz w:val="22"/>
                <w:szCs w:val="22"/>
                <w:lang w:val="en-GB" w:eastAsia="fr-FR"/>
              </w:rPr>
              <w:lastRenderedPageBreak/>
              <w:t>We consider the illiquidity of liabilities and the characteristics of insurance business to be insufficiently reflected in the current equity risk sub-module.</w:t>
            </w:r>
          </w:p>
          <w:p w14:paraId="6814B227" w14:textId="77777777" w:rsidR="006D7A5C" w:rsidRPr="00C24334" w:rsidRDefault="006D7A5C" w:rsidP="00020B14">
            <w:pPr>
              <w:tabs>
                <w:tab w:val="left" w:pos="0"/>
                <w:tab w:val="left" w:pos="4536"/>
              </w:tabs>
              <w:rPr>
                <w:rFonts w:ascii="Verdana" w:hAnsi="Verdana"/>
                <w:color w:val="7F7F7F" w:themeColor="text1" w:themeTint="80"/>
                <w:sz w:val="22"/>
                <w:szCs w:val="22"/>
                <w:lang w:val="en-GB" w:eastAsia="fr-FR"/>
              </w:rPr>
            </w:pPr>
          </w:p>
          <w:p w14:paraId="7D036140" w14:textId="0CB7BB07" w:rsidR="006D7A5C" w:rsidRPr="00C24334" w:rsidRDefault="006D7A5C" w:rsidP="00020B14">
            <w:pPr>
              <w:tabs>
                <w:tab w:val="left" w:pos="0"/>
                <w:tab w:val="left" w:pos="4536"/>
              </w:tabs>
              <w:rPr>
                <w:rFonts w:ascii="Verdana" w:hAnsi="Verdana"/>
                <w:color w:val="7F7F7F" w:themeColor="text1" w:themeTint="80"/>
                <w:sz w:val="22"/>
                <w:szCs w:val="22"/>
                <w:lang w:val="en-GB" w:eastAsia="fr-FR"/>
              </w:rPr>
            </w:pPr>
            <w:r w:rsidRPr="00C24334">
              <w:rPr>
                <w:rFonts w:ascii="Verdana" w:hAnsi="Verdana"/>
                <w:color w:val="7F7F7F" w:themeColor="text1" w:themeTint="80"/>
                <w:sz w:val="22"/>
                <w:szCs w:val="22"/>
                <w:lang w:val="en-GB" w:eastAsia="fr-FR"/>
              </w:rPr>
              <w:t xml:space="preserve">While we welcome the new article 171a that acknowledges the long-term stance insurers can take in their investment practices, we regret that the criteria set forth suffer some </w:t>
            </w:r>
            <w:r w:rsidR="001014C7">
              <w:rPr>
                <w:rFonts w:ascii="Verdana" w:hAnsi="Verdana"/>
                <w:color w:val="7F7F7F" w:themeColor="text1" w:themeTint="80"/>
                <w:sz w:val="22"/>
                <w:szCs w:val="22"/>
                <w:lang w:val="en-GB" w:eastAsia="fr-FR"/>
              </w:rPr>
              <w:t>deficiencies</w:t>
            </w:r>
            <w:r w:rsidRPr="00C24334">
              <w:rPr>
                <w:rFonts w:ascii="Verdana" w:hAnsi="Verdana"/>
                <w:color w:val="7F7F7F" w:themeColor="text1" w:themeTint="80"/>
                <w:sz w:val="22"/>
                <w:szCs w:val="22"/>
                <w:lang w:val="en-GB" w:eastAsia="fr-FR"/>
              </w:rPr>
              <w:t xml:space="preserve">. </w:t>
            </w:r>
            <w:bookmarkStart w:id="11" w:name="_Toc23944961"/>
          </w:p>
          <w:p w14:paraId="05B6C159" w14:textId="77777777" w:rsidR="006D7A5C" w:rsidRPr="00C24334" w:rsidRDefault="006D7A5C" w:rsidP="00020B14">
            <w:pPr>
              <w:tabs>
                <w:tab w:val="left" w:pos="0"/>
                <w:tab w:val="left" w:pos="4536"/>
              </w:tabs>
              <w:rPr>
                <w:rFonts w:ascii="Verdana" w:hAnsi="Verdana"/>
                <w:color w:val="7F7F7F" w:themeColor="text1" w:themeTint="80"/>
                <w:sz w:val="22"/>
                <w:szCs w:val="22"/>
                <w:lang w:val="en-GB" w:eastAsia="fr-FR"/>
              </w:rPr>
            </w:pPr>
          </w:p>
          <w:bookmarkEnd w:id="11"/>
          <w:p w14:paraId="4F2438CA" w14:textId="7F8EA2CD" w:rsidR="006D7A5C" w:rsidRPr="00C24334" w:rsidRDefault="002774D2" w:rsidP="00020B14">
            <w:pPr>
              <w:tabs>
                <w:tab w:val="left" w:pos="0"/>
                <w:tab w:val="left" w:pos="4536"/>
              </w:tabs>
              <w:rPr>
                <w:rFonts w:ascii="Verdana" w:hAnsi="Verdana"/>
                <w:color w:val="7F7F7F" w:themeColor="text1" w:themeTint="80"/>
                <w:sz w:val="22"/>
                <w:szCs w:val="22"/>
                <w:lang w:val="en-GB" w:eastAsia="fr-FR"/>
              </w:rPr>
            </w:pPr>
            <w:r>
              <w:rPr>
                <w:rFonts w:ascii="Verdana" w:hAnsi="Verdana" w:cs="Helvetica"/>
                <w:b/>
                <w:color w:val="7F7F7F" w:themeColor="text1" w:themeTint="80"/>
                <w:sz w:val="22"/>
                <w:szCs w:val="22"/>
                <w:lang w:val="en-US"/>
              </w:rPr>
              <w:t>Including equity investment backing own funds in the portfolio of equity eligible to Article 171a</w:t>
            </w:r>
          </w:p>
          <w:p w14:paraId="3BA385D5" w14:textId="77777777" w:rsidR="006D7A5C" w:rsidRPr="00C24334" w:rsidRDefault="006D7A5C" w:rsidP="00020B14">
            <w:pPr>
              <w:tabs>
                <w:tab w:val="left" w:pos="0"/>
                <w:tab w:val="left" w:pos="4536"/>
              </w:tabs>
              <w:spacing w:after="120"/>
              <w:jc w:val="both"/>
              <w:rPr>
                <w:rFonts w:ascii="Verdana" w:hAnsi="Verdana" w:cs="Helvetica"/>
                <w:b/>
                <w:color w:val="7F7F7F" w:themeColor="text1" w:themeTint="80"/>
                <w:sz w:val="22"/>
                <w:szCs w:val="22"/>
                <w:lang w:val="en-US"/>
              </w:rPr>
            </w:pPr>
            <w:r w:rsidRPr="00C24334">
              <w:rPr>
                <w:rFonts w:ascii="Verdana" w:hAnsi="Verdana" w:cs="Helvetica"/>
                <w:color w:val="7F7F7F" w:themeColor="text1" w:themeTint="80"/>
                <w:sz w:val="22"/>
                <w:szCs w:val="22"/>
                <w:lang w:val="en-US"/>
              </w:rPr>
              <w:t xml:space="preserve">The condition confining the assignment of LTEI to the coverage of best estimates as stated in Article 171a-1(b) should be amended and completed in order to accommodate the additional situation of insurance undertakings with LTEI backing own funds. </w:t>
            </w:r>
            <w:r w:rsidRPr="00C24334">
              <w:rPr>
                <w:rFonts w:ascii="Verdana" w:hAnsi="Verdana" w:cs="Helvetica"/>
                <w:b/>
                <w:color w:val="7F7F7F" w:themeColor="text1" w:themeTint="80"/>
                <w:sz w:val="22"/>
                <w:szCs w:val="22"/>
                <w:lang w:val="en-US"/>
              </w:rPr>
              <w:t>At the very least, free surplus investments should get that latitude.</w:t>
            </w:r>
          </w:p>
          <w:p w14:paraId="0B521E2A" w14:textId="77777777" w:rsidR="006D7A5C" w:rsidRPr="00C24334" w:rsidRDefault="006D7A5C" w:rsidP="00020B14">
            <w:pPr>
              <w:tabs>
                <w:tab w:val="left" w:pos="0"/>
                <w:tab w:val="left" w:pos="4536"/>
              </w:tabs>
              <w:spacing w:before="120" w:after="120"/>
              <w:jc w:val="both"/>
              <w:rPr>
                <w:rFonts w:ascii="Verdana" w:hAnsi="Verdana" w:cs="Helvetica"/>
                <w:color w:val="7F7F7F" w:themeColor="text1" w:themeTint="80"/>
                <w:sz w:val="22"/>
                <w:szCs w:val="22"/>
                <w:lang w:val="en-US"/>
              </w:rPr>
            </w:pPr>
            <w:r w:rsidRPr="00C24334">
              <w:rPr>
                <w:rFonts w:ascii="Verdana" w:hAnsi="Verdana" w:cs="Helvetica"/>
                <w:color w:val="7F7F7F" w:themeColor="text1" w:themeTint="80"/>
                <w:sz w:val="22"/>
                <w:szCs w:val="22"/>
                <w:lang w:val="en-US"/>
              </w:rPr>
              <w:t>The current wording of 171a-1(b) is to be maintained where segregations of assets or liabilities exist within an insurance undertaking’s balance sheet. In case of segregated funds, each fund should be scrutinized with regards to its own characteristics and constraints to check whether it meets the conditions of eligibility to LTEI. Likewise, where own funds are managed separately from technical provisions, they form a fund that should be analyzed against LTEI eligibility conditions.</w:t>
            </w:r>
          </w:p>
          <w:p w14:paraId="685BE64E" w14:textId="77777777" w:rsidR="006D7A5C" w:rsidRPr="00C24334" w:rsidRDefault="006D7A5C" w:rsidP="00020B14">
            <w:pPr>
              <w:tabs>
                <w:tab w:val="left" w:pos="0"/>
                <w:tab w:val="left" w:pos="4536"/>
              </w:tabs>
              <w:jc w:val="both"/>
              <w:rPr>
                <w:rFonts w:ascii="Verdana" w:hAnsi="Verdana" w:cs="Helvetica"/>
                <w:color w:val="7F7F7F" w:themeColor="text1" w:themeTint="80"/>
                <w:sz w:val="22"/>
                <w:szCs w:val="22"/>
                <w:lang w:val="en-US"/>
              </w:rPr>
            </w:pPr>
            <w:r w:rsidRPr="00C24334">
              <w:rPr>
                <w:rFonts w:ascii="Verdana" w:hAnsi="Verdana" w:cs="Helvetica"/>
                <w:color w:val="7F7F7F" w:themeColor="text1" w:themeTint="80"/>
                <w:sz w:val="22"/>
                <w:szCs w:val="22"/>
                <w:lang w:val="en-US"/>
              </w:rPr>
              <w:t xml:space="preserve">For undertakings exercising ALM across the entire set of liabilities and assets as one pool on each side of the balance sheet, the analysis should be performed at this global level with no sub-set delineation of any sort. In this case, equity investments backing insurance liabilities as well as </w:t>
            </w:r>
            <w:r w:rsidRPr="00C24334">
              <w:rPr>
                <w:rFonts w:ascii="Verdana" w:hAnsi="Verdana" w:cs="Helvetica"/>
                <w:color w:val="7F7F7F" w:themeColor="text1" w:themeTint="80"/>
                <w:sz w:val="22"/>
                <w:szCs w:val="22"/>
                <w:lang w:val="en-US"/>
              </w:rPr>
              <w:lastRenderedPageBreak/>
              <w:t xml:space="preserve">own funds should be perused for eligibility to the reduced equity shock against LTEI conditions at global level. </w:t>
            </w:r>
          </w:p>
          <w:p w14:paraId="289F2F41" w14:textId="77777777" w:rsidR="006D7A5C" w:rsidRPr="00C24334" w:rsidRDefault="006D7A5C" w:rsidP="00020B14">
            <w:pPr>
              <w:pStyle w:val="Heading1"/>
              <w:numPr>
                <w:ilvl w:val="0"/>
                <w:numId w:val="0"/>
              </w:numPr>
              <w:tabs>
                <w:tab w:val="left" w:pos="0"/>
                <w:tab w:val="left" w:pos="4536"/>
              </w:tabs>
              <w:overflowPunct w:val="0"/>
              <w:autoSpaceDE w:val="0"/>
              <w:autoSpaceDN w:val="0"/>
              <w:adjustRightInd w:val="0"/>
              <w:spacing w:after="0"/>
              <w:textAlignment w:val="baseline"/>
              <w:rPr>
                <w:rFonts w:ascii="Verdana" w:hAnsi="Verdana" w:cs="Helvetica"/>
                <w:color w:val="7F7F7F" w:themeColor="text1" w:themeTint="80"/>
                <w:sz w:val="22"/>
                <w:szCs w:val="22"/>
                <w:lang w:val="en-US"/>
              </w:rPr>
            </w:pPr>
            <w:bookmarkStart w:id="12" w:name="_Toc23944962"/>
            <w:r w:rsidRPr="00C24334">
              <w:rPr>
                <w:rFonts w:ascii="Verdana" w:hAnsi="Verdana" w:cs="Helvetica"/>
                <w:color w:val="7F7F7F" w:themeColor="text1" w:themeTint="80"/>
                <w:sz w:val="22"/>
                <w:szCs w:val="22"/>
                <w:lang w:val="en-US"/>
              </w:rPr>
              <w:t>Allowance for the diversity of ALM strategies</w:t>
            </w:r>
            <w:bookmarkEnd w:id="12"/>
          </w:p>
          <w:p w14:paraId="7DE4A02F" w14:textId="77777777" w:rsidR="006D7A5C" w:rsidRPr="00C24334" w:rsidRDefault="006D7A5C" w:rsidP="00020B14">
            <w:pPr>
              <w:tabs>
                <w:tab w:val="left" w:pos="0"/>
                <w:tab w:val="left" w:pos="4536"/>
              </w:tabs>
              <w:spacing w:after="120"/>
              <w:jc w:val="both"/>
              <w:rPr>
                <w:rFonts w:ascii="Verdana" w:hAnsi="Verdana" w:cs="Helvetica"/>
                <w:color w:val="7F7F7F" w:themeColor="text1" w:themeTint="80"/>
                <w:sz w:val="22"/>
                <w:szCs w:val="22"/>
                <w:lang w:val="en-US"/>
              </w:rPr>
            </w:pPr>
            <w:r w:rsidRPr="00C24334">
              <w:rPr>
                <w:rFonts w:ascii="Verdana" w:hAnsi="Verdana" w:cs="Helvetica"/>
                <w:color w:val="7F7F7F" w:themeColor="text1" w:themeTint="80"/>
                <w:sz w:val="22"/>
                <w:szCs w:val="22"/>
                <w:lang w:val="en-US"/>
              </w:rPr>
              <w:t>Undertakings managing their balance sheets at a global diversified level with pooled assets and pooled liabilities are taking advantage of optimization effects that enhance risk diversification and management of risks where no specific requirement are impeding this core insurance ability. Therefore, Article 171a-1(c) and Article 171a-1(d) are not applicable to them.</w:t>
            </w:r>
          </w:p>
          <w:p w14:paraId="46E22788" w14:textId="77777777" w:rsidR="006D7A5C" w:rsidRPr="00C24334" w:rsidRDefault="006D7A5C" w:rsidP="00020B14">
            <w:pPr>
              <w:tabs>
                <w:tab w:val="left" w:pos="0"/>
                <w:tab w:val="left" w:pos="4536"/>
              </w:tabs>
              <w:jc w:val="both"/>
              <w:rPr>
                <w:rFonts w:ascii="Verdana" w:hAnsi="Verdana" w:cs="Helvetica"/>
                <w:color w:val="7F7F7F" w:themeColor="text1" w:themeTint="80"/>
                <w:sz w:val="22"/>
                <w:szCs w:val="22"/>
                <w:lang w:val="en-US"/>
              </w:rPr>
            </w:pPr>
            <w:r w:rsidRPr="00C24334">
              <w:rPr>
                <w:rFonts w:ascii="Verdana" w:hAnsi="Verdana" w:cs="Helvetica"/>
                <w:color w:val="7F7F7F" w:themeColor="text1" w:themeTint="80"/>
                <w:sz w:val="22"/>
                <w:szCs w:val="22"/>
                <w:lang w:val="en-US"/>
              </w:rPr>
              <w:t>For insurance undertakings where segregations of assets or liabilities exist (a feature that can have different sources like product design, law requirement, risk appetite and ALM choice) article 171a1(c) and 171a-1(d) are applicable.</w:t>
            </w:r>
          </w:p>
          <w:p w14:paraId="6D135B01" w14:textId="77777777" w:rsidR="006D7A5C" w:rsidRPr="00C24334" w:rsidRDefault="006D7A5C" w:rsidP="00020B14">
            <w:pPr>
              <w:pStyle w:val="Heading1"/>
              <w:numPr>
                <w:ilvl w:val="0"/>
                <w:numId w:val="0"/>
              </w:numPr>
              <w:tabs>
                <w:tab w:val="left" w:pos="0"/>
                <w:tab w:val="left" w:pos="4536"/>
              </w:tabs>
              <w:overflowPunct w:val="0"/>
              <w:autoSpaceDE w:val="0"/>
              <w:autoSpaceDN w:val="0"/>
              <w:adjustRightInd w:val="0"/>
              <w:spacing w:after="120"/>
              <w:textAlignment w:val="baseline"/>
              <w:rPr>
                <w:rFonts w:ascii="Verdana" w:hAnsi="Verdana" w:cs="Helvetica"/>
                <w:color w:val="7F7F7F" w:themeColor="text1" w:themeTint="80"/>
                <w:sz w:val="22"/>
                <w:szCs w:val="22"/>
                <w:lang w:val="en-US"/>
              </w:rPr>
            </w:pPr>
            <w:bookmarkStart w:id="13" w:name="_Toc23944963"/>
            <w:r w:rsidRPr="00C24334">
              <w:rPr>
                <w:rFonts w:ascii="Verdana" w:hAnsi="Verdana" w:cs="Helvetica"/>
                <w:color w:val="7F7F7F" w:themeColor="text1" w:themeTint="80"/>
                <w:sz w:val="22"/>
                <w:szCs w:val="22"/>
                <w:lang w:val="en-US"/>
              </w:rPr>
              <w:t>Moving from an ex post average holding period to an ex ante capacity of holding</w:t>
            </w:r>
            <w:bookmarkEnd w:id="13"/>
          </w:p>
          <w:p w14:paraId="1A9723F6" w14:textId="20F9ADEE" w:rsidR="006D7A5C" w:rsidRPr="00C24334" w:rsidRDefault="006D7A5C" w:rsidP="00020B14">
            <w:pPr>
              <w:tabs>
                <w:tab w:val="left" w:pos="0"/>
                <w:tab w:val="left" w:pos="4536"/>
              </w:tabs>
              <w:spacing w:after="120"/>
              <w:jc w:val="both"/>
              <w:rPr>
                <w:rFonts w:ascii="Verdana" w:hAnsi="Verdana" w:cs="Helvetica"/>
                <w:color w:val="7F7F7F" w:themeColor="text1" w:themeTint="80"/>
                <w:sz w:val="22"/>
                <w:szCs w:val="22"/>
                <w:lang w:val="en-US"/>
              </w:rPr>
            </w:pPr>
            <w:r w:rsidRPr="00C24334">
              <w:rPr>
                <w:rFonts w:ascii="Verdana" w:hAnsi="Verdana" w:cs="Helvetica"/>
                <w:color w:val="7F7F7F" w:themeColor="text1" w:themeTint="80"/>
                <w:sz w:val="22"/>
                <w:szCs w:val="22"/>
                <w:lang w:val="en-US"/>
              </w:rPr>
              <w:t xml:space="preserve">The current ex post assessment criterion is unduly challenging to comply with </w:t>
            </w:r>
            <w:r w:rsidR="002774D2">
              <w:rPr>
                <w:rFonts w:ascii="Verdana" w:hAnsi="Verdana" w:cs="Helvetica"/>
                <w:color w:val="7F7F7F" w:themeColor="text1" w:themeTint="80"/>
                <w:sz w:val="22"/>
                <w:szCs w:val="22"/>
                <w:lang w:val="en-US"/>
              </w:rPr>
              <w:t xml:space="preserve">on top of being potentially volatile </w:t>
            </w:r>
            <w:r w:rsidRPr="00C24334">
              <w:rPr>
                <w:rFonts w:ascii="Verdana" w:hAnsi="Verdana" w:cs="Helvetica"/>
                <w:color w:val="7F7F7F" w:themeColor="text1" w:themeTint="80"/>
                <w:sz w:val="22"/>
                <w:szCs w:val="22"/>
                <w:lang w:val="en-US"/>
              </w:rPr>
              <w:t xml:space="preserve">and would advantageously be assessed ex ante. Any ex post average duration will depend on many parameters that cannot be </w:t>
            </w:r>
            <w:r w:rsidR="002774D2">
              <w:rPr>
                <w:rFonts w:ascii="Verdana" w:hAnsi="Verdana" w:cs="Helvetica"/>
                <w:color w:val="7F7F7F" w:themeColor="text1" w:themeTint="80"/>
                <w:sz w:val="22"/>
                <w:szCs w:val="22"/>
                <w:lang w:val="en-US"/>
              </w:rPr>
              <w:t>factored</w:t>
            </w:r>
            <w:r w:rsidR="002774D2" w:rsidRPr="00C24334">
              <w:rPr>
                <w:rFonts w:ascii="Verdana" w:hAnsi="Verdana" w:cs="Helvetica"/>
                <w:color w:val="7F7F7F" w:themeColor="text1" w:themeTint="80"/>
                <w:sz w:val="22"/>
                <w:szCs w:val="22"/>
                <w:lang w:val="en-US"/>
              </w:rPr>
              <w:t xml:space="preserve"> </w:t>
            </w:r>
            <w:r w:rsidRPr="00C24334">
              <w:rPr>
                <w:rFonts w:ascii="Verdana" w:hAnsi="Verdana" w:cs="Helvetica"/>
                <w:color w:val="7F7F7F" w:themeColor="text1" w:themeTint="80"/>
                <w:sz w:val="22"/>
                <w:szCs w:val="22"/>
                <w:lang w:val="en-US"/>
              </w:rPr>
              <w:t xml:space="preserve">into one single value. </w:t>
            </w:r>
          </w:p>
          <w:p w14:paraId="334B4BBE" w14:textId="39D8F3B9" w:rsidR="006D7A5C" w:rsidRPr="00C24334" w:rsidRDefault="006D7A5C" w:rsidP="00020B14">
            <w:pPr>
              <w:tabs>
                <w:tab w:val="left" w:pos="0"/>
                <w:tab w:val="left" w:pos="4536"/>
              </w:tabs>
              <w:spacing w:before="120" w:after="120"/>
              <w:jc w:val="both"/>
              <w:rPr>
                <w:rFonts w:ascii="Verdana" w:hAnsi="Verdana" w:cs="Helvetica"/>
                <w:color w:val="7F7F7F" w:themeColor="text1" w:themeTint="80"/>
                <w:sz w:val="22"/>
                <w:szCs w:val="22"/>
                <w:lang w:val="en-US"/>
              </w:rPr>
            </w:pPr>
            <w:r w:rsidRPr="00C24334">
              <w:rPr>
                <w:rFonts w:ascii="Verdana" w:hAnsi="Verdana" w:cs="Helvetica"/>
                <w:b/>
                <w:color w:val="7F7F7F" w:themeColor="text1" w:themeTint="80"/>
                <w:sz w:val="22"/>
                <w:szCs w:val="22"/>
                <w:lang w:val="en-US"/>
              </w:rPr>
              <w:t xml:space="preserve">The </w:t>
            </w:r>
            <w:r w:rsidRPr="00C24334">
              <w:rPr>
                <w:rFonts w:ascii="Verdana" w:hAnsi="Verdana" w:cs="Helvetica"/>
                <w:b/>
                <w:i/>
                <w:color w:val="7F7F7F" w:themeColor="text1" w:themeTint="80"/>
                <w:sz w:val="22"/>
                <w:szCs w:val="22"/>
                <w:lang w:val="en-US"/>
              </w:rPr>
              <w:t xml:space="preserve">ex-ante </w:t>
            </w:r>
            <w:r w:rsidRPr="00C24334">
              <w:rPr>
                <w:rFonts w:ascii="Verdana" w:hAnsi="Verdana" w:cs="Helvetica"/>
                <w:b/>
                <w:color w:val="7F7F7F" w:themeColor="text1" w:themeTint="80"/>
                <w:sz w:val="22"/>
                <w:szCs w:val="22"/>
                <w:lang w:val="en-US"/>
              </w:rPr>
              <w:t>holding period is appreciated beforehand through the capacity of investors to effectively detain equity investments for a long time, and notably avoid any sale at a loss</w:t>
            </w:r>
            <w:r w:rsidRPr="00C24334">
              <w:rPr>
                <w:rFonts w:ascii="Verdana" w:hAnsi="Verdana" w:cs="Helvetica"/>
                <w:color w:val="7F7F7F" w:themeColor="text1" w:themeTint="80"/>
                <w:sz w:val="22"/>
                <w:szCs w:val="22"/>
                <w:lang w:val="en-US"/>
              </w:rPr>
              <w:t xml:space="preserve">. Let us note that an </w:t>
            </w:r>
            <w:r w:rsidRPr="00C24334">
              <w:rPr>
                <w:rFonts w:ascii="Verdana" w:hAnsi="Verdana" w:cs="Helvetica"/>
                <w:i/>
                <w:color w:val="7F7F7F" w:themeColor="text1" w:themeTint="80"/>
                <w:sz w:val="22"/>
                <w:szCs w:val="22"/>
                <w:lang w:val="en-US"/>
              </w:rPr>
              <w:t>ex ante</w:t>
            </w:r>
            <w:r w:rsidRPr="00C24334">
              <w:rPr>
                <w:rFonts w:ascii="Verdana" w:hAnsi="Verdana" w:cs="Helvetica"/>
                <w:color w:val="7F7F7F" w:themeColor="text1" w:themeTint="80"/>
                <w:sz w:val="22"/>
                <w:szCs w:val="22"/>
                <w:lang w:val="en-US"/>
              </w:rPr>
              <w:t xml:space="preserve"> approach would be consistent with the other criterion set in the article paragraph (g) and (h).</w:t>
            </w:r>
            <w:r w:rsidR="002774D2">
              <w:rPr>
                <w:rFonts w:ascii="Verdana" w:hAnsi="Verdana" w:cs="Helvetica"/>
                <w:color w:val="7F7F7F" w:themeColor="text1" w:themeTint="80"/>
                <w:sz w:val="22"/>
                <w:szCs w:val="22"/>
                <w:lang w:val="en-US"/>
              </w:rPr>
              <w:t xml:space="preserve"> It should also be noted that selling equities with a gain should be seen as a risk but rather is a good practice </w:t>
            </w:r>
            <w:r w:rsidR="002774D2">
              <w:rPr>
                <w:rFonts w:ascii="Verdana" w:hAnsi="Verdana" w:cs="Helvetica"/>
                <w:color w:val="7F7F7F" w:themeColor="text1" w:themeTint="80"/>
                <w:sz w:val="22"/>
                <w:szCs w:val="22"/>
                <w:lang w:val="en-US"/>
              </w:rPr>
              <w:lastRenderedPageBreak/>
              <w:t>of smoothing performance over time as well as avoiding the development of bubbles.</w:t>
            </w:r>
          </w:p>
          <w:p w14:paraId="6AA5746A" w14:textId="77777777" w:rsidR="006D7A5C" w:rsidRPr="00C24334" w:rsidRDefault="006D7A5C" w:rsidP="00020B14">
            <w:pPr>
              <w:tabs>
                <w:tab w:val="left" w:pos="0"/>
                <w:tab w:val="left" w:pos="4536"/>
              </w:tabs>
              <w:spacing w:before="120" w:after="120"/>
              <w:jc w:val="both"/>
              <w:rPr>
                <w:rFonts w:ascii="Verdana" w:hAnsi="Verdana" w:cs="Helvetica"/>
                <w:color w:val="7F7F7F" w:themeColor="text1" w:themeTint="80"/>
                <w:sz w:val="22"/>
                <w:szCs w:val="22"/>
                <w:lang w:val="en-US"/>
              </w:rPr>
            </w:pPr>
            <w:r w:rsidRPr="00C24334">
              <w:rPr>
                <w:rFonts w:ascii="Verdana" w:hAnsi="Verdana" w:cs="Helvetica"/>
                <w:color w:val="7F7F7F" w:themeColor="text1" w:themeTint="80"/>
                <w:sz w:val="22"/>
                <w:szCs w:val="22"/>
                <w:lang w:val="en-US"/>
              </w:rPr>
              <w:t xml:space="preserve">On top of not being a good instrument to measure risk, any criterion based on an ex post average holding period will be a source of potential strong volatility. </w:t>
            </w:r>
          </w:p>
          <w:p w14:paraId="686FEFC8" w14:textId="77777777" w:rsidR="006D7A5C" w:rsidRPr="00C24334" w:rsidRDefault="006D7A5C" w:rsidP="00020B14">
            <w:pPr>
              <w:tabs>
                <w:tab w:val="left" w:pos="0"/>
                <w:tab w:val="left" w:pos="4536"/>
              </w:tabs>
              <w:spacing w:after="120"/>
              <w:jc w:val="both"/>
              <w:rPr>
                <w:rFonts w:ascii="Verdana" w:hAnsi="Verdana" w:cs="Helvetica"/>
                <w:color w:val="7F7F7F" w:themeColor="text1" w:themeTint="80"/>
                <w:sz w:val="22"/>
                <w:szCs w:val="22"/>
                <w:lang w:val="en-US"/>
              </w:rPr>
            </w:pPr>
            <w:r w:rsidRPr="00C24334">
              <w:rPr>
                <w:rFonts w:ascii="Verdana" w:hAnsi="Verdana" w:cs="Helvetica"/>
                <w:color w:val="7F7F7F" w:themeColor="text1" w:themeTint="80"/>
                <w:sz w:val="22"/>
                <w:szCs w:val="22"/>
                <w:lang w:val="en-US"/>
              </w:rPr>
              <w:t xml:space="preserve">We would suggest to change this criterion with the following. </w:t>
            </w:r>
            <w:r w:rsidRPr="00C24334">
              <w:rPr>
                <w:rFonts w:ascii="Verdana" w:hAnsi="Verdana" w:cs="Helvetica"/>
                <w:b/>
                <w:i/>
                <w:color w:val="7F7F7F" w:themeColor="text1" w:themeTint="80"/>
                <w:sz w:val="22"/>
                <w:szCs w:val="22"/>
                <w:lang w:val="en-US"/>
              </w:rPr>
              <w:t>“The average holding period may be appreciated through effective economic exposure as demonstrated in the prudential balance sheet track record over the last five years”</w:t>
            </w:r>
            <w:r w:rsidRPr="00C24334">
              <w:rPr>
                <w:rFonts w:ascii="Verdana" w:hAnsi="Verdana" w:cs="Helvetica"/>
                <w:color w:val="7F7F7F" w:themeColor="text1" w:themeTint="80"/>
                <w:sz w:val="22"/>
                <w:szCs w:val="22"/>
                <w:lang w:val="en-US"/>
              </w:rPr>
              <w:t>.</w:t>
            </w:r>
          </w:p>
          <w:p w14:paraId="294EAD5D" w14:textId="0BFE08BD" w:rsidR="006D7A5C" w:rsidRPr="00C24334" w:rsidRDefault="006D7A5C" w:rsidP="00020B14">
            <w:pPr>
              <w:tabs>
                <w:tab w:val="left" w:pos="0"/>
                <w:tab w:val="left" w:pos="4536"/>
              </w:tabs>
              <w:spacing w:after="120"/>
              <w:jc w:val="both"/>
              <w:rPr>
                <w:rFonts w:ascii="Verdana" w:hAnsi="Verdana" w:cs="Helvetica"/>
                <w:color w:val="7F7F7F" w:themeColor="text1" w:themeTint="80"/>
                <w:sz w:val="22"/>
                <w:szCs w:val="22"/>
                <w:lang w:val="en-US"/>
              </w:rPr>
            </w:pPr>
            <w:r w:rsidRPr="00C24334">
              <w:rPr>
                <w:rFonts w:ascii="Verdana" w:hAnsi="Verdana" w:cs="Helvetica"/>
                <w:color w:val="7F7F7F" w:themeColor="text1" w:themeTint="80"/>
                <w:sz w:val="22"/>
                <w:szCs w:val="22"/>
                <w:lang w:val="en-US"/>
              </w:rPr>
              <w:t xml:space="preserve">Undertakings would be required to demonstrate thanks to their balance sheet track records the proportion of equity investments they effectively hold in their investments. </w:t>
            </w:r>
            <w:r w:rsidRPr="00C24334">
              <w:rPr>
                <w:rFonts w:ascii="Verdana" w:hAnsi="Verdana" w:cs="Helvetica"/>
                <w:b/>
                <w:color w:val="7F7F7F" w:themeColor="text1" w:themeTint="80"/>
                <w:sz w:val="22"/>
                <w:szCs w:val="22"/>
                <w:lang w:val="en-US"/>
              </w:rPr>
              <w:t>This formulation would present the advantage of operational simplicity and rely on the prudential balance sheet rather than on an ad-hoc volatile and potentially unreliable indicator</w:t>
            </w:r>
            <w:r w:rsidRPr="00C24334">
              <w:rPr>
                <w:rFonts w:ascii="Verdana" w:hAnsi="Verdana" w:cs="Helvetica"/>
                <w:color w:val="7F7F7F" w:themeColor="text1" w:themeTint="80"/>
                <w:sz w:val="22"/>
                <w:szCs w:val="22"/>
                <w:lang w:val="en-US"/>
              </w:rPr>
              <w:t>.</w:t>
            </w:r>
          </w:p>
          <w:p w14:paraId="4A5D9D3B" w14:textId="77777777" w:rsidR="006D7A5C" w:rsidRPr="00C24334" w:rsidRDefault="006D7A5C" w:rsidP="00020B14">
            <w:pPr>
              <w:tabs>
                <w:tab w:val="left" w:pos="0"/>
                <w:tab w:val="left" w:pos="4536"/>
              </w:tabs>
              <w:jc w:val="both"/>
              <w:rPr>
                <w:rFonts w:ascii="Verdana" w:hAnsi="Verdana" w:cs="Helvetica"/>
                <w:b/>
                <w:color w:val="7F7F7F" w:themeColor="text1" w:themeTint="80"/>
                <w:sz w:val="22"/>
                <w:szCs w:val="22"/>
                <w:lang w:val="en-US"/>
              </w:rPr>
            </w:pPr>
            <w:bookmarkStart w:id="14" w:name="_Toc21719318"/>
            <w:r w:rsidRPr="00C24334">
              <w:rPr>
                <w:rFonts w:ascii="Verdana" w:hAnsi="Verdana" w:cs="Helvetica"/>
                <w:color w:val="7F7F7F" w:themeColor="text1" w:themeTint="80"/>
                <w:sz w:val="22"/>
                <w:szCs w:val="22"/>
                <w:lang w:val="en-US"/>
              </w:rPr>
              <w:t xml:space="preserve">However, in order to avoid artificial effects due to the instantaneous snapshot of the balance sheet (e.g. an undertaking made a movement on the 31/12/N and reverses it on the 01/01/N+1), </w:t>
            </w:r>
            <w:r w:rsidRPr="00823BC5">
              <w:rPr>
                <w:rFonts w:ascii="Verdana" w:hAnsi="Verdana" w:cs="Helvetica"/>
                <w:b/>
                <w:bCs/>
                <w:color w:val="7F7F7F" w:themeColor="text1" w:themeTint="80"/>
                <w:sz w:val="22"/>
                <w:szCs w:val="22"/>
                <w:lang w:val="en-US"/>
              </w:rPr>
              <w:t>an undertaking should use its strategic asset allocation in lieu of the effective exposure when it is not deemed to reflect the long term strategy of the undertaking</w:t>
            </w:r>
            <w:r w:rsidRPr="00C24334">
              <w:rPr>
                <w:rFonts w:ascii="Verdana" w:hAnsi="Verdana" w:cs="Helvetica"/>
                <w:color w:val="7F7F7F" w:themeColor="text1" w:themeTint="80"/>
                <w:sz w:val="22"/>
                <w:szCs w:val="22"/>
                <w:lang w:val="en-US"/>
              </w:rPr>
              <w:t>, provided it complies with a liquidity test (see below).</w:t>
            </w:r>
            <w:bookmarkEnd w:id="14"/>
          </w:p>
          <w:p w14:paraId="0465AF1D" w14:textId="77777777" w:rsidR="006D7A5C" w:rsidRPr="00C24334" w:rsidRDefault="006D7A5C" w:rsidP="00020B14">
            <w:pPr>
              <w:pStyle w:val="Heading1"/>
              <w:numPr>
                <w:ilvl w:val="0"/>
                <w:numId w:val="0"/>
              </w:numPr>
              <w:tabs>
                <w:tab w:val="left" w:pos="0"/>
                <w:tab w:val="left" w:pos="4536"/>
              </w:tabs>
              <w:overflowPunct w:val="0"/>
              <w:autoSpaceDE w:val="0"/>
              <w:autoSpaceDN w:val="0"/>
              <w:adjustRightInd w:val="0"/>
              <w:spacing w:after="0"/>
              <w:textAlignment w:val="baseline"/>
              <w:rPr>
                <w:rFonts w:ascii="Verdana" w:hAnsi="Verdana" w:cs="Helvetica"/>
                <w:color w:val="7F7F7F" w:themeColor="text1" w:themeTint="80"/>
                <w:sz w:val="22"/>
                <w:szCs w:val="22"/>
                <w:lang w:val="en-US"/>
              </w:rPr>
            </w:pPr>
            <w:bookmarkStart w:id="15" w:name="_Toc23944964"/>
            <w:r w:rsidRPr="00C24334">
              <w:rPr>
                <w:rFonts w:ascii="Verdana" w:hAnsi="Verdana" w:cs="Helvetica"/>
                <w:color w:val="7F7F7F" w:themeColor="text1" w:themeTint="80"/>
                <w:sz w:val="22"/>
                <w:szCs w:val="22"/>
                <w:lang w:val="en-US"/>
              </w:rPr>
              <w:t>Improving the assessment of forced sales</w:t>
            </w:r>
            <w:bookmarkEnd w:id="15"/>
          </w:p>
          <w:p w14:paraId="4BFB945F" w14:textId="112EB0A7" w:rsidR="006D7A5C" w:rsidRPr="00C24334" w:rsidRDefault="006D7A5C" w:rsidP="00020B14">
            <w:pPr>
              <w:tabs>
                <w:tab w:val="left" w:pos="0"/>
                <w:tab w:val="left" w:pos="4536"/>
              </w:tabs>
              <w:spacing w:after="120"/>
              <w:jc w:val="both"/>
              <w:rPr>
                <w:rFonts w:ascii="Verdana" w:hAnsi="Verdana" w:cs="Helvetica"/>
                <w:b/>
                <w:color w:val="7F7F7F" w:themeColor="text1" w:themeTint="80"/>
                <w:sz w:val="22"/>
                <w:szCs w:val="22"/>
                <w:lang w:val="en-US"/>
              </w:rPr>
            </w:pPr>
            <w:r w:rsidRPr="00C24334">
              <w:rPr>
                <w:rFonts w:ascii="Verdana" w:hAnsi="Verdana" w:cs="Helvetica"/>
                <w:color w:val="7F7F7F" w:themeColor="text1" w:themeTint="80"/>
                <w:sz w:val="22"/>
                <w:szCs w:val="22"/>
                <w:lang w:val="en-US"/>
              </w:rPr>
              <w:t xml:space="preserve">Article 171a-1(g) should establish how to demonstrate the ability to avoid forced sales. We suggest to resort to the liquidity test proposed by AMICE </w:t>
            </w:r>
            <w:r w:rsidRPr="00C24334">
              <w:rPr>
                <w:rFonts w:ascii="Verdana" w:hAnsi="Verdana" w:cs="Helvetica"/>
                <w:color w:val="7F7F7F" w:themeColor="text1" w:themeTint="80"/>
                <w:sz w:val="22"/>
                <w:szCs w:val="22"/>
                <w:lang w:val="en-US"/>
              </w:rPr>
              <w:lastRenderedPageBreak/>
              <w:t xml:space="preserve">for LTGA review 2020 (see Appendix </w:t>
            </w:r>
            <w:r w:rsidR="002774D2">
              <w:rPr>
                <w:rFonts w:ascii="Verdana" w:hAnsi="Verdana" w:cs="Helvetica"/>
                <w:color w:val="7F7F7F" w:themeColor="text1" w:themeTint="80"/>
                <w:sz w:val="22"/>
                <w:szCs w:val="22"/>
                <w:lang w:val="en-US"/>
              </w:rPr>
              <w:t>2</w:t>
            </w:r>
            <w:r w:rsidRPr="00C24334">
              <w:rPr>
                <w:rFonts w:ascii="Verdana" w:hAnsi="Verdana" w:cs="Helvetica"/>
                <w:color w:val="7F7F7F" w:themeColor="text1" w:themeTint="80"/>
                <w:sz w:val="22"/>
                <w:szCs w:val="22"/>
                <w:lang w:val="en-US"/>
              </w:rPr>
              <w:t>) based on a 10% risk level for a duration of five years.</w:t>
            </w:r>
          </w:p>
          <w:p w14:paraId="0D77DA21" w14:textId="77777777" w:rsidR="006D7A5C" w:rsidRPr="00C24334" w:rsidRDefault="006D7A5C" w:rsidP="00020B14">
            <w:pPr>
              <w:tabs>
                <w:tab w:val="left" w:pos="0"/>
                <w:tab w:val="left" w:pos="4536"/>
              </w:tabs>
              <w:spacing w:after="120"/>
              <w:jc w:val="both"/>
              <w:rPr>
                <w:rFonts w:ascii="Verdana" w:hAnsi="Verdana" w:cs="Helvetica"/>
                <w:b/>
                <w:color w:val="7F7F7F" w:themeColor="text1" w:themeTint="80"/>
                <w:sz w:val="22"/>
                <w:szCs w:val="22"/>
                <w:lang w:val="en-US"/>
              </w:rPr>
            </w:pPr>
            <w:r w:rsidRPr="00C24334">
              <w:rPr>
                <w:rFonts w:ascii="Verdana" w:hAnsi="Verdana" w:cs="Helvetica"/>
                <w:color w:val="7F7F7F" w:themeColor="text1" w:themeTint="80"/>
                <w:sz w:val="22"/>
                <w:szCs w:val="22"/>
                <w:lang w:val="en-US"/>
              </w:rPr>
              <w:t xml:space="preserve">Undertakings should demonstrate on the base of the liquidity test their capacity to avoid a 39% or 49% loss and to hold their equity investments for better market conditions at least for five years in order to wait. </w:t>
            </w:r>
          </w:p>
          <w:p w14:paraId="49F7E0C1" w14:textId="77777777" w:rsidR="006D7A5C" w:rsidRPr="00C24334" w:rsidRDefault="006D7A5C" w:rsidP="00020B14">
            <w:pPr>
              <w:tabs>
                <w:tab w:val="left" w:pos="0"/>
                <w:tab w:val="left" w:pos="4536"/>
              </w:tabs>
              <w:rPr>
                <w:rFonts w:ascii="Verdana" w:hAnsi="Verdana" w:cs="Helvetica"/>
                <w:color w:val="7F7F7F" w:themeColor="text1" w:themeTint="80"/>
                <w:sz w:val="22"/>
                <w:szCs w:val="22"/>
                <w:lang w:val="en-US"/>
              </w:rPr>
            </w:pPr>
            <w:r w:rsidRPr="00C24334">
              <w:rPr>
                <w:rFonts w:ascii="Verdana" w:hAnsi="Verdana" w:cs="Helvetica"/>
                <w:b/>
                <w:color w:val="7F7F7F" w:themeColor="text1" w:themeTint="80"/>
                <w:sz w:val="22"/>
                <w:szCs w:val="22"/>
                <w:lang w:val="en-US"/>
              </w:rPr>
              <w:t>The liquidity test has to be applied to the strategic asset allocation</w:t>
            </w:r>
            <w:r w:rsidRPr="00C24334">
              <w:rPr>
                <w:rFonts w:ascii="Verdana" w:hAnsi="Verdana" w:cs="Helvetica"/>
                <w:color w:val="7F7F7F" w:themeColor="text1" w:themeTint="80"/>
                <w:sz w:val="22"/>
                <w:szCs w:val="22"/>
                <w:lang w:val="en-US"/>
              </w:rPr>
              <w:t>, when the undertaking anticipates a deviation between the observed past allocations and future allocations. This allows to align the amount of investments eligible to LTEI reduced capital charge in line with the effective anticipated risk profile of the company.</w:t>
            </w:r>
          </w:p>
          <w:p w14:paraId="356E7913" w14:textId="77777777" w:rsidR="006D7A5C" w:rsidRPr="00C24334" w:rsidRDefault="006D7A5C" w:rsidP="00020B14">
            <w:pPr>
              <w:tabs>
                <w:tab w:val="left" w:pos="0"/>
                <w:tab w:val="left" w:pos="4536"/>
              </w:tabs>
              <w:rPr>
                <w:rFonts w:ascii="Verdana" w:hAnsi="Verdana"/>
                <w:i/>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6A279947" w14:textId="77777777" w:rsidR="006D7A5C" w:rsidRPr="00FE3045" w:rsidRDefault="006D7A5C" w:rsidP="00020B14">
            <w:pPr>
              <w:tabs>
                <w:tab w:val="left" w:pos="0"/>
                <w:tab w:val="left" w:pos="4536"/>
              </w:tabs>
              <w:ind w:left="-96"/>
              <w:rPr>
                <w:color w:val="000000"/>
                <w:sz w:val="22"/>
                <w:szCs w:val="22"/>
                <w:lang w:val="en-GB" w:eastAsia="fr-FR"/>
              </w:rPr>
            </w:pPr>
          </w:p>
        </w:tc>
      </w:tr>
      <w:tr w:rsidR="00FC5744" w:rsidRPr="001360A5" w14:paraId="269FDBE4"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788896C" w14:textId="5DC37AF0" w:rsidR="006D7A5C" w:rsidRPr="00F0251A" w:rsidRDefault="006D7A5C"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lastRenderedPageBreak/>
              <w:t>2</w:t>
            </w:r>
          </w:p>
        </w:tc>
        <w:tc>
          <w:tcPr>
            <w:tcW w:w="506" w:type="pct"/>
            <w:gridSpan w:val="2"/>
            <w:tcBorders>
              <w:top w:val="single" w:sz="4" w:space="0" w:color="auto"/>
              <w:left w:val="single" w:sz="4" w:space="0" w:color="auto"/>
              <w:bottom w:val="single" w:sz="4" w:space="0" w:color="auto"/>
              <w:right w:val="single" w:sz="4" w:space="0" w:color="auto"/>
            </w:tcBorders>
          </w:tcPr>
          <w:p w14:paraId="7C0CD4BD" w14:textId="6FEE5306" w:rsidR="006D7A5C" w:rsidRPr="00F0251A" w:rsidRDefault="006D7A5C"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850</w:t>
            </w:r>
          </w:p>
        </w:tc>
        <w:tc>
          <w:tcPr>
            <w:tcW w:w="1999" w:type="pct"/>
            <w:tcBorders>
              <w:top w:val="single" w:sz="4" w:space="0" w:color="auto"/>
              <w:left w:val="single" w:sz="4" w:space="0" w:color="auto"/>
              <w:bottom w:val="single" w:sz="4" w:space="0" w:color="auto"/>
              <w:right w:val="single" w:sz="4" w:space="0" w:color="auto"/>
            </w:tcBorders>
          </w:tcPr>
          <w:p w14:paraId="0F2F39A9" w14:textId="7076530C" w:rsidR="006D7A5C" w:rsidRPr="00E107F2" w:rsidRDefault="006D7A5C" w:rsidP="00020B14">
            <w:pPr>
              <w:pStyle w:val="ListParagraph"/>
              <w:tabs>
                <w:tab w:val="left" w:pos="0"/>
                <w:tab w:val="left" w:pos="4536"/>
              </w:tabs>
              <w:ind w:left="0"/>
              <w:jc w:val="both"/>
              <w:rPr>
                <w:rFonts w:ascii="Verdana" w:hAnsi="Verdana"/>
                <w:color w:val="7F7F7F" w:themeColor="text1" w:themeTint="80"/>
                <w:lang w:val="en-GB"/>
              </w:rPr>
            </w:pPr>
            <w:r w:rsidRPr="00E107F2">
              <w:rPr>
                <w:rFonts w:ascii="Verdana" w:hAnsi="Verdana"/>
                <w:color w:val="7F7F7F" w:themeColor="text1" w:themeTint="80"/>
                <w:lang w:val="en-GB"/>
              </w:rPr>
              <w:t xml:space="preserve">EIOPA states that </w:t>
            </w:r>
            <w:r>
              <w:rPr>
                <w:rFonts w:ascii="Verdana" w:hAnsi="Verdana"/>
                <w:color w:val="7F7F7F" w:themeColor="text1" w:themeTint="80"/>
                <w:lang w:val="en-GB"/>
              </w:rPr>
              <w:t>a</w:t>
            </w:r>
            <w:r w:rsidRPr="00E107F2">
              <w:rPr>
                <w:rFonts w:ascii="Verdana" w:hAnsi="Verdana"/>
                <w:color w:val="7F7F7F" w:themeColor="text1" w:themeTint="80"/>
                <w:lang w:val="en-GB"/>
              </w:rPr>
              <w:t>ccording to the Commission staff working document, the set-up of the Long-term equity asset class (</w:t>
            </w:r>
            <w:r>
              <w:rPr>
                <w:rFonts w:ascii="Verdana" w:hAnsi="Verdana"/>
                <w:color w:val="7F7F7F" w:themeColor="text1" w:themeTint="80"/>
                <w:lang w:val="en-GB"/>
              </w:rPr>
              <w:t xml:space="preserve">i.e. </w:t>
            </w:r>
            <w:r w:rsidRPr="00E107F2">
              <w:rPr>
                <w:rFonts w:ascii="Verdana" w:hAnsi="Verdana"/>
                <w:color w:val="7F7F7F" w:themeColor="text1" w:themeTint="80"/>
                <w:lang w:val="en-GB"/>
              </w:rPr>
              <w:t>LTE</w:t>
            </w:r>
            <w:r>
              <w:rPr>
                <w:rFonts w:ascii="Verdana" w:hAnsi="Verdana"/>
                <w:color w:val="7F7F7F" w:themeColor="text1" w:themeTint="80"/>
                <w:lang w:val="en-GB"/>
              </w:rPr>
              <w:t>I</w:t>
            </w:r>
            <w:r w:rsidRPr="00E107F2">
              <w:rPr>
                <w:rFonts w:ascii="Verdana" w:hAnsi="Verdana"/>
                <w:color w:val="7F7F7F" w:themeColor="text1" w:themeTint="80"/>
                <w:lang w:val="en-GB"/>
              </w:rPr>
              <w:t>) is an extension of the reduced capital charge (22 percent) applicable to</w:t>
            </w:r>
            <w:r w:rsidRPr="00E107F2">
              <w:rPr>
                <w:color w:val="7F7F7F" w:themeColor="text1" w:themeTint="80"/>
                <w:lang w:val="en-GB"/>
              </w:rPr>
              <w:t xml:space="preserve"> </w:t>
            </w:r>
            <w:r w:rsidRPr="00E107F2">
              <w:rPr>
                <w:rFonts w:ascii="Verdana" w:hAnsi="Verdana"/>
                <w:color w:val="7F7F7F" w:themeColor="text1" w:themeTint="80"/>
                <w:lang w:val="en-GB"/>
              </w:rPr>
              <w:t>the DBER to long term investment in equity of EEA meeting certain criteria. </w:t>
            </w:r>
          </w:p>
          <w:p w14:paraId="21C3B3DB" w14:textId="77777777" w:rsidR="006D7A5C" w:rsidRDefault="006D7A5C" w:rsidP="00020B14">
            <w:pPr>
              <w:pStyle w:val="ListParagraph"/>
              <w:tabs>
                <w:tab w:val="left" w:pos="0"/>
                <w:tab w:val="left" w:pos="4536"/>
              </w:tabs>
              <w:ind w:left="0"/>
              <w:jc w:val="both"/>
              <w:rPr>
                <w:lang w:val="en-GB"/>
              </w:rPr>
            </w:pPr>
          </w:p>
          <w:p w14:paraId="6BD79985" w14:textId="18C3FBD4" w:rsidR="006D7A5C" w:rsidRPr="00BC5904" w:rsidRDefault="006D7A5C" w:rsidP="00020B14">
            <w:pPr>
              <w:pStyle w:val="ListParagraph"/>
              <w:tabs>
                <w:tab w:val="left" w:pos="0"/>
                <w:tab w:val="left" w:pos="4536"/>
              </w:tabs>
              <w:ind w:left="0"/>
              <w:jc w:val="both"/>
              <w:rPr>
                <w:rFonts w:ascii="Verdana" w:hAnsi="Verdana"/>
                <w:color w:val="7F7F7F" w:themeColor="text1" w:themeTint="80"/>
                <w:lang w:val="en-GB"/>
              </w:rPr>
            </w:pPr>
            <w:r w:rsidRPr="00BC5904">
              <w:rPr>
                <w:rFonts w:ascii="Verdana" w:hAnsi="Verdana"/>
                <w:color w:val="7F7F7F" w:themeColor="text1" w:themeTint="80"/>
                <w:lang w:val="en-GB"/>
              </w:rPr>
              <w:t xml:space="preserve">The Commission staff working document </w:t>
            </w:r>
            <w:r>
              <w:rPr>
                <w:rFonts w:ascii="Verdana" w:hAnsi="Verdana"/>
                <w:color w:val="7F7F7F" w:themeColor="text1" w:themeTint="80"/>
                <w:lang w:val="en-GB"/>
              </w:rPr>
              <w:t xml:space="preserve">also </w:t>
            </w:r>
            <w:r w:rsidRPr="00BC5904">
              <w:rPr>
                <w:rFonts w:ascii="Verdana" w:hAnsi="Verdana"/>
                <w:color w:val="7F7F7F" w:themeColor="text1" w:themeTint="80"/>
                <w:lang w:val="en-GB"/>
              </w:rPr>
              <w:t xml:space="preserve">mentions that </w:t>
            </w:r>
            <w:r>
              <w:rPr>
                <w:rFonts w:ascii="Verdana" w:hAnsi="Verdana"/>
                <w:color w:val="7F7F7F" w:themeColor="text1" w:themeTint="80"/>
                <w:lang w:val="en-GB"/>
              </w:rPr>
              <w:t>t</w:t>
            </w:r>
            <w:r w:rsidRPr="00BC5904">
              <w:rPr>
                <w:rFonts w:ascii="Verdana" w:hAnsi="Verdana"/>
                <w:color w:val="7F7F7F" w:themeColor="text1" w:themeTint="80"/>
                <w:lang w:val="en-GB"/>
              </w:rPr>
              <w:t xml:space="preserve">aking into account the requests from some Member States and from the European Parliament, the reduced capital charge (22%) applicable to the duration-based equity sub-module will be extended to long-term investments in equity of EEA companies meeting certain criteria. </w:t>
            </w:r>
          </w:p>
          <w:p w14:paraId="49296FAA" w14:textId="77777777" w:rsidR="006D7A5C" w:rsidRDefault="006D7A5C" w:rsidP="00020B14">
            <w:pPr>
              <w:pStyle w:val="ListParagraph"/>
              <w:tabs>
                <w:tab w:val="left" w:pos="0"/>
                <w:tab w:val="left" w:pos="4536"/>
              </w:tabs>
              <w:ind w:left="0"/>
              <w:jc w:val="both"/>
              <w:rPr>
                <w:lang w:val="en-GB"/>
              </w:rPr>
            </w:pPr>
          </w:p>
          <w:p w14:paraId="55AD9969" w14:textId="1CD4F149" w:rsidR="006D7A5C" w:rsidRPr="00E107F2" w:rsidRDefault="006D7A5C" w:rsidP="00020B14">
            <w:pPr>
              <w:pStyle w:val="ListParagraph"/>
              <w:tabs>
                <w:tab w:val="left" w:pos="0"/>
                <w:tab w:val="left" w:pos="4536"/>
              </w:tabs>
              <w:ind w:left="0"/>
              <w:jc w:val="both"/>
              <w:rPr>
                <w:rFonts w:ascii="Verdana" w:hAnsi="Verdana"/>
                <w:color w:val="7F7F7F" w:themeColor="text1" w:themeTint="80"/>
                <w:lang w:val="en-GB"/>
              </w:rPr>
            </w:pPr>
            <w:r>
              <w:rPr>
                <w:rFonts w:ascii="Verdana" w:hAnsi="Verdana"/>
                <w:color w:val="7F7F7F" w:themeColor="text1" w:themeTint="80"/>
                <w:lang w:val="en-GB"/>
              </w:rPr>
              <w:t>We</w:t>
            </w:r>
            <w:r w:rsidRPr="00E107F2">
              <w:rPr>
                <w:rFonts w:ascii="Verdana" w:hAnsi="Verdana"/>
                <w:color w:val="7F7F7F" w:themeColor="text1" w:themeTint="80"/>
                <w:lang w:val="en-GB"/>
              </w:rPr>
              <w:t xml:space="preserve"> consider that the LTE</w:t>
            </w:r>
            <w:r>
              <w:rPr>
                <w:rFonts w:ascii="Verdana" w:hAnsi="Verdana"/>
                <w:color w:val="7F7F7F" w:themeColor="text1" w:themeTint="80"/>
                <w:lang w:val="en-GB"/>
              </w:rPr>
              <w:t>I</w:t>
            </w:r>
            <w:r w:rsidRPr="00E107F2">
              <w:rPr>
                <w:rFonts w:ascii="Verdana" w:hAnsi="Verdana"/>
                <w:color w:val="7F7F7F" w:themeColor="text1" w:themeTint="80"/>
                <w:lang w:val="en-GB"/>
              </w:rPr>
              <w:t xml:space="preserve"> is not an extension of the DBER (</w:t>
            </w:r>
            <w:r>
              <w:rPr>
                <w:rFonts w:ascii="Verdana" w:hAnsi="Verdana"/>
                <w:color w:val="7F7F7F" w:themeColor="text1" w:themeTint="80"/>
                <w:lang w:val="en-GB"/>
              </w:rPr>
              <w:t xml:space="preserve">i.e. </w:t>
            </w:r>
            <w:r w:rsidRPr="00E107F2">
              <w:rPr>
                <w:rFonts w:ascii="Verdana" w:hAnsi="Verdana"/>
                <w:color w:val="7F7F7F" w:themeColor="text1" w:themeTint="80"/>
                <w:lang w:val="en-GB"/>
              </w:rPr>
              <w:t>Duration based equity risk) as stated in the Commission staff working document</w:t>
            </w:r>
            <w:r>
              <w:rPr>
                <w:rFonts w:ascii="Verdana" w:hAnsi="Verdana"/>
                <w:color w:val="7F7F7F" w:themeColor="text1" w:themeTint="80"/>
                <w:lang w:val="en-GB"/>
              </w:rPr>
              <w:t>;</w:t>
            </w:r>
            <w:r w:rsidRPr="00E107F2">
              <w:rPr>
                <w:rFonts w:ascii="Verdana" w:hAnsi="Verdana"/>
                <w:color w:val="7F7F7F" w:themeColor="text1" w:themeTint="80"/>
                <w:lang w:val="en-GB"/>
              </w:rPr>
              <w:t xml:space="preserve"> only the reduced capital charge is extended to the LTE</w:t>
            </w:r>
            <w:r>
              <w:rPr>
                <w:rFonts w:ascii="Verdana" w:hAnsi="Verdana"/>
                <w:color w:val="7F7F7F" w:themeColor="text1" w:themeTint="80"/>
                <w:lang w:val="en-GB"/>
              </w:rPr>
              <w:t>I category</w:t>
            </w:r>
            <w:r w:rsidRPr="00E107F2">
              <w:rPr>
                <w:rFonts w:ascii="Verdana" w:hAnsi="Verdana"/>
                <w:color w:val="7F7F7F" w:themeColor="text1" w:themeTint="80"/>
                <w:lang w:val="en-GB"/>
              </w:rPr>
              <w:t>. The LTE</w:t>
            </w:r>
            <w:r>
              <w:rPr>
                <w:rFonts w:ascii="Verdana" w:hAnsi="Verdana"/>
                <w:color w:val="7F7F7F" w:themeColor="text1" w:themeTint="80"/>
                <w:lang w:val="en-GB"/>
              </w:rPr>
              <w:t>I</w:t>
            </w:r>
            <w:r w:rsidRPr="00E107F2">
              <w:rPr>
                <w:rFonts w:ascii="Verdana" w:hAnsi="Verdana"/>
                <w:color w:val="7F7F7F" w:themeColor="text1" w:themeTint="80"/>
                <w:lang w:val="en-GB"/>
              </w:rPr>
              <w:t xml:space="preserve"> and the DBER </w:t>
            </w:r>
            <w:r>
              <w:rPr>
                <w:rFonts w:ascii="Verdana" w:hAnsi="Verdana"/>
                <w:color w:val="7F7F7F" w:themeColor="text1" w:themeTint="80"/>
                <w:lang w:val="en-GB"/>
              </w:rPr>
              <w:t xml:space="preserve">categories </w:t>
            </w:r>
            <w:r w:rsidRPr="00E107F2">
              <w:rPr>
                <w:rFonts w:ascii="Verdana" w:hAnsi="Verdana"/>
                <w:color w:val="7F7F7F" w:themeColor="text1" w:themeTint="80"/>
                <w:lang w:val="en-GB"/>
              </w:rPr>
              <w:t>are very different in terms of the criteria and the application as mentioned by EIOPA (please see comment on paragraph 2.941).</w:t>
            </w:r>
          </w:p>
          <w:p w14:paraId="134A5511" w14:textId="77777777" w:rsidR="006D7A5C" w:rsidRPr="00E107F2" w:rsidRDefault="006D7A5C" w:rsidP="00020B14">
            <w:pPr>
              <w:tabs>
                <w:tab w:val="left" w:pos="0"/>
                <w:tab w:val="left" w:pos="4536"/>
              </w:tabs>
              <w:rPr>
                <w:rFonts w:ascii="Verdana" w:hAnsi="Verdana"/>
                <w:iCs/>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25AE3123" w14:textId="77777777" w:rsidR="006D7A5C" w:rsidRPr="00FE3045" w:rsidRDefault="006D7A5C" w:rsidP="00020B14">
            <w:pPr>
              <w:tabs>
                <w:tab w:val="left" w:pos="0"/>
                <w:tab w:val="left" w:pos="4536"/>
              </w:tabs>
              <w:ind w:left="-96"/>
              <w:rPr>
                <w:color w:val="000000"/>
                <w:sz w:val="22"/>
                <w:szCs w:val="22"/>
                <w:lang w:val="en-GB" w:eastAsia="fr-FR"/>
              </w:rPr>
            </w:pPr>
          </w:p>
        </w:tc>
      </w:tr>
      <w:tr w:rsidR="00FC5744" w:rsidRPr="001360A5" w14:paraId="51ED4BCA"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BD48FB7" w14:textId="1781644B" w:rsidR="006D7A5C" w:rsidRPr="00BC5904" w:rsidRDefault="006D7A5C" w:rsidP="00020B14">
            <w:pPr>
              <w:tabs>
                <w:tab w:val="left" w:pos="0"/>
                <w:tab w:val="left" w:pos="4536"/>
              </w:tabs>
              <w:ind w:left="-96"/>
              <w:rPr>
                <w:rFonts w:ascii="Verdana" w:hAnsi="Verdana"/>
                <w:color w:val="7F7F7F" w:themeColor="text1" w:themeTint="80"/>
                <w:sz w:val="22"/>
                <w:szCs w:val="22"/>
                <w:lang w:val="en-GB" w:eastAsia="fr-FR"/>
              </w:rPr>
            </w:pPr>
            <w:r w:rsidRPr="00BC5904">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549A4455" w14:textId="3D70FB23" w:rsidR="006D7A5C" w:rsidRPr="00BC5904" w:rsidRDefault="006D7A5C" w:rsidP="00020B14">
            <w:pPr>
              <w:tabs>
                <w:tab w:val="left" w:pos="0"/>
                <w:tab w:val="left" w:pos="4536"/>
              </w:tabs>
              <w:ind w:left="-96"/>
              <w:rPr>
                <w:rFonts w:ascii="Verdana" w:hAnsi="Verdana"/>
                <w:color w:val="7F7F7F" w:themeColor="text1" w:themeTint="80"/>
                <w:sz w:val="22"/>
                <w:szCs w:val="22"/>
                <w:lang w:val="en-GB" w:eastAsia="fr-FR"/>
              </w:rPr>
            </w:pPr>
            <w:r w:rsidRPr="00BC5904">
              <w:rPr>
                <w:rFonts w:ascii="Verdana" w:hAnsi="Verdana"/>
                <w:color w:val="7F7F7F" w:themeColor="text1" w:themeTint="80"/>
                <w:sz w:val="22"/>
                <w:szCs w:val="22"/>
                <w:lang w:val="en-GB" w:eastAsia="fr-FR"/>
              </w:rPr>
              <w:t>941</w:t>
            </w:r>
          </w:p>
        </w:tc>
        <w:tc>
          <w:tcPr>
            <w:tcW w:w="1999" w:type="pct"/>
            <w:tcBorders>
              <w:top w:val="single" w:sz="4" w:space="0" w:color="auto"/>
              <w:left w:val="single" w:sz="4" w:space="0" w:color="auto"/>
              <w:bottom w:val="single" w:sz="4" w:space="0" w:color="auto"/>
              <w:right w:val="single" w:sz="4" w:space="0" w:color="auto"/>
            </w:tcBorders>
          </w:tcPr>
          <w:p w14:paraId="4E093158" w14:textId="74E6294B" w:rsidR="006D7A5C" w:rsidRDefault="006D7A5C" w:rsidP="00020B14">
            <w:pPr>
              <w:tabs>
                <w:tab w:val="left" w:pos="0"/>
                <w:tab w:val="left" w:pos="4536"/>
              </w:tabs>
              <w:spacing w:after="120"/>
              <w:jc w:val="both"/>
              <w:rPr>
                <w:rFonts w:ascii="Verdana" w:hAnsi="Verdana"/>
                <w:color w:val="7F7F7F" w:themeColor="text1" w:themeTint="80"/>
                <w:sz w:val="22"/>
                <w:szCs w:val="22"/>
                <w:lang w:val="en-GB"/>
              </w:rPr>
            </w:pPr>
            <w:r w:rsidRPr="004C7CC5">
              <w:rPr>
                <w:rFonts w:ascii="Verdana" w:hAnsi="Verdana"/>
                <w:color w:val="7F7F7F" w:themeColor="text1" w:themeTint="80"/>
                <w:sz w:val="22"/>
                <w:szCs w:val="22"/>
                <w:lang w:val="en-GB"/>
              </w:rPr>
              <w:t>We</w:t>
            </w:r>
            <w:r w:rsidRPr="00E107F2">
              <w:rPr>
                <w:rFonts w:ascii="Verdana" w:hAnsi="Verdana"/>
                <w:color w:val="7F7F7F" w:themeColor="text1" w:themeTint="80"/>
                <w:sz w:val="22"/>
                <w:szCs w:val="22"/>
                <w:lang w:val="en-GB"/>
              </w:rPr>
              <w:t xml:space="preserve"> ha</w:t>
            </w:r>
            <w:r w:rsidRPr="004C7CC5">
              <w:rPr>
                <w:rFonts w:ascii="Verdana" w:hAnsi="Verdana"/>
                <w:color w:val="7F7F7F" w:themeColor="text1" w:themeTint="80"/>
                <w:sz w:val="22"/>
                <w:szCs w:val="22"/>
                <w:lang w:val="en-GB"/>
              </w:rPr>
              <w:t>ve</w:t>
            </w:r>
            <w:r w:rsidRPr="00E107F2">
              <w:rPr>
                <w:rFonts w:ascii="Verdana" w:hAnsi="Verdana"/>
                <w:color w:val="7F7F7F" w:themeColor="text1" w:themeTint="80"/>
                <w:sz w:val="22"/>
                <w:szCs w:val="22"/>
                <w:lang w:val="en-GB"/>
              </w:rPr>
              <w:t xml:space="preserve"> strong concerns regarding the EIOPA's proposal to phase out the DBER. EIOPA has been asked to </w:t>
            </w:r>
            <w:r>
              <w:rPr>
                <w:rFonts w:ascii="Verdana" w:hAnsi="Verdana"/>
                <w:color w:val="7F7F7F" w:themeColor="text1" w:themeTint="80"/>
                <w:sz w:val="22"/>
                <w:szCs w:val="22"/>
                <w:lang w:val="en-GB"/>
              </w:rPr>
              <w:t>“</w:t>
            </w:r>
            <w:r w:rsidRPr="00E107F2">
              <w:rPr>
                <w:rFonts w:ascii="Verdana" w:hAnsi="Verdana"/>
                <w:color w:val="7F7F7F" w:themeColor="text1" w:themeTint="80"/>
                <w:sz w:val="22"/>
                <w:szCs w:val="22"/>
                <w:lang w:val="en-GB"/>
              </w:rPr>
              <w:t>conduct a comprehensive review of the equity risk sub-module, and in particular to assess the appropriateness of the design and calibration of the duration-based equity risk (DBER) sub-module, of strategic equity investments, of long-term equity investments and of the symmetric adjustment”</w:t>
            </w:r>
            <w:r>
              <w:rPr>
                <w:rFonts w:ascii="Verdana" w:hAnsi="Verdana"/>
                <w:color w:val="7F7F7F" w:themeColor="text1" w:themeTint="80"/>
                <w:sz w:val="22"/>
                <w:szCs w:val="22"/>
                <w:lang w:val="en-GB"/>
              </w:rPr>
              <w:t>; We</w:t>
            </w:r>
            <w:r w:rsidRPr="00E107F2">
              <w:rPr>
                <w:rFonts w:ascii="Verdana" w:hAnsi="Verdana"/>
                <w:color w:val="7F7F7F" w:themeColor="text1" w:themeTint="80"/>
                <w:sz w:val="22"/>
                <w:szCs w:val="22"/>
                <w:lang w:val="en-GB"/>
              </w:rPr>
              <w:t xml:space="preserve"> understand that only the design and calibration of the DBER is in the scope of the review and the proposal o</w:t>
            </w:r>
            <w:r>
              <w:rPr>
                <w:rFonts w:ascii="Verdana" w:hAnsi="Verdana"/>
                <w:color w:val="7F7F7F" w:themeColor="text1" w:themeTint="80"/>
                <w:sz w:val="22"/>
                <w:szCs w:val="22"/>
                <w:lang w:val="en-GB"/>
              </w:rPr>
              <w:t>f</w:t>
            </w:r>
            <w:r w:rsidRPr="00E107F2">
              <w:rPr>
                <w:rFonts w:ascii="Verdana" w:hAnsi="Verdana"/>
                <w:color w:val="7F7F7F" w:themeColor="text1" w:themeTint="80"/>
                <w:sz w:val="22"/>
                <w:szCs w:val="22"/>
                <w:lang w:val="en-GB"/>
              </w:rPr>
              <w:t xml:space="preserve"> phasing out the DBER goes beyond the mandate given by the Commission.</w:t>
            </w:r>
            <w:r>
              <w:rPr>
                <w:rFonts w:ascii="Verdana" w:hAnsi="Verdana"/>
                <w:color w:val="7F7F7F" w:themeColor="text1" w:themeTint="80"/>
                <w:sz w:val="22"/>
                <w:szCs w:val="22"/>
                <w:lang w:val="en-GB"/>
              </w:rPr>
              <w:t xml:space="preserve"> </w:t>
            </w:r>
            <w:r w:rsidRPr="00E107F2">
              <w:rPr>
                <w:rFonts w:ascii="Verdana" w:hAnsi="Verdana"/>
                <w:color w:val="7F7F7F" w:themeColor="text1" w:themeTint="80"/>
                <w:sz w:val="22"/>
                <w:szCs w:val="22"/>
                <w:lang w:val="en-GB"/>
              </w:rPr>
              <w:t>Although both the LTE</w:t>
            </w:r>
            <w:r>
              <w:rPr>
                <w:rFonts w:ascii="Verdana" w:hAnsi="Verdana"/>
                <w:color w:val="7F7F7F" w:themeColor="text1" w:themeTint="80"/>
                <w:sz w:val="22"/>
                <w:szCs w:val="22"/>
                <w:lang w:val="en-GB"/>
              </w:rPr>
              <w:t>I</w:t>
            </w:r>
            <w:r w:rsidRPr="00E107F2">
              <w:rPr>
                <w:rFonts w:ascii="Verdana" w:hAnsi="Verdana"/>
                <w:color w:val="7F7F7F" w:themeColor="text1" w:themeTint="80"/>
                <w:sz w:val="22"/>
                <w:szCs w:val="22"/>
                <w:lang w:val="en-GB"/>
              </w:rPr>
              <w:t xml:space="preserve"> and the DBER aim to address the risks of equity over longer time horizon, they are designed in a very different way. The DBER only applies to life undertakings providing certain occupational retirement provisions and needs the approval of the </w:t>
            </w:r>
            <w:r>
              <w:rPr>
                <w:rFonts w:ascii="Verdana" w:hAnsi="Verdana"/>
                <w:color w:val="7F7F7F" w:themeColor="text1" w:themeTint="80"/>
                <w:sz w:val="22"/>
                <w:szCs w:val="22"/>
                <w:lang w:val="en-GB"/>
              </w:rPr>
              <w:t>national supervisory authority</w:t>
            </w:r>
            <w:r w:rsidRPr="00E107F2">
              <w:rPr>
                <w:rFonts w:ascii="Verdana" w:hAnsi="Verdana"/>
                <w:color w:val="7F7F7F" w:themeColor="text1" w:themeTint="80"/>
                <w:sz w:val="22"/>
                <w:szCs w:val="22"/>
                <w:lang w:val="en-GB"/>
              </w:rPr>
              <w:t xml:space="preserve"> </w:t>
            </w:r>
            <w:r>
              <w:rPr>
                <w:rFonts w:ascii="Verdana" w:hAnsi="Verdana"/>
                <w:color w:val="7F7F7F" w:themeColor="text1" w:themeTint="80"/>
                <w:sz w:val="22"/>
                <w:szCs w:val="22"/>
                <w:lang w:val="en-GB"/>
              </w:rPr>
              <w:t>whereas</w:t>
            </w:r>
            <w:r w:rsidRPr="00E107F2">
              <w:rPr>
                <w:rFonts w:ascii="Verdana" w:hAnsi="Verdana"/>
                <w:color w:val="7F7F7F" w:themeColor="text1" w:themeTint="80"/>
                <w:sz w:val="22"/>
                <w:szCs w:val="22"/>
                <w:lang w:val="en-GB"/>
              </w:rPr>
              <w:t xml:space="preserve"> the LTE</w:t>
            </w:r>
            <w:r>
              <w:rPr>
                <w:rFonts w:ascii="Verdana" w:hAnsi="Verdana"/>
                <w:color w:val="7F7F7F" w:themeColor="text1" w:themeTint="80"/>
                <w:sz w:val="22"/>
                <w:szCs w:val="22"/>
                <w:lang w:val="en-GB"/>
              </w:rPr>
              <w:t>I</w:t>
            </w:r>
            <w:r w:rsidRPr="00E107F2">
              <w:rPr>
                <w:rFonts w:ascii="Verdana" w:hAnsi="Verdana"/>
                <w:color w:val="7F7F7F" w:themeColor="text1" w:themeTint="80"/>
                <w:sz w:val="22"/>
                <w:szCs w:val="22"/>
                <w:lang w:val="en-GB"/>
              </w:rPr>
              <w:t xml:space="preserve"> set</w:t>
            </w:r>
            <w:r>
              <w:rPr>
                <w:rFonts w:ascii="Verdana" w:hAnsi="Verdana"/>
                <w:color w:val="7F7F7F" w:themeColor="text1" w:themeTint="80"/>
                <w:sz w:val="22"/>
                <w:szCs w:val="22"/>
                <w:lang w:val="en-GB"/>
              </w:rPr>
              <w:t>s</w:t>
            </w:r>
            <w:r w:rsidRPr="00E107F2">
              <w:rPr>
                <w:rFonts w:ascii="Verdana" w:hAnsi="Verdana"/>
                <w:color w:val="7F7F7F" w:themeColor="text1" w:themeTint="80"/>
                <w:sz w:val="22"/>
                <w:szCs w:val="22"/>
                <w:lang w:val="en-GB"/>
              </w:rPr>
              <w:t xml:space="preserve"> some limits such as </w:t>
            </w:r>
            <w:r>
              <w:rPr>
                <w:rFonts w:ascii="Verdana" w:hAnsi="Verdana"/>
                <w:color w:val="7F7F7F" w:themeColor="text1" w:themeTint="80"/>
                <w:sz w:val="22"/>
                <w:szCs w:val="22"/>
                <w:lang w:val="en-GB"/>
              </w:rPr>
              <w:t xml:space="preserve">that </w:t>
            </w:r>
            <w:r w:rsidRPr="00E107F2">
              <w:rPr>
                <w:rFonts w:ascii="Verdana" w:hAnsi="Verdana"/>
                <w:color w:val="7F7F7F" w:themeColor="text1" w:themeTint="80"/>
                <w:sz w:val="22"/>
                <w:szCs w:val="22"/>
                <w:lang w:val="en-GB"/>
              </w:rPr>
              <w:t xml:space="preserve">only equities listed in the EEA could benefit </w:t>
            </w:r>
            <w:r>
              <w:rPr>
                <w:rFonts w:ascii="Verdana" w:hAnsi="Verdana"/>
                <w:color w:val="7F7F7F" w:themeColor="text1" w:themeTint="80"/>
                <w:sz w:val="22"/>
                <w:szCs w:val="22"/>
                <w:lang w:val="en-GB"/>
              </w:rPr>
              <w:t xml:space="preserve">from </w:t>
            </w:r>
            <w:r w:rsidRPr="00E107F2">
              <w:rPr>
                <w:rFonts w:ascii="Verdana" w:hAnsi="Verdana"/>
                <w:color w:val="7F7F7F" w:themeColor="text1" w:themeTint="80"/>
                <w:sz w:val="22"/>
                <w:szCs w:val="22"/>
                <w:lang w:val="en-GB"/>
              </w:rPr>
              <w:t xml:space="preserve">this measure. </w:t>
            </w:r>
            <w:r>
              <w:rPr>
                <w:rFonts w:ascii="Verdana" w:hAnsi="Verdana"/>
                <w:color w:val="7F7F7F" w:themeColor="text1" w:themeTint="80"/>
                <w:sz w:val="22"/>
                <w:szCs w:val="22"/>
                <w:lang w:val="en-GB"/>
              </w:rPr>
              <w:t xml:space="preserve">Furthermore, </w:t>
            </w:r>
            <w:r w:rsidRPr="00E107F2">
              <w:rPr>
                <w:rFonts w:ascii="Verdana" w:hAnsi="Verdana"/>
                <w:color w:val="7F7F7F" w:themeColor="text1" w:themeTint="80"/>
                <w:sz w:val="22"/>
                <w:szCs w:val="22"/>
                <w:lang w:val="en-GB"/>
              </w:rPr>
              <w:t>the LTE</w:t>
            </w:r>
            <w:r>
              <w:rPr>
                <w:rFonts w:ascii="Verdana" w:hAnsi="Verdana"/>
                <w:color w:val="7F7F7F" w:themeColor="text1" w:themeTint="80"/>
                <w:sz w:val="22"/>
                <w:szCs w:val="22"/>
                <w:lang w:val="en-GB"/>
              </w:rPr>
              <w:t>I</w:t>
            </w:r>
            <w:r w:rsidRPr="00E107F2">
              <w:rPr>
                <w:rFonts w:ascii="Verdana" w:hAnsi="Verdana"/>
                <w:color w:val="7F7F7F" w:themeColor="text1" w:themeTint="80"/>
                <w:sz w:val="22"/>
                <w:szCs w:val="22"/>
                <w:lang w:val="en-GB"/>
              </w:rPr>
              <w:t xml:space="preserve"> requires the average holding period of equity investment </w:t>
            </w:r>
            <w:r>
              <w:rPr>
                <w:rFonts w:ascii="Verdana" w:hAnsi="Verdana"/>
                <w:color w:val="7F7F7F" w:themeColor="text1" w:themeTint="80"/>
                <w:sz w:val="22"/>
                <w:szCs w:val="22"/>
                <w:lang w:val="en-GB"/>
              </w:rPr>
              <w:t xml:space="preserve">to be </w:t>
            </w:r>
            <w:r w:rsidRPr="00E107F2">
              <w:rPr>
                <w:rFonts w:ascii="Verdana" w:hAnsi="Verdana"/>
                <w:color w:val="7F7F7F" w:themeColor="text1" w:themeTint="80"/>
                <w:sz w:val="22"/>
                <w:szCs w:val="22"/>
                <w:lang w:val="en-GB"/>
              </w:rPr>
              <w:t>5 years</w:t>
            </w:r>
            <w:r>
              <w:rPr>
                <w:rFonts w:ascii="Verdana" w:hAnsi="Verdana"/>
                <w:color w:val="7F7F7F" w:themeColor="text1" w:themeTint="80"/>
                <w:sz w:val="22"/>
                <w:szCs w:val="22"/>
                <w:lang w:val="en-GB"/>
              </w:rPr>
              <w:t xml:space="preserve"> and</w:t>
            </w:r>
            <w:r w:rsidRPr="00E107F2">
              <w:rPr>
                <w:rFonts w:ascii="Verdana" w:hAnsi="Verdana"/>
                <w:color w:val="7F7F7F" w:themeColor="text1" w:themeTint="80"/>
                <w:sz w:val="22"/>
                <w:szCs w:val="22"/>
                <w:lang w:val="en-GB"/>
              </w:rPr>
              <w:t xml:space="preserve"> the DBER is rather focused on the ability of holding equity investment for at least 12 years. </w:t>
            </w:r>
          </w:p>
          <w:p w14:paraId="2E749595" w14:textId="4CF982CB" w:rsidR="006D7A5C" w:rsidRDefault="006D7A5C" w:rsidP="00020B14">
            <w:pPr>
              <w:tabs>
                <w:tab w:val="left" w:pos="0"/>
                <w:tab w:val="left" w:pos="4536"/>
              </w:tabs>
              <w:spacing w:before="120" w:after="120"/>
              <w:jc w:val="both"/>
              <w:rPr>
                <w:rFonts w:ascii="Verdana" w:hAnsi="Verdana"/>
                <w:color w:val="7F7F7F" w:themeColor="text1" w:themeTint="80"/>
                <w:sz w:val="22"/>
                <w:szCs w:val="22"/>
                <w:lang w:val="en-GB"/>
              </w:rPr>
            </w:pPr>
            <w:r>
              <w:rPr>
                <w:rFonts w:ascii="Verdana" w:hAnsi="Verdana"/>
                <w:color w:val="7F7F7F" w:themeColor="text1" w:themeTint="80"/>
                <w:sz w:val="22"/>
                <w:szCs w:val="22"/>
                <w:lang w:val="en-GB"/>
              </w:rPr>
              <w:t>We do not</w:t>
            </w:r>
            <w:r w:rsidRPr="00E107F2">
              <w:rPr>
                <w:rFonts w:ascii="Verdana" w:hAnsi="Verdana"/>
                <w:color w:val="7F7F7F" w:themeColor="text1" w:themeTint="80"/>
                <w:sz w:val="22"/>
                <w:szCs w:val="22"/>
                <w:lang w:val="en-GB"/>
              </w:rPr>
              <w:t xml:space="preserve"> believe that the DBER could be replaced by the LTE</w:t>
            </w:r>
            <w:r>
              <w:rPr>
                <w:rFonts w:ascii="Verdana" w:hAnsi="Verdana"/>
                <w:color w:val="7F7F7F" w:themeColor="text1" w:themeTint="80"/>
                <w:sz w:val="22"/>
                <w:szCs w:val="22"/>
                <w:lang w:val="en-GB"/>
              </w:rPr>
              <w:t>I</w:t>
            </w:r>
            <w:r w:rsidRPr="00E107F2">
              <w:rPr>
                <w:rFonts w:ascii="Verdana" w:hAnsi="Verdana"/>
                <w:color w:val="7F7F7F" w:themeColor="text1" w:themeTint="80"/>
                <w:sz w:val="22"/>
                <w:szCs w:val="22"/>
                <w:lang w:val="en-GB"/>
              </w:rPr>
              <w:t>.</w:t>
            </w:r>
            <w:r>
              <w:rPr>
                <w:rFonts w:ascii="Verdana" w:hAnsi="Verdana"/>
                <w:color w:val="7F7F7F" w:themeColor="text1" w:themeTint="80"/>
                <w:lang w:val="en-GB"/>
              </w:rPr>
              <w:t xml:space="preserve"> </w:t>
            </w:r>
            <w:r>
              <w:rPr>
                <w:rFonts w:ascii="Verdana" w:hAnsi="Verdana"/>
                <w:color w:val="7F7F7F" w:themeColor="text1" w:themeTint="80"/>
                <w:sz w:val="22"/>
                <w:szCs w:val="22"/>
                <w:lang w:val="en-GB"/>
              </w:rPr>
              <w:t>H</w:t>
            </w:r>
            <w:r w:rsidRPr="00E107F2">
              <w:rPr>
                <w:rFonts w:ascii="Verdana" w:hAnsi="Verdana"/>
                <w:color w:val="7F7F7F" w:themeColor="text1" w:themeTint="80"/>
                <w:sz w:val="22"/>
                <w:szCs w:val="22"/>
                <w:lang w:val="en-GB"/>
              </w:rPr>
              <w:t>aving the choice between the DBER and the LTE</w:t>
            </w:r>
            <w:r>
              <w:rPr>
                <w:rFonts w:ascii="Verdana" w:hAnsi="Verdana"/>
                <w:color w:val="7F7F7F" w:themeColor="text1" w:themeTint="80"/>
                <w:sz w:val="22"/>
                <w:szCs w:val="22"/>
                <w:lang w:val="en-GB"/>
              </w:rPr>
              <w:t>I</w:t>
            </w:r>
            <w:r w:rsidRPr="00E107F2">
              <w:rPr>
                <w:rFonts w:ascii="Verdana" w:hAnsi="Verdana"/>
                <w:color w:val="7F7F7F" w:themeColor="text1" w:themeTint="80"/>
                <w:sz w:val="22"/>
                <w:szCs w:val="22"/>
                <w:lang w:val="en-GB"/>
              </w:rPr>
              <w:t xml:space="preserve"> </w:t>
            </w:r>
            <w:r>
              <w:rPr>
                <w:rFonts w:ascii="Verdana" w:hAnsi="Verdana"/>
                <w:color w:val="7F7F7F" w:themeColor="text1" w:themeTint="80"/>
                <w:sz w:val="22"/>
                <w:szCs w:val="22"/>
                <w:lang w:val="en-GB"/>
              </w:rPr>
              <w:t xml:space="preserve">does not </w:t>
            </w:r>
            <w:r w:rsidRPr="00E107F2">
              <w:rPr>
                <w:rFonts w:ascii="Verdana" w:hAnsi="Verdana"/>
                <w:color w:val="7F7F7F" w:themeColor="text1" w:themeTint="80"/>
                <w:sz w:val="22"/>
                <w:szCs w:val="22"/>
                <w:lang w:val="en-GB"/>
              </w:rPr>
              <w:t xml:space="preserve">add complexity to the </w:t>
            </w:r>
            <w:r>
              <w:rPr>
                <w:rFonts w:ascii="Verdana" w:hAnsi="Verdana"/>
                <w:color w:val="7F7F7F" w:themeColor="text1" w:themeTint="80"/>
                <w:sz w:val="22"/>
                <w:szCs w:val="22"/>
                <w:lang w:val="en-GB"/>
              </w:rPr>
              <w:t>Solvency framework;</w:t>
            </w:r>
            <w:r w:rsidRPr="00E107F2">
              <w:rPr>
                <w:rFonts w:ascii="Verdana" w:hAnsi="Verdana"/>
                <w:color w:val="7F7F7F" w:themeColor="text1" w:themeTint="80"/>
                <w:sz w:val="22"/>
                <w:szCs w:val="22"/>
                <w:lang w:val="en-GB"/>
              </w:rPr>
              <w:t xml:space="preserve"> On the contrary, EIOPA’s proposal will create more complexity and unnecessary burden to undertaking</w:t>
            </w:r>
            <w:r>
              <w:rPr>
                <w:rFonts w:ascii="Verdana" w:hAnsi="Verdana"/>
                <w:color w:val="7F7F7F" w:themeColor="text1" w:themeTint="80"/>
                <w:sz w:val="22"/>
                <w:szCs w:val="22"/>
                <w:lang w:val="en-GB"/>
              </w:rPr>
              <w:t>s</w:t>
            </w:r>
            <w:r w:rsidRPr="00E107F2">
              <w:rPr>
                <w:rFonts w:ascii="Verdana" w:hAnsi="Verdana"/>
                <w:color w:val="7F7F7F" w:themeColor="text1" w:themeTint="80"/>
                <w:sz w:val="22"/>
                <w:szCs w:val="22"/>
                <w:lang w:val="en-GB"/>
              </w:rPr>
              <w:t xml:space="preserve"> with </w:t>
            </w:r>
            <w:r>
              <w:rPr>
                <w:rFonts w:ascii="Verdana" w:hAnsi="Verdana"/>
                <w:color w:val="7F7F7F" w:themeColor="text1" w:themeTint="80"/>
                <w:sz w:val="22"/>
                <w:szCs w:val="22"/>
                <w:lang w:val="en-GB"/>
              </w:rPr>
              <w:t>an</w:t>
            </w:r>
            <w:r w:rsidRPr="00E107F2">
              <w:rPr>
                <w:rFonts w:ascii="Verdana" w:hAnsi="Verdana"/>
                <w:color w:val="7F7F7F" w:themeColor="text1" w:themeTint="80"/>
                <w:sz w:val="22"/>
                <w:szCs w:val="22"/>
                <w:lang w:val="en-GB"/>
              </w:rPr>
              <w:t xml:space="preserve"> approved use of the DBER. Indeed, phasing out the DBER </w:t>
            </w:r>
            <w:r>
              <w:rPr>
                <w:rFonts w:ascii="Verdana" w:hAnsi="Verdana"/>
                <w:color w:val="7F7F7F" w:themeColor="text1" w:themeTint="80"/>
                <w:sz w:val="22"/>
                <w:szCs w:val="22"/>
                <w:lang w:val="en-GB"/>
              </w:rPr>
              <w:t xml:space="preserve">will </w:t>
            </w:r>
            <w:r w:rsidRPr="00E107F2">
              <w:rPr>
                <w:rFonts w:ascii="Verdana" w:hAnsi="Verdana"/>
                <w:color w:val="7F7F7F" w:themeColor="text1" w:themeTint="80"/>
                <w:sz w:val="22"/>
                <w:szCs w:val="22"/>
                <w:lang w:val="en-GB"/>
              </w:rPr>
              <w:t xml:space="preserve">mean </w:t>
            </w:r>
            <w:r>
              <w:rPr>
                <w:rFonts w:ascii="Verdana" w:hAnsi="Verdana"/>
                <w:color w:val="7F7F7F" w:themeColor="text1" w:themeTint="80"/>
                <w:sz w:val="22"/>
                <w:szCs w:val="22"/>
                <w:lang w:val="en-GB"/>
              </w:rPr>
              <w:t xml:space="preserve">that </w:t>
            </w:r>
            <w:r w:rsidRPr="00E107F2">
              <w:rPr>
                <w:rFonts w:ascii="Verdana" w:hAnsi="Verdana"/>
                <w:color w:val="7F7F7F" w:themeColor="text1" w:themeTint="80"/>
                <w:sz w:val="22"/>
                <w:szCs w:val="22"/>
                <w:lang w:val="en-GB"/>
              </w:rPr>
              <w:t xml:space="preserve">the undertaking has to review </w:t>
            </w:r>
            <w:r>
              <w:rPr>
                <w:rFonts w:ascii="Verdana" w:hAnsi="Verdana"/>
                <w:color w:val="7F7F7F" w:themeColor="text1" w:themeTint="80"/>
                <w:sz w:val="22"/>
                <w:szCs w:val="22"/>
                <w:lang w:val="en-GB"/>
              </w:rPr>
              <w:t xml:space="preserve">its </w:t>
            </w:r>
            <w:r w:rsidRPr="00E107F2">
              <w:rPr>
                <w:rFonts w:ascii="Verdana" w:hAnsi="Verdana"/>
                <w:color w:val="7F7F7F" w:themeColor="text1" w:themeTint="80"/>
                <w:sz w:val="22"/>
                <w:szCs w:val="22"/>
                <w:lang w:val="en-GB"/>
              </w:rPr>
              <w:t>internal process and documentation, because the criteria are different between the DBER and the LTE</w:t>
            </w:r>
            <w:r>
              <w:rPr>
                <w:rFonts w:ascii="Verdana" w:hAnsi="Verdana"/>
                <w:color w:val="7F7F7F" w:themeColor="text1" w:themeTint="80"/>
                <w:sz w:val="22"/>
                <w:szCs w:val="22"/>
                <w:lang w:val="en-GB"/>
              </w:rPr>
              <w:t>I</w:t>
            </w:r>
            <w:r w:rsidRPr="00E107F2">
              <w:rPr>
                <w:rFonts w:ascii="Verdana" w:hAnsi="Verdana"/>
                <w:color w:val="7F7F7F" w:themeColor="text1" w:themeTint="80"/>
                <w:sz w:val="22"/>
                <w:szCs w:val="22"/>
                <w:lang w:val="en-GB"/>
              </w:rPr>
              <w:t>.</w:t>
            </w:r>
          </w:p>
          <w:p w14:paraId="3D3C5D9A" w14:textId="4E74ECCE" w:rsidR="006D7A5C" w:rsidRPr="00E107F2" w:rsidRDefault="006D7A5C" w:rsidP="00020B14">
            <w:pPr>
              <w:tabs>
                <w:tab w:val="left" w:pos="0"/>
                <w:tab w:val="left" w:pos="4536"/>
              </w:tabs>
              <w:spacing w:before="240" w:after="120"/>
              <w:jc w:val="both"/>
              <w:rPr>
                <w:rFonts w:ascii="Verdana" w:hAnsi="Verdana"/>
                <w:color w:val="7F7F7F" w:themeColor="text1" w:themeTint="80"/>
                <w:sz w:val="22"/>
                <w:szCs w:val="22"/>
                <w:lang w:val="en-GB"/>
              </w:rPr>
            </w:pPr>
            <w:r w:rsidRPr="00E107F2">
              <w:rPr>
                <w:rFonts w:ascii="Verdana" w:hAnsi="Verdana"/>
                <w:color w:val="7F7F7F" w:themeColor="text1" w:themeTint="80"/>
                <w:sz w:val="22"/>
                <w:szCs w:val="22"/>
                <w:lang w:val="en-GB"/>
              </w:rPr>
              <w:lastRenderedPageBreak/>
              <w:t>Moreover, the LTE</w:t>
            </w:r>
            <w:r>
              <w:rPr>
                <w:rFonts w:ascii="Verdana" w:hAnsi="Verdana"/>
                <w:color w:val="7F7F7F" w:themeColor="text1" w:themeTint="80"/>
                <w:sz w:val="22"/>
                <w:szCs w:val="22"/>
                <w:lang w:val="en-GB"/>
              </w:rPr>
              <w:t>I</w:t>
            </w:r>
            <w:r w:rsidRPr="00E107F2">
              <w:rPr>
                <w:rFonts w:ascii="Verdana" w:hAnsi="Verdana"/>
                <w:color w:val="7F7F7F" w:themeColor="text1" w:themeTint="80"/>
                <w:sz w:val="22"/>
                <w:szCs w:val="22"/>
                <w:lang w:val="en-GB"/>
              </w:rPr>
              <w:t xml:space="preserve"> only came into force </w:t>
            </w:r>
            <w:r>
              <w:rPr>
                <w:rFonts w:ascii="Verdana" w:hAnsi="Verdana"/>
                <w:color w:val="7F7F7F" w:themeColor="text1" w:themeTint="80"/>
                <w:sz w:val="22"/>
                <w:szCs w:val="22"/>
                <w:lang w:val="en-GB"/>
              </w:rPr>
              <w:t>in</w:t>
            </w:r>
            <w:r w:rsidRPr="00E107F2">
              <w:rPr>
                <w:rFonts w:ascii="Verdana" w:hAnsi="Verdana"/>
                <w:color w:val="7F7F7F" w:themeColor="text1" w:themeTint="80"/>
                <w:sz w:val="22"/>
                <w:szCs w:val="22"/>
                <w:lang w:val="en-GB"/>
              </w:rPr>
              <w:t xml:space="preserve"> June 2019</w:t>
            </w:r>
            <w:r>
              <w:rPr>
                <w:rFonts w:ascii="Verdana" w:hAnsi="Verdana"/>
                <w:color w:val="7F7F7F" w:themeColor="text1" w:themeTint="80"/>
                <w:sz w:val="22"/>
                <w:szCs w:val="22"/>
                <w:lang w:val="en-GB"/>
              </w:rPr>
              <w:t xml:space="preserve"> and</w:t>
            </w:r>
            <w:r w:rsidRPr="00E107F2">
              <w:rPr>
                <w:rFonts w:ascii="Verdana" w:hAnsi="Verdana"/>
                <w:color w:val="7F7F7F" w:themeColor="text1" w:themeTint="80"/>
                <w:sz w:val="22"/>
                <w:szCs w:val="22"/>
                <w:lang w:val="en-GB"/>
              </w:rPr>
              <w:t xml:space="preserve"> </w:t>
            </w:r>
            <w:r>
              <w:rPr>
                <w:rFonts w:ascii="Verdana" w:hAnsi="Verdana"/>
                <w:color w:val="7F7F7F" w:themeColor="text1" w:themeTint="80"/>
                <w:sz w:val="22"/>
                <w:szCs w:val="22"/>
                <w:lang w:val="en-GB"/>
              </w:rPr>
              <w:t>some of the criteria</w:t>
            </w:r>
            <w:r w:rsidRPr="00E107F2">
              <w:rPr>
                <w:rFonts w:ascii="Verdana" w:hAnsi="Verdana"/>
                <w:color w:val="7F7F7F" w:themeColor="text1" w:themeTint="80"/>
                <w:sz w:val="22"/>
                <w:szCs w:val="22"/>
                <w:lang w:val="en-GB"/>
              </w:rPr>
              <w:t xml:space="preserve"> remain unclear and subject to the NSA’s interpretation. Therefore, the option to phase out the DBER could be costly and time consumer for </w:t>
            </w:r>
            <w:r>
              <w:rPr>
                <w:rFonts w:ascii="Verdana" w:hAnsi="Verdana"/>
                <w:color w:val="7F7F7F" w:themeColor="text1" w:themeTint="80"/>
                <w:sz w:val="22"/>
                <w:szCs w:val="22"/>
                <w:lang w:val="en-GB"/>
              </w:rPr>
              <w:t xml:space="preserve">the </w:t>
            </w:r>
            <w:r w:rsidRPr="00E107F2">
              <w:rPr>
                <w:rFonts w:ascii="Verdana" w:hAnsi="Verdana"/>
                <w:color w:val="7F7F7F" w:themeColor="text1" w:themeTint="80"/>
                <w:sz w:val="22"/>
                <w:szCs w:val="22"/>
                <w:lang w:val="en-GB"/>
              </w:rPr>
              <w:t>undertaking us</w:t>
            </w:r>
            <w:r>
              <w:rPr>
                <w:rFonts w:ascii="Verdana" w:hAnsi="Verdana"/>
                <w:color w:val="7F7F7F" w:themeColor="text1" w:themeTint="80"/>
                <w:sz w:val="22"/>
                <w:szCs w:val="22"/>
                <w:lang w:val="en-GB"/>
              </w:rPr>
              <w:t>ing</w:t>
            </w:r>
            <w:r w:rsidRPr="00E107F2">
              <w:rPr>
                <w:rFonts w:ascii="Verdana" w:hAnsi="Verdana"/>
                <w:color w:val="7F7F7F" w:themeColor="text1" w:themeTint="80"/>
                <w:sz w:val="22"/>
                <w:szCs w:val="22"/>
                <w:lang w:val="en-GB"/>
              </w:rPr>
              <w:t xml:space="preserve"> this measure, at least at the beginning</w:t>
            </w:r>
            <w:r>
              <w:rPr>
                <w:rFonts w:ascii="Verdana" w:hAnsi="Verdana"/>
                <w:color w:val="7F7F7F" w:themeColor="text1" w:themeTint="80"/>
                <w:sz w:val="22"/>
                <w:szCs w:val="22"/>
                <w:lang w:val="en-GB"/>
              </w:rPr>
              <w:t>,</w:t>
            </w:r>
            <w:r w:rsidRPr="00E107F2">
              <w:rPr>
                <w:rFonts w:ascii="Verdana" w:hAnsi="Verdana"/>
                <w:color w:val="7F7F7F" w:themeColor="text1" w:themeTint="80"/>
                <w:sz w:val="22"/>
                <w:szCs w:val="22"/>
                <w:lang w:val="en-GB"/>
              </w:rPr>
              <w:t xml:space="preserve"> with no added value. </w:t>
            </w:r>
            <w:r>
              <w:rPr>
                <w:rFonts w:ascii="Verdana" w:hAnsi="Verdana"/>
                <w:color w:val="7F7F7F" w:themeColor="text1" w:themeTint="80"/>
                <w:sz w:val="22"/>
                <w:szCs w:val="22"/>
                <w:lang w:val="en-GB"/>
              </w:rPr>
              <w:t xml:space="preserve">We suggest </w:t>
            </w:r>
            <w:r w:rsidRPr="00E107F2">
              <w:rPr>
                <w:rFonts w:ascii="Verdana" w:hAnsi="Verdana"/>
                <w:color w:val="7F7F7F" w:themeColor="text1" w:themeTint="80"/>
                <w:sz w:val="22"/>
                <w:szCs w:val="22"/>
                <w:lang w:val="en-GB"/>
              </w:rPr>
              <w:t>t</w:t>
            </w:r>
            <w:r>
              <w:rPr>
                <w:rFonts w:ascii="Verdana" w:hAnsi="Verdana"/>
                <w:color w:val="7F7F7F" w:themeColor="text1" w:themeTint="80"/>
                <w:sz w:val="22"/>
                <w:szCs w:val="22"/>
                <w:lang w:val="en-GB"/>
              </w:rPr>
              <w:t xml:space="preserve">o wait for the implementation of the </w:t>
            </w:r>
            <w:r w:rsidRPr="00E107F2">
              <w:rPr>
                <w:rFonts w:ascii="Verdana" w:hAnsi="Verdana"/>
                <w:color w:val="7F7F7F" w:themeColor="text1" w:themeTint="80"/>
                <w:sz w:val="22"/>
                <w:szCs w:val="22"/>
                <w:lang w:val="en-GB"/>
              </w:rPr>
              <w:t xml:space="preserve">LTEI in each member state before proposing </w:t>
            </w:r>
            <w:r>
              <w:rPr>
                <w:rFonts w:ascii="Verdana" w:hAnsi="Verdana"/>
                <w:color w:val="7F7F7F" w:themeColor="text1" w:themeTint="80"/>
                <w:sz w:val="22"/>
                <w:szCs w:val="22"/>
                <w:lang w:val="en-GB"/>
              </w:rPr>
              <w:t>any</w:t>
            </w:r>
            <w:r w:rsidRPr="00E107F2">
              <w:rPr>
                <w:rFonts w:ascii="Verdana" w:hAnsi="Verdana"/>
                <w:color w:val="7F7F7F" w:themeColor="text1" w:themeTint="80"/>
                <w:sz w:val="22"/>
                <w:szCs w:val="22"/>
                <w:lang w:val="en-GB"/>
              </w:rPr>
              <w:t xml:space="preserve"> phase</w:t>
            </w:r>
            <w:r>
              <w:rPr>
                <w:rFonts w:ascii="Verdana" w:hAnsi="Verdana"/>
                <w:color w:val="7F7F7F" w:themeColor="text1" w:themeTint="80"/>
                <w:sz w:val="22"/>
                <w:szCs w:val="22"/>
                <w:lang w:val="en-GB"/>
              </w:rPr>
              <w:t>-</w:t>
            </w:r>
            <w:r w:rsidRPr="00E107F2">
              <w:rPr>
                <w:rFonts w:ascii="Verdana" w:hAnsi="Verdana"/>
                <w:color w:val="7F7F7F" w:themeColor="text1" w:themeTint="80"/>
                <w:sz w:val="22"/>
                <w:szCs w:val="22"/>
                <w:lang w:val="en-GB"/>
              </w:rPr>
              <w:t xml:space="preserve">out </w:t>
            </w:r>
            <w:r>
              <w:rPr>
                <w:rFonts w:ascii="Verdana" w:hAnsi="Verdana"/>
                <w:color w:val="7F7F7F" w:themeColor="text1" w:themeTint="80"/>
                <w:sz w:val="22"/>
                <w:szCs w:val="22"/>
                <w:lang w:val="en-GB"/>
              </w:rPr>
              <w:t xml:space="preserve">of </w:t>
            </w:r>
            <w:r w:rsidRPr="00E107F2">
              <w:rPr>
                <w:rFonts w:ascii="Verdana" w:hAnsi="Verdana"/>
                <w:color w:val="7F7F7F" w:themeColor="text1" w:themeTint="80"/>
                <w:sz w:val="22"/>
                <w:szCs w:val="22"/>
                <w:lang w:val="en-GB"/>
              </w:rPr>
              <w:t>the DBER.</w:t>
            </w:r>
            <w:r>
              <w:rPr>
                <w:rFonts w:ascii="Verdana" w:hAnsi="Verdana"/>
                <w:color w:val="7F7F7F" w:themeColor="text1" w:themeTint="80"/>
                <w:lang w:val="en-GB"/>
              </w:rPr>
              <w:t xml:space="preserve"> </w:t>
            </w:r>
          </w:p>
        </w:tc>
        <w:tc>
          <w:tcPr>
            <w:tcW w:w="483" w:type="pct"/>
            <w:tcBorders>
              <w:top w:val="single" w:sz="4" w:space="0" w:color="auto"/>
              <w:left w:val="single" w:sz="4" w:space="0" w:color="auto"/>
              <w:bottom w:val="single" w:sz="4" w:space="0" w:color="auto"/>
              <w:right w:val="single" w:sz="4" w:space="0" w:color="auto"/>
            </w:tcBorders>
          </w:tcPr>
          <w:p w14:paraId="4FDFA5ED" w14:textId="77777777" w:rsidR="006D7A5C" w:rsidRPr="00E107F2" w:rsidRDefault="006D7A5C" w:rsidP="00020B14">
            <w:pPr>
              <w:tabs>
                <w:tab w:val="left" w:pos="0"/>
                <w:tab w:val="left" w:pos="4536"/>
              </w:tabs>
              <w:ind w:left="-96"/>
              <w:rPr>
                <w:rFonts w:ascii="Verdana" w:hAnsi="Verdana"/>
                <w:color w:val="7F7F7F" w:themeColor="text1" w:themeTint="80"/>
                <w:sz w:val="22"/>
                <w:szCs w:val="22"/>
                <w:lang w:val="en-GB" w:eastAsia="fr-FR"/>
              </w:rPr>
            </w:pPr>
          </w:p>
        </w:tc>
      </w:tr>
      <w:tr w:rsidR="00FC5744" w:rsidRPr="001360A5" w14:paraId="69C467A3"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BFFDA8D" w14:textId="00474F80" w:rsidR="006D7A5C" w:rsidRPr="00F0251A" w:rsidRDefault="006D7A5C" w:rsidP="00020B14">
            <w:pPr>
              <w:tabs>
                <w:tab w:val="left" w:pos="0"/>
                <w:tab w:val="left" w:pos="4536"/>
              </w:tabs>
              <w:ind w:left="-96"/>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01704472" w14:textId="41259C4C" w:rsidR="006D7A5C" w:rsidRPr="00F0251A" w:rsidRDefault="006D7A5C" w:rsidP="00020B14">
            <w:pPr>
              <w:tabs>
                <w:tab w:val="left" w:pos="0"/>
                <w:tab w:val="left" w:pos="4536"/>
              </w:tabs>
              <w:ind w:left="-96"/>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t>945</w:t>
            </w:r>
          </w:p>
        </w:tc>
        <w:tc>
          <w:tcPr>
            <w:tcW w:w="1999" w:type="pct"/>
            <w:tcBorders>
              <w:top w:val="single" w:sz="4" w:space="0" w:color="auto"/>
              <w:left w:val="single" w:sz="4" w:space="0" w:color="auto"/>
              <w:bottom w:val="single" w:sz="4" w:space="0" w:color="auto"/>
              <w:right w:val="single" w:sz="4" w:space="0" w:color="auto"/>
            </w:tcBorders>
          </w:tcPr>
          <w:p w14:paraId="3C2D124E" w14:textId="294E70BB" w:rsidR="006D7A5C" w:rsidRDefault="006D7A5C" w:rsidP="00020B14">
            <w:pPr>
              <w:tabs>
                <w:tab w:val="left" w:pos="0"/>
                <w:tab w:val="left" w:pos="4536"/>
              </w:tabs>
              <w:rPr>
                <w:rFonts w:ascii="Verdana" w:hAnsi="Verdana"/>
                <w:color w:val="7F7F7F" w:themeColor="text1" w:themeTint="80"/>
                <w:sz w:val="22"/>
                <w:szCs w:val="22"/>
                <w:lang w:val="en-GB" w:eastAsia="fr-FR"/>
              </w:rPr>
            </w:pPr>
            <w:r w:rsidRPr="002B6246">
              <w:rPr>
                <w:rFonts w:ascii="Verdana" w:hAnsi="Verdana"/>
                <w:i/>
                <w:color w:val="7F7F7F" w:themeColor="text1" w:themeTint="80"/>
                <w:sz w:val="22"/>
                <w:szCs w:val="22"/>
                <w:lang w:val="en-GB" w:eastAsia="fr-FR"/>
              </w:rPr>
              <w:t>“E</w:t>
            </w:r>
            <w:r w:rsidRPr="00F0251A">
              <w:rPr>
                <w:rFonts w:ascii="Verdana" w:hAnsi="Verdana"/>
                <w:i/>
                <w:color w:val="7F7F7F" w:themeColor="text1" w:themeTint="80"/>
                <w:sz w:val="22"/>
                <w:szCs w:val="22"/>
                <w:lang w:val="en-GB" w:eastAsia="fr-FR"/>
              </w:rPr>
              <w:t>IOPA considers that the lower capital requirement for strategic participation is justified if the risk is lower. Therefore, the criterion of lower volatility should not be deleted”</w:t>
            </w:r>
            <w:r>
              <w:rPr>
                <w:rFonts w:ascii="Verdana" w:hAnsi="Verdana"/>
                <w:i/>
                <w:color w:val="7F7F7F" w:themeColor="text1" w:themeTint="80"/>
                <w:sz w:val="22"/>
                <w:szCs w:val="22"/>
                <w:lang w:val="en-GB" w:eastAsia="fr-FR"/>
              </w:rPr>
              <w:t xml:space="preserve">. </w:t>
            </w:r>
            <w:r w:rsidRPr="009D2125">
              <w:rPr>
                <w:rFonts w:ascii="Verdana" w:hAnsi="Verdana"/>
                <w:color w:val="7F7F7F" w:themeColor="text1" w:themeTint="80"/>
                <w:sz w:val="22"/>
                <w:szCs w:val="22"/>
                <w:lang w:val="en-GB" w:eastAsia="fr-FR"/>
              </w:rPr>
              <w:t xml:space="preserve">CEIOPS advice in 2009 demonstrated a lower volatility of equities hold over a long-term horizon: This was the basis for a reduced shock </w:t>
            </w:r>
            <w:r>
              <w:rPr>
                <w:rFonts w:ascii="Verdana" w:hAnsi="Verdana"/>
                <w:color w:val="7F7F7F" w:themeColor="text1" w:themeTint="80"/>
                <w:sz w:val="22"/>
                <w:szCs w:val="22"/>
                <w:lang w:val="en-GB" w:eastAsia="fr-FR"/>
              </w:rPr>
              <w:t>in</w:t>
            </w:r>
            <w:r w:rsidRPr="009D2125">
              <w:rPr>
                <w:rFonts w:ascii="Verdana" w:hAnsi="Verdana"/>
                <w:color w:val="7F7F7F" w:themeColor="text1" w:themeTint="80"/>
                <w:sz w:val="22"/>
                <w:szCs w:val="22"/>
                <w:lang w:val="en-GB" w:eastAsia="fr-FR"/>
              </w:rPr>
              <w:t xml:space="preserve"> the duration-based equity approach. However, the demonstration was performed on a market index level and cannot be directly transposed </w:t>
            </w:r>
            <w:r>
              <w:rPr>
                <w:rFonts w:ascii="Verdana" w:hAnsi="Verdana"/>
                <w:color w:val="7F7F7F" w:themeColor="text1" w:themeTint="80"/>
                <w:sz w:val="22"/>
                <w:szCs w:val="22"/>
                <w:lang w:val="en-GB" w:eastAsia="fr-FR"/>
              </w:rPr>
              <w:t>in</w:t>
            </w:r>
            <w:r w:rsidRPr="009D2125">
              <w:rPr>
                <w:rFonts w:ascii="Verdana" w:hAnsi="Verdana"/>
                <w:color w:val="7F7F7F" w:themeColor="text1" w:themeTint="80"/>
                <w:sz w:val="22"/>
                <w:szCs w:val="22"/>
                <w:lang w:val="en-GB" w:eastAsia="fr-FR"/>
              </w:rPr>
              <w:t>to single investments.</w:t>
            </w:r>
          </w:p>
          <w:p w14:paraId="4AFE6822" w14:textId="46EAE3AC" w:rsidR="006D7A5C" w:rsidRPr="0074338F" w:rsidRDefault="006D7A5C" w:rsidP="00020B14">
            <w:pPr>
              <w:tabs>
                <w:tab w:val="left" w:pos="0"/>
                <w:tab w:val="left" w:pos="4536"/>
              </w:tabs>
              <w:spacing w:line="239" w:lineRule="auto"/>
              <w:ind w:right="6" w:hanging="565"/>
              <w:jc w:val="both"/>
              <w:rPr>
                <w:rFonts w:ascii="Verdana" w:eastAsia="Verdana" w:hAnsi="Verdana" w:cs="Verdana"/>
                <w:b/>
                <w:bCs/>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1CEDCC54" w14:textId="77777777" w:rsidR="006D7A5C" w:rsidRPr="00FE3045" w:rsidRDefault="006D7A5C" w:rsidP="00020B14">
            <w:pPr>
              <w:tabs>
                <w:tab w:val="left" w:pos="0"/>
                <w:tab w:val="left" w:pos="4536"/>
              </w:tabs>
              <w:ind w:left="-96"/>
              <w:rPr>
                <w:color w:val="000000"/>
                <w:sz w:val="22"/>
                <w:szCs w:val="22"/>
                <w:lang w:val="en-GB" w:eastAsia="fr-FR"/>
              </w:rPr>
            </w:pPr>
          </w:p>
        </w:tc>
      </w:tr>
      <w:tr w:rsidR="00FC5744" w:rsidRPr="001360A5" w14:paraId="3F5575B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515CB02" w14:textId="1A98BA76" w:rsidR="006D7A5C" w:rsidRPr="00F0251A" w:rsidRDefault="006D7A5C" w:rsidP="00020B14">
            <w:pPr>
              <w:tabs>
                <w:tab w:val="left" w:pos="0"/>
                <w:tab w:val="left" w:pos="4536"/>
              </w:tabs>
              <w:ind w:left="-96"/>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4019EDCF" w14:textId="1396DB62" w:rsidR="006D7A5C" w:rsidRPr="00F0251A" w:rsidRDefault="006D7A5C" w:rsidP="00020B14">
            <w:pPr>
              <w:tabs>
                <w:tab w:val="left" w:pos="0"/>
                <w:tab w:val="left" w:pos="4536"/>
              </w:tabs>
              <w:ind w:left="-96"/>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t>954</w:t>
            </w:r>
          </w:p>
        </w:tc>
        <w:tc>
          <w:tcPr>
            <w:tcW w:w="1999" w:type="pct"/>
            <w:tcBorders>
              <w:top w:val="single" w:sz="4" w:space="0" w:color="auto"/>
              <w:left w:val="single" w:sz="4" w:space="0" w:color="auto"/>
              <w:bottom w:val="single" w:sz="4" w:space="0" w:color="auto"/>
              <w:right w:val="single" w:sz="4" w:space="0" w:color="auto"/>
            </w:tcBorders>
          </w:tcPr>
          <w:p w14:paraId="1064B1E6" w14:textId="5A6E2D22" w:rsidR="006D7A5C" w:rsidRPr="00F0251A" w:rsidRDefault="006D7A5C" w:rsidP="00020B14">
            <w:pPr>
              <w:tabs>
                <w:tab w:val="left" w:pos="0"/>
                <w:tab w:val="left" w:pos="4536"/>
              </w:tabs>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t>We disagree with EIOPA’s changes to CEIOPS methodology</w:t>
            </w:r>
            <w:r>
              <w:rPr>
                <w:rFonts w:ascii="Verdana" w:hAnsi="Verdana"/>
                <w:color w:val="7F7F7F" w:themeColor="text1" w:themeTint="80"/>
                <w:sz w:val="22"/>
                <w:szCs w:val="22"/>
                <w:lang w:val="en-GB" w:eastAsia="fr-FR"/>
              </w:rPr>
              <w:t xml:space="preserve"> to calibrate equity risk</w:t>
            </w:r>
            <w:r w:rsidRPr="00F0251A">
              <w:rPr>
                <w:rFonts w:ascii="Verdana" w:hAnsi="Verdana"/>
                <w:color w:val="7F7F7F" w:themeColor="text1" w:themeTint="80"/>
                <w:sz w:val="22"/>
                <w:szCs w:val="22"/>
                <w:lang w:val="en-GB" w:eastAsia="fr-FR"/>
              </w:rPr>
              <w:t xml:space="preserve"> and the use of excess returns.</w:t>
            </w:r>
          </w:p>
          <w:p w14:paraId="2B108FFE" w14:textId="77777777" w:rsidR="006D7A5C" w:rsidRDefault="006D7A5C" w:rsidP="00020B14">
            <w:pPr>
              <w:tabs>
                <w:tab w:val="left" w:pos="0"/>
                <w:tab w:val="left" w:pos="4536"/>
              </w:tabs>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GB" w:eastAsia="fr-FR"/>
              </w:rPr>
              <w:t xml:space="preserve">First, this new methodology </w:t>
            </w:r>
            <w:r>
              <w:rPr>
                <w:rFonts w:ascii="Verdana" w:hAnsi="Verdana"/>
                <w:color w:val="7F7F7F" w:themeColor="text1" w:themeTint="80"/>
                <w:sz w:val="22"/>
                <w:szCs w:val="22"/>
                <w:lang w:val="en-GB" w:eastAsia="fr-FR"/>
              </w:rPr>
              <w:t>deviates</w:t>
            </w:r>
            <w:r w:rsidRPr="00F0251A">
              <w:rPr>
                <w:rFonts w:ascii="Verdana" w:hAnsi="Verdana"/>
                <w:color w:val="7F7F7F" w:themeColor="text1" w:themeTint="80"/>
                <w:sz w:val="22"/>
                <w:szCs w:val="22"/>
                <w:lang w:val="en-GB" w:eastAsia="fr-FR"/>
              </w:rPr>
              <w:t xml:space="preserve"> from </w:t>
            </w:r>
            <w:r>
              <w:rPr>
                <w:rFonts w:ascii="Verdana" w:hAnsi="Verdana"/>
                <w:color w:val="7F7F7F" w:themeColor="text1" w:themeTint="80"/>
                <w:sz w:val="22"/>
                <w:szCs w:val="22"/>
                <w:lang w:val="en-GB" w:eastAsia="fr-FR"/>
              </w:rPr>
              <w:t xml:space="preserve">the </w:t>
            </w:r>
            <w:r w:rsidRPr="00F0251A">
              <w:rPr>
                <w:rFonts w:ascii="Verdana" w:hAnsi="Verdana"/>
                <w:color w:val="7F7F7F" w:themeColor="text1" w:themeTint="80"/>
                <w:sz w:val="22"/>
                <w:szCs w:val="22"/>
                <w:lang w:val="en-GB" w:eastAsia="fr-FR"/>
              </w:rPr>
              <w:t xml:space="preserve">standard Solvency </w:t>
            </w:r>
            <w:r>
              <w:rPr>
                <w:rFonts w:ascii="Verdana" w:hAnsi="Verdana"/>
                <w:color w:val="7F7F7F" w:themeColor="text1" w:themeTint="80"/>
                <w:sz w:val="22"/>
                <w:szCs w:val="22"/>
                <w:lang w:val="en-GB" w:eastAsia="fr-FR"/>
              </w:rPr>
              <w:t>II</w:t>
            </w:r>
            <w:r w:rsidRPr="00F0251A">
              <w:rPr>
                <w:rFonts w:ascii="Verdana" w:hAnsi="Verdana"/>
                <w:color w:val="7F7F7F" w:themeColor="text1" w:themeTint="80"/>
                <w:sz w:val="22"/>
                <w:szCs w:val="22"/>
                <w:lang w:val="en-GB" w:eastAsia="fr-FR"/>
              </w:rPr>
              <w:t xml:space="preserve"> framework where </w:t>
            </w:r>
            <w:r>
              <w:rPr>
                <w:rFonts w:ascii="Verdana" w:hAnsi="Verdana"/>
                <w:color w:val="7F7F7F" w:themeColor="text1" w:themeTint="80"/>
                <w:sz w:val="22"/>
                <w:szCs w:val="22"/>
                <w:lang w:val="en-GB" w:eastAsia="fr-FR"/>
              </w:rPr>
              <w:t xml:space="preserve">only </w:t>
            </w:r>
            <w:r w:rsidRPr="00F0251A">
              <w:rPr>
                <w:rFonts w:ascii="Verdana" w:hAnsi="Verdana"/>
                <w:color w:val="7F7F7F" w:themeColor="text1" w:themeTint="80"/>
                <w:sz w:val="22"/>
                <w:szCs w:val="22"/>
                <w:lang w:val="en-GB" w:eastAsia="fr-FR"/>
              </w:rPr>
              <w:t xml:space="preserve">the loss incurred and not a double counting of the loss through </w:t>
            </w:r>
            <w:r w:rsidRPr="000B115F">
              <w:rPr>
                <w:rFonts w:ascii="Verdana" w:hAnsi="Verdana"/>
                <w:color w:val="7F7F7F" w:themeColor="text1" w:themeTint="80"/>
                <w:sz w:val="22"/>
                <w:szCs w:val="22"/>
                <w:lang w:val="en-GB" w:eastAsia="fr-FR"/>
              </w:rPr>
              <w:t>unwidening</w:t>
            </w:r>
            <w:r>
              <w:rPr>
                <w:rFonts w:ascii="Verdana" w:hAnsi="Verdana"/>
                <w:color w:val="7F7F7F" w:themeColor="text1" w:themeTint="80"/>
                <w:sz w:val="22"/>
                <w:szCs w:val="22"/>
                <w:lang w:val="en-GB" w:eastAsia="fr-FR"/>
              </w:rPr>
              <w:t xml:space="preserve"> </w:t>
            </w:r>
            <w:r w:rsidRPr="00F0251A">
              <w:rPr>
                <w:rFonts w:ascii="Verdana" w:hAnsi="Verdana"/>
                <w:color w:val="7F7F7F" w:themeColor="text1" w:themeTint="80"/>
                <w:sz w:val="22"/>
                <w:szCs w:val="22"/>
                <w:lang w:val="en-GB" w:eastAsia="fr-FR"/>
              </w:rPr>
              <w:t>is accounted for.</w:t>
            </w:r>
            <w:r>
              <w:rPr>
                <w:rFonts w:ascii="Verdana" w:hAnsi="Verdana"/>
                <w:color w:val="7F7F7F" w:themeColor="text1" w:themeTint="80"/>
                <w:sz w:val="22"/>
                <w:szCs w:val="22"/>
                <w:lang w:val="en-GB" w:eastAsia="fr-FR"/>
              </w:rPr>
              <w:t xml:space="preserve"> </w:t>
            </w:r>
            <w:r w:rsidRPr="000B115F">
              <w:rPr>
                <w:rFonts w:ascii="Verdana" w:hAnsi="Verdana"/>
                <w:color w:val="7F7F7F" w:themeColor="text1" w:themeTint="80"/>
                <w:sz w:val="22"/>
                <w:szCs w:val="22"/>
                <w:lang w:val="en-GB" w:eastAsia="fr-FR"/>
              </w:rPr>
              <w:t xml:space="preserve">Unwidening if considered should </w:t>
            </w:r>
            <w:r>
              <w:rPr>
                <w:rFonts w:ascii="Verdana" w:hAnsi="Verdana"/>
                <w:color w:val="7F7F7F" w:themeColor="text1" w:themeTint="80"/>
                <w:sz w:val="22"/>
                <w:szCs w:val="22"/>
                <w:lang w:val="en-GB" w:eastAsia="fr-FR"/>
              </w:rPr>
              <w:t xml:space="preserve">take into account </w:t>
            </w:r>
          </w:p>
          <w:p w14:paraId="6E59D5C9" w14:textId="77777777" w:rsidR="006D7A5C" w:rsidRDefault="006D7A5C" w:rsidP="00020B14">
            <w:pPr>
              <w:pStyle w:val="ListParagraph"/>
              <w:numPr>
                <w:ilvl w:val="0"/>
                <w:numId w:val="19"/>
              </w:numPr>
              <w:tabs>
                <w:tab w:val="left" w:pos="0"/>
                <w:tab w:val="left" w:pos="4536"/>
              </w:tabs>
              <w:ind w:left="0"/>
              <w:rPr>
                <w:rFonts w:ascii="Verdana" w:hAnsi="Verdana"/>
                <w:color w:val="7F7F7F" w:themeColor="text1" w:themeTint="80"/>
                <w:lang w:val="en-GB" w:eastAsia="fr-FR"/>
              </w:rPr>
            </w:pPr>
            <w:r w:rsidRPr="000B115F">
              <w:rPr>
                <w:rFonts w:ascii="Verdana" w:hAnsi="Verdana"/>
                <w:color w:val="7F7F7F" w:themeColor="text1" w:themeTint="80"/>
                <w:lang w:val="en-GB" w:eastAsia="fr-FR"/>
              </w:rPr>
              <w:t>a decreasing rate since the unwidening is performed for a one-year shorter maturity.</w:t>
            </w:r>
          </w:p>
          <w:p w14:paraId="532C235E" w14:textId="77777777" w:rsidR="006D7A5C" w:rsidRDefault="006D7A5C" w:rsidP="00020B14">
            <w:pPr>
              <w:pStyle w:val="ListParagraph"/>
              <w:numPr>
                <w:ilvl w:val="0"/>
                <w:numId w:val="19"/>
              </w:numPr>
              <w:tabs>
                <w:tab w:val="left" w:pos="0"/>
                <w:tab w:val="left" w:pos="4536"/>
              </w:tabs>
              <w:ind w:left="0"/>
              <w:rPr>
                <w:rFonts w:ascii="Verdana" w:hAnsi="Verdana"/>
                <w:color w:val="7F7F7F" w:themeColor="text1" w:themeTint="80"/>
                <w:lang w:val="en-GB" w:eastAsia="fr-FR"/>
              </w:rPr>
            </w:pPr>
            <w:r w:rsidRPr="000B115F">
              <w:rPr>
                <w:rFonts w:ascii="Verdana" w:hAnsi="Verdana"/>
                <w:color w:val="7F7F7F" w:themeColor="text1" w:themeTint="80"/>
                <w:lang w:val="en-GB" w:eastAsia="fr-FR"/>
              </w:rPr>
              <w:t>the future management actions that may affect unwidening (e.g. discretionary benefits, reallocation toward maturity, …).</w:t>
            </w:r>
          </w:p>
          <w:p w14:paraId="5803E662" w14:textId="77777777" w:rsidR="008653C0" w:rsidRDefault="008653C0" w:rsidP="00020B14">
            <w:pPr>
              <w:pStyle w:val="ListParagraph"/>
              <w:tabs>
                <w:tab w:val="left" w:pos="0"/>
                <w:tab w:val="left" w:pos="4536"/>
              </w:tabs>
              <w:ind w:left="0"/>
              <w:rPr>
                <w:rFonts w:ascii="Verdana" w:hAnsi="Verdana"/>
                <w:color w:val="7F7F7F" w:themeColor="text1" w:themeTint="80"/>
                <w:lang w:val="en-GB" w:eastAsia="fr-FR"/>
              </w:rPr>
            </w:pPr>
            <w:r>
              <w:rPr>
                <w:rFonts w:ascii="Verdana" w:hAnsi="Verdana"/>
                <w:color w:val="7F7F7F" w:themeColor="text1" w:themeTint="80"/>
                <w:lang w:val="en-GB" w:eastAsia="fr-FR"/>
              </w:rPr>
              <w:t xml:space="preserve">Above all we are not asking for a change in the VAR horizon that would involve other risks and could involve the unwinding of the discounting of </w:t>
            </w:r>
            <w:r>
              <w:rPr>
                <w:rFonts w:ascii="Verdana" w:hAnsi="Verdana"/>
                <w:color w:val="7F7F7F" w:themeColor="text1" w:themeTint="80"/>
                <w:lang w:val="en-GB" w:eastAsia="fr-FR"/>
              </w:rPr>
              <w:lastRenderedPageBreak/>
              <w:t>the BE. If that were true, it would also be true for all the other risks in the standard formula, not only equity risk.</w:t>
            </w:r>
          </w:p>
          <w:p w14:paraId="28AA2E12" w14:textId="77777777" w:rsidR="008653C0" w:rsidRDefault="008653C0" w:rsidP="00020B14">
            <w:pPr>
              <w:pStyle w:val="ListParagraph"/>
              <w:tabs>
                <w:tab w:val="left" w:pos="0"/>
                <w:tab w:val="left" w:pos="4536"/>
              </w:tabs>
              <w:ind w:left="0"/>
              <w:rPr>
                <w:rFonts w:ascii="Verdana" w:hAnsi="Verdana"/>
                <w:color w:val="7F7F7F" w:themeColor="text1" w:themeTint="80"/>
                <w:lang w:val="en-GB" w:eastAsia="fr-FR"/>
              </w:rPr>
            </w:pPr>
          </w:p>
          <w:p w14:paraId="23B634AB" w14:textId="51E609A8" w:rsidR="008653C0" w:rsidRDefault="008653C0" w:rsidP="00020B14">
            <w:pPr>
              <w:tabs>
                <w:tab w:val="left" w:pos="0"/>
                <w:tab w:val="left" w:pos="4536"/>
              </w:tabs>
              <w:spacing w:line="239" w:lineRule="auto"/>
              <w:ind w:right="6" w:hanging="565"/>
              <w:jc w:val="both"/>
              <w:rPr>
                <w:color w:val="7F7F7F" w:themeColor="text1" w:themeTint="80"/>
                <w:sz w:val="22"/>
                <w:szCs w:val="22"/>
                <w:lang w:val="en-US"/>
              </w:rPr>
            </w:pPr>
            <w:r>
              <w:rPr>
                <w:rFonts w:ascii="Verdana" w:hAnsi="Verdana"/>
                <w:color w:val="7F7F7F" w:themeColor="text1" w:themeTint="80"/>
                <w:sz w:val="22"/>
                <w:szCs w:val="22"/>
                <w:lang w:val="en-GB" w:eastAsia="fr-FR"/>
              </w:rPr>
              <w:t xml:space="preserve">The risk </w:t>
            </w:r>
            <w:r w:rsidR="00E56DCF">
              <w:rPr>
                <w:rFonts w:ascii="Verdana" w:hAnsi="Verdana"/>
                <w:color w:val="7F7F7F" w:themeColor="text1" w:themeTint="80"/>
                <w:sz w:val="22"/>
                <w:szCs w:val="22"/>
                <w:lang w:val="en-GB" w:eastAsia="fr-FR"/>
              </w:rPr>
              <w:t>under consideration</w:t>
            </w:r>
            <w:r>
              <w:rPr>
                <w:rFonts w:ascii="Verdana" w:hAnsi="Verdana"/>
                <w:color w:val="7F7F7F" w:themeColor="text1" w:themeTint="80"/>
                <w:sz w:val="22"/>
                <w:szCs w:val="22"/>
                <w:lang w:val="en-GB" w:eastAsia="fr-FR"/>
              </w:rPr>
              <w:t xml:space="preserve"> should remain a risk measured on a 1 year time horizon basis but considering the longer perspective under which the portfolio of equity is managed which allows to smooth the performance/losses where proper management actions are in place and where the insurer is able to avoid forced sales. One could either refer to an “annualized” or “conditional” VAR.</w:t>
            </w:r>
          </w:p>
          <w:p w14:paraId="3DC4EF1F" w14:textId="7B1441C5" w:rsidR="008653C0" w:rsidRPr="00823BC5" w:rsidRDefault="008653C0" w:rsidP="00020B14">
            <w:pPr>
              <w:tabs>
                <w:tab w:val="left" w:pos="0"/>
                <w:tab w:val="left" w:pos="4536"/>
              </w:tabs>
              <w:rPr>
                <w:rFonts w:ascii="Verdana" w:hAnsi="Verdana"/>
                <w:color w:val="7F7F7F" w:themeColor="text1" w:themeTint="80"/>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471658B2" w14:textId="77777777" w:rsidR="006D7A5C" w:rsidRPr="00FE3045" w:rsidRDefault="006D7A5C" w:rsidP="00020B14">
            <w:pPr>
              <w:tabs>
                <w:tab w:val="left" w:pos="0"/>
                <w:tab w:val="left" w:pos="4536"/>
              </w:tabs>
              <w:ind w:left="-96"/>
              <w:rPr>
                <w:color w:val="000000"/>
                <w:sz w:val="22"/>
                <w:szCs w:val="22"/>
                <w:lang w:val="en-GB" w:eastAsia="fr-FR"/>
              </w:rPr>
            </w:pPr>
          </w:p>
        </w:tc>
      </w:tr>
      <w:tr w:rsidR="006D7A5C" w:rsidRPr="002B6246" w14:paraId="49CC1297"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21620E52" w14:textId="7E5BBDA0" w:rsidR="006D7A5C" w:rsidRPr="002B6246" w:rsidRDefault="006D7A5C" w:rsidP="00020B14">
            <w:pPr>
              <w:tabs>
                <w:tab w:val="left" w:pos="0"/>
                <w:tab w:val="left" w:pos="4536"/>
              </w:tabs>
              <w:rPr>
                <w:rFonts w:ascii="Verdana" w:hAnsi="Verdana"/>
                <w:b/>
                <w:bCs/>
                <w:color w:val="7F7F7F" w:themeColor="text1" w:themeTint="80"/>
                <w:sz w:val="22"/>
                <w:szCs w:val="22"/>
                <w:lang w:val="en-GB" w:eastAsia="fr-FR"/>
              </w:rPr>
            </w:pPr>
            <w:r w:rsidRPr="002B6246">
              <w:rPr>
                <w:rFonts w:ascii="Verdana" w:hAnsi="Verdana"/>
                <w:b/>
                <w:bCs/>
                <w:color w:val="7F7F7F" w:themeColor="text1" w:themeTint="80"/>
                <w:sz w:val="22"/>
                <w:szCs w:val="22"/>
                <w:lang w:val="en-GB" w:eastAsia="fr-FR"/>
              </w:rPr>
              <w:t>2.10 Symmetric Adjustment Mechanism</w:t>
            </w:r>
          </w:p>
        </w:tc>
      </w:tr>
      <w:tr w:rsidR="00FC5744" w:rsidRPr="001360A5" w14:paraId="5C4568CE" w14:textId="167EB4DD" w:rsidTr="002F78B0">
        <w:trPr>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49456AC" w14:textId="1B8EF97C" w:rsidR="006D7A5C" w:rsidRPr="000B4B87" w:rsidRDefault="006D7A5C" w:rsidP="00020B14">
            <w:pPr>
              <w:tabs>
                <w:tab w:val="left" w:pos="0"/>
                <w:tab w:val="left" w:pos="4536"/>
              </w:tabs>
              <w:ind w:left="-96"/>
              <w:rPr>
                <w:rFonts w:ascii="Verdana" w:hAnsi="Verdana"/>
                <w:color w:val="7F7F7F" w:themeColor="text1" w:themeTint="80"/>
                <w:sz w:val="22"/>
                <w:szCs w:val="22"/>
                <w:lang w:val="en-GB" w:eastAsia="fr-FR"/>
              </w:rPr>
            </w:pPr>
            <w:r w:rsidRPr="000B4B87">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09CDE359" w14:textId="76A5A177" w:rsidR="006D7A5C" w:rsidRPr="000B4B87" w:rsidRDefault="006D7A5C" w:rsidP="00020B14">
            <w:pPr>
              <w:tabs>
                <w:tab w:val="left" w:pos="0"/>
                <w:tab w:val="left" w:pos="4536"/>
              </w:tabs>
              <w:ind w:left="-96"/>
              <w:rPr>
                <w:rFonts w:ascii="Verdana" w:hAnsi="Verdana"/>
                <w:color w:val="7F7F7F" w:themeColor="text1" w:themeTint="80"/>
                <w:sz w:val="22"/>
                <w:szCs w:val="22"/>
                <w:lang w:val="en-GB" w:eastAsia="fr-FR"/>
              </w:rPr>
            </w:pPr>
            <w:r w:rsidRPr="000B4B87">
              <w:rPr>
                <w:rFonts w:ascii="Verdana" w:hAnsi="Verdana"/>
                <w:color w:val="7F7F7F" w:themeColor="text1" w:themeTint="80"/>
                <w:sz w:val="22"/>
                <w:szCs w:val="22"/>
                <w:lang w:val="en-GB" w:eastAsia="fr-FR"/>
              </w:rPr>
              <w:t>983</w:t>
            </w:r>
          </w:p>
        </w:tc>
        <w:tc>
          <w:tcPr>
            <w:tcW w:w="1999" w:type="pct"/>
            <w:tcBorders>
              <w:top w:val="single" w:sz="4" w:space="0" w:color="auto"/>
              <w:left w:val="single" w:sz="4" w:space="0" w:color="auto"/>
              <w:bottom w:val="single" w:sz="4" w:space="0" w:color="auto"/>
              <w:right w:val="single" w:sz="4" w:space="0" w:color="auto"/>
            </w:tcBorders>
            <w:vAlign w:val="bottom"/>
          </w:tcPr>
          <w:p w14:paraId="7B4CBE7F" w14:textId="477F7CCD" w:rsidR="006D7A5C" w:rsidRPr="000B4B87" w:rsidRDefault="006D7A5C" w:rsidP="00020B14">
            <w:pPr>
              <w:tabs>
                <w:tab w:val="left" w:pos="0"/>
                <w:tab w:val="left" w:pos="4536"/>
              </w:tabs>
              <w:rPr>
                <w:rFonts w:ascii="Verdana" w:hAnsi="Verdana"/>
                <w:b/>
                <w:bCs/>
                <w:color w:val="7F7F7F" w:themeColor="text1" w:themeTint="80"/>
                <w:sz w:val="22"/>
                <w:szCs w:val="22"/>
                <w:lang w:val="en-GB" w:eastAsia="fr-FR"/>
              </w:rPr>
            </w:pPr>
            <w:r w:rsidRPr="000B4B87">
              <w:rPr>
                <w:rFonts w:ascii="Verdana" w:hAnsi="Verdana"/>
                <w:b/>
                <w:bCs/>
                <w:color w:val="7F7F7F" w:themeColor="text1" w:themeTint="80"/>
                <w:sz w:val="22"/>
                <w:szCs w:val="22"/>
                <w:lang w:val="en-GB" w:eastAsia="fr-FR"/>
              </w:rPr>
              <w:t>EIOPA´s Advice</w:t>
            </w:r>
          </w:p>
          <w:p w14:paraId="3A977F29" w14:textId="00E3AD3A" w:rsidR="006D7A5C" w:rsidRPr="000B4B87" w:rsidRDefault="006D7A5C" w:rsidP="00020B14">
            <w:pPr>
              <w:tabs>
                <w:tab w:val="left" w:pos="0"/>
                <w:tab w:val="left" w:pos="4536"/>
              </w:tabs>
              <w:rPr>
                <w:rFonts w:ascii="Verdana" w:hAnsi="Verdana"/>
                <w:color w:val="7F7F7F" w:themeColor="text1" w:themeTint="80"/>
                <w:sz w:val="22"/>
                <w:szCs w:val="22"/>
                <w:lang w:val="en-GB" w:eastAsia="fr-FR"/>
              </w:rPr>
            </w:pPr>
            <w:r w:rsidRPr="000B4B87">
              <w:rPr>
                <w:rFonts w:ascii="Verdana" w:hAnsi="Verdana"/>
                <w:color w:val="7F7F7F" w:themeColor="text1" w:themeTint="80"/>
                <w:sz w:val="22"/>
                <w:szCs w:val="22"/>
                <w:lang w:val="en-GB" w:eastAsia="fr-FR"/>
              </w:rPr>
              <w:t>We are supportive of the advice provided by EIOPA.</w:t>
            </w:r>
          </w:p>
        </w:tc>
        <w:tc>
          <w:tcPr>
            <w:tcW w:w="483" w:type="pct"/>
            <w:tcBorders>
              <w:top w:val="single" w:sz="4" w:space="0" w:color="auto"/>
              <w:left w:val="single" w:sz="4" w:space="0" w:color="auto"/>
              <w:bottom w:val="single" w:sz="4" w:space="0" w:color="auto"/>
              <w:right w:val="single" w:sz="4" w:space="0" w:color="auto"/>
            </w:tcBorders>
          </w:tcPr>
          <w:p w14:paraId="60F619B7" w14:textId="77777777" w:rsidR="006D7A5C" w:rsidRPr="000B4B87" w:rsidRDefault="006D7A5C" w:rsidP="00020B14">
            <w:pPr>
              <w:tabs>
                <w:tab w:val="left" w:pos="0"/>
                <w:tab w:val="left" w:pos="4536"/>
              </w:tabs>
              <w:ind w:left="-96"/>
              <w:rPr>
                <w:color w:val="7F7F7F" w:themeColor="text1" w:themeTint="80"/>
                <w:sz w:val="22"/>
                <w:szCs w:val="22"/>
                <w:lang w:val="en-GB" w:eastAsia="fr-FR"/>
              </w:rPr>
            </w:pPr>
          </w:p>
        </w:tc>
        <w:tc>
          <w:tcPr>
            <w:tcW w:w="642" w:type="pct"/>
            <w:gridSpan w:val="4"/>
          </w:tcPr>
          <w:p w14:paraId="15ED3756" w14:textId="77777777" w:rsidR="006D7A5C" w:rsidRPr="000B4B87" w:rsidRDefault="006D7A5C" w:rsidP="00020B14">
            <w:pPr>
              <w:tabs>
                <w:tab w:val="left" w:pos="0"/>
                <w:tab w:val="left" w:pos="4536"/>
              </w:tabs>
              <w:ind w:left="-96"/>
              <w:rPr>
                <w:color w:val="7F7F7F" w:themeColor="text1" w:themeTint="80"/>
                <w:lang w:val="en-US"/>
              </w:rPr>
            </w:pPr>
          </w:p>
        </w:tc>
        <w:tc>
          <w:tcPr>
            <w:tcW w:w="791" w:type="pct"/>
            <w:gridSpan w:val="2"/>
          </w:tcPr>
          <w:p w14:paraId="4870A8CC" w14:textId="77777777" w:rsidR="006D7A5C" w:rsidRPr="000B4B87" w:rsidRDefault="006D7A5C" w:rsidP="00020B14">
            <w:pPr>
              <w:tabs>
                <w:tab w:val="left" w:pos="0"/>
                <w:tab w:val="left" w:pos="4536"/>
              </w:tabs>
              <w:ind w:left="-96"/>
              <w:rPr>
                <w:color w:val="7F7F7F" w:themeColor="text1" w:themeTint="80"/>
                <w:lang w:val="en-US"/>
              </w:rPr>
            </w:pPr>
          </w:p>
        </w:tc>
      </w:tr>
      <w:tr w:rsidR="006D7A5C" w:rsidRPr="001360A5" w14:paraId="41B19D2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6AB520A0" w14:textId="1C25F06B" w:rsidR="006D7A5C" w:rsidRPr="002B6246" w:rsidRDefault="006D7A5C" w:rsidP="00020B14">
            <w:pPr>
              <w:tabs>
                <w:tab w:val="left" w:pos="0"/>
                <w:tab w:val="left" w:pos="4536"/>
              </w:tabs>
              <w:rPr>
                <w:color w:val="7F7F7F" w:themeColor="text1" w:themeTint="80"/>
                <w:sz w:val="22"/>
                <w:szCs w:val="22"/>
                <w:lang w:val="en-GB" w:eastAsia="fr-FR"/>
              </w:rPr>
            </w:pPr>
            <w:r w:rsidRPr="002B6246">
              <w:rPr>
                <w:rFonts w:ascii="Verdana" w:hAnsi="Verdana"/>
                <w:b/>
                <w:bCs/>
                <w:color w:val="7F7F7F" w:themeColor="text1" w:themeTint="80"/>
                <w:sz w:val="22"/>
                <w:szCs w:val="22"/>
                <w:lang w:val="en-GB" w:eastAsia="fr-FR"/>
              </w:rPr>
              <w:t>2.11 Transitional measure on equity risk</w:t>
            </w:r>
          </w:p>
        </w:tc>
      </w:tr>
      <w:tr w:rsidR="00FC5744" w:rsidRPr="001360A5" w14:paraId="1463734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5E79546" w14:textId="5463BB71" w:rsidR="006D7A5C" w:rsidRPr="002B6246" w:rsidRDefault="00E67D13"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2</w:t>
            </w:r>
          </w:p>
        </w:tc>
        <w:tc>
          <w:tcPr>
            <w:tcW w:w="506" w:type="pct"/>
            <w:gridSpan w:val="2"/>
            <w:tcBorders>
              <w:top w:val="single" w:sz="4" w:space="0" w:color="auto"/>
              <w:left w:val="single" w:sz="4" w:space="0" w:color="auto"/>
              <w:bottom w:val="single" w:sz="4" w:space="0" w:color="auto"/>
              <w:right w:val="single" w:sz="4" w:space="0" w:color="auto"/>
            </w:tcBorders>
          </w:tcPr>
          <w:p w14:paraId="305674AC" w14:textId="5BA2CC2C" w:rsidR="006D7A5C" w:rsidRPr="002B6246" w:rsidRDefault="00E67D13"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944</w:t>
            </w:r>
          </w:p>
        </w:tc>
        <w:tc>
          <w:tcPr>
            <w:tcW w:w="1999" w:type="pct"/>
            <w:tcBorders>
              <w:top w:val="single" w:sz="4" w:space="0" w:color="auto"/>
              <w:left w:val="single" w:sz="4" w:space="0" w:color="auto"/>
              <w:bottom w:val="single" w:sz="4" w:space="0" w:color="auto"/>
              <w:right w:val="single" w:sz="4" w:space="0" w:color="auto"/>
            </w:tcBorders>
          </w:tcPr>
          <w:p w14:paraId="7FC6C6F1" w14:textId="508D0051" w:rsidR="006D7A5C" w:rsidRPr="002B6246" w:rsidRDefault="006D7A5C" w:rsidP="00020B14">
            <w:pPr>
              <w:tabs>
                <w:tab w:val="left" w:pos="0"/>
                <w:tab w:val="left" w:pos="4536"/>
              </w:tabs>
              <w:rPr>
                <w:rFonts w:ascii="Verdana" w:hAnsi="Verdana"/>
                <w:color w:val="7F7F7F" w:themeColor="text1" w:themeTint="80"/>
                <w:sz w:val="22"/>
                <w:szCs w:val="22"/>
                <w:lang w:val="en-GB" w:eastAsia="fr-FR"/>
              </w:rPr>
            </w:pPr>
            <w:r w:rsidRPr="009C0A20">
              <w:rPr>
                <w:rFonts w:ascii="Verdana" w:hAnsi="Verdana"/>
                <w:color w:val="7F7F7F" w:themeColor="text1" w:themeTint="80"/>
                <w:sz w:val="22"/>
                <w:szCs w:val="22"/>
                <w:lang w:val="en-GB" w:eastAsia="fr-FR"/>
              </w:rPr>
              <w:t>We are supportive of the advice provided by EIOPA. Furthermore, the transitional would already be ended by the time of entering into force of any adjustment to this transitional.</w:t>
            </w:r>
          </w:p>
        </w:tc>
        <w:tc>
          <w:tcPr>
            <w:tcW w:w="483" w:type="pct"/>
            <w:tcBorders>
              <w:top w:val="single" w:sz="4" w:space="0" w:color="auto"/>
              <w:left w:val="single" w:sz="4" w:space="0" w:color="auto"/>
              <w:bottom w:val="single" w:sz="4" w:space="0" w:color="auto"/>
              <w:right w:val="single" w:sz="4" w:space="0" w:color="auto"/>
            </w:tcBorders>
          </w:tcPr>
          <w:p w14:paraId="07CB114D" w14:textId="77777777" w:rsidR="006D7A5C" w:rsidRPr="002B6246" w:rsidRDefault="006D7A5C" w:rsidP="00020B14">
            <w:pPr>
              <w:tabs>
                <w:tab w:val="left" w:pos="0"/>
                <w:tab w:val="left" w:pos="4536"/>
              </w:tabs>
              <w:ind w:left="-96"/>
              <w:rPr>
                <w:color w:val="7F7F7F" w:themeColor="text1" w:themeTint="80"/>
                <w:sz w:val="22"/>
                <w:szCs w:val="22"/>
                <w:lang w:val="en-GB" w:eastAsia="fr-FR"/>
              </w:rPr>
            </w:pPr>
          </w:p>
        </w:tc>
      </w:tr>
      <w:tr w:rsidR="006D7A5C" w:rsidRPr="005F3DE4" w14:paraId="20189D6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43AEB312" w14:textId="77777777" w:rsidR="006D7A5C" w:rsidRPr="002B6246" w:rsidRDefault="006D7A5C" w:rsidP="00020B14">
            <w:pPr>
              <w:tabs>
                <w:tab w:val="left" w:pos="0"/>
                <w:tab w:val="left" w:pos="4536"/>
              </w:tabs>
              <w:rPr>
                <w:rFonts w:ascii="Verdana" w:hAnsi="Verdana"/>
                <w:b/>
                <w:bCs/>
                <w:color w:val="7F7F7F" w:themeColor="text1" w:themeTint="80"/>
                <w:sz w:val="22"/>
                <w:szCs w:val="22"/>
                <w:lang w:val="en-GB" w:eastAsia="fr-FR"/>
              </w:rPr>
            </w:pPr>
            <w:r w:rsidRPr="002B6246">
              <w:rPr>
                <w:rFonts w:ascii="Verdana" w:hAnsi="Verdana"/>
                <w:b/>
                <w:bCs/>
                <w:color w:val="7F7F7F" w:themeColor="text1" w:themeTint="80"/>
                <w:sz w:val="22"/>
                <w:szCs w:val="22"/>
                <w:lang w:val="en-GB" w:eastAsia="fr-FR"/>
              </w:rPr>
              <w:t>3. Technical Provisions</w:t>
            </w:r>
          </w:p>
        </w:tc>
      </w:tr>
      <w:tr w:rsidR="006D7A5C" w:rsidRPr="009478C1" w14:paraId="41294E62"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6B5BF094" w14:textId="3374995E" w:rsidR="006D7A5C" w:rsidRPr="002B6246" w:rsidRDefault="006D7A5C" w:rsidP="00020B14">
            <w:pPr>
              <w:tabs>
                <w:tab w:val="left" w:pos="0"/>
                <w:tab w:val="left" w:pos="4536"/>
              </w:tabs>
              <w:rPr>
                <w:rFonts w:ascii="Verdana" w:hAnsi="Verdana"/>
                <w:b/>
                <w:bCs/>
                <w:color w:val="7F7F7F" w:themeColor="text1" w:themeTint="80"/>
                <w:sz w:val="22"/>
                <w:szCs w:val="22"/>
                <w:lang w:val="en-GB" w:eastAsia="fr-FR"/>
              </w:rPr>
            </w:pPr>
            <w:r w:rsidRPr="002B6246">
              <w:rPr>
                <w:rFonts w:ascii="Verdana" w:hAnsi="Verdana"/>
                <w:b/>
                <w:bCs/>
                <w:color w:val="7F7F7F" w:themeColor="text1" w:themeTint="80"/>
                <w:sz w:val="22"/>
                <w:szCs w:val="22"/>
                <w:lang w:val="en-GB" w:eastAsia="fr-FR"/>
              </w:rPr>
              <w:t>3.1</w:t>
            </w:r>
            <w:r w:rsidR="00F2109C">
              <w:rPr>
                <w:rFonts w:ascii="Verdana" w:hAnsi="Verdana"/>
                <w:b/>
                <w:bCs/>
                <w:color w:val="7F7F7F" w:themeColor="text1" w:themeTint="80"/>
                <w:sz w:val="22"/>
                <w:szCs w:val="22"/>
                <w:lang w:val="en-GB" w:eastAsia="fr-FR"/>
              </w:rPr>
              <w:t>.5</w:t>
            </w:r>
            <w:r w:rsidRPr="002B6246">
              <w:rPr>
                <w:rFonts w:ascii="Verdana" w:hAnsi="Verdana"/>
                <w:b/>
                <w:bCs/>
                <w:color w:val="7F7F7F" w:themeColor="text1" w:themeTint="80"/>
                <w:sz w:val="22"/>
                <w:szCs w:val="22"/>
                <w:lang w:val="en-GB" w:eastAsia="fr-FR"/>
              </w:rPr>
              <w:t xml:space="preserve"> Best estimate</w:t>
            </w:r>
            <w:r w:rsidR="00F2109C">
              <w:rPr>
                <w:rFonts w:ascii="Verdana" w:hAnsi="Verdana"/>
                <w:b/>
                <w:bCs/>
                <w:color w:val="7F7F7F" w:themeColor="text1" w:themeTint="80"/>
                <w:sz w:val="22"/>
                <w:szCs w:val="22"/>
                <w:lang w:val="en-GB" w:eastAsia="fr-FR"/>
              </w:rPr>
              <w:t>: Contract Boundaries</w:t>
            </w:r>
          </w:p>
        </w:tc>
      </w:tr>
      <w:tr w:rsidR="00FC5744" w:rsidRPr="001360A5" w14:paraId="2212C3B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A73F6AD" w14:textId="09F0BD5D" w:rsidR="006D7A5C" w:rsidRPr="00F0251A" w:rsidRDefault="00F2109C" w:rsidP="00020B14">
            <w:pPr>
              <w:tabs>
                <w:tab w:val="left" w:pos="0"/>
                <w:tab w:val="left" w:pos="4536"/>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3.1.5</w:t>
            </w:r>
          </w:p>
        </w:tc>
        <w:tc>
          <w:tcPr>
            <w:tcW w:w="506" w:type="pct"/>
            <w:gridSpan w:val="2"/>
            <w:tcBorders>
              <w:top w:val="single" w:sz="4" w:space="0" w:color="auto"/>
              <w:left w:val="single" w:sz="4" w:space="0" w:color="auto"/>
              <w:bottom w:val="single" w:sz="4" w:space="0" w:color="auto"/>
              <w:right w:val="single" w:sz="4" w:space="0" w:color="auto"/>
            </w:tcBorders>
          </w:tcPr>
          <w:p w14:paraId="7DCB486D" w14:textId="7FE91F03" w:rsidR="006D7A5C" w:rsidRPr="005C0581" w:rsidRDefault="006D7A5C" w:rsidP="00020B14">
            <w:pPr>
              <w:pStyle w:val="NormalWeb"/>
              <w:tabs>
                <w:tab w:val="left" w:pos="0"/>
                <w:tab w:val="left" w:pos="4536"/>
              </w:tabs>
              <w:spacing w:before="0" w:beforeAutospacing="0" w:after="120" w:afterAutospacing="0" w:line="276" w:lineRule="auto"/>
              <w:ind w:left="-96"/>
              <w:jc w:val="both"/>
              <w:rPr>
                <w:rFonts w:ascii="Verdana" w:eastAsia="Times New Roman" w:hAnsi="Verdana"/>
                <w:b/>
                <w:bCs/>
                <w:color w:val="7F7F7F" w:themeColor="text1" w:themeTint="80"/>
                <w:sz w:val="22"/>
                <w:szCs w:val="22"/>
                <w:lang w:val="en-US" w:eastAsia="de-DE"/>
              </w:rPr>
            </w:pPr>
            <w:r w:rsidRPr="005C0581">
              <w:rPr>
                <w:rFonts w:ascii="Verdana" w:eastAsia="Verdana" w:hAnsi="Verdana" w:cs="Verdana"/>
                <w:b/>
                <w:bCs/>
                <w:color w:val="7F7F7F" w:themeColor="text1" w:themeTint="80"/>
                <w:sz w:val="22"/>
                <w:szCs w:val="22"/>
                <w:lang w:val="en-US"/>
              </w:rPr>
              <w:t>Question to stakeholders</w:t>
            </w:r>
          </w:p>
        </w:tc>
        <w:tc>
          <w:tcPr>
            <w:tcW w:w="1999" w:type="pct"/>
            <w:tcBorders>
              <w:top w:val="single" w:sz="4" w:space="0" w:color="auto"/>
              <w:left w:val="single" w:sz="4" w:space="0" w:color="auto"/>
              <w:bottom w:val="single" w:sz="4" w:space="0" w:color="auto"/>
              <w:right w:val="single" w:sz="4" w:space="0" w:color="auto"/>
            </w:tcBorders>
          </w:tcPr>
          <w:p w14:paraId="3B653820" w14:textId="7655EE8C" w:rsidR="006D7A5C" w:rsidRPr="002B6246" w:rsidRDefault="006D7A5C" w:rsidP="00020B14">
            <w:pPr>
              <w:tabs>
                <w:tab w:val="left" w:pos="0"/>
                <w:tab w:val="left" w:pos="4536"/>
              </w:tabs>
              <w:ind w:hanging="565"/>
              <w:jc w:val="both"/>
              <w:rPr>
                <w:rFonts w:ascii="Verdana" w:eastAsia="Verdana" w:hAnsi="Verdana" w:cs="Verdana"/>
                <w:b/>
                <w:bCs/>
                <w:color w:val="7F7F7F" w:themeColor="text1" w:themeTint="80"/>
                <w:sz w:val="22"/>
                <w:szCs w:val="22"/>
                <w:lang w:val="en-US"/>
              </w:rPr>
            </w:pPr>
            <w:r w:rsidRPr="000F3B79">
              <w:rPr>
                <w:rFonts w:ascii="Verdana" w:eastAsia="Verdana" w:hAnsi="Verdana" w:cs="Verdana"/>
                <w:b/>
                <w:bCs/>
                <w:color w:val="7F7F7F" w:themeColor="text1" w:themeTint="80"/>
                <w:sz w:val="22"/>
                <w:szCs w:val="22"/>
                <w:lang w:val="en-US"/>
              </w:rPr>
              <w:t xml:space="preserve">Q3.1: </w:t>
            </w:r>
            <w:r w:rsidRPr="002B6246">
              <w:rPr>
                <w:rFonts w:ascii="Verdana" w:eastAsia="Verdana" w:hAnsi="Verdana" w:cs="Verdana"/>
                <w:b/>
                <w:bCs/>
                <w:color w:val="7F7F7F" w:themeColor="text1" w:themeTint="80"/>
                <w:sz w:val="22"/>
                <w:szCs w:val="22"/>
                <w:lang w:val="en-US"/>
              </w:rPr>
              <w:t>EIOPA is concerned that this could imply new burdensome calculation for some undertakings and therefore wants to ask the following question: Do you consider that homogenous risk groups may include profit-making and loss-making policies? If yes, why are these policies considered to be homogeneous even if a key aspect like profitability is so different? Concrete examples to illustrate the answers will be welcomed.</w:t>
            </w:r>
          </w:p>
          <w:p w14:paraId="35913BFD" w14:textId="77777777" w:rsidR="006D7A5C" w:rsidRPr="00A11018" w:rsidRDefault="006D7A5C" w:rsidP="00020B14">
            <w:pPr>
              <w:tabs>
                <w:tab w:val="left" w:pos="0"/>
                <w:tab w:val="left" w:pos="4536"/>
              </w:tabs>
              <w:jc w:val="both"/>
              <w:rPr>
                <w:color w:val="7F7F7F" w:themeColor="text1" w:themeTint="80"/>
                <w:sz w:val="20"/>
                <w:szCs w:val="20"/>
                <w:lang w:val="en-US"/>
              </w:rPr>
            </w:pPr>
          </w:p>
          <w:p w14:paraId="344526C2" w14:textId="77777777" w:rsidR="003A6F7B" w:rsidRPr="00DA27AC" w:rsidRDefault="003A6F7B" w:rsidP="00020B14">
            <w:pPr>
              <w:tabs>
                <w:tab w:val="left" w:pos="0"/>
                <w:tab w:val="left" w:pos="4536"/>
              </w:tabs>
              <w:rPr>
                <w:rFonts w:ascii="Verdana" w:hAnsi="Verdana" w:cs="Helvetica"/>
                <w:color w:val="7F7F7F" w:themeColor="text1" w:themeTint="80"/>
                <w:sz w:val="22"/>
                <w:szCs w:val="22"/>
                <w:lang w:val="en-US"/>
              </w:rPr>
            </w:pPr>
            <w:r>
              <w:rPr>
                <w:rFonts w:ascii="Verdana" w:hAnsi="Verdana" w:cs="Helvetica"/>
                <w:color w:val="7F7F7F" w:themeColor="text1" w:themeTint="80"/>
                <w:sz w:val="22"/>
                <w:szCs w:val="22"/>
                <w:lang w:val="en-US"/>
              </w:rPr>
              <w:lastRenderedPageBreak/>
              <w:t>Firstly, w</w:t>
            </w:r>
            <w:r w:rsidRPr="00DA27AC">
              <w:rPr>
                <w:rFonts w:ascii="Verdana" w:hAnsi="Verdana" w:cs="Helvetica"/>
                <w:color w:val="7F7F7F" w:themeColor="text1" w:themeTint="80"/>
                <w:sz w:val="22"/>
                <w:szCs w:val="22"/>
                <w:lang w:val="en-US"/>
              </w:rPr>
              <w:t xml:space="preserve">e would like </w:t>
            </w:r>
            <w:r>
              <w:rPr>
                <w:rFonts w:ascii="Verdana" w:hAnsi="Verdana" w:cs="Helvetica"/>
                <w:color w:val="7F7F7F" w:themeColor="text1" w:themeTint="80"/>
                <w:sz w:val="22"/>
                <w:szCs w:val="22"/>
                <w:lang w:val="en-US"/>
              </w:rPr>
              <w:t xml:space="preserve">again </w:t>
            </w:r>
            <w:r w:rsidRPr="00DA27AC">
              <w:rPr>
                <w:rFonts w:ascii="Verdana" w:hAnsi="Verdana" w:cs="Helvetica"/>
                <w:color w:val="7F7F7F" w:themeColor="text1" w:themeTint="80"/>
                <w:sz w:val="22"/>
                <w:szCs w:val="22"/>
                <w:lang w:val="en-US"/>
              </w:rPr>
              <w:t>to remind EIOPA that insurance risks are not monitored on a policy-by-policy basis</w:t>
            </w:r>
          </w:p>
          <w:p w14:paraId="7D5BC2CB" w14:textId="3706D833" w:rsidR="006D7A5C" w:rsidRPr="00F0251A" w:rsidRDefault="003A6F7B" w:rsidP="00020B14">
            <w:pPr>
              <w:tabs>
                <w:tab w:val="left" w:pos="0"/>
                <w:tab w:val="left" w:pos="4536"/>
              </w:tabs>
              <w:rPr>
                <w:rFonts w:ascii="Verdana" w:hAnsi="Verdana" w:cs="Helvetica"/>
                <w:color w:val="7F7F7F" w:themeColor="text1" w:themeTint="80"/>
                <w:sz w:val="22"/>
                <w:szCs w:val="22"/>
                <w:lang w:val="en-US"/>
              </w:rPr>
            </w:pPr>
            <w:r w:rsidRPr="00DA27AC">
              <w:rPr>
                <w:rFonts w:ascii="Verdana" w:hAnsi="Verdana" w:cs="Helvetica"/>
                <w:color w:val="7F7F7F" w:themeColor="text1" w:themeTint="80"/>
                <w:sz w:val="22"/>
                <w:szCs w:val="22"/>
                <w:lang w:val="en-US"/>
              </w:rPr>
              <w:t>but rather on a portfolio basis</w:t>
            </w:r>
            <w:r>
              <w:rPr>
                <w:rFonts w:ascii="Verdana" w:hAnsi="Verdana" w:cs="Helvetica"/>
                <w:color w:val="7F7F7F" w:themeColor="text1" w:themeTint="80"/>
                <w:sz w:val="22"/>
                <w:szCs w:val="22"/>
                <w:lang w:val="en-US"/>
              </w:rPr>
              <w:t xml:space="preserve"> and the notion of profitability can only be seen at this portfolio basis. </w:t>
            </w:r>
            <w:r w:rsidRPr="00DA27AC">
              <w:rPr>
                <w:rFonts w:ascii="Verdana" w:hAnsi="Verdana" w:cs="Helvetica"/>
                <w:color w:val="7F7F7F" w:themeColor="text1" w:themeTint="80"/>
                <w:sz w:val="22"/>
                <w:szCs w:val="22"/>
                <w:lang w:val="en-US"/>
              </w:rPr>
              <w:t>it is not possible to know in advance which policies will be loss-making and which will be profitable.</w:t>
            </w:r>
            <w:r>
              <w:rPr>
                <w:rFonts w:ascii="Verdana" w:hAnsi="Verdana" w:cs="Helvetica"/>
                <w:color w:val="7F7F7F" w:themeColor="text1" w:themeTint="80"/>
                <w:sz w:val="22"/>
                <w:szCs w:val="22"/>
                <w:lang w:val="en-US"/>
              </w:rPr>
              <w:t xml:space="preserve"> </w:t>
            </w:r>
            <w:r w:rsidR="006D7A5C" w:rsidRPr="00F0251A">
              <w:rPr>
                <w:rFonts w:ascii="Verdana" w:hAnsi="Verdana" w:cs="Helvetica"/>
                <w:color w:val="7F7F7F" w:themeColor="text1" w:themeTint="80"/>
                <w:sz w:val="22"/>
                <w:szCs w:val="22"/>
                <w:lang w:val="en-US"/>
              </w:rPr>
              <w:t>Currently</w:t>
            </w:r>
            <w:r w:rsidR="006D7A5C">
              <w:rPr>
                <w:rFonts w:ascii="Verdana" w:hAnsi="Verdana" w:cs="Helvetica"/>
                <w:color w:val="7F7F7F" w:themeColor="text1" w:themeTint="80"/>
                <w:sz w:val="22"/>
                <w:szCs w:val="22"/>
                <w:lang w:val="en-US"/>
              </w:rPr>
              <w:t>,</w:t>
            </w:r>
            <w:r w:rsidR="006D7A5C" w:rsidRPr="00F0251A">
              <w:rPr>
                <w:rFonts w:ascii="Verdana" w:hAnsi="Verdana" w:cs="Helvetica"/>
                <w:color w:val="7F7F7F" w:themeColor="text1" w:themeTint="80"/>
                <w:sz w:val="22"/>
                <w:szCs w:val="22"/>
                <w:lang w:val="en-US"/>
              </w:rPr>
              <w:t xml:space="preserve"> firms group policies into homogeneous risk groups according to </w:t>
            </w:r>
            <w:r w:rsidR="006D7A5C">
              <w:rPr>
                <w:rFonts w:ascii="Verdana" w:hAnsi="Verdana" w:cs="Helvetica"/>
                <w:color w:val="7F7F7F" w:themeColor="text1" w:themeTint="80"/>
                <w:sz w:val="22"/>
                <w:szCs w:val="22"/>
                <w:lang w:val="en-US"/>
              </w:rPr>
              <w:t>their</w:t>
            </w:r>
            <w:r w:rsidR="006D7A5C" w:rsidRPr="00F0251A">
              <w:rPr>
                <w:rFonts w:ascii="Verdana" w:hAnsi="Verdana" w:cs="Helvetica"/>
                <w:color w:val="7F7F7F" w:themeColor="text1" w:themeTint="80"/>
                <w:sz w:val="22"/>
                <w:szCs w:val="22"/>
                <w:lang w:val="en-US"/>
              </w:rPr>
              <w:t xml:space="preserve"> technical features. Any grouping that would take into </w:t>
            </w:r>
            <w:bookmarkStart w:id="16" w:name="_Hlk29764365"/>
            <w:r w:rsidR="006D7A5C" w:rsidRPr="00F0251A">
              <w:rPr>
                <w:rFonts w:ascii="Verdana" w:hAnsi="Verdana" w:cs="Helvetica"/>
                <w:color w:val="7F7F7F" w:themeColor="text1" w:themeTint="80"/>
                <w:sz w:val="22"/>
                <w:szCs w:val="22"/>
                <w:lang w:val="en-US"/>
              </w:rPr>
              <w:t xml:space="preserve">account profitability considerations (i.e. profitable and loss-making policies) would require </w:t>
            </w:r>
            <w:bookmarkEnd w:id="16"/>
            <w:r w:rsidR="006D7A5C" w:rsidRPr="00F0251A">
              <w:rPr>
                <w:rFonts w:ascii="Verdana" w:hAnsi="Verdana" w:cs="Helvetica"/>
                <w:color w:val="7F7F7F" w:themeColor="text1" w:themeTint="80"/>
                <w:sz w:val="22"/>
                <w:szCs w:val="22"/>
                <w:lang w:val="en-US"/>
              </w:rPr>
              <w:t xml:space="preserve">profitability analysis at individual policy level as a first step </w:t>
            </w:r>
            <w:r w:rsidR="006D7A5C">
              <w:rPr>
                <w:rFonts w:ascii="Verdana" w:hAnsi="Verdana" w:cs="Helvetica"/>
                <w:color w:val="7F7F7F" w:themeColor="text1" w:themeTint="80"/>
                <w:sz w:val="22"/>
                <w:szCs w:val="22"/>
                <w:lang w:val="en-US"/>
              </w:rPr>
              <w:t xml:space="preserve">and </w:t>
            </w:r>
            <w:r w:rsidR="006D7A5C" w:rsidRPr="00F0251A">
              <w:rPr>
                <w:rFonts w:ascii="Verdana" w:hAnsi="Verdana" w:cs="Helvetica"/>
                <w:color w:val="7F7F7F" w:themeColor="text1" w:themeTint="80"/>
                <w:sz w:val="22"/>
                <w:szCs w:val="22"/>
                <w:lang w:val="en-US"/>
              </w:rPr>
              <w:t>before grouping the policies into profitable or loss-making HRG</w:t>
            </w:r>
            <w:r w:rsidR="006D7A5C">
              <w:rPr>
                <w:rFonts w:ascii="Verdana" w:hAnsi="Verdana" w:cs="Helvetica"/>
                <w:color w:val="7F7F7F" w:themeColor="text1" w:themeTint="80"/>
                <w:sz w:val="22"/>
                <w:szCs w:val="22"/>
                <w:lang w:val="en-US"/>
              </w:rPr>
              <w:t>s</w:t>
            </w:r>
            <w:r w:rsidR="006D7A5C" w:rsidRPr="00F0251A">
              <w:rPr>
                <w:rFonts w:ascii="Verdana" w:hAnsi="Verdana" w:cs="Helvetica"/>
                <w:color w:val="7F7F7F" w:themeColor="text1" w:themeTint="80"/>
                <w:sz w:val="22"/>
                <w:szCs w:val="22"/>
                <w:lang w:val="en-US"/>
              </w:rPr>
              <w:t xml:space="preserve">. The proposed approach will be very onerous from an operational perspective. Furthermore, the debate around how to determine the profitability of contracts is still open </w:t>
            </w:r>
            <w:r w:rsidR="006D7A5C">
              <w:rPr>
                <w:rFonts w:ascii="Verdana" w:hAnsi="Verdana" w:cs="Helvetica"/>
                <w:color w:val="7F7F7F" w:themeColor="text1" w:themeTint="80"/>
                <w:sz w:val="22"/>
                <w:szCs w:val="22"/>
                <w:lang w:val="en-US"/>
              </w:rPr>
              <w:t xml:space="preserve">in </w:t>
            </w:r>
            <w:r w:rsidR="006D7A5C" w:rsidRPr="00F0251A">
              <w:rPr>
                <w:rFonts w:ascii="Verdana" w:hAnsi="Verdana" w:cs="Helvetica"/>
                <w:color w:val="7F7F7F" w:themeColor="text1" w:themeTint="80"/>
                <w:sz w:val="22"/>
                <w:szCs w:val="22"/>
                <w:lang w:val="en-US"/>
              </w:rPr>
              <w:t xml:space="preserve">the context of IFRS17 Insurance Contracts standard; IFRS 17 refers to </w:t>
            </w:r>
            <w:r w:rsidR="006D7A5C">
              <w:rPr>
                <w:rFonts w:ascii="Verdana" w:hAnsi="Verdana" w:cs="Helvetica"/>
                <w:color w:val="7F7F7F" w:themeColor="text1" w:themeTint="80"/>
                <w:sz w:val="22"/>
                <w:szCs w:val="22"/>
                <w:lang w:val="en-US"/>
              </w:rPr>
              <w:t xml:space="preserve">the </w:t>
            </w:r>
            <w:r w:rsidR="006D7A5C" w:rsidRPr="00F0251A">
              <w:rPr>
                <w:rFonts w:ascii="Verdana" w:hAnsi="Verdana" w:cs="Helvetica"/>
                <w:color w:val="7F7F7F" w:themeColor="text1" w:themeTint="80"/>
                <w:sz w:val="22"/>
                <w:szCs w:val="22"/>
                <w:lang w:val="en-US"/>
              </w:rPr>
              <w:t xml:space="preserve">sharing of risks to describe situations in which the insurance contracts in one group include conditions that affect the cash flows to policyholders in a different group. The </w:t>
            </w:r>
            <w:r w:rsidR="006D7A5C">
              <w:rPr>
                <w:rFonts w:ascii="Verdana" w:hAnsi="Verdana" w:cs="Helvetica"/>
                <w:color w:val="7F7F7F" w:themeColor="text1" w:themeTint="80"/>
                <w:sz w:val="22"/>
                <w:szCs w:val="22"/>
                <w:lang w:val="en-US"/>
              </w:rPr>
              <w:t xml:space="preserve">so-called </w:t>
            </w:r>
            <w:r w:rsidR="006D7A5C" w:rsidRPr="00F0251A">
              <w:rPr>
                <w:rFonts w:ascii="Verdana" w:hAnsi="Verdana" w:cs="Helvetica"/>
                <w:color w:val="7F7F7F" w:themeColor="text1" w:themeTint="80"/>
                <w:sz w:val="22"/>
                <w:szCs w:val="22"/>
                <w:lang w:val="en-US"/>
              </w:rPr>
              <w:t xml:space="preserve">“mutualization” or sharing of risks has an effect on the assessment as to whether an insurance contract is profitable or not. This is a key point of the Standard for which there is not consensus yet. We therefore advise EIOPA not to incorporate controversial elements of the IFRS17 </w:t>
            </w:r>
            <w:r w:rsidR="006D7A5C">
              <w:rPr>
                <w:rFonts w:ascii="Verdana" w:hAnsi="Verdana" w:cs="Helvetica"/>
                <w:color w:val="7F7F7F" w:themeColor="text1" w:themeTint="80"/>
                <w:sz w:val="22"/>
                <w:szCs w:val="22"/>
                <w:lang w:val="en-US"/>
              </w:rPr>
              <w:t>discussions</w:t>
            </w:r>
            <w:r w:rsidR="006D7A5C" w:rsidRPr="00F0251A">
              <w:rPr>
                <w:rFonts w:ascii="Verdana" w:hAnsi="Verdana" w:cs="Helvetica"/>
                <w:color w:val="7F7F7F" w:themeColor="text1" w:themeTint="80"/>
                <w:sz w:val="22"/>
                <w:szCs w:val="22"/>
                <w:lang w:val="en-US"/>
              </w:rPr>
              <w:t xml:space="preserve"> into the Solvency II framework.</w:t>
            </w:r>
          </w:p>
          <w:p w14:paraId="7AA667EB" w14:textId="77777777" w:rsidR="006D7A5C" w:rsidRPr="00F0251A" w:rsidRDefault="006D7A5C" w:rsidP="00020B14">
            <w:pPr>
              <w:tabs>
                <w:tab w:val="left" w:pos="0"/>
                <w:tab w:val="left" w:pos="4536"/>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5CED98FB" w14:textId="77777777" w:rsidR="006D7A5C" w:rsidRPr="00F0251A" w:rsidRDefault="006D7A5C" w:rsidP="00020B14">
            <w:pPr>
              <w:tabs>
                <w:tab w:val="left" w:pos="0"/>
                <w:tab w:val="left" w:pos="4536"/>
              </w:tabs>
              <w:ind w:left="-96"/>
              <w:rPr>
                <w:color w:val="7F7F7F" w:themeColor="text1" w:themeTint="80"/>
                <w:sz w:val="22"/>
                <w:szCs w:val="22"/>
                <w:lang w:val="en-GB" w:eastAsia="fr-FR"/>
              </w:rPr>
            </w:pPr>
          </w:p>
        </w:tc>
      </w:tr>
      <w:tr w:rsidR="00DA17DB" w:rsidRPr="001360A5" w14:paraId="1659BEF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3084" w:type="pct"/>
            <w:gridSpan w:val="4"/>
            <w:tcBorders>
              <w:top w:val="single" w:sz="4" w:space="0" w:color="auto"/>
              <w:left w:val="single" w:sz="4" w:space="0" w:color="auto"/>
              <w:bottom w:val="single" w:sz="4" w:space="0" w:color="auto"/>
              <w:right w:val="single" w:sz="4" w:space="0" w:color="auto"/>
            </w:tcBorders>
            <w:shd w:val="clear" w:color="auto" w:fill="auto"/>
            <w:noWrap/>
          </w:tcPr>
          <w:p w14:paraId="4EADB9D1" w14:textId="77777777" w:rsidR="00DA17DB" w:rsidRPr="00241BEA" w:rsidRDefault="00DA17DB" w:rsidP="00020B14">
            <w:pPr>
              <w:tabs>
                <w:tab w:val="left" w:pos="0"/>
                <w:tab w:val="left" w:pos="4536"/>
              </w:tabs>
              <w:rPr>
                <w:rFonts w:ascii="Verdana" w:hAnsi="Verdana" w:cs="Helvetica"/>
                <w:color w:val="7F7F7F" w:themeColor="text1" w:themeTint="80"/>
                <w:sz w:val="22"/>
                <w:szCs w:val="22"/>
                <w:lang w:val="en-US"/>
              </w:rPr>
            </w:pPr>
            <w:r w:rsidRPr="00241BEA">
              <w:rPr>
                <w:rFonts w:ascii="Verdana" w:eastAsia="Verdana" w:hAnsi="Verdana" w:cs="Verdana"/>
                <w:b/>
                <w:bCs/>
                <w:color w:val="7F7F7F" w:themeColor="text1" w:themeTint="80"/>
                <w:sz w:val="22"/>
                <w:szCs w:val="22"/>
                <w:lang w:val="en-US"/>
              </w:rPr>
              <w:t>Calculation of Expected Profits in Future Premiums (EPIFP)</w:t>
            </w:r>
          </w:p>
        </w:tc>
        <w:tc>
          <w:tcPr>
            <w:tcW w:w="483" w:type="pct"/>
            <w:tcBorders>
              <w:top w:val="single" w:sz="4" w:space="0" w:color="auto"/>
              <w:left w:val="single" w:sz="4" w:space="0" w:color="auto"/>
              <w:bottom w:val="single" w:sz="4" w:space="0" w:color="auto"/>
              <w:right w:val="single" w:sz="4" w:space="0" w:color="auto"/>
            </w:tcBorders>
          </w:tcPr>
          <w:p w14:paraId="79BE5898" w14:textId="77777777" w:rsidR="00DA17DB" w:rsidRPr="00241BEA" w:rsidRDefault="00DA17DB" w:rsidP="00020B14">
            <w:pPr>
              <w:tabs>
                <w:tab w:val="left" w:pos="0"/>
                <w:tab w:val="left" w:pos="4536"/>
              </w:tabs>
              <w:ind w:left="-96"/>
              <w:rPr>
                <w:color w:val="7F7F7F" w:themeColor="text1" w:themeTint="80"/>
                <w:sz w:val="22"/>
                <w:szCs w:val="22"/>
                <w:lang w:val="en-GB" w:eastAsia="fr-FR"/>
              </w:rPr>
            </w:pPr>
          </w:p>
        </w:tc>
      </w:tr>
      <w:tr w:rsidR="00FC5744" w:rsidRPr="001360A5" w14:paraId="1D6AA5AA"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C0024C3" w14:textId="77777777" w:rsidR="00DA17DB" w:rsidRPr="00F0251A" w:rsidRDefault="00DA17DB" w:rsidP="00020B14">
            <w:pPr>
              <w:tabs>
                <w:tab w:val="left" w:pos="0"/>
                <w:tab w:val="left" w:pos="4536"/>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3</w:t>
            </w:r>
          </w:p>
        </w:tc>
        <w:tc>
          <w:tcPr>
            <w:tcW w:w="506" w:type="pct"/>
            <w:gridSpan w:val="2"/>
            <w:tcBorders>
              <w:top w:val="single" w:sz="4" w:space="0" w:color="auto"/>
              <w:left w:val="single" w:sz="4" w:space="0" w:color="auto"/>
              <w:bottom w:val="single" w:sz="4" w:space="0" w:color="auto"/>
              <w:right w:val="single" w:sz="4" w:space="0" w:color="auto"/>
            </w:tcBorders>
          </w:tcPr>
          <w:p w14:paraId="7C8EF932" w14:textId="77777777" w:rsidR="00DA17DB" w:rsidRPr="00CF2245" w:rsidRDefault="00DA17DB" w:rsidP="00020B14">
            <w:pPr>
              <w:tabs>
                <w:tab w:val="left" w:pos="0"/>
                <w:tab w:val="left" w:pos="4536"/>
              </w:tabs>
              <w:ind w:left="-96"/>
              <w:rPr>
                <w:rFonts w:ascii="Verdana" w:hAnsi="Verdana"/>
                <w:bCs/>
                <w:color w:val="7F7F7F" w:themeColor="text1" w:themeTint="80"/>
                <w:sz w:val="22"/>
                <w:szCs w:val="22"/>
                <w:lang w:val="en-GB"/>
              </w:rPr>
            </w:pPr>
            <w:r w:rsidRPr="00CF2245">
              <w:rPr>
                <w:rFonts w:ascii="Verdana" w:hAnsi="Verdana"/>
                <w:bCs/>
                <w:color w:val="7F7F7F" w:themeColor="text1" w:themeTint="80"/>
                <w:sz w:val="22"/>
                <w:szCs w:val="22"/>
                <w:lang w:val="en-GB"/>
              </w:rPr>
              <w:t>74</w:t>
            </w:r>
          </w:p>
        </w:tc>
        <w:tc>
          <w:tcPr>
            <w:tcW w:w="1999" w:type="pct"/>
            <w:tcBorders>
              <w:top w:val="single" w:sz="4" w:space="0" w:color="auto"/>
              <w:left w:val="single" w:sz="4" w:space="0" w:color="auto"/>
              <w:bottom w:val="single" w:sz="4" w:space="0" w:color="auto"/>
              <w:right w:val="single" w:sz="4" w:space="0" w:color="auto"/>
            </w:tcBorders>
          </w:tcPr>
          <w:p w14:paraId="13FAE163" w14:textId="77777777" w:rsidR="00DA17DB" w:rsidRPr="00F0251A" w:rsidRDefault="00DA17DB" w:rsidP="00020B14">
            <w:pPr>
              <w:tabs>
                <w:tab w:val="left" w:pos="0"/>
                <w:tab w:val="left" w:pos="4536"/>
              </w:tabs>
              <w:rPr>
                <w:rFonts w:ascii="Verdana" w:hAnsi="Verdana" w:cs="Helvetica"/>
                <w:color w:val="7F7F7F" w:themeColor="text1" w:themeTint="80"/>
                <w:sz w:val="22"/>
                <w:szCs w:val="22"/>
                <w:lang w:val="en-US"/>
              </w:rPr>
            </w:pPr>
            <w:r>
              <w:rPr>
                <w:rFonts w:ascii="Verdana" w:hAnsi="Verdana" w:cs="Helvetica"/>
                <w:color w:val="7F7F7F" w:themeColor="text1" w:themeTint="80"/>
                <w:sz w:val="22"/>
                <w:szCs w:val="22"/>
                <w:lang w:val="en-US"/>
              </w:rPr>
              <w:t xml:space="preserve">We reject the proposed amendments to Article 260(4) of the Delegated Regulation on the calculation of EPIFPs. </w:t>
            </w:r>
            <w:r w:rsidRPr="00F0251A">
              <w:rPr>
                <w:rFonts w:ascii="Verdana" w:hAnsi="Verdana" w:cs="Helvetica"/>
                <w:color w:val="7F7F7F" w:themeColor="text1" w:themeTint="80"/>
                <w:sz w:val="22"/>
                <w:szCs w:val="22"/>
                <w:lang w:val="en-US"/>
              </w:rPr>
              <w:t>Currently</w:t>
            </w:r>
            <w:r>
              <w:rPr>
                <w:rFonts w:ascii="Verdana" w:hAnsi="Verdana" w:cs="Helvetica"/>
                <w:color w:val="7F7F7F" w:themeColor="text1" w:themeTint="80"/>
                <w:sz w:val="22"/>
                <w:szCs w:val="22"/>
                <w:lang w:val="en-US"/>
              </w:rPr>
              <w:t>,</w:t>
            </w:r>
            <w:r w:rsidRPr="00F0251A">
              <w:rPr>
                <w:rFonts w:ascii="Verdana" w:hAnsi="Verdana" w:cs="Helvetica"/>
                <w:color w:val="7F7F7F" w:themeColor="text1" w:themeTint="80"/>
                <w:sz w:val="22"/>
                <w:szCs w:val="22"/>
                <w:lang w:val="en-US"/>
              </w:rPr>
              <w:t xml:space="preserve"> firms group policies into homogeneous risk groups according to </w:t>
            </w:r>
            <w:r>
              <w:rPr>
                <w:rFonts w:ascii="Verdana" w:hAnsi="Verdana" w:cs="Helvetica"/>
                <w:color w:val="7F7F7F" w:themeColor="text1" w:themeTint="80"/>
                <w:sz w:val="22"/>
                <w:szCs w:val="22"/>
                <w:lang w:val="en-US"/>
              </w:rPr>
              <w:t>their</w:t>
            </w:r>
            <w:r w:rsidRPr="00F0251A">
              <w:rPr>
                <w:rFonts w:ascii="Verdana" w:hAnsi="Verdana" w:cs="Helvetica"/>
                <w:color w:val="7F7F7F" w:themeColor="text1" w:themeTint="80"/>
                <w:sz w:val="22"/>
                <w:szCs w:val="22"/>
                <w:lang w:val="en-US"/>
              </w:rPr>
              <w:t xml:space="preserve"> technical features. Any grouping that would take into account profitability considerations (i.e. profitable and loss-making policies) would require profitability analysis at individual policy level as a first step </w:t>
            </w:r>
            <w:r>
              <w:rPr>
                <w:rFonts w:ascii="Verdana" w:hAnsi="Verdana" w:cs="Helvetica"/>
                <w:color w:val="7F7F7F" w:themeColor="text1" w:themeTint="80"/>
                <w:sz w:val="22"/>
                <w:szCs w:val="22"/>
                <w:lang w:val="en-US"/>
              </w:rPr>
              <w:t xml:space="preserve">and </w:t>
            </w:r>
            <w:r w:rsidRPr="00F0251A">
              <w:rPr>
                <w:rFonts w:ascii="Verdana" w:hAnsi="Verdana" w:cs="Helvetica"/>
                <w:color w:val="7F7F7F" w:themeColor="text1" w:themeTint="80"/>
                <w:sz w:val="22"/>
                <w:szCs w:val="22"/>
                <w:lang w:val="en-US"/>
              </w:rPr>
              <w:t xml:space="preserve">before grouping the policies </w:t>
            </w:r>
            <w:r w:rsidRPr="00F0251A">
              <w:rPr>
                <w:rFonts w:ascii="Verdana" w:hAnsi="Verdana" w:cs="Helvetica"/>
                <w:color w:val="7F7F7F" w:themeColor="text1" w:themeTint="80"/>
                <w:sz w:val="22"/>
                <w:szCs w:val="22"/>
                <w:lang w:val="en-US"/>
              </w:rPr>
              <w:lastRenderedPageBreak/>
              <w:t>into profitable or loss-making HRG</w:t>
            </w:r>
            <w:r>
              <w:rPr>
                <w:rFonts w:ascii="Verdana" w:hAnsi="Verdana" w:cs="Helvetica"/>
                <w:color w:val="7F7F7F" w:themeColor="text1" w:themeTint="80"/>
                <w:sz w:val="22"/>
                <w:szCs w:val="22"/>
                <w:lang w:val="en-US"/>
              </w:rPr>
              <w:t>s</w:t>
            </w:r>
            <w:r w:rsidRPr="00F0251A">
              <w:rPr>
                <w:rFonts w:ascii="Verdana" w:hAnsi="Verdana" w:cs="Helvetica"/>
                <w:color w:val="7F7F7F" w:themeColor="text1" w:themeTint="80"/>
                <w:sz w:val="22"/>
                <w:szCs w:val="22"/>
                <w:lang w:val="en-US"/>
              </w:rPr>
              <w:t xml:space="preserve">. The proposed approach will be very onerous from an operational perspective. Furthermore, the debate around how to determine the profitability of contracts is still open </w:t>
            </w:r>
            <w:r>
              <w:rPr>
                <w:rFonts w:ascii="Verdana" w:hAnsi="Verdana" w:cs="Helvetica"/>
                <w:color w:val="7F7F7F" w:themeColor="text1" w:themeTint="80"/>
                <w:sz w:val="22"/>
                <w:szCs w:val="22"/>
                <w:lang w:val="en-US"/>
              </w:rPr>
              <w:t xml:space="preserve">in </w:t>
            </w:r>
            <w:r w:rsidRPr="00F0251A">
              <w:rPr>
                <w:rFonts w:ascii="Verdana" w:hAnsi="Verdana" w:cs="Helvetica"/>
                <w:color w:val="7F7F7F" w:themeColor="text1" w:themeTint="80"/>
                <w:sz w:val="22"/>
                <w:szCs w:val="22"/>
                <w:lang w:val="en-US"/>
              </w:rPr>
              <w:t xml:space="preserve">the context of IFRS17 Insurance Contracts standard; IFRS 17 refers to </w:t>
            </w:r>
            <w:r>
              <w:rPr>
                <w:rFonts w:ascii="Verdana" w:hAnsi="Verdana" w:cs="Helvetica"/>
                <w:color w:val="7F7F7F" w:themeColor="text1" w:themeTint="80"/>
                <w:sz w:val="22"/>
                <w:szCs w:val="22"/>
                <w:lang w:val="en-US"/>
              </w:rPr>
              <w:t xml:space="preserve">the </w:t>
            </w:r>
            <w:r w:rsidRPr="00F0251A">
              <w:rPr>
                <w:rFonts w:ascii="Verdana" w:hAnsi="Verdana" w:cs="Helvetica"/>
                <w:color w:val="7F7F7F" w:themeColor="text1" w:themeTint="80"/>
                <w:sz w:val="22"/>
                <w:szCs w:val="22"/>
                <w:lang w:val="en-US"/>
              </w:rPr>
              <w:t xml:space="preserve">sharing of risks to describe situations in which the insurance contracts in one group include conditions that affect the cash flows to policyholders in a different group. The </w:t>
            </w:r>
            <w:r>
              <w:rPr>
                <w:rFonts w:ascii="Verdana" w:hAnsi="Verdana" w:cs="Helvetica"/>
                <w:color w:val="7F7F7F" w:themeColor="text1" w:themeTint="80"/>
                <w:sz w:val="22"/>
                <w:szCs w:val="22"/>
                <w:lang w:val="en-US"/>
              </w:rPr>
              <w:t xml:space="preserve">so-called </w:t>
            </w:r>
            <w:r w:rsidRPr="00F0251A">
              <w:rPr>
                <w:rFonts w:ascii="Verdana" w:hAnsi="Verdana" w:cs="Helvetica"/>
                <w:color w:val="7F7F7F" w:themeColor="text1" w:themeTint="80"/>
                <w:sz w:val="22"/>
                <w:szCs w:val="22"/>
                <w:lang w:val="en-US"/>
              </w:rPr>
              <w:t xml:space="preserve">“mutualization” or sharing of risks has an effect on the assessment as to whether an insurance contract is profitable or not. This is a key point of the Standard for which there is not consensus yet. We therefore advise EIOPA not to incorporate controversial elements of the IFRS17 </w:t>
            </w:r>
            <w:r>
              <w:rPr>
                <w:rFonts w:ascii="Verdana" w:hAnsi="Verdana" w:cs="Helvetica"/>
                <w:color w:val="7F7F7F" w:themeColor="text1" w:themeTint="80"/>
                <w:sz w:val="22"/>
                <w:szCs w:val="22"/>
                <w:lang w:val="en-US"/>
              </w:rPr>
              <w:t>discussions</w:t>
            </w:r>
            <w:r w:rsidRPr="00F0251A">
              <w:rPr>
                <w:rFonts w:ascii="Verdana" w:hAnsi="Verdana" w:cs="Helvetica"/>
                <w:color w:val="7F7F7F" w:themeColor="text1" w:themeTint="80"/>
                <w:sz w:val="22"/>
                <w:szCs w:val="22"/>
                <w:lang w:val="en-US"/>
              </w:rPr>
              <w:t xml:space="preserve"> into the Solvency II framework.</w:t>
            </w:r>
          </w:p>
          <w:p w14:paraId="1AA54DF0" w14:textId="77777777" w:rsidR="00DA17DB" w:rsidRPr="00CF2245" w:rsidRDefault="00DA17DB" w:rsidP="00020B14">
            <w:pPr>
              <w:tabs>
                <w:tab w:val="left" w:pos="0"/>
                <w:tab w:val="left" w:pos="4536"/>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52ABA1CA" w14:textId="77777777" w:rsidR="00DA17DB" w:rsidRPr="00FE3045" w:rsidRDefault="00DA17DB" w:rsidP="00020B14">
            <w:pPr>
              <w:tabs>
                <w:tab w:val="left" w:pos="0"/>
                <w:tab w:val="left" w:pos="4536"/>
              </w:tabs>
              <w:ind w:left="-96"/>
              <w:rPr>
                <w:color w:val="000000"/>
                <w:sz w:val="22"/>
                <w:szCs w:val="22"/>
                <w:lang w:val="en-GB" w:eastAsia="fr-FR"/>
              </w:rPr>
            </w:pPr>
          </w:p>
        </w:tc>
      </w:tr>
      <w:tr w:rsidR="006D7A5C" w:rsidRPr="000058D0" w14:paraId="361F8720"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402DBFB0" w14:textId="34F7C546" w:rsidR="006D7A5C" w:rsidRPr="002B6246" w:rsidRDefault="006D7A5C" w:rsidP="00020B14">
            <w:pPr>
              <w:tabs>
                <w:tab w:val="left" w:pos="0"/>
                <w:tab w:val="left" w:pos="4536"/>
              </w:tabs>
              <w:rPr>
                <w:color w:val="7F7F7F" w:themeColor="text1" w:themeTint="80"/>
                <w:sz w:val="22"/>
                <w:szCs w:val="22"/>
                <w:lang w:val="en-GB" w:eastAsia="fr-FR"/>
              </w:rPr>
            </w:pPr>
            <w:r w:rsidRPr="002B6246">
              <w:rPr>
                <w:rFonts w:ascii="Verdana" w:eastAsia="Verdana" w:hAnsi="Verdana" w:cs="Verdana"/>
                <w:b/>
                <w:bCs/>
                <w:color w:val="7F7F7F" w:themeColor="text1" w:themeTint="80"/>
                <w:sz w:val="22"/>
                <w:szCs w:val="22"/>
                <w:lang w:val="en-US"/>
              </w:rPr>
              <w:t xml:space="preserve">3.1.7 </w:t>
            </w:r>
            <w:r w:rsidR="00F2109C">
              <w:rPr>
                <w:rFonts w:ascii="Verdana" w:eastAsia="Verdana" w:hAnsi="Verdana" w:cs="Verdana"/>
                <w:b/>
                <w:bCs/>
                <w:color w:val="7F7F7F" w:themeColor="text1" w:themeTint="80"/>
                <w:sz w:val="22"/>
                <w:szCs w:val="22"/>
                <w:lang w:val="en-US"/>
              </w:rPr>
              <w:t xml:space="preserve">Best estimate: </w:t>
            </w:r>
            <w:r w:rsidRPr="002B6246">
              <w:rPr>
                <w:rFonts w:ascii="Verdana" w:eastAsia="Verdana" w:hAnsi="Verdana" w:cs="Verdana"/>
                <w:b/>
                <w:bCs/>
                <w:color w:val="7F7F7F" w:themeColor="text1" w:themeTint="80"/>
                <w:sz w:val="22"/>
                <w:szCs w:val="22"/>
                <w:lang w:val="en-US"/>
              </w:rPr>
              <w:t>Expenses</w:t>
            </w:r>
          </w:p>
        </w:tc>
      </w:tr>
      <w:tr w:rsidR="00FC5744" w:rsidRPr="001360A5" w14:paraId="279C02AF"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9411B0B" w14:textId="5C9450BF" w:rsidR="006D7A5C" w:rsidRPr="000A71B7" w:rsidRDefault="006D7A5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3</w:t>
            </w:r>
          </w:p>
        </w:tc>
        <w:tc>
          <w:tcPr>
            <w:tcW w:w="506" w:type="pct"/>
            <w:gridSpan w:val="2"/>
            <w:tcBorders>
              <w:top w:val="single" w:sz="4" w:space="0" w:color="auto"/>
              <w:left w:val="single" w:sz="4" w:space="0" w:color="auto"/>
              <w:bottom w:val="single" w:sz="4" w:space="0" w:color="auto"/>
              <w:right w:val="single" w:sz="4" w:space="0" w:color="auto"/>
            </w:tcBorders>
          </w:tcPr>
          <w:p w14:paraId="391EC0D0" w14:textId="77777777" w:rsidR="006D7A5C" w:rsidRPr="008A430A" w:rsidRDefault="006D7A5C" w:rsidP="00020B14">
            <w:pPr>
              <w:tabs>
                <w:tab w:val="left" w:pos="0"/>
                <w:tab w:val="left" w:pos="4536"/>
              </w:tabs>
              <w:ind w:left="-96"/>
              <w:rPr>
                <w:b/>
                <w:bCs/>
                <w:color w:val="7F7F7F" w:themeColor="text1" w:themeTint="80"/>
                <w:sz w:val="22"/>
                <w:szCs w:val="22"/>
                <w:lang w:val="en-US"/>
              </w:rPr>
            </w:pPr>
            <w:r w:rsidRPr="008A430A">
              <w:rPr>
                <w:rFonts w:ascii="Verdana" w:eastAsia="Verdana" w:hAnsi="Verdana" w:cs="Verdana"/>
                <w:b/>
                <w:bCs/>
                <w:color w:val="7F7F7F" w:themeColor="text1" w:themeTint="80"/>
                <w:sz w:val="22"/>
                <w:szCs w:val="22"/>
                <w:lang w:val="en-US"/>
              </w:rPr>
              <w:t>Questions to stakeholders</w:t>
            </w:r>
          </w:p>
          <w:p w14:paraId="6BD7B9DC" w14:textId="77777777" w:rsidR="006D7A5C" w:rsidRPr="00F0251A" w:rsidRDefault="006D7A5C" w:rsidP="00020B14">
            <w:pPr>
              <w:tabs>
                <w:tab w:val="left" w:pos="0"/>
                <w:tab w:val="left" w:pos="4536"/>
              </w:tabs>
              <w:spacing w:line="120" w:lineRule="exact"/>
              <w:ind w:left="-96"/>
              <w:rPr>
                <w:color w:val="7F7F7F" w:themeColor="text1" w:themeTint="80"/>
                <w:sz w:val="22"/>
                <w:szCs w:val="22"/>
                <w:lang w:val="en-US"/>
              </w:rPr>
            </w:pPr>
          </w:p>
          <w:p w14:paraId="11B73BF5" w14:textId="32E992B8" w:rsidR="006D7A5C" w:rsidRPr="000058D0" w:rsidRDefault="006D7A5C" w:rsidP="00020B14">
            <w:pPr>
              <w:tabs>
                <w:tab w:val="left" w:pos="0"/>
                <w:tab w:val="left" w:pos="4536"/>
              </w:tabs>
              <w:spacing w:line="239" w:lineRule="auto"/>
              <w:ind w:left="-96" w:hanging="565"/>
              <w:rPr>
                <w:sz w:val="20"/>
                <w:szCs w:val="20"/>
                <w:lang w:val="en-US"/>
              </w:rPr>
            </w:pPr>
          </w:p>
        </w:tc>
        <w:tc>
          <w:tcPr>
            <w:tcW w:w="1999" w:type="pct"/>
            <w:tcBorders>
              <w:top w:val="single" w:sz="4" w:space="0" w:color="auto"/>
              <w:left w:val="single" w:sz="4" w:space="0" w:color="auto"/>
              <w:bottom w:val="single" w:sz="4" w:space="0" w:color="auto"/>
              <w:right w:val="single" w:sz="4" w:space="0" w:color="auto"/>
            </w:tcBorders>
          </w:tcPr>
          <w:p w14:paraId="645C8FC4" w14:textId="77777777" w:rsidR="006D7A5C" w:rsidRPr="002B6246" w:rsidRDefault="006D7A5C" w:rsidP="00020B14">
            <w:pPr>
              <w:tabs>
                <w:tab w:val="left" w:pos="0"/>
                <w:tab w:val="left" w:pos="4536"/>
              </w:tabs>
              <w:rPr>
                <w:rFonts w:ascii="Verdana" w:eastAsia="Verdana" w:hAnsi="Verdana" w:cs="Verdana"/>
                <w:b/>
                <w:bCs/>
                <w:color w:val="7F7F7F" w:themeColor="text1" w:themeTint="80"/>
                <w:lang w:val="en-US"/>
              </w:rPr>
            </w:pPr>
            <w:r w:rsidRPr="002B6246">
              <w:rPr>
                <w:rFonts w:ascii="Verdana" w:eastAsia="Verdana" w:hAnsi="Verdana" w:cs="Verdana"/>
                <w:b/>
                <w:bCs/>
                <w:color w:val="7F7F7F" w:themeColor="text1" w:themeTint="80"/>
                <w:sz w:val="22"/>
                <w:szCs w:val="22"/>
                <w:lang w:val="en-US"/>
              </w:rPr>
              <w:t>Q3.2: Do you consider that the proposed definition may introduce barriers to entry for new undertakings? If yes, please elaborate the answer</w:t>
            </w:r>
            <w:r w:rsidRPr="002B6246">
              <w:rPr>
                <w:rFonts w:ascii="Verdana" w:eastAsia="Verdana" w:hAnsi="Verdana" w:cs="Verdana"/>
                <w:b/>
                <w:bCs/>
                <w:color w:val="7F7F7F" w:themeColor="text1" w:themeTint="80"/>
                <w:lang w:val="en-US"/>
              </w:rPr>
              <w:t>.</w:t>
            </w:r>
          </w:p>
          <w:p w14:paraId="3D83DA01" w14:textId="5B2B8207" w:rsidR="006D7A5C" w:rsidRPr="00FE3045" w:rsidRDefault="006D7A5C" w:rsidP="00020B14">
            <w:pPr>
              <w:tabs>
                <w:tab w:val="left" w:pos="0"/>
                <w:tab w:val="left" w:pos="4536"/>
              </w:tabs>
              <w:spacing w:before="120" w:after="120"/>
              <w:rPr>
                <w:rFonts w:ascii="Verdana" w:hAnsi="Verdana"/>
                <w:color w:val="7F7F7F"/>
                <w:sz w:val="22"/>
                <w:szCs w:val="22"/>
                <w:lang w:val="en-US"/>
              </w:rPr>
            </w:pPr>
            <w:r w:rsidRPr="00692322">
              <w:rPr>
                <w:rFonts w:ascii="Verdana" w:eastAsia="Verdana" w:hAnsi="Verdana" w:cs="Verdana"/>
                <w:color w:val="7F7F7F" w:themeColor="text1" w:themeTint="80"/>
                <w:sz w:val="22"/>
                <w:szCs w:val="22"/>
                <w:lang w:val="en-US"/>
              </w:rPr>
              <w:t xml:space="preserve">EIOPA proposes to amend </w:t>
            </w:r>
            <w:r>
              <w:rPr>
                <w:rFonts w:ascii="Verdana" w:eastAsia="Verdana" w:hAnsi="Verdana" w:cs="Verdana"/>
                <w:color w:val="7F7F7F" w:themeColor="text1" w:themeTint="80"/>
                <w:sz w:val="22"/>
                <w:szCs w:val="22"/>
                <w:lang w:val="en-US"/>
              </w:rPr>
              <w:t>A</w:t>
            </w:r>
            <w:r w:rsidRPr="00692322">
              <w:rPr>
                <w:rFonts w:ascii="Verdana" w:eastAsia="Verdana" w:hAnsi="Verdana" w:cs="Verdana"/>
                <w:color w:val="7F7F7F" w:themeColor="text1" w:themeTint="80"/>
                <w:sz w:val="22"/>
                <w:szCs w:val="22"/>
                <w:lang w:val="en-US"/>
              </w:rPr>
              <w:t xml:space="preserve">rticle 31(4) </w:t>
            </w:r>
            <w:r>
              <w:rPr>
                <w:rFonts w:ascii="Verdana" w:eastAsia="Verdana" w:hAnsi="Verdana" w:cs="Verdana"/>
                <w:color w:val="7F7F7F" w:themeColor="text1" w:themeTint="80"/>
                <w:sz w:val="22"/>
                <w:szCs w:val="22"/>
                <w:lang w:val="en-US"/>
              </w:rPr>
              <w:t xml:space="preserve">of the Delegated Regulation </w:t>
            </w:r>
            <w:r w:rsidRPr="00692322">
              <w:rPr>
                <w:rFonts w:ascii="Verdana" w:eastAsia="Verdana" w:hAnsi="Verdana" w:cs="Verdana"/>
                <w:color w:val="7F7F7F" w:themeColor="text1" w:themeTint="80"/>
                <w:sz w:val="22"/>
                <w:szCs w:val="22"/>
                <w:lang w:val="en-US"/>
              </w:rPr>
              <w:t>by which</w:t>
            </w:r>
            <w:r w:rsidRPr="00692322">
              <w:rPr>
                <w:rFonts w:ascii="Verdana" w:eastAsia="Verdana" w:hAnsi="Verdana" w:cs="Verdana"/>
                <w:i/>
                <w:iCs/>
                <w:color w:val="7F7F7F" w:themeColor="text1" w:themeTint="80"/>
                <w:sz w:val="22"/>
                <w:szCs w:val="22"/>
                <w:lang w:val="en-US"/>
              </w:rPr>
              <w:t xml:space="preserve"> </w:t>
            </w:r>
            <w:r w:rsidRPr="00D46B4C">
              <w:rPr>
                <w:rFonts w:ascii="Verdana" w:eastAsia="Verdana" w:hAnsi="Verdana" w:cs="Verdana"/>
                <w:color w:val="7F7F7F" w:themeColor="text1" w:themeTint="80"/>
                <w:sz w:val="22"/>
                <w:szCs w:val="22"/>
                <w:lang w:val="en-US"/>
              </w:rPr>
              <w:t xml:space="preserve">expenses </w:t>
            </w:r>
            <w:r w:rsidRPr="00692322">
              <w:rPr>
                <w:rFonts w:ascii="Verdana" w:eastAsia="Verdana" w:hAnsi="Verdana" w:cs="Verdana"/>
                <w:color w:val="7F7F7F" w:themeColor="text1" w:themeTint="80"/>
                <w:sz w:val="22"/>
                <w:szCs w:val="22"/>
                <w:lang w:val="en-US"/>
              </w:rPr>
              <w:t>shall be projected taking into account the decisions of the AMSB of the undertaking with respect to writing new business</w:t>
            </w:r>
            <w:r>
              <w:rPr>
                <w:rFonts w:ascii="Verdana" w:eastAsia="Verdana" w:hAnsi="Verdana" w:cs="Verdana"/>
                <w:color w:val="7F7F7F" w:themeColor="text1" w:themeTint="80"/>
                <w:sz w:val="22"/>
                <w:szCs w:val="22"/>
                <w:lang w:val="en-US"/>
              </w:rPr>
              <w:t>. We agree with this proposal as some undertakings may decide to put certain business into runoff and no new business should be considered in those circumstances.</w:t>
            </w:r>
          </w:p>
        </w:tc>
        <w:tc>
          <w:tcPr>
            <w:tcW w:w="483" w:type="pct"/>
            <w:tcBorders>
              <w:top w:val="single" w:sz="4" w:space="0" w:color="auto"/>
              <w:left w:val="single" w:sz="4" w:space="0" w:color="auto"/>
              <w:bottom w:val="single" w:sz="4" w:space="0" w:color="auto"/>
              <w:right w:val="single" w:sz="4" w:space="0" w:color="auto"/>
            </w:tcBorders>
          </w:tcPr>
          <w:p w14:paraId="064F3474" w14:textId="77777777" w:rsidR="006D7A5C" w:rsidRPr="00FE3045" w:rsidRDefault="006D7A5C" w:rsidP="00020B14">
            <w:pPr>
              <w:tabs>
                <w:tab w:val="left" w:pos="0"/>
                <w:tab w:val="left" w:pos="4536"/>
              </w:tabs>
              <w:ind w:left="-96"/>
              <w:rPr>
                <w:color w:val="000000"/>
                <w:sz w:val="22"/>
                <w:szCs w:val="22"/>
                <w:lang w:val="en-GB" w:eastAsia="fr-FR"/>
              </w:rPr>
            </w:pPr>
          </w:p>
        </w:tc>
      </w:tr>
      <w:tr w:rsidR="006D7A5C" w:rsidRPr="005D3BCE" w14:paraId="08BF3CB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271FC46C" w14:textId="77777777" w:rsidR="006D7A5C" w:rsidRPr="005D3BCE" w:rsidRDefault="006D7A5C" w:rsidP="00020B14">
            <w:pPr>
              <w:tabs>
                <w:tab w:val="left" w:pos="0"/>
                <w:tab w:val="left" w:pos="4536"/>
              </w:tabs>
              <w:rPr>
                <w:rFonts w:ascii="Verdana" w:hAnsi="Verdana"/>
                <w:b/>
                <w:bCs/>
                <w:color w:val="7F7F7F" w:themeColor="text1" w:themeTint="80"/>
                <w:sz w:val="22"/>
                <w:szCs w:val="22"/>
                <w:lang w:val="en-GB" w:eastAsia="fr-FR"/>
              </w:rPr>
            </w:pPr>
            <w:r w:rsidRPr="005D3BCE">
              <w:rPr>
                <w:rFonts w:ascii="Verdana" w:hAnsi="Verdana"/>
                <w:b/>
                <w:bCs/>
                <w:color w:val="7F7F7F" w:themeColor="text1" w:themeTint="80"/>
                <w:sz w:val="22"/>
                <w:szCs w:val="22"/>
                <w:lang w:val="en-GB" w:eastAsia="fr-FR"/>
              </w:rPr>
              <w:t>3.2 Risk Margin</w:t>
            </w:r>
          </w:p>
        </w:tc>
      </w:tr>
      <w:tr w:rsidR="00FC5744" w:rsidRPr="001360A5" w14:paraId="532C2510"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B887439" w14:textId="53AD65C3" w:rsidR="006D7A5C" w:rsidRPr="000A71B7" w:rsidRDefault="006D7A5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3</w:t>
            </w:r>
          </w:p>
        </w:tc>
        <w:tc>
          <w:tcPr>
            <w:tcW w:w="506" w:type="pct"/>
            <w:gridSpan w:val="2"/>
            <w:tcBorders>
              <w:top w:val="single" w:sz="4" w:space="0" w:color="auto"/>
              <w:left w:val="single" w:sz="4" w:space="0" w:color="auto"/>
              <w:bottom w:val="single" w:sz="4" w:space="0" w:color="auto"/>
              <w:right w:val="single" w:sz="4" w:space="0" w:color="auto"/>
            </w:tcBorders>
          </w:tcPr>
          <w:p w14:paraId="2CDF7657" w14:textId="5B50F559" w:rsidR="006D7A5C" w:rsidRPr="00FE3045" w:rsidRDefault="006D7A5C" w:rsidP="00020B14">
            <w:pPr>
              <w:pStyle w:val="NormalWeb"/>
              <w:tabs>
                <w:tab w:val="left" w:pos="0"/>
                <w:tab w:val="left" w:pos="4536"/>
              </w:tabs>
              <w:spacing w:before="0" w:beforeAutospacing="0" w:after="120" w:afterAutospacing="0" w:line="276" w:lineRule="auto"/>
              <w:ind w:left="-96"/>
              <w:jc w:val="both"/>
              <w:rPr>
                <w:rFonts w:ascii="Verdana" w:eastAsia="Times New Roman" w:hAnsi="Verdana"/>
                <w:color w:val="7F7F7F"/>
                <w:sz w:val="22"/>
                <w:szCs w:val="22"/>
                <w:lang w:val="en-US" w:eastAsia="de-DE"/>
              </w:rPr>
            </w:pPr>
            <w:r>
              <w:rPr>
                <w:rFonts w:ascii="Verdana" w:hAnsi="Verdana"/>
                <w:bCs/>
                <w:color w:val="7F7F7F"/>
                <w:sz w:val="22"/>
                <w:szCs w:val="22"/>
                <w:lang w:val="en-GB"/>
              </w:rPr>
              <w:t>General Comments</w:t>
            </w:r>
          </w:p>
        </w:tc>
        <w:tc>
          <w:tcPr>
            <w:tcW w:w="1999" w:type="pct"/>
            <w:tcBorders>
              <w:top w:val="single" w:sz="4" w:space="0" w:color="auto"/>
              <w:left w:val="single" w:sz="4" w:space="0" w:color="auto"/>
              <w:bottom w:val="single" w:sz="4" w:space="0" w:color="auto"/>
              <w:right w:val="single" w:sz="4" w:space="0" w:color="auto"/>
            </w:tcBorders>
          </w:tcPr>
          <w:p w14:paraId="7607A618" w14:textId="46729BE5" w:rsidR="006D7A5C" w:rsidRDefault="006D7A5C" w:rsidP="00020B14">
            <w:pPr>
              <w:pStyle w:val="NormalWeb"/>
              <w:tabs>
                <w:tab w:val="left" w:pos="0"/>
                <w:tab w:val="left" w:pos="4536"/>
              </w:tabs>
              <w:spacing w:before="0" w:beforeAutospacing="0" w:after="120" w:afterAutospacing="0"/>
              <w:jc w:val="both"/>
              <w:rPr>
                <w:rFonts w:ascii="Verdana" w:hAnsi="Verdana"/>
                <w:color w:val="7F7F7F" w:themeColor="text1" w:themeTint="80"/>
                <w:sz w:val="22"/>
                <w:szCs w:val="22"/>
                <w:lang w:val="en-US"/>
              </w:rPr>
            </w:pPr>
            <w:r w:rsidRPr="00CE72D2">
              <w:rPr>
                <w:rFonts w:ascii="Verdana" w:hAnsi="Verdana"/>
                <w:color w:val="7F7F7F" w:themeColor="text1" w:themeTint="80"/>
                <w:sz w:val="22"/>
                <w:szCs w:val="22"/>
                <w:lang w:val="en-US"/>
              </w:rPr>
              <w:t xml:space="preserve">We welcome the European Commission´s decision to ask for a further review of the cost of capital rate and to also extend the scope of the review to cover the additional points made around the design of the risk </w:t>
            </w:r>
            <w:r w:rsidRPr="00CE72D2">
              <w:rPr>
                <w:rFonts w:ascii="Verdana" w:hAnsi="Verdana"/>
                <w:color w:val="7F7F7F" w:themeColor="text1" w:themeTint="80"/>
                <w:sz w:val="22"/>
                <w:szCs w:val="22"/>
                <w:lang w:val="en-US"/>
              </w:rPr>
              <w:lastRenderedPageBreak/>
              <w:t>margin, the use of the VA or MA in its calculation, and the use of a fixed cost of capital rate.</w:t>
            </w:r>
          </w:p>
          <w:p w14:paraId="181F1254" w14:textId="065CD4B2" w:rsidR="006D7A5C" w:rsidRPr="00CE72D2" w:rsidRDefault="006D7A5C" w:rsidP="00020B14">
            <w:pPr>
              <w:tabs>
                <w:tab w:val="left" w:pos="0"/>
                <w:tab w:val="left" w:pos="4536"/>
              </w:tabs>
              <w:spacing w:after="120"/>
              <w:rPr>
                <w:rFonts w:ascii="Verdana" w:hAnsi="Verdana"/>
                <w:color w:val="7F7F7F" w:themeColor="text1" w:themeTint="80"/>
                <w:sz w:val="22"/>
                <w:szCs w:val="22"/>
                <w:lang w:val="en-US"/>
              </w:rPr>
            </w:pPr>
            <w:r w:rsidRPr="00CE72D2">
              <w:rPr>
                <w:rFonts w:ascii="Verdana" w:eastAsia="Arial" w:hAnsi="Verdana" w:cs="Arial"/>
                <w:color w:val="7F7F7F" w:themeColor="text1" w:themeTint="80"/>
                <w:sz w:val="22"/>
                <w:szCs w:val="22"/>
                <w:lang w:val="en-US"/>
              </w:rPr>
              <w:t xml:space="preserve">The key proposals from the industry for amendments to the risk margin </w:t>
            </w:r>
            <w:r>
              <w:rPr>
                <w:rFonts w:ascii="Verdana" w:eastAsia="Arial" w:hAnsi="Verdana" w:cs="Arial"/>
                <w:color w:val="7F7F7F" w:themeColor="text1" w:themeTint="80"/>
                <w:sz w:val="22"/>
                <w:szCs w:val="22"/>
                <w:lang w:val="en-US"/>
              </w:rPr>
              <w:t>are the following</w:t>
            </w:r>
            <w:r w:rsidRPr="00CE72D2">
              <w:rPr>
                <w:rFonts w:ascii="Verdana" w:eastAsia="Arial" w:hAnsi="Verdana" w:cs="Arial"/>
                <w:color w:val="7F7F7F" w:themeColor="text1" w:themeTint="80"/>
                <w:sz w:val="22"/>
                <w:szCs w:val="22"/>
                <w:lang w:val="en-US"/>
              </w:rPr>
              <w:t>:</w:t>
            </w:r>
          </w:p>
          <w:p w14:paraId="78E085F6" w14:textId="5A1BEAE9" w:rsidR="006D7A5C" w:rsidRPr="00CE72D2" w:rsidRDefault="006D7A5C" w:rsidP="00020B14">
            <w:pPr>
              <w:numPr>
                <w:ilvl w:val="0"/>
                <w:numId w:val="20"/>
              </w:numPr>
              <w:tabs>
                <w:tab w:val="left" w:pos="0"/>
                <w:tab w:val="left" w:pos="920"/>
                <w:tab w:val="left" w:pos="4536"/>
              </w:tabs>
              <w:ind w:hanging="353"/>
              <w:rPr>
                <w:rFonts w:ascii="Verdana" w:eastAsia="Arial" w:hAnsi="Verdana" w:cs="Arial"/>
                <w:color w:val="7F7F7F" w:themeColor="text1" w:themeTint="80"/>
                <w:sz w:val="22"/>
                <w:szCs w:val="22"/>
                <w:lang w:val="en-US"/>
              </w:rPr>
            </w:pPr>
            <w:r w:rsidRPr="00CE72D2">
              <w:rPr>
                <w:rFonts w:ascii="Verdana" w:eastAsia="Arial" w:hAnsi="Verdana" w:cs="Arial"/>
                <w:color w:val="7F7F7F" w:themeColor="text1" w:themeTint="80"/>
                <w:sz w:val="22"/>
                <w:szCs w:val="22"/>
                <w:lang w:val="en-US"/>
              </w:rPr>
              <w:t>reducing the cost-of-capital from 6%, and</w:t>
            </w:r>
            <w:r>
              <w:rPr>
                <w:rFonts w:ascii="Verdana" w:eastAsia="Arial" w:hAnsi="Verdana" w:cs="Arial"/>
                <w:color w:val="7F7F7F" w:themeColor="text1" w:themeTint="80"/>
                <w:sz w:val="22"/>
                <w:szCs w:val="22"/>
                <w:lang w:val="en-US"/>
              </w:rPr>
              <w:t xml:space="preserve"> </w:t>
            </w:r>
            <w:r w:rsidRPr="00CE72D2">
              <w:rPr>
                <w:rFonts w:ascii="Verdana" w:eastAsia="Arial" w:hAnsi="Verdana" w:cs="Arial"/>
                <w:color w:val="7F7F7F" w:themeColor="text1" w:themeTint="80"/>
                <w:sz w:val="22"/>
                <w:szCs w:val="22"/>
                <w:lang w:val="en-US"/>
              </w:rPr>
              <w:t>allowing it to vary with interest rates;</w:t>
            </w:r>
          </w:p>
          <w:p w14:paraId="48A70770" w14:textId="77777777" w:rsidR="006D7A5C" w:rsidRPr="00CE72D2" w:rsidRDefault="006D7A5C" w:rsidP="00020B14">
            <w:pPr>
              <w:numPr>
                <w:ilvl w:val="0"/>
                <w:numId w:val="20"/>
              </w:numPr>
              <w:tabs>
                <w:tab w:val="left" w:pos="0"/>
                <w:tab w:val="left" w:pos="920"/>
                <w:tab w:val="left" w:pos="4536"/>
              </w:tabs>
              <w:spacing w:line="260" w:lineRule="auto"/>
              <w:ind w:hanging="353"/>
              <w:jc w:val="both"/>
              <w:rPr>
                <w:rFonts w:ascii="Verdana" w:eastAsia="Arial" w:hAnsi="Verdana" w:cs="Arial"/>
                <w:color w:val="7F7F7F" w:themeColor="text1" w:themeTint="80"/>
                <w:sz w:val="22"/>
                <w:szCs w:val="22"/>
                <w:lang w:val="en-US"/>
              </w:rPr>
            </w:pPr>
            <w:r w:rsidRPr="00CE72D2">
              <w:rPr>
                <w:rFonts w:ascii="Verdana" w:eastAsia="Arial" w:hAnsi="Verdana" w:cs="Arial"/>
                <w:color w:val="7F7F7F" w:themeColor="text1" w:themeTint="80"/>
                <w:sz w:val="22"/>
                <w:szCs w:val="22"/>
                <w:lang w:val="en-US"/>
              </w:rPr>
              <w:t>allowing for the market cost of reinsuring longevity in place of the risk margin calculation, including a mechanism by which this could be done without any need to amend the regulations;</w:t>
            </w:r>
          </w:p>
          <w:p w14:paraId="4AD5340C" w14:textId="77777777" w:rsidR="006D7A5C" w:rsidRPr="00CE72D2" w:rsidRDefault="006D7A5C" w:rsidP="00020B14">
            <w:pPr>
              <w:tabs>
                <w:tab w:val="left" w:pos="0"/>
                <w:tab w:val="left" w:pos="4536"/>
              </w:tabs>
              <w:spacing w:line="61" w:lineRule="exact"/>
              <w:rPr>
                <w:rFonts w:ascii="Verdana" w:eastAsia="Arial" w:hAnsi="Verdana" w:cs="Arial"/>
                <w:color w:val="7F7F7F" w:themeColor="text1" w:themeTint="80"/>
                <w:sz w:val="22"/>
                <w:szCs w:val="22"/>
                <w:highlight w:val="yellow"/>
                <w:lang w:val="en-US"/>
              </w:rPr>
            </w:pPr>
          </w:p>
          <w:p w14:paraId="703A7A76" w14:textId="32586258" w:rsidR="006D7A5C" w:rsidRPr="00CE72D2" w:rsidRDefault="006D7A5C" w:rsidP="00020B14">
            <w:pPr>
              <w:numPr>
                <w:ilvl w:val="0"/>
                <w:numId w:val="20"/>
              </w:numPr>
              <w:tabs>
                <w:tab w:val="left" w:pos="0"/>
                <w:tab w:val="left" w:pos="920"/>
                <w:tab w:val="left" w:pos="4536"/>
              </w:tabs>
              <w:ind w:hanging="353"/>
              <w:rPr>
                <w:rFonts w:ascii="Verdana" w:eastAsia="Arial" w:hAnsi="Verdana" w:cs="Arial"/>
                <w:color w:val="7F7F7F" w:themeColor="text1" w:themeTint="80"/>
                <w:sz w:val="22"/>
                <w:szCs w:val="22"/>
                <w:lang w:val="en-US"/>
              </w:rPr>
            </w:pPr>
            <w:r>
              <w:rPr>
                <w:rFonts w:ascii="Verdana" w:eastAsia="Arial" w:hAnsi="Verdana" w:cs="Arial"/>
                <w:color w:val="7F7F7F" w:themeColor="text1" w:themeTint="80"/>
                <w:sz w:val="22"/>
                <w:szCs w:val="22"/>
                <w:lang w:val="en-US"/>
              </w:rPr>
              <w:t>A</w:t>
            </w:r>
            <w:r w:rsidRPr="00CE72D2">
              <w:rPr>
                <w:rFonts w:ascii="Verdana" w:eastAsia="Arial" w:hAnsi="Verdana" w:cs="Arial"/>
                <w:color w:val="7F7F7F" w:themeColor="text1" w:themeTint="80"/>
                <w:sz w:val="22"/>
                <w:szCs w:val="22"/>
                <w:lang w:val="en-US"/>
              </w:rPr>
              <w:t>llowing for the MA or VA when projecting future SCRs;</w:t>
            </w:r>
          </w:p>
          <w:p w14:paraId="0E78F35C" w14:textId="77777777" w:rsidR="006D7A5C" w:rsidRPr="00CE72D2" w:rsidRDefault="006D7A5C" w:rsidP="00020B14">
            <w:pPr>
              <w:tabs>
                <w:tab w:val="left" w:pos="0"/>
                <w:tab w:val="left" w:pos="4536"/>
              </w:tabs>
              <w:spacing w:line="120" w:lineRule="exact"/>
              <w:rPr>
                <w:rFonts w:ascii="Verdana" w:eastAsia="Arial" w:hAnsi="Verdana" w:cs="Arial"/>
                <w:color w:val="7F7F7F" w:themeColor="text1" w:themeTint="80"/>
                <w:sz w:val="22"/>
                <w:szCs w:val="22"/>
                <w:lang w:val="en-US"/>
              </w:rPr>
            </w:pPr>
          </w:p>
          <w:p w14:paraId="511CD8E0" w14:textId="03C18DDC" w:rsidR="006D7A5C" w:rsidRPr="00CE72D2" w:rsidRDefault="006D7A5C" w:rsidP="00020B14">
            <w:pPr>
              <w:numPr>
                <w:ilvl w:val="0"/>
                <w:numId w:val="20"/>
              </w:numPr>
              <w:tabs>
                <w:tab w:val="left" w:pos="0"/>
                <w:tab w:val="left" w:pos="920"/>
                <w:tab w:val="left" w:pos="4536"/>
              </w:tabs>
              <w:spacing w:line="262" w:lineRule="auto"/>
              <w:ind w:hanging="353"/>
              <w:jc w:val="both"/>
              <w:rPr>
                <w:rFonts w:ascii="Verdana" w:eastAsia="Arial" w:hAnsi="Verdana" w:cs="Arial"/>
                <w:color w:val="7F7F7F" w:themeColor="text1" w:themeTint="80"/>
                <w:sz w:val="22"/>
                <w:szCs w:val="22"/>
                <w:lang w:val="en-US"/>
              </w:rPr>
            </w:pPr>
            <w:r>
              <w:rPr>
                <w:rFonts w:ascii="Verdana" w:eastAsia="Arial" w:hAnsi="Verdana" w:cs="Arial"/>
                <w:color w:val="7F7F7F" w:themeColor="text1" w:themeTint="80"/>
                <w:sz w:val="22"/>
                <w:szCs w:val="22"/>
                <w:lang w:val="en-US"/>
              </w:rPr>
              <w:t>A</w:t>
            </w:r>
            <w:r w:rsidRPr="00CE72D2">
              <w:rPr>
                <w:rFonts w:ascii="Verdana" w:eastAsia="Arial" w:hAnsi="Verdana" w:cs="Arial"/>
                <w:color w:val="7F7F7F" w:themeColor="text1" w:themeTint="80"/>
                <w:sz w:val="22"/>
                <w:szCs w:val="22"/>
                <w:lang w:val="en-US"/>
              </w:rPr>
              <w:t>llowing for diversification between life and non-life business within the same entity and between different entities in the same Group; and</w:t>
            </w:r>
          </w:p>
          <w:p w14:paraId="5AB8FC04" w14:textId="77777777" w:rsidR="006D7A5C" w:rsidRPr="00CE72D2" w:rsidRDefault="006D7A5C" w:rsidP="00020B14">
            <w:pPr>
              <w:tabs>
                <w:tab w:val="left" w:pos="0"/>
                <w:tab w:val="left" w:pos="4536"/>
              </w:tabs>
              <w:spacing w:line="55" w:lineRule="exact"/>
              <w:rPr>
                <w:rFonts w:ascii="Verdana" w:eastAsia="Arial" w:hAnsi="Verdana" w:cs="Arial"/>
                <w:color w:val="7F7F7F" w:themeColor="text1" w:themeTint="80"/>
                <w:sz w:val="22"/>
                <w:szCs w:val="22"/>
                <w:lang w:val="en-US"/>
              </w:rPr>
            </w:pPr>
          </w:p>
          <w:p w14:paraId="13CBB3F6" w14:textId="40EA83FB" w:rsidR="006D7A5C" w:rsidRPr="003720A2" w:rsidRDefault="006D7A5C" w:rsidP="00020B14">
            <w:pPr>
              <w:numPr>
                <w:ilvl w:val="0"/>
                <w:numId w:val="20"/>
              </w:numPr>
              <w:tabs>
                <w:tab w:val="left" w:pos="0"/>
                <w:tab w:val="left" w:pos="920"/>
                <w:tab w:val="left" w:pos="4536"/>
              </w:tabs>
              <w:spacing w:line="283" w:lineRule="auto"/>
              <w:ind w:hanging="353"/>
              <w:rPr>
                <w:rFonts w:ascii="Verdana" w:hAnsi="Verdana"/>
                <w:color w:val="7F7F7F" w:themeColor="text1" w:themeTint="80"/>
                <w:sz w:val="22"/>
                <w:szCs w:val="22"/>
                <w:lang w:val="en-US"/>
              </w:rPr>
            </w:pPr>
            <w:r>
              <w:rPr>
                <w:rFonts w:ascii="Verdana" w:eastAsia="Arial" w:hAnsi="Verdana" w:cs="Arial"/>
                <w:color w:val="7F7F7F" w:themeColor="text1" w:themeTint="80"/>
                <w:sz w:val="22"/>
                <w:szCs w:val="22"/>
                <w:lang w:val="en-US"/>
              </w:rPr>
              <w:t>A</w:t>
            </w:r>
            <w:r w:rsidRPr="00CE72D2">
              <w:rPr>
                <w:rFonts w:ascii="Verdana" w:eastAsia="Arial" w:hAnsi="Verdana" w:cs="Arial"/>
                <w:color w:val="7F7F7F" w:themeColor="text1" w:themeTint="80"/>
                <w:sz w:val="22"/>
                <w:szCs w:val="22"/>
                <w:lang w:val="en-US"/>
              </w:rPr>
              <w:t>llowing for the non-independence of risks over a lifetime, e.g. by applying a</w:t>
            </w:r>
            <w:r>
              <w:rPr>
                <w:rFonts w:ascii="Verdana" w:eastAsia="Arial" w:hAnsi="Verdana" w:cs="Arial"/>
                <w:color w:val="7F7F7F" w:themeColor="text1" w:themeTint="80"/>
                <w:sz w:val="22"/>
                <w:szCs w:val="22"/>
                <w:lang w:val="en-US"/>
              </w:rPr>
              <w:t xml:space="preserve">n </w:t>
            </w:r>
            <w:r w:rsidRPr="00CE72D2">
              <w:rPr>
                <w:rFonts w:ascii="Verdana" w:eastAsia="Arial" w:hAnsi="Verdana" w:cs="Arial"/>
                <w:color w:val="7F7F7F" w:themeColor="text1" w:themeTint="80"/>
                <w:sz w:val="22"/>
                <w:szCs w:val="22"/>
                <w:lang w:val="en-US"/>
              </w:rPr>
              <w:t>adjustment to projected SCRs.</w:t>
            </w:r>
          </w:p>
        </w:tc>
        <w:tc>
          <w:tcPr>
            <w:tcW w:w="483" w:type="pct"/>
            <w:tcBorders>
              <w:top w:val="single" w:sz="4" w:space="0" w:color="auto"/>
              <w:left w:val="single" w:sz="4" w:space="0" w:color="auto"/>
              <w:bottom w:val="single" w:sz="4" w:space="0" w:color="auto"/>
              <w:right w:val="single" w:sz="4" w:space="0" w:color="auto"/>
            </w:tcBorders>
          </w:tcPr>
          <w:p w14:paraId="08C39B5E" w14:textId="77777777" w:rsidR="006D7A5C" w:rsidRPr="00FE3045" w:rsidRDefault="006D7A5C" w:rsidP="00020B14">
            <w:pPr>
              <w:tabs>
                <w:tab w:val="left" w:pos="0"/>
                <w:tab w:val="left" w:pos="4536"/>
              </w:tabs>
              <w:ind w:left="-96"/>
              <w:rPr>
                <w:color w:val="000000"/>
                <w:sz w:val="22"/>
                <w:szCs w:val="22"/>
                <w:lang w:val="en-GB" w:eastAsia="fr-FR"/>
              </w:rPr>
            </w:pPr>
          </w:p>
        </w:tc>
      </w:tr>
      <w:tr w:rsidR="00FC5744" w:rsidRPr="001360A5" w14:paraId="7F4C3340"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415B035" w14:textId="295716A9" w:rsidR="001E72A4" w:rsidRDefault="001E72A4"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3</w:t>
            </w:r>
          </w:p>
        </w:tc>
        <w:tc>
          <w:tcPr>
            <w:tcW w:w="506" w:type="pct"/>
            <w:gridSpan w:val="2"/>
            <w:tcBorders>
              <w:top w:val="single" w:sz="4" w:space="0" w:color="auto"/>
              <w:left w:val="single" w:sz="4" w:space="0" w:color="auto"/>
              <w:bottom w:val="single" w:sz="4" w:space="0" w:color="auto"/>
              <w:right w:val="single" w:sz="4" w:space="0" w:color="auto"/>
            </w:tcBorders>
          </w:tcPr>
          <w:p w14:paraId="5F15B53F" w14:textId="558D48AB" w:rsidR="001E72A4" w:rsidRDefault="001E72A4" w:rsidP="00020B14">
            <w:pPr>
              <w:pStyle w:val="NormalWeb"/>
              <w:tabs>
                <w:tab w:val="left" w:pos="0"/>
                <w:tab w:val="left" w:pos="4536"/>
              </w:tabs>
              <w:spacing w:before="0" w:beforeAutospacing="0" w:after="120" w:afterAutospacing="0" w:line="276" w:lineRule="auto"/>
              <w:ind w:left="-96"/>
              <w:jc w:val="both"/>
              <w:rPr>
                <w:rFonts w:ascii="Verdana" w:hAnsi="Verdana"/>
                <w:bCs/>
                <w:color w:val="7F7F7F"/>
                <w:sz w:val="22"/>
                <w:szCs w:val="22"/>
                <w:lang w:val="en-GB"/>
              </w:rPr>
            </w:pPr>
            <w:r>
              <w:rPr>
                <w:rFonts w:ascii="Verdana" w:hAnsi="Verdana"/>
                <w:bCs/>
                <w:color w:val="7F7F7F"/>
                <w:sz w:val="22"/>
                <w:szCs w:val="22"/>
                <w:lang w:val="en-GB"/>
              </w:rPr>
              <w:t>189</w:t>
            </w:r>
          </w:p>
        </w:tc>
        <w:tc>
          <w:tcPr>
            <w:tcW w:w="1999" w:type="pct"/>
            <w:tcBorders>
              <w:top w:val="single" w:sz="4" w:space="0" w:color="auto"/>
              <w:left w:val="single" w:sz="4" w:space="0" w:color="auto"/>
              <w:bottom w:val="single" w:sz="4" w:space="0" w:color="auto"/>
              <w:right w:val="single" w:sz="4" w:space="0" w:color="auto"/>
            </w:tcBorders>
          </w:tcPr>
          <w:p w14:paraId="5ED7237A" w14:textId="6E564988" w:rsidR="001E72A4" w:rsidRPr="00CE72D2" w:rsidRDefault="001E72A4" w:rsidP="00020B14">
            <w:pPr>
              <w:pStyle w:val="NormalWeb"/>
              <w:tabs>
                <w:tab w:val="left" w:pos="0"/>
                <w:tab w:val="left" w:pos="4536"/>
              </w:tabs>
              <w:spacing w:before="0" w:beforeAutospacing="0" w:after="120" w:afterAutospacing="0"/>
              <w:jc w:val="both"/>
              <w:rPr>
                <w:rFonts w:ascii="Verdana" w:hAnsi="Verdana"/>
                <w:color w:val="7F7F7F" w:themeColor="text1" w:themeTint="80"/>
                <w:sz w:val="22"/>
                <w:szCs w:val="22"/>
                <w:lang w:val="en-US"/>
              </w:rPr>
            </w:pPr>
            <w:r>
              <w:rPr>
                <w:rFonts w:ascii="Verdana" w:hAnsi="Verdana"/>
                <w:color w:val="7F7F7F" w:themeColor="text1" w:themeTint="80"/>
                <w:sz w:val="22"/>
                <w:szCs w:val="22"/>
                <w:lang w:val="en-US"/>
              </w:rPr>
              <w:t>We disagree with EIOPA´s statement that the allowance of the VA in the risk margin would assume that the reference undertaking invests in risky assets. Currently there are no requirements on using the VA; a firm investing risk-free is allowed to apply the volatility adjustment in the best estimate.</w:t>
            </w:r>
          </w:p>
        </w:tc>
        <w:tc>
          <w:tcPr>
            <w:tcW w:w="483" w:type="pct"/>
            <w:tcBorders>
              <w:top w:val="single" w:sz="4" w:space="0" w:color="auto"/>
              <w:left w:val="single" w:sz="4" w:space="0" w:color="auto"/>
              <w:bottom w:val="single" w:sz="4" w:space="0" w:color="auto"/>
              <w:right w:val="single" w:sz="4" w:space="0" w:color="auto"/>
            </w:tcBorders>
          </w:tcPr>
          <w:p w14:paraId="7E78E73E" w14:textId="77777777" w:rsidR="001E72A4" w:rsidRPr="00FE3045" w:rsidRDefault="001E72A4" w:rsidP="00020B14">
            <w:pPr>
              <w:tabs>
                <w:tab w:val="left" w:pos="0"/>
                <w:tab w:val="left" w:pos="4536"/>
              </w:tabs>
              <w:ind w:left="-96"/>
              <w:rPr>
                <w:color w:val="000000"/>
                <w:sz w:val="22"/>
                <w:szCs w:val="22"/>
                <w:lang w:val="en-GB" w:eastAsia="fr-FR"/>
              </w:rPr>
            </w:pPr>
          </w:p>
        </w:tc>
      </w:tr>
      <w:tr w:rsidR="006D7A5C" w:rsidRPr="001360A5" w14:paraId="7C4135C1"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3567"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7036AABE" w14:textId="3AE52D7E" w:rsidR="006D7A5C" w:rsidRPr="00146F65" w:rsidRDefault="006D7A5C" w:rsidP="00020B14">
            <w:pPr>
              <w:tabs>
                <w:tab w:val="left" w:pos="0"/>
                <w:tab w:val="left" w:pos="4536"/>
              </w:tabs>
              <w:rPr>
                <w:rFonts w:ascii="Verdana" w:hAnsi="Verdana"/>
                <w:b/>
                <w:bCs/>
                <w:color w:val="7F7F7F" w:themeColor="text1" w:themeTint="80"/>
                <w:sz w:val="22"/>
                <w:szCs w:val="22"/>
                <w:lang w:val="en-GB" w:eastAsia="fr-FR"/>
              </w:rPr>
            </w:pPr>
            <w:r w:rsidRPr="00146F65">
              <w:rPr>
                <w:rFonts w:ascii="Verdana" w:hAnsi="Verdana"/>
                <w:b/>
                <w:bCs/>
                <w:color w:val="7F7F7F" w:themeColor="text1" w:themeTint="80"/>
                <w:sz w:val="22"/>
                <w:szCs w:val="22"/>
                <w:lang w:val="en-GB" w:eastAsia="fr-FR"/>
              </w:rPr>
              <w:t>3.2.7.3 Issue III -Use of a fixed CoC rate</w:t>
            </w:r>
          </w:p>
        </w:tc>
      </w:tr>
      <w:tr w:rsidR="00FC5744" w:rsidRPr="009327D6" w14:paraId="2258963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CB81B55" w14:textId="24768B9B" w:rsidR="006D7A5C" w:rsidRPr="00FE3045" w:rsidRDefault="006D7A5C" w:rsidP="00020B14">
            <w:pPr>
              <w:tabs>
                <w:tab w:val="left" w:pos="0"/>
                <w:tab w:val="left" w:pos="4536"/>
              </w:tabs>
              <w:ind w:left="-96"/>
              <w:rPr>
                <w:rFonts w:ascii="Verdana" w:hAnsi="Verdana"/>
                <w:bCs/>
                <w:color w:val="000000"/>
                <w:sz w:val="22"/>
                <w:szCs w:val="22"/>
                <w:lang w:val="en-GB"/>
              </w:rPr>
            </w:pPr>
            <w:r w:rsidRPr="00146F65">
              <w:rPr>
                <w:rFonts w:ascii="Verdana" w:hAnsi="Verdana"/>
                <w:bCs/>
                <w:color w:val="7F7F7F" w:themeColor="text1" w:themeTint="80"/>
                <w:sz w:val="22"/>
                <w:szCs w:val="22"/>
                <w:lang w:val="en-GB"/>
              </w:rPr>
              <w:t>3</w:t>
            </w:r>
          </w:p>
        </w:tc>
        <w:tc>
          <w:tcPr>
            <w:tcW w:w="506" w:type="pct"/>
            <w:gridSpan w:val="2"/>
            <w:tcBorders>
              <w:top w:val="single" w:sz="4" w:space="0" w:color="auto"/>
              <w:left w:val="single" w:sz="4" w:space="0" w:color="auto"/>
              <w:bottom w:val="single" w:sz="4" w:space="0" w:color="auto"/>
              <w:right w:val="single" w:sz="4" w:space="0" w:color="auto"/>
            </w:tcBorders>
          </w:tcPr>
          <w:p w14:paraId="6DFD6D35" w14:textId="0E801712" w:rsidR="006D7A5C" w:rsidRPr="00FE3045" w:rsidRDefault="006D7A5C" w:rsidP="00020B14">
            <w:pPr>
              <w:pStyle w:val="NormalWeb"/>
              <w:tabs>
                <w:tab w:val="left" w:pos="0"/>
                <w:tab w:val="left" w:pos="4536"/>
              </w:tabs>
              <w:spacing w:before="0" w:beforeAutospacing="0" w:after="120" w:afterAutospacing="0" w:line="276" w:lineRule="auto"/>
              <w:ind w:left="-96"/>
              <w:jc w:val="both"/>
              <w:rPr>
                <w:rFonts w:ascii="Verdana" w:eastAsia="Times New Roman" w:hAnsi="Verdana"/>
                <w:color w:val="7F7F7F"/>
                <w:sz w:val="22"/>
                <w:szCs w:val="22"/>
                <w:lang w:val="en-US" w:eastAsia="de-DE"/>
              </w:rPr>
            </w:pPr>
            <w:r>
              <w:rPr>
                <w:rFonts w:ascii="Verdana" w:eastAsia="Times New Roman" w:hAnsi="Verdana"/>
                <w:color w:val="7F7F7F"/>
                <w:sz w:val="22"/>
                <w:szCs w:val="22"/>
                <w:lang w:val="en-US" w:eastAsia="de-DE"/>
              </w:rPr>
              <w:t>200</w:t>
            </w:r>
          </w:p>
        </w:tc>
        <w:tc>
          <w:tcPr>
            <w:tcW w:w="1999" w:type="pct"/>
            <w:tcBorders>
              <w:top w:val="single" w:sz="4" w:space="0" w:color="auto"/>
              <w:left w:val="single" w:sz="4" w:space="0" w:color="auto"/>
              <w:bottom w:val="single" w:sz="4" w:space="0" w:color="auto"/>
              <w:right w:val="single" w:sz="4" w:space="0" w:color="auto"/>
            </w:tcBorders>
          </w:tcPr>
          <w:p w14:paraId="33D9CDD0" w14:textId="5000F81D" w:rsidR="00F2109C" w:rsidRPr="00395661" w:rsidRDefault="00F2109C" w:rsidP="00020B14">
            <w:pPr>
              <w:tabs>
                <w:tab w:val="left" w:pos="0"/>
                <w:tab w:val="left" w:pos="4536"/>
              </w:tabs>
              <w:spacing w:after="120"/>
              <w:rPr>
                <w:rFonts w:ascii="Verdana" w:hAnsi="Verdana"/>
                <w:color w:val="7F7F7F" w:themeColor="text1" w:themeTint="80"/>
                <w:sz w:val="22"/>
                <w:szCs w:val="22"/>
                <w:lang w:val="en-GB"/>
              </w:rPr>
            </w:pPr>
            <w:r w:rsidRPr="00395661">
              <w:rPr>
                <w:rFonts w:ascii="Verdana" w:hAnsi="Verdana"/>
                <w:color w:val="7F7F7F" w:themeColor="text1" w:themeTint="80"/>
                <w:sz w:val="22"/>
                <w:szCs w:val="22"/>
                <w:lang w:val="en-GB"/>
              </w:rPr>
              <w:t>The objective of th</w:t>
            </w:r>
            <w:r>
              <w:rPr>
                <w:rFonts w:ascii="Verdana" w:hAnsi="Verdana"/>
                <w:color w:val="7F7F7F" w:themeColor="text1" w:themeTint="80"/>
                <w:sz w:val="22"/>
                <w:szCs w:val="22"/>
                <w:lang w:val="en-GB"/>
              </w:rPr>
              <w:t xml:space="preserve">e comments to this </w:t>
            </w:r>
            <w:r w:rsidRPr="00395661">
              <w:rPr>
                <w:rFonts w:ascii="Verdana" w:hAnsi="Verdana"/>
                <w:color w:val="7F7F7F" w:themeColor="text1" w:themeTint="80"/>
                <w:sz w:val="22"/>
                <w:szCs w:val="22"/>
                <w:lang w:val="en-GB"/>
              </w:rPr>
              <w:t xml:space="preserve">section is </w:t>
            </w:r>
            <w:r>
              <w:rPr>
                <w:rFonts w:ascii="Verdana" w:hAnsi="Verdana"/>
                <w:color w:val="7F7F7F" w:themeColor="text1" w:themeTint="80"/>
                <w:sz w:val="22"/>
                <w:szCs w:val="22"/>
                <w:lang w:val="en-GB"/>
              </w:rPr>
              <w:t xml:space="preserve">to </w:t>
            </w:r>
            <w:r w:rsidRPr="00395661">
              <w:rPr>
                <w:rFonts w:ascii="Verdana" w:hAnsi="Verdana"/>
                <w:color w:val="7F7F7F" w:themeColor="text1" w:themeTint="80"/>
                <w:sz w:val="22"/>
                <w:szCs w:val="22"/>
                <w:lang w:val="en-GB"/>
              </w:rPr>
              <w:t xml:space="preserve">rely on the 2019 </w:t>
            </w:r>
            <w:hyperlink r:id="rId18" w:history="1">
              <w:r w:rsidRPr="006D7F18">
                <w:rPr>
                  <w:rStyle w:val="Hyperlink"/>
                  <w:rFonts w:ascii="Verdana" w:hAnsi="Verdana"/>
                  <w:sz w:val="22"/>
                  <w:szCs w:val="22"/>
                  <w:lang w:val="en-GB"/>
                </w:rPr>
                <w:t>study</w:t>
              </w:r>
            </w:hyperlink>
            <w:r w:rsidRPr="00395661">
              <w:rPr>
                <w:rFonts w:ascii="Verdana" w:hAnsi="Verdana"/>
                <w:color w:val="7F7F7F" w:themeColor="text1" w:themeTint="80"/>
                <w:sz w:val="22"/>
                <w:szCs w:val="22"/>
                <w:lang w:val="en-GB"/>
              </w:rPr>
              <w:t xml:space="preserve"> by the Institute and Faculty of Actuaries (IFA) on the risk margin review in </w:t>
            </w:r>
            <w:r>
              <w:rPr>
                <w:rFonts w:ascii="Verdana" w:hAnsi="Verdana"/>
                <w:color w:val="7F7F7F" w:themeColor="text1" w:themeTint="80"/>
                <w:sz w:val="22"/>
                <w:szCs w:val="22"/>
                <w:lang w:val="en-GB"/>
              </w:rPr>
              <w:t xml:space="preserve">Solvency II. </w:t>
            </w:r>
          </w:p>
          <w:p w14:paraId="6C2250AE" w14:textId="7FD610CB" w:rsidR="006D7A5C" w:rsidRPr="00CF2245" w:rsidRDefault="00F2109C" w:rsidP="00020B14">
            <w:pPr>
              <w:tabs>
                <w:tab w:val="left" w:pos="0"/>
                <w:tab w:val="left" w:pos="4536"/>
              </w:tabs>
              <w:spacing w:line="255" w:lineRule="auto"/>
              <w:jc w:val="both"/>
              <w:rPr>
                <w:rFonts w:ascii="Verdana" w:hAnsi="Verdana"/>
                <w:color w:val="7F7F7F" w:themeColor="text1" w:themeTint="80"/>
                <w:sz w:val="22"/>
                <w:szCs w:val="22"/>
                <w:lang w:val="en-US" w:eastAsia="de-DE"/>
              </w:rPr>
            </w:pPr>
            <w:r>
              <w:rPr>
                <w:rFonts w:ascii="Verdana" w:hAnsi="Verdana"/>
                <w:color w:val="7F7F7F" w:themeColor="text1" w:themeTint="80"/>
                <w:sz w:val="22"/>
                <w:szCs w:val="22"/>
                <w:lang w:val="en-US" w:eastAsia="de-DE"/>
              </w:rPr>
              <w:t>We study indicates that t</w:t>
            </w:r>
            <w:r w:rsidR="006D7A5C" w:rsidRPr="00CF2245">
              <w:rPr>
                <w:rFonts w:ascii="Verdana" w:hAnsi="Verdana"/>
                <w:color w:val="7F7F7F" w:themeColor="text1" w:themeTint="80"/>
                <w:sz w:val="22"/>
                <w:szCs w:val="22"/>
                <w:lang w:val="en-US" w:eastAsia="de-DE"/>
              </w:rPr>
              <w:t xml:space="preserve">he risk margin is particularly sensitive to changes in risk-free rates. This volatility of the risk margin to interest </w:t>
            </w:r>
            <w:r w:rsidR="006D7A5C" w:rsidRPr="00CF2245">
              <w:rPr>
                <w:rFonts w:ascii="Verdana" w:hAnsi="Verdana"/>
                <w:color w:val="7F7F7F" w:themeColor="text1" w:themeTint="80"/>
                <w:sz w:val="22"/>
                <w:szCs w:val="22"/>
                <w:lang w:val="en-US" w:eastAsia="de-DE"/>
              </w:rPr>
              <w:lastRenderedPageBreak/>
              <w:t>rates represents one of the challenges in managing it in a rapidly changing interest rate environment. Interest rate changes have a dual impact on risk margin. With a reduction in the risk-free rate curve, firstly the BEL is re-valued upwards and so is the stressed BEL to calculate the individual risk capital, resulting in larger risk capital.</w:t>
            </w:r>
          </w:p>
          <w:p w14:paraId="7B7E1AA5" w14:textId="77777777" w:rsidR="006D7A5C" w:rsidRPr="00CF2245" w:rsidRDefault="006D7A5C" w:rsidP="00020B14">
            <w:pPr>
              <w:tabs>
                <w:tab w:val="left" w:pos="0"/>
                <w:tab w:val="left" w:pos="4536"/>
              </w:tabs>
              <w:spacing w:line="144" w:lineRule="exact"/>
              <w:rPr>
                <w:rFonts w:ascii="Verdana" w:hAnsi="Verdana"/>
                <w:color w:val="7F7F7F" w:themeColor="text1" w:themeTint="80"/>
                <w:sz w:val="22"/>
                <w:szCs w:val="22"/>
                <w:lang w:val="en-US" w:eastAsia="de-DE"/>
              </w:rPr>
            </w:pPr>
          </w:p>
          <w:p w14:paraId="34FD69E8" w14:textId="524F2911" w:rsidR="006D7A5C" w:rsidRPr="00CF2245" w:rsidRDefault="00F2109C" w:rsidP="00020B14">
            <w:pPr>
              <w:tabs>
                <w:tab w:val="left" w:pos="0"/>
                <w:tab w:val="left" w:pos="4536"/>
              </w:tabs>
              <w:spacing w:line="254" w:lineRule="auto"/>
              <w:jc w:val="both"/>
              <w:rPr>
                <w:rFonts w:ascii="Verdana" w:hAnsi="Verdana"/>
                <w:color w:val="7F7F7F" w:themeColor="text1" w:themeTint="80"/>
                <w:sz w:val="22"/>
                <w:szCs w:val="22"/>
                <w:lang w:val="en-US" w:eastAsia="de-DE"/>
              </w:rPr>
            </w:pPr>
            <w:r>
              <w:rPr>
                <w:rFonts w:ascii="Verdana" w:hAnsi="Verdana"/>
                <w:color w:val="7F7F7F" w:themeColor="text1" w:themeTint="80"/>
                <w:sz w:val="22"/>
                <w:szCs w:val="22"/>
                <w:lang w:val="en-US" w:eastAsia="de-DE"/>
              </w:rPr>
              <w:t>They add that t</w:t>
            </w:r>
            <w:r w:rsidR="006D7A5C" w:rsidRPr="00CF2245">
              <w:rPr>
                <w:rFonts w:ascii="Verdana" w:hAnsi="Verdana"/>
                <w:color w:val="7F7F7F" w:themeColor="text1" w:themeTint="80"/>
                <w:sz w:val="22"/>
                <w:szCs w:val="22"/>
                <w:lang w:val="en-US" w:eastAsia="de-DE"/>
              </w:rPr>
              <w:t>his effect is amplified for firms using MA or VA, as these measures are ignored for the purpose of the risk margin calculation. The BEL and stressed BEL used to calculate the risk capital for risk margin purposes cannot use the MA or VA, thereby increasing RM SCR in comparison with the SCR for Pillar 3 disclosures.</w:t>
            </w:r>
          </w:p>
          <w:p w14:paraId="349C55B1" w14:textId="77777777" w:rsidR="006D7A5C" w:rsidRPr="00CF2245" w:rsidRDefault="006D7A5C" w:rsidP="00020B14">
            <w:pPr>
              <w:pStyle w:val="NormalWeb"/>
              <w:tabs>
                <w:tab w:val="left" w:pos="0"/>
                <w:tab w:val="left" w:pos="4536"/>
              </w:tabs>
              <w:spacing w:before="120" w:beforeAutospacing="0" w:after="120" w:afterAutospacing="0"/>
              <w:jc w:val="both"/>
              <w:rPr>
                <w:rFonts w:ascii="Verdana" w:eastAsia="Times New Roman" w:hAnsi="Verdana"/>
                <w:color w:val="7F7F7F" w:themeColor="text1" w:themeTint="80"/>
                <w:sz w:val="22"/>
                <w:szCs w:val="22"/>
                <w:lang w:val="en-US" w:eastAsia="de-DE"/>
              </w:rPr>
            </w:pPr>
            <w:r w:rsidRPr="00CF2245">
              <w:rPr>
                <w:rFonts w:ascii="Verdana" w:eastAsia="Times New Roman" w:hAnsi="Verdana"/>
                <w:color w:val="7F7F7F" w:themeColor="text1" w:themeTint="80"/>
                <w:sz w:val="22"/>
                <w:szCs w:val="22"/>
                <w:lang w:val="en-US" w:eastAsia="de-DE"/>
              </w:rPr>
              <w:t>Secondly, the costs of capital are discounted at lower rates, resulting in a higher overall present value for the risk margin</w:t>
            </w:r>
          </w:p>
          <w:p w14:paraId="408D9B40" w14:textId="142BE56D" w:rsidR="006D7A5C" w:rsidRDefault="006D7A5C" w:rsidP="00020B14">
            <w:pPr>
              <w:tabs>
                <w:tab w:val="left" w:pos="0"/>
                <w:tab w:val="left" w:pos="4536"/>
              </w:tabs>
              <w:spacing w:line="254" w:lineRule="auto"/>
              <w:jc w:val="both"/>
              <w:rPr>
                <w:rFonts w:ascii="Verdana" w:hAnsi="Verdana"/>
                <w:color w:val="7F7F7F" w:themeColor="text1" w:themeTint="80"/>
                <w:sz w:val="22"/>
                <w:szCs w:val="22"/>
                <w:lang w:val="en-US" w:eastAsia="de-DE"/>
              </w:rPr>
            </w:pPr>
            <w:r w:rsidRPr="00CF2245">
              <w:rPr>
                <w:rFonts w:ascii="Verdana" w:hAnsi="Verdana"/>
                <w:color w:val="7F7F7F" w:themeColor="text1" w:themeTint="80"/>
                <w:sz w:val="22"/>
                <w:szCs w:val="22"/>
                <w:lang w:val="en-US" w:eastAsia="de-DE"/>
              </w:rPr>
              <w:t>The risk margin is significantly more volatile than the BEL for the same business. This can be seen by calculating the risk margin as a percentage of BEL, and then looking at how this metric has moved from 31 December 2015 to the end of 2018. This is illustrated in the Figure 2.</w:t>
            </w:r>
          </w:p>
          <w:p w14:paraId="2E5388A9" w14:textId="755C3CDA" w:rsidR="006D7A5C" w:rsidRPr="00CF2245" w:rsidRDefault="006D7A5C" w:rsidP="00020B14">
            <w:pPr>
              <w:pStyle w:val="NormalWeb"/>
              <w:tabs>
                <w:tab w:val="left" w:pos="0"/>
                <w:tab w:val="left" w:pos="4536"/>
              </w:tabs>
              <w:spacing w:before="0" w:beforeAutospacing="0" w:after="120" w:afterAutospacing="0"/>
              <w:jc w:val="both"/>
              <w:rPr>
                <w:rFonts w:ascii="Verdana" w:eastAsia="Times New Roman" w:hAnsi="Verdana"/>
                <w:color w:val="7F7F7F" w:themeColor="text1" w:themeTint="80"/>
                <w:sz w:val="22"/>
                <w:szCs w:val="22"/>
                <w:lang w:val="en-US" w:eastAsia="de-DE"/>
              </w:rPr>
            </w:pPr>
          </w:p>
        </w:tc>
        <w:tc>
          <w:tcPr>
            <w:tcW w:w="483" w:type="pct"/>
            <w:tcBorders>
              <w:top w:val="single" w:sz="4" w:space="0" w:color="auto"/>
              <w:left w:val="single" w:sz="4" w:space="0" w:color="auto"/>
              <w:bottom w:val="single" w:sz="4" w:space="0" w:color="auto"/>
              <w:right w:val="single" w:sz="4" w:space="0" w:color="auto"/>
            </w:tcBorders>
          </w:tcPr>
          <w:p w14:paraId="55AE7F5A" w14:textId="30366038" w:rsidR="006D7A5C" w:rsidRPr="00FE3045" w:rsidRDefault="006D7A5C" w:rsidP="00020B14">
            <w:pPr>
              <w:tabs>
                <w:tab w:val="left" w:pos="0"/>
                <w:tab w:val="left" w:pos="4536"/>
              </w:tabs>
              <w:ind w:left="-96"/>
              <w:rPr>
                <w:color w:val="000000"/>
                <w:sz w:val="22"/>
                <w:szCs w:val="22"/>
                <w:lang w:val="en-GB" w:eastAsia="fr-FR"/>
              </w:rPr>
            </w:pPr>
          </w:p>
        </w:tc>
      </w:tr>
      <w:tr w:rsidR="006D7A5C" w:rsidRPr="001360A5" w14:paraId="288D55AA"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3567"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5662D4DF" w14:textId="2B2B6827" w:rsidR="006D7A5C" w:rsidRPr="00395661" w:rsidRDefault="006D7A5C" w:rsidP="00020B14">
            <w:pPr>
              <w:tabs>
                <w:tab w:val="left" w:pos="0"/>
                <w:tab w:val="left" w:pos="4536"/>
              </w:tabs>
              <w:rPr>
                <w:rFonts w:ascii="Verdana" w:hAnsi="Verdana"/>
                <w:b/>
                <w:bCs/>
                <w:color w:val="7F7F7F" w:themeColor="text1" w:themeTint="80"/>
                <w:sz w:val="22"/>
                <w:szCs w:val="22"/>
                <w:lang w:val="en-GB" w:eastAsia="fr-FR"/>
              </w:rPr>
            </w:pPr>
            <w:r w:rsidRPr="00395661">
              <w:rPr>
                <w:rFonts w:ascii="Verdana" w:hAnsi="Verdana"/>
                <w:b/>
                <w:bCs/>
                <w:color w:val="7F7F7F" w:themeColor="text1" w:themeTint="80"/>
                <w:sz w:val="22"/>
                <w:szCs w:val="22"/>
                <w:lang w:val="en-GB" w:eastAsia="fr-FR"/>
              </w:rPr>
              <w:t>3.2.7.4 Issue IV – Assumptions used to derive the CoC rate</w:t>
            </w:r>
          </w:p>
        </w:tc>
      </w:tr>
      <w:tr w:rsidR="00FC5744" w:rsidRPr="001360A5" w14:paraId="57A40DDF"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B883CE9" w14:textId="3B476BFF" w:rsidR="006D7A5C" w:rsidRPr="00FE3045" w:rsidRDefault="006D7A5C" w:rsidP="00020B14">
            <w:pPr>
              <w:tabs>
                <w:tab w:val="left" w:pos="0"/>
                <w:tab w:val="left" w:pos="4536"/>
              </w:tabs>
              <w:ind w:left="-96"/>
              <w:rPr>
                <w:rFonts w:ascii="Verdana" w:hAnsi="Verdana"/>
                <w:bCs/>
                <w:color w:val="000000"/>
                <w:sz w:val="22"/>
                <w:szCs w:val="22"/>
                <w:lang w:val="en-GB"/>
              </w:rPr>
            </w:pPr>
            <w:r w:rsidRPr="00EC2920">
              <w:rPr>
                <w:rFonts w:ascii="Verdana" w:hAnsi="Verdana"/>
                <w:bCs/>
                <w:color w:val="7F7F7F" w:themeColor="text1" w:themeTint="80"/>
                <w:sz w:val="22"/>
                <w:szCs w:val="22"/>
                <w:lang w:val="en-GB"/>
              </w:rPr>
              <w:t>3</w:t>
            </w:r>
          </w:p>
        </w:tc>
        <w:tc>
          <w:tcPr>
            <w:tcW w:w="506" w:type="pct"/>
            <w:gridSpan w:val="2"/>
            <w:tcBorders>
              <w:top w:val="single" w:sz="4" w:space="0" w:color="auto"/>
              <w:left w:val="single" w:sz="4" w:space="0" w:color="auto"/>
              <w:bottom w:val="single" w:sz="4" w:space="0" w:color="auto"/>
              <w:right w:val="single" w:sz="4" w:space="0" w:color="auto"/>
            </w:tcBorders>
          </w:tcPr>
          <w:p w14:paraId="74958A90" w14:textId="44007CF3" w:rsidR="006D7A5C" w:rsidRPr="00FE3045" w:rsidRDefault="006D7A5C" w:rsidP="00020B14">
            <w:pPr>
              <w:pStyle w:val="NormalWeb"/>
              <w:tabs>
                <w:tab w:val="left" w:pos="0"/>
                <w:tab w:val="left" w:pos="4536"/>
              </w:tabs>
              <w:spacing w:before="0" w:beforeAutospacing="0" w:after="120" w:afterAutospacing="0" w:line="276" w:lineRule="auto"/>
              <w:ind w:left="-96"/>
              <w:jc w:val="both"/>
              <w:rPr>
                <w:rFonts w:ascii="Verdana" w:eastAsia="Times New Roman" w:hAnsi="Verdana"/>
                <w:color w:val="7F7F7F"/>
                <w:sz w:val="22"/>
                <w:szCs w:val="22"/>
                <w:lang w:val="en-US" w:eastAsia="de-DE"/>
              </w:rPr>
            </w:pPr>
            <w:r>
              <w:rPr>
                <w:rFonts w:ascii="Verdana" w:eastAsia="Times New Roman" w:hAnsi="Verdana"/>
                <w:color w:val="7F7F7F"/>
                <w:sz w:val="22"/>
                <w:szCs w:val="22"/>
                <w:lang w:val="en-US" w:eastAsia="de-DE"/>
              </w:rPr>
              <w:t>205-208</w:t>
            </w:r>
          </w:p>
        </w:tc>
        <w:tc>
          <w:tcPr>
            <w:tcW w:w="1999" w:type="pct"/>
            <w:tcBorders>
              <w:top w:val="single" w:sz="4" w:space="0" w:color="auto"/>
              <w:left w:val="single" w:sz="4" w:space="0" w:color="auto"/>
              <w:bottom w:val="single" w:sz="4" w:space="0" w:color="auto"/>
              <w:right w:val="single" w:sz="4" w:space="0" w:color="auto"/>
            </w:tcBorders>
          </w:tcPr>
          <w:p w14:paraId="190537D6" w14:textId="4AA7CB70" w:rsidR="006D7A5C" w:rsidRPr="00CF2245" w:rsidRDefault="006D7A5C" w:rsidP="00020B14">
            <w:pPr>
              <w:pStyle w:val="NormalWeb"/>
              <w:tabs>
                <w:tab w:val="left" w:pos="0"/>
                <w:tab w:val="left" w:pos="4536"/>
              </w:tabs>
              <w:spacing w:after="120"/>
              <w:jc w:val="both"/>
              <w:rPr>
                <w:rFonts w:ascii="Verdana" w:eastAsia="Times New Roman" w:hAnsi="Verdana"/>
                <w:color w:val="7F7F7F" w:themeColor="text1" w:themeTint="80"/>
                <w:sz w:val="22"/>
                <w:szCs w:val="22"/>
                <w:lang w:val="en-US" w:eastAsia="de-DE"/>
              </w:rPr>
            </w:pPr>
            <w:r w:rsidRPr="00CF2245">
              <w:rPr>
                <w:rFonts w:ascii="Verdana" w:eastAsia="Times New Roman" w:hAnsi="Verdana"/>
                <w:color w:val="7F7F7F" w:themeColor="text1" w:themeTint="80"/>
                <w:sz w:val="22"/>
                <w:szCs w:val="22"/>
                <w:lang w:val="en-US" w:eastAsia="de-DE"/>
              </w:rPr>
              <w:t xml:space="preserve">We disagree with EIOPA’s statement that there is not further evidence that the conclusions drawn in the 2018 are not valid anymore. We believe that there are several elements regarding the CoC rate proposal in the 2018 EIOPA’s advice that should be re-considered in 2020 before closing the subject and sending its advice to the European Commission: </w:t>
            </w:r>
          </w:p>
          <w:p w14:paraId="783BC60F" w14:textId="0FEE93EC" w:rsidR="006D7A5C" w:rsidRPr="00CF2245" w:rsidRDefault="006D7A5C" w:rsidP="00020B14">
            <w:pPr>
              <w:pStyle w:val="NormalWeb"/>
              <w:tabs>
                <w:tab w:val="left" w:pos="0"/>
                <w:tab w:val="left" w:pos="4536"/>
              </w:tabs>
              <w:spacing w:after="120"/>
              <w:jc w:val="both"/>
              <w:rPr>
                <w:rFonts w:ascii="Verdana" w:eastAsia="Times New Roman" w:hAnsi="Verdana"/>
                <w:color w:val="7F7F7F" w:themeColor="text1" w:themeTint="80"/>
                <w:sz w:val="22"/>
                <w:szCs w:val="22"/>
                <w:lang w:val="en-US" w:eastAsia="de-DE"/>
              </w:rPr>
            </w:pPr>
            <w:r w:rsidRPr="00CF2245">
              <w:rPr>
                <w:rFonts w:ascii="Verdana" w:eastAsia="Times New Roman" w:hAnsi="Verdana"/>
                <w:color w:val="7F7F7F" w:themeColor="text1" w:themeTint="80"/>
                <w:sz w:val="22"/>
                <w:szCs w:val="22"/>
                <w:lang w:val="en-US" w:eastAsia="de-DE"/>
              </w:rPr>
              <w:t xml:space="preserve">EIOPA had indicated in 2018 that the CoC rate had to be equal to the cost of holding equity (ERP, the equity risk premium) and that it had to be </w:t>
            </w:r>
            <w:r w:rsidRPr="00CF2245">
              <w:rPr>
                <w:rFonts w:ascii="Verdana" w:eastAsia="Times New Roman" w:hAnsi="Verdana"/>
                <w:color w:val="7F7F7F" w:themeColor="text1" w:themeTint="80"/>
                <w:sz w:val="22"/>
                <w:szCs w:val="22"/>
                <w:lang w:val="en-US" w:eastAsia="de-DE"/>
              </w:rPr>
              <w:lastRenderedPageBreak/>
              <w:t xml:space="preserve">modelled according to the CAPM and that the CoC rate should be in the range of 6% to 8% as a result. However, we note that: </w:t>
            </w:r>
          </w:p>
          <w:p w14:paraId="282A2BEE" w14:textId="77777777" w:rsidR="006D7A5C" w:rsidRPr="00CF2245" w:rsidRDefault="006D7A5C" w:rsidP="00020B14">
            <w:pPr>
              <w:pStyle w:val="NormalWeb"/>
              <w:tabs>
                <w:tab w:val="left" w:pos="0"/>
                <w:tab w:val="left" w:pos="4536"/>
              </w:tabs>
              <w:spacing w:before="0" w:beforeAutospacing="0" w:after="120" w:afterAutospacing="0"/>
              <w:jc w:val="both"/>
              <w:rPr>
                <w:rFonts w:ascii="Verdana" w:eastAsia="Times New Roman" w:hAnsi="Verdana"/>
                <w:color w:val="7F7F7F" w:themeColor="text1" w:themeTint="80"/>
                <w:sz w:val="22"/>
                <w:szCs w:val="22"/>
                <w:lang w:val="en-US" w:eastAsia="de-DE"/>
              </w:rPr>
            </w:pPr>
            <w:r w:rsidRPr="00CF2245">
              <w:rPr>
                <w:rFonts w:ascii="Verdana" w:eastAsia="Times New Roman" w:hAnsi="Verdana"/>
                <w:color w:val="7F7F7F" w:themeColor="text1" w:themeTint="80"/>
                <w:sz w:val="22"/>
                <w:szCs w:val="22"/>
                <w:lang w:val="en-US" w:eastAsia="de-DE"/>
              </w:rPr>
              <w:t xml:space="preserve">• In the risk margin there is </w:t>
            </w:r>
            <w:r w:rsidRPr="00CF2245">
              <w:rPr>
                <w:rFonts w:ascii="Verdana" w:eastAsia="Times New Roman" w:hAnsi="Verdana"/>
                <w:b/>
                <w:bCs/>
                <w:color w:val="7F7F7F" w:themeColor="text1" w:themeTint="80"/>
                <w:sz w:val="22"/>
                <w:szCs w:val="22"/>
                <w:lang w:val="en-US" w:eastAsia="de-DE"/>
              </w:rPr>
              <w:t>no future business</w:t>
            </w:r>
            <w:r w:rsidRPr="00CF2245">
              <w:rPr>
                <w:rFonts w:ascii="Verdana" w:eastAsia="Times New Roman" w:hAnsi="Verdana"/>
                <w:color w:val="7F7F7F" w:themeColor="text1" w:themeTint="80"/>
                <w:sz w:val="22"/>
                <w:szCs w:val="22"/>
                <w:lang w:val="en-US" w:eastAsia="de-DE"/>
              </w:rPr>
              <w:t xml:space="preserve"> (only the run-off). It is therefore relevant to analyze what is the difference between new business and the run-off cost of equity premium as the reference data includes both. As a rough estimate, we understand that the cost of equity risk premium for new business is between 5 to 8 percent higher than for the run-off as there are loads of different risks for the business that are not yet in the books. In any case, this parameter can be estimated and verified from the M&amp;A data from the insurance sector. This shows that the value of the equity risk premium should be lower than the one put forward.</w:t>
            </w:r>
          </w:p>
          <w:p w14:paraId="74E41450" w14:textId="77777777" w:rsidR="006D7A5C" w:rsidRPr="00CF2245" w:rsidRDefault="006D7A5C" w:rsidP="00020B14">
            <w:pPr>
              <w:pStyle w:val="NormalWeb"/>
              <w:tabs>
                <w:tab w:val="left" w:pos="0"/>
                <w:tab w:val="left" w:pos="4536"/>
              </w:tabs>
              <w:spacing w:after="120"/>
              <w:jc w:val="both"/>
              <w:rPr>
                <w:rFonts w:ascii="Verdana" w:eastAsia="Times New Roman" w:hAnsi="Verdana"/>
                <w:color w:val="7F7F7F" w:themeColor="text1" w:themeTint="80"/>
                <w:sz w:val="22"/>
                <w:szCs w:val="22"/>
                <w:lang w:val="en-US" w:eastAsia="de-DE"/>
              </w:rPr>
            </w:pPr>
            <w:r w:rsidRPr="00CF2245">
              <w:rPr>
                <w:rFonts w:ascii="Verdana" w:eastAsia="Times New Roman" w:hAnsi="Verdana"/>
                <w:color w:val="7F7F7F" w:themeColor="text1" w:themeTint="80"/>
                <w:sz w:val="22"/>
                <w:szCs w:val="22"/>
                <w:lang w:val="en-US" w:eastAsia="de-DE"/>
              </w:rPr>
              <w:t xml:space="preserve">As the reference undertaking would have </w:t>
            </w:r>
            <w:r w:rsidRPr="00CF2245">
              <w:rPr>
                <w:rFonts w:ascii="Verdana" w:eastAsia="Times New Roman" w:hAnsi="Verdana"/>
                <w:b/>
                <w:bCs/>
                <w:color w:val="7F7F7F" w:themeColor="text1" w:themeTint="80"/>
                <w:sz w:val="22"/>
                <w:szCs w:val="22"/>
                <w:lang w:val="en-US" w:eastAsia="de-DE"/>
              </w:rPr>
              <w:t>no market risk</w:t>
            </w:r>
            <w:r w:rsidRPr="00CF2245">
              <w:rPr>
                <w:rFonts w:ascii="Verdana" w:eastAsia="Times New Roman" w:hAnsi="Verdana"/>
                <w:color w:val="7F7F7F" w:themeColor="text1" w:themeTint="80"/>
                <w:sz w:val="22"/>
                <w:szCs w:val="22"/>
                <w:lang w:val="en-US" w:eastAsia="de-DE"/>
              </w:rPr>
              <w:t xml:space="preserve"> this should be taken into account when setting the CoC rate. Market risk represents more than half of total capital requirements and this risk is surely included in the observed 7.5% to 10% cost of equity. If such risk is not considered in the assumed run-off of the reference undertaking, the equity risk premiums should therefore be lowered accordingly. </w:t>
            </w:r>
          </w:p>
          <w:p w14:paraId="6CEC2C82" w14:textId="0ED641F5" w:rsidR="006D7A5C" w:rsidRPr="00CF2245" w:rsidRDefault="006D7A5C" w:rsidP="00020B14">
            <w:pPr>
              <w:pStyle w:val="NormalWeb"/>
              <w:tabs>
                <w:tab w:val="left" w:pos="0"/>
                <w:tab w:val="left" w:pos="4536"/>
              </w:tabs>
              <w:spacing w:after="120"/>
              <w:jc w:val="both"/>
              <w:rPr>
                <w:rFonts w:ascii="Verdana" w:eastAsia="Times New Roman" w:hAnsi="Verdana"/>
                <w:color w:val="7F7F7F" w:themeColor="text1" w:themeTint="80"/>
                <w:sz w:val="22"/>
                <w:szCs w:val="22"/>
                <w:lang w:val="en-US" w:eastAsia="de-DE"/>
              </w:rPr>
            </w:pPr>
            <w:r w:rsidRPr="00CF2245">
              <w:rPr>
                <w:rFonts w:ascii="Verdana" w:eastAsia="Times New Roman" w:hAnsi="Verdana"/>
                <w:color w:val="7F7F7F" w:themeColor="text1" w:themeTint="80"/>
                <w:sz w:val="22"/>
                <w:szCs w:val="22"/>
                <w:lang w:val="en-US" w:eastAsia="de-DE"/>
              </w:rPr>
              <w:t xml:space="preserve">We believe that the formula used </w:t>
            </w:r>
            <w:r w:rsidR="00805C2B">
              <w:rPr>
                <w:rFonts w:ascii="Verdana" w:eastAsia="Times New Roman" w:hAnsi="Verdana"/>
                <w:color w:val="7F7F7F" w:themeColor="text1" w:themeTint="80"/>
                <w:sz w:val="22"/>
                <w:szCs w:val="22"/>
                <w:lang w:val="en-US" w:eastAsia="de-DE"/>
              </w:rPr>
              <w:t>was</w:t>
            </w:r>
            <w:r w:rsidR="00805C2B" w:rsidRPr="00CF2245">
              <w:rPr>
                <w:rFonts w:ascii="Verdana" w:eastAsia="Times New Roman" w:hAnsi="Verdana"/>
                <w:color w:val="7F7F7F" w:themeColor="text1" w:themeTint="80"/>
                <w:sz w:val="22"/>
                <w:szCs w:val="22"/>
                <w:lang w:val="en-US" w:eastAsia="de-DE"/>
              </w:rPr>
              <w:t xml:space="preserve"> </w:t>
            </w:r>
            <w:r w:rsidRPr="00CF2245">
              <w:rPr>
                <w:rFonts w:ascii="Verdana" w:eastAsia="Times New Roman" w:hAnsi="Verdana"/>
                <w:color w:val="7F7F7F" w:themeColor="text1" w:themeTint="80"/>
                <w:sz w:val="22"/>
                <w:szCs w:val="22"/>
                <w:lang w:val="en-US" w:eastAsia="de-DE"/>
              </w:rPr>
              <w:t xml:space="preserve">not correct. </w:t>
            </w:r>
            <w:r w:rsidR="00805C2B">
              <w:rPr>
                <w:rFonts w:ascii="Verdana" w:eastAsia="Times New Roman" w:hAnsi="Verdana"/>
                <w:color w:val="7F7F7F" w:themeColor="text1" w:themeTint="80"/>
                <w:sz w:val="22"/>
                <w:szCs w:val="22"/>
                <w:lang w:val="en-US" w:eastAsia="de-DE"/>
              </w:rPr>
              <w:t>As indicated during our comments in the 2018 review, t</w:t>
            </w:r>
            <w:r w:rsidRPr="00CF2245">
              <w:rPr>
                <w:rFonts w:ascii="Verdana" w:eastAsia="Times New Roman" w:hAnsi="Verdana"/>
                <w:color w:val="7F7F7F" w:themeColor="text1" w:themeTint="80"/>
                <w:sz w:val="22"/>
                <w:szCs w:val="22"/>
                <w:lang w:val="en-US" w:eastAsia="de-DE"/>
              </w:rPr>
              <w:t xml:space="preserve">he formula </w:t>
            </w:r>
            <w:r w:rsidR="00805C2B">
              <w:rPr>
                <w:rFonts w:ascii="Verdana" w:eastAsia="Times New Roman" w:hAnsi="Verdana"/>
                <w:color w:val="7F7F7F" w:themeColor="text1" w:themeTint="80"/>
                <w:sz w:val="22"/>
                <w:szCs w:val="22"/>
                <w:lang w:val="en-US" w:eastAsia="de-DE"/>
              </w:rPr>
              <w:t xml:space="preserve">had to </w:t>
            </w:r>
            <w:r w:rsidRPr="00CF2245">
              <w:rPr>
                <w:rFonts w:ascii="Verdana" w:eastAsia="Times New Roman" w:hAnsi="Verdana"/>
                <w:color w:val="7F7F7F" w:themeColor="text1" w:themeTint="80"/>
                <w:sz w:val="22"/>
                <w:szCs w:val="22"/>
                <w:lang w:val="en-US" w:eastAsia="de-DE"/>
              </w:rPr>
              <w:t xml:space="preserve">be corrected as follows: </w:t>
            </w:r>
          </w:p>
          <w:p w14:paraId="3B746359" w14:textId="77777777" w:rsidR="006D7A5C" w:rsidRPr="00CF2245" w:rsidRDefault="006D7A5C" w:rsidP="00020B14">
            <w:pPr>
              <w:pStyle w:val="NormalWeb"/>
              <w:tabs>
                <w:tab w:val="left" w:pos="0"/>
                <w:tab w:val="left" w:pos="4536"/>
              </w:tabs>
              <w:spacing w:after="120"/>
              <w:jc w:val="both"/>
              <w:rPr>
                <w:rFonts w:ascii="Verdana" w:eastAsia="Times New Roman" w:hAnsi="Verdana"/>
                <w:color w:val="7F7F7F" w:themeColor="text1" w:themeTint="80"/>
                <w:sz w:val="22"/>
                <w:szCs w:val="22"/>
                <w:lang w:val="en-US" w:eastAsia="de-DE"/>
              </w:rPr>
            </w:pPr>
            <w:r w:rsidRPr="00CF2245">
              <w:rPr>
                <w:rFonts w:ascii="Verdana" w:eastAsia="Times New Roman" w:hAnsi="Verdana"/>
                <w:color w:val="7F7F7F" w:themeColor="text1" w:themeTint="80"/>
                <w:sz w:val="22"/>
                <w:szCs w:val="22"/>
                <w:lang w:val="en-US" w:eastAsia="de-DE"/>
              </w:rPr>
              <w:t xml:space="preserve">CoC = Cost of Equity – rf = β * ERP </w:t>
            </w:r>
          </w:p>
          <w:p w14:paraId="7B142B5D" w14:textId="77777777" w:rsidR="006D7A5C" w:rsidRPr="00CF2245" w:rsidRDefault="006D7A5C" w:rsidP="00020B14">
            <w:pPr>
              <w:pStyle w:val="NormalWeb"/>
              <w:tabs>
                <w:tab w:val="left" w:pos="0"/>
                <w:tab w:val="left" w:pos="4536"/>
              </w:tabs>
              <w:spacing w:after="120"/>
              <w:jc w:val="both"/>
              <w:rPr>
                <w:rFonts w:ascii="Verdana" w:eastAsia="Times New Roman" w:hAnsi="Verdana"/>
                <w:color w:val="7F7F7F" w:themeColor="text1" w:themeTint="80"/>
                <w:sz w:val="22"/>
                <w:szCs w:val="22"/>
                <w:lang w:val="en-US" w:eastAsia="de-DE"/>
              </w:rPr>
            </w:pPr>
            <w:r w:rsidRPr="00CF2245">
              <w:rPr>
                <w:rFonts w:ascii="Verdana" w:eastAsia="Times New Roman" w:hAnsi="Verdana"/>
                <w:b/>
                <w:bCs/>
                <w:color w:val="7F7F7F" w:themeColor="text1" w:themeTint="80"/>
                <w:sz w:val="22"/>
                <w:szCs w:val="22"/>
                <w:lang w:val="en-US" w:eastAsia="de-DE"/>
              </w:rPr>
              <w:t>Equity risk premium</w:t>
            </w:r>
            <w:r w:rsidRPr="00CF2245">
              <w:rPr>
                <w:rFonts w:ascii="Verdana" w:eastAsia="Times New Roman" w:hAnsi="Verdana"/>
                <w:color w:val="7F7F7F" w:themeColor="text1" w:themeTint="80"/>
                <w:sz w:val="22"/>
                <w:szCs w:val="22"/>
                <w:lang w:val="en-US" w:eastAsia="de-DE"/>
              </w:rPr>
              <w:t xml:space="preserve">: The methodology used by EIOPA to derive the ERPs should be revisited </w:t>
            </w:r>
          </w:p>
          <w:p w14:paraId="4FD08D6A" w14:textId="77777777" w:rsidR="006D7A5C" w:rsidRPr="00CF2245" w:rsidRDefault="006D7A5C" w:rsidP="00020B14">
            <w:pPr>
              <w:pStyle w:val="NormalWeb"/>
              <w:tabs>
                <w:tab w:val="left" w:pos="0"/>
                <w:tab w:val="left" w:pos="4536"/>
              </w:tabs>
              <w:spacing w:after="120"/>
              <w:jc w:val="both"/>
              <w:rPr>
                <w:rFonts w:ascii="Verdana" w:eastAsia="Times New Roman" w:hAnsi="Verdana"/>
                <w:color w:val="7F7F7F" w:themeColor="text1" w:themeTint="80"/>
                <w:sz w:val="22"/>
                <w:szCs w:val="22"/>
                <w:lang w:val="en-US" w:eastAsia="de-DE"/>
              </w:rPr>
            </w:pPr>
            <w:r w:rsidRPr="00CF2245">
              <w:rPr>
                <w:rFonts w:ascii="Verdana" w:eastAsia="Times New Roman" w:hAnsi="Verdana"/>
                <w:color w:val="7F7F7F" w:themeColor="text1" w:themeTint="80"/>
                <w:sz w:val="22"/>
                <w:szCs w:val="22"/>
                <w:lang w:val="en-US" w:eastAsia="de-DE"/>
              </w:rPr>
              <w:lastRenderedPageBreak/>
              <w:t>We would like to reiterate that in 2018 EIOPA´s consultation paper EIOPA did not mention:</w:t>
            </w:r>
          </w:p>
          <w:p w14:paraId="0ECDF473" w14:textId="77777777" w:rsidR="006D7A5C" w:rsidRPr="00CF2245" w:rsidRDefault="006D7A5C" w:rsidP="00020B14">
            <w:pPr>
              <w:pStyle w:val="NormalWeb"/>
              <w:tabs>
                <w:tab w:val="left" w:pos="0"/>
                <w:tab w:val="left" w:pos="4536"/>
              </w:tabs>
              <w:spacing w:after="120"/>
              <w:jc w:val="both"/>
              <w:rPr>
                <w:rFonts w:ascii="Verdana" w:eastAsia="Times New Roman" w:hAnsi="Verdana"/>
                <w:color w:val="7F7F7F" w:themeColor="text1" w:themeTint="80"/>
                <w:sz w:val="22"/>
                <w:szCs w:val="22"/>
                <w:lang w:val="en-US" w:eastAsia="de-DE"/>
              </w:rPr>
            </w:pPr>
            <w:r w:rsidRPr="00CF2245">
              <w:rPr>
                <w:rFonts w:ascii="Verdana" w:eastAsia="Times New Roman" w:hAnsi="Verdana"/>
                <w:color w:val="7F7F7F" w:themeColor="text1" w:themeTint="80"/>
                <w:sz w:val="22"/>
                <w:szCs w:val="22"/>
                <w:lang w:val="en-US" w:eastAsia="de-DE"/>
              </w:rPr>
              <w:t xml:space="preserve">- Whether arithmetic average or geometric average was used. The discussion in the literature is well documented with a very strong impact, the arithmetic average being almost 50% higher than the geometric average, corresponding to half the variance of the returns as strongly emphasized in Damodaran study and explained below.  </w:t>
            </w:r>
          </w:p>
          <w:p w14:paraId="27F1A0F0" w14:textId="43C548BA" w:rsidR="006D7A5C" w:rsidRPr="00CF2245" w:rsidRDefault="006D7A5C" w:rsidP="00020B14">
            <w:pPr>
              <w:pStyle w:val="NormalWeb"/>
              <w:tabs>
                <w:tab w:val="left" w:pos="0"/>
                <w:tab w:val="left" w:pos="4536"/>
              </w:tabs>
              <w:spacing w:before="0" w:beforeAutospacing="0" w:after="120" w:afterAutospacing="0"/>
              <w:jc w:val="both"/>
              <w:rPr>
                <w:rFonts w:ascii="Verdana" w:eastAsia="Times New Roman" w:hAnsi="Verdana"/>
                <w:color w:val="7F7F7F" w:themeColor="text1" w:themeTint="80"/>
                <w:sz w:val="22"/>
                <w:szCs w:val="22"/>
                <w:lang w:val="en-US" w:eastAsia="de-DE"/>
              </w:rPr>
            </w:pPr>
            <w:r w:rsidRPr="00CF2245">
              <w:rPr>
                <w:rFonts w:ascii="Verdana" w:eastAsia="Times New Roman" w:hAnsi="Verdana"/>
                <w:color w:val="7F7F7F" w:themeColor="text1" w:themeTint="80"/>
                <w:sz w:val="22"/>
                <w:szCs w:val="22"/>
                <w:lang w:val="en-US" w:eastAsia="de-DE"/>
              </w:rPr>
              <w:t>- (Historical return model) EIOPA used the 9.24% from the CRO Forum paper. First, this figure was a dollar-based return, not appropriate for the European market. Next, no indication was given about the conversion to dollar before 1999 after when the euro currency</w:t>
            </w:r>
            <w:r w:rsidR="00E67D13">
              <w:rPr>
                <w:rFonts w:ascii="Verdana" w:eastAsia="Times New Roman" w:hAnsi="Verdana"/>
                <w:color w:val="7F7F7F" w:themeColor="text1" w:themeTint="80"/>
                <w:sz w:val="22"/>
                <w:szCs w:val="22"/>
                <w:lang w:val="en-US" w:eastAsia="de-DE"/>
              </w:rPr>
              <w:t>.</w:t>
            </w:r>
          </w:p>
        </w:tc>
        <w:tc>
          <w:tcPr>
            <w:tcW w:w="483" w:type="pct"/>
            <w:tcBorders>
              <w:top w:val="single" w:sz="4" w:space="0" w:color="auto"/>
              <w:left w:val="single" w:sz="4" w:space="0" w:color="auto"/>
              <w:bottom w:val="single" w:sz="4" w:space="0" w:color="auto"/>
              <w:right w:val="single" w:sz="4" w:space="0" w:color="auto"/>
            </w:tcBorders>
          </w:tcPr>
          <w:p w14:paraId="7BB7DCF1" w14:textId="77777777" w:rsidR="006D7A5C" w:rsidRPr="00FE3045" w:rsidRDefault="006D7A5C" w:rsidP="00020B14">
            <w:pPr>
              <w:tabs>
                <w:tab w:val="left" w:pos="0"/>
                <w:tab w:val="left" w:pos="4536"/>
              </w:tabs>
              <w:ind w:left="-96"/>
              <w:rPr>
                <w:color w:val="000000"/>
                <w:sz w:val="22"/>
                <w:szCs w:val="22"/>
                <w:lang w:val="en-GB" w:eastAsia="fr-FR"/>
              </w:rPr>
            </w:pPr>
          </w:p>
        </w:tc>
      </w:tr>
      <w:tr w:rsidR="00FC5744" w:rsidRPr="001360A5" w14:paraId="53E4DD8E"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F17A5F2" w14:textId="5ED3E006" w:rsidR="006D7A5C" w:rsidRPr="00FE3045" w:rsidRDefault="006D7A5C" w:rsidP="00020B14">
            <w:pPr>
              <w:tabs>
                <w:tab w:val="left" w:pos="0"/>
                <w:tab w:val="left" w:pos="4536"/>
              </w:tabs>
              <w:ind w:left="-96"/>
              <w:rPr>
                <w:rFonts w:ascii="Verdana" w:hAnsi="Verdana"/>
                <w:bCs/>
                <w:color w:val="000000"/>
                <w:sz w:val="22"/>
                <w:szCs w:val="22"/>
                <w:lang w:val="en-GB"/>
              </w:rPr>
            </w:pPr>
            <w:r w:rsidRPr="00DB5E3D">
              <w:rPr>
                <w:rFonts w:ascii="Verdana" w:hAnsi="Verdana"/>
                <w:bCs/>
                <w:color w:val="7F7F7F" w:themeColor="text1" w:themeTint="80"/>
                <w:sz w:val="22"/>
                <w:szCs w:val="22"/>
                <w:lang w:val="en-GB"/>
              </w:rPr>
              <w:lastRenderedPageBreak/>
              <w:t>3</w:t>
            </w:r>
          </w:p>
        </w:tc>
        <w:tc>
          <w:tcPr>
            <w:tcW w:w="506" w:type="pct"/>
            <w:gridSpan w:val="2"/>
            <w:tcBorders>
              <w:top w:val="single" w:sz="4" w:space="0" w:color="auto"/>
              <w:left w:val="single" w:sz="4" w:space="0" w:color="auto"/>
              <w:bottom w:val="single" w:sz="4" w:space="0" w:color="auto"/>
              <w:right w:val="single" w:sz="4" w:space="0" w:color="auto"/>
            </w:tcBorders>
          </w:tcPr>
          <w:p w14:paraId="694608E8" w14:textId="7482F3E7" w:rsidR="006D7A5C" w:rsidRDefault="006D7A5C" w:rsidP="00020B14">
            <w:pPr>
              <w:pStyle w:val="NormalWeb"/>
              <w:tabs>
                <w:tab w:val="left" w:pos="0"/>
                <w:tab w:val="left" w:pos="4536"/>
              </w:tabs>
              <w:spacing w:before="0" w:beforeAutospacing="0" w:after="120" w:afterAutospacing="0" w:line="276" w:lineRule="auto"/>
              <w:ind w:left="-96"/>
              <w:jc w:val="both"/>
              <w:rPr>
                <w:rFonts w:ascii="Verdana" w:eastAsia="Times New Roman" w:hAnsi="Verdana"/>
                <w:color w:val="7F7F7F"/>
                <w:sz w:val="22"/>
                <w:szCs w:val="22"/>
                <w:lang w:val="en-US" w:eastAsia="de-DE"/>
              </w:rPr>
            </w:pPr>
            <w:r>
              <w:rPr>
                <w:rFonts w:ascii="Verdana" w:eastAsia="Times New Roman" w:hAnsi="Verdana"/>
                <w:color w:val="7F7F7F"/>
                <w:sz w:val="22"/>
                <w:szCs w:val="22"/>
                <w:lang w:val="en-US" w:eastAsia="de-DE"/>
              </w:rPr>
              <w:t>205-208</w:t>
            </w:r>
          </w:p>
        </w:tc>
        <w:tc>
          <w:tcPr>
            <w:tcW w:w="1999" w:type="pct"/>
            <w:tcBorders>
              <w:top w:val="single" w:sz="4" w:space="0" w:color="auto"/>
              <w:left w:val="single" w:sz="4" w:space="0" w:color="auto"/>
              <w:bottom w:val="single" w:sz="4" w:space="0" w:color="auto"/>
              <w:right w:val="single" w:sz="4" w:space="0" w:color="auto"/>
            </w:tcBorders>
          </w:tcPr>
          <w:p w14:paraId="220D5E1B" w14:textId="418B1952" w:rsidR="006D7A5C" w:rsidRPr="003720A2" w:rsidRDefault="006D7A5C" w:rsidP="00020B14">
            <w:pPr>
              <w:tabs>
                <w:tab w:val="left" w:pos="0"/>
                <w:tab w:val="left" w:pos="4536"/>
              </w:tabs>
              <w:spacing w:before="57" w:line="288" w:lineRule="exact"/>
              <w:ind w:right="98"/>
              <w:rPr>
                <w:rFonts w:ascii="Verdana" w:hAnsi="Verdana"/>
                <w:b/>
                <w:bCs/>
                <w:color w:val="7F7F7F" w:themeColor="text1" w:themeTint="80"/>
                <w:sz w:val="22"/>
                <w:szCs w:val="22"/>
                <w:u w:val="single"/>
                <w:lang w:val="en-GB"/>
              </w:rPr>
            </w:pPr>
            <w:r w:rsidRPr="003720A2">
              <w:rPr>
                <w:rFonts w:ascii="Verdana" w:hAnsi="Verdana"/>
                <w:b/>
                <w:bCs/>
                <w:color w:val="7F7F7F" w:themeColor="text1" w:themeTint="80"/>
                <w:sz w:val="22"/>
                <w:szCs w:val="22"/>
                <w:u w:val="single"/>
                <w:lang w:val="en-GB"/>
              </w:rPr>
              <w:t xml:space="preserve">Calibration </w:t>
            </w:r>
            <w:r w:rsidR="00805C2B">
              <w:rPr>
                <w:rFonts w:ascii="Verdana" w:hAnsi="Verdana"/>
                <w:b/>
                <w:bCs/>
                <w:color w:val="7F7F7F" w:themeColor="text1" w:themeTint="80"/>
                <w:sz w:val="22"/>
                <w:szCs w:val="22"/>
                <w:u w:val="single"/>
                <w:lang w:val="en-GB"/>
              </w:rPr>
              <w:t xml:space="preserve">of the </w:t>
            </w:r>
            <w:r w:rsidRPr="003720A2">
              <w:rPr>
                <w:rFonts w:ascii="Verdana" w:hAnsi="Verdana"/>
                <w:b/>
                <w:bCs/>
                <w:color w:val="7F7F7F" w:themeColor="text1" w:themeTint="80"/>
                <w:sz w:val="22"/>
                <w:szCs w:val="22"/>
                <w:u w:val="single"/>
                <w:lang w:val="en-GB"/>
              </w:rPr>
              <w:t>CoC Rate</w:t>
            </w:r>
          </w:p>
          <w:p w14:paraId="1A05A360" w14:textId="52082EA1" w:rsidR="00DA4127" w:rsidRDefault="006D7A5C" w:rsidP="00020B14">
            <w:pPr>
              <w:tabs>
                <w:tab w:val="left" w:pos="0"/>
                <w:tab w:val="left" w:pos="4536"/>
              </w:tabs>
              <w:spacing w:before="57" w:line="288" w:lineRule="exact"/>
              <w:ind w:right="98"/>
              <w:rPr>
                <w:rFonts w:ascii="Verdana" w:hAnsi="Verdana"/>
                <w:color w:val="7F7F7F" w:themeColor="text1" w:themeTint="80"/>
                <w:sz w:val="22"/>
                <w:szCs w:val="22"/>
                <w:lang w:val="en-GB"/>
              </w:rPr>
            </w:pPr>
            <w:r w:rsidRPr="00395661">
              <w:rPr>
                <w:rFonts w:ascii="Verdana" w:hAnsi="Verdana"/>
                <w:color w:val="7F7F7F" w:themeColor="text1" w:themeTint="80"/>
                <w:sz w:val="22"/>
                <w:szCs w:val="22"/>
                <w:lang w:val="en-GB"/>
              </w:rPr>
              <w:t xml:space="preserve">In order to calibrate the cost of capital (i.e. from </w:t>
            </w:r>
            <w:r w:rsidR="004B2C31">
              <w:rPr>
                <w:rFonts w:ascii="Verdana" w:hAnsi="Verdana"/>
                <w:color w:val="7F7F7F" w:themeColor="text1" w:themeTint="80"/>
                <w:sz w:val="22"/>
                <w:szCs w:val="22"/>
                <w:lang w:val="en-GB"/>
              </w:rPr>
              <w:t xml:space="preserve">the </w:t>
            </w:r>
            <w:r w:rsidRPr="00395661">
              <w:rPr>
                <w:rFonts w:ascii="Verdana" w:hAnsi="Verdana"/>
                <w:color w:val="7F7F7F" w:themeColor="text1" w:themeTint="80"/>
                <w:sz w:val="22"/>
                <w:szCs w:val="22"/>
                <w:lang w:val="en-GB"/>
              </w:rPr>
              <w:t xml:space="preserve">cost of capital used in the Swiss solvency test for BBB rated entities), it appears to be the </w:t>
            </w:r>
            <w:r w:rsidRPr="003720A2">
              <w:rPr>
                <w:rFonts w:ascii="Verdana" w:hAnsi="Verdana"/>
                <w:b/>
                <w:bCs/>
                <w:color w:val="7F7F7F" w:themeColor="text1" w:themeTint="80"/>
                <w:sz w:val="22"/>
                <w:szCs w:val="22"/>
                <w:lang w:val="en-GB"/>
              </w:rPr>
              <w:t>expected rate of return</w:t>
            </w:r>
            <w:r w:rsidRPr="00395661">
              <w:rPr>
                <w:rFonts w:ascii="Verdana" w:hAnsi="Verdana"/>
                <w:color w:val="7F7F7F" w:themeColor="text1" w:themeTint="80"/>
                <w:sz w:val="22"/>
                <w:szCs w:val="22"/>
                <w:lang w:val="en-GB"/>
              </w:rPr>
              <w:t xml:space="preserve"> that an investor </w:t>
            </w:r>
            <w:r w:rsidR="004B2C31">
              <w:rPr>
                <w:rFonts w:ascii="Verdana" w:hAnsi="Verdana"/>
                <w:color w:val="7F7F7F" w:themeColor="text1" w:themeTint="80"/>
                <w:sz w:val="22"/>
                <w:szCs w:val="22"/>
                <w:lang w:val="en-GB"/>
              </w:rPr>
              <w:t>w</w:t>
            </w:r>
            <w:r w:rsidRPr="00395661">
              <w:rPr>
                <w:rFonts w:ascii="Verdana" w:hAnsi="Verdana"/>
                <w:color w:val="7F7F7F" w:themeColor="text1" w:themeTint="80"/>
                <w:sz w:val="22"/>
                <w:szCs w:val="22"/>
                <w:lang w:val="en-GB"/>
              </w:rPr>
              <w:t>ould expect</w:t>
            </w:r>
            <w:r w:rsidR="004B2C31">
              <w:rPr>
                <w:rFonts w:ascii="Verdana" w:hAnsi="Verdana"/>
                <w:color w:val="7F7F7F" w:themeColor="text1" w:themeTint="80"/>
                <w:sz w:val="22"/>
                <w:szCs w:val="22"/>
                <w:lang w:val="en-GB"/>
              </w:rPr>
              <w:t xml:space="preserve"> to obtain </w:t>
            </w:r>
            <w:r w:rsidR="004B2C31" w:rsidRPr="00395661">
              <w:rPr>
                <w:rFonts w:ascii="Verdana" w:hAnsi="Verdana"/>
                <w:color w:val="7F7F7F" w:themeColor="text1" w:themeTint="80"/>
                <w:sz w:val="22"/>
                <w:szCs w:val="22"/>
                <w:lang w:val="en-GB"/>
              </w:rPr>
              <w:t>in the financial markets</w:t>
            </w:r>
            <w:r w:rsidR="004B2C31">
              <w:rPr>
                <w:rFonts w:ascii="Verdana" w:hAnsi="Verdana"/>
                <w:color w:val="7F7F7F" w:themeColor="text1" w:themeTint="80"/>
                <w:sz w:val="22"/>
                <w:szCs w:val="22"/>
                <w:lang w:val="en-GB"/>
              </w:rPr>
              <w:t xml:space="preserve"> </w:t>
            </w:r>
            <w:r w:rsidRPr="00395661">
              <w:rPr>
                <w:rFonts w:ascii="Verdana" w:hAnsi="Verdana"/>
                <w:color w:val="7F7F7F" w:themeColor="text1" w:themeTint="80"/>
                <w:sz w:val="22"/>
                <w:szCs w:val="22"/>
                <w:lang w:val="en-GB"/>
              </w:rPr>
              <w:t>if he</w:t>
            </w:r>
            <w:r w:rsidR="004B2C31">
              <w:rPr>
                <w:rFonts w:ascii="Verdana" w:hAnsi="Verdana"/>
                <w:color w:val="7F7F7F" w:themeColor="text1" w:themeTint="80"/>
                <w:sz w:val="22"/>
                <w:szCs w:val="22"/>
                <w:lang w:val="en-GB"/>
              </w:rPr>
              <w:t>/she</w:t>
            </w:r>
            <w:r w:rsidRPr="00395661">
              <w:rPr>
                <w:rFonts w:ascii="Verdana" w:hAnsi="Verdana"/>
                <w:color w:val="7F7F7F" w:themeColor="text1" w:themeTint="80"/>
                <w:sz w:val="22"/>
                <w:szCs w:val="22"/>
                <w:lang w:val="en-GB"/>
              </w:rPr>
              <w:t xml:space="preserve"> </w:t>
            </w:r>
            <w:r w:rsidR="004B2C31">
              <w:rPr>
                <w:rFonts w:ascii="Verdana" w:hAnsi="Verdana"/>
                <w:color w:val="7F7F7F" w:themeColor="text1" w:themeTint="80"/>
                <w:sz w:val="22"/>
                <w:szCs w:val="22"/>
                <w:lang w:val="en-GB"/>
              </w:rPr>
              <w:t xml:space="preserve">were to </w:t>
            </w:r>
            <w:r w:rsidRPr="00395661">
              <w:rPr>
                <w:rFonts w:ascii="Verdana" w:hAnsi="Verdana"/>
                <w:color w:val="7F7F7F" w:themeColor="text1" w:themeTint="80"/>
                <w:sz w:val="22"/>
                <w:szCs w:val="22"/>
                <w:lang w:val="en-GB"/>
              </w:rPr>
              <w:t xml:space="preserve">invest in BBB-rated organizations. This factor is therefore not based on a "value at risk" of 99.5% (probability of </w:t>
            </w:r>
            <w:r w:rsidR="000C1C4D">
              <w:rPr>
                <w:rFonts w:ascii="Verdana" w:hAnsi="Verdana"/>
                <w:color w:val="7F7F7F" w:themeColor="text1" w:themeTint="80"/>
                <w:sz w:val="22"/>
                <w:szCs w:val="22"/>
                <w:lang w:val="en-GB"/>
              </w:rPr>
              <w:t>one event</w:t>
            </w:r>
            <w:r w:rsidR="000C1C4D" w:rsidRPr="00395661">
              <w:rPr>
                <w:rFonts w:ascii="Verdana" w:hAnsi="Verdana"/>
                <w:color w:val="7F7F7F" w:themeColor="text1" w:themeTint="80"/>
                <w:sz w:val="22"/>
                <w:szCs w:val="22"/>
                <w:lang w:val="en-GB"/>
              </w:rPr>
              <w:t xml:space="preserve"> </w:t>
            </w:r>
            <w:r w:rsidRPr="00395661">
              <w:rPr>
                <w:rFonts w:ascii="Verdana" w:hAnsi="Verdana"/>
                <w:color w:val="7F7F7F" w:themeColor="text1" w:themeTint="80"/>
                <w:sz w:val="22"/>
                <w:szCs w:val="22"/>
                <w:lang w:val="en-GB"/>
              </w:rPr>
              <w:t xml:space="preserve">every 200 years) but appears to be a cyclical factor. Thus, one of the first questions is to assess the relevance of the capital cost as a fixed variable in relation to its nature. So, we could identify the cost of capital as the BBB bonds spread. Indeed, </w:t>
            </w:r>
            <w:r w:rsidR="000A6B49" w:rsidRPr="00395661">
              <w:rPr>
                <w:rFonts w:ascii="Verdana" w:hAnsi="Verdana"/>
                <w:color w:val="7F7F7F" w:themeColor="text1" w:themeTint="80"/>
                <w:sz w:val="22"/>
                <w:szCs w:val="22"/>
                <w:lang w:val="en-GB"/>
              </w:rPr>
              <w:t>the</w:t>
            </w:r>
            <w:r w:rsidRPr="00395661">
              <w:rPr>
                <w:rFonts w:ascii="Verdana" w:hAnsi="Verdana"/>
                <w:color w:val="7F7F7F" w:themeColor="text1" w:themeTint="80"/>
                <w:sz w:val="22"/>
                <w:szCs w:val="22"/>
                <w:lang w:val="en-GB"/>
              </w:rPr>
              <w:t xml:space="preserve"> asset return depends on two factors: the risk-free rate and the spread. These factors are volatile and do not have the same value from year to year. If a methodology for calculating this rate of return were to be determined, it would be variable. Thus, it seems more </w:t>
            </w:r>
            <w:r w:rsidRPr="00395661">
              <w:rPr>
                <w:rFonts w:ascii="Verdana" w:hAnsi="Verdana"/>
                <w:color w:val="7F7F7F" w:themeColor="text1" w:themeTint="80"/>
                <w:sz w:val="22"/>
                <w:szCs w:val="22"/>
                <w:lang w:val="en-GB"/>
              </w:rPr>
              <w:lastRenderedPageBreak/>
              <w:t>appropriate for the cost of capital to be determined according to this principle. This is the case for several factors in the standard formula such as</w:t>
            </w:r>
            <w:r w:rsidR="00E67D13">
              <w:rPr>
                <w:rFonts w:ascii="Verdana" w:hAnsi="Verdana"/>
                <w:color w:val="7F7F7F" w:themeColor="text1" w:themeTint="80"/>
                <w:sz w:val="22"/>
                <w:szCs w:val="22"/>
                <w:lang w:val="en-GB"/>
              </w:rPr>
              <w:t xml:space="preserve"> t</w:t>
            </w:r>
            <w:r w:rsidRPr="00823BC5">
              <w:rPr>
                <w:rFonts w:ascii="Verdana" w:hAnsi="Verdana"/>
                <w:color w:val="7F7F7F" w:themeColor="text1" w:themeTint="80"/>
                <w:sz w:val="22"/>
                <w:szCs w:val="22"/>
                <w:lang w:val="en-GB"/>
              </w:rPr>
              <w:t xml:space="preserve">he </w:t>
            </w:r>
            <w:r w:rsidR="00DA4127">
              <w:rPr>
                <w:rFonts w:ascii="Verdana" w:hAnsi="Verdana"/>
                <w:color w:val="7F7F7F" w:themeColor="text1" w:themeTint="80"/>
                <w:sz w:val="22"/>
                <w:szCs w:val="22"/>
                <w:lang w:val="en-GB"/>
              </w:rPr>
              <w:t xml:space="preserve">(1) </w:t>
            </w:r>
            <w:r w:rsidR="004B2C31" w:rsidRPr="003720A2">
              <w:rPr>
                <w:rFonts w:ascii="Verdana" w:hAnsi="Verdana"/>
                <w:b/>
                <w:bCs/>
                <w:color w:val="7F7F7F" w:themeColor="text1" w:themeTint="80"/>
                <w:sz w:val="22"/>
                <w:szCs w:val="22"/>
                <w:lang w:val="en-GB"/>
              </w:rPr>
              <w:t xml:space="preserve">yield </w:t>
            </w:r>
            <w:r w:rsidRPr="003720A2">
              <w:rPr>
                <w:rFonts w:ascii="Verdana" w:hAnsi="Verdana"/>
                <w:b/>
                <w:bCs/>
                <w:color w:val="7F7F7F" w:themeColor="text1" w:themeTint="80"/>
                <w:sz w:val="22"/>
                <w:szCs w:val="22"/>
                <w:lang w:val="en-GB"/>
              </w:rPr>
              <w:t>curve used to calculate the SCR interest rate</w:t>
            </w:r>
            <w:r w:rsidRPr="00823BC5">
              <w:rPr>
                <w:rFonts w:ascii="Verdana" w:hAnsi="Verdana"/>
                <w:color w:val="7F7F7F" w:themeColor="text1" w:themeTint="80"/>
                <w:sz w:val="22"/>
                <w:szCs w:val="22"/>
                <w:lang w:val="en-GB"/>
              </w:rPr>
              <w:t xml:space="preserve"> and the </w:t>
            </w:r>
            <w:r w:rsidRPr="003720A2">
              <w:rPr>
                <w:rFonts w:ascii="Verdana" w:hAnsi="Verdana"/>
                <w:b/>
                <w:bCs/>
                <w:color w:val="7F7F7F" w:themeColor="text1" w:themeTint="80"/>
                <w:sz w:val="22"/>
                <w:szCs w:val="22"/>
                <w:lang w:val="en-GB"/>
              </w:rPr>
              <w:t>Best Estimates</w:t>
            </w:r>
            <w:r w:rsidR="00DA4127">
              <w:rPr>
                <w:rFonts w:ascii="Verdana" w:hAnsi="Verdana"/>
                <w:b/>
                <w:bCs/>
                <w:color w:val="7F7F7F" w:themeColor="text1" w:themeTint="80"/>
                <w:sz w:val="22"/>
                <w:szCs w:val="22"/>
                <w:lang w:val="en-GB"/>
              </w:rPr>
              <w:t xml:space="preserve"> </w:t>
            </w:r>
            <w:r w:rsidR="00DA4127">
              <w:rPr>
                <w:rFonts w:ascii="Verdana" w:hAnsi="Verdana"/>
                <w:color w:val="7F7F7F" w:themeColor="text1" w:themeTint="80"/>
                <w:sz w:val="22"/>
                <w:szCs w:val="22"/>
                <w:lang w:val="en-GB"/>
              </w:rPr>
              <w:t>and (2) t</w:t>
            </w:r>
            <w:r w:rsidRPr="00395661">
              <w:rPr>
                <w:rFonts w:ascii="Verdana" w:hAnsi="Verdana"/>
                <w:color w:val="7F7F7F" w:themeColor="text1" w:themeTint="80"/>
                <w:sz w:val="22"/>
                <w:szCs w:val="22"/>
                <w:lang w:val="en-GB"/>
              </w:rPr>
              <w:t xml:space="preserve">he dampener that is used to modulate the </w:t>
            </w:r>
            <w:r w:rsidR="00DA4127">
              <w:rPr>
                <w:rFonts w:ascii="Verdana" w:hAnsi="Verdana"/>
                <w:color w:val="7F7F7F" w:themeColor="text1" w:themeTint="80"/>
                <w:sz w:val="22"/>
                <w:szCs w:val="22"/>
                <w:lang w:val="en-GB"/>
              </w:rPr>
              <w:t xml:space="preserve">equity </w:t>
            </w:r>
            <w:r w:rsidRPr="00395661">
              <w:rPr>
                <w:rFonts w:ascii="Verdana" w:hAnsi="Verdana"/>
                <w:color w:val="7F7F7F" w:themeColor="text1" w:themeTint="80"/>
                <w:sz w:val="22"/>
                <w:szCs w:val="22"/>
                <w:lang w:val="en-GB"/>
              </w:rPr>
              <w:t>shock</w:t>
            </w:r>
            <w:r w:rsidR="00E67D13">
              <w:rPr>
                <w:rFonts w:ascii="Verdana" w:hAnsi="Verdana"/>
                <w:color w:val="7F7F7F" w:themeColor="text1" w:themeTint="80"/>
                <w:sz w:val="22"/>
                <w:szCs w:val="22"/>
                <w:lang w:val="en-GB"/>
              </w:rPr>
              <w:t xml:space="preserve">. </w:t>
            </w:r>
          </w:p>
          <w:p w14:paraId="05638A4E" w14:textId="1A904193" w:rsidR="006F5ECC" w:rsidRPr="006F5ECC" w:rsidRDefault="006F5ECC" w:rsidP="00020B14">
            <w:pPr>
              <w:tabs>
                <w:tab w:val="left" w:pos="0"/>
                <w:tab w:val="left" w:pos="4536"/>
              </w:tabs>
              <w:spacing w:before="57" w:line="288" w:lineRule="exact"/>
              <w:ind w:right="98"/>
              <w:rPr>
                <w:rFonts w:ascii="Verdana" w:hAnsi="Verdana"/>
                <w:color w:val="7F7F7F" w:themeColor="text1" w:themeTint="80"/>
                <w:sz w:val="22"/>
                <w:szCs w:val="22"/>
                <w:lang w:val="en-GB"/>
              </w:rPr>
            </w:pPr>
            <w:r>
              <w:rPr>
                <w:rFonts w:ascii="Verdana" w:hAnsi="Verdana"/>
                <w:color w:val="7F7F7F" w:themeColor="text1" w:themeTint="80"/>
                <w:sz w:val="22"/>
                <w:szCs w:val="22"/>
                <w:lang w:val="en-GB"/>
              </w:rPr>
              <w:t>Focus on BBB spread</w:t>
            </w:r>
          </w:p>
          <w:p w14:paraId="0E14627C" w14:textId="7BF018DA" w:rsidR="006D7A5C" w:rsidRPr="00395661" w:rsidRDefault="006D7A5C" w:rsidP="00020B14">
            <w:pPr>
              <w:tabs>
                <w:tab w:val="left" w:pos="0"/>
                <w:tab w:val="left" w:pos="4536"/>
              </w:tabs>
              <w:spacing w:before="57" w:line="288" w:lineRule="exact"/>
              <w:ind w:right="98"/>
              <w:rPr>
                <w:rFonts w:ascii="Verdana" w:hAnsi="Verdana"/>
                <w:color w:val="7F7F7F" w:themeColor="text1" w:themeTint="80"/>
                <w:sz w:val="22"/>
                <w:szCs w:val="22"/>
                <w:lang w:val="en-GB"/>
              </w:rPr>
            </w:pPr>
            <w:r w:rsidRPr="00395661">
              <w:rPr>
                <w:rFonts w:ascii="Verdana" w:hAnsi="Verdana"/>
                <w:color w:val="7F7F7F" w:themeColor="text1" w:themeTint="80"/>
                <w:sz w:val="22"/>
                <w:szCs w:val="22"/>
                <w:lang w:val="en-GB"/>
              </w:rPr>
              <w:t xml:space="preserve">As a result, we will use the yields of BBB bonds to verify consistency with the 6% </w:t>
            </w:r>
            <w:r w:rsidR="00DA4127">
              <w:rPr>
                <w:rFonts w:ascii="Verdana" w:hAnsi="Verdana"/>
                <w:color w:val="7F7F7F" w:themeColor="text1" w:themeTint="80"/>
                <w:sz w:val="22"/>
                <w:szCs w:val="22"/>
                <w:lang w:val="en-GB"/>
              </w:rPr>
              <w:t xml:space="preserve">currently </w:t>
            </w:r>
            <w:r w:rsidRPr="00395661">
              <w:rPr>
                <w:rFonts w:ascii="Verdana" w:hAnsi="Verdana"/>
                <w:color w:val="7F7F7F" w:themeColor="text1" w:themeTint="80"/>
                <w:sz w:val="22"/>
                <w:szCs w:val="22"/>
                <w:lang w:val="en-GB"/>
              </w:rPr>
              <w:t xml:space="preserve">used in the </w:t>
            </w:r>
            <w:r w:rsidR="00DA4127">
              <w:rPr>
                <w:rFonts w:ascii="Verdana" w:hAnsi="Verdana"/>
                <w:color w:val="7F7F7F" w:themeColor="text1" w:themeTint="80"/>
                <w:sz w:val="22"/>
                <w:szCs w:val="22"/>
                <w:lang w:val="en-GB"/>
              </w:rPr>
              <w:t>S</w:t>
            </w:r>
            <w:r w:rsidRPr="00395661">
              <w:rPr>
                <w:rFonts w:ascii="Verdana" w:hAnsi="Verdana"/>
                <w:color w:val="7F7F7F" w:themeColor="text1" w:themeTint="80"/>
                <w:sz w:val="22"/>
                <w:szCs w:val="22"/>
                <w:lang w:val="en-GB"/>
              </w:rPr>
              <w:t xml:space="preserve">tandard </w:t>
            </w:r>
            <w:r w:rsidR="00DA4127">
              <w:rPr>
                <w:rFonts w:ascii="Verdana" w:hAnsi="Verdana"/>
                <w:color w:val="7F7F7F" w:themeColor="text1" w:themeTint="80"/>
                <w:sz w:val="22"/>
                <w:szCs w:val="22"/>
                <w:lang w:val="en-GB"/>
              </w:rPr>
              <w:t>F</w:t>
            </w:r>
            <w:r w:rsidRPr="00395661">
              <w:rPr>
                <w:rFonts w:ascii="Verdana" w:hAnsi="Verdana"/>
                <w:color w:val="7F7F7F" w:themeColor="text1" w:themeTint="80"/>
                <w:sz w:val="22"/>
                <w:szCs w:val="22"/>
                <w:lang w:val="en-GB"/>
              </w:rPr>
              <w:t xml:space="preserve">ormula. Indeed, the Barclays indices, based on the Bloomberg Barclays Global Aggregate Corporate Bond Index, shows </w:t>
            </w:r>
            <w:r w:rsidR="00DA4127">
              <w:rPr>
                <w:rFonts w:ascii="Verdana" w:hAnsi="Verdana"/>
                <w:color w:val="7F7F7F" w:themeColor="text1" w:themeTint="80"/>
                <w:sz w:val="22"/>
                <w:szCs w:val="22"/>
                <w:lang w:val="en-GB"/>
              </w:rPr>
              <w:t xml:space="preserve">that </w:t>
            </w:r>
            <w:r w:rsidRPr="00395661">
              <w:rPr>
                <w:rFonts w:ascii="Verdana" w:hAnsi="Verdana"/>
                <w:color w:val="7F7F7F" w:themeColor="text1" w:themeTint="80"/>
                <w:sz w:val="22"/>
                <w:szCs w:val="22"/>
                <w:lang w:val="en-GB"/>
              </w:rPr>
              <w:t>those investments represent a significant share of the market and seems to be a good indicator for this analysis: 50.6% of the BBB share of global investment grade corporate market on September 2019.</w:t>
            </w:r>
          </w:p>
          <w:p w14:paraId="5357DF92" w14:textId="2009B41C" w:rsidR="006D7A5C" w:rsidRPr="00395661" w:rsidRDefault="006D7A5C" w:rsidP="00020B14">
            <w:pPr>
              <w:tabs>
                <w:tab w:val="left" w:pos="0"/>
                <w:tab w:val="left" w:pos="4536"/>
              </w:tabs>
              <w:spacing w:before="57" w:line="288" w:lineRule="exact"/>
              <w:ind w:right="98"/>
              <w:rPr>
                <w:rFonts w:ascii="Verdana" w:hAnsi="Verdana"/>
                <w:color w:val="7F7F7F" w:themeColor="text1" w:themeTint="80"/>
                <w:sz w:val="22"/>
                <w:szCs w:val="22"/>
                <w:lang w:val="en-GB"/>
              </w:rPr>
            </w:pPr>
            <w:r w:rsidRPr="00395661">
              <w:rPr>
                <w:rFonts w:ascii="Verdana" w:hAnsi="Verdana"/>
                <w:noProof/>
                <w:color w:val="7F7F7F" w:themeColor="text1" w:themeTint="80"/>
                <w:sz w:val="22"/>
                <w:szCs w:val="22"/>
                <w:lang w:val="en-GB" w:eastAsia="en-GB"/>
              </w:rPr>
              <w:t xml:space="preserve">We will therefore look at bond yield indicators for BBB-rated companies and compare them to the 6% </w:t>
            </w:r>
            <w:r w:rsidR="00DA4127">
              <w:rPr>
                <w:rFonts w:ascii="Verdana" w:hAnsi="Verdana"/>
                <w:noProof/>
                <w:color w:val="7F7F7F" w:themeColor="text1" w:themeTint="80"/>
                <w:sz w:val="22"/>
                <w:szCs w:val="22"/>
                <w:lang w:val="en-GB" w:eastAsia="en-GB"/>
              </w:rPr>
              <w:t xml:space="preserve">CoC </w:t>
            </w:r>
            <w:r w:rsidRPr="00395661">
              <w:rPr>
                <w:rFonts w:ascii="Verdana" w:hAnsi="Verdana"/>
                <w:noProof/>
                <w:color w:val="7F7F7F" w:themeColor="text1" w:themeTint="80"/>
                <w:sz w:val="22"/>
                <w:szCs w:val="22"/>
                <w:lang w:val="en-GB" w:eastAsia="en-GB"/>
              </w:rPr>
              <w:t xml:space="preserve">rate set out in the </w:t>
            </w:r>
            <w:r w:rsidR="00DA4127">
              <w:rPr>
                <w:rFonts w:ascii="Verdana" w:hAnsi="Verdana"/>
                <w:noProof/>
                <w:color w:val="7F7F7F" w:themeColor="text1" w:themeTint="80"/>
                <w:sz w:val="22"/>
                <w:szCs w:val="22"/>
                <w:lang w:val="en-GB" w:eastAsia="en-GB"/>
              </w:rPr>
              <w:t>Solvency II D</w:t>
            </w:r>
            <w:r w:rsidRPr="00395661">
              <w:rPr>
                <w:rFonts w:ascii="Verdana" w:hAnsi="Verdana"/>
                <w:noProof/>
                <w:color w:val="7F7F7F" w:themeColor="text1" w:themeTint="80"/>
                <w:sz w:val="22"/>
                <w:szCs w:val="22"/>
                <w:lang w:val="en-GB" w:eastAsia="en-GB"/>
              </w:rPr>
              <w:t xml:space="preserve">irective. This yield is composed </w:t>
            </w:r>
            <w:r w:rsidR="00DA4127">
              <w:rPr>
                <w:rFonts w:ascii="Verdana" w:hAnsi="Verdana"/>
                <w:noProof/>
                <w:color w:val="7F7F7F" w:themeColor="text1" w:themeTint="80"/>
                <w:sz w:val="22"/>
                <w:szCs w:val="22"/>
                <w:lang w:val="en-GB" w:eastAsia="en-GB"/>
              </w:rPr>
              <w:t>of</w:t>
            </w:r>
            <w:r w:rsidR="00DA4127" w:rsidRPr="00395661">
              <w:rPr>
                <w:rFonts w:ascii="Verdana" w:hAnsi="Verdana"/>
                <w:noProof/>
                <w:color w:val="7F7F7F" w:themeColor="text1" w:themeTint="80"/>
                <w:sz w:val="22"/>
                <w:szCs w:val="22"/>
                <w:lang w:val="en-GB" w:eastAsia="en-GB"/>
              </w:rPr>
              <w:t xml:space="preserve"> </w:t>
            </w:r>
            <w:r w:rsidRPr="00395661">
              <w:rPr>
                <w:rFonts w:ascii="Verdana" w:hAnsi="Verdana"/>
                <w:noProof/>
                <w:color w:val="7F7F7F" w:themeColor="text1" w:themeTint="80"/>
                <w:sz w:val="22"/>
                <w:szCs w:val="22"/>
                <w:lang w:val="en-GB" w:eastAsia="en-GB"/>
              </w:rPr>
              <w:t xml:space="preserve">the risk free rate and the spread rate. </w:t>
            </w:r>
            <w:r w:rsidR="00DA4127">
              <w:rPr>
                <w:rFonts w:ascii="Verdana" w:hAnsi="Verdana"/>
                <w:color w:val="7F7F7F" w:themeColor="text1" w:themeTint="80"/>
                <w:sz w:val="22"/>
                <w:szCs w:val="22"/>
                <w:lang w:val="en-GB"/>
              </w:rPr>
              <w:t>To simplify,</w:t>
            </w:r>
            <w:r w:rsidRPr="00395661">
              <w:rPr>
                <w:rFonts w:ascii="Verdana" w:hAnsi="Verdana"/>
                <w:color w:val="7F7F7F" w:themeColor="text1" w:themeTint="80"/>
                <w:sz w:val="22"/>
                <w:szCs w:val="22"/>
                <w:lang w:val="en-GB"/>
              </w:rPr>
              <w:t xml:space="preserve"> we will use </w:t>
            </w:r>
            <w:r w:rsidR="00DA4127">
              <w:rPr>
                <w:rFonts w:ascii="Verdana" w:hAnsi="Verdana"/>
                <w:color w:val="7F7F7F" w:themeColor="text1" w:themeTint="80"/>
                <w:sz w:val="22"/>
                <w:szCs w:val="22"/>
                <w:lang w:val="en-GB"/>
              </w:rPr>
              <w:t xml:space="preserve">the </w:t>
            </w:r>
            <w:r w:rsidRPr="00395661">
              <w:rPr>
                <w:rFonts w:ascii="Verdana" w:hAnsi="Verdana"/>
                <w:noProof/>
                <w:color w:val="7F7F7F" w:themeColor="text1" w:themeTint="80"/>
                <w:sz w:val="22"/>
                <w:szCs w:val="22"/>
                <w:lang w:val="en-GB" w:eastAsia="en-GB"/>
              </w:rPr>
              <w:t xml:space="preserve">French OAT rates </w:t>
            </w:r>
            <w:r w:rsidRPr="00395661">
              <w:rPr>
                <w:rFonts w:ascii="Verdana" w:hAnsi="Verdana"/>
                <w:color w:val="7F7F7F" w:themeColor="text1" w:themeTint="80"/>
                <w:sz w:val="22"/>
                <w:szCs w:val="22"/>
                <w:lang w:val="en-GB"/>
              </w:rPr>
              <w:t xml:space="preserve">as an assessment of the risk-free rate. </w:t>
            </w:r>
            <w:r w:rsidR="00DA4127">
              <w:rPr>
                <w:rFonts w:ascii="Verdana" w:hAnsi="Verdana"/>
                <w:color w:val="7F7F7F" w:themeColor="text1" w:themeTint="80"/>
                <w:sz w:val="22"/>
                <w:szCs w:val="22"/>
                <w:lang w:val="en-GB"/>
              </w:rPr>
              <w:t>T</w:t>
            </w:r>
            <w:r w:rsidRPr="00395661">
              <w:rPr>
                <w:rFonts w:ascii="Verdana" w:hAnsi="Verdana"/>
                <w:color w:val="7F7F7F" w:themeColor="text1" w:themeTint="80"/>
                <w:sz w:val="22"/>
                <w:szCs w:val="22"/>
                <w:lang w:val="en-GB"/>
              </w:rPr>
              <w:t>he French OAT return rate does not present a significant difference with the valuation of the risk-free rate and, to the extent that we want to analyze a trend, this hypothesis seems appropriate. Since the 2007/2008 crisis, these rates have fallen from more than 4% to around -0.5%. Moreover, since 2015 these rates have fluctuated between 0% and 1%.</w:t>
            </w:r>
          </w:p>
          <w:p w14:paraId="52536C84" w14:textId="0D3DAFDE" w:rsidR="006D7A5C" w:rsidRPr="00395661" w:rsidRDefault="006D7A5C" w:rsidP="00020B14">
            <w:pPr>
              <w:tabs>
                <w:tab w:val="left" w:pos="0"/>
                <w:tab w:val="left" w:pos="4536"/>
              </w:tabs>
              <w:spacing w:before="120" w:after="120" w:line="288" w:lineRule="exact"/>
              <w:ind w:right="96"/>
              <w:rPr>
                <w:rFonts w:ascii="Verdana" w:hAnsi="Verdana"/>
                <w:color w:val="7F7F7F" w:themeColor="text1" w:themeTint="80"/>
                <w:sz w:val="22"/>
                <w:szCs w:val="22"/>
                <w:lang w:val="en-GB"/>
              </w:rPr>
            </w:pPr>
            <w:r w:rsidRPr="00395661">
              <w:rPr>
                <w:rFonts w:ascii="Verdana" w:hAnsi="Verdana"/>
                <w:color w:val="7F7F7F" w:themeColor="text1" w:themeTint="80"/>
                <w:sz w:val="22"/>
                <w:szCs w:val="22"/>
                <w:lang w:val="en-GB"/>
              </w:rPr>
              <w:t>The second component of the bond yield</w:t>
            </w:r>
            <w:r w:rsidR="00DA4127">
              <w:rPr>
                <w:rFonts w:ascii="Verdana" w:hAnsi="Verdana"/>
                <w:color w:val="7F7F7F" w:themeColor="text1" w:themeTint="80"/>
                <w:sz w:val="22"/>
                <w:szCs w:val="22"/>
                <w:lang w:val="en-GB"/>
              </w:rPr>
              <w:t xml:space="preserve">- the spread - </w:t>
            </w:r>
            <w:r w:rsidRPr="00395661">
              <w:rPr>
                <w:rFonts w:ascii="Verdana" w:hAnsi="Verdana"/>
                <w:color w:val="7F7F7F" w:themeColor="text1" w:themeTint="80"/>
                <w:sz w:val="22"/>
                <w:szCs w:val="22"/>
                <w:lang w:val="en-GB"/>
              </w:rPr>
              <w:t xml:space="preserve">should now be addressed and in particular the spread of BBB-rated organizations. </w:t>
            </w:r>
            <w:r w:rsidR="00DA4127">
              <w:rPr>
                <w:rFonts w:ascii="Verdana" w:hAnsi="Verdana"/>
                <w:color w:val="7F7F7F" w:themeColor="text1" w:themeTint="80"/>
                <w:sz w:val="22"/>
                <w:szCs w:val="22"/>
                <w:lang w:val="en-GB"/>
              </w:rPr>
              <w:t>T</w:t>
            </w:r>
            <w:r w:rsidRPr="00395661">
              <w:rPr>
                <w:rFonts w:ascii="Verdana" w:hAnsi="Verdana"/>
                <w:color w:val="7F7F7F" w:themeColor="text1" w:themeTint="80"/>
                <w:sz w:val="22"/>
                <w:szCs w:val="22"/>
                <w:lang w:val="en-GB"/>
              </w:rPr>
              <w:t xml:space="preserve">he </w:t>
            </w:r>
            <w:r w:rsidRPr="00395661">
              <w:rPr>
                <w:rFonts w:ascii="Verdana" w:hAnsi="Verdana"/>
                <w:color w:val="7F7F7F" w:themeColor="text1" w:themeTint="80"/>
                <w:sz w:val="22"/>
                <w:szCs w:val="22"/>
                <w:lang w:val="en-GB"/>
              </w:rPr>
              <w:lastRenderedPageBreak/>
              <w:t xml:space="preserve">capital cost factor has been calibrated according to the performance of companies with this rating. </w:t>
            </w:r>
          </w:p>
          <w:p w14:paraId="1F1E6447" w14:textId="37B8EB43" w:rsidR="006D7A5C" w:rsidRPr="00395661" w:rsidRDefault="006D7A5C" w:rsidP="00020B14">
            <w:pPr>
              <w:tabs>
                <w:tab w:val="left" w:pos="0"/>
                <w:tab w:val="left" w:pos="4536"/>
              </w:tabs>
              <w:spacing w:after="160" w:line="259" w:lineRule="auto"/>
              <w:rPr>
                <w:rFonts w:ascii="Verdana" w:hAnsi="Verdana" w:cstheme="minorHAnsi"/>
                <w:color w:val="7F7F7F" w:themeColor="text1" w:themeTint="80"/>
                <w:sz w:val="22"/>
                <w:szCs w:val="22"/>
                <w:lang w:val="en-GB"/>
              </w:rPr>
            </w:pPr>
            <w:r w:rsidRPr="00395661">
              <w:rPr>
                <w:rFonts w:ascii="Verdana" w:hAnsi="Verdana" w:cstheme="minorHAnsi"/>
                <w:color w:val="7F7F7F" w:themeColor="text1" w:themeTint="80"/>
                <w:sz w:val="22"/>
                <w:szCs w:val="22"/>
                <w:lang w:val="en-GB"/>
              </w:rPr>
              <w:t xml:space="preserve">Logically, the trend observed on spreads is similar to that of risk-free rates, which have fallen sharply since the crisis from 7% on 2008 to </w:t>
            </w:r>
            <w:r w:rsidR="00DA4127">
              <w:rPr>
                <w:rFonts w:ascii="Verdana" w:hAnsi="Verdana" w:cstheme="minorHAnsi"/>
                <w:color w:val="7F7F7F" w:themeColor="text1" w:themeTint="80"/>
                <w:sz w:val="22"/>
                <w:szCs w:val="22"/>
                <w:lang w:val="en-GB"/>
              </w:rPr>
              <w:t>below</w:t>
            </w:r>
            <w:r w:rsidR="00DA4127" w:rsidRPr="00395661">
              <w:rPr>
                <w:rFonts w:ascii="Verdana" w:hAnsi="Verdana" w:cstheme="minorHAnsi"/>
                <w:color w:val="7F7F7F" w:themeColor="text1" w:themeTint="80"/>
                <w:sz w:val="22"/>
                <w:szCs w:val="22"/>
                <w:lang w:val="en-GB"/>
              </w:rPr>
              <w:t xml:space="preserve"> </w:t>
            </w:r>
            <w:r w:rsidRPr="00395661">
              <w:rPr>
                <w:rFonts w:ascii="Verdana" w:hAnsi="Verdana" w:cstheme="minorHAnsi"/>
                <w:color w:val="7F7F7F" w:themeColor="text1" w:themeTint="80"/>
                <w:sz w:val="22"/>
                <w:szCs w:val="22"/>
                <w:lang w:val="en-GB"/>
              </w:rPr>
              <w:t xml:space="preserve">2% on 2019 (Source: </w:t>
            </w:r>
            <w:r w:rsidRPr="00395661">
              <w:rPr>
                <w:rFonts w:ascii="Verdana" w:hAnsi="Verdana"/>
                <w:color w:val="7F7F7F" w:themeColor="text1" w:themeTint="80"/>
                <w:sz w:val="22"/>
                <w:szCs w:val="22"/>
                <w:lang w:val="en-GB"/>
              </w:rPr>
              <w:t>the Barclays indices, based on the Bloomberg Barclays Global Aggregate Corporate Bond Index since 2001)</w:t>
            </w:r>
            <w:r w:rsidRPr="00395661">
              <w:rPr>
                <w:rFonts w:ascii="Verdana" w:hAnsi="Verdana" w:cstheme="minorHAnsi"/>
                <w:color w:val="7F7F7F" w:themeColor="text1" w:themeTint="80"/>
                <w:sz w:val="22"/>
                <w:szCs w:val="22"/>
                <w:lang w:val="en-GB"/>
              </w:rPr>
              <w:t>. In general, the BBB-rated compan</w:t>
            </w:r>
            <w:r w:rsidR="00DA4127">
              <w:rPr>
                <w:rFonts w:ascii="Verdana" w:hAnsi="Verdana" w:cstheme="minorHAnsi"/>
                <w:color w:val="7F7F7F" w:themeColor="text1" w:themeTint="80"/>
                <w:sz w:val="22"/>
                <w:szCs w:val="22"/>
                <w:lang w:val="en-GB"/>
              </w:rPr>
              <w:t>y</w:t>
            </w:r>
            <w:r w:rsidRPr="00395661">
              <w:rPr>
                <w:rFonts w:ascii="Verdana" w:hAnsi="Verdana" w:cstheme="minorHAnsi"/>
                <w:color w:val="7F7F7F" w:themeColor="text1" w:themeTint="80"/>
                <w:sz w:val="22"/>
                <w:szCs w:val="22"/>
                <w:lang w:val="en-GB"/>
              </w:rPr>
              <w:t xml:space="preserve"> bond market has been offering </w:t>
            </w:r>
            <w:r w:rsidR="00DA4127" w:rsidRPr="00395661">
              <w:rPr>
                <w:rFonts w:ascii="Verdana" w:hAnsi="Verdana" w:cstheme="minorHAnsi"/>
                <w:color w:val="7F7F7F" w:themeColor="text1" w:themeTint="80"/>
                <w:sz w:val="22"/>
                <w:szCs w:val="22"/>
                <w:lang w:val="en-GB"/>
              </w:rPr>
              <w:t xml:space="preserve">since 2015 </w:t>
            </w:r>
            <w:r w:rsidRPr="00395661">
              <w:rPr>
                <w:rFonts w:ascii="Verdana" w:hAnsi="Verdana" w:cstheme="minorHAnsi"/>
                <w:color w:val="7F7F7F" w:themeColor="text1" w:themeTint="80"/>
                <w:sz w:val="22"/>
                <w:szCs w:val="22"/>
                <w:lang w:val="en-GB"/>
              </w:rPr>
              <w:t>return rates between 0.5% and 3% (Source: Boursorama website)</w:t>
            </w:r>
          </w:p>
          <w:p w14:paraId="67C9DE18" w14:textId="6F349830" w:rsidR="006D7A5C" w:rsidRPr="00395661" w:rsidRDefault="006D7A5C" w:rsidP="00020B14">
            <w:pPr>
              <w:tabs>
                <w:tab w:val="left" w:pos="0"/>
                <w:tab w:val="left" w:pos="4536"/>
              </w:tabs>
              <w:spacing w:after="160" w:line="259" w:lineRule="auto"/>
              <w:rPr>
                <w:rFonts w:ascii="Verdana" w:hAnsi="Verdana" w:cstheme="minorHAnsi"/>
                <w:color w:val="7F7F7F" w:themeColor="text1" w:themeTint="80"/>
                <w:sz w:val="22"/>
                <w:szCs w:val="22"/>
                <w:lang w:val="en-GB"/>
              </w:rPr>
            </w:pPr>
            <w:r w:rsidRPr="00395661">
              <w:rPr>
                <w:rFonts w:ascii="Verdana" w:hAnsi="Verdana" w:cstheme="minorHAnsi"/>
                <w:color w:val="7F7F7F" w:themeColor="text1" w:themeTint="80"/>
                <w:sz w:val="22"/>
                <w:szCs w:val="22"/>
                <w:lang w:val="en-GB"/>
              </w:rPr>
              <w:t xml:space="preserve">This analysis reveals a significant discrepancy between the returns that can be claimed by investing in BBB-rated organizations (between 0.5% and 1% in 2019) and the returns modelled via the cost of capital of 6%. This confirms the assumption that the capital cost appears to be overstated relative to market conditions. </w:t>
            </w:r>
            <w:r w:rsidR="00DA4127">
              <w:rPr>
                <w:rFonts w:ascii="Verdana" w:hAnsi="Verdana" w:cstheme="minorHAnsi"/>
                <w:color w:val="7F7F7F" w:themeColor="text1" w:themeTint="80"/>
                <w:sz w:val="22"/>
                <w:szCs w:val="22"/>
                <w:lang w:val="en-GB"/>
              </w:rPr>
              <w:t>I</w:t>
            </w:r>
            <w:r w:rsidRPr="00395661">
              <w:rPr>
                <w:rFonts w:ascii="Verdana" w:hAnsi="Verdana" w:cstheme="minorHAnsi"/>
                <w:color w:val="7F7F7F" w:themeColor="text1" w:themeTint="80"/>
                <w:sz w:val="22"/>
                <w:szCs w:val="22"/>
                <w:lang w:val="en-GB"/>
              </w:rPr>
              <w:t>t can be noted that the spread is strongly correlated with changes in the risk-free rate.</w:t>
            </w:r>
          </w:p>
          <w:p w14:paraId="656A6386" w14:textId="1350E13F" w:rsidR="003720A2" w:rsidRPr="003720A2" w:rsidRDefault="003720A2" w:rsidP="00020B14">
            <w:pPr>
              <w:tabs>
                <w:tab w:val="left" w:pos="0"/>
                <w:tab w:val="left" w:pos="4536"/>
              </w:tabs>
              <w:spacing w:after="120"/>
              <w:rPr>
                <w:rFonts w:ascii="Verdana" w:hAnsi="Verdana"/>
                <w:color w:val="7F7F7F" w:themeColor="text1" w:themeTint="80"/>
                <w:sz w:val="22"/>
                <w:szCs w:val="22"/>
                <w:u w:val="single"/>
                <w:lang w:val="en-GB"/>
              </w:rPr>
            </w:pPr>
            <w:r>
              <w:rPr>
                <w:rFonts w:ascii="Verdana" w:hAnsi="Verdana"/>
                <w:color w:val="7F7F7F" w:themeColor="text1" w:themeTint="80"/>
                <w:sz w:val="22"/>
                <w:szCs w:val="22"/>
                <w:u w:val="single"/>
                <w:lang w:val="en-GB"/>
              </w:rPr>
              <w:t>Calibration proposal</w:t>
            </w:r>
          </w:p>
          <w:p w14:paraId="6D8BDA29" w14:textId="067C30D7" w:rsidR="006D7A5C" w:rsidRPr="00395661" w:rsidRDefault="006D7A5C" w:rsidP="00020B14">
            <w:pPr>
              <w:tabs>
                <w:tab w:val="left" w:pos="0"/>
                <w:tab w:val="left" w:pos="4536"/>
              </w:tabs>
              <w:rPr>
                <w:rFonts w:ascii="Verdana" w:hAnsi="Verdana"/>
                <w:color w:val="7F7F7F" w:themeColor="text1" w:themeTint="80"/>
                <w:sz w:val="22"/>
                <w:szCs w:val="22"/>
                <w:lang w:val="en-GB"/>
              </w:rPr>
            </w:pPr>
            <w:r w:rsidRPr="00395661">
              <w:rPr>
                <w:rFonts w:ascii="Verdana" w:hAnsi="Verdana"/>
                <w:color w:val="7F7F7F" w:themeColor="text1" w:themeTint="80"/>
                <w:sz w:val="22"/>
                <w:szCs w:val="22"/>
                <w:lang w:val="en-GB"/>
              </w:rPr>
              <w:t xml:space="preserve">The objective of this section </w:t>
            </w:r>
            <w:r w:rsidR="00DA4127">
              <w:rPr>
                <w:rFonts w:ascii="Verdana" w:hAnsi="Verdana"/>
                <w:color w:val="7F7F7F" w:themeColor="text1" w:themeTint="80"/>
                <w:sz w:val="22"/>
                <w:szCs w:val="22"/>
                <w:lang w:val="en-GB"/>
              </w:rPr>
              <w:t>relies</w:t>
            </w:r>
            <w:r w:rsidRPr="00395661">
              <w:rPr>
                <w:rFonts w:ascii="Verdana" w:hAnsi="Verdana"/>
                <w:color w:val="7F7F7F" w:themeColor="text1" w:themeTint="80"/>
                <w:sz w:val="22"/>
                <w:szCs w:val="22"/>
                <w:lang w:val="en-GB"/>
              </w:rPr>
              <w:t xml:space="preserve"> on the 2019 study by the Institute and Faculty of Actuaries (IFA) on the risk margin review in </w:t>
            </w:r>
            <w:r>
              <w:rPr>
                <w:rFonts w:ascii="Verdana" w:hAnsi="Verdana"/>
                <w:color w:val="7F7F7F" w:themeColor="text1" w:themeTint="80"/>
                <w:sz w:val="22"/>
                <w:szCs w:val="22"/>
                <w:lang w:val="en-GB"/>
              </w:rPr>
              <w:t>Solvency II</w:t>
            </w:r>
            <w:r w:rsidR="00DA4127">
              <w:rPr>
                <w:rFonts w:ascii="Verdana" w:hAnsi="Verdana"/>
                <w:color w:val="7F7F7F" w:themeColor="text1" w:themeTint="80"/>
                <w:sz w:val="22"/>
                <w:szCs w:val="22"/>
                <w:lang w:val="en-GB"/>
              </w:rPr>
              <w:t>; the study</w:t>
            </w:r>
            <w:r w:rsidRPr="00395661">
              <w:rPr>
                <w:rFonts w:ascii="Verdana" w:hAnsi="Verdana"/>
                <w:color w:val="7F7F7F" w:themeColor="text1" w:themeTint="80"/>
                <w:sz w:val="22"/>
                <w:szCs w:val="22"/>
                <w:lang w:val="en-GB"/>
              </w:rPr>
              <w:t xml:space="preserve"> proposes alternatives to its calculation mainly through the review of the determination of the cost of capital. One of the arguments is that the cost of capital is a cyclical element. Thus, it would be highly indexed to the risk-free rate which has varied greatly since the introduction of </w:t>
            </w:r>
            <w:r>
              <w:rPr>
                <w:rFonts w:ascii="Verdana" w:hAnsi="Verdana"/>
                <w:color w:val="7F7F7F" w:themeColor="text1" w:themeTint="80"/>
                <w:sz w:val="22"/>
                <w:szCs w:val="22"/>
                <w:lang w:val="en-GB"/>
              </w:rPr>
              <w:t>Solvency II</w:t>
            </w:r>
            <w:r w:rsidRPr="00395661">
              <w:rPr>
                <w:rFonts w:ascii="Verdana" w:hAnsi="Verdana"/>
                <w:color w:val="7F7F7F" w:themeColor="text1" w:themeTint="80"/>
                <w:sz w:val="22"/>
                <w:szCs w:val="22"/>
                <w:lang w:val="en-GB"/>
              </w:rPr>
              <w:t>. The study finds that a formula indexed to the risk-free interest rate to which a fixed rate would be added could be the most relevant. Here is the proposed formula:</w:t>
            </w:r>
          </w:p>
          <w:p w14:paraId="293D4FFB" w14:textId="77777777" w:rsidR="006D7A5C" w:rsidRPr="00395661" w:rsidRDefault="006D7A5C" w:rsidP="00020B14">
            <w:pPr>
              <w:tabs>
                <w:tab w:val="left" w:pos="0"/>
                <w:tab w:val="left" w:pos="4536"/>
              </w:tabs>
              <w:rPr>
                <w:rFonts w:ascii="Verdana" w:hAnsi="Verdana"/>
                <w:color w:val="7F7F7F" w:themeColor="text1" w:themeTint="80"/>
                <w:sz w:val="22"/>
                <w:szCs w:val="22"/>
                <w:lang w:val="en-GB"/>
              </w:rPr>
            </w:pPr>
          </w:p>
          <w:p w14:paraId="3032180B" w14:textId="77777777" w:rsidR="006D7A5C" w:rsidRPr="00395661" w:rsidRDefault="006D7A5C" w:rsidP="00020B14">
            <w:pPr>
              <w:tabs>
                <w:tab w:val="left" w:pos="0"/>
                <w:tab w:val="left" w:pos="4536"/>
              </w:tabs>
              <w:rPr>
                <w:rFonts w:ascii="Verdana" w:hAnsi="Verdana"/>
                <w:i/>
                <w:color w:val="7F7F7F" w:themeColor="text1" w:themeTint="80"/>
                <w:sz w:val="22"/>
                <w:szCs w:val="22"/>
              </w:rPr>
            </w:pPr>
            <m:oMathPara>
              <m:oMath>
                <m:r>
                  <w:rPr>
                    <w:rFonts w:ascii="Cambria Math" w:hAnsi="Cambria Math"/>
                    <w:color w:val="7F7F7F" w:themeColor="text1" w:themeTint="80"/>
                    <w:sz w:val="22"/>
                    <w:szCs w:val="22"/>
                  </w:rPr>
                  <m:t>CoC=x% ×risk free rate+fixed rate</m:t>
                </m:r>
              </m:oMath>
            </m:oMathPara>
          </w:p>
          <w:p w14:paraId="0CD118E5" w14:textId="77777777" w:rsidR="006D7A5C" w:rsidRPr="00395661" w:rsidRDefault="006D7A5C" w:rsidP="00020B14">
            <w:pPr>
              <w:tabs>
                <w:tab w:val="left" w:pos="0"/>
                <w:tab w:val="left" w:pos="4536"/>
              </w:tabs>
              <w:rPr>
                <w:rFonts w:ascii="Verdana" w:hAnsi="Verdana"/>
                <w:i/>
                <w:color w:val="7F7F7F" w:themeColor="text1" w:themeTint="80"/>
                <w:sz w:val="22"/>
                <w:szCs w:val="22"/>
              </w:rPr>
            </w:pPr>
          </w:p>
          <w:p w14:paraId="4CB4B3D3" w14:textId="5A96BDCB" w:rsidR="006D7A5C" w:rsidRPr="00395661" w:rsidRDefault="006D7A5C" w:rsidP="00020B14">
            <w:pPr>
              <w:tabs>
                <w:tab w:val="left" w:pos="0"/>
                <w:tab w:val="left" w:pos="4536"/>
              </w:tabs>
              <w:rPr>
                <w:rFonts w:ascii="Verdana" w:hAnsi="Verdana"/>
                <w:color w:val="7F7F7F" w:themeColor="text1" w:themeTint="80"/>
                <w:sz w:val="22"/>
                <w:szCs w:val="22"/>
                <w:lang w:val="en-GB"/>
              </w:rPr>
            </w:pPr>
            <w:r w:rsidRPr="00395661">
              <w:rPr>
                <w:rFonts w:ascii="Verdana" w:hAnsi="Verdana"/>
                <w:color w:val="7F7F7F" w:themeColor="text1" w:themeTint="80"/>
                <w:sz w:val="22"/>
                <w:szCs w:val="22"/>
                <w:lang w:val="en-GB"/>
              </w:rPr>
              <w:t xml:space="preserve">This </w:t>
            </w:r>
            <w:r w:rsidR="006F5ECC">
              <w:rPr>
                <w:rFonts w:ascii="Verdana" w:hAnsi="Verdana"/>
                <w:color w:val="7F7F7F" w:themeColor="text1" w:themeTint="80"/>
                <w:sz w:val="22"/>
                <w:szCs w:val="22"/>
                <w:lang w:val="en-GB"/>
              </w:rPr>
              <w:t>“</w:t>
            </w:r>
            <w:r w:rsidRPr="00395661">
              <w:rPr>
                <w:rFonts w:ascii="Verdana" w:hAnsi="Verdana"/>
                <w:color w:val="7F7F7F" w:themeColor="text1" w:themeTint="80"/>
                <w:sz w:val="22"/>
                <w:szCs w:val="22"/>
                <w:lang w:val="en-GB"/>
              </w:rPr>
              <w:t>x factor</w:t>
            </w:r>
            <w:r w:rsidR="006F5ECC">
              <w:rPr>
                <w:rFonts w:ascii="Verdana" w:hAnsi="Verdana"/>
                <w:color w:val="7F7F7F" w:themeColor="text1" w:themeTint="80"/>
                <w:sz w:val="22"/>
                <w:szCs w:val="22"/>
                <w:lang w:val="en-GB"/>
              </w:rPr>
              <w:t>”</w:t>
            </w:r>
            <w:r w:rsidRPr="00395661">
              <w:rPr>
                <w:rFonts w:ascii="Verdana" w:hAnsi="Verdana"/>
                <w:color w:val="7F7F7F" w:themeColor="text1" w:themeTint="80"/>
                <w:sz w:val="22"/>
                <w:szCs w:val="22"/>
                <w:lang w:val="en-GB"/>
              </w:rPr>
              <w:t xml:space="preserve"> could be </w:t>
            </w:r>
            <w:r w:rsidR="006F5ECC">
              <w:rPr>
                <w:rFonts w:ascii="Verdana" w:hAnsi="Verdana"/>
                <w:color w:val="7F7F7F" w:themeColor="text1" w:themeTint="80"/>
                <w:sz w:val="22"/>
                <w:szCs w:val="22"/>
                <w:lang w:val="en-GB"/>
              </w:rPr>
              <w:t xml:space="preserve">set </w:t>
            </w:r>
            <w:r w:rsidRPr="00395661">
              <w:rPr>
                <w:rFonts w:ascii="Verdana" w:hAnsi="Verdana"/>
                <w:color w:val="7F7F7F" w:themeColor="text1" w:themeTint="80"/>
                <w:sz w:val="22"/>
                <w:szCs w:val="22"/>
                <w:lang w:val="en-GB"/>
              </w:rPr>
              <w:t xml:space="preserve">between 30% and 40%. </w:t>
            </w:r>
            <w:r w:rsidR="006F5ECC">
              <w:rPr>
                <w:rFonts w:ascii="Verdana" w:hAnsi="Verdana"/>
                <w:color w:val="7F7F7F" w:themeColor="text1" w:themeTint="80"/>
                <w:sz w:val="22"/>
                <w:szCs w:val="22"/>
                <w:lang w:val="en-GB"/>
              </w:rPr>
              <w:t>Furthermore</w:t>
            </w:r>
            <w:r w:rsidRPr="00395661">
              <w:rPr>
                <w:rFonts w:ascii="Verdana" w:hAnsi="Verdana"/>
                <w:color w:val="7F7F7F" w:themeColor="text1" w:themeTint="80"/>
                <w:sz w:val="22"/>
                <w:szCs w:val="22"/>
                <w:lang w:val="en-GB"/>
              </w:rPr>
              <w:t xml:space="preserve">, </w:t>
            </w:r>
            <w:r w:rsidR="006F5ECC">
              <w:rPr>
                <w:rFonts w:ascii="Verdana" w:hAnsi="Verdana"/>
                <w:color w:val="7F7F7F" w:themeColor="text1" w:themeTint="80"/>
                <w:sz w:val="22"/>
                <w:szCs w:val="22"/>
                <w:lang w:val="en-GB"/>
              </w:rPr>
              <w:t xml:space="preserve">the </w:t>
            </w:r>
            <w:r w:rsidRPr="00395661">
              <w:rPr>
                <w:rFonts w:ascii="Verdana" w:hAnsi="Verdana"/>
                <w:color w:val="7F7F7F" w:themeColor="text1" w:themeTint="80"/>
                <w:sz w:val="22"/>
                <w:szCs w:val="22"/>
                <w:lang w:val="en-GB"/>
              </w:rPr>
              <w:t>stud</w:t>
            </w:r>
            <w:r w:rsidR="006F5ECC">
              <w:rPr>
                <w:rFonts w:ascii="Verdana" w:hAnsi="Verdana"/>
                <w:color w:val="7F7F7F" w:themeColor="text1" w:themeTint="80"/>
                <w:sz w:val="22"/>
                <w:szCs w:val="22"/>
                <w:lang w:val="en-GB"/>
              </w:rPr>
              <w:t>y</w:t>
            </w:r>
            <w:r w:rsidRPr="00395661">
              <w:rPr>
                <w:rFonts w:ascii="Verdana" w:hAnsi="Verdana"/>
                <w:color w:val="7F7F7F" w:themeColor="text1" w:themeTint="80"/>
                <w:sz w:val="22"/>
                <w:szCs w:val="22"/>
                <w:lang w:val="en-GB"/>
              </w:rPr>
              <w:t xml:space="preserve"> conducted </w:t>
            </w:r>
            <w:r w:rsidR="006F5ECC">
              <w:rPr>
                <w:rFonts w:ascii="Verdana" w:hAnsi="Verdana"/>
                <w:color w:val="7F7F7F" w:themeColor="text1" w:themeTint="80"/>
                <w:sz w:val="22"/>
                <w:szCs w:val="22"/>
                <w:lang w:val="en-GB"/>
              </w:rPr>
              <w:t>by</w:t>
            </w:r>
            <w:r w:rsidRPr="00395661">
              <w:rPr>
                <w:rFonts w:ascii="Verdana" w:hAnsi="Verdana"/>
                <w:color w:val="7F7F7F" w:themeColor="text1" w:themeTint="80"/>
                <w:sz w:val="22"/>
                <w:szCs w:val="22"/>
                <w:lang w:val="en-GB"/>
              </w:rPr>
              <w:t xml:space="preserve"> the CRO Forum in 2008 concluded that the cost of capital increased between 0.3% and 0.4% for each 1% increasing of the risk-free rate. The advantage of this formula would be to allow for an adjustment </w:t>
            </w:r>
            <w:r w:rsidR="006F5ECC">
              <w:rPr>
                <w:rFonts w:ascii="Verdana" w:hAnsi="Verdana"/>
                <w:color w:val="7F7F7F" w:themeColor="text1" w:themeTint="80"/>
                <w:sz w:val="22"/>
                <w:szCs w:val="22"/>
                <w:lang w:val="en-GB"/>
              </w:rPr>
              <w:t>to</w:t>
            </w:r>
            <w:r w:rsidRPr="00395661">
              <w:rPr>
                <w:rFonts w:ascii="Verdana" w:hAnsi="Verdana"/>
                <w:color w:val="7F7F7F" w:themeColor="text1" w:themeTint="80"/>
                <w:sz w:val="22"/>
                <w:szCs w:val="22"/>
                <w:lang w:val="en-GB"/>
              </w:rPr>
              <w:t xml:space="preserve"> the </w:t>
            </w:r>
            <w:r w:rsidR="006F5ECC">
              <w:rPr>
                <w:rFonts w:ascii="Verdana" w:hAnsi="Verdana"/>
                <w:color w:val="7F7F7F" w:themeColor="text1" w:themeTint="80"/>
                <w:sz w:val="22"/>
                <w:szCs w:val="22"/>
                <w:lang w:val="en-GB"/>
              </w:rPr>
              <w:t>CoC</w:t>
            </w:r>
            <w:r w:rsidRPr="00395661">
              <w:rPr>
                <w:rFonts w:ascii="Verdana" w:hAnsi="Verdana"/>
                <w:color w:val="7F7F7F" w:themeColor="text1" w:themeTint="80"/>
                <w:sz w:val="22"/>
                <w:szCs w:val="22"/>
                <w:lang w:val="en-GB"/>
              </w:rPr>
              <w:t xml:space="preserve"> in line with financial market conditions. Thus, it appears to be a good alternative to the fixed factor determined today.</w:t>
            </w:r>
          </w:p>
          <w:p w14:paraId="4B638D0E" w14:textId="77777777" w:rsidR="006D7A5C" w:rsidRPr="00395661" w:rsidRDefault="006D7A5C" w:rsidP="00020B14">
            <w:pPr>
              <w:tabs>
                <w:tab w:val="left" w:pos="0"/>
                <w:tab w:val="left" w:pos="4536"/>
              </w:tabs>
              <w:spacing w:before="57" w:line="288" w:lineRule="exact"/>
              <w:ind w:right="98"/>
              <w:rPr>
                <w:rFonts w:ascii="Verdana" w:hAnsi="Verdana"/>
                <w:color w:val="7F7F7F" w:themeColor="text1" w:themeTint="80"/>
                <w:sz w:val="22"/>
                <w:szCs w:val="22"/>
                <w:lang w:val="en-GB"/>
              </w:rPr>
            </w:pPr>
            <w:r w:rsidRPr="003720A2">
              <w:rPr>
                <w:rFonts w:ascii="Verdana" w:hAnsi="Verdana" w:cstheme="minorHAnsi"/>
                <w:b/>
                <w:bCs/>
                <w:color w:val="7F7F7F" w:themeColor="text1" w:themeTint="80"/>
                <w:sz w:val="22"/>
                <w:szCs w:val="22"/>
                <w:lang w:val="en-GB"/>
              </w:rPr>
              <w:t>We therefore recommend turning the cost of capital into a variable factor indexed to the risk-free rate to which a fixed rate of between 2% and 3% would be added</w:t>
            </w:r>
            <w:r w:rsidRPr="00395661">
              <w:rPr>
                <w:rFonts w:ascii="Verdana" w:hAnsi="Verdana" w:cstheme="minorHAnsi"/>
                <w:color w:val="7F7F7F" w:themeColor="text1" w:themeTint="80"/>
                <w:sz w:val="22"/>
                <w:szCs w:val="22"/>
                <w:lang w:val="en-GB"/>
              </w:rPr>
              <w:t>. Today this formula would give a cost of capital factor between 1.5% and 2.5% which would be close to the current returns observed in the financial markets for a BBB rated organization.</w:t>
            </w:r>
          </w:p>
          <w:p w14:paraId="3ED09DDF" w14:textId="77777777" w:rsidR="006D7A5C" w:rsidRPr="00395661" w:rsidRDefault="006D7A5C" w:rsidP="00020B14">
            <w:pPr>
              <w:pStyle w:val="NormalWeb"/>
              <w:tabs>
                <w:tab w:val="left" w:pos="0"/>
                <w:tab w:val="left" w:pos="4536"/>
              </w:tabs>
              <w:spacing w:after="120"/>
              <w:jc w:val="both"/>
              <w:rPr>
                <w:rFonts w:ascii="Verdana" w:eastAsia="Times New Roman" w:hAnsi="Verdana"/>
                <w:color w:val="7F7F7F" w:themeColor="text1" w:themeTint="80"/>
                <w:sz w:val="22"/>
                <w:szCs w:val="22"/>
                <w:u w:val="single"/>
                <w:lang w:val="en-GB" w:eastAsia="de-DE"/>
              </w:rPr>
            </w:pPr>
          </w:p>
        </w:tc>
        <w:tc>
          <w:tcPr>
            <w:tcW w:w="483" w:type="pct"/>
            <w:tcBorders>
              <w:top w:val="single" w:sz="4" w:space="0" w:color="auto"/>
              <w:left w:val="single" w:sz="4" w:space="0" w:color="auto"/>
              <w:bottom w:val="single" w:sz="4" w:space="0" w:color="auto"/>
              <w:right w:val="single" w:sz="4" w:space="0" w:color="auto"/>
            </w:tcBorders>
          </w:tcPr>
          <w:p w14:paraId="64455BEF" w14:textId="77777777" w:rsidR="006D7A5C" w:rsidRPr="00FE3045" w:rsidRDefault="006D7A5C" w:rsidP="00020B14">
            <w:pPr>
              <w:tabs>
                <w:tab w:val="left" w:pos="0"/>
                <w:tab w:val="left" w:pos="4536"/>
              </w:tabs>
              <w:ind w:left="-96"/>
              <w:rPr>
                <w:color w:val="000000"/>
                <w:sz w:val="22"/>
                <w:szCs w:val="22"/>
                <w:lang w:val="en-GB" w:eastAsia="fr-FR"/>
              </w:rPr>
            </w:pPr>
          </w:p>
        </w:tc>
      </w:tr>
      <w:tr w:rsidR="00FC5744" w:rsidRPr="001360A5" w14:paraId="34CDA72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BB51BD2" w14:textId="781E0FA9" w:rsidR="006D7A5C" w:rsidRPr="00FE3045" w:rsidRDefault="006D7A5C" w:rsidP="00020B14">
            <w:pPr>
              <w:pStyle w:val="NormalWeb"/>
              <w:tabs>
                <w:tab w:val="left" w:pos="0"/>
                <w:tab w:val="left" w:pos="4536"/>
              </w:tabs>
              <w:spacing w:before="0" w:beforeAutospacing="0" w:after="120" w:afterAutospacing="0" w:line="276" w:lineRule="auto"/>
              <w:ind w:left="-96"/>
              <w:jc w:val="both"/>
              <w:rPr>
                <w:rFonts w:ascii="Verdana" w:hAnsi="Verdana"/>
                <w:bCs/>
                <w:color w:val="000000"/>
                <w:sz w:val="22"/>
                <w:szCs w:val="22"/>
                <w:lang w:val="en-GB"/>
              </w:rPr>
            </w:pPr>
            <w:r w:rsidRPr="00F2109C">
              <w:rPr>
                <w:rFonts w:ascii="Verdana" w:eastAsia="Times New Roman" w:hAnsi="Verdana"/>
                <w:color w:val="7F7F7F"/>
                <w:sz w:val="22"/>
                <w:szCs w:val="22"/>
                <w:lang w:val="en-US" w:eastAsia="de-DE"/>
              </w:rPr>
              <w:lastRenderedPageBreak/>
              <w:t>3</w:t>
            </w:r>
          </w:p>
        </w:tc>
        <w:tc>
          <w:tcPr>
            <w:tcW w:w="506" w:type="pct"/>
            <w:gridSpan w:val="2"/>
            <w:tcBorders>
              <w:top w:val="single" w:sz="4" w:space="0" w:color="auto"/>
              <w:left w:val="single" w:sz="4" w:space="0" w:color="auto"/>
              <w:bottom w:val="single" w:sz="4" w:space="0" w:color="auto"/>
              <w:right w:val="single" w:sz="4" w:space="0" w:color="auto"/>
            </w:tcBorders>
          </w:tcPr>
          <w:p w14:paraId="7DF93222" w14:textId="45F474BE" w:rsidR="006D7A5C" w:rsidRPr="00FE3045" w:rsidRDefault="006D7A5C" w:rsidP="00020B14">
            <w:pPr>
              <w:pStyle w:val="NormalWeb"/>
              <w:tabs>
                <w:tab w:val="left" w:pos="0"/>
                <w:tab w:val="left" w:pos="4536"/>
              </w:tabs>
              <w:spacing w:before="0" w:beforeAutospacing="0" w:after="120" w:afterAutospacing="0" w:line="276" w:lineRule="auto"/>
              <w:ind w:left="-96"/>
              <w:jc w:val="both"/>
              <w:rPr>
                <w:rFonts w:ascii="Verdana" w:eastAsia="Times New Roman" w:hAnsi="Verdana"/>
                <w:color w:val="7F7F7F"/>
                <w:sz w:val="22"/>
                <w:szCs w:val="22"/>
                <w:lang w:val="en-US" w:eastAsia="de-DE"/>
              </w:rPr>
            </w:pPr>
            <w:r>
              <w:rPr>
                <w:rFonts w:ascii="Verdana" w:eastAsia="Times New Roman" w:hAnsi="Verdana"/>
                <w:color w:val="7F7F7F"/>
                <w:sz w:val="22"/>
                <w:szCs w:val="22"/>
                <w:lang w:val="en-US" w:eastAsia="de-DE"/>
              </w:rPr>
              <w:t>General comments AMICE’s Proposal</w:t>
            </w:r>
          </w:p>
        </w:tc>
        <w:tc>
          <w:tcPr>
            <w:tcW w:w="1999" w:type="pct"/>
            <w:tcBorders>
              <w:top w:val="single" w:sz="4" w:space="0" w:color="auto"/>
              <w:left w:val="single" w:sz="4" w:space="0" w:color="auto"/>
              <w:bottom w:val="single" w:sz="4" w:space="0" w:color="auto"/>
              <w:right w:val="single" w:sz="4" w:space="0" w:color="auto"/>
            </w:tcBorders>
          </w:tcPr>
          <w:p w14:paraId="17827560" w14:textId="77777777" w:rsidR="006D7A5C" w:rsidRPr="00CF2245" w:rsidRDefault="006D7A5C" w:rsidP="00020B14">
            <w:pPr>
              <w:pStyle w:val="NormalWeb"/>
              <w:tabs>
                <w:tab w:val="left" w:pos="0"/>
                <w:tab w:val="left" w:pos="4536"/>
              </w:tabs>
              <w:spacing w:after="120"/>
              <w:jc w:val="both"/>
              <w:rPr>
                <w:rFonts w:ascii="Verdana" w:eastAsia="Times New Roman" w:hAnsi="Verdana"/>
                <w:color w:val="7F7F7F" w:themeColor="text1" w:themeTint="80"/>
                <w:sz w:val="22"/>
                <w:szCs w:val="22"/>
                <w:u w:val="single"/>
                <w:lang w:val="en-US" w:eastAsia="de-DE"/>
              </w:rPr>
            </w:pPr>
            <w:r w:rsidRPr="00CF2245">
              <w:rPr>
                <w:rFonts w:ascii="Verdana" w:eastAsia="Times New Roman" w:hAnsi="Verdana"/>
                <w:color w:val="7F7F7F" w:themeColor="text1" w:themeTint="80"/>
                <w:sz w:val="22"/>
                <w:szCs w:val="22"/>
                <w:u w:val="single"/>
                <w:lang w:val="en-US" w:eastAsia="de-DE"/>
              </w:rPr>
              <w:t xml:space="preserve">Further Topics: Group Risk Margin </w:t>
            </w:r>
          </w:p>
          <w:p w14:paraId="5C05434D" w14:textId="6DFA79FA" w:rsidR="006D7A5C" w:rsidRPr="00CF2245" w:rsidRDefault="006D7A5C" w:rsidP="00020B14">
            <w:pPr>
              <w:pStyle w:val="NormalWeb"/>
              <w:tabs>
                <w:tab w:val="left" w:pos="0"/>
                <w:tab w:val="left" w:pos="4536"/>
              </w:tabs>
              <w:spacing w:before="0" w:beforeAutospacing="0" w:after="120" w:afterAutospacing="0"/>
              <w:jc w:val="both"/>
              <w:rPr>
                <w:rFonts w:ascii="Verdana" w:eastAsia="Times New Roman" w:hAnsi="Verdana"/>
                <w:color w:val="7F7F7F" w:themeColor="text1" w:themeTint="80"/>
                <w:sz w:val="22"/>
                <w:szCs w:val="22"/>
                <w:lang w:val="en-US" w:eastAsia="de-DE"/>
              </w:rPr>
            </w:pPr>
            <w:r w:rsidRPr="00CF2245">
              <w:rPr>
                <w:rFonts w:ascii="Verdana" w:eastAsia="Times New Roman" w:hAnsi="Verdana"/>
                <w:color w:val="7F7F7F" w:themeColor="text1" w:themeTint="80"/>
                <w:sz w:val="22"/>
                <w:szCs w:val="22"/>
                <w:lang w:val="en-US" w:eastAsia="de-DE"/>
              </w:rPr>
              <w:t>We would like to reiterate that the calculation of the group risk margin should allow for intra-group transactions. Article 340 of the Delegated Regulation indicates that the consolidated risk margin should be calculated based on “consolidated data”. According to the Regulation, intra-group transactions are eliminated from the “consolidated data”. However, EIOPA indicated that for the calculation of the group loss absorbing capacity of deferred taxes (LAC</w:t>
            </w:r>
            <w:r w:rsidRPr="00CF2245">
              <w:rPr>
                <w:rFonts w:ascii="Verdana" w:eastAsia="Times New Roman" w:hAnsi="Verdana"/>
                <w:color w:val="7F7F7F" w:themeColor="text1" w:themeTint="80"/>
                <w:sz w:val="22"/>
                <w:szCs w:val="22"/>
                <w:vertAlign w:val="subscript"/>
                <w:lang w:val="en-US" w:eastAsia="de-DE"/>
              </w:rPr>
              <w:t>DT</w:t>
            </w:r>
            <w:r w:rsidRPr="00CF2245">
              <w:rPr>
                <w:rFonts w:ascii="Verdana" w:eastAsia="Times New Roman" w:hAnsi="Verdana"/>
                <w:color w:val="7F7F7F" w:themeColor="text1" w:themeTint="80"/>
                <w:sz w:val="22"/>
                <w:szCs w:val="22"/>
                <w:lang w:val="en-US" w:eastAsia="de-DE"/>
              </w:rPr>
              <w:t xml:space="preserve">) the formula in the EIOPA guidelines is to be interpreted gross of intra-group transactions. EIOPA stated similarly in their response to a question on the risk margin and the </w:t>
            </w:r>
            <w:r w:rsidRPr="00CF2245">
              <w:rPr>
                <w:rFonts w:ascii="Verdana" w:eastAsia="Times New Roman" w:hAnsi="Verdana"/>
                <w:color w:val="7F7F7F" w:themeColor="text1" w:themeTint="80"/>
                <w:sz w:val="22"/>
                <w:szCs w:val="22"/>
                <w:lang w:val="en-US" w:eastAsia="de-DE"/>
              </w:rPr>
              <w:lastRenderedPageBreak/>
              <w:t>MCR calculation; the consolidated risk margin should be calculated as the simple sum of the risk margin of the participating undertaking and the proportional shares of the risk margin of related undertakings, which means that the risk margin should be gross of intra-group transactions. Not eliminating the intra-group transactions from the group calculations for the risk margin leads to a risk margin which is not related to the best estimate on the balance sheet. We call on EIOPA to remove this arbitrary calculation of the risk margin at group level.</w:t>
            </w:r>
          </w:p>
        </w:tc>
        <w:tc>
          <w:tcPr>
            <w:tcW w:w="483" w:type="pct"/>
            <w:tcBorders>
              <w:top w:val="single" w:sz="4" w:space="0" w:color="auto"/>
              <w:left w:val="single" w:sz="4" w:space="0" w:color="auto"/>
              <w:bottom w:val="single" w:sz="4" w:space="0" w:color="auto"/>
              <w:right w:val="single" w:sz="4" w:space="0" w:color="auto"/>
            </w:tcBorders>
          </w:tcPr>
          <w:p w14:paraId="50F3D20A" w14:textId="77777777" w:rsidR="006D7A5C" w:rsidRPr="00FE3045" w:rsidRDefault="006D7A5C" w:rsidP="00020B14">
            <w:pPr>
              <w:tabs>
                <w:tab w:val="left" w:pos="0"/>
                <w:tab w:val="left" w:pos="4536"/>
              </w:tabs>
              <w:ind w:left="-96"/>
              <w:rPr>
                <w:color w:val="000000"/>
                <w:sz w:val="22"/>
                <w:szCs w:val="22"/>
                <w:lang w:val="en-GB" w:eastAsia="fr-FR"/>
              </w:rPr>
            </w:pPr>
          </w:p>
        </w:tc>
      </w:tr>
      <w:tr w:rsidR="00FC5744" w:rsidRPr="001360A5" w14:paraId="7499F670"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092044B" w14:textId="344BBB6F" w:rsidR="006F5ECC" w:rsidRPr="0078578C" w:rsidRDefault="006F5ECC" w:rsidP="00020B14">
            <w:pPr>
              <w:tabs>
                <w:tab w:val="left" w:pos="0"/>
                <w:tab w:val="left" w:pos="4536"/>
              </w:tabs>
              <w:ind w:left="-96"/>
              <w:rPr>
                <w:rFonts w:ascii="Verdana" w:hAnsi="Verdana"/>
                <w:bCs/>
                <w:color w:val="7F7F7F" w:themeColor="text1" w:themeTint="80"/>
                <w:sz w:val="22"/>
                <w:szCs w:val="22"/>
                <w:lang w:val="en-GB"/>
              </w:rPr>
            </w:pPr>
            <w:r w:rsidRPr="0078578C">
              <w:rPr>
                <w:rFonts w:ascii="Verdana" w:hAnsi="Verdana"/>
                <w:bCs/>
                <w:color w:val="7F7F7F" w:themeColor="text1" w:themeTint="80"/>
                <w:sz w:val="22"/>
                <w:szCs w:val="22"/>
                <w:lang w:val="en-GB"/>
              </w:rPr>
              <w:t>3</w:t>
            </w:r>
          </w:p>
        </w:tc>
        <w:tc>
          <w:tcPr>
            <w:tcW w:w="506" w:type="pct"/>
            <w:gridSpan w:val="2"/>
            <w:tcBorders>
              <w:top w:val="single" w:sz="4" w:space="0" w:color="auto"/>
              <w:left w:val="single" w:sz="4" w:space="0" w:color="auto"/>
              <w:bottom w:val="single" w:sz="4" w:space="0" w:color="auto"/>
              <w:right w:val="single" w:sz="4" w:space="0" w:color="auto"/>
            </w:tcBorders>
          </w:tcPr>
          <w:p w14:paraId="0CBB8086" w14:textId="73B55764" w:rsidR="006F5ECC" w:rsidRPr="00BF7CD9" w:rsidRDefault="006F5ECC" w:rsidP="00020B14">
            <w:pPr>
              <w:pStyle w:val="NormalWeb"/>
              <w:tabs>
                <w:tab w:val="left" w:pos="0"/>
                <w:tab w:val="left" w:pos="4536"/>
              </w:tabs>
              <w:spacing w:before="0" w:beforeAutospacing="0" w:after="120" w:afterAutospacing="0" w:line="276" w:lineRule="auto"/>
              <w:ind w:left="-96"/>
              <w:jc w:val="both"/>
              <w:rPr>
                <w:rFonts w:ascii="Verdana" w:eastAsia="Times New Roman" w:hAnsi="Verdana"/>
                <w:b/>
                <w:bCs/>
                <w:color w:val="7F7F7F"/>
                <w:sz w:val="22"/>
                <w:szCs w:val="22"/>
                <w:lang w:val="en-US" w:eastAsia="de-DE"/>
              </w:rPr>
            </w:pPr>
            <w:r>
              <w:rPr>
                <w:rFonts w:ascii="Verdana" w:eastAsia="Times New Roman" w:hAnsi="Verdana"/>
                <w:b/>
                <w:bCs/>
                <w:color w:val="7F7F7F"/>
                <w:sz w:val="22"/>
                <w:szCs w:val="22"/>
                <w:lang w:val="en-US" w:eastAsia="de-DE"/>
              </w:rPr>
              <w:t>Question to stakeholders</w:t>
            </w:r>
          </w:p>
        </w:tc>
        <w:tc>
          <w:tcPr>
            <w:tcW w:w="1999" w:type="pct"/>
            <w:tcBorders>
              <w:top w:val="single" w:sz="4" w:space="0" w:color="auto"/>
              <w:left w:val="single" w:sz="4" w:space="0" w:color="auto"/>
              <w:bottom w:val="single" w:sz="4" w:space="0" w:color="auto"/>
              <w:right w:val="single" w:sz="4" w:space="0" w:color="auto"/>
            </w:tcBorders>
          </w:tcPr>
          <w:p w14:paraId="2FAD519F" w14:textId="77777777" w:rsidR="006F5ECC" w:rsidRPr="003B5FB1" w:rsidRDefault="006F5ECC" w:rsidP="00020B14">
            <w:pPr>
              <w:tabs>
                <w:tab w:val="left" w:pos="0"/>
                <w:tab w:val="left" w:pos="4536"/>
              </w:tabs>
              <w:spacing w:after="120"/>
              <w:rPr>
                <w:rFonts w:ascii="Verdana" w:hAnsi="Verdana"/>
                <w:b/>
                <w:bCs/>
                <w:color w:val="7F7F7F" w:themeColor="text1" w:themeTint="80"/>
                <w:sz w:val="22"/>
                <w:szCs w:val="22"/>
                <w:lang w:val="en-GB"/>
              </w:rPr>
            </w:pPr>
            <w:r>
              <w:rPr>
                <w:rFonts w:ascii="Verdana" w:hAnsi="Verdana"/>
                <w:b/>
                <w:bCs/>
                <w:color w:val="7F7F7F" w:themeColor="text1" w:themeTint="80"/>
                <w:sz w:val="22"/>
                <w:szCs w:val="22"/>
                <w:lang w:val="en-GB"/>
              </w:rPr>
              <w:t>Q3.3 Is your experience, if relevant, consistent with our conclusions that the risk margin can be more sensitive to interest rate changes for longer term business?</w:t>
            </w:r>
          </w:p>
          <w:p w14:paraId="27211582" w14:textId="60280F2F" w:rsidR="006F5ECC" w:rsidRPr="000C1C4D" w:rsidRDefault="006F5ECC" w:rsidP="00020B14">
            <w:pPr>
              <w:tabs>
                <w:tab w:val="left" w:pos="0"/>
                <w:tab w:val="left" w:pos="4536"/>
              </w:tabs>
              <w:spacing w:line="255" w:lineRule="auto"/>
              <w:jc w:val="both"/>
              <w:rPr>
                <w:rFonts w:ascii="Verdana" w:hAnsi="Verdana"/>
                <w:color w:val="7F7F7F" w:themeColor="text1" w:themeTint="80"/>
                <w:sz w:val="22"/>
                <w:szCs w:val="22"/>
                <w:lang w:val="en-US" w:eastAsia="de-DE"/>
              </w:rPr>
            </w:pPr>
            <w:r>
              <w:rPr>
                <w:rFonts w:ascii="Verdana" w:hAnsi="Verdana"/>
                <w:color w:val="7F7F7F" w:themeColor="text1" w:themeTint="80"/>
                <w:sz w:val="22"/>
                <w:szCs w:val="22"/>
                <w:lang w:val="en-GB"/>
              </w:rPr>
              <w:t xml:space="preserve">(See our comments to paragraph 3.200). </w:t>
            </w:r>
            <w:r>
              <w:rPr>
                <w:rFonts w:ascii="Verdana" w:hAnsi="Verdana"/>
                <w:color w:val="7F7F7F" w:themeColor="text1" w:themeTint="80"/>
                <w:sz w:val="22"/>
                <w:szCs w:val="22"/>
                <w:lang w:val="en-GB" w:eastAsia="de-DE"/>
              </w:rPr>
              <w:t>As indicated in the IFA</w:t>
            </w:r>
            <w:r>
              <w:rPr>
                <w:rFonts w:ascii="Verdana" w:hAnsi="Verdana"/>
                <w:color w:val="7F7F7F" w:themeColor="text1" w:themeTint="80"/>
                <w:sz w:val="22"/>
                <w:szCs w:val="22"/>
                <w:lang w:val="en-US" w:eastAsia="de-DE"/>
              </w:rPr>
              <w:t xml:space="preserve"> study, t</w:t>
            </w:r>
            <w:r w:rsidRPr="00CF2245">
              <w:rPr>
                <w:rFonts w:ascii="Verdana" w:hAnsi="Verdana"/>
                <w:color w:val="7F7F7F" w:themeColor="text1" w:themeTint="80"/>
                <w:sz w:val="22"/>
                <w:szCs w:val="22"/>
                <w:lang w:val="en-US" w:eastAsia="de-DE"/>
              </w:rPr>
              <w:t xml:space="preserve">he risk margin is particularly sensitive to changes in risk-free rates. Interest rate changes have a dual impact on risk margin. With a reduction in the risk-free rate curve, firstly the BEL is re-valued upwards and so is the stressed BEL to calculate the individual risk capital, resulting in larger risk </w:t>
            </w:r>
            <w:r w:rsidR="000A6B49" w:rsidRPr="00CF2245">
              <w:rPr>
                <w:rFonts w:ascii="Verdana" w:hAnsi="Verdana"/>
                <w:color w:val="7F7F7F" w:themeColor="text1" w:themeTint="80"/>
                <w:sz w:val="22"/>
                <w:szCs w:val="22"/>
                <w:lang w:val="en-US" w:eastAsia="de-DE"/>
              </w:rPr>
              <w:t>capital.</w:t>
            </w:r>
            <w:r w:rsidR="000A6B49" w:rsidRPr="000C1C4D">
              <w:rPr>
                <w:rFonts w:ascii="Verdana" w:hAnsi="Verdana"/>
                <w:color w:val="7F7F7F" w:themeColor="text1" w:themeTint="80"/>
                <w:sz w:val="22"/>
                <w:szCs w:val="22"/>
                <w:lang w:val="en-US" w:eastAsia="de-DE"/>
              </w:rPr>
              <w:t xml:space="preserve"> They</w:t>
            </w:r>
            <w:r w:rsidRPr="000C1C4D">
              <w:rPr>
                <w:rFonts w:ascii="Verdana" w:hAnsi="Verdana"/>
                <w:color w:val="7F7F7F" w:themeColor="text1" w:themeTint="80"/>
                <w:sz w:val="22"/>
                <w:szCs w:val="22"/>
                <w:lang w:val="en-US" w:eastAsia="de-DE"/>
              </w:rPr>
              <w:t xml:space="preserve"> also indicate that the costs of capital are discounted at lower rates, resulting in a higher overall present value for the risk margin</w:t>
            </w:r>
          </w:p>
          <w:p w14:paraId="3B42E069" w14:textId="3514E576" w:rsidR="006F5ECC" w:rsidRDefault="006F5ECC" w:rsidP="00020B14">
            <w:pPr>
              <w:tabs>
                <w:tab w:val="left" w:pos="0"/>
                <w:tab w:val="left" w:pos="4536"/>
              </w:tabs>
              <w:spacing w:line="254" w:lineRule="auto"/>
              <w:jc w:val="both"/>
              <w:rPr>
                <w:rFonts w:ascii="Verdana" w:hAnsi="Verdana"/>
                <w:color w:val="7F7F7F" w:themeColor="text1" w:themeTint="80"/>
                <w:sz w:val="22"/>
                <w:szCs w:val="22"/>
                <w:lang w:val="en-US" w:eastAsia="de-DE"/>
              </w:rPr>
            </w:pPr>
            <w:r w:rsidRPr="00CF2245">
              <w:rPr>
                <w:rFonts w:ascii="Verdana" w:hAnsi="Verdana"/>
                <w:color w:val="7F7F7F" w:themeColor="text1" w:themeTint="80"/>
                <w:sz w:val="22"/>
                <w:szCs w:val="22"/>
                <w:lang w:val="en-US" w:eastAsia="de-DE"/>
              </w:rPr>
              <w:t xml:space="preserve">The risk margin is significantly more volatile than the BEL for the same business. </w:t>
            </w:r>
          </w:p>
          <w:p w14:paraId="103E4EE7" w14:textId="10437D14" w:rsidR="006F5ECC" w:rsidRPr="00CF2245" w:rsidRDefault="006F5ECC" w:rsidP="00020B14">
            <w:pPr>
              <w:pStyle w:val="NormalWeb"/>
              <w:tabs>
                <w:tab w:val="left" w:pos="0"/>
                <w:tab w:val="left" w:pos="4536"/>
              </w:tabs>
              <w:spacing w:before="0" w:beforeAutospacing="0" w:after="120" w:afterAutospacing="0"/>
              <w:jc w:val="both"/>
              <w:rPr>
                <w:rFonts w:ascii="Verdana" w:eastAsia="Times New Roman" w:hAnsi="Verdana"/>
                <w:color w:val="7F7F7F" w:themeColor="text1" w:themeTint="80"/>
                <w:sz w:val="22"/>
                <w:szCs w:val="22"/>
                <w:lang w:val="en-US" w:eastAsia="de-DE"/>
              </w:rPr>
            </w:pPr>
          </w:p>
        </w:tc>
        <w:tc>
          <w:tcPr>
            <w:tcW w:w="483" w:type="pct"/>
            <w:tcBorders>
              <w:top w:val="single" w:sz="4" w:space="0" w:color="auto"/>
              <w:left w:val="single" w:sz="4" w:space="0" w:color="auto"/>
              <w:bottom w:val="single" w:sz="4" w:space="0" w:color="auto"/>
              <w:right w:val="single" w:sz="4" w:space="0" w:color="auto"/>
            </w:tcBorders>
          </w:tcPr>
          <w:p w14:paraId="26A0814C" w14:textId="77777777" w:rsidR="006F5ECC" w:rsidRDefault="006F5ECC" w:rsidP="00020B14">
            <w:pPr>
              <w:pStyle w:val="NormalWeb"/>
              <w:tabs>
                <w:tab w:val="left" w:pos="0"/>
                <w:tab w:val="left" w:pos="4536"/>
              </w:tabs>
              <w:spacing w:before="0" w:beforeAutospacing="0" w:after="120" w:afterAutospacing="0"/>
              <w:ind w:left="-96"/>
              <w:jc w:val="both"/>
              <w:rPr>
                <w:rFonts w:ascii="Verdana" w:eastAsia="Times New Roman" w:hAnsi="Verdana"/>
                <w:color w:val="7F7F7F" w:themeColor="text1" w:themeTint="80"/>
                <w:sz w:val="22"/>
                <w:szCs w:val="22"/>
                <w:lang w:val="en-US" w:eastAsia="de-DE"/>
              </w:rPr>
            </w:pPr>
          </w:p>
          <w:p w14:paraId="4165AC90"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4D6BDC2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19016A1" w14:textId="586260AC" w:rsidR="006F5ECC" w:rsidRPr="0078578C" w:rsidRDefault="006F5ECC" w:rsidP="00020B14">
            <w:pPr>
              <w:tabs>
                <w:tab w:val="left" w:pos="0"/>
                <w:tab w:val="left" w:pos="4536"/>
              </w:tabs>
              <w:ind w:left="-96"/>
              <w:rPr>
                <w:rFonts w:ascii="Verdana" w:hAnsi="Verdana"/>
                <w:bCs/>
                <w:color w:val="7F7F7F" w:themeColor="text1" w:themeTint="80"/>
                <w:sz w:val="22"/>
                <w:szCs w:val="22"/>
                <w:lang w:val="en-GB"/>
              </w:rPr>
            </w:pPr>
            <w:r w:rsidRPr="0078578C">
              <w:rPr>
                <w:rFonts w:ascii="Verdana" w:hAnsi="Verdana"/>
                <w:bCs/>
                <w:color w:val="7F7F7F" w:themeColor="text1" w:themeTint="80"/>
                <w:sz w:val="22"/>
                <w:szCs w:val="22"/>
                <w:lang w:val="en-GB"/>
              </w:rPr>
              <w:t>3</w:t>
            </w:r>
          </w:p>
        </w:tc>
        <w:tc>
          <w:tcPr>
            <w:tcW w:w="506" w:type="pct"/>
            <w:gridSpan w:val="2"/>
            <w:tcBorders>
              <w:top w:val="single" w:sz="4" w:space="0" w:color="auto"/>
              <w:left w:val="single" w:sz="4" w:space="0" w:color="auto"/>
              <w:bottom w:val="single" w:sz="4" w:space="0" w:color="auto"/>
              <w:right w:val="single" w:sz="4" w:space="0" w:color="auto"/>
            </w:tcBorders>
          </w:tcPr>
          <w:p w14:paraId="1FC106B7" w14:textId="4A7DA4CB" w:rsidR="006F5ECC" w:rsidRPr="00F72CD5" w:rsidRDefault="006F5ECC" w:rsidP="00020B14">
            <w:pPr>
              <w:pStyle w:val="NormalWeb"/>
              <w:tabs>
                <w:tab w:val="left" w:pos="0"/>
                <w:tab w:val="left" w:pos="4536"/>
              </w:tabs>
              <w:spacing w:before="0" w:beforeAutospacing="0" w:after="120" w:afterAutospacing="0" w:line="276" w:lineRule="auto"/>
              <w:ind w:left="-96"/>
              <w:jc w:val="both"/>
              <w:rPr>
                <w:rFonts w:ascii="Verdana" w:eastAsia="Times New Roman" w:hAnsi="Verdana"/>
                <w:b/>
                <w:bCs/>
                <w:color w:val="7F7F7F" w:themeColor="text1" w:themeTint="80"/>
                <w:sz w:val="22"/>
                <w:szCs w:val="22"/>
                <w:lang w:val="en-US" w:eastAsia="de-DE"/>
              </w:rPr>
            </w:pPr>
            <w:r w:rsidRPr="00F72CD5">
              <w:rPr>
                <w:rFonts w:ascii="Verdana" w:eastAsia="Times New Roman" w:hAnsi="Verdana"/>
                <w:b/>
                <w:bCs/>
                <w:color w:val="7F7F7F" w:themeColor="text1" w:themeTint="80"/>
                <w:sz w:val="22"/>
                <w:szCs w:val="22"/>
                <w:lang w:val="en-US" w:eastAsia="de-DE"/>
              </w:rPr>
              <w:t xml:space="preserve">Question to stakeholders </w:t>
            </w:r>
          </w:p>
        </w:tc>
        <w:tc>
          <w:tcPr>
            <w:tcW w:w="1999" w:type="pct"/>
            <w:tcBorders>
              <w:top w:val="single" w:sz="4" w:space="0" w:color="auto"/>
              <w:left w:val="single" w:sz="4" w:space="0" w:color="auto"/>
              <w:bottom w:val="single" w:sz="4" w:space="0" w:color="auto"/>
              <w:right w:val="single" w:sz="4" w:space="0" w:color="auto"/>
            </w:tcBorders>
          </w:tcPr>
          <w:p w14:paraId="20AF6769" w14:textId="097D36F7" w:rsidR="006F5ECC" w:rsidRPr="00395661" w:rsidRDefault="006F5ECC" w:rsidP="00020B14">
            <w:pPr>
              <w:tabs>
                <w:tab w:val="left" w:pos="0"/>
                <w:tab w:val="left" w:pos="4536"/>
              </w:tabs>
              <w:spacing w:line="255" w:lineRule="auto"/>
              <w:ind w:right="6" w:hanging="565"/>
              <w:jc w:val="both"/>
              <w:rPr>
                <w:rFonts w:ascii="Verdana" w:eastAsia="Verdana" w:hAnsi="Verdana" w:cs="Verdana"/>
                <w:b/>
                <w:bCs/>
                <w:color w:val="7F7F7F" w:themeColor="text1" w:themeTint="80"/>
                <w:sz w:val="22"/>
                <w:szCs w:val="22"/>
                <w:lang w:val="en-US"/>
              </w:rPr>
            </w:pPr>
            <w:r w:rsidRPr="00395661">
              <w:rPr>
                <w:rFonts w:ascii="Verdana" w:eastAsia="Verdana" w:hAnsi="Verdana" w:cs="Verdana"/>
                <w:b/>
                <w:bCs/>
                <w:color w:val="7F7F7F" w:themeColor="text1" w:themeTint="80"/>
                <w:sz w:val="22"/>
                <w:szCs w:val="22"/>
                <w:lang w:val="en-US"/>
              </w:rPr>
              <w:t>Q3.4: What is your view on the assumptions underlying the reference undertaking where the original undertaking applies the MA or VA? Considering the approaches for risk margin calculation outlined in section 3.2.7.2, are any of the noted pros and/or cons inconsistent with your own views or experience?</w:t>
            </w:r>
          </w:p>
          <w:p w14:paraId="23B24CBE" w14:textId="77777777" w:rsidR="006F5ECC" w:rsidRPr="00395661" w:rsidRDefault="006F5ECC" w:rsidP="00020B14">
            <w:pPr>
              <w:tabs>
                <w:tab w:val="left" w:pos="0"/>
                <w:tab w:val="left" w:pos="4536"/>
              </w:tabs>
              <w:spacing w:line="255" w:lineRule="auto"/>
              <w:ind w:right="6" w:hanging="565"/>
              <w:jc w:val="both"/>
              <w:rPr>
                <w:b/>
                <w:bCs/>
                <w:color w:val="7F7F7F" w:themeColor="text1" w:themeTint="80"/>
                <w:sz w:val="22"/>
                <w:szCs w:val="22"/>
                <w:lang w:val="en-US"/>
              </w:rPr>
            </w:pPr>
          </w:p>
          <w:p w14:paraId="4B2B675B" w14:textId="4D12D35D" w:rsidR="006F5ECC" w:rsidRPr="00395661" w:rsidRDefault="00A55E07" w:rsidP="00020B14">
            <w:pPr>
              <w:pStyle w:val="NormalWeb"/>
              <w:tabs>
                <w:tab w:val="left" w:pos="0"/>
                <w:tab w:val="left" w:pos="4536"/>
              </w:tabs>
              <w:spacing w:before="0" w:beforeAutospacing="0" w:after="120" w:afterAutospacing="0"/>
              <w:jc w:val="both"/>
              <w:rPr>
                <w:rFonts w:ascii="Verdana" w:eastAsia="Times New Roman" w:hAnsi="Verdana"/>
                <w:b/>
                <w:bCs/>
                <w:color w:val="7F7F7F" w:themeColor="text1" w:themeTint="80"/>
                <w:sz w:val="22"/>
                <w:szCs w:val="22"/>
                <w:lang w:val="en-US" w:eastAsia="de-DE"/>
              </w:rPr>
            </w:pPr>
            <w:r>
              <w:rPr>
                <w:rFonts w:ascii="Verdana" w:hAnsi="Verdana"/>
                <w:color w:val="7F7F7F" w:themeColor="text1" w:themeTint="80"/>
                <w:sz w:val="22"/>
                <w:szCs w:val="22"/>
                <w:lang w:val="en-US"/>
              </w:rPr>
              <w:t>We disagree with EIOPA´s conclusion not to allow the MA and VA in the risk margin discount rate. As indicated in our comments to paragraph 3.189, the statement that the allowance of the VA in the risk margin would assume that the reference undertaking invests in risky assets is wrong. Currently, there are no requirements on using the VA; a firm investing risk-free is allowed to apply the volatility adjustment in its best estimate.</w:t>
            </w:r>
          </w:p>
        </w:tc>
        <w:tc>
          <w:tcPr>
            <w:tcW w:w="483" w:type="pct"/>
            <w:tcBorders>
              <w:top w:val="single" w:sz="4" w:space="0" w:color="auto"/>
              <w:left w:val="single" w:sz="4" w:space="0" w:color="auto"/>
              <w:bottom w:val="single" w:sz="4" w:space="0" w:color="auto"/>
              <w:right w:val="single" w:sz="4" w:space="0" w:color="auto"/>
            </w:tcBorders>
          </w:tcPr>
          <w:p w14:paraId="5B28F5D5"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7ECE2A6F"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DEA5E20" w14:textId="61C6537D" w:rsidR="006F5ECC" w:rsidRPr="00FE3045" w:rsidRDefault="006F5ECC" w:rsidP="00020B14">
            <w:pPr>
              <w:tabs>
                <w:tab w:val="left" w:pos="0"/>
                <w:tab w:val="left" w:pos="4536"/>
              </w:tabs>
              <w:ind w:left="-96"/>
              <w:rPr>
                <w:rFonts w:ascii="Verdana" w:hAnsi="Verdana"/>
                <w:bCs/>
                <w:color w:val="000000"/>
                <w:sz w:val="22"/>
                <w:szCs w:val="22"/>
                <w:lang w:val="en-GB"/>
              </w:rPr>
            </w:pPr>
            <w:r w:rsidRPr="00EC2920">
              <w:rPr>
                <w:rFonts w:ascii="Verdana" w:hAnsi="Verdana"/>
                <w:bCs/>
                <w:color w:val="7F7F7F" w:themeColor="text1" w:themeTint="80"/>
                <w:sz w:val="22"/>
                <w:szCs w:val="22"/>
                <w:lang w:val="en-GB"/>
              </w:rPr>
              <w:t>3</w:t>
            </w:r>
          </w:p>
        </w:tc>
        <w:tc>
          <w:tcPr>
            <w:tcW w:w="506" w:type="pct"/>
            <w:gridSpan w:val="2"/>
            <w:tcBorders>
              <w:top w:val="single" w:sz="4" w:space="0" w:color="auto"/>
              <w:left w:val="single" w:sz="4" w:space="0" w:color="auto"/>
              <w:bottom w:val="single" w:sz="4" w:space="0" w:color="auto"/>
              <w:right w:val="single" w:sz="4" w:space="0" w:color="auto"/>
            </w:tcBorders>
          </w:tcPr>
          <w:p w14:paraId="6329B8CE" w14:textId="42723782" w:rsidR="006F5ECC" w:rsidRPr="00FE3045" w:rsidRDefault="006F5ECC" w:rsidP="00020B14">
            <w:pPr>
              <w:pStyle w:val="NormalWeb"/>
              <w:tabs>
                <w:tab w:val="left" w:pos="0"/>
                <w:tab w:val="left" w:pos="4536"/>
              </w:tabs>
              <w:spacing w:before="0" w:beforeAutospacing="0" w:after="120" w:afterAutospacing="0" w:line="276" w:lineRule="auto"/>
              <w:ind w:left="-96"/>
              <w:jc w:val="both"/>
              <w:rPr>
                <w:rFonts w:ascii="Verdana" w:eastAsia="Times New Roman" w:hAnsi="Verdana"/>
                <w:color w:val="7F7F7F"/>
                <w:sz w:val="22"/>
                <w:szCs w:val="22"/>
                <w:lang w:val="en-US" w:eastAsia="de-DE"/>
              </w:rPr>
            </w:pPr>
            <w:r>
              <w:rPr>
                <w:rFonts w:ascii="Verdana" w:eastAsia="Times New Roman" w:hAnsi="Verdana"/>
                <w:b/>
                <w:bCs/>
                <w:color w:val="7F7F7F"/>
                <w:sz w:val="22"/>
                <w:szCs w:val="22"/>
                <w:lang w:val="en-US" w:eastAsia="de-DE"/>
              </w:rPr>
              <w:t>Question to stakeholders</w:t>
            </w:r>
          </w:p>
        </w:tc>
        <w:tc>
          <w:tcPr>
            <w:tcW w:w="1999" w:type="pct"/>
            <w:tcBorders>
              <w:top w:val="single" w:sz="4" w:space="0" w:color="auto"/>
              <w:left w:val="single" w:sz="4" w:space="0" w:color="auto"/>
              <w:bottom w:val="single" w:sz="4" w:space="0" w:color="auto"/>
              <w:right w:val="single" w:sz="4" w:space="0" w:color="auto"/>
            </w:tcBorders>
          </w:tcPr>
          <w:p w14:paraId="4E210FB6" w14:textId="77777777" w:rsidR="006F5ECC" w:rsidRPr="00395661" w:rsidRDefault="006F5ECC" w:rsidP="00020B14">
            <w:pPr>
              <w:tabs>
                <w:tab w:val="left" w:pos="0"/>
                <w:tab w:val="left" w:pos="4536"/>
              </w:tabs>
              <w:ind w:right="6" w:hanging="565"/>
              <w:jc w:val="both"/>
              <w:rPr>
                <w:b/>
                <w:bCs/>
                <w:color w:val="7F7F7F" w:themeColor="text1" w:themeTint="80"/>
                <w:sz w:val="22"/>
                <w:szCs w:val="22"/>
                <w:lang w:val="en-US"/>
              </w:rPr>
            </w:pPr>
            <w:r w:rsidRPr="00395661">
              <w:rPr>
                <w:rFonts w:ascii="Verdana" w:eastAsia="Verdana" w:hAnsi="Verdana" w:cs="Verdana"/>
                <w:b/>
                <w:bCs/>
                <w:color w:val="7F7F7F" w:themeColor="text1" w:themeTint="80"/>
                <w:sz w:val="22"/>
                <w:szCs w:val="22"/>
                <w:lang w:val="en-US"/>
              </w:rPr>
              <w:t>Q3.5: Please note any possible approaches to the calculation of the risk margin you believe should be considered that have not been included under section 3.2. Please justify any such approaches,</w:t>
            </w:r>
          </w:p>
          <w:p w14:paraId="3B91EF46" w14:textId="066B9193" w:rsidR="006D7F18" w:rsidRPr="003720A2" w:rsidRDefault="006D7F18" w:rsidP="00020B14">
            <w:pPr>
              <w:tabs>
                <w:tab w:val="left" w:pos="0"/>
                <w:tab w:val="left" w:pos="4536"/>
              </w:tabs>
              <w:spacing w:before="120" w:line="252" w:lineRule="auto"/>
              <w:jc w:val="both"/>
              <w:rPr>
                <w:rFonts w:ascii="Verdana" w:eastAsia="Arial" w:hAnsi="Verdana" w:cs="Arial"/>
                <w:b/>
                <w:bCs/>
                <w:color w:val="7F7F7F" w:themeColor="text1" w:themeTint="80"/>
                <w:sz w:val="22"/>
                <w:szCs w:val="22"/>
                <w:lang w:val="en-US"/>
              </w:rPr>
            </w:pPr>
            <w:r w:rsidRPr="003720A2">
              <w:rPr>
                <w:rFonts w:ascii="Verdana" w:eastAsia="Arial" w:hAnsi="Verdana" w:cs="Arial"/>
                <w:b/>
                <w:bCs/>
                <w:color w:val="7F7F7F" w:themeColor="text1" w:themeTint="80"/>
                <w:sz w:val="22"/>
                <w:szCs w:val="22"/>
                <w:lang w:val="en-US"/>
              </w:rPr>
              <w:t>Allowing for the non-independence of risks over time</w:t>
            </w:r>
          </w:p>
          <w:p w14:paraId="39529C67" w14:textId="454FCFC5" w:rsidR="006F5ECC" w:rsidRPr="00395661" w:rsidRDefault="006F5ECC" w:rsidP="00020B14">
            <w:pPr>
              <w:tabs>
                <w:tab w:val="left" w:pos="0"/>
                <w:tab w:val="left" w:pos="4536"/>
              </w:tabs>
              <w:spacing w:before="120" w:line="252" w:lineRule="auto"/>
              <w:jc w:val="both"/>
              <w:rPr>
                <w:rFonts w:ascii="Verdana" w:hAnsi="Verdana"/>
                <w:color w:val="7F7F7F" w:themeColor="text1" w:themeTint="80"/>
                <w:sz w:val="22"/>
                <w:szCs w:val="22"/>
                <w:lang w:val="en-US"/>
              </w:rPr>
            </w:pPr>
            <w:r w:rsidRPr="00395661">
              <w:rPr>
                <w:rFonts w:ascii="Verdana" w:eastAsia="Arial" w:hAnsi="Verdana" w:cs="Arial"/>
                <w:color w:val="7F7F7F" w:themeColor="text1" w:themeTint="80"/>
                <w:sz w:val="22"/>
                <w:szCs w:val="22"/>
                <w:lang w:val="en-US"/>
              </w:rPr>
              <w:t>key point raised by the industry</w:t>
            </w:r>
            <w:r w:rsidR="006D7F18">
              <w:rPr>
                <w:rFonts w:ascii="Verdana" w:eastAsia="Arial" w:hAnsi="Verdana" w:cs="Arial"/>
                <w:color w:val="7F7F7F" w:themeColor="text1" w:themeTint="80"/>
                <w:sz w:val="22"/>
                <w:szCs w:val="22"/>
                <w:lang w:val="en-US"/>
              </w:rPr>
              <w:t xml:space="preserve"> in 2018</w:t>
            </w:r>
            <w:r w:rsidRPr="00395661">
              <w:rPr>
                <w:rFonts w:ascii="Verdana" w:eastAsia="Arial" w:hAnsi="Verdana" w:cs="Arial"/>
                <w:color w:val="7F7F7F" w:themeColor="text1" w:themeTint="80"/>
                <w:sz w:val="22"/>
                <w:szCs w:val="22"/>
                <w:lang w:val="en-US"/>
              </w:rPr>
              <w:t xml:space="preserve"> in its response to EIOPA </w:t>
            </w:r>
            <w:r w:rsidR="006D7F18">
              <w:rPr>
                <w:rFonts w:ascii="Verdana" w:eastAsia="Arial" w:hAnsi="Verdana" w:cs="Arial"/>
                <w:color w:val="7F7F7F" w:themeColor="text1" w:themeTint="80"/>
                <w:sz w:val="22"/>
                <w:szCs w:val="22"/>
                <w:lang w:val="en-US"/>
              </w:rPr>
              <w:t xml:space="preserve">and in the IFA report </w:t>
            </w:r>
            <w:r w:rsidRPr="00395661">
              <w:rPr>
                <w:rFonts w:ascii="Verdana" w:eastAsia="Arial" w:hAnsi="Verdana" w:cs="Arial"/>
                <w:color w:val="7F7F7F" w:themeColor="text1" w:themeTint="80"/>
                <w:sz w:val="22"/>
                <w:szCs w:val="22"/>
                <w:lang w:val="en-US"/>
              </w:rPr>
              <w:t xml:space="preserve">is that the method of projecting the SCRs can lead to an overstatement of the risk to the reference undertaking. </w:t>
            </w:r>
            <w:r w:rsidR="006D7F18">
              <w:rPr>
                <w:rFonts w:ascii="Verdana" w:eastAsia="Arial" w:hAnsi="Verdana" w:cs="Arial"/>
                <w:color w:val="7F7F7F" w:themeColor="text1" w:themeTint="80"/>
                <w:sz w:val="22"/>
                <w:szCs w:val="22"/>
                <w:lang w:val="en-US"/>
              </w:rPr>
              <w:t>The IFA report indicates that, e</w:t>
            </w:r>
            <w:r w:rsidRPr="00395661">
              <w:rPr>
                <w:rFonts w:ascii="Verdana" w:eastAsia="Arial" w:hAnsi="Verdana" w:cs="Arial"/>
                <w:color w:val="7F7F7F" w:themeColor="text1" w:themeTint="80"/>
                <w:sz w:val="22"/>
                <w:szCs w:val="22"/>
                <w:lang w:val="en-US"/>
              </w:rPr>
              <w:t>ssentially</w:t>
            </w:r>
            <w:r w:rsidR="006D7F18">
              <w:rPr>
                <w:rFonts w:ascii="Verdana" w:eastAsia="Arial" w:hAnsi="Verdana" w:cs="Arial"/>
                <w:color w:val="7F7F7F" w:themeColor="text1" w:themeTint="80"/>
                <w:sz w:val="22"/>
                <w:szCs w:val="22"/>
                <w:lang w:val="en-US"/>
              </w:rPr>
              <w:t>,</w:t>
            </w:r>
            <w:r w:rsidRPr="00395661">
              <w:rPr>
                <w:rFonts w:ascii="Verdana" w:eastAsia="Arial" w:hAnsi="Verdana" w:cs="Arial"/>
                <w:color w:val="7F7F7F" w:themeColor="text1" w:themeTint="80"/>
                <w:sz w:val="22"/>
                <w:szCs w:val="22"/>
                <w:lang w:val="en-US"/>
              </w:rPr>
              <w:t xml:space="preserve"> the risk margin as constructed assumes that the reference undertaking is recapitalised at each period end and only holds capital against risk for the next year. The SCRs projected are unconditional on events in previous periods.</w:t>
            </w:r>
          </w:p>
          <w:p w14:paraId="3146E599" w14:textId="77777777" w:rsidR="006F5ECC" w:rsidRPr="00CF2245" w:rsidRDefault="006F5ECC" w:rsidP="00020B14">
            <w:pPr>
              <w:tabs>
                <w:tab w:val="left" w:pos="0"/>
                <w:tab w:val="left" w:pos="4536"/>
              </w:tabs>
              <w:spacing w:line="135" w:lineRule="exact"/>
              <w:rPr>
                <w:color w:val="7F7F7F" w:themeColor="text1" w:themeTint="80"/>
                <w:sz w:val="20"/>
                <w:szCs w:val="20"/>
                <w:lang w:val="en-US"/>
              </w:rPr>
            </w:pPr>
          </w:p>
          <w:p w14:paraId="07E2F1AE" w14:textId="7D67772A" w:rsidR="006F5ECC" w:rsidRDefault="006F5ECC" w:rsidP="00020B14">
            <w:pPr>
              <w:tabs>
                <w:tab w:val="left" w:pos="0"/>
                <w:tab w:val="left" w:pos="4536"/>
              </w:tabs>
              <w:spacing w:after="120"/>
              <w:jc w:val="both"/>
              <w:rPr>
                <w:rFonts w:ascii="Verdana" w:eastAsia="Arial" w:hAnsi="Verdana" w:cs="Arial"/>
                <w:color w:val="7F7F7F" w:themeColor="text1" w:themeTint="80"/>
                <w:sz w:val="22"/>
                <w:szCs w:val="22"/>
                <w:lang w:val="en-US"/>
              </w:rPr>
            </w:pPr>
            <w:r w:rsidRPr="00395661">
              <w:rPr>
                <w:rFonts w:ascii="Verdana" w:eastAsia="Arial" w:hAnsi="Verdana" w:cs="Arial"/>
                <w:color w:val="7F7F7F" w:themeColor="text1" w:themeTint="80"/>
                <w:sz w:val="22"/>
                <w:szCs w:val="22"/>
                <w:lang w:val="en-US"/>
              </w:rPr>
              <w:t xml:space="preserve">However, in practice, the risks in each period over a product lifetime are not independent. </w:t>
            </w:r>
            <w:r w:rsidR="006D7F18">
              <w:rPr>
                <w:rFonts w:ascii="Verdana" w:eastAsia="Arial" w:hAnsi="Verdana" w:cs="Arial"/>
                <w:color w:val="7F7F7F" w:themeColor="text1" w:themeTint="80"/>
                <w:sz w:val="22"/>
                <w:szCs w:val="22"/>
                <w:lang w:val="en-US"/>
              </w:rPr>
              <w:t>“</w:t>
            </w:r>
            <w:r w:rsidRPr="003720A2">
              <w:rPr>
                <w:rFonts w:ascii="Verdana" w:eastAsia="Arial" w:hAnsi="Verdana" w:cs="Arial"/>
                <w:i/>
                <w:iCs/>
                <w:color w:val="7F7F7F" w:themeColor="text1" w:themeTint="80"/>
                <w:sz w:val="22"/>
                <w:szCs w:val="22"/>
                <w:lang w:val="en-US"/>
              </w:rPr>
              <w:t xml:space="preserve">For instance, certain risks are non- repeatable: that cancer can only be cured once is a simple example. Therefore, if there were losses in one period, the SCRs in future periods might be expected to be lower. This is important, as the rationale for a 6% cost-of-capital in the risk margin calculation is that the capital injected each period is at risk - if losses in one period would mean lower SCRs in future periods, </w:t>
            </w:r>
            <w:r w:rsidRPr="003720A2">
              <w:rPr>
                <w:rFonts w:ascii="Verdana" w:eastAsia="Arial" w:hAnsi="Verdana" w:cs="Arial"/>
                <w:i/>
                <w:iCs/>
                <w:color w:val="7F7F7F" w:themeColor="text1" w:themeTint="80"/>
                <w:sz w:val="22"/>
                <w:szCs w:val="22"/>
                <w:lang w:val="en-US"/>
              </w:rPr>
              <w:lastRenderedPageBreak/>
              <w:t>then either the cost of capital may be too high, or the projected SCRs too high. To reflect this properly would require a full stochastic projection of the future evolution of the business</w:t>
            </w:r>
            <w:r w:rsidR="006D7F18">
              <w:rPr>
                <w:rFonts w:ascii="Verdana" w:eastAsia="Arial" w:hAnsi="Verdana" w:cs="Arial"/>
                <w:color w:val="7F7F7F" w:themeColor="text1" w:themeTint="80"/>
                <w:sz w:val="22"/>
                <w:szCs w:val="22"/>
                <w:lang w:val="en-US"/>
              </w:rPr>
              <w:t>”</w:t>
            </w:r>
            <w:r w:rsidRPr="00395661">
              <w:rPr>
                <w:rFonts w:ascii="Verdana" w:eastAsia="Arial" w:hAnsi="Verdana" w:cs="Arial"/>
                <w:color w:val="7F7F7F" w:themeColor="text1" w:themeTint="80"/>
                <w:sz w:val="22"/>
                <w:szCs w:val="22"/>
                <w:lang w:val="en-US"/>
              </w:rPr>
              <w:t>.</w:t>
            </w:r>
          </w:p>
          <w:p w14:paraId="6D0FF494" w14:textId="67749C0B" w:rsidR="00805C2B" w:rsidRPr="001F7855" w:rsidRDefault="00805C2B" w:rsidP="00020B14">
            <w:pPr>
              <w:tabs>
                <w:tab w:val="left" w:pos="0"/>
                <w:tab w:val="left" w:pos="4536"/>
              </w:tabs>
              <w:jc w:val="both"/>
              <w:rPr>
                <w:rFonts w:ascii="Verdana" w:eastAsia="Arial" w:hAnsi="Verdana" w:cs="Arial"/>
                <w:color w:val="7F7F7F" w:themeColor="text1" w:themeTint="80"/>
                <w:sz w:val="22"/>
                <w:szCs w:val="22"/>
                <w:lang w:val="en-US"/>
              </w:rPr>
            </w:pPr>
            <w:r>
              <w:rPr>
                <w:rFonts w:ascii="Verdana" w:eastAsia="Arial" w:hAnsi="Verdana" w:cs="Arial"/>
                <w:color w:val="7F7F7F" w:themeColor="text1" w:themeTint="80"/>
                <w:sz w:val="22"/>
                <w:szCs w:val="22"/>
                <w:lang w:val="en-US"/>
              </w:rPr>
              <w:t xml:space="preserve">This point has been also raised by the AAE it its recent </w:t>
            </w:r>
            <w:r w:rsidRPr="00740523">
              <w:rPr>
                <w:rFonts w:ascii="Verdana" w:eastAsia="Arial" w:hAnsi="Verdana" w:cs="Arial"/>
                <w:color w:val="7F7F7F" w:themeColor="text1" w:themeTint="80"/>
                <w:sz w:val="22"/>
                <w:szCs w:val="22"/>
                <w:lang w:val="en-US"/>
              </w:rPr>
              <w:t>“</w:t>
            </w:r>
            <w:hyperlink r:id="rId19" w:history="1">
              <w:r w:rsidRPr="003720A2">
                <w:rPr>
                  <w:rFonts w:ascii="Verdana" w:eastAsia="Arial" w:hAnsi="Verdana" w:cs="Arial"/>
                  <w:color w:val="7F7F7F" w:themeColor="text1" w:themeTint="80"/>
                  <w:sz w:val="22"/>
                  <w:szCs w:val="22"/>
                  <w:lang w:val="en-US"/>
                </w:rPr>
                <w:t>A Review of the Design of the Solvency II Risk Margin</w:t>
              </w:r>
            </w:hyperlink>
            <w:r w:rsidRPr="00740523">
              <w:rPr>
                <w:rFonts w:ascii="Verdana" w:eastAsia="Arial" w:hAnsi="Verdana" w:cs="Arial"/>
                <w:color w:val="7F7F7F" w:themeColor="text1" w:themeTint="80"/>
                <w:sz w:val="22"/>
                <w:szCs w:val="22"/>
                <w:lang w:val="en-US"/>
              </w:rPr>
              <w:t>”.</w:t>
            </w:r>
            <w:r>
              <w:rPr>
                <w:rFonts w:ascii="Verdana" w:eastAsia="Arial" w:hAnsi="Verdana" w:cs="Arial"/>
                <w:color w:val="7F7F7F" w:themeColor="text1" w:themeTint="80"/>
                <w:sz w:val="22"/>
                <w:szCs w:val="22"/>
                <w:lang w:val="en-US"/>
              </w:rPr>
              <w:t xml:space="preserve"> The AAE indicates that </w:t>
            </w:r>
            <w:r w:rsidRPr="003720A2">
              <w:rPr>
                <w:rFonts w:ascii="Verdana" w:eastAsia="Arial" w:hAnsi="Verdana" w:cs="Arial"/>
                <w:i/>
                <w:iCs/>
                <w:color w:val="7F7F7F" w:themeColor="text1" w:themeTint="80"/>
                <w:sz w:val="22"/>
                <w:szCs w:val="22"/>
                <w:lang w:val="en-US"/>
              </w:rPr>
              <w:t>If a mass lapse occurs one year then this reduces the potential impact of mass lapses in subsequent years, as it is impossible for more than 100% of the book to lapse across the whole lifetime of the book. Another</w:t>
            </w:r>
            <w:r w:rsidRPr="003720A2">
              <w:rPr>
                <w:rFonts w:ascii="Verdana" w:eastAsia="Arial" w:hAnsi="Verdana" w:cs="Arial"/>
                <w:color w:val="7F7F7F" w:themeColor="text1" w:themeTint="80"/>
                <w:sz w:val="22"/>
                <w:szCs w:val="22"/>
                <w:lang w:val="en-US"/>
              </w:rPr>
              <w:t xml:space="preserve"> example in annuity business is the longevity stress (20% improvement) which if it were assumed to happen repeatedly might result in unrealistically long average life expectancies</w:t>
            </w:r>
            <w:r>
              <w:rPr>
                <w:rFonts w:ascii="Verdana" w:eastAsia="Arial" w:hAnsi="Verdana" w:cs="Arial"/>
                <w:color w:val="7F7F7F" w:themeColor="text1" w:themeTint="80"/>
                <w:sz w:val="22"/>
                <w:szCs w:val="22"/>
                <w:lang w:val="en-US"/>
              </w:rPr>
              <w:t>.</w:t>
            </w:r>
          </w:p>
          <w:p w14:paraId="285E648C" w14:textId="77777777" w:rsidR="006F5ECC" w:rsidRPr="00395661" w:rsidRDefault="006F5ECC" w:rsidP="00020B14">
            <w:pPr>
              <w:tabs>
                <w:tab w:val="left" w:pos="0"/>
                <w:tab w:val="left" w:pos="4536"/>
              </w:tabs>
              <w:spacing w:line="153" w:lineRule="exact"/>
              <w:rPr>
                <w:rFonts w:ascii="Verdana" w:hAnsi="Verdana"/>
                <w:color w:val="7F7F7F" w:themeColor="text1" w:themeTint="80"/>
                <w:sz w:val="22"/>
                <w:szCs w:val="22"/>
                <w:lang w:val="en-US"/>
              </w:rPr>
            </w:pPr>
          </w:p>
          <w:p w14:paraId="48441B83" w14:textId="0C149196" w:rsidR="006F5ECC" w:rsidRDefault="00805C2B" w:rsidP="00020B14">
            <w:pPr>
              <w:tabs>
                <w:tab w:val="left" w:pos="0"/>
                <w:tab w:val="left" w:pos="4536"/>
              </w:tabs>
              <w:jc w:val="both"/>
              <w:rPr>
                <w:rFonts w:ascii="Verdana" w:eastAsia="Arial" w:hAnsi="Verdana" w:cs="Arial"/>
                <w:color w:val="7F7F7F" w:themeColor="text1" w:themeTint="80"/>
                <w:sz w:val="22"/>
                <w:szCs w:val="22"/>
                <w:lang w:val="en-US"/>
              </w:rPr>
            </w:pPr>
            <w:r>
              <w:rPr>
                <w:rFonts w:ascii="Verdana" w:eastAsia="Arial" w:hAnsi="Verdana" w:cs="Arial"/>
                <w:color w:val="7F7F7F" w:themeColor="text1" w:themeTint="80"/>
                <w:sz w:val="22"/>
                <w:szCs w:val="22"/>
                <w:lang w:val="en-US"/>
              </w:rPr>
              <w:t>The IFA concludes that a</w:t>
            </w:r>
            <w:r w:rsidR="006F5ECC" w:rsidRPr="00395661">
              <w:rPr>
                <w:rFonts w:ascii="Verdana" w:eastAsia="Arial" w:hAnsi="Verdana" w:cs="Arial"/>
                <w:color w:val="7F7F7F" w:themeColor="text1" w:themeTint="80"/>
                <w:sz w:val="22"/>
                <w:szCs w:val="22"/>
                <w:lang w:val="en-US"/>
              </w:rPr>
              <w:t xml:space="preserve">n alternative approach might be to allow for an “extreme but plausible lifetime shock”. The simple approximation proposed to deal with this is to allow in the projected SCRs for a time-scaling factor, where an adjusting </w:t>
            </w:r>
            <w:r w:rsidR="006F5ECC" w:rsidRPr="001F7855">
              <w:rPr>
                <w:rFonts w:ascii="Verdana" w:eastAsia="Arial" w:hAnsi="Verdana" w:cs="Arial"/>
                <w:color w:val="7F7F7F" w:themeColor="text1" w:themeTint="80"/>
                <w:sz w:val="22"/>
                <w:szCs w:val="22"/>
                <w:lang w:val="en-US"/>
              </w:rPr>
              <w:t>parameter (0&lt; &lt;1) is applied to future projected SCRs</w:t>
            </w:r>
            <w:r w:rsidR="00A55E07">
              <w:rPr>
                <w:rFonts w:ascii="Verdana" w:eastAsia="Arial" w:hAnsi="Verdana" w:cs="Arial"/>
                <w:color w:val="7F7F7F" w:themeColor="text1" w:themeTint="80"/>
                <w:sz w:val="22"/>
                <w:szCs w:val="22"/>
                <w:lang w:val="en-US"/>
              </w:rPr>
              <w:t>;</w:t>
            </w:r>
          </w:p>
          <w:p w14:paraId="52A3A61B" w14:textId="4FAEC766" w:rsidR="006F5ECC" w:rsidRPr="00395661" w:rsidRDefault="006F5ECC" w:rsidP="00020B14">
            <w:pPr>
              <w:tabs>
                <w:tab w:val="left" w:pos="0"/>
                <w:tab w:val="left" w:pos="4536"/>
              </w:tabs>
              <w:jc w:val="both"/>
              <w:rPr>
                <w:rFonts w:ascii="Verdana" w:hAnsi="Verdana"/>
                <w:color w:val="7F7F7F" w:themeColor="text1" w:themeTint="80"/>
                <w:sz w:val="22"/>
                <w:szCs w:val="22"/>
                <w:lang w:val="en-US" w:eastAsia="de-DE"/>
              </w:rPr>
            </w:pPr>
          </w:p>
        </w:tc>
        <w:tc>
          <w:tcPr>
            <w:tcW w:w="483" w:type="pct"/>
            <w:tcBorders>
              <w:top w:val="single" w:sz="4" w:space="0" w:color="auto"/>
              <w:left w:val="single" w:sz="4" w:space="0" w:color="auto"/>
              <w:bottom w:val="single" w:sz="4" w:space="0" w:color="auto"/>
              <w:right w:val="single" w:sz="4" w:space="0" w:color="auto"/>
            </w:tcBorders>
          </w:tcPr>
          <w:p w14:paraId="6B282988"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393828" w14:paraId="1E3DDFE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1D6A9E0B" w14:textId="77777777" w:rsidR="006F5ECC" w:rsidRPr="00CF2245" w:rsidRDefault="006F5ECC" w:rsidP="00020B14">
            <w:pPr>
              <w:tabs>
                <w:tab w:val="left" w:pos="0"/>
                <w:tab w:val="left" w:pos="4536"/>
              </w:tabs>
              <w:rPr>
                <w:rFonts w:ascii="Verdana" w:hAnsi="Verdana"/>
                <w:b/>
                <w:bCs/>
                <w:color w:val="7F7F7F" w:themeColor="text1" w:themeTint="80"/>
                <w:sz w:val="22"/>
                <w:szCs w:val="22"/>
                <w:lang w:val="en-GB" w:eastAsia="fr-FR"/>
              </w:rPr>
            </w:pPr>
            <w:r w:rsidRPr="00395661">
              <w:rPr>
                <w:rFonts w:ascii="Verdana" w:hAnsi="Verdana"/>
                <w:b/>
                <w:bCs/>
                <w:color w:val="7F7F7F" w:themeColor="text1" w:themeTint="80"/>
                <w:sz w:val="22"/>
                <w:szCs w:val="22"/>
                <w:lang w:val="en-GB" w:eastAsia="fr-FR"/>
              </w:rPr>
              <w:t>4. Own Funds</w:t>
            </w:r>
          </w:p>
        </w:tc>
      </w:tr>
      <w:tr w:rsidR="00FC5744" w:rsidRPr="001360A5" w14:paraId="0C9D4FA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6C3FEA1" w14:textId="2CB99E6D" w:rsidR="006F5ECC" w:rsidRPr="00CA2E03" w:rsidRDefault="006F5ECC" w:rsidP="00020B14">
            <w:pPr>
              <w:tabs>
                <w:tab w:val="left" w:pos="0"/>
                <w:tab w:val="left" w:pos="4536"/>
              </w:tabs>
              <w:ind w:left="-96"/>
              <w:rPr>
                <w:rFonts w:ascii="Verdana" w:hAnsi="Verdana"/>
                <w:bCs/>
                <w:color w:val="7F7F7F"/>
                <w:sz w:val="22"/>
                <w:szCs w:val="22"/>
                <w:lang w:val="en-GB"/>
              </w:rPr>
            </w:pPr>
            <w:r w:rsidRPr="00D46B4C">
              <w:rPr>
                <w:rFonts w:ascii="Verdana" w:hAnsi="Verdana"/>
                <w:bCs/>
                <w:color w:val="7F7F7F"/>
                <w:sz w:val="22"/>
                <w:szCs w:val="22"/>
                <w:lang w:val="en-US"/>
              </w:rPr>
              <w:t>4</w:t>
            </w:r>
          </w:p>
        </w:tc>
        <w:tc>
          <w:tcPr>
            <w:tcW w:w="506" w:type="pct"/>
            <w:gridSpan w:val="2"/>
            <w:tcBorders>
              <w:top w:val="single" w:sz="4" w:space="0" w:color="auto"/>
              <w:left w:val="single" w:sz="4" w:space="0" w:color="auto"/>
              <w:bottom w:val="single" w:sz="4" w:space="0" w:color="auto"/>
              <w:right w:val="single" w:sz="4" w:space="0" w:color="auto"/>
            </w:tcBorders>
          </w:tcPr>
          <w:p w14:paraId="680C5288" w14:textId="3A23D28F" w:rsidR="006F5ECC" w:rsidRDefault="006F5ECC" w:rsidP="00020B14">
            <w:pPr>
              <w:pStyle w:val="NormalWeb"/>
              <w:tabs>
                <w:tab w:val="left" w:pos="0"/>
                <w:tab w:val="left" w:pos="4536"/>
              </w:tabs>
              <w:spacing w:before="0" w:beforeAutospacing="0" w:after="120" w:afterAutospacing="0" w:line="276" w:lineRule="auto"/>
              <w:ind w:left="-96"/>
              <w:jc w:val="both"/>
              <w:rPr>
                <w:rFonts w:ascii="Verdana" w:eastAsia="Times New Roman" w:hAnsi="Verdana"/>
                <w:color w:val="7F7F7F"/>
                <w:sz w:val="22"/>
                <w:szCs w:val="22"/>
                <w:lang w:val="en-US" w:eastAsia="de-DE"/>
              </w:rPr>
            </w:pPr>
            <w:r>
              <w:rPr>
                <w:rFonts w:ascii="Verdana" w:eastAsia="Verdana" w:hAnsi="Verdana" w:cs="Verdana"/>
                <w:bCs/>
                <w:color w:val="7F7F7F" w:themeColor="text1" w:themeTint="80"/>
                <w:sz w:val="22"/>
                <w:szCs w:val="22"/>
                <w:lang w:val="en-US"/>
              </w:rPr>
              <w:t>73</w:t>
            </w:r>
          </w:p>
        </w:tc>
        <w:tc>
          <w:tcPr>
            <w:tcW w:w="1999" w:type="pct"/>
            <w:tcBorders>
              <w:top w:val="single" w:sz="4" w:space="0" w:color="auto"/>
              <w:left w:val="single" w:sz="4" w:space="0" w:color="auto"/>
              <w:bottom w:val="single" w:sz="4" w:space="0" w:color="auto"/>
              <w:right w:val="single" w:sz="4" w:space="0" w:color="auto"/>
            </w:tcBorders>
          </w:tcPr>
          <w:p w14:paraId="56E71B86" w14:textId="3615DD73" w:rsidR="006F5ECC" w:rsidRPr="00CF2245" w:rsidRDefault="006F5ECC" w:rsidP="00020B14">
            <w:pPr>
              <w:tabs>
                <w:tab w:val="left" w:pos="0"/>
                <w:tab w:val="left" w:pos="4536"/>
              </w:tabs>
              <w:spacing w:line="274" w:lineRule="auto"/>
              <w:ind w:right="246"/>
              <w:rPr>
                <w:rFonts w:ascii="Verdana" w:hAnsi="Verdana"/>
                <w:bCs/>
                <w:color w:val="7F7F7F" w:themeColor="text1" w:themeTint="80"/>
                <w:sz w:val="22"/>
                <w:szCs w:val="22"/>
                <w:u w:val="single"/>
                <w:lang w:val="en-US" w:eastAsia="fr-FR"/>
              </w:rPr>
            </w:pPr>
            <w:r w:rsidRPr="00395661">
              <w:rPr>
                <w:rFonts w:ascii="Verdana" w:eastAsia="Verdana" w:hAnsi="Verdana" w:cs="Verdana"/>
                <w:b/>
                <w:color w:val="7F7F7F" w:themeColor="text1" w:themeTint="80"/>
                <w:sz w:val="22"/>
                <w:szCs w:val="22"/>
                <w:lang w:val="en-US"/>
              </w:rPr>
              <w:t xml:space="preserve">Policy issue 2: Undue volatility generated by the current Tiering limits </w:t>
            </w:r>
          </w:p>
          <w:p w14:paraId="3BC728C3" w14:textId="58BE1EE3" w:rsidR="006F5ECC" w:rsidRPr="00CF2245" w:rsidRDefault="006F5ECC" w:rsidP="00020B14">
            <w:pPr>
              <w:tabs>
                <w:tab w:val="left" w:pos="0"/>
                <w:tab w:val="left" w:pos="4536"/>
              </w:tabs>
              <w:rPr>
                <w:rFonts w:ascii="Verdana" w:hAnsi="Verdana"/>
                <w:color w:val="7F7F7F" w:themeColor="text1" w:themeTint="80"/>
                <w:sz w:val="22"/>
                <w:szCs w:val="22"/>
                <w:lang w:val="en-GB" w:eastAsia="fr-FR"/>
              </w:rPr>
            </w:pPr>
            <w:r w:rsidRPr="00CF2245">
              <w:rPr>
                <w:rFonts w:ascii="Verdana" w:hAnsi="Verdana"/>
                <w:color w:val="7F7F7F" w:themeColor="text1" w:themeTint="80"/>
                <w:sz w:val="22"/>
                <w:szCs w:val="22"/>
                <w:lang w:val="en-US" w:eastAsia="fr-FR"/>
              </w:rPr>
              <w:t>W</w:t>
            </w:r>
            <w:r w:rsidRPr="00CF2245">
              <w:rPr>
                <w:rFonts w:ascii="Verdana" w:hAnsi="Verdana"/>
                <w:color w:val="7F7F7F" w:themeColor="text1" w:themeTint="80"/>
                <w:sz w:val="22"/>
                <w:szCs w:val="22"/>
                <w:lang w:val="en-GB" w:eastAsia="fr-FR"/>
              </w:rPr>
              <w:t xml:space="preserve">e do not agree with an interpretation that forces insurers to have all their surplus capital in Tier 1. Our main arguments are developed below: </w:t>
            </w:r>
          </w:p>
          <w:p w14:paraId="761AB508" w14:textId="0274B9A9" w:rsidR="006F5ECC" w:rsidRPr="00CF2245" w:rsidRDefault="006F5ECC" w:rsidP="00020B14">
            <w:pPr>
              <w:tabs>
                <w:tab w:val="left" w:pos="0"/>
                <w:tab w:val="left" w:pos="4536"/>
              </w:tabs>
              <w:spacing w:before="120" w:after="120"/>
              <w:rPr>
                <w:rFonts w:ascii="Verdana" w:hAnsi="Verdana"/>
                <w:color w:val="7F7F7F" w:themeColor="text1" w:themeTint="80"/>
                <w:sz w:val="22"/>
                <w:szCs w:val="22"/>
                <w:lang w:val="en-GB" w:eastAsia="fr-FR"/>
              </w:rPr>
            </w:pPr>
            <w:r w:rsidRPr="00CF2245">
              <w:rPr>
                <w:rFonts w:ascii="Verdana" w:hAnsi="Verdana"/>
                <w:color w:val="7F7F7F" w:themeColor="text1" w:themeTint="80"/>
                <w:sz w:val="22"/>
                <w:szCs w:val="22"/>
                <w:lang w:val="en-GB" w:eastAsia="fr-FR"/>
              </w:rPr>
              <w:t xml:space="preserve">1. There has been a large increase of DTA in many undertakings. This has lead to an increase of Tier3 items in the balance sheets and has </w:t>
            </w:r>
            <w:r w:rsidRPr="00CF2245">
              <w:rPr>
                <w:rFonts w:ascii="Verdana" w:hAnsi="Verdana"/>
                <w:color w:val="7F7F7F" w:themeColor="text1" w:themeTint="80"/>
                <w:sz w:val="22"/>
                <w:szCs w:val="22"/>
                <w:lang w:val="en-GB" w:eastAsia="fr-FR"/>
              </w:rPr>
              <w:lastRenderedPageBreak/>
              <w:t xml:space="preserve">decreased the ability of undertakings to satisfy the Tiering requirements. </w:t>
            </w:r>
          </w:p>
          <w:p w14:paraId="799FF5FB" w14:textId="3D6D5393" w:rsidR="006F5ECC" w:rsidRPr="00CF2245" w:rsidRDefault="006F5ECC" w:rsidP="00020B14">
            <w:pPr>
              <w:tabs>
                <w:tab w:val="left" w:pos="0"/>
                <w:tab w:val="left" w:pos="4536"/>
              </w:tabs>
              <w:rPr>
                <w:rFonts w:ascii="Verdana" w:hAnsi="Verdana"/>
                <w:color w:val="7F7F7F" w:themeColor="text1" w:themeTint="80"/>
                <w:sz w:val="22"/>
                <w:szCs w:val="22"/>
                <w:lang w:val="en-GB" w:eastAsia="fr-FR"/>
              </w:rPr>
            </w:pPr>
            <w:r w:rsidRPr="00CF2245">
              <w:rPr>
                <w:rFonts w:ascii="Verdana" w:hAnsi="Verdana"/>
                <w:color w:val="7F7F7F" w:themeColor="text1" w:themeTint="80"/>
                <w:sz w:val="22"/>
                <w:szCs w:val="22"/>
                <w:lang w:val="en-GB" w:eastAsia="fr-FR"/>
              </w:rPr>
              <w:t xml:space="preserve">2. Both the Solvency II Directive and the Delegated Regulation should clearly refer to the amount of Eligible Own Funds as the point of reference for the limits, and not the SCR or MCR. Own fund items do not have the same loss absorbency in all circumstances, therefore the limits defined should ensure the overall quality of eligible own funds, and not only of the own funds used to cover the MCR or SCR. Placing restrictions on the amount of capital that is eligible to cover the capital requirements shall reflect those differences. </w:t>
            </w:r>
          </w:p>
          <w:p w14:paraId="08AC849D" w14:textId="77777777" w:rsidR="006F5ECC" w:rsidRPr="00CF2245" w:rsidRDefault="006F5ECC" w:rsidP="00020B14">
            <w:pPr>
              <w:tabs>
                <w:tab w:val="left" w:pos="0"/>
                <w:tab w:val="left" w:pos="4536"/>
              </w:tabs>
              <w:rPr>
                <w:rFonts w:ascii="Verdana" w:hAnsi="Verdana"/>
                <w:color w:val="7F7F7F" w:themeColor="text1" w:themeTint="80"/>
                <w:sz w:val="22"/>
                <w:szCs w:val="22"/>
                <w:lang w:val="en-GB" w:eastAsia="fr-FR"/>
              </w:rPr>
            </w:pPr>
          </w:p>
          <w:p w14:paraId="5D683A33" w14:textId="21885EE4" w:rsidR="006F5ECC" w:rsidRPr="00CF2245" w:rsidRDefault="006F5ECC" w:rsidP="00020B14">
            <w:pPr>
              <w:tabs>
                <w:tab w:val="left" w:pos="0"/>
                <w:tab w:val="left" w:pos="4536"/>
              </w:tabs>
              <w:spacing w:after="120"/>
              <w:rPr>
                <w:rFonts w:ascii="Verdana" w:hAnsi="Verdana"/>
                <w:color w:val="7F7F7F" w:themeColor="text1" w:themeTint="80"/>
                <w:sz w:val="22"/>
                <w:szCs w:val="22"/>
                <w:lang w:val="en-GB" w:eastAsia="fr-FR"/>
              </w:rPr>
            </w:pPr>
            <w:r w:rsidRPr="00CF2245">
              <w:rPr>
                <w:rFonts w:ascii="Verdana" w:hAnsi="Verdana"/>
                <w:color w:val="7F7F7F" w:themeColor="text1" w:themeTint="80"/>
                <w:sz w:val="22"/>
                <w:szCs w:val="22"/>
                <w:lang w:val="en-GB" w:eastAsia="fr-FR"/>
              </w:rPr>
              <w:t>To conclude, we reiterate that this question of Tiering (definition/criteria of Tiers linked with limits) is absolutely key and we therefore urge EIOPA to retain an interpretation that is consistent with the Solvency II Directive – meaning that there is no reason why the Tiering limits (min 50% Tier1, max 15% Tier3) should not be applied to all Eligible Own Funds including the surplus.</w:t>
            </w:r>
          </w:p>
        </w:tc>
        <w:tc>
          <w:tcPr>
            <w:tcW w:w="483" w:type="pct"/>
            <w:tcBorders>
              <w:top w:val="single" w:sz="4" w:space="0" w:color="auto"/>
              <w:left w:val="single" w:sz="4" w:space="0" w:color="auto"/>
              <w:bottom w:val="single" w:sz="4" w:space="0" w:color="auto"/>
              <w:right w:val="single" w:sz="4" w:space="0" w:color="auto"/>
            </w:tcBorders>
          </w:tcPr>
          <w:p w14:paraId="028D9517"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47FECB5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A065BCC" w14:textId="0B51868D" w:rsidR="006F5ECC" w:rsidRPr="00956997" w:rsidRDefault="006F5ECC" w:rsidP="00020B14">
            <w:pPr>
              <w:tabs>
                <w:tab w:val="left" w:pos="0"/>
                <w:tab w:val="left" w:pos="4536"/>
              </w:tabs>
              <w:ind w:left="-96"/>
              <w:rPr>
                <w:rFonts w:ascii="Verdana" w:hAnsi="Verdana"/>
                <w:bCs/>
                <w:color w:val="7F7F7F"/>
                <w:sz w:val="22"/>
                <w:szCs w:val="22"/>
                <w:lang w:val="en-GB"/>
              </w:rPr>
            </w:pPr>
            <w:r w:rsidRPr="00956997">
              <w:rPr>
                <w:rFonts w:ascii="Verdana" w:hAnsi="Verdana"/>
                <w:bCs/>
                <w:color w:val="7F7F7F"/>
                <w:sz w:val="22"/>
                <w:szCs w:val="22"/>
                <w:lang w:val="en-GB"/>
              </w:rPr>
              <w:t>4</w:t>
            </w:r>
          </w:p>
        </w:tc>
        <w:tc>
          <w:tcPr>
            <w:tcW w:w="506" w:type="pct"/>
            <w:gridSpan w:val="2"/>
            <w:tcBorders>
              <w:top w:val="single" w:sz="4" w:space="0" w:color="auto"/>
              <w:left w:val="single" w:sz="4" w:space="0" w:color="auto"/>
              <w:bottom w:val="single" w:sz="4" w:space="0" w:color="auto"/>
              <w:right w:val="single" w:sz="4" w:space="0" w:color="auto"/>
            </w:tcBorders>
          </w:tcPr>
          <w:p w14:paraId="30FC5135" w14:textId="0BF61AE1" w:rsidR="006F5ECC" w:rsidRPr="00956997" w:rsidRDefault="006F5ECC" w:rsidP="00020B14">
            <w:pPr>
              <w:pStyle w:val="NormalWeb"/>
              <w:tabs>
                <w:tab w:val="left" w:pos="0"/>
                <w:tab w:val="left" w:pos="4536"/>
              </w:tabs>
              <w:spacing w:before="0" w:beforeAutospacing="0" w:after="120" w:afterAutospacing="0" w:line="276" w:lineRule="auto"/>
              <w:ind w:left="-96"/>
              <w:jc w:val="both"/>
              <w:rPr>
                <w:rFonts w:ascii="Verdana" w:eastAsia="Times New Roman" w:hAnsi="Verdana"/>
                <w:bCs/>
                <w:color w:val="7F7F7F"/>
                <w:sz w:val="22"/>
                <w:szCs w:val="22"/>
                <w:lang w:val="en-US" w:eastAsia="de-DE"/>
              </w:rPr>
            </w:pPr>
            <w:r>
              <w:rPr>
                <w:rFonts w:ascii="Verdana" w:eastAsia="Times New Roman" w:hAnsi="Verdana"/>
                <w:bCs/>
                <w:color w:val="7F7F7F"/>
                <w:sz w:val="22"/>
                <w:szCs w:val="22"/>
                <w:lang w:val="en-US" w:eastAsia="de-DE"/>
              </w:rPr>
              <w:t>80</w:t>
            </w:r>
          </w:p>
        </w:tc>
        <w:tc>
          <w:tcPr>
            <w:tcW w:w="1999" w:type="pct"/>
            <w:tcBorders>
              <w:top w:val="single" w:sz="4" w:space="0" w:color="auto"/>
              <w:left w:val="single" w:sz="4" w:space="0" w:color="auto"/>
              <w:bottom w:val="single" w:sz="4" w:space="0" w:color="auto"/>
              <w:right w:val="single" w:sz="4" w:space="0" w:color="auto"/>
            </w:tcBorders>
          </w:tcPr>
          <w:p w14:paraId="2193B693" w14:textId="629D7EF5" w:rsidR="006F5ECC" w:rsidRPr="00CF2245" w:rsidRDefault="006F5ECC" w:rsidP="00020B14">
            <w:pPr>
              <w:tabs>
                <w:tab w:val="left" w:pos="0"/>
                <w:tab w:val="left" w:pos="4536"/>
              </w:tabs>
              <w:rPr>
                <w:rFonts w:ascii="Verdana" w:hAnsi="Verdana"/>
                <w:color w:val="7F7F7F" w:themeColor="text1" w:themeTint="80"/>
                <w:sz w:val="22"/>
                <w:szCs w:val="22"/>
                <w:u w:val="single"/>
                <w:lang w:val="en-GB" w:eastAsia="fr-FR"/>
              </w:rPr>
            </w:pPr>
            <w:r w:rsidRPr="00CF2245">
              <w:rPr>
                <w:rFonts w:ascii="Verdana" w:hAnsi="Verdana"/>
                <w:color w:val="7F7F7F" w:themeColor="text1" w:themeTint="80"/>
                <w:sz w:val="22"/>
                <w:szCs w:val="22"/>
                <w:u w:val="single"/>
                <w:lang w:val="en-GB" w:eastAsia="fr-FR"/>
              </w:rPr>
              <w:t>20% Sub-tier Limit</w:t>
            </w:r>
          </w:p>
          <w:p w14:paraId="5AC41A00" w14:textId="56F078F6" w:rsidR="006F5ECC" w:rsidRPr="00395661" w:rsidRDefault="006F5ECC" w:rsidP="00020B14">
            <w:pPr>
              <w:tabs>
                <w:tab w:val="left" w:pos="0"/>
                <w:tab w:val="left" w:pos="4536"/>
              </w:tabs>
              <w:rPr>
                <w:rFonts w:ascii="Verdana" w:hAnsi="Verdana"/>
                <w:b/>
                <w:color w:val="7F7F7F" w:themeColor="text1" w:themeTint="80"/>
                <w:sz w:val="22"/>
                <w:szCs w:val="22"/>
                <w:lang w:val="en-GB" w:eastAsia="fr-FR"/>
              </w:rPr>
            </w:pPr>
            <w:r w:rsidRPr="00CF2245">
              <w:rPr>
                <w:rFonts w:ascii="Verdana" w:hAnsi="Verdana"/>
                <w:color w:val="7F7F7F" w:themeColor="text1" w:themeTint="80"/>
                <w:sz w:val="22"/>
                <w:szCs w:val="22"/>
                <w:lang w:val="en-GB" w:eastAsia="fr-FR"/>
              </w:rPr>
              <w:t xml:space="preserve">We would like to reiterate that many mutual insurers have, over the years, built up significant equity through ‘mutual member accounts’, i.e. cash available on its balance sheet.  These mutual member accounts are treated, in accordance with the current framework as Tier 1 capital. However, Article 82 (3) of the Delegated Regulation limits its amount: only 20% of Tier 1 own funds of the type mutual members' accounts can be taken into account provided that at least 50% of the capital requirements (SCR) is covered by Tier 1 own funds. This means that for a solvent mutual, the majority of its capital disappears. This leads to erroneous situations in which a mutual entity suddenly cannot count the </w:t>
            </w:r>
            <w:r w:rsidRPr="00CF2245">
              <w:rPr>
                <w:rFonts w:ascii="Verdana" w:hAnsi="Verdana"/>
                <w:color w:val="7F7F7F" w:themeColor="text1" w:themeTint="80"/>
                <w:sz w:val="22"/>
                <w:szCs w:val="22"/>
                <w:lang w:val="en-GB" w:eastAsia="fr-FR"/>
              </w:rPr>
              <w:lastRenderedPageBreak/>
              <w:t>funds it has in its books as solvency capital, not even as Tier 2 or Tier 3 because of the other limits set in Article 82 (1)(c). The transitional measures foreseen in Omnibus II for subordinated debt are not applicable to mutual member accounts.</w:t>
            </w:r>
            <w:r>
              <w:rPr>
                <w:rFonts w:ascii="Verdana" w:hAnsi="Verdana"/>
                <w:color w:val="7F7F7F" w:themeColor="text1" w:themeTint="80"/>
                <w:sz w:val="22"/>
                <w:szCs w:val="22"/>
                <w:lang w:val="en-GB" w:eastAsia="fr-FR"/>
              </w:rPr>
              <w:t xml:space="preserve"> </w:t>
            </w:r>
            <w:r w:rsidRPr="00CF2245">
              <w:rPr>
                <w:rFonts w:ascii="Verdana" w:hAnsi="Verdana"/>
                <w:color w:val="7F7F7F" w:themeColor="text1" w:themeTint="80"/>
                <w:sz w:val="22"/>
                <w:szCs w:val="22"/>
                <w:lang w:val="en-GB" w:eastAsia="fr-FR"/>
              </w:rPr>
              <w:t>We call on EIOPA to reconsider its position and to remove the 20% sub-tier limit for subordinated mutual members accounts.</w:t>
            </w:r>
          </w:p>
        </w:tc>
        <w:tc>
          <w:tcPr>
            <w:tcW w:w="483" w:type="pct"/>
            <w:tcBorders>
              <w:top w:val="single" w:sz="4" w:space="0" w:color="auto"/>
              <w:left w:val="single" w:sz="4" w:space="0" w:color="auto"/>
              <w:bottom w:val="single" w:sz="4" w:space="0" w:color="auto"/>
              <w:right w:val="single" w:sz="4" w:space="0" w:color="auto"/>
            </w:tcBorders>
          </w:tcPr>
          <w:p w14:paraId="30264A57" w14:textId="77777777" w:rsidR="006F5ECC" w:rsidRPr="004730AE" w:rsidRDefault="006F5ECC" w:rsidP="00020B14">
            <w:pPr>
              <w:tabs>
                <w:tab w:val="left" w:pos="0"/>
                <w:tab w:val="left" w:pos="4536"/>
              </w:tabs>
              <w:ind w:left="-96"/>
              <w:rPr>
                <w:b/>
                <w:color w:val="000000"/>
                <w:sz w:val="22"/>
                <w:szCs w:val="22"/>
                <w:lang w:val="en-GB" w:eastAsia="fr-FR"/>
              </w:rPr>
            </w:pPr>
          </w:p>
        </w:tc>
      </w:tr>
      <w:tr w:rsidR="00FC5744" w:rsidRPr="001360A5" w14:paraId="1A431D28"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4CC8DDF" w14:textId="2A041DBA" w:rsidR="006F5ECC" w:rsidRPr="00FE3045" w:rsidRDefault="006F5ECC" w:rsidP="00020B14">
            <w:pPr>
              <w:tabs>
                <w:tab w:val="left" w:pos="0"/>
                <w:tab w:val="left" w:pos="4536"/>
              </w:tabs>
              <w:ind w:left="-96"/>
              <w:rPr>
                <w:rFonts w:ascii="Verdana" w:hAnsi="Verdana"/>
                <w:bCs/>
                <w:color w:val="000000"/>
                <w:sz w:val="22"/>
                <w:szCs w:val="22"/>
                <w:lang w:val="en-GB"/>
              </w:rPr>
            </w:pPr>
            <w:r w:rsidRPr="000C1ED6">
              <w:rPr>
                <w:rFonts w:ascii="Verdana" w:hAnsi="Verdana"/>
                <w:bCs/>
                <w:color w:val="7F7F7F" w:themeColor="text1" w:themeTint="80"/>
                <w:sz w:val="22"/>
                <w:szCs w:val="22"/>
                <w:lang w:val="en-GB"/>
              </w:rPr>
              <w:t>4</w:t>
            </w:r>
          </w:p>
        </w:tc>
        <w:tc>
          <w:tcPr>
            <w:tcW w:w="506" w:type="pct"/>
            <w:gridSpan w:val="2"/>
            <w:tcBorders>
              <w:top w:val="single" w:sz="4" w:space="0" w:color="auto"/>
              <w:left w:val="single" w:sz="4" w:space="0" w:color="auto"/>
              <w:bottom w:val="single" w:sz="4" w:space="0" w:color="auto"/>
              <w:right w:val="single" w:sz="4" w:space="0" w:color="auto"/>
            </w:tcBorders>
          </w:tcPr>
          <w:p w14:paraId="066B6ABF" w14:textId="07B8003D" w:rsidR="006F5ECC" w:rsidRPr="008A430A" w:rsidRDefault="006F5ECC" w:rsidP="00020B14">
            <w:pPr>
              <w:pStyle w:val="NormalWeb"/>
              <w:tabs>
                <w:tab w:val="left" w:pos="0"/>
                <w:tab w:val="left" w:pos="4536"/>
              </w:tabs>
              <w:spacing w:after="120" w:line="276" w:lineRule="auto"/>
              <w:ind w:left="-96"/>
              <w:jc w:val="both"/>
              <w:rPr>
                <w:rFonts w:ascii="Verdana" w:eastAsia="Times New Roman" w:hAnsi="Verdana"/>
                <w:b/>
                <w:bCs/>
                <w:color w:val="7F7F7F"/>
                <w:sz w:val="22"/>
                <w:szCs w:val="22"/>
                <w:lang w:val="en-US" w:eastAsia="de-DE"/>
              </w:rPr>
            </w:pPr>
            <w:r w:rsidRPr="008A430A">
              <w:rPr>
                <w:rFonts w:ascii="Verdana" w:eastAsia="Times New Roman" w:hAnsi="Verdana"/>
                <w:b/>
                <w:bCs/>
                <w:color w:val="7F7F7F"/>
                <w:sz w:val="22"/>
                <w:szCs w:val="22"/>
                <w:lang w:val="en-US" w:eastAsia="de-DE"/>
              </w:rPr>
              <w:t>Question to stakeholders</w:t>
            </w:r>
          </w:p>
        </w:tc>
        <w:tc>
          <w:tcPr>
            <w:tcW w:w="1999" w:type="pct"/>
            <w:tcBorders>
              <w:top w:val="single" w:sz="4" w:space="0" w:color="auto"/>
              <w:left w:val="single" w:sz="4" w:space="0" w:color="auto"/>
              <w:bottom w:val="single" w:sz="4" w:space="0" w:color="auto"/>
              <w:right w:val="single" w:sz="4" w:space="0" w:color="auto"/>
            </w:tcBorders>
          </w:tcPr>
          <w:p w14:paraId="50ACAD2D" w14:textId="0B7C7670" w:rsidR="006F5ECC" w:rsidRPr="00395661" w:rsidRDefault="006F5ECC" w:rsidP="00020B14">
            <w:pPr>
              <w:tabs>
                <w:tab w:val="left" w:pos="0"/>
                <w:tab w:val="left" w:pos="4536"/>
              </w:tabs>
              <w:spacing w:before="120" w:after="120"/>
              <w:rPr>
                <w:rFonts w:ascii="Verdana" w:hAnsi="Verdana"/>
                <w:color w:val="7F7F7F" w:themeColor="text1" w:themeTint="80"/>
                <w:sz w:val="22"/>
                <w:szCs w:val="22"/>
                <w:lang w:val="en-US"/>
              </w:rPr>
            </w:pPr>
            <w:r w:rsidRPr="00CF2245">
              <w:rPr>
                <w:rFonts w:ascii="Verdana" w:hAnsi="Verdana"/>
                <w:b/>
                <w:bCs/>
                <w:color w:val="7F7F7F" w:themeColor="text1" w:themeTint="80"/>
                <w:sz w:val="22"/>
                <w:szCs w:val="22"/>
                <w:lang w:val="en-US" w:eastAsia="de-DE"/>
              </w:rPr>
              <w:t>Q4.1: What is your view on the treatment of EPIFPs?</w:t>
            </w:r>
          </w:p>
          <w:p w14:paraId="5AD64199" w14:textId="57D6132D" w:rsidR="006F5ECC" w:rsidRPr="00395661" w:rsidRDefault="006F5ECC" w:rsidP="00020B14">
            <w:pPr>
              <w:tabs>
                <w:tab w:val="left" w:pos="0"/>
                <w:tab w:val="left" w:pos="4536"/>
              </w:tabs>
              <w:spacing w:before="120" w:after="120"/>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The expected profits in future premiums (EPIFP) are the result of an economic valuation of all cash flows related to an insurance contract. EIOPA already mentions in this consultation paper that there is a direct link with the proper setting of the contract boundary.</w:t>
            </w:r>
            <w:r w:rsidRPr="00395661">
              <w:rPr>
                <w:rFonts w:ascii="Verdana" w:hAnsi="Verdana"/>
                <w:color w:val="7F7F7F" w:themeColor="text1" w:themeTint="80"/>
                <w:sz w:val="22"/>
                <w:szCs w:val="22"/>
                <w:lang w:val="en-US"/>
              </w:rPr>
              <w:br/>
              <w:t>In our opinion the EPIFP is fully consistent with the underlying assumptions and principles of Solvency II. Moreover, any risks associated with the EPIFP are addressed in the mass lapse risk scenarios. Insurers are therefore holding capital against the EPIFP.</w:t>
            </w:r>
          </w:p>
          <w:p w14:paraId="2F0EDE17" w14:textId="6C10DD88" w:rsidR="006F5ECC" w:rsidRPr="00395661" w:rsidRDefault="006F5ECC" w:rsidP="00020B14">
            <w:pPr>
              <w:tabs>
                <w:tab w:val="left" w:pos="0"/>
                <w:tab w:val="left" w:pos="4536"/>
              </w:tabs>
              <w:spacing w:before="120" w:after="120"/>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The reconciliation reserve does not differentiate between EPIFP and other items. If there is a loss, this is automatically recognized in the reconciliation reserve. If the EPIFP is questioned, this should be done symmetrically.</w:t>
            </w:r>
          </w:p>
          <w:p w14:paraId="5E3B91D9" w14:textId="06FD6CAA" w:rsidR="006F5ECC" w:rsidRPr="00395661" w:rsidRDefault="006F5ECC" w:rsidP="00020B14">
            <w:pPr>
              <w:tabs>
                <w:tab w:val="left" w:pos="0"/>
                <w:tab w:val="left" w:pos="4536"/>
              </w:tabs>
              <w:spacing w:before="120" w:after="120"/>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When assessing the EPIFP, EIOPA should also consider why this own fund item exists. This can be recognized in one year and multi-year contracts. One-year contract boundary can be mostly found in Non-Life and NSLT Health insurance. </w:t>
            </w:r>
          </w:p>
          <w:p w14:paraId="5F97F26D" w14:textId="764EA9F8" w:rsidR="006F5ECC" w:rsidRPr="00395661" w:rsidRDefault="006F5ECC" w:rsidP="00020B14">
            <w:pPr>
              <w:tabs>
                <w:tab w:val="left" w:pos="0"/>
                <w:tab w:val="left" w:pos="4536"/>
              </w:tabs>
              <w:spacing w:before="120" w:after="120"/>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If an insurer grants a policyholder the opportunity to pay the annual insurance premiums in multiple instalments, an EPIFP is recognized. A </w:t>
            </w:r>
            <w:r w:rsidRPr="00395661">
              <w:rPr>
                <w:rFonts w:ascii="Verdana" w:hAnsi="Verdana"/>
                <w:color w:val="7F7F7F" w:themeColor="text1" w:themeTint="80"/>
                <w:sz w:val="22"/>
                <w:szCs w:val="22"/>
                <w:lang w:val="en-US"/>
              </w:rPr>
              <w:lastRenderedPageBreak/>
              <w:t>different treatment of EPIFP would see this option to policyholders being deleted. This is not in the interest of the policyholders.</w:t>
            </w:r>
          </w:p>
          <w:p w14:paraId="1A6111D8" w14:textId="1CBD1194" w:rsidR="006F5ECC" w:rsidRPr="00395661" w:rsidRDefault="006F5ECC" w:rsidP="00020B14">
            <w:pPr>
              <w:tabs>
                <w:tab w:val="left" w:pos="0"/>
                <w:tab w:val="left" w:pos="4536"/>
              </w:tabs>
              <w:spacing w:before="120" w:after="120"/>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Reference is made towards the Contractual Service Margin (i.e. CSM), a component of IFRS 17. This is not advisable as the fundamental principles of IFRS17 and Solvency II are not the same. One of the fundamental differences between Solvency II and IFRS17 is the measurement of technical provisions: In IFRS17, the technical provisions are valued for the amount of exit or transfer value whereas Solvency II is based on a fulfilment value.</w:t>
            </w:r>
          </w:p>
          <w:p w14:paraId="5EBC4EEA" w14:textId="23D87F24" w:rsidR="006F5ECC" w:rsidRPr="00395661" w:rsidRDefault="006F5ECC" w:rsidP="00020B14">
            <w:pPr>
              <w:tabs>
                <w:tab w:val="left" w:pos="0"/>
                <w:tab w:val="left" w:pos="4536"/>
              </w:tabs>
              <w:spacing w:before="120" w:after="120"/>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As mentioned earlier, the EPIFP is the result of applying Article 18 of the Solvency II Delegated Regulation appropriately. Any supervisory convergence issues regarding the implementation of the contract boundaries should not target the EPIFP. In that sense the “symptoms” are targeted and not the “illnesses”.</w:t>
            </w:r>
          </w:p>
          <w:p w14:paraId="1AE8098A" w14:textId="7D0592F0" w:rsidR="006F5ECC" w:rsidRPr="00395661" w:rsidRDefault="006F5ECC" w:rsidP="00020B14">
            <w:pPr>
              <w:tabs>
                <w:tab w:val="left" w:pos="0"/>
                <w:tab w:val="left" w:pos="4536"/>
              </w:tabs>
              <w:spacing w:before="120" w:after="120"/>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Putting an arbitrary limit on EPIFP can have adverse effects on the policyholders as it could lead to insurance contracts having shorter durations which is not in the interest of clients willing to have certainty in their insurance cover and terms and policy conditions. A limit will also “punish” insurers who issue profitable business.</w:t>
            </w:r>
          </w:p>
          <w:p w14:paraId="0968F5CA" w14:textId="3911F90F" w:rsidR="006F5ECC" w:rsidRPr="00395661" w:rsidRDefault="006F5ECC" w:rsidP="00020B14">
            <w:pPr>
              <w:tabs>
                <w:tab w:val="left" w:pos="0"/>
                <w:tab w:val="left" w:pos="4536"/>
              </w:tabs>
              <w:spacing w:before="120" w:after="120"/>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We agree with EIOPA that a relegation of EPIFP in the tiering limits will also have significant effects as the amount of Tier2 and Tier 3 eligible own funds cannot exceed the 50% of the SCR. For those insurers having a sizable DTA, the room within Tier 2 is only limited to 35%. Having EPIFP classified as Tier 2 will almost impede the issuing of Tier 2 </w:t>
            </w:r>
            <w:r w:rsidRPr="00395661">
              <w:rPr>
                <w:rFonts w:ascii="Verdana" w:hAnsi="Verdana"/>
                <w:color w:val="7F7F7F" w:themeColor="text1" w:themeTint="80"/>
                <w:sz w:val="22"/>
                <w:szCs w:val="22"/>
                <w:lang w:val="en-US"/>
              </w:rPr>
              <w:lastRenderedPageBreak/>
              <w:t>capital and it will seriously limit the ability of insurers to (re)finance themselves.</w:t>
            </w:r>
          </w:p>
          <w:p w14:paraId="61EAE6D8" w14:textId="77777777" w:rsidR="006F5ECC" w:rsidRPr="00395661" w:rsidRDefault="006F5ECC" w:rsidP="00020B14">
            <w:pPr>
              <w:tabs>
                <w:tab w:val="left" w:pos="0"/>
                <w:tab w:val="left" w:pos="4536"/>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0BA6D4EC"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1360A5" w14:paraId="2984176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783F253A" w14:textId="77777777" w:rsidR="006F5ECC" w:rsidRPr="00395661" w:rsidRDefault="006F5ECC" w:rsidP="00020B14">
            <w:pPr>
              <w:tabs>
                <w:tab w:val="left" w:pos="0"/>
                <w:tab w:val="left" w:pos="4536"/>
              </w:tabs>
              <w:rPr>
                <w:rFonts w:ascii="Verdana" w:hAnsi="Verdana"/>
                <w:b/>
                <w:bCs/>
                <w:color w:val="7F7F7F" w:themeColor="text1" w:themeTint="80"/>
                <w:sz w:val="22"/>
                <w:szCs w:val="22"/>
                <w:lang w:val="en-GB" w:eastAsia="fr-FR"/>
              </w:rPr>
            </w:pPr>
            <w:r w:rsidRPr="00395661">
              <w:rPr>
                <w:rFonts w:ascii="Verdana" w:hAnsi="Verdana"/>
                <w:b/>
                <w:bCs/>
                <w:color w:val="7F7F7F" w:themeColor="text1" w:themeTint="80"/>
                <w:sz w:val="22"/>
                <w:szCs w:val="22"/>
                <w:lang w:val="en-GB" w:eastAsia="fr-FR"/>
              </w:rPr>
              <w:lastRenderedPageBreak/>
              <w:t>5. Solvency Capital Requirement standard formula</w:t>
            </w:r>
          </w:p>
        </w:tc>
      </w:tr>
      <w:tr w:rsidR="00FC5744" w:rsidRPr="001360A5" w14:paraId="4DC087D2"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DD3F52B" w14:textId="6949D3DA" w:rsidR="006F5ECC" w:rsidRPr="00CF2245" w:rsidRDefault="006F5ECC" w:rsidP="00020B14">
            <w:pPr>
              <w:tabs>
                <w:tab w:val="left" w:pos="0"/>
                <w:tab w:val="left" w:pos="4536"/>
              </w:tabs>
              <w:ind w:left="-96"/>
              <w:rPr>
                <w:rFonts w:ascii="Verdana" w:hAnsi="Verdana"/>
                <w:bCs/>
                <w:color w:val="7F7F7F" w:themeColor="text1" w:themeTint="80"/>
                <w:sz w:val="22"/>
                <w:szCs w:val="22"/>
                <w:lang w:val="en-GB"/>
              </w:rPr>
            </w:pPr>
            <w:r w:rsidRPr="00CF2245">
              <w:rPr>
                <w:rFonts w:ascii="Verdana" w:hAnsi="Verdana"/>
                <w:bCs/>
                <w:color w:val="7F7F7F" w:themeColor="text1" w:themeTint="80"/>
                <w:sz w:val="22"/>
                <w:szCs w:val="22"/>
                <w:lang w:val="en-GB"/>
              </w:rPr>
              <w:t>5</w:t>
            </w:r>
          </w:p>
        </w:tc>
        <w:tc>
          <w:tcPr>
            <w:tcW w:w="506" w:type="pct"/>
            <w:gridSpan w:val="2"/>
            <w:tcBorders>
              <w:top w:val="single" w:sz="4" w:space="0" w:color="auto"/>
              <w:left w:val="single" w:sz="4" w:space="0" w:color="auto"/>
              <w:bottom w:val="single" w:sz="4" w:space="0" w:color="auto"/>
              <w:right w:val="single" w:sz="4" w:space="0" w:color="auto"/>
            </w:tcBorders>
          </w:tcPr>
          <w:p w14:paraId="377139F4" w14:textId="0782A353" w:rsidR="006F5ECC" w:rsidRPr="00FE3045" w:rsidRDefault="006F5ECC" w:rsidP="00020B14">
            <w:pPr>
              <w:pStyle w:val="NormalWeb"/>
              <w:tabs>
                <w:tab w:val="left" w:pos="0"/>
                <w:tab w:val="left" w:pos="4536"/>
              </w:tabs>
              <w:spacing w:before="0" w:beforeAutospacing="0" w:after="120" w:afterAutospacing="0" w:line="276" w:lineRule="auto"/>
              <w:ind w:left="-96"/>
              <w:jc w:val="both"/>
              <w:rPr>
                <w:rFonts w:ascii="Verdana" w:eastAsia="Times New Roman" w:hAnsi="Verdana"/>
                <w:color w:val="7F7F7F"/>
                <w:sz w:val="22"/>
                <w:szCs w:val="22"/>
                <w:lang w:val="en-US" w:eastAsia="de-DE"/>
              </w:rPr>
            </w:pPr>
            <w:r>
              <w:rPr>
                <w:rFonts w:ascii="Verdana" w:eastAsia="Times New Roman" w:hAnsi="Verdana"/>
                <w:color w:val="7F7F7F"/>
                <w:sz w:val="22"/>
                <w:szCs w:val="22"/>
                <w:lang w:val="en-US" w:eastAsia="de-DE"/>
              </w:rPr>
              <w:t>General comments</w:t>
            </w:r>
          </w:p>
        </w:tc>
        <w:tc>
          <w:tcPr>
            <w:tcW w:w="1999" w:type="pct"/>
            <w:tcBorders>
              <w:top w:val="single" w:sz="4" w:space="0" w:color="auto"/>
              <w:left w:val="single" w:sz="4" w:space="0" w:color="auto"/>
              <w:bottom w:val="single" w:sz="4" w:space="0" w:color="auto"/>
              <w:right w:val="single" w:sz="4" w:space="0" w:color="auto"/>
            </w:tcBorders>
          </w:tcPr>
          <w:p w14:paraId="3DBF91B0" w14:textId="49675D9E" w:rsidR="006F5ECC" w:rsidRPr="00CF2245" w:rsidRDefault="006F5ECC" w:rsidP="00020B14">
            <w:pPr>
              <w:tabs>
                <w:tab w:val="left" w:pos="0"/>
                <w:tab w:val="left" w:pos="4536"/>
              </w:tabs>
              <w:spacing w:after="120"/>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EIOPA urges to change the interest rate risk scenarios based on the current evidence and behaviour of the interest rate risk; This is a key area for change for EIOPA. We cannot deny that the current low interest rate environment is a challenge for the life insurance sector. However, the impact that this economic environment has in the Solvency II framework should be assessed in a holistic manner. Not only the interest rate risk sub-module should be looked at; an assessment of the appropriateness of the various calibrations and setting of factors and parameters of all interest rate sensitive modules and sub-modules of the Solvency II standard formula should be conducted. </w:t>
            </w:r>
            <w:r w:rsidRPr="00CF2245">
              <w:rPr>
                <w:rFonts w:ascii="Verdana" w:hAnsi="Verdana"/>
                <w:color w:val="7F7F7F" w:themeColor="text1" w:themeTint="80"/>
                <w:sz w:val="22"/>
                <w:szCs w:val="22"/>
                <w:lang w:val="en-US"/>
              </w:rPr>
              <w:t>For example,</w:t>
            </w:r>
          </w:p>
          <w:p w14:paraId="7944DC22" w14:textId="5F276FF3" w:rsidR="006F5ECC" w:rsidRPr="00395661" w:rsidRDefault="006F5ECC" w:rsidP="00020B14">
            <w:pPr>
              <w:pStyle w:val="ListParagraph"/>
              <w:numPr>
                <w:ilvl w:val="0"/>
                <w:numId w:val="24"/>
              </w:numPr>
              <w:tabs>
                <w:tab w:val="left" w:pos="0"/>
                <w:tab w:val="left" w:pos="4536"/>
              </w:tabs>
              <w:spacing w:after="160" w:line="259" w:lineRule="auto"/>
              <w:ind w:left="0"/>
              <w:contextualSpacing/>
              <w:rPr>
                <w:rFonts w:ascii="Verdana" w:hAnsi="Verdana"/>
                <w:color w:val="7F7F7F" w:themeColor="text1" w:themeTint="80"/>
                <w:lang w:val="en-US"/>
              </w:rPr>
            </w:pPr>
            <w:r w:rsidRPr="00395661">
              <w:rPr>
                <w:rFonts w:ascii="Verdana" w:hAnsi="Verdana"/>
                <w:color w:val="7F7F7F" w:themeColor="text1" w:themeTint="80"/>
                <w:lang w:val="en-US"/>
              </w:rPr>
              <w:t>Revision risk: it should be assessed whether the current calibration is also in line with the current low interest rate environment and inflation rates would have to be assessed</w:t>
            </w:r>
          </w:p>
          <w:p w14:paraId="61BE0454" w14:textId="1F608A6E" w:rsidR="006F5ECC" w:rsidRPr="00395661" w:rsidRDefault="006F5ECC" w:rsidP="00020B14">
            <w:pPr>
              <w:pStyle w:val="ListParagraph"/>
              <w:numPr>
                <w:ilvl w:val="0"/>
                <w:numId w:val="24"/>
              </w:numPr>
              <w:tabs>
                <w:tab w:val="left" w:pos="0"/>
                <w:tab w:val="left" w:pos="4536"/>
              </w:tabs>
              <w:spacing w:after="160" w:line="259" w:lineRule="auto"/>
              <w:ind w:left="0"/>
              <w:contextualSpacing/>
              <w:rPr>
                <w:rFonts w:ascii="Verdana" w:hAnsi="Verdana"/>
                <w:color w:val="7F7F7F" w:themeColor="text1" w:themeTint="80"/>
                <w:lang w:val="en-US"/>
              </w:rPr>
            </w:pPr>
            <w:r w:rsidRPr="00395661">
              <w:rPr>
                <w:rFonts w:ascii="Verdana" w:hAnsi="Verdana"/>
                <w:color w:val="7F7F7F" w:themeColor="text1" w:themeTint="80"/>
                <w:lang w:val="en-US"/>
              </w:rPr>
              <w:t>Expense risk: it should be assessed whether the current set of shock is not too extreme in light of the current and sustained low interest rates and inflation environment</w:t>
            </w:r>
          </w:p>
          <w:p w14:paraId="51B8EDA5" w14:textId="1E1F57E8" w:rsidR="006F5ECC" w:rsidRPr="00395661" w:rsidRDefault="006F5ECC" w:rsidP="00020B14">
            <w:pPr>
              <w:tabs>
                <w:tab w:val="left" w:pos="0"/>
                <w:tab w:val="left" w:pos="4536"/>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Arguments used to evidence or reason why a change is required (e.g. interest rate scenario) should apply consistently for all similar type of calibrations.</w:t>
            </w:r>
          </w:p>
          <w:p w14:paraId="3E81B8B2" w14:textId="77777777" w:rsidR="006F5ECC" w:rsidRPr="00395661" w:rsidRDefault="006F5ECC" w:rsidP="00020B14">
            <w:pPr>
              <w:tabs>
                <w:tab w:val="left" w:pos="0"/>
                <w:tab w:val="left" w:pos="4536"/>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One could even use the current review to consider some changes in the calibrations/setting of factors to make the calculation of the SCR less pro-cyclical with respect to inflation and interest rates.</w:t>
            </w:r>
          </w:p>
          <w:p w14:paraId="0DC91C7C" w14:textId="77777777" w:rsidR="006F5ECC" w:rsidRPr="00CF2245" w:rsidRDefault="006F5ECC" w:rsidP="00020B14">
            <w:pPr>
              <w:pStyle w:val="NormalWeb"/>
              <w:tabs>
                <w:tab w:val="left" w:pos="0"/>
                <w:tab w:val="left" w:pos="4536"/>
              </w:tabs>
              <w:spacing w:before="0" w:beforeAutospacing="0" w:after="120" w:afterAutospacing="0"/>
              <w:rPr>
                <w:rFonts w:ascii="Verdana" w:eastAsia="Times New Roman" w:hAnsi="Verdana"/>
                <w:color w:val="7F7F7F" w:themeColor="text1" w:themeTint="80"/>
                <w:sz w:val="22"/>
                <w:szCs w:val="22"/>
                <w:lang w:val="en-US" w:eastAsia="de-DE"/>
              </w:rPr>
            </w:pPr>
          </w:p>
        </w:tc>
        <w:tc>
          <w:tcPr>
            <w:tcW w:w="483" w:type="pct"/>
            <w:tcBorders>
              <w:top w:val="single" w:sz="4" w:space="0" w:color="auto"/>
              <w:left w:val="single" w:sz="4" w:space="0" w:color="auto"/>
              <w:bottom w:val="single" w:sz="4" w:space="0" w:color="auto"/>
              <w:right w:val="single" w:sz="4" w:space="0" w:color="auto"/>
            </w:tcBorders>
          </w:tcPr>
          <w:p w14:paraId="77568887"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7B627E" w14:paraId="763EE96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4B82DC01" w14:textId="77777777" w:rsidR="006F5ECC" w:rsidRPr="00395661" w:rsidRDefault="006F5ECC" w:rsidP="00020B14">
            <w:pPr>
              <w:tabs>
                <w:tab w:val="left" w:pos="0"/>
                <w:tab w:val="left" w:pos="4536"/>
              </w:tabs>
              <w:rPr>
                <w:rFonts w:ascii="Verdana" w:hAnsi="Verdana"/>
                <w:b/>
                <w:bCs/>
                <w:color w:val="7F7F7F" w:themeColor="text1" w:themeTint="80"/>
                <w:sz w:val="22"/>
                <w:szCs w:val="22"/>
                <w:lang w:val="en-GB" w:eastAsia="fr-FR"/>
              </w:rPr>
            </w:pPr>
            <w:r w:rsidRPr="00395661">
              <w:rPr>
                <w:rFonts w:ascii="Verdana" w:hAnsi="Verdana"/>
                <w:b/>
                <w:bCs/>
                <w:color w:val="7F7F7F" w:themeColor="text1" w:themeTint="80"/>
                <w:sz w:val="22"/>
                <w:szCs w:val="22"/>
                <w:lang w:val="en-GB" w:eastAsia="fr-FR"/>
              </w:rPr>
              <w:t>5.1 Interest rate risk</w:t>
            </w:r>
          </w:p>
        </w:tc>
      </w:tr>
      <w:tr w:rsidR="00FC5744" w:rsidRPr="001360A5" w14:paraId="08262892"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886722F" w14:textId="1001A3FA" w:rsidR="006F5ECC" w:rsidRPr="00886D09" w:rsidRDefault="006F5ECC" w:rsidP="00020B14">
            <w:pPr>
              <w:tabs>
                <w:tab w:val="left" w:pos="0"/>
                <w:tab w:val="left" w:pos="4536"/>
              </w:tabs>
              <w:spacing w:line="276" w:lineRule="auto"/>
              <w:ind w:left="-96"/>
              <w:rPr>
                <w:rFonts w:ascii="Verdana" w:hAnsi="Verdana"/>
                <w:bCs/>
                <w:color w:val="7F7F7F" w:themeColor="text1" w:themeTint="80"/>
                <w:sz w:val="22"/>
                <w:szCs w:val="22"/>
                <w:lang w:val="en-GB"/>
              </w:rPr>
            </w:pPr>
            <w:bookmarkStart w:id="17" w:name="_Hlk28000669"/>
            <w:r>
              <w:rPr>
                <w:rFonts w:ascii="Verdana" w:hAnsi="Verdana"/>
                <w:bCs/>
                <w:color w:val="7F7F7F" w:themeColor="text1" w:themeTint="80"/>
                <w:sz w:val="22"/>
                <w:szCs w:val="22"/>
                <w:lang w:val="en-GB"/>
              </w:rPr>
              <w:t>5</w:t>
            </w:r>
          </w:p>
        </w:tc>
        <w:tc>
          <w:tcPr>
            <w:tcW w:w="506" w:type="pct"/>
            <w:gridSpan w:val="2"/>
            <w:tcBorders>
              <w:top w:val="single" w:sz="4" w:space="0" w:color="auto"/>
              <w:left w:val="single" w:sz="4" w:space="0" w:color="auto"/>
              <w:bottom w:val="single" w:sz="4" w:space="0" w:color="auto"/>
              <w:right w:val="single" w:sz="4" w:space="0" w:color="auto"/>
            </w:tcBorders>
          </w:tcPr>
          <w:p w14:paraId="78D73E20" w14:textId="47BE31D6" w:rsidR="006F5ECC" w:rsidRPr="00C24334" w:rsidRDefault="006F5ECC" w:rsidP="00020B14">
            <w:pPr>
              <w:tabs>
                <w:tab w:val="left" w:pos="0"/>
                <w:tab w:val="left" w:pos="4536"/>
              </w:tabs>
              <w:spacing w:line="276" w:lineRule="auto"/>
              <w:ind w:left="-96"/>
              <w:rPr>
                <w:rFonts w:ascii="Verdana" w:hAnsi="Verdana"/>
                <w:color w:val="7F7F7F" w:themeColor="text1" w:themeTint="80"/>
                <w:sz w:val="22"/>
                <w:szCs w:val="22"/>
                <w:lang w:val="en-GB" w:eastAsia="fr-FR"/>
              </w:rPr>
            </w:pPr>
            <w:r w:rsidRPr="00C24334">
              <w:rPr>
                <w:rFonts w:ascii="Verdana" w:hAnsi="Verdana"/>
                <w:color w:val="7F7F7F" w:themeColor="text1" w:themeTint="80"/>
                <w:sz w:val="22"/>
                <w:szCs w:val="22"/>
                <w:lang w:val="en-GB" w:eastAsia="fr-FR"/>
              </w:rPr>
              <w:t>General comments – AMICE’s Proposal</w:t>
            </w:r>
          </w:p>
        </w:tc>
        <w:tc>
          <w:tcPr>
            <w:tcW w:w="1999" w:type="pct"/>
            <w:tcBorders>
              <w:top w:val="single" w:sz="4" w:space="0" w:color="auto"/>
              <w:left w:val="single" w:sz="4" w:space="0" w:color="auto"/>
              <w:bottom w:val="single" w:sz="4" w:space="0" w:color="auto"/>
              <w:right w:val="single" w:sz="4" w:space="0" w:color="auto"/>
            </w:tcBorders>
          </w:tcPr>
          <w:p w14:paraId="2CFE3EE4" w14:textId="77777777" w:rsidR="006F5ECC" w:rsidRPr="00C24334" w:rsidRDefault="006F5ECC" w:rsidP="00020B14">
            <w:pPr>
              <w:tabs>
                <w:tab w:val="left" w:pos="0"/>
                <w:tab w:val="left" w:pos="4536"/>
              </w:tabs>
              <w:spacing w:before="120" w:after="120"/>
              <w:rPr>
                <w:rFonts w:ascii="Verdana" w:hAnsi="Verdana"/>
                <w:b/>
                <w:color w:val="7F7F7F" w:themeColor="text1" w:themeTint="80"/>
                <w:sz w:val="22"/>
                <w:szCs w:val="22"/>
                <w:lang w:val="en-GB" w:eastAsia="fr-FR"/>
              </w:rPr>
            </w:pPr>
            <w:r w:rsidRPr="00C24334">
              <w:rPr>
                <w:rFonts w:ascii="Verdana" w:hAnsi="Verdana"/>
                <w:b/>
                <w:color w:val="7F7F7F" w:themeColor="text1" w:themeTint="80"/>
                <w:sz w:val="22"/>
                <w:szCs w:val="22"/>
                <w:lang w:val="en-GB" w:eastAsia="fr-FR"/>
              </w:rPr>
              <w:t>Interest rate risk</w:t>
            </w:r>
          </w:p>
          <w:p w14:paraId="30BF6DAC" w14:textId="1FA9DFE0" w:rsidR="006F5ECC" w:rsidRPr="00C24334" w:rsidRDefault="006F5ECC" w:rsidP="00020B14">
            <w:pPr>
              <w:tabs>
                <w:tab w:val="left" w:pos="0"/>
                <w:tab w:val="left" w:pos="4536"/>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We agree on EIOPA’s finding that the current way the interest rate down risk is calculated is faulty and needs improvements. Anyway, in EIOPA’s new proposal there is a lack of evidence backing the model and we believe the parameters and the model over estimates the interest rate down risk. For example, EIOPA has provided</w:t>
            </w:r>
            <w:r w:rsidRPr="00C24334">
              <w:rPr>
                <w:rFonts w:ascii="Verdana" w:hAnsi="Verdana"/>
                <w:color w:val="7F7F7F" w:themeColor="text1" w:themeTint="80"/>
                <w:sz w:val="22"/>
                <w:lang w:val="en-US"/>
              </w:rPr>
              <w:t xml:space="preserve"> </w:t>
            </w:r>
            <w:r w:rsidRPr="00C24334">
              <w:rPr>
                <w:rFonts w:ascii="Verdana" w:hAnsi="Verdana"/>
                <w:color w:val="7F7F7F" w:themeColor="text1" w:themeTint="80"/>
                <w:sz w:val="22"/>
                <w:szCs w:val="22"/>
                <w:lang w:val="en-US"/>
              </w:rPr>
              <w:t xml:space="preserve">no evidence backing the numbers they are bringing in on the -200bps lower bound or on the way the model converges towards this (the model parameters). Also, the lower limit (-2%) has similar caveats than the current limit (i.e. +- 0%) in case this is reached someday. </w:t>
            </w:r>
          </w:p>
          <w:p w14:paraId="3ADF25D8" w14:textId="77777777" w:rsidR="006F5ECC" w:rsidRPr="00C24334" w:rsidRDefault="006F5ECC" w:rsidP="00020B14">
            <w:pPr>
              <w:tabs>
                <w:tab w:val="left" w:pos="0"/>
                <w:tab w:val="left" w:pos="4536"/>
              </w:tabs>
              <w:rPr>
                <w:rFonts w:ascii="Verdana" w:hAnsi="Verdana"/>
                <w:color w:val="7F7F7F" w:themeColor="text1" w:themeTint="80"/>
                <w:sz w:val="22"/>
                <w:szCs w:val="22"/>
                <w:lang w:val="en-US"/>
              </w:rPr>
            </w:pPr>
          </w:p>
          <w:p w14:paraId="1DBB9874" w14:textId="77777777" w:rsidR="006F5ECC" w:rsidRPr="00C24334" w:rsidRDefault="006F5ECC" w:rsidP="00020B14">
            <w:pPr>
              <w:tabs>
                <w:tab w:val="left" w:pos="0"/>
                <w:tab w:val="left" w:pos="4536"/>
              </w:tabs>
              <w:rPr>
                <w:rFonts w:ascii="Verdana" w:hAnsi="Verdana"/>
                <w:b/>
                <w:bCs/>
                <w:color w:val="7F7F7F" w:themeColor="text1" w:themeTint="80"/>
                <w:sz w:val="22"/>
                <w:szCs w:val="22"/>
                <w:lang w:val="en-US"/>
              </w:rPr>
            </w:pPr>
            <w:r w:rsidRPr="00C24334">
              <w:rPr>
                <w:rFonts w:ascii="Verdana" w:hAnsi="Verdana"/>
                <w:color w:val="7F7F7F" w:themeColor="text1" w:themeTint="80"/>
                <w:sz w:val="22"/>
                <w:szCs w:val="22"/>
                <w:lang w:val="en-US"/>
              </w:rPr>
              <w:t xml:space="preserve">We ask EIOPA to </w:t>
            </w:r>
            <w:r w:rsidRPr="00C24334">
              <w:rPr>
                <w:rFonts w:ascii="Verdana" w:hAnsi="Verdana"/>
                <w:b/>
                <w:bCs/>
                <w:color w:val="7F7F7F" w:themeColor="text1" w:themeTint="80"/>
                <w:sz w:val="22"/>
                <w:szCs w:val="22"/>
                <w:lang w:val="en-US"/>
              </w:rPr>
              <w:t xml:space="preserve">investigate a new option with the following features: </w:t>
            </w:r>
          </w:p>
          <w:p w14:paraId="40D44A78" w14:textId="77777777" w:rsidR="006F5ECC" w:rsidRPr="00C24334" w:rsidRDefault="006F5ECC" w:rsidP="00020B14">
            <w:pPr>
              <w:tabs>
                <w:tab w:val="left" w:pos="0"/>
                <w:tab w:val="left" w:pos="4536"/>
              </w:tabs>
              <w:rPr>
                <w:rFonts w:ascii="Verdana" w:hAnsi="Verdana"/>
                <w:color w:val="7F7F7F" w:themeColor="text1" w:themeTint="80"/>
                <w:sz w:val="22"/>
                <w:szCs w:val="22"/>
                <w:lang w:val="en-US"/>
              </w:rPr>
            </w:pPr>
          </w:p>
          <w:p w14:paraId="2B39BD81" w14:textId="2DEE654C" w:rsidR="006F5ECC" w:rsidRPr="00C24334" w:rsidRDefault="006F5ECC" w:rsidP="00020B14">
            <w:pPr>
              <w:tabs>
                <w:tab w:val="left" w:pos="0"/>
                <w:tab w:val="left" w:pos="4536"/>
              </w:tabs>
              <w:rPr>
                <w:rFonts w:ascii="Verdana" w:hAnsi="Verdana"/>
                <w:b/>
                <w:color w:val="7F7F7F" w:themeColor="text1" w:themeTint="80"/>
                <w:sz w:val="22"/>
                <w:szCs w:val="22"/>
                <w:lang w:val="en-US"/>
              </w:rPr>
            </w:pPr>
            <w:r w:rsidRPr="00C24334">
              <w:rPr>
                <w:rFonts w:ascii="Verdana" w:hAnsi="Verdana"/>
                <w:b/>
                <w:color w:val="7F7F7F" w:themeColor="text1" w:themeTint="80"/>
                <w:sz w:val="22"/>
                <w:szCs w:val="22"/>
                <w:lang w:val="en-US"/>
              </w:rPr>
              <w:t>Alternative framework for assessing interest rate down stress for maturity points until the LLP:</w:t>
            </w:r>
          </w:p>
          <w:p w14:paraId="6127C485" w14:textId="77777777" w:rsidR="006F5ECC" w:rsidRPr="00C24334" w:rsidRDefault="006F5ECC" w:rsidP="00020B14">
            <w:pPr>
              <w:tabs>
                <w:tab w:val="left" w:pos="0"/>
                <w:tab w:val="left" w:pos="4536"/>
              </w:tabs>
              <w:rPr>
                <w:rFonts w:ascii="Verdana" w:hAnsi="Verdana"/>
                <w:b/>
                <w:color w:val="7F7F7F" w:themeColor="text1" w:themeTint="80"/>
                <w:sz w:val="22"/>
                <w:szCs w:val="22"/>
                <w:lang w:val="en-US"/>
              </w:rPr>
            </w:pPr>
          </w:p>
          <w:p w14:paraId="4DAB072B" w14:textId="77777777" w:rsidR="006F5ECC" w:rsidRPr="00C24334" w:rsidRDefault="006F5ECC" w:rsidP="00020B14">
            <w:pPr>
              <w:tabs>
                <w:tab w:val="left" w:pos="0"/>
                <w:tab w:val="left" w:pos="4536"/>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This alternative approach has the following features:</w:t>
            </w:r>
          </w:p>
          <w:p w14:paraId="353EE931" w14:textId="77777777" w:rsidR="006F5ECC" w:rsidRPr="00C24334" w:rsidRDefault="006F5ECC" w:rsidP="00020B14">
            <w:pPr>
              <w:pStyle w:val="ListParagraph"/>
              <w:numPr>
                <w:ilvl w:val="0"/>
                <w:numId w:val="27"/>
              </w:numPr>
              <w:tabs>
                <w:tab w:val="left" w:pos="0"/>
                <w:tab w:val="left" w:pos="4536"/>
              </w:tabs>
              <w:spacing w:after="160"/>
              <w:ind w:left="0"/>
              <w:contextualSpacing/>
              <w:rPr>
                <w:rFonts w:ascii="Verdana" w:hAnsi="Verdana"/>
                <w:color w:val="7F7F7F" w:themeColor="text1" w:themeTint="80"/>
                <w:lang w:val="en-US"/>
              </w:rPr>
            </w:pPr>
            <w:r w:rsidRPr="00C24334">
              <w:rPr>
                <w:rFonts w:ascii="Verdana" w:hAnsi="Verdana"/>
                <w:color w:val="7F7F7F" w:themeColor="text1" w:themeTint="80"/>
                <w:lang w:val="en-US"/>
              </w:rPr>
              <w:t xml:space="preserve">There is always a </w:t>
            </w:r>
            <w:r w:rsidRPr="00C24334">
              <w:rPr>
                <w:rFonts w:ascii="Verdana" w:hAnsi="Verdana"/>
                <w:bCs/>
                <w:color w:val="7F7F7F" w:themeColor="text1" w:themeTint="80"/>
                <w:lang w:val="en-US"/>
              </w:rPr>
              <w:t>downside risk</w:t>
            </w:r>
            <w:r w:rsidRPr="00C24334">
              <w:rPr>
                <w:rFonts w:ascii="Verdana" w:hAnsi="Verdana"/>
                <w:color w:val="7F7F7F" w:themeColor="text1" w:themeTint="80"/>
                <w:lang w:val="en-US"/>
              </w:rPr>
              <w:t xml:space="preserve"> but where there is no quantitative evidence this </w:t>
            </w:r>
            <w:r w:rsidRPr="00C24334">
              <w:rPr>
                <w:rFonts w:ascii="Verdana" w:hAnsi="Verdana"/>
                <w:bCs/>
                <w:color w:val="7F7F7F" w:themeColor="text1" w:themeTint="80"/>
                <w:lang w:val="en-US"/>
              </w:rPr>
              <w:t>is set by using qualitative arguments</w:t>
            </w:r>
            <w:r w:rsidRPr="00C24334">
              <w:rPr>
                <w:rFonts w:ascii="Verdana" w:hAnsi="Verdana"/>
                <w:color w:val="7F7F7F" w:themeColor="text1" w:themeTint="80"/>
                <w:lang w:val="en-US"/>
              </w:rPr>
              <w:t xml:space="preserve">. Backed by qualitative arguments, a fixed risk component can be found, for instance in range of -20 to -40bps. This would exist fully below a minimum level of interest rates, after which no data exists (r_low in the image below). </w:t>
            </w:r>
          </w:p>
          <w:p w14:paraId="4984DE35" w14:textId="52FE521D" w:rsidR="006F5ECC" w:rsidRPr="00C24334" w:rsidRDefault="006F5ECC" w:rsidP="00020B14">
            <w:pPr>
              <w:pStyle w:val="ListParagraph"/>
              <w:numPr>
                <w:ilvl w:val="0"/>
                <w:numId w:val="27"/>
              </w:numPr>
              <w:tabs>
                <w:tab w:val="left" w:pos="0"/>
                <w:tab w:val="left" w:pos="4536"/>
              </w:tabs>
              <w:spacing w:after="160"/>
              <w:ind w:left="0"/>
              <w:contextualSpacing/>
              <w:rPr>
                <w:rFonts w:ascii="Verdana" w:hAnsi="Verdana"/>
                <w:color w:val="7F7F7F" w:themeColor="text1" w:themeTint="80"/>
                <w:lang w:val="en-US"/>
              </w:rPr>
            </w:pPr>
            <w:r w:rsidRPr="00C24334">
              <w:rPr>
                <w:rFonts w:ascii="Verdana" w:hAnsi="Verdana"/>
                <w:color w:val="7F7F7F" w:themeColor="text1" w:themeTint="80"/>
                <w:lang w:val="en-US"/>
              </w:rPr>
              <w:lastRenderedPageBreak/>
              <w:t xml:space="preserve">We can </w:t>
            </w:r>
            <w:r w:rsidRPr="00C24334">
              <w:rPr>
                <w:rFonts w:ascii="Verdana" w:hAnsi="Verdana"/>
                <w:bCs/>
                <w:color w:val="7F7F7F" w:themeColor="text1" w:themeTint="80"/>
                <w:lang w:val="en-US"/>
              </w:rPr>
              <w:t>quantify</w:t>
            </w:r>
            <w:r w:rsidRPr="00C24334">
              <w:rPr>
                <w:rFonts w:ascii="Verdana" w:hAnsi="Verdana"/>
                <w:color w:val="7F7F7F" w:themeColor="text1" w:themeTint="80"/>
                <w:lang w:val="en-US"/>
              </w:rPr>
              <w:t xml:space="preserve"> and therefore calibrate </w:t>
            </w:r>
            <w:r w:rsidRPr="00C24334">
              <w:rPr>
                <w:rFonts w:ascii="Verdana" w:hAnsi="Verdana"/>
                <w:bCs/>
                <w:color w:val="7F7F7F" w:themeColor="text1" w:themeTint="80"/>
                <w:lang w:val="en-US"/>
              </w:rPr>
              <w:t>a Var 99.5 interest rate down risk</w:t>
            </w:r>
            <w:r w:rsidRPr="00C24334">
              <w:rPr>
                <w:rFonts w:ascii="Verdana" w:hAnsi="Verdana"/>
                <w:color w:val="7F7F7F" w:themeColor="text1" w:themeTint="80"/>
                <w:lang w:val="en-US"/>
              </w:rPr>
              <w:t xml:space="preserve"> from times when rates and volatility</w:t>
            </w:r>
            <w:r w:rsidRPr="00C24334">
              <w:rPr>
                <w:rFonts w:ascii="Verdana" w:hAnsi="Verdana"/>
                <w:bCs/>
                <w:color w:val="7F7F7F" w:themeColor="text1" w:themeTint="80"/>
                <w:lang w:val="en-US"/>
              </w:rPr>
              <w:t xml:space="preserve"> were</w:t>
            </w:r>
            <w:r w:rsidRPr="00C24334">
              <w:rPr>
                <w:rFonts w:ascii="Verdana" w:hAnsi="Verdana"/>
                <w:color w:val="7F7F7F" w:themeColor="text1" w:themeTint="80"/>
                <w:lang w:val="en-US"/>
              </w:rPr>
              <w:t xml:space="preserve"> in more normal levels, say 2 percentage points or such (r_normal in the image). Also there is evidence that the Var 99,5% measure has radically increased during times of aggressive monetary policy in the Euro area ****.The quantitative interest rate down risk above this interest rate level would be equal to this calibrated risk but would reduce to zero as it gets closer to the minimal level (above in a.)</w:t>
            </w:r>
          </w:p>
          <w:p w14:paraId="094D7631" w14:textId="77777777" w:rsidR="006F5ECC" w:rsidRPr="00C24334" w:rsidRDefault="006F5ECC" w:rsidP="00020B14">
            <w:pPr>
              <w:pStyle w:val="ListParagraph"/>
              <w:tabs>
                <w:tab w:val="left" w:pos="0"/>
                <w:tab w:val="left" w:pos="4536"/>
              </w:tabs>
              <w:spacing w:after="160"/>
              <w:ind w:left="0"/>
              <w:contextualSpacing/>
              <w:rPr>
                <w:rFonts w:ascii="Verdana" w:hAnsi="Verdana"/>
                <w:color w:val="7F7F7F" w:themeColor="text1" w:themeTint="80"/>
                <w:lang w:val="en-US"/>
              </w:rPr>
            </w:pPr>
          </w:p>
          <w:p w14:paraId="7BBBEE98" w14:textId="4C9A7C33" w:rsidR="006F5ECC" w:rsidRPr="00C24334" w:rsidRDefault="006F5ECC" w:rsidP="00020B14">
            <w:pPr>
              <w:pStyle w:val="ListParagraph"/>
              <w:numPr>
                <w:ilvl w:val="0"/>
                <w:numId w:val="29"/>
              </w:numPr>
              <w:tabs>
                <w:tab w:val="left" w:pos="0"/>
                <w:tab w:val="left" w:pos="4536"/>
              </w:tabs>
              <w:ind w:left="0"/>
              <w:rPr>
                <w:rFonts w:ascii="Verdana" w:hAnsi="Verdana"/>
                <w:bCs/>
                <w:color w:val="7F7F7F" w:themeColor="text1" w:themeTint="80"/>
                <w:lang w:val="en-US"/>
              </w:rPr>
            </w:pPr>
            <w:r w:rsidRPr="00C24334">
              <w:rPr>
                <w:rFonts w:ascii="Verdana" w:hAnsi="Verdana"/>
                <w:bCs/>
                <w:color w:val="7F7F7F" w:themeColor="text1" w:themeTint="80"/>
                <w:u w:val="single"/>
                <w:lang w:val="en-US"/>
              </w:rPr>
              <w:t>The interest rate down risk would then be based to the qualitative risk component above normal levels, the quantitative risk component below the low level and combination of these two between these levels</w:t>
            </w:r>
            <w:r w:rsidRPr="00C24334">
              <w:rPr>
                <w:rFonts w:ascii="Verdana" w:hAnsi="Verdana"/>
                <w:bCs/>
                <w:color w:val="7F7F7F" w:themeColor="text1" w:themeTint="80"/>
                <w:lang w:val="en-US"/>
              </w:rPr>
              <w:t>. The interest rate shocks beyond the LLP is developed in paragraph 5.34 below.</w:t>
            </w:r>
          </w:p>
          <w:p w14:paraId="73BD3148" w14:textId="77777777" w:rsidR="006F5ECC" w:rsidRPr="00C24334" w:rsidRDefault="006F5ECC" w:rsidP="00020B14">
            <w:pPr>
              <w:tabs>
                <w:tab w:val="left" w:pos="0"/>
                <w:tab w:val="left" w:pos="4536"/>
              </w:tabs>
              <w:rPr>
                <w:rFonts w:ascii="Verdana" w:hAnsi="Verdana"/>
                <w:bCs/>
                <w:color w:val="7F7F7F" w:themeColor="text1" w:themeTint="80"/>
                <w:sz w:val="22"/>
                <w:szCs w:val="22"/>
                <w:lang w:val="en-US"/>
              </w:rPr>
            </w:pPr>
          </w:p>
          <w:p w14:paraId="3C187EEF" w14:textId="77777777" w:rsidR="006F5ECC" w:rsidRPr="00C24334" w:rsidRDefault="006F5ECC" w:rsidP="00020B14">
            <w:pPr>
              <w:tabs>
                <w:tab w:val="left" w:pos="0"/>
                <w:tab w:val="left" w:pos="4536"/>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 xml:space="preserve">The </w:t>
            </w:r>
            <w:r w:rsidRPr="00C24334">
              <w:rPr>
                <w:rFonts w:ascii="Verdana" w:hAnsi="Verdana"/>
                <w:bCs/>
                <w:color w:val="7F7F7F" w:themeColor="text1" w:themeTint="80"/>
                <w:sz w:val="22"/>
                <w:szCs w:val="22"/>
                <w:lang w:val="en-US"/>
              </w:rPr>
              <w:t>rationale</w:t>
            </w:r>
            <w:r w:rsidRPr="00C24334">
              <w:rPr>
                <w:rFonts w:ascii="Verdana" w:hAnsi="Verdana"/>
                <w:color w:val="7F7F7F" w:themeColor="text1" w:themeTint="80"/>
                <w:sz w:val="22"/>
                <w:szCs w:val="22"/>
                <w:lang w:val="en-US"/>
              </w:rPr>
              <w:t xml:space="preserve"> for this model would be the following:</w:t>
            </w:r>
          </w:p>
          <w:p w14:paraId="12CA6055" w14:textId="77777777" w:rsidR="006F5ECC" w:rsidRPr="00C24334" w:rsidRDefault="006F5ECC" w:rsidP="00020B14">
            <w:pPr>
              <w:pStyle w:val="ListParagraph"/>
              <w:numPr>
                <w:ilvl w:val="0"/>
                <w:numId w:val="31"/>
              </w:numPr>
              <w:tabs>
                <w:tab w:val="left" w:pos="0"/>
                <w:tab w:val="left" w:pos="4536"/>
              </w:tabs>
              <w:spacing w:after="160"/>
              <w:ind w:left="0"/>
              <w:contextualSpacing/>
              <w:rPr>
                <w:rFonts w:ascii="Verdana" w:hAnsi="Verdana"/>
                <w:color w:val="7F7F7F" w:themeColor="text1" w:themeTint="80"/>
                <w:lang w:val="en-US"/>
              </w:rPr>
            </w:pPr>
            <w:r w:rsidRPr="00C24334">
              <w:rPr>
                <w:rFonts w:ascii="Verdana" w:hAnsi="Verdana"/>
                <w:color w:val="7F7F7F" w:themeColor="text1" w:themeTint="80"/>
                <w:lang w:val="en-US"/>
              </w:rPr>
              <w:t>It is possible to calibrate the interest rate risk parameters at the interest rate levels where data exists.</w:t>
            </w:r>
          </w:p>
          <w:p w14:paraId="78DE579F" w14:textId="77777777" w:rsidR="006F5ECC" w:rsidRPr="00C24334" w:rsidRDefault="006F5ECC" w:rsidP="00020B14">
            <w:pPr>
              <w:pStyle w:val="ListParagraph"/>
              <w:numPr>
                <w:ilvl w:val="0"/>
                <w:numId w:val="31"/>
              </w:numPr>
              <w:tabs>
                <w:tab w:val="left" w:pos="0"/>
                <w:tab w:val="left" w:pos="4536"/>
              </w:tabs>
              <w:spacing w:after="160"/>
              <w:ind w:left="0"/>
              <w:contextualSpacing/>
              <w:rPr>
                <w:rFonts w:ascii="Verdana" w:hAnsi="Verdana"/>
                <w:color w:val="7F7F7F" w:themeColor="text1" w:themeTint="80"/>
                <w:lang w:val="en-US"/>
              </w:rPr>
            </w:pPr>
            <w:r w:rsidRPr="00C24334">
              <w:rPr>
                <w:rFonts w:ascii="Verdana" w:hAnsi="Verdana"/>
                <w:color w:val="7F7F7F" w:themeColor="text1" w:themeTint="80"/>
                <w:lang w:val="en-US"/>
              </w:rPr>
              <w:t xml:space="preserve">We are generally aware of the dynamics behind the drivers of change (up or down) in risk free rates in Europe. Example of the topics to be included into a qualitative risk assessment can be found below *. </w:t>
            </w:r>
          </w:p>
          <w:p w14:paraId="04D45831" w14:textId="77777777" w:rsidR="006F5ECC" w:rsidRPr="00C24334" w:rsidRDefault="006F5ECC" w:rsidP="00020B14">
            <w:pPr>
              <w:pStyle w:val="ListParagraph"/>
              <w:numPr>
                <w:ilvl w:val="0"/>
                <w:numId w:val="31"/>
              </w:numPr>
              <w:tabs>
                <w:tab w:val="left" w:pos="0"/>
                <w:tab w:val="left" w:pos="4536"/>
              </w:tabs>
              <w:spacing w:after="160"/>
              <w:ind w:left="0"/>
              <w:contextualSpacing/>
              <w:rPr>
                <w:rFonts w:ascii="Verdana" w:hAnsi="Verdana"/>
                <w:color w:val="7F7F7F" w:themeColor="text1" w:themeTint="80"/>
                <w:lang w:val="en-US"/>
              </w:rPr>
            </w:pPr>
            <w:r w:rsidRPr="00C24334">
              <w:rPr>
                <w:rFonts w:ascii="Verdana" w:hAnsi="Verdana"/>
                <w:color w:val="7F7F7F" w:themeColor="text1" w:themeTint="80"/>
                <w:lang w:val="en-US"/>
              </w:rPr>
              <w:t xml:space="preserve">We consider that there is always a possibility that rates can go lower but, in low level of interest rates where there is a lack of data, the risk should reflect only the qualitative expert judgement on the risk dynamics. </w:t>
            </w:r>
          </w:p>
          <w:p w14:paraId="6147F2CA" w14:textId="77777777" w:rsidR="006F5ECC" w:rsidRPr="00C24334" w:rsidRDefault="006F5ECC" w:rsidP="00020B14">
            <w:pPr>
              <w:pStyle w:val="ListParagraph"/>
              <w:numPr>
                <w:ilvl w:val="0"/>
                <w:numId w:val="31"/>
              </w:numPr>
              <w:tabs>
                <w:tab w:val="left" w:pos="0"/>
                <w:tab w:val="left" w:pos="4536"/>
              </w:tabs>
              <w:spacing w:after="160"/>
              <w:ind w:left="0"/>
              <w:contextualSpacing/>
              <w:rPr>
                <w:rFonts w:ascii="Verdana" w:hAnsi="Verdana"/>
                <w:color w:val="7F7F7F" w:themeColor="text1" w:themeTint="80"/>
                <w:lang w:val="en-US"/>
              </w:rPr>
            </w:pPr>
            <w:r w:rsidRPr="00C24334">
              <w:rPr>
                <w:rFonts w:ascii="Verdana" w:hAnsi="Verdana"/>
                <w:color w:val="7F7F7F" w:themeColor="text1" w:themeTint="80"/>
                <w:lang w:val="en-US"/>
              </w:rPr>
              <w:t xml:space="preserve">If interest rates were at a higher level, the risk of rates going down would be much higher and analysis of the risk would be supported by quantitative evidence.  </w:t>
            </w:r>
          </w:p>
          <w:p w14:paraId="203A28EB" w14:textId="77777777" w:rsidR="006F5ECC" w:rsidRPr="00C24334" w:rsidRDefault="006F5ECC" w:rsidP="00020B14">
            <w:pPr>
              <w:tabs>
                <w:tab w:val="left" w:pos="0"/>
                <w:tab w:val="left" w:pos="4536"/>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lastRenderedPageBreak/>
              <w:t>The parameters for such a model could be identified using available data and appropriate expert judgement, e.g.</w:t>
            </w:r>
          </w:p>
          <w:p w14:paraId="72408AAC" w14:textId="77777777" w:rsidR="006F5ECC" w:rsidRPr="00C24334" w:rsidRDefault="006F5ECC" w:rsidP="00020B14">
            <w:pPr>
              <w:pStyle w:val="ListParagraph"/>
              <w:numPr>
                <w:ilvl w:val="0"/>
                <w:numId w:val="28"/>
              </w:numPr>
              <w:tabs>
                <w:tab w:val="left" w:pos="0"/>
                <w:tab w:val="left" w:pos="4536"/>
              </w:tabs>
              <w:spacing w:after="160"/>
              <w:ind w:left="0"/>
              <w:contextualSpacing/>
              <w:rPr>
                <w:rFonts w:ascii="Verdana" w:hAnsi="Verdana"/>
                <w:color w:val="7F7F7F" w:themeColor="text1" w:themeTint="80"/>
                <w:lang w:val="en-US"/>
              </w:rPr>
            </w:pPr>
            <w:r w:rsidRPr="00C24334">
              <w:rPr>
                <w:rFonts w:ascii="Verdana" w:hAnsi="Verdana"/>
                <w:color w:val="7F7F7F" w:themeColor="text1" w:themeTint="80"/>
                <w:lang w:val="en-US"/>
              </w:rPr>
              <w:t>historical Var 99.5 interest rate down risk</w:t>
            </w:r>
          </w:p>
          <w:p w14:paraId="3114D761" w14:textId="77777777" w:rsidR="006F5ECC" w:rsidRPr="00C24334" w:rsidRDefault="006F5ECC" w:rsidP="00020B14">
            <w:pPr>
              <w:pStyle w:val="ListParagraph"/>
              <w:numPr>
                <w:ilvl w:val="0"/>
                <w:numId w:val="28"/>
              </w:numPr>
              <w:tabs>
                <w:tab w:val="left" w:pos="0"/>
                <w:tab w:val="left" w:pos="4536"/>
              </w:tabs>
              <w:spacing w:after="160"/>
              <w:ind w:left="0"/>
              <w:contextualSpacing/>
              <w:rPr>
                <w:rFonts w:ascii="Verdana" w:hAnsi="Verdana"/>
                <w:color w:val="7F7F7F" w:themeColor="text1" w:themeTint="80"/>
                <w:lang w:val="en-US"/>
              </w:rPr>
            </w:pPr>
            <w:r w:rsidRPr="00C24334">
              <w:rPr>
                <w:rFonts w:ascii="Verdana" w:hAnsi="Verdana"/>
                <w:color w:val="7F7F7F" w:themeColor="text1" w:themeTint="80"/>
                <w:lang w:val="en-US"/>
              </w:rPr>
              <w:t>the level after which the interest rate (relative) risk would no longer increase</w:t>
            </w:r>
          </w:p>
          <w:p w14:paraId="0797777D" w14:textId="77777777" w:rsidR="006F5ECC" w:rsidRPr="00C24334" w:rsidRDefault="006F5ECC" w:rsidP="00020B14">
            <w:pPr>
              <w:pStyle w:val="ListParagraph"/>
              <w:numPr>
                <w:ilvl w:val="0"/>
                <w:numId w:val="28"/>
              </w:numPr>
              <w:tabs>
                <w:tab w:val="left" w:pos="0"/>
                <w:tab w:val="left" w:pos="4536"/>
              </w:tabs>
              <w:spacing w:after="160"/>
              <w:ind w:left="0"/>
              <w:contextualSpacing/>
              <w:rPr>
                <w:rFonts w:ascii="Verdana" w:hAnsi="Verdana"/>
                <w:color w:val="7F7F7F" w:themeColor="text1" w:themeTint="80"/>
                <w:lang w:val="en-US"/>
              </w:rPr>
            </w:pPr>
            <w:r w:rsidRPr="00C24334">
              <w:rPr>
                <w:rFonts w:ascii="Verdana" w:hAnsi="Verdana"/>
                <w:color w:val="7F7F7F" w:themeColor="text1" w:themeTint="80"/>
                <w:lang w:val="en-US"/>
              </w:rPr>
              <w:t xml:space="preserve">the interest rate low-end level </w:t>
            </w:r>
          </w:p>
          <w:p w14:paraId="58CFA251" w14:textId="77777777" w:rsidR="006F5ECC" w:rsidRPr="00C24334" w:rsidRDefault="006F5ECC" w:rsidP="00020B14">
            <w:pPr>
              <w:pStyle w:val="ListParagraph"/>
              <w:numPr>
                <w:ilvl w:val="0"/>
                <w:numId w:val="28"/>
              </w:numPr>
              <w:tabs>
                <w:tab w:val="left" w:pos="0"/>
                <w:tab w:val="left" w:pos="4536"/>
              </w:tabs>
              <w:spacing w:after="160"/>
              <w:ind w:left="0"/>
              <w:contextualSpacing/>
              <w:rPr>
                <w:rFonts w:ascii="Verdana" w:hAnsi="Verdana"/>
                <w:color w:val="7F7F7F" w:themeColor="text1" w:themeTint="80"/>
                <w:lang w:val="en-US"/>
              </w:rPr>
            </w:pPr>
            <w:r w:rsidRPr="00C24334">
              <w:rPr>
                <w:rFonts w:ascii="Verdana" w:hAnsi="Verdana"/>
                <w:color w:val="7F7F7F" w:themeColor="text1" w:themeTint="80"/>
                <w:lang w:val="en-US"/>
              </w:rPr>
              <w:t>suitable parameters for the qualitative risk component, also reflecting how these parameters might need to change in different maturity points</w:t>
            </w:r>
          </w:p>
          <w:p w14:paraId="3092E833" w14:textId="18A279DB" w:rsidR="006F5ECC" w:rsidRPr="00C24334" w:rsidRDefault="006F5ECC" w:rsidP="00020B14">
            <w:pPr>
              <w:tabs>
                <w:tab w:val="left" w:pos="0"/>
                <w:tab w:val="left" w:pos="4536"/>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The consistency of the interest rate up parameters with this methodology would also require to be confirmed. Similar approach could be used even though more data exist for interest rates going up.</w:t>
            </w:r>
          </w:p>
          <w:p w14:paraId="0EE2C027" w14:textId="77777777" w:rsidR="006F5ECC" w:rsidRPr="00C24334" w:rsidRDefault="006F5ECC" w:rsidP="00020B14">
            <w:pPr>
              <w:tabs>
                <w:tab w:val="left" w:pos="0"/>
                <w:tab w:val="left" w:pos="4536"/>
              </w:tabs>
              <w:rPr>
                <w:rFonts w:ascii="Verdana" w:hAnsi="Verdana"/>
                <w:color w:val="7F7F7F" w:themeColor="text1" w:themeTint="80"/>
                <w:sz w:val="22"/>
                <w:szCs w:val="22"/>
                <w:lang w:val="en-US"/>
              </w:rPr>
            </w:pPr>
          </w:p>
          <w:p w14:paraId="2BF2408E" w14:textId="77777777" w:rsidR="006F5ECC" w:rsidRPr="00C24334" w:rsidRDefault="006F5ECC" w:rsidP="00020B14">
            <w:pPr>
              <w:tabs>
                <w:tab w:val="left" w:pos="0"/>
                <w:tab w:val="left" w:pos="4536"/>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 A qualitative assessment of the interest rate risk profile is needed to set the level of the qualitative risk component. All main triggers to lower or increase the rates needs to be investigated. This could include the following topics measured by the historical impact, the possible future impact and the rapidity of that impact:</w:t>
            </w:r>
          </w:p>
          <w:p w14:paraId="07A35DC2" w14:textId="77777777" w:rsidR="006F5ECC" w:rsidRPr="00C24334" w:rsidRDefault="006F5ECC" w:rsidP="00020B14">
            <w:pPr>
              <w:tabs>
                <w:tab w:val="left" w:pos="0"/>
                <w:tab w:val="left" w:pos="4536"/>
              </w:tabs>
              <w:rPr>
                <w:rFonts w:ascii="Verdana" w:hAnsi="Verdana"/>
                <w:color w:val="7F7F7F" w:themeColor="text1" w:themeTint="80"/>
                <w:sz w:val="22"/>
                <w:szCs w:val="22"/>
                <w:lang w:val="en-US"/>
              </w:rPr>
            </w:pPr>
          </w:p>
          <w:p w14:paraId="21508A9C" w14:textId="77777777" w:rsidR="006F5ECC" w:rsidRPr="00C24334" w:rsidRDefault="006F5ECC" w:rsidP="00020B14">
            <w:pPr>
              <w:pStyle w:val="ListParagraph"/>
              <w:numPr>
                <w:ilvl w:val="0"/>
                <w:numId w:val="30"/>
              </w:numPr>
              <w:tabs>
                <w:tab w:val="left" w:pos="0"/>
                <w:tab w:val="left" w:pos="4536"/>
              </w:tabs>
              <w:ind w:left="0"/>
              <w:rPr>
                <w:rFonts w:ascii="Verdana" w:hAnsi="Verdana"/>
                <w:color w:val="7F7F7F" w:themeColor="text1" w:themeTint="80"/>
              </w:rPr>
            </w:pPr>
            <w:r w:rsidRPr="00C24334">
              <w:rPr>
                <w:rFonts w:ascii="Verdana" w:hAnsi="Verdana"/>
                <w:color w:val="7F7F7F" w:themeColor="text1" w:themeTint="80"/>
              </w:rPr>
              <w:t>ECB actions **</w:t>
            </w:r>
            <w:r w:rsidRPr="00C24334">
              <w:rPr>
                <w:rFonts w:ascii="Verdana" w:hAnsi="Verdana"/>
                <w:color w:val="7F7F7F" w:themeColor="text1" w:themeTint="80"/>
              </w:rPr>
              <w:tab/>
            </w:r>
          </w:p>
          <w:p w14:paraId="29E23FD1" w14:textId="77777777" w:rsidR="006F5ECC" w:rsidRPr="00C24334" w:rsidRDefault="006F5ECC" w:rsidP="00020B14">
            <w:pPr>
              <w:pStyle w:val="ListParagraph"/>
              <w:numPr>
                <w:ilvl w:val="1"/>
                <w:numId w:val="30"/>
              </w:numPr>
              <w:tabs>
                <w:tab w:val="left" w:pos="0"/>
                <w:tab w:val="left" w:pos="4536"/>
              </w:tabs>
              <w:ind w:left="0"/>
              <w:rPr>
                <w:rFonts w:ascii="Verdana" w:hAnsi="Verdana"/>
                <w:color w:val="7F7F7F" w:themeColor="text1" w:themeTint="80"/>
                <w:lang w:val="en-US"/>
              </w:rPr>
            </w:pPr>
            <w:r w:rsidRPr="00C24334">
              <w:rPr>
                <w:rFonts w:ascii="Verdana" w:hAnsi="Verdana"/>
                <w:color w:val="7F7F7F" w:themeColor="text1" w:themeTint="80"/>
                <w:lang w:val="en-US"/>
              </w:rPr>
              <w:t>Change of the official rates; deposit facility and refinancing rate</w:t>
            </w:r>
          </w:p>
          <w:p w14:paraId="67B6F0CB" w14:textId="77777777" w:rsidR="006F5ECC" w:rsidRPr="00C24334" w:rsidRDefault="006F5ECC" w:rsidP="00020B14">
            <w:pPr>
              <w:pStyle w:val="ListParagraph"/>
              <w:numPr>
                <w:ilvl w:val="1"/>
                <w:numId w:val="30"/>
              </w:numPr>
              <w:tabs>
                <w:tab w:val="left" w:pos="0"/>
                <w:tab w:val="left" w:pos="4536"/>
              </w:tabs>
              <w:ind w:left="0"/>
              <w:rPr>
                <w:rFonts w:ascii="Verdana" w:hAnsi="Verdana"/>
                <w:color w:val="7F7F7F" w:themeColor="text1" w:themeTint="80"/>
              </w:rPr>
            </w:pPr>
            <w:r w:rsidRPr="00C24334">
              <w:rPr>
                <w:rFonts w:ascii="Verdana" w:hAnsi="Verdana"/>
                <w:color w:val="7F7F7F" w:themeColor="text1" w:themeTint="80"/>
              </w:rPr>
              <w:t>Quantitative easing</w:t>
            </w:r>
          </w:p>
          <w:p w14:paraId="70407A9A" w14:textId="77777777" w:rsidR="006F5ECC" w:rsidRPr="00C24334" w:rsidRDefault="006F5ECC" w:rsidP="00020B14">
            <w:pPr>
              <w:pStyle w:val="ListParagraph"/>
              <w:numPr>
                <w:ilvl w:val="1"/>
                <w:numId w:val="30"/>
              </w:numPr>
              <w:tabs>
                <w:tab w:val="left" w:pos="0"/>
                <w:tab w:val="left" w:pos="4536"/>
              </w:tabs>
              <w:ind w:left="0"/>
              <w:rPr>
                <w:rFonts w:ascii="Verdana" w:hAnsi="Verdana"/>
                <w:color w:val="7F7F7F" w:themeColor="text1" w:themeTint="80"/>
                <w:lang w:val="en-US"/>
              </w:rPr>
            </w:pPr>
            <w:r w:rsidRPr="00C24334">
              <w:rPr>
                <w:rFonts w:ascii="Verdana" w:hAnsi="Verdana"/>
                <w:color w:val="7F7F7F" w:themeColor="text1" w:themeTint="80"/>
                <w:lang w:val="en-US"/>
              </w:rPr>
              <w:t>Forward guidance, which impacts strongly on the inflation expectation and thus on the maturity premium demand on the long maturities</w:t>
            </w:r>
          </w:p>
          <w:p w14:paraId="74AC647F" w14:textId="77777777" w:rsidR="006F5ECC" w:rsidRPr="00C24334" w:rsidRDefault="006F5ECC" w:rsidP="00020B14">
            <w:pPr>
              <w:pStyle w:val="ListParagraph"/>
              <w:numPr>
                <w:ilvl w:val="0"/>
                <w:numId w:val="30"/>
              </w:numPr>
              <w:tabs>
                <w:tab w:val="left" w:pos="0"/>
                <w:tab w:val="left" w:pos="4536"/>
              </w:tabs>
              <w:ind w:left="0"/>
              <w:rPr>
                <w:rFonts w:ascii="Verdana" w:hAnsi="Verdana"/>
                <w:color w:val="7F7F7F" w:themeColor="text1" w:themeTint="80"/>
                <w:lang w:val="en-US"/>
              </w:rPr>
            </w:pPr>
            <w:r w:rsidRPr="00C24334">
              <w:rPr>
                <w:rFonts w:ascii="Verdana" w:hAnsi="Verdana"/>
                <w:color w:val="7F7F7F" w:themeColor="text1" w:themeTint="80"/>
                <w:lang w:val="en-US"/>
              </w:rPr>
              <w:t>Better risk-return profile from other liquid assets</w:t>
            </w:r>
            <w:r w:rsidRPr="00C24334">
              <w:rPr>
                <w:rFonts w:ascii="Verdana" w:hAnsi="Verdana"/>
                <w:color w:val="7F7F7F" w:themeColor="text1" w:themeTint="80"/>
                <w:lang w:val="en-US"/>
              </w:rPr>
              <w:tab/>
            </w:r>
          </w:p>
          <w:p w14:paraId="14985466" w14:textId="77777777" w:rsidR="006F5ECC" w:rsidRPr="00C24334" w:rsidRDefault="006F5ECC" w:rsidP="00020B14">
            <w:pPr>
              <w:pStyle w:val="ListParagraph"/>
              <w:numPr>
                <w:ilvl w:val="1"/>
                <w:numId w:val="30"/>
              </w:numPr>
              <w:tabs>
                <w:tab w:val="left" w:pos="0"/>
                <w:tab w:val="left" w:pos="4536"/>
              </w:tabs>
              <w:ind w:left="0"/>
              <w:rPr>
                <w:rFonts w:ascii="Verdana" w:hAnsi="Verdana"/>
                <w:color w:val="7F7F7F" w:themeColor="text1" w:themeTint="80"/>
              </w:rPr>
            </w:pPr>
            <w:r w:rsidRPr="00C24334">
              <w:rPr>
                <w:rFonts w:ascii="Verdana" w:hAnsi="Verdana"/>
                <w:color w:val="7F7F7F" w:themeColor="text1" w:themeTint="80"/>
              </w:rPr>
              <w:t>Investing into cash</w:t>
            </w:r>
          </w:p>
          <w:p w14:paraId="32EA9510" w14:textId="4D8F04B3" w:rsidR="006F5ECC" w:rsidRPr="00C24334" w:rsidRDefault="006F5ECC" w:rsidP="00020B14">
            <w:pPr>
              <w:pStyle w:val="ListParagraph"/>
              <w:numPr>
                <w:ilvl w:val="1"/>
                <w:numId w:val="30"/>
              </w:numPr>
              <w:tabs>
                <w:tab w:val="left" w:pos="0"/>
                <w:tab w:val="left" w:pos="4536"/>
              </w:tabs>
              <w:ind w:left="0"/>
              <w:rPr>
                <w:rFonts w:ascii="Verdana" w:hAnsi="Verdana"/>
                <w:color w:val="7F7F7F" w:themeColor="text1" w:themeTint="80"/>
                <w:lang w:val="en-US"/>
              </w:rPr>
            </w:pPr>
            <w:r w:rsidRPr="00C24334">
              <w:rPr>
                <w:rFonts w:ascii="Verdana" w:hAnsi="Verdana"/>
                <w:color w:val="7F7F7F" w:themeColor="text1" w:themeTint="80"/>
                <w:lang w:val="en-US"/>
              </w:rPr>
              <w:t>Investing into other highly qualified asset classes (HQLA as published by ECB) that are not strictly linked to the Euro risk free yield, Euro stock index for example</w:t>
            </w:r>
          </w:p>
          <w:p w14:paraId="6C654FA4" w14:textId="77777777" w:rsidR="006F5ECC" w:rsidRPr="00C24334" w:rsidRDefault="006F5ECC" w:rsidP="00020B14">
            <w:pPr>
              <w:pStyle w:val="ListParagraph"/>
              <w:numPr>
                <w:ilvl w:val="1"/>
                <w:numId w:val="30"/>
              </w:numPr>
              <w:tabs>
                <w:tab w:val="left" w:pos="0"/>
                <w:tab w:val="left" w:pos="4536"/>
              </w:tabs>
              <w:ind w:left="0"/>
              <w:rPr>
                <w:rFonts w:ascii="Verdana" w:hAnsi="Verdana"/>
                <w:color w:val="7F7F7F" w:themeColor="text1" w:themeTint="80"/>
                <w:lang w:val="en-US"/>
              </w:rPr>
            </w:pPr>
            <w:r w:rsidRPr="00C24334">
              <w:rPr>
                <w:rFonts w:ascii="Verdana" w:hAnsi="Verdana"/>
                <w:color w:val="7F7F7F" w:themeColor="text1" w:themeTint="80"/>
                <w:lang w:val="en-US"/>
              </w:rPr>
              <w:lastRenderedPageBreak/>
              <w:t>Investing into alternative asset classes that are considered liquid (e.g. gold, raw materials)</w:t>
            </w:r>
          </w:p>
          <w:p w14:paraId="05AD35B3" w14:textId="77777777" w:rsidR="006F5ECC" w:rsidRPr="00C24334" w:rsidRDefault="006F5ECC" w:rsidP="00020B14">
            <w:pPr>
              <w:pStyle w:val="ListParagraph"/>
              <w:numPr>
                <w:ilvl w:val="0"/>
                <w:numId w:val="30"/>
              </w:numPr>
              <w:tabs>
                <w:tab w:val="left" w:pos="0"/>
                <w:tab w:val="left" w:pos="4536"/>
              </w:tabs>
              <w:ind w:left="0"/>
              <w:rPr>
                <w:rFonts w:ascii="Verdana" w:hAnsi="Verdana"/>
                <w:color w:val="7F7F7F" w:themeColor="text1" w:themeTint="80"/>
                <w:lang w:val="en-US"/>
              </w:rPr>
            </w:pPr>
            <w:r w:rsidRPr="00C24334">
              <w:rPr>
                <w:rFonts w:ascii="Verdana" w:hAnsi="Verdana"/>
                <w:color w:val="7F7F7F" w:themeColor="text1" w:themeTint="80"/>
                <w:lang w:val="en-US"/>
              </w:rPr>
              <w:t>The rise of digital currencies</w:t>
            </w:r>
            <w:r w:rsidRPr="00C24334">
              <w:rPr>
                <w:rFonts w:ascii="Verdana" w:hAnsi="Verdana"/>
                <w:color w:val="7F7F7F" w:themeColor="text1" w:themeTint="80"/>
                <w:lang w:val="en-US"/>
              </w:rPr>
              <w:tab/>
            </w:r>
          </w:p>
          <w:p w14:paraId="60F1D5E3" w14:textId="77777777" w:rsidR="006F5ECC" w:rsidRPr="00C24334" w:rsidRDefault="006F5ECC" w:rsidP="00020B14">
            <w:pPr>
              <w:pStyle w:val="ListParagraph"/>
              <w:numPr>
                <w:ilvl w:val="0"/>
                <w:numId w:val="30"/>
              </w:numPr>
              <w:tabs>
                <w:tab w:val="left" w:pos="0"/>
                <w:tab w:val="left" w:pos="4536"/>
              </w:tabs>
              <w:ind w:left="0"/>
              <w:rPr>
                <w:rFonts w:ascii="Verdana" w:hAnsi="Verdana"/>
                <w:color w:val="7F7F7F" w:themeColor="text1" w:themeTint="80"/>
                <w:lang w:val="en-US"/>
              </w:rPr>
            </w:pPr>
            <w:r w:rsidRPr="00C24334">
              <w:rPr>
                <w:rFonts w:ascii="Verdana" w:hAnsi="Verdana"/>
                <w:color w:val="7F7F7F" w:themeColor="text1" w:themeTint="80"/>
                <w:lang w:val="en-US"/>
              </w:rPr>
              <w:t>Changes in how Euro-swaps are used in the market</w:t>
            </w:r>
            <w:r w:rsidRPr="00C24334">
              <w:rPr>
                <w:rFonts w:ascii="Verdana" w:hAnsi="Verdana"/>
                <w:color w:val="7F7F7F" w:themeColor="text1" w:themeTint="80"/>
                <w:lang w:val="en-US"/>
              </w:rPr>
              <w:tab/>
            </w:r>
          </w:p>
          <w:p w14:paraId="38A758B5" w14:textId="77777777" w:rsidR="006F5ECC" w:rsidRPr="00C24334" w:rsidRDefault="006F5ECC" w:rsidP="00020B14">
            <w:pPr>
              <w:pStyle w:val="ListParagraph"/>
              <w:numPr>
                <w:ilvl w:val="1"/>
                <w:numId w:val="30"/>
              </w:numPr>
              <w:tabs>
                <w:tab w:val="left" w:pos="0"/>
                <w:tab w:val="left" w:pos="4536"/>
              </w:tabs>
              <w:ind w:left="0"/>
              <w:rPr>
                <w:rFonts w:ascii="Verdana" w:hAnsi="Verdana"/>
                <w:color w:val="7F7F7F" w:themeColor="text1" w:themeTint="80"/>
                <w:lang w:val="en-US"/>
              </w:rPr>
            </w:pPr>
            <w:r w:rsidRPr="00C24334">
              <w:rPr>
                <w:rFonts w:ascii="Verdana" w:hAnsi="Verdana"/>
                <w:color w:val="7F7F7F" w:themeColor="text1" w:themeTint="80"/>
                <w:lang w:val="en-US"/>
              </w:rPr>
              <w:t>Individual citizens mortgage payment cap/floor hedges</w:t>
            </w:r>
          </w:p>
          <w:p w14:paraId="0702D92C" w14:textId="77777777" w:rsidR="006F5ECC" w:rsidRPr="00C24334" w:rsidRDefault="006F5ECC" w:rsidP="00020B14">
            <w:pPr>
              <w:pStyle w:val="ListParagraph"/>
              <w:numPr>
                <w:ilvl w:val="1"/>
                <w:numId w:val="30"/>
              </w:numPr>
              <w:tabs>
                <w:tab w:val="left" w:pos="0"/>
                <w:tab w:val="left" w:pos="4536"/>
              </w:tabs>
              <w:ind w:left="0"/>
              <w:rPr>
                <w:rFonts w:ascii="Verdana" w:hAnsi="Verdana"/>
                <w:color w:val="7F7F7F" w:themeColor="text1" w:themeTint="80"/>
                <w:lang w:val="en-US"/>
              </w:rPr>
            </w:pPr>
            <w:r w:rsidRPr="00C24334">
              <w:rPr>
                <w:rFonts w:ascii="Verdana" w:hAnsi="Verdana"/>
                <w:color w:val="7F7F7F" w:themeColor="text1" w:themeTint="80"/>
                <w:lang w:val="en-US"/>
              </w:rPr>
              <w:t>Institutional investors (economic) ALM purposes to hedge own funds ***</w:t>
            </w:r>
          </w:p>
          <w:p w14:paraId="1352100E" w14:textId="77777777" w:rsidR="006F5ECC" w:rsidRPr="00C24334" w:rsidRDefault="006F5ECC" w:rsidP="00020B14">
            <w:pPr>
              <w:pStyle w:val="ListParagraph"/>
              <w:numPr>
                <w:ilvl w:val="1"/>
                <w:numId w:val="30"/>
              </w:numPr>
              <w:tabs>
                <w:tab w:val="left" w:pos="0"/>
                <w:tab w:val="left" w:pos="4536"/>
              </w:tabs>
              <w:ind w:left="0"/>
              <w:rPr>
                <w:rFonts w:ascii="Verdana" w:hAnsi="Verdana"/>
                <w:color w:val="7F7F7F" w:themeColor="text1" w:themeTint="80"/>
                <w:lang w:val="en-US"/>
              </w:rPr>
            </w:pPr>
            <w:r w:rsidRPr="00C24334">
              <w:rPr>
                <w:rFonts w:ascii="Verdana" w:hAnsi="Verdana"/>
                <w:color w:val="7F7F7F" w:themeColor="text1" w:themeTint="80"/>
                <w:lang w:val="en-US"/>
              </w:rPr>
              <w:t xml:space="preserve">Insurers to lower their SCR requirement </w:t>
            </w:r>
          </w:p>
          <w:p w14:paraId="4E3E9CDC" w14:textId="77777777" w:rsidR="006F5ECC" w:rsidRPr="00C24334" w:rsidRDefault="006F5ECC" w:rsidP="00020B14">
            <w:pPr>
              <w:pStyle w:val="ListParagraph"/>
              <w:numPr>
                <w:ilvl w:val="1"/>
                <w:numId w:val="30"/>
              </w:numPr>
              <w:tabs>
                <w:tab w:val="left" w:pos="0"/>
                <w:tab w:val="left" w:pos="4536"/>
              </w:tabs>
              <w:ind w:left="0"/>
              <w:rPr>
                <w:rFonts w:ascii="Verdana" w:hAnsi="Verdana"/>
                <w:color w:val="7F7F7F" w:themeColor="text1" w:themeTint="80"/>
              </w:rPr>
            </w:pPr>
            <w:r w:rsidRPr="00C24334">
              <w:rPr>
                <w:rFonts w:ascii="Verdana" w:hAnsi="Verdana"/>
                <w:color w:val="7F7F7F" w:themeColor="text1" w:themeTint="80"/>
              </w:rPr>
              <w:t>Option pricing purposes</w:t>
            </w:r>
          </w:p>
          <w:p w14:paraId="53149177" w14:textId="77777777" w:rsidR="006F5ECC" w:rsidRPr="00C24334" w:rsidRDefault="006F5ECC" w:rsidP="00020B14">
            <w:pPr>
              <w:pStyle w:val="ListParagraph"/>
              <w:numPr>
                <w:ilvl w:val="0"/>
                <w:numId w:val="30"/>
              </w:numPr>
              <w:tabs>
                <w:tab w:val="left" w:pos="0"/>
                <w:tab w:val="left" w:pos="4536"/>
              </w:tabs>
              <w:ind w:left="0"/>
              <w:rPr>
                <w:rFonts w:ascii="Verdana" w:hAnsi="Verdana"/>
                <w:color w:val="7F7F7F" w:themeColor="text1" w:themeTint="80"/>
                <w:lang w:val="en-US"/>
              </w:rPr>
            </w:pPr>
            <w:r w:rsidRPr="00C24334">
              <w:rPr>
                <w:rFonts w:ascii="Verdana" w:hAnsi="Verdana"/>
                <w:color w:val="7F7F7F" w:themeColor="text1" w:themeTint="80"/>
                <w:lang w:val="en-US"/>
              </w:rPr>
              <w:t>Convexity bias makes the long forward rates fold down because of the interest rate volatility (delta)</w:t>
            </w:r>
            <w:r w:rsidRPr="00C24334">
              <w:rPr>
                <w:rFonts w:ascii="Verdana" w:hAnsi="Verdana"/>
                <w:color w:val="7F7F7F" w:themeColor="text1" w:themeTint="80"/>
                <w:lang w:val="en-US"/>
              </w:rPr>
              <w:tab/>
            </w:r>
          </w:p>
          <w:p w14:paraId="571D717F" w14:textId="77777777" w:rsidR="006F5ECC" w:rsidRPr="00C24334" w:rsidRDefault="006F5ECC" w:rsidP="00020B14">
            <w:pPr>
              <w:pStyle w:val="ListParagraph"/>
              <w:numPr>
                <w:ilvl w:val="0"/>
                <w:numId w:val="30"/>
              </w:numPr>
              <w:tabs>
                <w:tab w:val="left" w:pos="0"/>
                <w:tab w:val="left" w:pos="4536"/>
              </w:tabs>
              <w:ind w:left="0"/>
              <w:rPr>
                <w:rFonts w:ascii="Verdana" w:hAnsi="Verdana"/>
                <w:color w:val="7F7F7F" w:themeColor="text1" w:themeTint="80"/>
                <w:lang w:val="en-US"/>
              </w:rPr>
            </w:pPr>
            <w:r w:rsidRPr="00C24334">
              <w:rPr>
                <w:rFonts w:ascii="Verdana" w:hAnsi="Verdana"/>
                <w:color w:val="7F7F7F" w:themeColor="text1" w:themeTint="80"/>
                <w:lang w:val="en-US"/>
              </w:rPr>
              <w:t>Changes in overnight indexes (EONIA, ESTER in future)</w:t>
            </w:r>
            <w:r w:rsidRPr="00C24334">
              <w:rPr>
                <w:rFonts w:ascii="Verdana" w:hAnsi="Verdana"/>
                <w:color w:val="7F7F7F" w:themeColor="text1" w:themeTint="80"/>
                <w:lang w:val="en-US"/>
              </w:rPr>
              <w:tab/>
            </w:r>
          </w:p>
          <w:p w14:paraId="1F980B3A" w14:textId="6C49B23A" w:rsidR="006F5ECC" w:rsidRPr="00C24334" w:rsidRDefault="006F5ECC" w:rsidP="00020B14">
            <w:pPr>
              <w:tabs>
                <w:tab w:val="left" w:pos="0"/>
                <w:tab w:val="left" w:pos="4536"/>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 The ECB monetary policy has had a big impact on the Euro risk free rates over the last 5 years (-90bps for 2Y and -135bps for 10Y according to publications from ECB, Philiip Lane Nov 2019). If the expectation is that this monetary policy cannot continue the same way as today, we might see only a fraction of a similar decrease of risk-free rates because of ECB actions.</w:t>
            </w:r>
          </w:p>
          <w:p w14:paraId="26F36DBD" w14:textId="77777777" w:rsidR="006F5ECC" w:rsidRPr="00C24334" w:rsidRDefault="006F5ECC" w:rsidP="00020B14">
            <w:pPr>
              <w:tabs>
                <w:tab w:val="left" w:pos="0"/>
                <w:tab w:val="left" w:pos="4536"/>
              </w:tabs>
              <w:rPr>
                <w:rFonts w:ascii="Verdana" w:hAnsi="Verdana"/>
                <w:color w:val="7F7F7F" w:themeColor="text1" w:themeTint="80"/>
                <w:sz w:val="22"/>
                <w:szCs w:val="22"/>
                <w:lang w:val="en-US"/>
              </w:rPr>
            </w:pPr>
          </w:p>
          <w:p w14:paraId="63C5B1F1" w14:textId="72192226" w:rsidR="006F5ECC" w:rsidRPr="00C24334" w:rsidRDefault="006F5ECC" w:rsidP="00020B14">
            <w:pPr>
              <w:tabs>
                <w:tab w:val="left" w:pos="0"/>
                <w:tab w:val="left" w:pos="4536"/>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 Introducing a new interest rate risk module or substantial changes to RFF in the current low yield environment would most probably force part of the industry into serious interest rate hedging programs which in turn would bring the euro-swap down even more – this would create a vicious circle which will be very difficult to break.</w:t>
            </w:r>
          </w:p>
          <w:p w14:paraId="493FF89A" w14:textId="77777777" w:rsidR="006F5ECC" w:rsidRPr="00C24334" w:rsidRDefault="006F5ECC" w:rsidP="00020B14">
            <w:pPr>
              <w:tabs>
                <w:tab w:val="left" w:pos="0"/>
                <w:tab w:val="left" w:pos="4536"/>
              </w:tabs>
              <w:rPr>
                <w:rFonts w:ascii="Verdana" w:hAnsi="Verdana"/>
                <w:color w:val="7F7F7F" w:themeColor="text1" w:themeTint="80"/>
                <w:sz w:val="22"/>
                <w:szCs w:val="22"/>
                <w:lang w:val="en-US"/>
              </w:rPr>
            </w:pPr>
          </w:p>
          <w:p w14:paraId="639AA619" w14:textId="77777777" w:rsidR="006F5ECC" w:rsidRPr="00C24334" w:rsidRDefault="006F5ECC" w:rsidP="00020B14">
            <w:pPr>
              <w:tabs>
                <w:tab w:val="left" w:pos="0"/>
                <w:tab w:val="left" w:pos="4536"/>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 xml:space="preserve">****) By analyzing the Euro-swap historical one-year changes one can find that the 1Y swap VaR 99,5 has increased from -130bps to -405bps during 2001, 2003 and the financial crisis (2008-2009). All year when </w:t>
            </w:r>
            <w:r w:rsidRPr="00C24334">
              <w:rPr>
                <w:rFonts w:ascii="Verdana" w:hAnsi="Verdana"/>
                <w:color w:val="7F7F7F" w:themeColor="text1" w:themeTint="80"/>
                <w:sz w:val="22"/>
                <w:szCs w:val="22"/>
                <w:lang w:val="en-US"/>
              </w:rPr>
              <w:lastRenderedPageBreak/>
              <w:t xml:space="preserve">ECB lowered the deposit facility rate aggressively. The impact is high in short maturities but disappears e.g. on the 10Y maturity point. </w:t>
            </w:r>
          </w:p>
          <w:p w14:paraId="324852ED" w14:textId="77777777" w:rsidR="006F5ECC" w:rsidRPr="00C24334" w:rsidRDefault="006F5ECC" w:rsidP="00020B14">
            <w:pPr>
              <w:tabs>
                <w:tab w:val="left" w:pos="0"/>
                <w:tab w:val="left" w:pos="4536"/>
              </w:tabs>
              <w:rPr>
                <w:rFonts w:ascii="Verdana" w:hAnsi="Verdana"/>
                <w:color w:val="7F7F7F" w:themeColor="text1" w:themeTint="80"/>
                <w:sz w:val="22"/>
                <w:szCs w:val="22"/>
                <w:lang w:val="en-US"/>
              </w:rPr>
            </w:pPr>
          </w:p>
          <w:p w14:paraId="1BA228EA" w14:textId="77777777" w:rsidR="006F5ECC" w:rsidRPr="00C24334" w:rsidRDefault="006F5ECC" w:rsidP="00020B14">
            <w:pPr>
              <w:tabs>
                <w:tab w:val="left" w:pos="0"/>
                <w:tab w:val="left" w:pos="4536"/>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An example of a possible framework would be the following:</w:t>
            </w:r>
          </w:p>
          <w:p w14:paraId="3708522E" w14:textId="77777777" w:rsidR="006F5ECC" w:rsidRPr="00C24334" w:rsidRDefault="006F5ECC" w:rsidP="00020B14">
            <w:pPr>
              <w:tabs>
                <w:tab w:val="left" w:pos="0"/>
                <w:tab w:val="left" w:pos="4536"/>
              </w:tabs>
              <w:rPr>
                <w:rFonts w:ascii="Verdana" w:hAnsi="Verdana"/>
                <w:color w:val="7F7F7F" w:themeColor="text1" w:themeTint="80"/>
                <w:sz w:val="22"/>
                <w:szCs w:val="22"/>
                <w:lang w:val="en-US"/>
              </w:rPr>
            </w:pPr>
          </w:p>
          <w:p w14:paraId="554578E4" w14:textId="77777777" w:rsidR="006F5ECC" w:rsidRPr="00C24334" w:rsidRDefault="006F5ECC" w:rsidP="00020B14">
            <w:pPr>
              <w:tabs>
                <w:tab w:val="left" w:pos="0"/>
                <w:tab w:val="left" w:pos="4536"/>
              </w:tabs>
              <w:rPr>
                <w:rFonts w:ascii="Verdana" w:hAnsi="Verdana"/>
                <w:color w:val="7F7F7F" w:themeColor="text1" w:themeTint="80"/>
                <w:sz w:val="22"/>
                <w:szCs w:val="22"/>
                <w:lang w:val="en-US"/>
              </w:rPr>
            </w:pPr>
            <w:r w:rsidRPr="00C24334">
              <w:rPr>
                <w:rFonts w:ascii="Verdana" w:hAnsi="Verdana"/>
                <w:noProof/>
                <w:color w:val="7F7F7F" w:themeColor="text1" w:themeTint="80"/>
                <w:sz w:val="22"/>
                <w:szCs w:val="22"/>
                <w:lang w:val="en-GB" w:eastAsia="en-GB"/>
              </w:rPr>
              <w:drawing>
                <wp:inline distT="0" distB="0" distL="0" distR="0" wp14:anchorId="653B95EC" wp14:editId="39F3696F">
                  <wp:extent cx="4321810" cy="1374775"/>
                  <wp:effectExtent l="0" t="0" r="2540" b="0"/>
                  <wp:docPr id="3"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2"/>
                          <pic:cNvPicPr>
                            <a:picLocks noChangeAspect="1"/>
                          </pic:cNvPicPr>
                        </pic:nvPicPr>
                        <pic:blipFill>
                          <a:blip r:embed="rId20"/>
                          <a:stretch>
                            <a:fillRect/>
                          </a:stretch>
                        </pic:blipFill>
                        <pic:spPr>
                          <a:xfrm>
                            <a:off x="0" y="0"/>
                            <a:ext cx="4321810" cy="1374775"/>
                          </a:xfrm>
                          <a:prstGeom prst="rect">
                            <a:avLst/>
                          </a:prstGeom>
                        </pic:spPr>
                      </pic:pic>
                    </a:graphicData>
                  </a:graphic>
                </wp:inline>
              </w:drawing>
            </w:r>
          </w:p>
          <w:p w14:paraId="5DC1EE20" w14:textId="0C21DEA5" w:rsidR="006F5ECC" w:rsidRPr="00416913" w:rsidRDefault="006F5ECC" w:rsidP="00020B14">
            <w:pPr>
              <w:tabs>
                <w:tab w:val="left" w:pos="0"/>
                <w:tab w:val="left" w:pos="4536"/>
              </w:tabs>
              <w:rPr>
                <w:rFonts w:ascii="Verdana" w:hAnsi="Verdana"/>
                <w:color w:val="7F7F7F" w:themeColor="text1" w:themeTint="80"/>
                <w:sz w:val="22"/>
                <w:szCs w:val="22"/>
                <w:lang w:val="en-US"/>
              </w:rPr>
            </w:pPr>
            <w:r w:rsidRPr="00416913">
              <w:rPr>
                <w:rFonts w:ascii="Verdana" w:hAnsi="Verdana"/>
                <w:color w:val="7F7F7F" w:themeColor="text1" w:themeTint="80"/>
                <w:sz w:val="22"/>
                <w:szCs w:val="22"/>
                <w:lang w:val="en-US"/>
              </w:rPr>
              <w:t>This model can be plugged into EIOPA´s proposal but is also can be parametrized separately. If EIOPA´s model and parameters are used for maturity points below the LLP (i.e. 20yr in here), then we can modify it in the following way:</w:t>
            </w:r>
          </w:p>
          <w:p w14:paraId="6D5DFA9D" w14:textId="77777777" w:rsidR="006F5ECC" w:rsidRPr="00416913" w:rsidRDefault="006F5ECC" w:rsidP="00020B14">
            <w:pPr>
              <w:tabs>
                <w:tab w:val="left" w:pos="0"/>
                <w:tab w:val="left" w:pos="4536"/>
              </w:tabs>
              <w:rPr>
                <w:rFonts w:ascii="Verdana" w:hAnsi="Verdana"/>
                <w:color w:val="7F7F7F" w:themeColor="text1" w:themeTint="80"/>
                <w:sz w:val="22"/>
                <w:szCs w:val="22"/>
                <w:lang w:val="en-US"/>
              </w:rPr>
            </w:pPr>
          </w:p>
          <w:p w14:paraId="25DDB7A8" w14:textId="15EB97FB" w:rsidR="006F5ECC" w:rsidRPr="00C24334" w:rsidRDefault="006F5ECC" w:rsidP="00020B14">
            <w:pPr>
              <w:tabs>
                <w:tab w:val="left" w:pos="0"/>
                <w:tab w:val="left" w:pos="4536"/>
              </w:tabs>
              <w:rPr>
                <w:rFonts w:ascii="Verdana" w:hAnsi="Verdana"/>
                <w:color w:val="7F7F7F" w:themeColor="text1" w:themeTint="80"/>
                <w:sz w:val="22"/>
                <w:szCs w:val="22"/>
                <w:lang w:val="fi-FI"/>
              </w:rPr>
            </w:pPr>
            <w:r w:rsidRPr="00C24334">
              <w:rPr>
                <w:rFonts w:ascii="Verdana" w:hAnsi="Verdana"/>
                <w:noProof/>
                <w:color w:val="7F7F7F" w:themeColor="text1" w:themeTint="80"/>
                <w:lang w:val="en-GB" w:eastAsia="en-GB"/>
              </w:rPr>
              <w:drawing>
                <wp:inline distT="0" distB="0" distL="0" distR="0" wp14:anchorId="0A3223F2" wp14:editId="4099B163">
                  <wp:extent cx="4322764" cy="1360521"/>
                  <wp:effectExtent l="0" t="0" r="1905"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374523" cy="1376811"/>
                          </a:xfrm>
                          <a:prstGeom prst="rect">
                            <a:avLst/>
                          </a:prstGeom>
                          <a:noFill/>
                        </pic:spPr>
                      </pic:pic>
                    </a:graphicData>
                  </a:graphic>
                </wp:inline>
              </w:drawing>
            </w:r>
          </w:p>
          <w:p w14:paraId="160FF8F9" w14:textId="77777777" w:rsidR="006F5ECC" w:rsidRPr="00C24334" w:rsidRDefault="006F5ECC" w:rsidP="00020B14">
            <w:pPr>
              <w:tabs>
                <w:tab w:val="left" w:pos="0"/>
                <w:tab w:val="left" w:pos="4536"/>
              </w:tabs>
              <w:rPr>
                <w:rFonts w:ascii="Verdana" w:hAnsi="Verdana"/>
                <w:color w:val="7F7F7F" w:themeColor="text1" w:themeTint="80"/>
                <w:sz w:val="22"/>
                <w:szCs w:val="22"/>
                <w:lang w:val="fi-FI"/>
              </w:rPr>
            </w:pPr>
          </w:p>
          <w:p w14:paraId="014FF7CA" w14:textId="7743AEEA" w:rsidR="006F5ECC" w:rsidRDefault="006F5ECC" w:rsidP="00020B14">
            <w:pPr>
              <w:tabs>
                <w:tab w:val="left" w:pos="0"/>
                <w:tab w:val="left" w:pos="4536"/>
              </w:tabs>
              <w:rPr>
                <w:rFonts w:ascii="Verdana" w:hAnsi="Verdana"/>
                <w:color w:val="7F7F7F" w:themeColor="text1" w:themeTint="80"/>
                <w:sz w:val="22"/>
                <w:szCs w:val="22"/>
                <w:lang w:val="en-US"/>
              </w:rPr>
            </w:pPr>
            <w:r w:rsidRPr="00416913">
              <w:rPr>
                <w:rFonts w:ascii="Verdana" w:hAnsi="Verdana"/>
                <w:color w:val="7F7F7F" w:themeColor="text1" w:themeTint="80"/>
                <w:sz w:val="22"/>
                <w:szCs w:val="22"/>
                <w:lang w:val="en-US"/>
              </w:rPr>
              <w:t>This gives us the following interest rate dow</w:t>
            </w:r>
            <w:r>
              <w:rPr>
                <w:rFonts w:ascii="Verdana" w:hAnsi="Verdana"/>
                <w:color w:val="7F7F7F" w:themeColor="text1" w:themeTint="80"/>
                <w:sz w:val="22"/>
                <w:szCs w:val="22"/>
                <w:lang w:val="en-US"/>
              </w:rPr>
              <w:t>n risk against EIOPA´s proposal:</w:t>
            </w:r>
          </w:p>
          <w:p w14:paraId="5375F3AF" w14:textId="6DA7ECEC" w:rsidR="006F5ECC" w:rsidRDefault="006F5ECC" w:rsidP="00020B14">
            <w:pPr>
              <w:tabs>
                <w:tab w:val="left" w:pos="0"/>
                <w:tab w:val="left" w:pos="4536"/>
              </w:tabs>
              <w:rPr>
                <w:rFonts w:ascii="Verdana" w:hAnsi="Verdana"/>
                <w:color w:val="7F7F7F" w:themeColor="text1" w:themeTint="80"/>
                <w:lang w:val="en-US"/>
              </w:rPr>
            </w:pPr>
          </w:p>
          <w:p w14:paraId="5E38F884" w14:textId="208ACFD6" w:rsidR="006F5ECC" w:rsidRDefault="006F5ECC" w:rsidP="00020B14">
            <w:pPr>
              <w:tabs>
                <w:tab w:val="left" w:pos="0"/>
                <w:tab w:val="left" w:pos="4536"/>
              </w:tabs>
              <w:rPr>
                <w:rFonts w:ascii="Verdana" w:hAnsi="Verdana"/>
                <w:color w:val="7F7F7F" w:themeColor="text1" w:themeTint="80"/>
                <w:lang w:val="en-US"/>
              </w:rPr>
            </w:pPr>
          </w:p>
          <w:p w14:paraId="0853F7B2" w14:textId="45477039" w:rsidR="006F5ECC" w:rsidRDefault="006F5ECC" w:rsidP="00020B14">
            <w:pPr>
              <w:tabs>
                <w:tab w:val="left" w:pos="0"/>
                <w:tab w:val="left" w:pos="4536"/>
              </w:tabs>
              <w:rPr>
                <w:rFonts w:ascii="Verdana" w:hAnsi="Verdana"/>
                <w:color w:val="7F7F7F" w:themeColor="text1" w:themeTint="80"/>
                <w:lang w:val="en-US"/>
              </w:rPr>
            </w:pPr>
          </w:p>
          <w:p w14:paraId="60A9058F" w14:textId="6F325560" w:rsidR="006F5ECC" w:rsidRDefault="006F5ECC" w:rsidP="00020B14">
            <w:pPr>
              <w:tabs>
                <w:tab w:val="left" w:pos="0"/>
                <w:tab w:val="left" w:pos="4536"/>
              </w:tabs>
              <w:rPr>
                <w:rFonts w:ascii="Verdana" w:hAnsi="Verdana"/>
                <w:color w:val="7F7F7F" w:themeColor="text1" w:themeTint="80"/>
                <w:lang w:val="en-US"/>
              </w:rPr>
            </w:pPr>
          </w:p>
          <w:p w14:paraId="0150519B" w14:textId="25566373" w:rsidR="006F5ECC" w:rsidRDefault="006F5ECC" w:rsidP="00020B14">
            <w:pPr>
              <w:tabs>
                <w:tab w:val="left" w:pos="0"/>
                <w:tab w:val="left" w:pos="4536"/>
              </w:tabs>
              <w:rPr>
                <w:rFonts w:ascii="Verdana" w:hAnsi="Verdana"/>
                <w:color w:val="7F7F7F" w:themeColor="text1" w:themeTint="80"/>
                <w:lang w:val="en-US"/>
              </w:rPr>
            </w:pPr>
          </w:p>
          <w:p w14:paraId="061B2E70" w14:textId="77777777" w:rsidR="006F5ECC" w:rsidRDefault="006F5ECC" w:rsidP="00020B14">
            <w:pPr>
              <w:tabs>
                <w:tab w:val="left" w:pos="0"/>
                <w:tab w:val="left" w:pos="4536"/>
              </w:tabs>
              <w:rPr>
                <w:rFonts w:ascii="Verdana" w:hAnsi="Verdana"/>
                <w:color w:val="7F7F7F" w:themeColor="text1" w:themeTint="80"/>
                <w:lang w:val="en-US"/>
              </w:rPr>
            </w:pPr>
            <w:r>
              <w:rPr>
                <w:rFonts w:ascii="Verdana" w:hAnsi="Verdana"/>
                <w:noProof/>
                <w:color w:val="7F7F7F" w:themeColor="text1" w:themeTint="80"/>
                <w:lang w:val="en-GB" w:eastAsia="en-GB"/>
              </w:rPr>
              <w:drawing>
                <wp:inline distT="0" distB="0" distL="0" distR="0" wp14:anchorId="038CA649" wp14:editId="45D4034E">
                  <wp:extent cx="3610137" cy="2631705"/>
                  <wp:effectExtent l="0" t="0" r="0" b="0"/>
                  <wp:docPr id="12"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14258" cy="2634709"/>
                          </a:xfrm>
                          <a:prstGeom prst="rect">
                            <a:avLst/>
                          </a:prstGeom>
                          <a:noFill/>
                        </pic:spPr>
                      </pic:pic>
                    </a:graphicData>
                  </a:graphic>
                </wp:inline>
              </w:drawing>
            </w:r>
          </w:p>
          <w:p w14:paraId="5BD13289" w14:textId="625D56EC" w:rsidR="006F5ECC" w:rsidRPr="001F79AA" w:rsidRDefault="006F5ECC" w:rsidP="00020B14">
            <w:pPr>
              <w:tabs>
                <w:tab w:val="left" w:pos="0"/>
                <w:tab w:val="left" w:pos="4536"/>
              </w:tabs>
              <w:rPr>
                <w:rFonts w:ascii="Verdana" w:hAnsi="Verdana"/>
                <w:color w:val="7F7F7F" w:themeColor="text1" w:themeTint="80"/>
                <w:sz w:val="22"/>
                <w:szCs w:val="22"/>
                <w:lang w:val="en-US"/>
              </w:rPr>
            </w:pPr>
            <w:r w:rsidRPr="001F79AA">
              <w:rPr>
                <w:rFonts w:ascii="Verdana" w:hAnsi="Verdana"/>
                <w:color w:val="7F7F7F" w:themeColor="text1" w:themeTint="80"/>
                <w:sz w:val="22"/>
                <w:szCs w:val="22"/>
                <w:lang w:val="en-US"/>
              </w:rPr>
              <w:t xml:space="preserve">From here one can find that the interest rate down risk is on the minimum level nearly in all the maturity points (as alpha is zero or almost zero). The parameters (below) is set so that the r_low increase to zero and the r_normal starts from a 150bps 1Y level and then follow a term structure that could for instance be estimated from the history (by using nelson-siegel-mode etc.). </w:t>
            </w:r>
          </w:p>
          <w:p w14:paraId="4799A140" w14:textId="1C20C538" w:rsidR="006F5ECC" w:rsidRDefault="006F5ECC" w:rsidP="00020B14">
            <w:pPr>
              <w:tabs>
                <w:tab w:val="left" w:pos="0"/>
                <w:tab w:val="left" w:pos="4536"/>
              </w:tabs>
              <w:rPr>
                <w:rFonts w:ascii="Verdana" w:hAnsi="Verdana"/>
                <w:color w:val="7F7F7F" w:themeColor="text1" w:themeTint="80"/>
                <w:lang w:val="en-US"/>
              </w:rPr>
            </w:pPr>
          </w:p>
          <w:p w14:paraId="303AB58F" w14:textId="5753FBF9" w:rsidR="003720A2" w:rsidRDefault="003720A2" w:rsidP="00020B14">
            <w:pPr>
              <w:tabs>
                <w:tab w:val="left" w:pos="0"/>
                <w:tab w:val="left" w:pos="4536"/>
              </w:tabs>
              <w:rPr>
                <w:rFonts w:ascii="Verdana" w:hAnsi="Verdana"/>
                <w:color w:val="7F7F7F" w:themeColor="text1" w:themeTint="80"/>
                <w:lang w:val="en-US"/>
              </w:rPr>
            </w:pPr>
          </w:p>
          <w:p w14:paraId="4BF6752B" w14:textId="77777777" w:rsidR="003720A2" w:rsidRDefault="003720A2" w:rsidP="00020B14">
            <w:pPr>
              <w:tabs>
                <w:tab w:val="left" w:pos="0"/>
                <w:tab w:val="left" w:pos="4536"/>
              </w:tabs>
              <w:rPr>
                <w:rFonts w:ascii="Verdana" w:hAnsi="Verdana"/>
                <w:color w:val="7F7F7F" w:themeColor="text1" w:themeTint="80"/>
                <w:lang w:val="en-US"/>
              </w:rPr>
            </w:pPr>
          </w:p>
          <w:p w14:paraId="0E0C2361" w14:textId="77777777" w:rsidR="006F5ECC" w:rsidRDefault="006F5ECC" w:rsidP="00020B14">
            <w:pPr>
              <w:tabs>
                <w:tab w:val="left" w:pos="0"/>
                <w:tab w:val="left" w:pos="4536"/>
              </w:tabs>
              <w:rPr>
                <w:rFonts w:ascii="Verdana" w:hAnsi="Verdana"/>
                <w:color w:val="7F7F7F" w:themeColor="text1" w:themeTint="80"/>
                <w:lang w:val="en-US"/>
              </w:rPr>
            </w:pPr>
            <w:r>
              <w:rPr>
                <w:rFonts w:ascii="Verdana" w:hAnsi="Verdana"/>
                <w:noProof/>
                <w:color w:val="7F7F7F" w:themeColor="text1" w:themeTint="80"/>
                <w:lang w:val="en-GB" w:eastAsia="en-GB"/>
              </w:rPr>
              <w:drawing>
                <wp:inline distT="0" distB="0" distL="0" distR="0" wp14:anchorId="598212D7" wp14:editId="180040A0">
                  <wp:extent cx="3143250" cy="1889433"/>
                  <wp:effectExtent l="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64145" cy="1901993"/>
                          </a:xfrm>
                          <a:prstGeom prst="rect">
                            <a:avLst/>
                          </a:prstGeom>
                          <a:noFill/>
                        </pic:spPr>
                      </pic:pic>
                    </a:graphicData>
                  </a:graphic>
                </wp:inline>
              </w:drawing>
            </w:r>
          </w:p>
          <w:p w14:paraId="02B5F644" w14:textId="77777777" w:rsidR="006F5ECC" w:rsidRDefault="006F5ECC" w:rsidP="00020B14">
            <w:pPr>
              <w:tabs>
                <w:tab w:val="left" w:pos="0"/>
                <w:tab w:val="left" w:pos="4536"/>
              </w:tabs>
              <w:rPr>
                <w:rFonts w:ascii="Verdana" w:hAnsi="Verdana"/>
                <w:color w:val="7F7F7F" w:themeColor="text1" w:themeTint="80"/>
                <w:lang w:val="en-US"/>
              </w:rPr>
            </w:pPr>
          </w:p>
          <w:p w14:paraId="19B540C2" w14:textId="77777777" w:rsidR="006F5ECC" w:rsidRPr="001F79AA" w:rsidRDefault="006F5ECC" w:rsidP="00020B14">
            <w:pPr>
              <w:tabs>
                <w:tab w:val="left" w:pos="0"/>
                <w:tab w:val="left" w:pos="4536"/>
              </w:tabs>
              <w:rPr>
                <w:rFonts w:ascii="Verdana" w:hAnsi="Verdana"/>
                <w:color w:val="7F7F7F" w:themeColor="text1" w:themeTint="80"/>
                <w:sz w:val="22"/>
                <w:szCs w:val="22"/>
                <w:lang w:val="en-US"/>
              </w:rPr>
            </w:pPr>
            <w:r w:rsidRPr="001F79AA">
              <w:rPr>
                <w:rFonts w:ascii="Verdana" w:hAnsi="Verdana"/>
                <w:color w:val="7F7F7F" w:themeColor="text1" w:themeTint="80"/>
                <w:sz w:val="22"/>
                <w:szCs w:val="22"/>
                <w:lang w:val="en-US"/>
              </w:rPr>
              <w:t xml:space="preserve">If making the same calibration for 31.12.2018 Euro-swap’s the we find that also then the interest rate down risk was close to r_low in the very start of the curve but converges towards the EIOPA parametrization quite fastly. </w:t>
            </w:r>
          </w:p>
          <w:p w14:paraId="7072C17F" w14:textId="5250E0AA" w:rsidR="006F5ECC" w:rsidRDefault="006F5ECC" w:rsidP="00020B14">
            <w:pPr>
              <w:tabs>
                <w:tab w:val="left" w:pos="0"/>
                <w:tab w:val="left" w:pos="4536"/>
              </w:tabs>
              <w:rPr>
                <w:rFonts w:ascii="Verdana" w:hAnsi="Verdana"/>
                <w:color w:val="7F7F7F" w:themeColor="text1" w:themeTint="80"/>
                <w:lang w:val="en-US"/>
              </w:rPr>
            </w:pPr>
          </w:p>
          <w:p w14:paraId="4E7FB977" w14:textId="77777777" w:rsidR="006F5ECC" w:rsidRDefault="006F5ECC" w:rsidP="00020B14">
            <w:pPr>
              <w:tabs>
                <w:tab w:val="left" w:pos="0"/>
                <w:tab w:val="left" w:pos="4536"/>
              </w:tabs>
              <w:rPr>
                <w:rFonts w:ascii="Verdana" w:hAnsi="Verdana"/>
                <w:color w:val="7F7F7F" w:themeColor="text1" w:themeTint="80"/>
                <w:lang w:val="en-US"/>
              </w:rPr>
            </w:pPr>
            <w:r>
              <w:rPr>
                <w:rFonts w:ascii="Verdana" w:hAnsi="Verdana"/>
                <w:noProof/>
                <w:color w:val="7F7F7F" w:themeColor="text1" w:themeTint="80"/>
                <w:lang w:val="en-GB" w:eastAsia="en-GB"/>
              </w:rPr>
              <w:lastRenderedPageBreak/>
              <w:drawing>
                <wp:inline distT="0" distB="0" distL="0" distR="0" wp14:anchorId="4A899B07" wp14:editId="1C0D3BAE">
                  <wp:extent cx="3647581" cy="2659001"/>
                  <wp:effectExtent l="0" t="0" r="0" b="8255"/>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52981" cy="2662937"/>
                          </a:xfrm>
                          <a:prstGeom prst="rect">
                            <a:avLst/>
                          </a:prstGeom>
                          <a:noFill/>
                        </pic:spPr>
                      </pic:pic>
                    </a:graphicData>
                  </a:graphic>
                </wp:inline>
              </w:drawing>
            </w:r>
          </w:p>
          <w:p w14:paraId="14FAE0C7" w14:textId="77777777" w:rsidR="006F5ECC" w:rsidRDefault="006F5ECC" w:rsidP="00020B14">
            <w:pPr>
              <w:tabs>
                <w:tab w:val="left" w:pos="0"/>
                <w:tab w:val="left" w:pos="4536"/>
              </w:tabs>
              <w:rPr>
                <w:rFonts w:ascii="Verdana" w:hAnsi="Verdana"/>
                <w:color w:val="7F7F7F" w:themeColor="text1" w:themeTint="80"/>
                <w:lang w:val="en-US"/>
              </w:rPr>
            </w:pPr>
          </w:p>
          <w:p w14:paraId="778DDDE6" w14:textId="77777777" w:rsidR="006F5ECC" w:rsidRDefault="006F5ECC" w:rsidP="00020B14">
            <w:pPr>
              <w:tabs>
                <w:tab w:val="left" w:pos="0"/>
                <w:tab w:val="left" w:pos="4536"/>
              </w:tabs>
              <w:rPr>
                <w:rFonts w:ascii="Verdana" w:hAnsi="Verdana"/>
                <w:color w:val="7F7F7F" w:themeColor="text1" w:themeTint="80"/>
                <w:lang w:val="en-US"/>
              </w:rPr>
            </w:pPr>
            <w:r>
              <w:rPr>
                <w:rFonts w:ascii="Verdana" w:hAnsi="Verdana"/>
                <w:noProof/>
                <w:color w:val="7F7F7F" w:themeColor="text1" w:themeTint="80"/>
                <w:lang w:val="en-GB" w:eastAsia="en-GB"/>
              </w:rPr>
              <w:drawing>
                <wp:inline distT="0" distB="0" distL="0" distR="0" wp14:anchorId="42B74E6A" wp14:editId="744F2E59">
                  <wp:extent cx="2905125" cy="1748717"/>
                  <wp:effectExtent l="0" t="0" r="0" b="4445"/>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19473" cy="1757354"/>
                          </a:xfrm>
                          <a:prstGeom prst="rect">
                            <a:avLst/>
                          </a:prstGeom>
                          <a:noFill/>
                        </pic:spPr>
                      </pic:pic>
                    </a:graphicData>
                  </a:graphic>
                </wp:inline>
              </w:drawing>
            </w:r>
          </w:p>
          <w:p w14:paraId="1886B5D2" w14:textId="77777777" w:rsidR="006F5ECC" w:rsidRDefault="006F5ECC" w:rsidP="00020B14">
            <w:pPr>
              <w:tabs>
                <w:tab w:val="left" w:pos="0"/>
                <w:tab w:val="left" w:pos="4536"/>
              </w:tabs>
              <w:rPr>
                <w:rFonts w:ascii="Verdana" w:hAnsi="Verdana"/>
                <w:color w:val="7F7F7F" w:themeColor="text1" w:themeTint="80"/>
                <w:lang w:val="en-US"/>
              </w:rPr>
            </w:pPr>
          </w:p>
          <w:p w14:paraId="73B075BE" w14:textId="12E73D79" w:rsidR="006F5ECC" w:rsidRPr="001F79AA" w:rsidRDefault="006F5ECC" w:rsidP="00020B14">
            <w:pPr>
              <w:tabs>
                <w:tab w:val="left" w:pos="0"/>
                <w:tab w:val="left" w:pos="4536"/>
              </w:tabs>
              <w:rPr>
                <w:rFonts w:ascii="Verdana" w:hAnsi="Verdana"/>
                <w:color w:val="7F7F7F" w:themeColor="text1" w:themeTint="80"/>
                <w:sz w:val="22"/>
                <w:szCs w:val="22"/>
                <w:lang w:val="en-US"/>
              </w:rPr>
            </w:pPr>
            <w:r w:rsidRPr="001F79AA">
              <w:rPr>
                <w:rFonts w:ascii="Verdana" w:hAnsi="Verdana"/>
                <w:color w:val="7F7F7F" w:themeColor="text1" w:themeTint="80"/>
                <w:sz w:val="22"/>
                <w:szCs w:val="22"/>
                <w:lang w:val="en-US"/>
              </w:rPr>
              <w:lastRenderedPageBreak/>
              <w:t xml:space="preserve">This alternative model seems to keep interest rate down risk in the level where the qualitative parameter has been set when rates are low but requires additional parameters. The biggest need obviously would be the </w:t>
            </w:r>
            <w:r w:rsidRPr="001F79AA">
              <w:rPr>
                <w:rFonts w:ascii="Verdana" w:hAnsi="Verdana" w:cstheme="minorHAnsi"/>
                <w:color w:val="7F7F7F" w:themeColor="text1" w:themeTint="80"/>
                <w:sz w:val="22"/>
                <w:szCs w:val="22"/>
                <w:lang w:val="en-US"/>
              </w:rPr>
              <w:t>alpha-parameter which is a function of the reporting day Euro-swap curve. Anyway, Solvency II framework already has similar parameters affecting on the SCR, take Equity risk counter-cyclical premium for instance. Simplifications could be done but the main idea, that interest rate down</w:t>
            </w:r>
            <w:r w:rsidRPr="001F79AA">
              <w:rPr>
                <w:rFonts w:ascii="Verdana" w:hAnsi="Verdana"/>
                <w:color w:val="7F7F7F" w:themeColor="text1" w:themeTint="80"/>
                <w:sz w:val="22"/>
                <w:szCs w:val="22"/>
                <w:lang w:val="en-US"/>
              </w:rPr>
              <w:t xml:space="preserve"> risk when rates a historically low and data does not exist, seems to require a qualitative component and a balancing factor between the low and the normal levels of the rates.   </w:t>
            </w:r>
          </w:p>
          <w:p w14:paraId="747755A5" w14:textId="291CE2E1" w:rsidR="006F5ECC" w:rsidRPr="00416913" w:rsidRDefault="006F5ECC" w:rsidP="00020B14">
            <w:pPr>
              <w:tabs>
                <w:tab w:val="left" w:pos="0"/>
                <w:tab w:val="left" w:pos="4536"/>
              </w:tabs>
              <w:rPr>
                <w:rFonts w:ascii="Verdana" w:hAnsi="Verdana"/>
                <w:color w:val="7F7F7F" w:themeColor="text1" w:themeTint="80"/>
                <w:lang w:val="en-US"/>
              </w:rPr>
            </w:pPr>
          </w:p>
        </w:tc>
        <w:tc>
          <w:tcPr>
            <w:tcW w:w="483" w:type="pct"/>
            <w:tcBorders>
              <w:top w:val="single" w:sz="4" w:space="0" w:color="auto"/>
              <w:left w:val="single" w:sz="4" w:space="0" w:color="auto"/>
              <w:bottom w:val="single" w:sz="4" w:space="0" w:color="auto"/>
              <w:right w:val="single" w:sz="4" w:space="0" w:color="auto"/>
            </w:tcBorders>
          </w:tcPr>
          <w:p w14:paraId="211D9D3E" w14:textId="77777777" w:rsidR="006F5ECC" w:rsidRPr="00E107F2" w:rsidRDefault="006F5ECC" w:rsidP="00020B14">
            <w:pPr>
              <w:tabs>
                <w:tab w:val="left" w:pos="0"/>
                <w:tab w:val="left" w:pos="4536"/>
              </w:tabs>
              <w:spacing w:line="276" w:lineRule="auto"/>
              <w:ind w:left="-96"/>
              <w:rPr>
                <w:rFonts w:ascii="Verdana" w:hAnsi="Verdana"/>
                <w:color w:val="7F7F7F" w:themeColor="text1" w:themeTint="80"/>
                <w:sz w:val="22"/>
                <w:szCs w:val="22"/>
                <w:lang w:val="en-GB" w:eastAsia="fr-FR"/>
              </w:rPr>
            </w:pPr>
          </w:p>
        </w:tc>
      </w:tr>
      <w:bookmarkEnd w:id="17"/>
      <w:tr w:rsidR="00FC5744" w:rsidRPr="001360A5" w14:paraId="1429D415" w14:textId="2083203D"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DE34F7F" w14:textId="42B0B7D7" w:rsidR="006F5ECC" w:rsidRPr="00FE3045" w:rsidRDefault="006F5ECC" w:rsidP="00020B14">
            <w:pPr>
              <w:tabs>
                <w:tab w:val="left" w:pos="0"/>
                <w:tab w:val="left" w:pos="4536"/>
              </w:tabs>
              <w:ind w:left="-96"/>
              <w:rPr>
                <w:rFonts w:ascii="Verdana" w:hAnsi="Verdana"/>
                <w:bCs/>
                <w:color w:val="000000"/>
                <w:sz w:val="22"/>
                <w:szCs w:val="22"/>
                <w:lang w:val="en-GB"/>
              </w:rPr>
            </w:pPr>
            <w:r w:rsidRPr="00823BC5">
              <w:rPr>
                <w:rFonts w:ascii="Verdana" w:hAnsi="Verdana"/>
                <w:bCs/>
                <w:color w:val="7F7F7F" w:themeColor="text1" w:themeTint="80"/>
                <w:sz w:val="22"/>
                <w:szCs w:val="22"/>
                <w:lang w:val="en-GB"/>
              </w:rPr>
              <w:lastRenderedPageBreak/>
              <w:t>5</w:t>
            </w:r>
          </w:p>
        </w:tc>
        <w:tc>
          <w:tcPr>
            <w:tcW w:w="506" w:type="pct"/>
            <w:gridSpan w:val="2"/>
            <w:tcBorders>
              <w:top w:val="single" w:sz="4" w:space="0" w:color="auto"/>
              <w:left w:val="single" w:sz="4" w:space="0" w:color="auto"/>
              <w:bottom w:val="single" w:sz="4" w:space="0" w:color="auto"/>
              <w:right w:val="single" w:sz="4" w:space="0" w:color="auto"/>
            </w:tcBorders>
          </w:tcPr>
          <w:p w14:paraId="546D94D3" w14:textId="06810225" w:rsidR="006F5ECC" w:rsidRPr="00C24334" w:rsidRDefault="006F5ECC" w:rsidP="00020B14">
            <w:pPr>
              <w:tabs>
                <w:tab w:val="left" w:pos="0"/>
                <w:tab w:val="left" w:pos="4536"/>
              </w:tabs>
              <w:ind w:left="-96"/>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34</w:t>
            </w:r>
          </w:p>
        </w:tc>
        <w:tc>
          <w:tcPr>
            <w:tcW w:w="1999" w:type="pct"/>
            <w:tcBorders>
              <w:top w:val="single" w:sz="4" w:space="0" w:color="auto"/>
              <w:left w:val="single" w:sz="4" w:space="0" w:color="auto"/>
              <w:bottom w:val="single" w:sz="4" w:space="0" w:color="auto"/>
              <w:right w:val="single" w:sz="4" w:space="0" w:color="auto"/>
            </w:tcBorders>
            <w:vAlign w:val="bottom"/>
          </w:tcPr>
          <w:p w14:paraId="41C0E41A" w14:textId="6D738E38" w:rsidR="006F5ECC" w:rsidRPr="00C24334" w:rsidRDefault="006F5ECC" w:rsidP="00020B14">
            <w:pPr>
              <w:tabs>
                <w:tab w:val="left" w:pos="0"/>
                <w:tab w:val="left" w:pos="4536"/>
              </w:tabs>
              <w:rPr>
                <w:rFonts w:ascii="Verdana" w:hAnsi="Verdana"/>
                <w:b/>
                <w:bCs/>
                <w:color w:val="7F7F7F" w:themeColor="text1" w:themeTint="80"/>
                <w:sz w:val="22"/>
                <w:szCs w:val="22"/>
                <w:u w:val="single"/>
                <w:lang w:val="en-US"/>
              </w:rPr>
            </w:pPr>
            <w:r w:rsidRPr="00C24334">
              <w:rPr>
                <w:rFonts w:ascii="Verdana" w:hAnsi="Verdana"/>
                <w:b/>
                <w:bCs/>
                <w:color w:val="7F7F7F" w:themeColor="text1" w:themeTint="80"/>
                <w:sz w:val="22"/>
                <w:szCs w:val="22"/>
                <w:u w:val="single"/>
                <w:lang w:val="en-US"/>
              </w:rPr>
              <w:t>EIOPA’s Advice</w:t>
            </w:r>
            <w:r>
              <w:rPr>
                <w:rFonts w:ascii="Verdana" w:hAnsi="Verdana"/>
                <w:b/>
                <w:bCs/>
                <w:color w:val="7F7F7F" w:themeColor="text1" w:themeTint="80"/>
                <w:sz w:val="22"/>
                <w:szCs w:val="22"/>
                <w:u w:val="single"/>
                <w:lang w:val="en-US"/>
              </w:rPr>
              <w:t xml:space="preserve">: </w:t>
            </w:r>
            <w:r w:rsidRPr="00C24334">
              <w:rPr>
                <w:rFonts w:ascii="Verdana" w:hAnsi="Verdana"/>
                <w:b/>
                <w:bCs/>
                <w:color w:val="7F7F7F" w:themeColor="text1" w:themeTint="80"/>
                <w:sz w:val="22"/>
                <w:szCs w:val="22"/>
                <w:u w:val="single"/>
                <w:lang w:val="en-US"/>
              </w:rPr>
              <w:t>Shock on the extrapolated part</w:t>
            </w:r>
          </w:p>
          <w:p w14:paraId="7E82DDA9" w14:textId="60279C1E" w:rsidR="006F5ECC" w:rsidRPr="00C24334" w:rsidRDefault="006F5ECC" w:rsidP="00020B14">
            <w:pPr>
              <w:tabs>
                <w:tab w:val="left" w:pos="0"/>
                <w:tab w:val="left" w:pos="4536"/>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Regardless of the method, the stress should be applied to the market rates used as input to the calculation of the RFR, and not to the calculated interest rates of the RFR. AMICE, in line with the views expressed by EIOPA´s IRSG during the 2018 review, believes that the long-term forward rate (UFR) in the discount rate curve should not be stressed. But if this is necessary, then the method applied for assessing the level of UFR using the prevailing extrapolation methodology should be adopted, as explained below.</w:t>
            </w:r>
          </w:p>
          <w:p w14:paraId="7D7E9CD1" w14:textId="77777777" w:rsidR="006F5ECC" w:rsidRPr="00C24334" w:rsidRDefault="006F5ECC" w:rsidP="00020B14">
            <w:pPr>
              <w:tabs>
                <w:tab w:val="left" w:pos="0"/>
                <w:tab w:val="left" w:pos="4536"/>
              </w:tabs>
              <w:rPr>
                <w:rFonts w:ascii="Verdana" w:hAnsi="Verdana"/>
                <w:color w:val="7F7F7F" w:themeColor="text1" w:themeTint="80"/>
                <w:sz w:val="22"/>
                <w:szCs w:val="22"/>
                <w:lang w:val="en-US"/>
              </w:rPr>
            </w:pPr>
          </w:p>
          <w:p w14:paraId="7D530B03" w14:textId="68F8EC30" w:rsidR="006F5ECC" w:rsidRPr="00C24334" w:rsidRDefault="006F5ECC" w:rsidP="00020B14">
            <w:pPr>
              <w:tabs>
                <w:tab w:val="left" w:pos="0"/>
                <w:tab w:val="left" w:pos="4536"/>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 xml:space="preserve">The method for the calculation of the interest rate risk should be consistent with the method for determining the RFR. The purpose of the UFR is to give stability to the valuation of liabilities and reduce procyclicality in the absence of reliable data and liquid markets. An actual rise or fall in market interest rates will change the market value of assets and the value of liabilities as new market interest rates feed into the calculation method for the RFR. The calculation of the capital requirement interest rate risk should be calculated accordingly. </w:t>
            </w:r>
          </w:p>
          <w:p w14:paraId="3C48E584" w14:textId="77777777" w:rsidR="006F5ECC" w:rsidRDefault="006F5ECC" w:rsidP="00020B14">
            <w:pPr>
              <w:tabs>
                <w:tab w:val="left" w:pos="0"/>
                <w:tab w:val="left" w:pos="4536"/>
              </w:tabs>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lastRenderedPageBreak/>
              <w:t>Under such a method, the impact of the stress on the illiquid part of the curve should instead be derived using the prevailing extrapolation methodology. Using this methodology, the annual change of the UFR is restricted to just three possibilities: +15 bp, +/−0 bp or −15 bp and a further advantage is that the direction of a possible UFR change is also known in advance.</w:t>
            </w:r>
          </w:p>
          <w:p w14:paraId="0AF34CC1" w14:textId="3433A4E0" w:rsidR="003720A2" w:rsidRPr="00C24334" w:rsidRDefault="003720A2" w:rsidP="00020B14">
            <w:pPr>
              <w:tabs>
                <w:tab w:val="left" w:pos="0"/>
                <w:tab w:val="left" w:pos="4536"/>
              </w:tabs>
              <w:rPr>
                <w:rFonts w:ascii="Verdana" w:hAnsi="Verdana"/>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32D44362" w14:textId="77777777" w:rsidR="006F5ECC" w:rsidRPr="00FE3045" w:rsidRDefault="006F5ECC" w:rsidP="00020B14">
            <w:pPr>
              <w:tabs>
                <w:tab w:val="left" w:pos="0"/>
                <w:tab w:val="left" w:pos="4536"/>
              </w:tabs>
              <w:ind w:left="-96"/>
              <w:rPr>
                <w:color w:val="000000"/>
                <w:sz w:val="22"/>
                <w:szCs w:val="22"/>
                <w:lang w:val="en-GB" w:eastAsia="fr-FR"/>
              </w:rPr>
            </w:pPr>
          </w:p>
        </w:tc>
        <w:tc>
          <w:tcPr>
            <w:tcW w:w="642" w:type="pct"/>
            <w:gridSpan w:val="4"/>
          </w:tcPr>
          <w:p w14:paraId="61788D5D" w14:textId="77777777" w:rsidR="006F5ECC" w:rsidRPr="00CF2245" w:rsidRDefault="006F5ECC" w:rsidP="00020B14">
            <w:pPr>
              <w:tabs>
                <w:tab w:val="left" w:pos="0"/>
                <w:tab w:val="left" w:pos="4536"/>
              </w:tabs>
              <w:ind w:left="-96"/>
              <w:rPr>
                <w:lang w:val="en-US"/>
              </w:rPr>
            </w:pPr>
          </w:p>
        </w:tc>
        <w:tc>
          <w:tcPr>
            <w:tcW w:w="791" w:type="pct"/>
            <w:gridSpan w:val="2"/>
          </w:tcPr>
          <w:p w14:paraId="68D41461" w14:textId="77777777" w:rsidR="006F5ECC" w:rsidRPr="00CF2245" w:rsidRDefault="006F5ECC" w:rsidP="00020B14">
            <w:pPr>
              <w:tabs>
                <w:tab w:val="left" w:pos="0"/>
                <w:tab w:val="left" w:pos="4536"/>
              </w:tabs>
              <w:ind w:left="-96"/>
              <w:rPr>
                <w:lang w:val="en-US"/>
              </w:rPr>
            </w:pPr>
          </w:p>
        </w:tc>
      </w:tr>
      <w:tr w:rsidR="006F5ECC" w:rsidRPr="002B6246" w14:paraId="7111EAC1"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1C367ACE" w14:textId="69D669D8" w:rsidR="006F5ECC" w:rsidRPr="00395661" w:rsidRDefault="006F5ECC" w:rsidP="00020B14">
            <w:pPr>
              <w:tabs>
                <w:tab w:val="left" w:pos="0"/>
                <w:tab w:val="left" w:pos="4536"/>
              </w:tabs>
              <w:rPr>
                <w:rFonts w:ascii="Verdana" w:hAnsi="Verdana"/>
                <w:b/>
                <w:bCs/>
                <w:color w:val="7F7F7F" w:themeColor="text1" w:themeTint="80"/>
                <w:sz w:val="22"/>
                <w:szCs w:val="22"/>
                <w:lang w:val="en-GB" w:eastAsia="fr-FR"/>
              </w:rPr>
            </w:pPr>
            <w:r w:rsidRPr="00395661">
              <w:rPr>
                <w:rFonts w:ascii="Verdana" w:hAnsi="Verdana"/>
                <w:b/>
                <w:bCs/>
                <w:color w:val="7F7F7F" w:themeColor="text1" w:themeTint="80"/>
                <w:sz w:val="22"/>
                <w:szCs w:val="22"/>
                <w:lang w:val="en-GB" w:eastAsia="fr-FR"/>
              </w:rPr>
              <w:t>5.2 Spread Risk</w:t>
            </w:r>
          </w:p>
        </w:tc>
      </w:tr>
      <w:tr w:rsidR="00FC5744" w:rsidRPr="001360A5" w14:paraId="5C67BF96"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5557966" w14:textId="52E2C1D2" w:rsidR="006F5ECC" w:rsidRPr="00FE3045" w:rsidRDefault="006F5ECC" w:rsidP="00020B14">
            <w:pPr>
              <w:tabs>
                <w:tab w:val="left" w:pos="0"/>
                <w:tab w:val="left" w:pos="4536"/>
              </w:tabs>
              <w:ind w:left="-96"/>
              <w:rPr>
                <w:rFonts w:ascii="Verdana" w:hAnsi="Verdana"/>
                <w:bCs/>
                <w:color w:val="000000"/>
                <w:sz w:val="22"/>
                <w:szCs w:val="22"/>
                <w:lang w:val="en-GB"/>
              </w:rPr>
            </w:pPr>
            <w:r w:rsidRPr="001F7855">
              <w:rPr>
                <w:rFonts w:ascii="Verdana" w:hAnsi="Verdana"/>
                <w:bCs/>
                <w:color w:val="7F7F7F" w:themeColor="text1" w:themeTint="80"/>
                <w:sz w:val="22"/>
                <w:szCs w:val="22"/>
                <w:lang w:val="en-GB"/>
              </w:rPr>
              <w:t>5</w:t>
            </w:r>
          </w:p>
        </w:tc>
        <w:tc>
          <w:tcPr>
            <w:tcW w:w="506" w:type="pct"/>
            <w:gridSpan w:val="2"/>
            <w:tcBorders>
              <w:top w:val="single" w:sz="4" w:space="0" w:color="auto"/>
              <w:left w:val="single" w:sz="4" w:space="0" w:color="auto"/>
              <w:bottom w:val="single" w:sz="4" w:space="0" w:color="auto"/>
              <w:right w:val="single" w:sz="4" w:space="0" w:color="auto"/>
            </w:tcBorders>
          </w:tcPr>
          <w:p w14:paraId="4B1F2B4D" w14:textId="0B034979" w:rsidR="006F5ECC" w:rsidRPr="000A71B7"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73</w:t>
            </w:r>
          </w:p>
        </w:tc>
        <w:tc>
          <w:tcPr>
            <w:tcW w:w="1999" w:type="pct"/>
            <w:tcBorders>
              <w:top w:val="single" w:sz="4" w:space="0" w:color="auto"/>
              <w:left w:val="single" w:sz="4" w:space="0" w:color="auto"/>
              <w:bottom w:val="single" w:sz="4" w:space="0" w:color="auto"/>
              <w:right w:val="single" w:sz="4" w:space="0" w:color="auto"/>
            </w:tcBorders>
          </w:tcPr>
          <w:p w14:paraId="7F5FFD92" w14:textId="77777777" w:rsidR="006F5ECC" w:rsidRPr="00C24334" w:rsidRDefault="006F5ECC" w:rsidP="00020B14">
            <w:pPr>
              <w:tabs>
                <w:tab w:val="left" w:pos="0"/>
                <w:tab w:val="left" w:pos="4536"/>
              </w:tabs>
              <w:spacing w:after="120"/>
              <w:rPr>
                <w:rFonts w:ascii="Verdana" w:hAnsi="Verdana" w:cs="Helvetica"/>
                <w:color w:val="7F7F7F" w:themeColor="text1" w:themeTint="80"/>
                <w:sz w:val="22"/>
                <w:szCs w:val="22"/>
                <w:lang w:val="en-GB"/>
              </w:rPr>
            </w:pPr>
            <w:r w:rsidRPr="00C24334">
              <w:rPr>
                <w:rFonts w:ascii="Verdana" w:hAnsi="Verdana" w:cs="Helvetica"/>
                <w:color w:val="7F7F7F" w:themeColor="text1" w:themeTint="80"/>
                <w:sz w:val="22"/>
                <w:szCs w:val="22"/>
                <w:lang w:val="en-GB"/>
              </w:rPr>
              <w:t>We support the extension of the DVA to the standard formula (Option 4) to resolve the incorrect treatment of corporate bonds within Solvency II</w:t>
            </w:r>
          </w:p>
          <w:p w14:paraId="05CCFC5F" w14:textId="77777777" w:rsidR="006F5ECC" w:rsidRPr="00823BC5" w:rsidRDefault="006F5ECC" w:rsidP="00020B14">
            <w:pPr>
              <w:tabs>
                <w:tab w:val="left" w:pos="0"/>
                <w:tab w:val="left" w:pos="4536"/>
              </w:tabs>
              <w:rPr>
                <w:rFonts w:ascii="Verdana" w:hAnsi="Verdana"/>
                <w:color w:val="7F7F7F" w:themeColor="text1" w:themeTint="80"/>
                <w:sz w:val="22"/>
                <w:szCs w:val="22"/>
                <w:lang w:val="en-GB"/>
              </w:rPr>
            </w:pPr>
          </w:p>
        </w:tc>
        <w:tc>
          <w:tcPr>
            <w:tcW w:w="483" w:type="pct"/>
            <w:tcBorders>
              <w:top w:val="single" w:sz="4" w:space="0" w:color="auto"/>
              <w:left w:val="single" w:sz="4" w:space="0" w:color="auto"/>
              <w:bottom w:val="single" w:sz="4" w:space="0" w:color="auto"/>
              <w:right w:val="single" w:sz="4" w:space="0" w:color="auto"/>
            </w:tcBorders>
          </w:tcPr>
          <w:p w14:paraId="23FA825C"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2B6246" w14:paraId="45C7724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5767D79C" w14:textId="77777777" w:rsidR="006F5ECC" w:rsidRPr="00395661" w:rsidRDefault="006F5ECC" w:rsidP="00020B14">
            <w:pPr>
              <w:tabs>
                <w:tab w:val="left" w:pos="0"/>
                <w:tab w:val="left" w:pos="4536"/>
              </w:tabs>
              <w:rPr>
                <w:color w:val="7F7F7F" w:themeColor="text1" w:themeTint="80"/>
                <w:sz w:val="22"/>
                <w:szCs w:val="22"/>
                <w:lang w:val="en-US"/>
              </w:rPr>
            </w:pPr>
            <w:r w:rsidRPr="00395661">
              <w:rPr>
                <w:rFonts w:ascii="Verdana" w:eastAsia="Verdana" w:hAnsi="Verdana" w:cs="Verdana"/>
                <w:b/>
                <w:bCs/>
                <w:color w:val="7F7F7F" w:themeColor="text1" w:themeTint="80"/>
                <w:sz w:val="22"/>
                <w:szCs w:val="22"/>
                <w:lang w:val="en-US"/>
              </w:rPr>
              <w:t>5.3. Property risk</w:t>
            </w:r>
          </w:p>
        </w:tc>
      </w:tr>
      <w:tr w:rsidR="00FC5744" w:rsidRPr="001360A5" w14:paraId="5520AF6E"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F78229B" w14:textId="06DB1440" w:rsidR="006F5ECC" w:rsidRPr="006D4C7C" w:rsidRDefault="006F5ECC" w:rsidP="00020B14">
            <w:pPr>
              <w:tabs>
                <w:tab w:val="left" w:pos="0"/>
                <w:tab w:val="left" w:pos="4536"/>
              </w:tabs>
              <w:ind w:left="-96"/>
              <w:rPr>
                <w:rFonts w:ascii="Verdana" w:hAnsi="Verdana"/>
                <w:bCs/>
                <w:color w:val="000000"/>
                <w:sz w:val="22"/>
                <w:szCs w:val="22"/>
                <w:lang w:val="en-GB"/>
              </w:rPr>
            </w:pPr>
            <w:r w:rsidRPr="006D4C7C">
              <w:rPr>
                <w:rFonts w:ascii="Verdana" w:hAnsi="Verdana"/>
                <w:bCs/>
                <w:color w:val="7F7F7F" w:themeColor="text1" w:themeTint="80"/>
                <w:sz w:val="22"/>
                <w:szCs w:val="22"/>
                <w:lang w:val="en-GB"/>
              </w:rPr>
              <w:t>5</w:t>
            </w:r>
          </w:p>
        </w:tc>
        <w:tc>
          <w:tcPr>
            <w:tcW w:w="506" w:type="pct"/>
            <w:gridSpan w:val="2"/>
            <w:tcBorders>
              <w:top w:val="single" w:sz="4" w:space="0" w:color="auto"/>
              <w:left w:val="single" w:sz="4" w:space="0" w:color="auto"/>
              <w:bottom w:val="single" w:sz="4" w:space="0" w:color="auto"/>
              <w:right w:val="single" w:sz="4" w:space="0" w:color="auto"/>
            </w:tcBorders>
          </w:tcPr>
          <w:p w14:paraId="0ED43DBF" w14:textId="66F36C05" w:rsidR="006F5ECC" w:rsidRPr="000A71B7"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General comments</w:t>
            </w:r>
          </w:p>
        </w:tc>
        <w:tc>
          <w:tcPr>
            <w:tcW w:w="1999" w:type="pct"/>
            <w:tcBorders>
              <w:top w:val="single" w:sz="4" w:space="0" w:color="auto"/>
              <w:left w:val="single" w:sz="4" w:space="0" w:color="auto"/>
              <w:bottom w:val="single" w:sz="4" w:space="0" w:color="auto"/>
              <w:right w:val="single" w:sz="4" w:space="0" w:color="auto"/>
            </w:tcBorders>
          </w:tcPr>
          <w:p w14:paraId="5E20ADA6" w14:textId="1DA49B04" w:rsidR="006F5ECC" w:rsidRPr="00CF2245" w:rsidRDefault="006F5ECC" w:rsidP="00020B14">
            <w:pPr>
              <w:tabs>
                <w:tab w:val="left" w:pos="0"/>
                <w:tab w:val="left" w:pos="4536"/>
              </w:tabs>
              <w:jc w:val="both"/>
              <w:rPr>
                <w:rFonts w:ascii="Verdana" w:hAnsi="Verdana" w:cs="Helvetica"/>
                <w:color w:val="7F7F7F" w:themeColor="text1" w:themeTint="80"/>
                <w:sz w:val="22"/>
                <w:szCs w:val="22"/>
                <w:lang w:val="en-GB"/>
              </w:rPr>
            </w:pPr>
            <w:r w:rsidRPr="00CF2245">
              <w:rPr>
                <w:rFonts w:ascii="Verdana" w:hAnsi="Verdana" w:cs="Helvetica"/>
                <w:color w:val="7F7F7F" w:themeColor="text1" w:themeTint="80"/>
                <w:sz w:val="22"/>
                <w:szCs w:val="22"/>
                <w:lang w:val="en-GB"/>
              </w:rPr>
              <w:t xml:space="preserve">CEIOPS carried out a first study at the QIS 3 exercise based on data from several European countries. We observe that the volatility of the UK market is greater (16% standard deviation) than in other European countries (around 9% on average). When we weigh all these shocks by the weight of each in the study, we </w:t>
            </w:r>
            <w:r>
              <w:rPr>
                <w:rFonts w:ascii="Verdana" w:hAnsi="Verdana" w:cs="Helvetica"/>
                <w:color w:val="7F7F7F" w:themeColor="text1" w:themeTint="80"/>
                <w:sz w:val="22"/>
                <w:szCs w:val="22"/>
                <w:lang w:val="en-GB"/>
              </w:rPr>
              <w:t>obtain</w:t>
            </w:r>
            <w:r w:rsidRPr="00CF2245">
              <w:rPr>
                <w:rFonts w:ascii="Verdana" w:hAnsi="Verdana" w:cs="Helvetica"/>
                <w:color w:val="7F7F7F" w:themeColor="text1" w:themeTint="80"/>
                <w:sz w:val="22"/>
                <w:szCs w:val="22"/>
                <w:lang w:val="en-GB"/>
              </w:rPr>
              <w:t xml:space="preserve"> a shock around 22% (including the UK). CEIOPS had held a shock at 20%.</w:t>
            </w:r>
          </w:p>
          <w:p w14:paraId="2F923846" w14:textId="4EDBB208" w:rsidR="006F5ECC" w:rsidRPr="00CF2245" w:rsidRDefault="006F5ECC" w:rsidP="00020B14">
            <w:pPr>
              <w:tabs>
                <w:tab w:val="left" w:pos="0"/>
                <w:tab w:val="left" w:pos="4536"/>
              </w:tabs>
              <w:spacing w:before="57" w:line="288" w:lineRule="exact"/>
              <w:ind w:right="98"/>
              <w:rPr>
                <w:rFonts w:ascii="Verdana" w:hAnsi="Verdana" w:cs="Helvetica"/>
                <w:color w:val="7F7F7F" w:themeColor="text1" w:themeTint="80"/>
                <w:sz w:val="22"/>
                <w:szCs w:val="22"/>
                <w:lang w:val="en-GB"/>
              </w:rPr>
            </w:pPr>
            <w:r w:rsidRPr="00CF2245">
              <w:rPr>
                <w:rFonts w:ascii="Verdana" w:hAnsi="Verdana" w:cs="Helvetica"/>
                <w:color w:val="7F7F7F" w:themeColor="text1" w:themeTint="80"/>
                <w:sz w:val="22"/>
                <w:szCs w:val="22"/>
                <w:lang w:val="en-GB"/>
              </w:rPr>
              <w:t xml:space="preserve">Regarding to the qualitative analysis results, it seems important to recalculate the real estate shock without taking into account the data of the </w:t>
            </w:r>
            <w:r>
              <w:rPr>
                <w:rFonts w:ascii="Verdana" w:hAnsi="Verdana" w:cs="Helvetica"/>
                <w:color w:val="7F7F7F" w:themeColor="text1" w:themeTint="80"/>
                <w:sz w:val="22"/>
                <w:szCs w:val="22"/>
                <w:lang w:val="en-GB"/>
              </w:rPr>
              <w:t>British</w:t>
            </w:r>
            <w:r w:rsidRPr="00CF2245">
              <w:rPr>
                <w:rFonts w:ascii="Verdana" w:hAnsi="Verdana" w:cs="Helvetica"/>
                <w:color w:val="7F7F7F" w:themeColor="text1" w:themeTint="80"/>
                <w:sz w:val="22"/>
                <w:szCs w:val="22"/>
                <w:lang w:val="en-GB"/>
              </w:rPr>
              <w:t xml:space="preserve"> market and taking into account the disparities between the different European markets. With this in mind we carried out a quantitative study based on the results of QIS 3 in order to recalculate a shock outside the United Kingdom. It consists of resuming the observed averages and standard deviations and making an average using two methods:</w:t>
            </w:r>
          </w:p>
          <w:p w14:paraId="7C2C380F" w14:textId="77777777" w:rsidR="006F5ECC" w:rsidRPr="00CF2245" w:rsidRDefault="006F5ECC" w:rsidP="00020B14">
            <w:pPr>
              <w:pStyle w:val="ListParagraph"/>
              <w:numPr>
                <w:ilvl w:val="0"/>
                <w:numId w:val="22"/>
              </w:numPr>
              <w:tabs>
                <w:tab w:val="left" w:pos="0"/>
                <w:tab w:val="left" w:pos="4536"/>
              </w:tabs>
              <w:spacing w:before="57" w:after="200" w:line="288" w:lineRule="exact"/>
              <w:ind w:left="0" w:right="98" w:hanging="283"/>
              <w:contextualSpacing/>
              <w:jc w:val="both"/>
              <w:rPr>
                <w:rFonts w:ascii="Verdana" w:eastAsia="Times New Roman" w:hAnsi="Verdana" w:cs="Helvetica"/>
                <w:color w:val="7F7F7F" w:themeColor="text1" w:themeTint="80"/>
                <w:lang w:val="en-GB" w:eastAsia="fr-BE"/>
              </w:rPr>
            </w:pPr>
            <w:r w:rsidRPr="00CF2245">
              <w:rPr>
                <w:rFonts w:ascii="Verdana" w:eastAsia="Times New Roman" w:hAnsi="Verdana" w:cs="Helvetica"/>
                <w:color w:val="7F7F7F" w:themeColor="text1" w:themeTint="80"/>
                <w:lang w:val="en-GB" w:eastAsia="fr-BE"/>
              </w:rPr>
              <w:lastRenderedPageBreak/>
              <w:t>An average weighted by the weights of each country in the scope</w:t>
            </w:r>
          </w:p>
          <w:p w14:paraId="476F84FF" w14:textId="77777777" w:rsidR="006F5ECC" w:rsidRPr="00CF2245" w:rsidRDefault="006F5ECC" w:rsidP="00020B14">
            <w:pPr>
              <w:pStyle w:val="ListParagraph"/>
              <w:numPr>
                <w:ilvl w:val="0"/>
                <w:numId w:val="21"/>
              </w:numPr>
              <w:tabs>
                <w:tab w:val="left" w:pos="0"/>
                <w:tab w:val="left" w:pos="4536"/>
              </w:tabs>
              <w:spacing w:before="120" w:after="120" w:line="288" w:lineRule="exact"/>
              <w:ind w:left="0" w:right="96" w:hanging="289"/>
              <w:contextualSpacing/>
              <w:jc w:val="both"/>
              <w:rPr>
                <w:rFonts w:ascii="Verdana" w:eastAsia="Times New Roman" w:hAnsi="Verdana" w:cs="Helvetica"/>
                <w:color w:val="7F7F7F" w:themeColor="text1" w:themeTint="80"/>
                <w:lang w:val="en-GB" w:eastAsia="fr-BE"/>
              </w:rPr>
            </w:pPr>
            <w:r w:rsidRPr="00CF2245">
              <w:rPr>
                <w:rFonts w:ascii="Verdana" w:eastAsia="Times New Roman" w:hAnsi="Verdana" w:cs="Helvetica"/>
                <w:color w:val="7F7F7F" w:themeColor="text1" w:themeTint="80"/>
                <w:lang w:val="en-GB" w:eastAsia="fr-BE"/>
              </w:rPr>
              <w:t>A simple average</w:t>
            </w:r>
          </w:p>
          <w:p w14:paraId="1C4DF3B2" w14:textId="5D5DA76D" w:rsidR="006F5ECC" w:rsidRPr="00CF2245" w:rsidRDefault="006F5ECC" w:rsidP="00020B14">
            <w:pPr>
              <w:tabs>
                <w:tab w:val="left" w:pos="0"/>
                <w:tab w:val="left" w:pos="4536"/>
              </w:tabs>
              <w:spacing w:after="120" w:line="288" w:lineRule="exact"/>
              <w:ind w:right="96"/>
              <w:rPr>
                <w:rFonts w:ascii="Verdana" w:hAnsi="Verdana" w:cs="Helvetica"/>
                <w:color w:val="7F7F7F" w:themeColor="text1" w:themeTint="80"/>
                <w:sz w:val="22"/>
                <w:szCs w:val="22"/>
                <w:lang w:val="en-GB"/>
              </w:rPr>
            </w:pPr>
            <w:r w:rsidRPr="00CF2245">
              <w:rPr>
                <w:rFonts w:ascii="Verdana" w:hAnsi="Verdana" w:cs="Helvetica"/>
                <w:color w:val="7F7F7F" w:themeColor="text1" w:themeTint="80"/>
                <w:sz w:val="22"/>
                <w:szCs w:val="22"/>
                <w:lang w:val="en-GB"/>
              </w:rPr>
              <w:t xml:space="preserve">Then we recalculate the corresponding shock, as the standard formula provides, at 99.5% based on the standard deviation and the average obtained. Our analysis thus leads to a calibration of the shock between 15% and 16%. </w:t>
            </w:r>
          </w:p>
          <w:p w14:paraId="0D07A8A4" w14:textId="0885EE0F" w:rsidR="006F5ECC" w:rsidRPr="00CF2245" w:rsidRDefault="006F5ECC" w:rsidP="00020B14">
            <w:pPr>
              <w:tabs>
                <w:tab w:val="left" w:pos="0"/>
                <w:tab w:val="left" w:pos="4536"/>
              </w:tabs>
              <w:jc w:val="both"/>
              <w:rPr>
                <w:rFonts w:ascii="Verdana" w:hAnsi="Verdana" w:cs="Helvetica"/>
                <w:color w:val="7F7F7F" w:themeColor="text1" w:themeTint="80"/>
                <w:sz w:val="22"/>
                <w:szCs w:val="22"/>
                <w:lang w:val="en-GB"/>
              </w:rPr>
            </w:pPr>
            <w:r w:rsidRPr="00CF2245">
              <w:rPr>
                <w:rFonts w:ascii="Verdana" w:hAnsi="Verdana" w:cs="Helvetica"/>
                <w:color w:val="7F7F7F" w:themeColor="text1" w:themeTint="80"/>
                <w:sz w:val="22"/>
                <w:szCs w:val="22"/>
                <w:lang w:val="en-GB"/>
              </w:rPr>
              <w:t xml:space="preserve">INREV produced a </w:t>
            </w:r>
            <w:hyperlink r:id="rId26" w:history="1">
              <w:r w:rsidRPr="00CF2245">
                <w:rPr>
                  <w:rStyle w:val="Hyperlink"/>
                  <w:rFonts w:ascii="Verdana" w:hAnsi="Verdana" w:cs="Helvetica"/>
                  <w:color w:val="7F7F7F" w:themeColor="text1" w:themeTint="80"/>
                  <w:sz w:val="22"/>
                  <w:szCs w:val="22"/>
                  <w:lang w:val="en-GB"/>
                </w:rPr>
                <w:t>study</w:t>
              </w:r>
            </w:hyperlink>
            <w:r w:rsidRPr="00CF2245">
              <w:rPr>
                <w:rFonts w:ascii="Verdana" w:hAnsi="Verdana" w:cs="Helvetica"/>
                <w:color w:val="7F7F7F" w:themeColor="text1" w:themeTint="80"/>
                <w:sz w:val="22"/>
                <w:szCs w:val="22"/>
                <w:lang w:val="en-GB"/>
              </w:rPr>
              <w:t xml:space="preserve"> </w:t>
            </w:r>
            <w:r>
              <w:rPr>
                <w:rFonts w:ascii="Verdana" w:hAnsi="Verdana" w:cs="Helvetica"/>
                <w:color w:val="7F7F7F" w:themeColor="text1" w:themeTint="80"/>
                <w:sz w:val="22"/>
                <w:szCs w:val="22"/>
                <w:lang w:val="en-GB"/>
              </w:rPr>
              <w:t xml:space="preserve">(Annex 3) </w:t>
            </w:r>
            <w:r w:rsidRPr="00CF2245">
              <w:rPr>
                <w:rFonts w:ascii="Verdana" w:hAnsi="Verdana" w:cs="Helvetica"/>
                <w:color w:val="7F7F7F" w:themeColor="text1" w:themeTint="80"/>
                <w:sz w:val="22"/>
                <w:szCs w:val="22"/>
                <w:lang w:val="en-GB"/>
              </w:rPr>
              <w:t xml:space="preserve">on the real estate volatility for Solvency II purposes; The study added 6 years of data (2009-2015) and updated the capital risk analysis to December 2015. The report provided evidence that the pan-European property shock factor should </w:t>
            </w:r>
            <w:r w:rsidRPr="00CF2245">
              <w:rPr>
                <w:rFonts w:ascii="Verdana" w:hAnsi="Verdana" w:cs="Helvetica"/>
                <w:b/>
                <w:bCs/>
                <w:color w:val="7F7F7F" w:themeColor="text1" w:themeTint="80"/>
                <w:sz w:val="22"/>
                <w:szCs w:val="22"/>
                <w:lang w:val="en-GB"/>
              </w:rPr>
              <w:t>not be higher than 15%</w:t>
            </w:r>
            <w:r w:rsidRPr="00CF2245">
              <w:rPr>
                <w:rFonts w:ascii="Verdana" w:hAnsi="Verdana" w:cs="Helvetica"/>
                <w:color w:val="7F7F7F" w:themeColor="text1" w:themeTint="80"/>
                <w:sz w:val="22"/>
                <w:szCs w:val="22"/>
                <w:lang w:val="en-GB"/>
              </w:rPr>
              <w:t>. If UK were to be excluded the shock factor would be reduced to 12%.</w:t>
            </w:r>
          </w:p>
          <w:p w14:paraId="63CD7B27" w14:textId="77777777" w:rsidR="006F5ECC" w:rsidRPr="00CF2245" w:rsidRDefault="006F5ECC" w:rsidP="00020B14">
            <w:pPr>
              <w:tabs>
                <w:tab w:val="left" w:pos="0"/>
                <w:tab w:val="left" w:pos="4536"/>
              </w:tabs>
              <w:spacing w:before="57" w:line="288" w:lineRule="exact"/>
              <w:ind w:right="98"/>
              <w:jc w:val="both"/>
              <w:rPr>
                <w:rFonts w:ascii="Verdana" w:hAnsi="Verdana" w:cs="Helvetica"/>
                <w:color w:val="7F7F7F" w:themeColor="text1" w:themeTint="80"/>
                <w:sz w:val="22"/>
                <w:szCs w:val="22"/>
                <w:lang w:val="en-GB"/>
              </w:rPr>
            </w:pPr>
            <w:r w:rsidRPr="00CF2245">
              <w:rPr>
                <w:rFonts w:ascii="Verdana" w:hAnsi="Verdana" w:cs="Helvetica"/>
                <w:color w:val="7F7F7F" w:themeColor="text1" w:themeTint="80"/>
                <w:sz w:val="22"/>
                <w:szCs w:val="22"/>
                <w:lang w:val="en-GB"/>
              </w:rPr>
              <w:t>A parallel study</w:t>
            </w:r>
            <w:r w:rsidRPr="00CF2245">
              <w:rPr>
                <w:rFonts w:ascii="Verdana" w:hAnsi="Verdana" w:cs="Helvetica"/>
                <w:color w:val="7F7F7F" w:themeColor="text1" w:themeTint="80"/>
                <w:sz w:val="22"/>
                <w:szCs w:val="22"/>
                <w:vertAlign w:val="subscript"/>
                <w:lang w:val="en-GB"/>
              </w:rPr>
              <w:footnoteReference w:id="2"/>
            </w:r>
            <w:r w:rsidRPr="00CF2245">
              <w:rPr>
                <w:rFonts w:ascii="Verdana" w:hAnsi="Verdana" w:cs="Helvetica"/>
                <w:color w:val="7F7F7F" w:themeColor="text1" w:themeTint="80"/>
                <w:sz w:val="22"/>
                <w:szCs w:val="22"/>
                <w:lang w:val="en-GB"/>
              </w:rPr>
              <w:t xml:space="preserve"> was conducted by EDHEC on March 2017, and showed that the shock also needed to be reduced significantly. It is based on the Investment Property Databank (IPD) data from the euro area (excluding the UK) and leads to a 10% shock valuation.</w:t>
            </w:r>
          </w:p>
          <w:p w14:paraId="7F518D04" w14:textId="77777777" w:rsidR="006F5ECC" w:rsidRPr="00CF2245" w:rsidRDefault="006F5ECC" w:rsidP="00020B14">
            <w:pPr>
              <w:tabs>
                <w:tab w:val="left" w:pos="0"/>
                <w:tab w:val="left" w:pos="4536"/>
              </w:tabs>
              <w:rPr>
                <w:rFonts w:ascii="Verdana" w:hAnsi="Verdana"/>
                <w:color w:val="7F7F7F" w:themeColor="text1" w:themeTint="80"/>
                <w:sz w:val="22"/>
                <w:szCs w:val="22"/>
                <w:lang w:val="en-GB"/>
              </w:rPr>
            </w:pPr>
          </w:p>
        </w:tc>
        <w:tc>
          <w:tcPr>
            <w:tcW w:w="483" w:type="pct"/>
            <w:tcBorders>
              <w:top w:val="single" w:sz="4" w:space="0" w:color="auto"/>
              <w:left w:val="single" w:sz="4" w:space="0" w:color="auto"/>
              <w:bottom w:val="single" w:sz="4" w:space="0" w:color="auto"/>
              <w:right w:val="single" w:sz="4" w:space="0" w:color="auto"/>
            </w:tcBorders>
          </w:tcPr>
          <w:p w14:paraId="769BE157"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3865533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1F6ED4B" w14:textId="35BAFA04" w:rsidR="006F5ECC" w:rsidRPr="00FE3045" w:rsidRDefault="006F5ECC" w:rsidP="00020B14">
            <w:pPr>
              <w:tabs>
                <w:tab w:val="left" w:pos="0"/>
                <w:tab w:val="left" w:pos="4536"/>
              </w:tabs>
              <w:ind w:left="-96"/>
              <w:rPr>
                <w:rFonts w:ascii="Verdana" w:hAnsi="Verdana"/>
                <w:bCs/>
                <w:color w:val="000000"/>
                <w:sz w:val="22"/>
                <w:szCs w:val="22"/>
                <w:lang w:val="en-GB"/>
              </w:rPr>
            </w:pPr>
            <w:r w:rsidRPr="0078578C">
              <w:rPr>
                <w:rFonts w:ascii="Verdana" w:hAnsi="Verdana"/>
                <w:bCs/>
                <w:color w:val="7F7F7F" w:themeColor="text1" w:themeTint="80"/>
                <w:sz w:val="22"/>
                <w:szCs w:val="22"/>
                <w:lang w:val="en-GB"/>
              </w:rPr>
              <w:t>5</w:t>
            </w:r>
          </w:p>
        </w:tc>
        <w:tc>
          <w:tcPr>
            <w:tcW w:w="506" w:type="pct"/>
            <w:gridSpan w:val="2"/>
            <w:tcBorders>
              <w:top w:val="single" w:sz="4" w:space="0" w:color="auto"/>
              <w:left w:val="single" w:sz="4" w:space="0" w:color="auto"/>
              <w:bottom w:val="single" w:sz="4" w:space="0" w:color="auto"/>
              <w:right w:val="single" w:sz="4" w:space="0" w:color="auto"/>
            </w:tcBorders>
          </w:tcPr>
          <w:p w14:paraId="58FA4A62" w14:textId="6ABBF96F" w:rsidR="006F5ECC" w:rsidRPr="005C0581" w:rsidRDefault="006F5ECC" w:rsidP="00020B14">
            <w:pPr>
              <w:tabs>
                <w:tab w:val="left" w:pos="0"/>
                <w:tab w:val="left" w:pos="4536"/>
              </w:tabs>
              <w:ind w:left="-96"/>
              <w:rPr>
                <w:rFonts w:ascii="Verdana" w:hAnsi="Verdana"/>
                <w:b/>
                <w:color w:val="7F7F7F"/>
                <w:sz w:val="22"/>
                <w:szCs w:val="22"/>
                <w:lang w:val="en-US"/>
              </w:rPr>
            </w:pPr>
            <w:r w:rsidRPr="005C0581">
              <w:rPr>
                <w:rFonts w:ascii="Verdana" w:hAnsi="Verdana"/>
                <w:b/>
                <w:color w:val="7F7F7F" w:themeColor="text1" w:themeTint="80"/>
                <w:sz w:val="22"/>
                <w:szCs w:val="22"/>
                <w:lang w:val="en-GB"/>
              </w:rPr>
              <w:t>Question to stakeholders</w:t>
            </w:r>
          </w:p>
        </w:tc>
        <w:tc>
          <w:tcPr>
            <w:tcW w:w="1999" w:type="pct"/>
            <w:tcBorders>
              <w:top w:val="single" w:sz="4" w:space="0" w:color="auto"/>
              <w:left w:val="single" w:sz="4" w:space="0" w:color="auto"/>
              <w:bottom w:val="single" w:sz="4" w:space="0" w:color="auto"/>
              <w:right w:val="single" w:sz="4" w:space="0" w:color="auto"/>
            </w:tcBorders>
          </w:tcPr>
          <w:p w14:paraId="5F9A012E" w14:textId="77777777" w:rsidR="006F5ECC" w:rsidRPr="00CF2245" w:rsidRDefault="006F5ECC" w:rsidP="00020B14">
            <w:pPr>
              <w:tabs>
                <w:tab w:val="left" w:pos="0"/>
                <w:tab w:val="left" w:pos="4536"/>
              </w:tabs>
              <w:rPr>
                <w:rFonts w:ascii="Verdana" w:hAnsi="Verdana" w:cs="Helvetica"/>
                <w:b/>
                <w:bCs/>
                <w:color w:val="7F7F7F" w:themeColor="text1" w:themeTint="80"/>
                <w:sz w:val="22"/>
                <w:szCs w:val="22"/>
                <w:lang w:val="en-GB"/>
              </w:rPr>
            </w:pPr>
            <w:r w:rsidRPr="00CF2245">
              <w:rPr>
                <w:rFonts w:ascii="Verdana" w:hAnsi="Verdana" w:cs="Helvetica"/>
                <w:b/>
                <w:bCs/>
                <w:color w:val="7F7F7F" w:themeColor="text1" w:themeTint="80"/>
                <w:sz w:val="22"/>
                <w:szCs w:val="22"/>
                <w:lang w:val="en-GB"/>
              </w:rPr>
              <w:t>Q5.1: Do you know data sources which would help to better calibrate property risk?</w:t>
            </w:r>
          </w:p>
          <w:p w14:paraId="322C2CB6" w14:textId="77777777" w:rsidR="006F5ECC" w:rsidRPr="00CF2245" w:rsidRDefault="006F5ECC" w:rsidP="00020B14">
            <w:pPr>
              <w:tabs>
                <w:tab w:val="left" w:pos="0"/>
                <w:tab w:val="left" w:pos="4536"/>
              </w:tabs>
              <w:spacing w:line="123" w:lineRule="exact"/>
              <w:rPr>
                <w:rFonts w:ascii="Verdana" w:hAnsi="Verdana" w:cs="Helvetica"/>
                <w:color w:val="7F7F7F" w:themeColor="text1" w:themeTint="80"/>
                <w:sz w:val="22"/>
                <w:szCs w:val="22"/>
                <w:lang w:val="en-GB"/>
              </w:rPr>
            </w:pPr>
          </w:p>
          <w:p w14:paraId="7C22A985" w14:textId="2967FBE7" w:rsidR="006F5ECC" w:rsidRPr="00CF2245" w:rsidRDefault="006F5ECC" w:rsidP="00020B14">
            <w:pPr>
              <w:tabs>
                <w:tab w:val="left" w:pos="0"/>
                <w:tab w:val="left" w:pos="4536"/>
              </w:tabs>
              <w:spacing w:before="120" w:after="120"/>
              <w:rPr>
                <w:rFonts w:ascii="Verdana" w:hAnsi="Verdana" w:cs="Helvetica"/>
                <w:color w:val="7F7F7F" w:themeColor="text1" w:themeTint="80"/>
                <w:sz w:val="22"/>
                <w:szCs w:val="22"/>
                <w:lang w:val="en-GB"/>
              </w:rPr>
            </w:pPr>
            <w:r w:rsidRPr="00CF2245">
              <w:rPr>
                <w:rFonts w:ascii="Verdana" w:hAnsi="Verdana" w:cs="Helvetica"/>
                <w:color w:val="7F7F7F" w:themeColor="text1" w:themeTint="80"/>
                <w:sz w:val="22"/>
                <w:szCs w:val="22"/>
                <w:lang w:val="en-GB"/>
              </w:rPr>
              <w:t xml:space="preserve">The calibration of property risk is clearly faulty as the underlying data is not representative of the whole European industry. EIOPA acknowledges the existing evidence of the limitations of the current calibration for </w:t>
            </w:r>
            <w:r w:rsidRPr="00CF2245">
              <w:rPr>
                <w:rFonts w:ascii="Verdana" w:hAnsi="Verdana" w:cs="Helvetica"/>
                <w:color w:val="7F7F7F" w:themeColor="text1" w:themeTint="80"/>
                <w:sz w:val="22"/>
                <w:szCs w:val="22"/>
                <w:lang w:val="en-GB"/>
              </w:rPr>
              <w:lastRenderedPageBreak/>
              <w:t xml:space="preserve">property risk, however it proposes no change; We request EIOPA to launch a new recalibration exercise with better and wider data. </w:t>
            </w:r>
          </w:p>
          <w:p w14:paraId="63BC0447" w14:textId="558B4426" w:rsidR="006F5ECC" w:rsidRPr="00CF2245" w:rsidRDefault="006F5ECC" w:rsidP="00020B14">
            <w:pPr>
              <w:tabs>
                <w:tab w:val="left" w:pos="0"/>
                <w:tab w:val="left" w:pos="4536"/>
              </w:tabs>
              <w:spacing w:before="120" w:after="120"/>
              <w:rPr>
                <w:rFonts w:ascii="Verdana" w:hAnsi="Verdana" w:cs="Helvetica"/>
                <w:color w:val="7F7F7F" w:themeColor="text1" w:themeTint="80"/>
                <w:sz w:val="22"/>
                <w:szCs w:val="22"/>
                <w:lang w:val="en-GB"/>
              </w:rPr>
            </w:pPr>
            <w:r w:rsidRPr="00CF2245">
              <w:rPr>
                <w:rFonts w:ascii="Verdana" w:hAnsi="Verdana" w:cs="Helvetica"/>
                <w:color w:val="7F7F7F" w:themeColor="text1" w:themeTint="80"/>
                <w:sz w:val="22"/>
                <w:szCs w:val="22"/>
                <w:lang w:val="en-GB"/>
              </w:rPr>
              <w:t>One source of data is the MSCI report on real estate risk in Solvency II from 2017 which points out that the risk parameter for the UK market remained nearly the same (i.e. -24%) but for continental Europe it was half of this (-11,2%). But as the issue is way more complicated, other options should be also considered. For instance, a new option could be introduced, allowing for the use of USP’s in some restricted way. e.g. current risk lowered with say a max 10 percentage points reductions factor if there is enough evidence in favour of the reduction. The evidence should capture some large proportions, maybe 80% of the real estate investments over a number of years (5 year for instance) and also some level of diversification should be required.</w:t>
            </w:r>
          </w:p>
          <w:p w14:paraId="15048046" w14:textId="77777777" w:rsidR="006F5ECC" w:rsidRPr="00CF2245" w:rsidRDefault="006F5ECC" w:rsidP="00020B14">
            <w:pPr>
              <w:tabs>
                <w:tab w:val="left" w:pos="0"/>
                <w:tab w:val="left" w:pos="4536"/>
              </w:tabs>
              <w:rPr>
                <w:rFonts w:ascii="Verdana" w:hAnsi="Verdana" w:cs="Helvetica"/>
                <w:color w:val="7F7F7F" w:themeColor="text1" w:themeTint="80"/>
                <w:sz w:val="22"/>
                <w:szCs w:val="22"/>
                <w:lang w:val="en-GB"/>
              </w:rPr>
            </w:pPr>
          </w:p>
        </w:tc>
        <w:tc>
          <w:tcPr>
            <w:tcW w:w="483" w:type="pct"/>
            <w:tcBorders>
              <w:top w:val="single" w:sz="4" w:space="0" w:color="auto"/>
              <w:left w:val="single" w:sz="4" w:space="0" w:color="auto"/>
              <w:bottom w:val="single" w:sz="4" w:space="0" w:color="auto"/>
              <w:right w:val="single" w:sz="4" w:space="0" w:color="auto"/>
            </w:tcBorders>
          </w:tcPr>
          <w:p w14:paraId="68B9BBC5"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44FAB0C3"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235B52E" w14:textId="15378D0F" w:rsidR="006F5ECC" w:rsidRPr="00FE3045" w:rsidRDefault="006F5ECC" w:rsidP="00020B14">
            <w:pPr>
              <w:tabs>
                <w:tab w:val="left" w:pos="0"/>
                <w:tab w:val="left" w:pos="4536"/>
              </w:tabs>
              <w:ind w:left="-96"/>
              <w:rPr>
                <w:rFonts w:ascii="Verdana" w:hAnsi="Verdana"/>
                <w:bCs/>
                <w:color w:val="000000"/>
                <w:sz w:val="22"/>
                <w:szCs w:val="22"/>
                <w:lang w:val="en-GB"/>
              </w:rPr>
            </w:pPr>
            <w:r>
              <w:rPr>
                <w:rFonts w:ascii="Verdana" w:hAnsi="Verdana"/>
                <w:bCs/>
                <w:color w:val="7F7F7F" w:themeColor="text1" w:themeTint="80"/>
                <w:sz w:val="22"/>
                <w:szCs w:val="22"/>
                <w:lang w:val="en-GB"/>
              </w:rPr>
              <w:t>5.3</w:t>
            </w:r>
          </w:p>
        </w:tc>
        <w:tc>
          <w:tcPr>
            <w:tcW w:w="506" w:type="pct"/>
            <w:gridSpan w:val="2"/>
            <w:tcBorders>
              <w:top w:val="single" w:sz="4" w:space="0" w:color="auto"/>
              <w:left w:val="single" w:sz="4" w:space="0" w:color="auto"/>
              <w:bottom w:val="single" w:sz="4" w:space="0" w:color="auto"/>
              <w:right w:val="single" w:sz="4" w:space="0" w:color="auto"/>
            </w:tcBorders>
          </w:tcPr>
          <w:p w14:paraId="01745D89" w14:textId="36CAA9DB" w:rsidR="006F5ECC" w:rsidRPr="005C0581" w:rsidRDefault="006F5ECC" w:rsidP="00020B14">
            <w:pPr>
              <w:tabs>
                <w:tab w:val="left" w:pos="0"/>
                <w:tab w:val="left" w:pos="4536"/>
              </w:tabs>
              <w:ind w:left="-96"/>
              <w:rPr>
                <w:rFonts w:ascii="Verdana" w:hAnsi="Verdana"/>
                <w:b/>
                <w:color w:val="7F7F7F"/>
                <w:sz w:val="22"/>
                <w:szCs w:val="22"/>
                <w:lang w:val="en-US"/>
              </w:rPr>
            </w:pPr>
            <w:r w:rsidRPr="005C0581">
              <w:rPr>
                <w:rFonts w:ascii="Verdana" w:hAnsi="Verdana"/>
                <w:b/>
                <w:color w:val="7F7F7F" w:themeColor="text1" w:themeTint="80"/>
                <w:sz w:val="22"/>
                <w:szCs w:val="22"/>
                <w:lang w:val="en-GB"/>
              </w:rPr>
              <w:t>Question to stakeholder</w:t>
            </w:r>
            <w:r>
              <w:rPr>
                <w:rFonts w:ascii="Verdana" w:hAnsi="Verdana"/>
                <w:b/>
                <w:color w:val="7F7F7F" w:themeColor="text1" w:themeTint="80"/>
                <w:sz w:val="22"/>
                <w:szCs w:val="22"/>
                <w:lang w:val="en-GB"/>
              </w:rPr>
              <w:t>s</w:t>
            </w:r>
          </w:p>
        </w:tc>
        <w:tc>
          <w:tcPr>
            <w:tcW w:w="1999" w:type="pct"/>
            <w:tcBorders>
              <w:top w:val="single" w:sz="4" w:space="0" w:color="auto"/>
              <w:left w:val="single" w:sz="4" w:space="0" w:color="auto"/>
              <w:bottom w:val="single" w:sz="4" w:space="0" w:color="auto"/>
              <w:right w:val="single" w:sz="4" w:space="0" w:color="auto"/>
            </w:tcBorders>
          </w:tcPr>
          <w:p w14:paraId="59CE40CF" w14:textId="77777777" w:rsidR="006F5ECC" w:rsidRPr="00395661" w:rsidRDefault="006F5ECC" w:rsidP="00020B14">
            <w:pPr>
              <w:tabs>
                <w:tab w:val="left" w:pos="0"/>
                <w:tab w:val="left" w:pos="4536"/>
              </w:tabs>
              <w:rPr>
                <w:rFonts w:ascii="Verdana" w:eastAsia="Verdana" w:hAnsi="Verdana" w:cs="Verdana"/>
                <w:b/>
                <w:bCs/>
                <w:color w:val="7F7F7F" w:themeColor="text1" w:themeTint="80"/>
                <w:sz w:val="22"/>
                <w:szCs w:val="22"/>
                <w:lang w:val="en-US"/>
              </w:rPr>
            </w:pPr>
            <w:r w:rsidRPr="00395661">
              <w:rPr>
                <w:rFonts w:ascii="Verdana" w:eastAsia="Verdana" w:hAnsi="Verdana" w:cs="Verdana"/>
                <w:b/>
                <w:bCs/>
                <w:color w:val="7F7F7F" w:themeColor="text1" w:themeTint="80"/>
                <w:sz w:val="22"/>
                <w:szCs w:val="22"/>
                <w:lang w:val="en-US"/>
              </w:rPr>
              <w:t>Q5.2:</w:t>
            </w:r>
            <w:r w:rsidRPr="00395661">
              <w:rPr>
                <w:rFonts w:ascii="Verdana" w:eastAsia="Verdana" w:hAnsi="Verdana" w:cs="Verdana"/>
                <w:b/>
                <w:bCs/>
                <w:color w:val="7F7F7F" w:themeColor="text1" w:themeTint="80"/>
                <w:lang w:val="en-US"/>
              </w:rPr>
              <w:t xml:space="preserve"> </w:t>
            </w:r>
            <w:r w:rsidRPr="00395661">
              <w:rPr>
                <w:rFonts w:ascii="Verdana" w:eastAsia="Verdana" w:hAnsi="Verdana" w:cs="Verdana"/>
                <w:b/>
                <w:bCs/>
                <w:color w:val="7F7F7F" w:themeColor="text1" w:themeTint="80"/>
                <w:sz w:val="22"/>
                <w:szCs w:val="22"/>
                <w:lang w:val="en-US"/>
              </w:rPr>
              <w:t>For Internal Model users please indicate the approach chosen to model property risk within your Internal Model, when applicable</w:t>
            </w:r>
          </w:p>
          <w:p w14:paraId="6835109B" w14:textId="5F11CC2C" w:rsidR="006F5ECC" w:rsidRPr="00CF2245" w:rsidRDefault="006F5ECC" w:rsidP="00020B14">
            <w:pPr>
              <w:tabs>
                <w:tab w:val="left" w:pos="0"/>
                <w:tab w:val="left" w:pos="4536"/>
              </w:tabs>
              <w:rPr>
                <w:rFonts w:ascii="Verdana" w:hAnsi="Verdana"/>
                <w:color w:val="7F7F7F" w:themeColor="text1" w:themeTint="80"/>
                <w:sz w:val="22"/>
                <w:szCs w:val="22"/>
                <w:lang w:val="en-US"/>
              </w:rPr>
            </w:pPr>
            <w:r w:rsidRPr="00CF2245">
              <w:rPr>
                <w:rFonts w:ascii="Verdana" w:hAnsi="Verdana"/>
                <w:color w:val="7F7F7F" w:themeColor="text1" w:themeTint="80"/>
                <w:sz w:val="22"/>
                <w:szCs w:val="22"/>
                <w:lang w:val="en-US"/>
              </w:rPr>
              <w:t xml:space="preserve">We suggest EIOPA approaches </w:t>
            </w:r>
            <w:r>
              <w:rPr>
                <w:rFonts w:ascii="Verdana" w:hAnsi="Verdana"/>
                <w:color w:val="7F7F7F" w:themeColor="text1" w:themeTint="80"/>
                <w:sz w:val="22"/>
                <w:szCs w:val="22"/>
                <w:lang w:val="en-US"/>
              </w:rPr>
              <w:t xml:space="preserve">the </w:t>
            </w:r>
            <w:r w:rsidRPr="00CF2245">
              <w:rPr>
                <w:rFonts w:ascii="Verdana" w:hAnsi="Verdana"/>
                <w:color w:val="7F7F7F" w:themeColor="text1" w:themeTint="80"/>
                <w:sz w:val="22"/>
                <w:szCs w:val="22"/>
                <w:lang w:val="en-US"/>
              </w:rPr>
              <w:t>National Competent Authorities to obtain the requested information from internal model players.</w:t>
            </w:r>
          </w:p>
        </w:tc>
        <w:tc>
          <w:tcPr>
            <w:tcW w:w="483" w:type="pct"/>
            <w:tcBorders>
              <w:top w:val="single" w:sz="4" w:space="0" w:color="auto"/>
              <w:left w:val="single" w:sz="4" w:space="0" w:color="auto"/>
              <w:bottom w:val="single" w:sz="4" w:space="0" w:color="auto"/>
              <w:right w:val="single" w:sz="4" w:space="0" w:color="auto"/>
            </w:tcBorders>
          </w:tcPr>
          <w:p w14:paraId="56CB0138"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BC71F5" w14:paraId="375432E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7759490B" w14:textId="77777777" w:rsidR="006F5ECC" w:rsidRPr="00395661" w:rsidRDefault="006F5ECC" w:rsidP="00020B14">
            <w:pPr>
              <w:tabs>
                <w:tab w:val="left" w:pos="0"/>
                <w:tab w:val="left" w:pos="4536"/>
              </w:tabs>
              <w:rPr>
                <w:rFonts w:ascii="Verdana" w:hAnsi="Verdana"/>
                <w:b/>
                <w:bCs/>
                <w:color w:val="7F7F7F" w:themeColor="text1" w:themeTint="80"/>
                <w:sz w:val="22"/>
                <w:szCs w:val="22"/>
                <w:lang w:val="en-GB" w:eastAsia="fr-FR"/>
              </w:rPr>
            </w:pPr>
            <w:r w:rsidRPr="00395661">
              <w:rPr>
                <w:rFonts w:ascii="Verdana" w:hAnsi="Verdana"/>
                <w:b/>
                <w:bCs/>
                <w:color w:val="7F7F7F" w:themeColor="text1" w:themeTint="80"/>
                <w:sz w:val="22"/>
                <w:szCs w:val="22"/>
                <w:lang w:val="en-GB" w:eastAsia="fr-FR"/>
              </w:rPr>
              <w:t>5.4 Correlation matrices</w:t>
            </w:r>
          </w:p>
        </w:tc>
      </w:tr>
      <w:tr w:rsidR="00FC5744" w:rsidRPr="001360A5" w14:paraId="64121852"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4322808" w14:textId="0E12BA21" w:rsidR="006F5ECC" w:rsidRPr="00446815" w:rsidRDefault="006F5ECC" w:rsidP="00020B14">
            <w:pPr>
              <w:tabs>
                <w:tab w:val="left" w:pos="0"/>
                <w:tab w:val="left" w:pos="4536"/>
              </w:tabs>
              <w:ind w:left="-96"/>
              <w:rPr>
                <w:rFonts w:ascii="Verdana" w:hAnsi="Verdana"/>
                <w:bCs/>
                <w:color w:val="7F7F7F" w:themeColor="text1" w:themeTint="80"/>
                <w:sz w:val="22"/>
                <w:szCs w:val="22"/>
                <w:lang w:val="en-GB"/>
              </w:rPr>
            </w:pPr>
            <w:r w:rsidRPr="00446815">
              <w:rPr>
                <w:rFonts w:ascii="Verdana" w:hAnsi="Verdana"/>
                <w:bCs/>
                <w:color w:val="7F7F7F" w:themeColor="text1" w:themeTint="80"/>
                <w:sz w:val="22"/>
                <w:szCs w:val="22"/>
                <w:lang w:val="en-GB"/>
              </w:rPr>
              <w:t>5</w:t>
            </w:r>
          </w:p>
        </w:tc>
        <w:tc>
          <w:tcPr>
            <w:tcW w:w="506" w:type="pct"/>
            <w:gridSpan w:val="2"/>
            <w:tcBorders>
              <w:top w:val="single" w:sz="4" w:space="0" w:color="auto"/>
              <w:left w:val="single" w:sz="4" w:space="0" w:color="auto"/>
              <w:bottom w:val="single" w:sz="4" w:space="0" w:color="auto"/>
              <w:right w:val="single" w:sz="4" w:space="0" w:color="auto"/>
            </w:tcBorders>
          </w:tcPr>
          <w:p w14:paraId="03367967" w14:textId="00F1B29A" w:rsidR="006F5ECC" w:rsidRPr="00446815" w:rsidRDefault="006F5ECC" w:rsidP="00020B14">
            <w:pPr>
              <w:tabs>
                <w:tab w:val="left" w:pos="0"/>
                <w:tab w:val="left" w:pos="4536"/>
              </w:tabs>
              <w:ind w:left="-96"/>
              <w:rPr>
                <w:rFonts w:ascii="Verdana" w:hAnsi="Verdana"/>
                <w:color w:val="7F7F7F" w:themeColor="text1" w:themeTint="80"/>
                <w:sz w:val="22"/>
                <w:szCs w:val="22"/>
                <w:lang w:val="en-US"/>
              </w:rPr>
            </w:pPr>
            <w:r w:rsidRPr="00446815">
              <w:rPr>
                <w:rFonts w:ascii="Verdana" w:hAnsi="Verdana"/>
                <w:color w:val="7F7F7F" w:themeColor="text1" w:themeTint="80"/>
                <w:sz w:val="22"/>
                <w:szCs w:val="22"/>
                <w:lang w:val="en-US"/>
              </w:rPr>
              <w:t>153</w:t>
            </w:r>
          </w:p>
        </w:tc>
        <w:tc>
          <w:tcPr>
            <w:tcW w:w="1999" w:type="pct"/>
            <w:tcBorders>
              <w:top w:val="single" w:sz="4" w:space="0" w:color="auto"/>
              <w:left w:val="single" w:sz="4" w:space="0" w:color="auto"/>
              <w:bottom w:val="single" w:sz="4" w:space="0" w:color="auto"/>
              <w:right w:val="single" w:sz="4" w:space="0" w:color="auto"/>
            </w:tcBorders>
          </w:tcPr>
          <w:p w14:paraId="233ABEEA" w14:textId="77777777" w:rsidR="006F5ECC" w:rsidRPr="00395661" w:rsidRDefault="006F5ECC" w:rsidP="00020B14">
            <w:pPr>
              <w:tabs>
                <w:tab w:val="left" w:pos="0"/>
                <w:tab w:val="left" w:pos="4536"/>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We do not support EIOPA´s Advice to keep the market risk correlations unchanged.</w:t>
            </w:r>
          </w:p>
          <w:p w14:paraId="076D19CC" w14:textId="5ACA592E" w:rsidR="006F5ECC" w:rsidRPr="00395661" w:rsidRDefault="006F5ECC" w:rsidP="00020B14">
            <w:pPr>
              <w:tabs>
                <w:tab w:val="left" w:pos="0"/>
                <w:tab w:val="left" w:pos="4536"/>
              </w:tabs>
              <w:spacing w:before="120" w:after="120"/>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For the industry it is very difficult to substantiate any change in the correlations based on quantitative data only because long data series are lacking and if they would be available these would only be for a limited number of Member States but not for the whole of the European Union. However, the original EIOPA´s calibrations are based on the </w:t>
            </w:r>
            <w:r w:rsidRPr="00395661">
              <w:rPr>
                <w:rFonts w:ascii="Verdana" w:hAnsi="Verdana"/>
                <w:color w:val="7F7F7F" w:themeColor="text1" w:themeTint="80"/>
                <w:sz w:val="22"/>
                <w:szCs w:val="22"/>
                <w:lang w:val="en-US"/>
              </w:rPr>
              <w:lastRenderedPageBreak/>
              <w:t>same omissions. We would urge EIOPA to reconsider its proposals for a recalibration based on a qualitative reasoning instead. We provide several examples:</w:t>
            </w:r>
          </w:p>
          <w:p w14:paraId="4976910E" w14:textId="0F2B3E83" w:rsidR="006F5ECC" w:rsidRPr="00395661" w:rsidRDefault="006F5ECC" w:rsidP="00020B14">
            <w:pPr>
              <w:pStyle w:val="ListParagraph"/>
              <w:numPr>
                <w:ilvl w:val="0"/>
                <w:numId w:val="16"/>
              </w:numPr>
              <w:tabs>
                <w:tab w:val="left" w:pos="0"/>
                <w:tab w:val="left" w:pos="4536"/>
              </w:tabs>
              <w:spacing w:before="120" w:after="120"/>
              <w:ind w:left="0" w:hanging="357"/>
              <w:rPr>
                <w:rFonts w:ascii="Verdana" w:hAnsi="Verdana"/>
                <w:color w:val="7F7F7F" w:themeColor="text1" w:themeTint="80"/>
                <w:lang w:val="en-US"/>
              </w:rPr>
            </w:pPr>
            <w:r w:rsidRPr="00395661">
              <w:rPr>
                <w:rFonts w:ascii="Verdana" w:hAnsi="Verdana"/>
                <w:color w:val="7F7F7F" w:themeColor="text1" w:themeTint="80"/>
                <w:lang w:val="en-US"/>
              </w:rPr>
              <w:t xml:space="preserve">The </w:t>
            </w:r>
            <w:r w:rsidRPr="00395661">
              <w:rPr>
                <w:rFonts w:ascii="Verdana" w:hAnsi="Verdana"/>
                <w:color w:val="7F7F7F" w:themeColor="text1" w:themeTint="80"/>
                <w:u w:val="single"/>
                <w:lang w:val="en-US"/>
              </w:rPr>
              <w:t>correlation parameter between health catastrophe risk and premium and reserve risk</w:t>
            </w:r>
            <w:r w:rsidRPr="00395661">
              <w:rPr>
                <w:rFonts w:ascii="Verdana" w:hAnsi="Verdana"/>
                <w:color w:val="7F7F7F" w:themeColor="text1" w:themeTint="80"/>
                <w:lang w:val="en-US"/>
              </w:rPr>
              <w:t xml:space="preserve"> is 0.25, i.e. a positive correlation despite the fact that no health cat events have been witnessed in the recent past, but only small events. I</w:t>
            </w:r>
            <w:r w:rsidRPr="00395661">
              <w:rPr>
                <w:rFonts w:ascii="Verdana" w:hAnsi="Verdana" w:cs="Times New Roman"/>
                <w:color w:val="7F7F7F" w:themeColor="text1" w:themeTint="80"/>
                <w:lang w:val="en-US"/>
              </w:rPr>
              <w:t xml:space="preserve">n March and April 2009, an </w:t>
            </w:r>
            <w:hyperlink r:id="rId27" w:tooltip="Outbreak" w:history="1">
              <w:r w:rsidRPr="00395661">
                <w:rPr>
                  <w:rFonts w:ascii="Verdana" w:hAnsi="Verdana" w:cs="Times New Roman"/>
                  <w:color w:val="7F7F7F" w:themeColor="text1" w:themeTint="80"/>
                  <w:lang w:val="en-US"/>
                </w:rPr>
                <w:t>outbreak</w:t>
              </w:r>
            </w:hyperlink>
            <w:r w:rsidRPr="00395661">
              <w:rPr>
                <w:rFonts w:ascii="Verdana" w:hAnsi="Verdana" w:cs="Times New Roman"/>
                <w:color w:val="7F7F7F" w:themeColor="text1" w:themeTint="80"/>
                <w:lang w:val="en-US"/>
              </w:rPr>
              <w:t xml:space="preserve"> of </w:t>
            </w:r>
            <w:r w:rsidRPr="00395661">
              <w:rPr>
                <w:rFonts w:ascii="Verdana" w:hAnsi="Verdana"/>
                <w:color w:val="7F7F7F" w:themeColor="text1" w:themeTint="80"/>
                <w:lang w:val="en-US"/>
              </w:rPr>
              <w:t>the</w:t>
            </w:r>
            <w:r w:rsidRPr="00395661">
              <w:rPr>
                <w:rFonts w:ascii="Verdana" w:hAnsi="Verdana" w:cs="Times New Roman"/>
                <w:color w:val="7F7F7F" w:themeColor="text1" w:themeTint="80"/>
                <w:lang w:val="en-US"/>
              </w:rPr>
              <w:t xml:space="preserve"> "swine flu" infected many people in </w:t>
            </w:r>
            <w:hyperlink r:id="rId28" w:tooltip="Mexico" w:history="1">
              <w:r w:rsidRPr="00395661">
                <w:rPr>
                  <w:rFonts w:ascii="Verdana" w:hAnsi="Verdana" w:cs="Times New Roman"/>
                  <w:color w:val="7F7F7F" w:themeColor="text1" w:themeTint="80"/>
                  <w:lang w:val="en-US"/>
                </w:rPr>
                <w:t>Mexico</w:t>
              </w:r>
            </w:hyperlink>
            <w:r w:rsidRPr="00CF2245">
              <w:rPr>
                <w:rFonts w:ascii="Arial" w:hAnsi="Arial" w:cs="Arial"/>
                <w:color w:val="7F7F7F" w:themeColor="text1" w:themeTint="80"/>
                <w:sz w:val="21"/>
                <w:szCs w:val="21"/>
                <w:shd w:val="clear" w:color="auto" w:fill="FFFFFF"/>
                <w:lang w:val="en-US"/>
              </w:rPr>
              <w:t xml:space="preserve"> </w:t>
            </w:r>
            <w:r w:rsidRPr="00395661">
              <w:rPr>
                <w:rFonts w:ascii="Verdana" w:hAnsi="Verdana" w:cs="Times New Roman"/>
                <w:color w:val="7F7F7F" w:themeColor="text1" w:themeTint="80"/>
                <w:lang w:val="en-US"/>
              </w:rPr>
              <w:t>which triggered</w:t>
            </w:r>
            <w:r w:rsidRPr="00CF2245">
              <w:rPr>
                <w:rFonts w:ascii="Arial" w:hAnsi="Arial" w:cs="Arial"/>
                <w:color w:val="7F7F7F" w:themeColor="text1" w:themeTint="80"/>
                <w:sz w:val="21"/>
                <w:szCs w:val="21"/>
                <w:shd w:val="clear" w:color="auto" w:fill="FFFFFF"/>
                <w:lang w:val="en-US"/>
              </w:rPr>
              <w:t xml:space="preserve"> </w:t>
            </w:r>
            <w:r w:rsidRPr="00395661">
              <w:rPr>
                <w:rFonts w:ascii="Verdana" w:hAnsi="Verdana"/>
                <w:color w:val="7F7F7F" w:themeColor="text1" w:themeTint="80"/>
                <w:lang w:val="en-US"/>
              </w:rPr>
              <w:t>a nationwide vaccination regime. During the vaccinations a “normal” health care cover was deferred because people in Mexico were afraid going to places where the vaccinations were provided. If this behavior would have been considered in the Solvency II calibrations, a negative correlation would have been applied in the insurer´s internal models. However, there is not sufficient data available to pass the internal model calibration and statistical test. We would also challenge EIOPA to run the current statistical and empirical data underlying the standard formula for the same statistical and calibration test. We wonder whether they would pass such tests.</w:t>
            </w:r>
          </w:p>
          <w:p w14:paraId="64A78F97" w14:textId="410B6200" w:rsidR="006F5ECC" w:rsidRPr="00395661" w:rsidRDefault="006F5ECC" w:rsidP="00020B14">
            <w:pPr>
              <w:pStyle w:val="ListParagraph"/>
              <w:numPr>
                <w:ilvl w:val="0"/>
                <w:numId w:val="16"/>
              </w:numPr>
              <w:tabs>
                <w:tab w:val="left" w:pos="0"/>
                <w:tab w:val="left" w:pos="4536"/>
              </w:tabs>
              <w:ind w:left="0"/>
              <w:rPr>
                <w:rFonts w:ascii="Verdana" w:hAnsi="Verdana"/>
                <w:color w:val="7F7F7F" w:themeColor="text1" w:themeTint="80"/>
                <w:lang w:val="en-US"/>
              </w:rPr>
            </w:pPr>
            <w:r w:rsidRPr="00395661">
              <w:rPr>
                <w:rFonts w:ascii="Verdana" w:hAnsi="Verdana"/>
                <w:color w:val="7F7F7F" w:themeColor="text1" w:themeTint="80"/>
                <w:lang w:val="en-US"/>
              </w:rPr>
              <w:t xml:space="preserve">The </w:t>
            </w:r>
            <w:r w:rsidRPr="00395661">
              <w:rPr>
                <w:rFonts w:ascii="Verdana" w:hAnsi="Verdana"/>
                <w:color w:val="7F7F7F" w:themeColor="text1" w:themeTint="80"/>
                <w:u w:val="single"/>
                <w:lang w:val="en-US"/>
              </w:rPr>
              <w:t>correlation of the mass lapse scenarios</w:t>
            </w:r>
            <w:r w:rsidRPr="00395661">
              <w:rPr>
                <w:rFonts w:ascii="Verdana" w:hAnsi="Verdana"/>
                <w:color w:val="7F7F7F" w:themeColor="text1" w:themeTint="80"/>
                <w:lang w:val="en-US"/>
              </w:rPr>
              <w:t>; In order to qualify for a recalibration of the correlation parameters sufficiently evidenced proposals would have to be provided; However, long data series are only available in some Member States. A country factor for those jurisdictions with available data should be allowed as mass lapse risk depends on incidental events per Member State. Furthermore, the mass lapse scenario was increased from 30% to 40% after the QIS5 exercise without providing clear evidence. Such increment was subsequently applied to health lapse and non-life lapse risk sub-module.</w:t>
            </w:r>
          </w:p>
          <w:p w14:paraId="5BDC0443" w14:textId="1FBACB16" w:rsidR="006F5ECC" w:rsidRPr="00395661" w:rsidRDefault="006F5ECC" w:rsidP="00020B14">
            <w:pPr>
              <w:tabs>
                <w:tab w:val="left" w:pos="0"/>
                <w:tab w:val="left" w:pos="4536"/>
              </w:tabs>
              <w:rPr>
                <w:rFonts w:ascii="Verdana" w:hAnsi="Verdana"/>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229C5FC0" w14:textId="77777777" w:rsidR="006F5ECC" w:rsidRPr="00E107F2" w:rsidRDefault="006F5ECC" w:rsidP="00020B14">
            <w:pPr>
              <w:tabs>
                <w:tab w:val="left" w:pos="0"/>
                <w:tab w:val="left" w:pos="4536"/>
              </w:tabs>
              <w:ind w:left="-96"/>
              <w:rPr>
                <w:rFonts w:ascii="Verdana" w:hAnsi="Verdana"/>
                <w:color w:val="7F7F7F" w:themeColor="text1" w:themeTint="80"/>
                <w:sz w:val="22"/>
                <w:szCs w:val="22"/>
                <w:lang w:val="en-GB" w:eastAsia="fr-FR"/>
              </w:rPr>
            </w:pPr>
          </w:p>
        </w:tc>
      </w:tr>
      <w:tr w:rsidR="00FC5744" w:rsidRPr="001360A5" w14:paraId="6E75109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53BFE3F" w14:textId="6420C75E" w:rsidR="006F5ECC" w:rsidRPr="00BC71F5" w:rsidRDefault="006F5ECC" w:rsidP="00020B14">
            <w:pPr>
              <w:tabs>
                <w:tab w:val="left" w:pos="0"/>
                <w:tab w:val="left" w:pos="4536"/>
              </w:tabs>
              <w:ind w:left="-96"/>
              <w:rPr>
                <w:rFonts w:ascii="Verdana" w:hAnsi="Verdana"/>
                <w:bCs/>
                <w:color w:val="7F7F7F" w:themeColor="text1" w:themeTint="80"/>
                <w:sz w:val="22"/>
                <w:szCs w:val="22"/>
                <w:lang w:val="en-GB"/>
              </w:rPr>
            </w:pPr>
            <w:r w:rsidRPr="00BC71F5">
              <w:rPr>
                <w:rFonts w:ascii="Verdana" w:hAnsi="Verdana"/>
                <w:bCs/>
                <w:color w:val="7F7F7F" w:themeColor="text1" w:themeTint="80"/>
                <w:sz w:val="22"/>
                <w:szCs w:val="22"/>
                <w:lang w:val="en-GB"/>
              </w:rPr>
              <w:lastRenderedPageBreak/>
              <w:t>5.</w:t>
            </w:r>
          </w:p>
        </w:tc>
        <w:tc>
          <w:tcPr>
            <w:tcW w:w="506" w:type="pct"/>
            <w:gridSpan w:val="2"/>
            <w:tcBorders>
              <w:top w:val="single" w:sz="4" w:space="0" w:color="auto"/>
              <w:left w:val="single" w:sz="4" w:space="0" w:color="auto"/>
              <w:bottom w:val="single" w:sz="4" w:space="0" w:color="auto"/>
              <w:right w:val="single" w:sz="4" w:space="0" w:color="auto"/>
            </w:tcBorders>
          </w:tcPr>
          <w:p w14:paraId="0BB17B6B" w14:textId="77777777" w:rsidR="006F5ECC" w:rsidRPr="0003536E" w:rsidRDefault="006F5ECC" w:rsidP="00020B14">
            <w:pPr>
              <w:tabs>
                <w:tab w:val="left" w:pos="0"/>
                <w:tab w:val="left" w:pos="4536"/>
              </w:tabs>
              <w:ind w:left="-96"/>
              <w:rPr>
                <w:b/>
                <w:bCs/>
                <w:color w:val="7F7F7F" w:themeColor="text1" w:themeTint="80"/>
                <w:sz w:val="22"/>
                <w:szCs w:val="22"/>
                <w:lang w:val="en-US"/>
              </w:rPr>
            </w:pPr>
            <w:r w:rsidRPr="0003536E">
              <w:rPr>
                <w:rFonts w:ascii="Verdana" w:eastAsia="Verdana" w:hAnsi="Verdana" w:cs="Verdana"/>
                <w:b/>
                <w:bCs/>
                <w:color w:val="7F7F7F" w:themeColor="text1" w:themeTint="80"/>
                <w:sz w:val="22"/>
                <w:szCs w:val="22"/>
                <w:lang w:val="en-US"/>
              </w:rPr>
              <w:t>Questions to stakeholders</w:t>
            </w:r>
          </w:p>
          <w:p w14:paraId="0995856A" w14:textId="77777777" w:rsidR="006F5ECC" w:rsidRPr="00BC71F5" w:rsidRDefault="006F5ECC" w:rsidP="00020B14">
            <w:pPr>
              <w:tabs>
                <w:tab w:val="left" w:pos="0"/>
                <w:tab w:val="left" w:pos="4536"/>
              </w:tabs>
              <w:ind w:left="-96"/>
              <w:rPr>
                <w:rFonts w:ascii="Verdana" w:hAnsi="Verdana"/>
                <w:color w:val="7F7F7F" w:themeColor="text1" w:themeTint="80"/>
                <w:sz w:val="22"/>
                <w:szCs w:val="22"/>
                <w:lang w:val="en-US"/>
              </w:rPr>
            </w:pPr>
          </w:p>
        </w:tc>
        <w:tc>
          <w:tcPr>
            <w:tcW w:w="1999" w:type="pct"/>
            <w:tcBorders>
              <w:top w:val="single" w:sz="4" w:space="0" w:color="auto"/>
              <w:left w:val="single" w:sz="4" w:space="0" w:color="auto"/>
              <w:bottom w:val="single" w:sz="4" w:space="0" w:color="auto"/>
              <w:right w:val="single" w:sz="4" w:space="0" w:color="auto"/>
            </w:tcBorders>
          </w:tcPr>
          <w:p w14:paraId="48614057" w14:textId="77777777" w:rsidR="006F5ECC" w:rsidRPr="00395661" w:rsidRDefault="006F5ECC" w:rsidP="00020B14">
            <w:pPr>
              <w:tabs>
                <w:tab w:val="left" w:pos="0"/>
                <w:tab w:val="left" w:pos="4536"/>
              </w:tabs>
              <w:spacing w:line="120" w:lineRule="exact"/>
              <w:rPr>
                <w:color w:val="7F7F7F" w:themeColor="text1" w:themeTint="80"/>
                <w:sz w:val="22"/>
                <w:szCs w:val="22"/>
                <w:lang w:val="en-US"/>
              </w:rPr>
            </w:pPr>
          </w:p>
          <w:p w14:paraId="55EE235E" w14:textId="5DB90122" w:rsidR="006F5ECC" w:rsidRPr="00395661" w:rsidRDefault="006F5ECC" w:rsidP="00020B14">
            <w:pPr>
              <w:tabs>
                <w:tab w:val="left" w:pos="0"/>
                <w:tab w:val="left" w:pos="4536"/>
              </w:tabs>
              <w:ind w:right="20" w:hanging="565"/>
              <w:jc w:val="both"/>
              <w:rPr>
                <w:rFonts w:ascii="Verdana" w:eastAsia="Verdana" w:hAnsi="Verdana" w:cs="Verdana"/>
                <w:b/>
                <w:bCs/>
                <w:color w:val="7F7F7F" w:themeColor="text1" w:themeTint="80"/>
                <w:sz w:val="22"/>
                <w:szCs w:val="22"/>
                <w:lang w:val="en-US"/>
              </w:rPr>
            </w:pPr>
            <w:r w:rsidRPr="00395661">
              <w:rPr>
                <w:rFonts w:ascii="Verdana" w:eastAsia="Verdana" w:hAnsi="Verdana" w:cs="Verdana"/>
                <w:b/>
                <w:bCs/>
                <w:color w:val="7F7F7F" w:themeColor="text1" w:themeTint="80"/>
                <w:sz w:val="22"/>
                <w:szCs w:val="22"/>
                <w:lang w:val="en-US"/>
              </w:rPr>
              <w:t>Q5.3: Do you consider that the correlations within market risk, as well as the correlation between lapse risk and market risks should be amended? If your answer is “yes”, you are invited to provide quantitative evidence supporting your reasoning</w:t>
            </w:r>
          </w:p>
          <w:p w14:paraId="29C7B3B1" w14:textId="7A10B90D" w:rsidR="006F5ECC" w:rsidRPr="00395661" w:rsidRDefault="006F5ECC" w:rsidP="00020B14">
            <w:pPr>
              <w:tabs>
                <w:tab w:val="left" w:pos="0"/>
                <w:tab w:val="left" w:pos="4536"/>
              </w:tabs>
              <w:spacing w:line="256" w:lineRule="auto"/>
              <w:ind w:right="20"/>
              <w:jc w:val="both"/>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The European Commission requests in its Call for advice to EIOPA to assess the appropriateness of the entire correlation structure of the Solvency Capital Requirement Standard Formula and in particular the correlation between lapse risk and market risk, however only the latter is addressed in EIOPA´s consultation paper. </w:t>
            </w:r>
          </w:p>
          <w:p w14:paraId="6D4546B2" w14:textId="227C84B6" w:rsidR="006F5ECC" w:rsidRPr="00395661" w:rsidRDefault="006F5ECC" w:rsidP="00020B14">
            <w:pPr>
              <w:tabs>
                <w:tab w:val="left" w:pos="0"/>
                <w:tab w:val="left" w:pos="4536"/>
              </w:tabs>
              <w:spacing w:line="256" w:lineRule="auto"/>
              <w:ind w:right="20"/>
              <w:jc w:val="both"/>
              <w:rPr>
                <w:rFonts w:ascii="Verdana" w:hAnsi="Verdana"/>
                <w:color w:val="7F7F7F" w:themeColor="text1" w:themeTint="80"/>
                <w:sz w:val="22"/>
                <w:szCs w:val="22"/>
                <w:lang w:val="en-US"/>
              </w:rPr>
            </w:pPr>
            <w:r>
              <w:rPr>
                <w:rFonts w:ascii="Verdana" w:hAnsi="Verdana"/>
                <w:color w:val="7F7F7F" w:themeColor="text1" w:themeTint="80"/>
                <w:sz w:val="22"/>
                <w:szCs w:val="22"/>
                <w:lang w:val="en-US"/>
              </w:rPr>
              <w:t>T</w:t>
            </w:r>
            <w:r w:rsidRPr="00395661">
              <w:rPr>
                <w:rFonts w:ascii="Verdana" w:hAnsi="Verdana"/>
                <w:color w:val="7F7F7F" w:themeColor="text1" w:themeTint="80"/>
                <w:sz w:val="22"/>
                <w:szCs w:val="22"/>
                <w:lang w:val="en-US"/>
              </w:rPr>
              <w:t>he study on interest rate correlations vs. equities and spreads does not imply in anyway how the correlations should be considered towards life lapse risk. This rationale needs to be better justified.</w:t>
            </w:r>
          </w:p>
          <w:p w14:paraId="534D48FD" w14:textId="689E273A" w:rsidR="006F5ECC" w:rsidRPr="00395661" w:rsidRDefault="006F5ECC" w:rsidP="00020B14">
            <w:pPr>
              <w:tabs>
                <w:tab w:val="left" w:pos="0"/>
                <w:tab w:val="left" w:pos="4536"/>
              </w:tabs>
              <w:spacing w:line="256" w:lineRule="auto"/>
              <w:ind w:right="20"/>
              <w:jc w:val="both"/>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A positive correlation of 0,25 between market and life risk modules basically means than in a VaR 99,5% risk event these two risks amplify each other by 25%. As there is clearly no data as to what happens to lapses in a 1-in-200 market risk event, expert judgement should be used to judge whether the two risks amplify each other, they are independent risks or they hedge each other. With some risks, say longevity risk the independence seems to be quite self-evident but mass lapse risk for example, which by definition is the risk of losing the profitable part of the business only, is not so clear. During a market risk event there will surely be a lot of different reasons for policyholders to lapse their policies and it seems a hard assumption to believe that not only the profitable policies would lapse but also that this event would be amplified.   </w:t>
            </w:r>
          </w:p>
          <w:p w14:paraId="482BF4C5" w14:textId="77777777" w:rsidR="006F5ECC" w:rsidRPr="00395661" w:rsidRDefault="006F5ECC" w:rsidP="00020B14">
            <w:pPr>
              <w:tabs>
                <w:tab w:val="left" w:pos="0"/>
                <w:tab w:val="left" w:pos="4536"/>
              </w:tabs>
              <w:rPr>
                <w:rFonts w:ascii="Verdana" w:hAnsi="Verdana"/>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595A0B6C" w14:textId="77777777" w:rsidR="006F5ECC" w:rsidRPr="00BC71F5" w:rsidRDefault="006F5ECC" w:rsidP="00020B14">
            <w:pPr>
              <w:tabs>
                <w:tab w:val="left" w:pos="0"/>
                <w:tab w:val="left" w:pos="4536"/>
              </w:tabs>
              <w:ind w:left="-96"/>
              <w:rPr>
                <w:color w:val="7F7F7F" w:themeColor="text1" w:themeTint="80"/>
                <w:sz w:val="22"/>
                <w:szCs w:val="22"/>
                <w:lang w:val="en-GB" w:eastAsia="fr-FR"/>
              </w:rPr>
            </w:pPr>
          </w:p>
        </w:tc>
      </w:tr>
      <w:tr w:rsidR="006F5ECC" w:rsidRPr="00BC71F5" w14:paraId="170754B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37E2E8BC" w14:textId="77777777" w:rsidR="006F5ECC" w:rsidRPr="00395661" w:rsidRDefault="006F5ECC" w:rsidP="00020B14">
            <w:pPr>
              <w:tabs>
                <w:tab w:val="left" w:pos="0"/>
                <w:tab w:val="left" w:pos="4536"/>
              </w:tabs>
              <w:rPr>
                <w:rFonts w:ascii="Verdana" w:hAnsi="Verdana"/>
                <w:b/>
                <w:bCs/>
                <w:color w:val="7F7F7F" w:themeColor="text1" w:themeTint="80"/>
                <w:sz w:val="22"/>
                <w:szCs w:val="22"/>
                <w:lang w:val="en-GB" w:eastAsia="fr-FR"/>
              </w:rPr>
            </w:pPr>
            <w:r w:rsidRPr="00395661">
              <w:rPr>
                <w:rFonts w:ascii="Verdana" w:hAnsi="Verdana"/>
                <w:b/>
                <w:bCs/>
                <w:color w:val="7F7F7F" w:themeColor="text1" w:themeTint="80"/>
                <w:sz w:val="22"/>
                <w:szCs w:val="22"/>
                <w:lang w:val="en-GB" w:eastAsia="fr-FR"/>
              </w:rPr>
              <w:t>5.5 Counterparty default risk</w:t>
            </w:r>
          </w:p>
        </w:tc>
      </w:tr>
      <w:tr w:rsidR="00FC5744" w:rsidRPr="001360A5" w14:paraId="334B54D0"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8B8C040" w14:textId="362EBAFB" w:rsidR="006F5ECC" w:rsidRDefault="006F5ECC" w:rsidP="00020B14">
            <w:pPr>
              <w:tabs>
                <w:tab w:val="left" w:pos="0"/>
                <w:tab w:val="left" w:pos="4536"/>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lastRenderedPageBreak/>
              <w:t>5</w:t>
            </w:r>
          </w:p>
        </w:tc>
        <w:tc>
          <w:tcPr>
            <w:tcW w:w="506" w:type="pct"/>
            <w:gridSpan w:val="2"/>
            <w:tcBorders>
              <w:top w:val="single" w:sz="4" w:space="0" w:color="auto"/>
              <w:left w:val="single" w:sz="4" w:space="0" w:color="auto"/>
              <w:bottom w:val="single" w:sz="4" w:space="0" w:color="auto"/>
              <w:right w:val="single" w:sz="4" w:space="0" w:color="auto"/>
            </w:tcBorders>
          </w:tcPr>
          <w:p w14:paraId="42B4356F" w14:textId="493BE952" w:rsidR="006F5ECC"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197</w:t>
            </w:r>
          </w:p>
        </w:tc>
        <w:tc>
          <w:tcPr>
            <w:tcW w:w="1999" w:type="pct"/>
            <w:tcBorders>
              <w:top w:val="single" w:sz="4" w:space="0" w:color="auto"/>
              <w:left w:val="single" w:sz="4" w:space="0" w:color="auto"/>
              <w:bottom w:val="single" w:sz="4" w:space="0" w:color="auto"/>
              <w:right w:val="single" w:sz="4" w:space="0" w:color="auto"/>
            </w:tcBorders>
          </w:tcPr>
          <w:p w14:paraId="4EE73F88" w14:textId="77777777" w:rsidR="006F5ECC" w:rsidRPr="001F7855" w:rsidRDefault="006F5ECC" w:rsidP="00020B14">
            <w:pPr>
              <w:tabs>
                <w:tab w:val="left" w:pos="0"/>
                <w:tab w:val="left" w:pos="4536"/>
              </w:tabs>
              <w:spacing w:after="120"/>
              <w:rPr>
                <w:rFonts w:ascii="Verdana" w:hAnsi="Verdana"/>
                <w:b/>
                <w:bCs/>
                <w:color w:val="7F7F7F" w:themeColor="text1" w:themeTint="80"/>
                <w:sz w:val="22"/>
                <w:szCs w:val="22"/>
                <w:lang w:val="en-US"/>
              </w:rPr>
            </w:pPr>
            <w:r w:rsidRPr="001F7855">
              <w:rPr>
                <w:rFonts w:ascii="Verdana" w:hAnsi="Verdana"/>
                <w:b/>
                <w:bCs/>
                <w:color w:val="7F7F7F" w:themeColor="text1" w:themeTint="80"/>
                <w:sz w:val="22"/>
                <w:szCs w:val="22"/>
                <w:lang w:val="en-US"/>
              </w:rPr>
              <w:t xml:space="preserve">Simplified calculation of the risk-mitigating effect of derivatives, reinsurance arrangement, special purpose vehicles and insurance securitisations </w:t>
            </w:r>
          </w:p>
          <w:p w14:paraId="26BCBD0A" w14:textId="57F0E0A7" w:rsidR="006F5ECC" w:rsidRPr="001F7855" w:rsidRDefault="006F5ECC" w:rsidP="00020B14">
            <w:pPr>
              <w:tabs>
                <w:tab w:val="left" w:pos="0"/>
                <w:tab w:val="left" w:pos="4536"/>
              </w:tabs>
              <w:rPr>
                <w:rFonts w:ascii="Verdana" w:hAnsi="Verdana"/>
                <w:color w:val="7F7F7F" w:themeColor="text1" w:themeTint="80"/>
                <w:sz w:val="22"/>
                <w:szCs w:val="22"/>
                <w:lang w:val="en-US"/>
              </w:rPr>
            </w:pPr>
            <w:r w:rsidRPr="001F7855">
              <w:rPr>
                <w:rFonts w:ascii="Verdana" w:hAnsi="Verdana"/>
                <w:color w:val="7F7F7F" w:themeColor="text1" w:themeTint="80"/>
                <w:sz w:val="22"/>
                <w:szCs w:val="22"/>
                <w:lang w:val="en-US"/>
              </w:rPr>
              <w:t>We propose to clarify the definition of BSCR</w:t>
            </w:r>
            <w:r w:rsidRPr="001F7855">
              <w:rPr>
                <w:rFonts w:ascii="Verdana" w:hAnsi="Verdana"/>
                <w:color w:val="7F7F7F" w:themeColor="text1" w:themeTint="80"/>
                <w:sz w:val="22"/>
                <w:szCs w:val="22"/>
                <w:vertAlign w:val="superscript"/>
                <w:lang w:val="en-US"/>
              </w:rPr>
              <w:t>*,without</w:t>
            </w:r>
            <w:r w:rsidRPr="001F7855">
              <w:rPr>
                <w:rFonts w:ascii="Verdana" w:hAnsi="Verdana"/>
                <w:color w:val="7F7F7F" w:themeColor="text1" w:themeTint="80"/>
                <w:sz w:val="22"/>
                <w:szCs w:val="22"/>
                <w:lang w:val="en-US"/>
              </w:rPr>
              <w:t>  as follows :  </w:t>
            </w:r>
          </w:p>
          <w:p w14:paraId="31ACE567" w14:textId="77777777" w:rsidR="006F5ECC" w:rsidRPr="001F7855" w:rsidRDefault="006F5ECC" w:rsidP="00020B14">
            <w:pPr>
              <w:tabs>
                <w:tab w:val="left" w:pos="0"/>
                <w:tab w:val="left" w:pos="4536"/>
              </w:tabs>
              <w:rPr>
                <w:rFonts w:ascii="Verdana" w:hAnsi="Verdana"/>
                <w:color w:val="7F7F7F" w:themeColor="text1" w:themeTint="80"/>
                <w:sz w:val="22"/>
                <w:szCs w:val="22"/>
                <w:lang w:val="en-US"/>
              </w:rPr>
            </w:pPr>
            <w:r w:rsidRPr="001F7855">
              <w:rPr>
                <w:rFonts w:ascii="Verdana" w:hAnsi="Verdana"/>
                <w:i/>
                <w:iCs/>
                <w:color w:val="7F7F7F" w:themeColor="text1" w:themeTint="80"/>
                <w:sz w:val="22"/>
                <w:szCs w:val="22"/>
                <w:lang w:val="en-US"/>
              </w:rPr>
              <w:t>BSCR</w:t>
            </w:r>
            <w:r w:rsidRPr="001F7855">
              <w:rPr>
                <w:rFonts w:ascii="Verdana" w:hAnsi="Verdana"/>
                <w:i/>
                <w:iCs/>
                <w:color w:val="7F7F7F" w:themeColor="text1" w:themeTint="80"/>
                <w:sz w:val="22"/>
                <w:szCs w:val="22"/>
                <w:vertAlign w:val="superscript"/>
                <w:lang w:val="en-US"/>
              </w:rPr>
              <w:t>*,without</w:t>
            </w:r>
            <w:r w:rsidRPr="001F7855">
              <w:rPr>
                <w:rFonts w:ascii="Verdana" w:hAnsi="Verdana"/>
                <w:i/>
                <w:iCs/>
                <w:color w:val="7F7F7F" w:themeColor="text1" w:themeTint="80"/>
                <w:sz w:val="22"/>
                <w:szCs w:val="22"/>
                <w:lang w:val="en-US"/>
              </w:rPr>
              <w:t xml:space="preserve"> is the Basic Solvency Capital Requirement without counterparty default risk </w:t>
            </w:r>
            <w:r w:rsidRPr="001F7855">
              <w:rPr>
                <w:rFonts w:ascii="Verdana" w:hAnsi="Verdana"/>
                <w:b/>
                <w:bCs/>
                <w:i/>
                <w:iCs/>
                <w:color w:val="7F7F7F" w:themeColor="text1" w:themeTint="80"/>
                <w:sz w:val="22"/>
                <w:szCs w:val="22"/>
                <w:u w:val="single"/>
                <w:lang w:val="en-US"/>
              </w:rPr>
              <w:t>module</w:t>
            </w:r>
            <w:r w:rsidRPr="001F7855">
              <w:rPr>
                <w:rFonts w:ascii="Verdana" w:hAnsi="Verdana"/>
                <w:i/>
                <w:iCs/>
                <w:color w:val="7F7F7F" w:themeColor="text1" w:themeTint="80"/>
                <w:sz w:val="22"/>
                <w:szCs w:val="22"/>
                <w:lang w:val="en-US"/>
              </w:rPr>
              <w:t xml:space="preserve"> that would result if no derivatives, reinsurance arrangements, special purpose vehicles and insurance securitisations were in force. </w:t>
            </w:r>
          </w:p>
          <w:p w14:paraId="50E95FCE" w14:textId="5D49C4FB" w:rsidR="006F5ECC" w:rsidRPr="001F7855" w:rsidRDefault="006F5ECC" w:rsidP="00020B14">
            <w:pPr>
              <w:tabs>
                <w:tab w:val="left" w:pos="0"/>
                <w:tab w:val="left" w:pos="4536"/>
              </w:tabs>
              <w:rPr>
                <w:rFonts w:ascii="Verdana" w:hAnsi="Verdana"/>
                <w:color w:val="7F7F7F" w:themeColor="text1" w:themeTint="80"/>
                <w:sz w:val="22"/>
                <w:szCs w:val="22"/>
                <w:lang w:val="en-US"/>
              </w:rPr>
            </w:pPr>
            <w:r w:rsidRPr="001F7855">
              <w:rPr>
                <w:rFonts w:ascii="Verdana" w:hAnsi="Verdana"/>
                <w:color w:val="7F7F7F" w:themeColor="text1" w:themeTint="80"/>
                <w:sz w:val="22"/>
                <w:szCs w:val="22"/>
                <w:lang w:val="en-US"/>
              </w:rPr>
              <w:t>This clarification would avoid a possible inconsistency with the calculation of BSCR</w:t>
            </w:r>
            <w:r w:rsidRPr="001F7855">
              <w:rPr>
                <w:rFonts w:ascii="Verdana" w:hAnsi="Verdana"/>
                <w:color w:val="7F7F7F" w:themeColor="text1" w:themeTint="80"/>
                <w:sz w:val="22"/>
                <w:szCs w:val="22"/>
                <w:vertAlign w:val="superscript"/>
                <w:lang w:val="en-US"/>
              </w:rPr>
              <w:t>*</w:t>
            </w:r>
            <w:r w:rsidRPr="001F7855">
              <w:rPr>
                <w:rFonts w:ascii="Verdana" w:hAnsi="Verdana"/>
                <w:color w:val="7F7F7F" w:themeColor="text1" w:themeTint="80"/>
                <w:sz w:val="22"/>
                <w:szCs w:val="22"/>
                <w:lang w:val="en-US"/>
              </w:rPr>
              <w:t xml:space="preserve"> which is, as it is explicitly proposed above, calculated without the counterparty default risk module.</w:t>
            </w:r>
          </w:p>
          <w:p w14:paraId="62D55ABD" w14:textId="0A34CBAB" w:rsidR="006F5ECC" w:rsidRPr="00823BC5" w:rsidRDefault="006F5ECC" w:rsidP="00020B14">
            <w:pPr>
              <w:tabs>
                <w:tab w:val="left" w:pos="0"/>
                <w:tab w:val="left" w:pos="4536"/>
              </w:tabs>
              <w:rPr>
                <w:lang w:val="en-US"/>
              </w:rPr>
            </w:pPr>
          </w:p>
          <w:p w14:paraId="1672C987" w14:textId="77777777" w:rsidR="006F5ECC" w:rsidRPr="00395661" w:rsidRDefault="006F5ECC" w:rsidP="00020B14">
            <w:pPr>
              <w:tabs>
                <w:tab w:val="left" w:pos="0"/>
                <w:tab w:val="left" w:pos="4536"/>
              </w:tabs>
              <w:rPr>
                <w:rFonts w:ascii="Verdana" w:hAnsi="Verdana"/>
                <w:b/>
                <w:bCs/>
                <w:color w:val="7F7F7F" w:themeColor="text1" w:themeTint="80"/>
                <w:sz w:val="22"/>
                <w:szCs w:val="22"/>
                <w:lang w:val="en-GB"/>
              </w:rPr>
            </w:pPr>
          </w:p>
        </w:tc>
        <w:tc>
          <w:tcPr>
            <w:tcW w:w="483" w:type="pct"/>
            <w:tcBorders>
              <w:top w:val="single" w:sz="4" w:space="0" w:color="auto"/>
              <w:left w:val="single" w:sz="4" w:space="0" w:color="auto"/>
              <w:bottom w:val="single" w:sz="4" w:space="0" w:color="auto"/>
              <w:right w:val="single" w:sz="4" w:space="0" w:color="auto"/>
            </w:tcBorders>
          </w:tcPr>
          <w:p w14:paraId="4CAA1097" w14:textId="77777777" w:rsidR="006F5ECC" w:rsidRPr="00BC71F5" w:rsidRDefault="006F5ECC" w:rsidP="00020B14">
            <w:pPr>
              <w:tabs>
                <w:tab w:val="left" w:pos="0"/>
                <w:tab w:val="left" w:pos="4536"/>
              </w:tabs>
              <w:ind w:left="-96"/>
              <w:rPr>
                <w:color w:val="7F7F7F" w:themeColor="text1" w:themeTint="80"/>
                <w:sz w:val="22"/>
                <w:szCs w:val="22"/>
                <w:lang w:val="en-GB" w:eastAsia="fr-FR"/>
              </w:rPr>
            </w:pPr>
          </w:p>
        </w:tc>
      </w:tr>
      <w:tr w:rsidR="00FC5744" w:rsidRPr="00E67D13" w14:paraId="0E7FCBCE"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EBB8540" w14:textId="26C18A07" w:rsidR="006F5ECC" w:rsidRDefault="006F5ECC" w:rsidP="00020B14">
            <w:pPr>
              <w:tabs>
                <w:tab w:val="left" w:pos="0"/>
                <w:tab w:val="left" w:pos="4536"/>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5</w:t>
            </w:r>
          </w:p>
        </w:tc>
        <w:tc>
          <w:tcPr>
            <w:tcW w:w="506" w:type="pct"/>
            <w:gridSpan w:val="2"/>
            <w:tcBorders>
              <w:top w:val="single" w:sz="4" w:space="0" w:color="auto"/>
              <w:left w:val="single" w:sz="4" w:space="0" w:color="auto"/>
              <w:bottom w:val="single" w:sz="4" w:space="0" w:color="auto"/>
              <w:right w:val="single" w:sz="4" w:space="0" w:color="auto"/>
            </w:tcBorders>
          </w:tcPr>
          <w:p w14:paraId="4AF3A3AB" w14:textId="51D4DC52" w:rsidR="006F5ECC"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198</w:t>
            </w:r>
          </w:p>
        </w:tc>
        <w:tc>
          <w:tcPr>
            <w:tcW w:w="1999" w:type="pct"/>
            <w:tcBorders>
              <w:top w:val="single" w:sz="4" w:space="0" w:color="auto"/>
              <w:left w:val="single" w:sz="4" w:space="0" w:color="auto"/>
              <w:bottom w:val="single" w:sz="4" w:space="0" w:color="auto"/>
              <w:right w:val="single" w:sz="4" w:space="0" w:color="auto"/>
            </w:tcBorders>
          </w:tcPr>
          <w:p w14:paraId="1AA4833E" w14:textId="77777777" w:rsidR="006F5ECC" w:rsidRPr="00565AD3" w:rsidRDefault="006F5ECC" w:rsidP="00020B14">
            <w:pPr>
              <w:tabs>
                <w:tab w:val="left" w:pos="0"/>
                <w:tab w:val="left" w:pos="4536"/>
              </w:tabs>
              <w:rPr>
                <w:rFonts w:ascii="Verdana" w:hAnsi="Verdana"/>
                <w:color w:val="7F7F7F" w:themeColor="text1" w:themeTint="80"/>
                <w:lang w:val="en-US"/>
              </w:rPr>
            </w:pPr>
            <w:r w:rsidRPr="00565AD3">
              <w:rPr>
                <w:rFonts w:ascii="Verdana" w:hAnsi="Verdana"/>
                <w:b/>
                <w:bCs/>
                <w:color w:val="7F7F7F" w:themeColor="text1" w:themeTint="80"/>
                <w:sz w:val="22"/>
                <w:szCs w:val="22"/>
                <w:lang w:val="en-US"/>
              </w:rPr>
              <w:t>Calculation of RM</w:t>
            </w:r>
            <w:r w:rsidRPr="00565AD3">
              <w:rPr>
                <w:rFonts w:ascii="Verdana" w:hAnsi="Verdana"/>
                <w:b/>
                <w:bCs/>
                <w:color w:val="7F7F7F" w:themeColor="text1" w:themeTint="80"/>
                <w:sz w:val="22"/>
                <w:szCs w:val="22"/>
                <w:vertAlign w:val="subscript"/>
                <w:lang w:val="en-US"/>
              </w:rPr>
              <w:t>i</w:t>
            </w:r>
            <w:r w:rsidRPr="00565AD3">
              <w:rPr>
                <w:rFonts w:ascii="Verdana" w:hAnsi="Verdana"/>
                <w:b/>
                <w:bCs/>
                <w:color w:val="7F7F7F" w:themeColor="text1" w:themeTint="80"/>
                <w:vertAlign w:val="subscript"/>
                <w:lang w:val="en-US"/>
              </w:rPr>
              <w:t xml:space="preserve"> </w:t>
            </w:r>
            <w:r w:rsidRPr="00565AD3">
              <w:rPr>
                <w:rFonts w:ascii="Verdana" w:hAnsi="Verdana"/>
                <w:b/>
                <w:bCs/>
                <w:color w:val="7F7F7F" w:themeColor="text1" w:themeTint="80"/>
                <w:lang w:val="en-US"/>
              </w:rPr>
              <w:t>:</w:t>
            </w:r>
          </w:p>
          <w:p w14:paraId="7070ACB9" w14:textId="5B9A6F9E" w:rsidR="006F5ECC" w:rsidRPr="00565AD3" w:rsidRDefault="006F5ECC" w:rsidP="00020B14">
            <w:pPr>
              <w:tabs>
                <w:tab w:val="left" w:pos="0"/>
                <w:tab w:val="left" w:pos="4536"/>
              </w:tabs>
              <w:rPr>
                <w:rFonts w:ascii="Verdana" w:hAnsi="Verdana"/>
                <w:color w:val="7F7F7F" w:themeColor="text1" w:themeTint="80"/>
                <w:sz w:val="22"/>
                <w:szCs w:val="22"/>
                <w:lang w:val="en-US"/>
              </w:rPr>
            </w:pPr>
            <w:r w:rsidRPr="00565AD3">
              <w:rPr>
                <w:rFonts w:ascii="Verdana" w:hAnsi="Verdana"/>
                <w:color w:val="7F7F7F" w:themeColor="text1" w:themeTint="80"/>
                <w:sz w:val="22"/>
                <w:szCs w:val="22"/>
                <w:lang w:val="en-US"/>
              </w:rPr>
              <w:t>We suggest the following formula in order to avoid that negative amounts become positive whereas they cannot be considered as having a risk mitigation effect:</w:t>
            </w:r>
          </w:p>
          <w:p w14:paraId="2D9F333D" w14:textId="77777777" w:rsidR="006F5ECC" w:rsidRPr="003F3FBA" w:rsidRDefault="006F5ECC" w:rsidP="00020B14">
            <w:pPr>
              <w:tabs>
                <w:tab w:val="left" w:pos="0"/>
                <w:tab w:val="left" w:pos="4536"/>
              </w:tabs>
              <w:rPr>
                <w:lang w:val="en-US"/>
              </w:rPr>
            </w:pPr>
            <w:r>
              <w:rPr>
                <w:color w:val="1F497D"/>
                <w:lang w:val="en-US"/>
              </w:rPr>
              <w:t> </w:t>
            </w:r>
          </w:p>
          <w:p w14:paraId="4F7D72B7" w14:textId="77777777" w:rsidR="006F5ECC" w:rsidRDefault="006F5ECC" w:rsidP="00020B14">
            <w:pPr>
              <w:tabs>
                <w:tab w:val="left" w:pos="0"/>
                <w:tab w:val="left" w:pos="4536"/>
              </w:tabs>
              <w:rPr>
                <w:lang w:val="fr-FR"/>
              </w:rPr>
            </w:pPr>
            <w:r>
              <w:rPr>
                <w:noProof/>
                <w:color w:val="1F497D"/>
                <w:position w:val="-60"/>
                <w:lang w:val="en-GB" w:eastAsia="en-GB"/>
              </w:rPr>
              <w:drawing>
                <wp:inline distT="0" distB="0" distL="0" distR="0" wp14:anchorId="1AA6C23B" wp14:editId="0A760C8E">
                  <wp:extent cx="2095500" cy="6413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2095500" cy="641350"/>
                          </a:xfrm>
                          <a:prstGeom prst="rect">
                            <a:avLst/>
                          </a:prstGeom>
                          <a:noFill/>
                          <a:ln>
                            <a:noFill/>
                          </a:ln>
                        </pic:spPr>
                      </pic:pic>
                    </a:graphicData>
                  </a:graphic>
                </wp:inline>
              </w:drawing>
            </w:r>
          </w:p>
          <w:p w14:paraId="7FDAB288" w14:textId="77777777" w:rsidR="006F5ECC" w:rsidRPr="00395661" w:rsidRDefault="006F5ECC" w:rsidP="00020B14">
            <w:pPr>
              <w:tabs>
                <w:tab w:val="left" w:pos="0"/>
                <w:tab w:val="left" w:pos="4536"/>
              </w:tabs>
              <w:rPr>
                <w:rFonts w:ascii="Verdana" w:hAnsi="Verdana"/>
                <w:b/>
                <w:bCs/>
                <w:color w:val="7F7F7F" w:themeColor="text1" w:themeTint="80"/>
                <w:sz w:val="22"/>
                <w:szCs w:val="22"/>
                <w:lang w:val="en-GB"/>
              </w:rPr>
            </w:pPr>
          </w:p>
        </w:tc>
        <w:tc>
          <w:tcPr>
            <w:tcW w:w="483" w:type="pct"/>
            <w:tcBorders>
              <w:top w:val="single" w:sz="4" w:space="0" w:color="auto"/>
              <w:left w:val="single" w:sz="4" w:space="0" w:color="auto"/>
              <w:bottom w:val="single" w:sz="4" w:space="0" w:color="auto"/>
              <w:right w:val="single" w:sz="4" w:space="0" w:color="auto"/>
            </w:tcBorders>
          </w:tcPr>
          <w:p w14:paraId="03FFFC54" w14:textId="77777777" w:rsidR="006F5ECC" w:rsidRPr="00BC71F5" w:rsidRDefault="006F5ECC" w:rsidP="00020B14">
            <w:pPr>
              <w:tabs>
                <w:tab w:val="left" w:pos="0"/>
                <w:tab w:val="left" w:pos="4536"/>
              </w:tabs>
              <w:ind w:left="-96"/>
              <w:rPr>
                <w:color w:val="7F7F7F" w:themeColor="text1" w:themeTint="80"/>
                <w:sz w:val="22"/>
                <w:szCs w:val="22"/>
                <w:lang w:val="en-GB" w:eastAsia="fr-FR"/>
              </w:rPr>
            </w:pPr>
          </w:p>
        </w:tc>
      </w:tr>
      <w:tr w:rsidR="00FC5744" w:rsidRPr="001360A5" w14:paraId="6E71FF2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F4A5B02" w14:textId="083D5DCC" w:rsidR="006F5ECC" w:rsidRPr="00BC71F5" w:rsidRDefault="006F5ECC" w:rsidP="00020B14">
            <w:pPr>
              <w:tabs>
                <w:tab w:val="left" w:pos="0"/>
                <w:tab w:val="left" w:pos="4536"/>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5</w:t>
            </w:r>
          </w:p>
        </w:tc>
        <w:tc>
          <w:tcPr>
            <w:tcW w:w="506" w:type="pct"/>
            <w:gridSpan w:val="2"/>
            <w:tcBorders>
              <w:top w:val="single" w:sz="4" w:space="0" w:color="auto"/>
              <w:left w:val="single" w:sz="4" w:space="0" w:color="auto"/>
              <w:bottom w:val="single" w:sz="4" w:space="0" w:color="auto"/>
              <w:right w:val="single" w:sz="4" w:space="0" w:color="auto"/>
            </w:tcBorders>
          </w:tcPr>
          <w:p w14:paraId="329223BC" w14:textId="780DD0FE" w:rsidR="006F5ECC" w:rsidRPr="00BC71F5"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199</w:t>
            </w:r>
          </w:p>
        </w:tc>
        <w:tc>
          <w:tcPr>
            <w:tcW w:w="1999" w:type="pct"/>
            <w:tcBorders>
              <w:top w:val="single" w:sz="4" w:space="0" w:color="auto"/>
              <w:left w:val="single" w:sz="4" w:space="0" w:color="auto"/>
              <w:bottom w:val="single" w:sz="4" w:space="0" w:color="auto"/>
              <w:right w:val="single" w:sz="4" w:space="0" w:color="auto"/>
            </w:tcBorders>
          </w:tcPr>
          <w:p w14:paraId="0C55BBC1" w14:textId="77777777" w:rsidR="006F5ECC" w:rsidRPr="00395661" w:rsidRDefault="006F5ECC" w:rsidP="00020B14">
            <w:pPr>
              <w:tabs>
                <w:tab w:val="left" w:pos="0"/>
                <w:tab w:val="left" w:pos="4536"/>
              </w:tabs>
              <w:rPr>
                <w:rFonts w:ascii="Verdana" w:hAnsi="Verdana"/>
                <w:b/>
                <w:bCs/>
                <w:color w:val="7F7F7F" w:themeColor="text1" w:themeTint="80"/>
                <w:sz w:val="22"/>
                <w:szCs w:val="22"/>
                <w:lang w:val="en-GB"/>
              </w:rPr>
            </w:pPr>
            <w:r w:rsidRPr="00395661">
              <w:rPr>
                <w:rFonts w:ascii="Verdana" w:hAnsi="Verdana"/>
                <w:b/>
                <w:bCs/>
                <w:color w:val="7F7F7F" w:themeColor="text1" w:themeTint="80"/>
                <w:sz w:val="22"/>
                <w:szCs w:val="22"/>
                <w:lang w:val="en-GB"/>
              </w:rPr>
              <w:t>Calculation of the hypothetical for the risk-mitigating effect of reinsurance arrangements</w:t>
            </w:r>
          </w:p>
          <w:p w14:paraId="3DAE54CC" w14:textId="3B828765" w:rsidR="006F5ECC" w:rsidRPr="00395661" w:rsidRDefault="006F5ECC" w:rsidP="00020B14">
            <w:pPr>
              <w:tabs>
                <w:tab w:val="left" w:pos="0"/>
                <w:tab w:val="left" w:pos="4536"/>
              </w:tabs>
              <w:rPr>
                <w:rFonts w:ascii="Verdana" w:hAnsi="Verdana"/>
                <w:color w:val="7F7F7F" w:themeColor="text1" w:themeTint="80"/>
                <w:sz w:val="22"/>
                <w:szCs w:val="22"/>
                <w:lang w:val="en-GB"/>
              </w:rPr>
            </w:pPr>
            <w:r w:rsidRPr="00395661">
              <w:rPr>
                <w:rFonts w:ascii="Verdana" w:hAnsi="Verdana"/>
                <w:color w:val="7F7F7F" w:themeColor="text1" w:themeTint="80"/>
                <w:sz w:val="22"/>
                <w:szCs w:val="22"/>
                <w:lang w:val="en-GB"/>
              </w:rPr>
              <w:t xml:space="preserve">We support Option 3 by which the SCR for the fire, marine and aviation risk is calculated on a net of reinsurance basis </w:t>
            </w:r>
          </w:p>
          <w:p w14:paraId="1791972E" w14:textId="4493AB8E" w:rsidR="006F5ECC" w:rsidRPr="00395661" w:rsidRDefault="006F5ECC" w:rsidP="00020B14">
            <w:pPr>
              <w:tabs>
                <w:tab w:val="left" w:pos="0"/>
                <w:tab w:val="left" w:pos="4536"/>
              </w:tabs>
              <w:rPr>
                <w:rFonts w:ascii="Verdana" w:hAnsi="Verdana"/>
                <w:color w:val="7F7F7F" w:themeColor="text1" w:themeTint="80"/>
                <w:sz w:val="22"/>
                <w:szCs w:val="22"/>
                <w:lang w:val="en-GB"/>
              </w:rPr>
            </w:pPr>
            <w:r w:rsidRPr="00395661">
              <w:rPr>
                <w:rFonts w:ascii="Verdana" w:hAnsi="Verdana"/>
                <w:color w:val="7F7F7F" w:themeColor="text1" w:themeTint="80"/>
                <w:sz w:val="22"/>
                <w:szCs w:val="22"/>
                <w:lang w:val="en-GB"/>
              </w:rPr>
              <w:lastRenderedPageBreak/>
              <w:t>and for the purpose of the hypothetical SCR in the CDR calculations the non-existence of the reinsurance arrangement does not alter the identification of the concentration for the fire, marine and</w:t>
            </w:r>
          </w:p>
          <w:p w14:paraId="148E3E24" w14:textId="77777777" w:rsidR="006F5ECC" w:rsidRPr="00395661" w:rsidRDefault="006F5ECC" w:rsidP="00020B14">
            <w:pPr>
              <w:tabs>
                <w:tab w:val="left" w:pos="0"/>
                <w:tab w:val="left" w:pos="4536"/>
              </w:tabs>
              <w:rPr>
                <w:rFonts w:ascii="Verdana" w:hAnsi="Verdana"/>
                <w:color w:val="7F7F7F" w:themeColor="text1" w:themeTint="80"/>
                <w:sz w:val="22"/>
                <w:szCs w:val="22"/>
                <w:lang w:val="en-GB"/>
              </w:rPr>
            </w:pPr>
            <w:r w:rsidRPr="00395661">
              <w:rPr>
                <w:rFonts w:ascii="Verdana" w:hAnsi="Verdana"/>
                <w:color w:val="7F7F7F" w:themeColor="text1" w:themeTint="80"/>
                <w:sz w:val="22"/>
                <w:szCs w:val="22"/>
                <w:lang w:val="en-GB"/>
              </w:rPr>
              <w:t>aviation risk submodules. This option would minimize the burden for undertakings. We had indicated to EIOPA during the 2018 Solvency II review that computing fire risk on the basis of the 5 largest exposures net of facultative reinsurance would have an impact on the risk mitigation effect in the counterparty default risk module. If the risk mitigation is to be computed on the basis of the Gross SCR net of facultative and SCR net of all reinsurance, we are making the assumption that there is no counterparty default risk in facultative reinsurance. However, if EIOPA requires insurers to compute the fire risk sub-module on a net basis we would support Option 3 as it avoids having to recalculate the Gross SCR.</w:t>
            </w:r>
          </w:p>
          <w:p w14:paraId="2B71AC21" w14:textId="5EC3FF47" w:rsidR="006F5ECC" w:rsidRPr="00395661" w:rsidRDefault="006F5ECC" w:rsidP="00020B14">
            <w:pPr>
              <w:tabs>
                <w:tab w:val="left" w:pos="0"/>
                <w:tab w:val="left" w:pos="4536"/>
              </w:tabs>
              <w:rPr>
                <w:rFonts w:ascii="Verdana" w:hAnsi="Verdana"/>
                <w:color w:val="7F7F7F" w:themeColor="text1" w:themeTint="80"/>
                <w:sz w:val="22"/>
                <w:szCs w:val="22"/>
                <w:u w:val="single"/>
                <w:lang w:val="en-GB"/>
              </w:rPr>
            </w:pPr>
          </w:p>
        </w:tc>
        <w:tc>
          <w:tcPr>
            <w:tcW w:w="483" w:type="pct"/>
            <w:tcBorders>
              <w:top w:val="single" w:sz="4" w:space="0" w:color="auto"/>
              <w:left w:val="single" w:sz="4" w:space="0" w:color="auto"/>
              <w:bottom w:val="single" w:sz="4" w:space="0" w:color="auto"/>
              <w:right w:val="single" w:sz="4" w:space="0" w:color="auto"/>
            </w:tcBorders>
          </w:tcPr>
          <w:p w14:paraId="42E536BE" w14:textId="77777777" w:rsidR="006F5ECC" w:rsidRPr="00BC71F5" w:rsidRDefault="006F5ECC" w:rsidP="00020B14">
            <w:pPr>
              <w:tabs>
                <w:tab w:val="left" w:pos="0"/>
                <w:tab w:val="left" w:pos="4536"/>
              </w:tabs>
              <w:ind w:left="-96"/>
              <w:rPr>
                <w:color w:val="7F7F7F" w:themeColor="text1" w:themeTint="80"/>
                <w:sz w:val="22"/>
                <w:szCs w:val="22"/>
                <w:lang w:val="en-GB" w:eastAsia="fr-FR"/>
              </w:rPr>
            </w:pPr>
          </w:p>
        </w:tc>
      </w:tr>
      <w:tr w:rsidR="00FC5744" w:rsidRPr="001360A5" w14:paraId="1AF712A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8D7B23A" w14:textId="15CB6EF6" w:rsidR="006F5ECC" w:rsidRDefault="006F5ECC" w:rsidP="00020B14">
            <w:pPr>
              <w:tabs>
                <w:tab w:val="left" w:pos="0"/>
                <w:tab w:val="left" w:pos="4536"/>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5</w:t>
            </w:r>
          </w:p>
        </w:tc>
        <w:tc>
          <w:tcPr>
            <w:tcW w:w="506" w:type="pct"/>
            <w:gridSpan w:val="2"/>
            <w:tcBorders>
              <w:top w:val="single" w:sz="4" w:space="0" w:color="auto"/>
              <w:left w:val="single" w:sz="4" w:space="0" w:color="auto"/>
              <w:bottom w:val="single" w:sz="4" w:space="0" w:color="auto"/>
              <w:right w:val="single" w:sz="4" w:space="0" w:color="auto"/>
            </w:tcBorders>
          </w:tcPr>
          <w:p w14:paraId="65DD3D39" w14:textId="4C044C35" w:rsidR="006F5ECC"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202-203</w:t>
            </w:r>
          </w:p>
        </w:tc>
        <w:tc>
          <w:tcPr>
            <w:tcW w:w="1999" w:type="pct"/>
            <w:tcBorders>
              <w:top w:val="single" w:sz="4" w:space="0" w:color="auto"/>
              <w:left w:val="single" w:sz="4" w:space="0" w:color="auto"/>
              <w:bottom w:val="single" w:sz="4" w:space="0" w:color="auto"/>
              <w:right w:val="single" w:sz="4" w:space="0" w:color="auto"/>
            </w:tcBorders>
          </w:tcPr>
          <w:p w14:paraId="0573C03E" w14:textId="77777777" w:rsidR="006F5ECC" w:rsidRPr="00823BC5" w:rsidRDefault="006F5ECC" w:rsidP="00020B14">
            <w:pPr>
              <w:tabs>
                <w:tab w:val="left" w:pos="0"/>
                <w:tab w:val="left" w:pos="4536"/>
              </w:tabs>
              <w:rPr>
                <w:rFonts w:ascii="Verdana" w:hAnsi="Verdana"/>
                <w:b/>
                <w:bCs/>
                <w:color w:val="7F7F7F" w:themeColor="text1" w:themeTint="80"/>
                <w:sz w:val="22"/>
                <w:szCs w:val="22"/>
                <w:lang w:val="en-GB"/>
              </w:rPr>
            </w:pPr>
            <w:r w:rsidRPr="00823BC5">
              <w:rPr>
                <w:rFonts w:ascii="Verdana" w:hAnsi="Verdana"/>
                <w:b/>
                <w:bCs/>
                <w:color w:val="7F7F7F" w:themeColor="text1" w:themeTint="80"/>
                <w:sz w:val="22"/>
                <w:szCs w:val="22"/>
                <w:lang w:val="en-GB"/>
              </w:rPr>
              <w:t>Effective recognition of partial guarantees on mortgage loans</w:t>
            </w:r>
          </w:p>
          <w:p w14:paraId="44A2CA36" w14:textId="77777777" w:rsidR="006F5ECC" w:rsidRPr="00823BC5" w:rsidRDefault="006F5ECC" w:rsidP="00020B14">
            <w:pPr>
              <w:tabs>
                <w:tab w:val="left" w:pos="0"/>
                <w:tab w:val="left" w:pos="4536"/>
              </w:tabs>
              <w:spacing w:line="161" w:lineRule="exact"/>
              <w:rPr>
                <w:rFonts w:ascii="Verdana" w:hAnsi="Verdana"/>
                <w:sz w:val="20"/>
                <w:szCs w:val="20"/>
                <w:lang w:val="en-US"/>
              </w:rPr>
            </w:pPr>
          </w:p>
          <w:p w14:paraId="2E2D5CB2" w14:textId="69547E28" w:rsidR="006F5ECC" w:rsidRDefault="006F5ECC" w:rsidP="00020B14">
            <w:pPr>
              <w:tabs>
                <w:tab w:val="left" w:pos="0"/>
                <w:tab w:val="left" w:pos="4536"/>
              </w:tabs>
              <w:rPr>
                <w:rFonts w:ascii="Verdana" w:eastAsia="Verdana" w:hAnsi="Verdana" w:cs="Verdana"/>
                <w:color w:val="7F7F7F" w:themeColor="text1" w:themeTint="80"/>
                <w:sz w:val="22"/>
                <w:szCs w:val="22"/>
                <w:lang w:val="en-US"/>
              </w:rPr>
            </w:pPr>
            <w:r w:rsidRPr="00460C92">
              <w:rPr>
                <w:rFonts w:ascii="Verdana" w:eastAsia="Verdana" w:hAnsi="Verdana" w:cs="Verdana"/>
                <w:color w:val="7F7F7F" w:themeColor="text1" w:themeTint="80"/>
                <w:sz w:val="22"/>
                <w:szCs w:val="22"/>
                <w:lang w:val="en-US"/>
              </w:rPr>
              <w:t>We agree with EIOPA´s</w:t>
            </w:r>
            <w:r w:rsidRPr="00460C92">
              <w:rPr>
                <w:color w:val="7F7F7F" w:themeColor="text1" w:themeTint="80"/>
                <w:sz w:val="22"/>
                <w:szCs w:val="22"/>
                <w:lang w:val="en-US"/>
              </w:rPr>
              <w:t xml:space="preserve"> </w:t>
            </w:r>
            <w:r w:rsidRPr="00460C92">
              <w:rPr>
                <w:rFonts w:ascii="Verdana" w:eastAsia="Verdana" w:hAnsi="Verdana" w:cs="Verdana"/>
                <w:color w:val="7F7F7F" w:themeColor="text1" w:themeTint="80"/>
                <w:sz w:val="22"/>
                <w:szCs w:val="22"/>
                <w:lang w:val="en-US"/>
              </w:rPr>
              <w:t>advice to adjust the requirements for the recognition of partial guarantees on mortgage loans, by adding a new text at the bottom of Article 192(4) of the Delegated Regulation.</w:t>
            </w:r>
          </w:p>
          <w:p w14:paraId="7382B1F5" w14:textId="5FAA9545" w:rsidR="006F5ECC" w:rsidRPr="00823BC5" w:rsidRDefault="006F5ECC" w:rsidP="00020B14">
            <w:pPr>
              <w:tabs>
                <w:tab w:val="left" w:pos="0"/>
                <w:tab w:val="left" w:pos="4536"/>
              </w:tabs>
              <w:rPr>
                <w:rFonts w:ascii="Verdana" w:hAnsi="Verdana"/>
                <w:b/>
                <w:bCs/>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77F206AD" w14:textId="77777777" w:rsidR="006F5ECC" w:rsidRPr="00BC71F5" w:rsidRDefault="006F5ECC" w:rsidP="00020B14">
            <w:pPr>
              <w:tabs>
                <w:tab w:val="left" w:pos="0"/>
                <w:tab w:val="left" w:pos="4536"/>
              </w:tabs>
              <w:ind w:left="-96"/>
              <w:rPr>
                <w:color w:val="7F7F7F" w:themeColor="text1" w:themeTint="80"/>
                <w:sz w:val="22"/>
                <w:szCs w:val="22"/>
                <w:lang w:val="en-GB" w:eastAsia="fr-FR"/>
              </w:rPr>
            </w:pPr>
          </w:p>
        </w:tc>
      </w:tr>
      <w:tr w:rsidR="006F5ECC" w:rsidRPr="00033837" w14:paraId="414E59B1"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68D15247" w14:textId="4F4529A2" w:rsidR="006F5ECC" w:rsidRPr="00395661" w:rsidRDefault="006F5ECC" w:rsidP="00020B14">
            <w:pPr>
              <w:tabs>
                <w:tab w:val="left" w:pos="0"/>
                <w:tab w:val="left" w:pos="4536"/>
              </w:tabs>
              <w:rPr>
                <w:rFonts w:ascii="Verdana" w:hAnsi="Verdana"/>
                <w:b/>
                <w:bCs/>
                <w:color w:val="7F7F7F" w:themeColor="text1" w:themeTint="80"/>
                <w:sz w:val="22"/>
                <w:szCs w:val="22"/>
                <w:lang w:val="en-GB" w:eastAsia="fr-FR"/>
              </w:rPr>
            </w:pPr>
            <w:r w:rsidRPr="00395661">
              <w:rPr>
                <w:rFonts w:ascii="Verdana" w:hAnsi="Verdana"/>
                <w:b/>
                <w:bCs/>
                <w:color w:val="7F7F7F" w:themeColor="text1" w:themeTint="80"/>
                <w:sz w:val="22"/>
                <w:szCs w:val="22"/>
                <w:lang w:val="en-GB" w:eastAsia="fr-FR"/>
              </w:rPr>
              <w:t>5.6 Calibration of underwriting risk</w:t>
            </w:r>
          </w:p>
        </w:tc>
      </w:tr>
      <w:tr w:rsidR="00FC5744" w:rsidRPr="001360A5" w14:paraId="265D0E38"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5D3A45A" w14:textId="442DFE63" w:rsidR="006F5ECC" w:rsidRPr="00033837" w:rsidRDefault="006F5ECC" w:rsidP="00020B14">
            <w:pPr>
              <w:tabs>
                <w:tab w:val="left" w:pos="0"/>
                <w:tab w:val="left" w:pos="4536"/>
              </w:tabs>
              <w:ind w:left="-96"/>
              <w:rPr>
                <w:rFonts w:ascii="Verdana" w:hAnsi="Verdana"/>
                <w:bCs/>
                <w:color w:val="7F7F7F" w:themeColor="text1" w:themeTint="80"/>
                <w:sz w:val="22"/>
                <w:szCs w:val="22"/>
                <w:lang w:val="en-GB"/>
              </w:rPr>
            </w:pPr>
            <w:r w:rsidRPr="00033837">
              <w:rPr>
                <w:rFonts w:ascii="Verdana" w:hAnsi="Verdana"/>
                <w:bCs/>
                <w:color w:val="7F7F7F" w:themeColor="text1" w:themeTint="80"/>
                <w:sz w:val="22"/>
                <w:szCs w:val="22"/>
                <w:lang w:val="en-GB"/>
              </w:rPr>
              <w:t>5</w:t>
            </w:r>
          </w:p>
        </w:tc>
        <w:tc>
          <w:tcPr>
            <w:tcW w:w="506" w:type="pct"/>
            <w:gridSpan w:val="2"/>
            <w:tcBorders>
              <w:top w:val="single" w:sz="4" w:space="0" w:color="auto"/>
              <w:left w:val="single" w:sz="4" w:space="0" w:color="auto"/>
              <w:bottom w:val="single" w:sz="4" w:space="0" w:color="auto"/>
              <w:right w:val="single" w:sz="4" w:space="0" w:color="auto"/>
            </w:tcBorders>
          </w:tcPr>
          <w:p w14:paraId="535514B8" w14:textId="111E3742" w:rsidR="006F5ECC" w:rsidRPr="00FE304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 xml:space="preserve">6.6 </w:t>
            </w:r>
          </w:p>
        </w:tc>
        <w:tc>
          <w:tcPr>
            <w:tcW w:w="1999" w:type="pct"/>
            <w:tcBorders>
              <w:top w:val="single" w:sz="4" w:space="0" w:color="auto"/>
              <w:left w:val="single" w:sz="4" w:space="0" w:color="auto"/>
              <w:bottom w:val="single" w:sz="4" w:space="0" w:color="auto"/>
              <w:right w:val="single" w:sz="4" w:space="0" w:color="auto"/>
            </w:tcBorders>
          </w:tcPr>
          <w:p w14:paraId="1DCFCBD5" w14:textId="4AB29CBA" w:rsidR="006F5ECC" w:rsidRPr="00CF2245" w:rsidRDefault="006F5ECC" w:rsidP="00020B14">
            <w:pPr>
              <w:tabs>
                <w:tab w:val="left" w:pos="0"/>
                <w:tab w:val="left" w:pos="4536"/>
              </w:tabs>
              <w:rPr>
                <w:rFonts w:ascii="Verdana" w:hAnsi="Verdana"/>
                <w:b/>
                <w:bCs/>
                <w:color w:val="7F7F7F" w:themeColor="text1" w:themeTint="80"/>
                <w:sz w:val="22"/>
                <w:szCs w:val="22"/>
                <w:u w:val="single"/>
                <w:lang w:val="en-GB"/>
              </w:rPr>
            </w:pPr>
            <w:r w:rsidRPr="00CF2245">
              <w:rPr>
                <w:rFonts w:ascii="Verdana" w:hAnsi="Verdana"/>
                <w:b/>
                <w:bCs/>
                <w:color w:val="7F7F7F" w:themeColor="text1" w:themeTint="80"/>
                <w:sz w:val="22"/>
                <w:szCs w:val="22"/>
                <w:u w:val="single"/>
                <w:lang w:val="en-GB"/>
              </w:rPr>
              <w:t>Calibration of underwriting risk – Mass lapse</w:t>
            </w:r>
          </w:p>
          <w:p w14:paraId="45D9F2A9" w14:textId="05335851" w:rsidR="006F5ECC" w:rsidRPr="00395661" w:rsidRDefault="006F5ECC" w:rsidP="00020B14">
            <w:pPr>
              <w:tabs>
                <w:tab w:val="left" w:pos="0"/>
                <w:tab w:val="left" w:pos="4536"/>
              </w:tabs>
              <w:rPr>
                <w:rFonts w:ascii="Verdana" w:hAnsi="Verdana"/>
                <w:color w:val="7F7F7F" w:themeColor="text1" w:themeTint="80"/>
                <w:sz w:val="22"/>
                <w:szCs w:val="22"/>
                <w:lang w:val="en-GB"/>
              </w:rPr>
            </w:pPr>
            <w:r w:rsidRPr="00395661">
              <w:rPr>
                <w:rFonts w:ascii="Verdana" w:hAnsi="Verdana"/>
                <w:color w:val="7F7F7F" w:themeColor="text1" w:themeTint="80"/>
                <w:sz w:val="22"/>
                <w:szCs w:val="22"/>
                <w:lang w:val="en-GB"/>
              </w:rPr>
              <w:t>There is no evidence of the calibration of the mass lapse scenario. During the QIS4 exercise the mass lapse scenarios</w:t>
            </w:r>
            <w:r w:rsidRPr="00CF2245">
              <w:rPr>
                <w:color w:val="7F7F7F" w:themeColor="text1" w:themeTint="80"/>
                <w:lang w:val="en-US"/>
              </w:rPr>
              <w:t xml:space="preserve"> </w:t>
            </w:r>
            <w:r w:rsidRPr="00395661">
              <w:rPr>
                <w:rFonts w:ascii="Verdana" w:hAnsi="Verdana"/>
                <w:color w:val="7F7F7F" w:themeColor="text1" w:themeTint="80"/>
                <w:sz w:val="22"/>
                <w:szCs w:val="22"/>
                <w:lang w:val="en-GB"/>
              </w:rPr>
              <w:t>were calibrated at 30%. The</w:t>
            </w:r>
            <w:r w:rsidRPr="00CF2245">
              <w:rPr>
                <w:rFonts w:ascii="Verdana" w:hAnsi="Verdana"/>
                <w:color w:val="7F7F7F" w:themeColor="text1" w:themeTint="80"/>
                <w:sz w:val="22"/>
                <w:szCs w:val="22"/>
                <w:lang w:val="en-US"/>
              </w:rPr>
              <w:t xml:space="preserve"> </w:t>
            </w:r>
            <w:r w:rsidRPr="00395661">
              <w:rPr>
                <w:rFonts w:ascii="Verdana" w:hAnsi="Verdana"/>
                <w:color w:val="7F7F7F" w:themeColor="text1" w:themeTint="80"/>
                <w:sz w:val="22"/>
                <w:szCs w:val="22"/>
                <w:lang w:val="en-GB"/>
              </w:rPr>
              <w:t>calibration was increased to 40% without proper justification.</w:t>
            </w:r>
          </w:p>
          <w:p w14:paraId="553F1270" w14:textId="77777777" w:rsidR="006F5ECC" w:rsidRPr="00CF2245" w:rsidRDefault="006F5ECC" w:rsidP="00020B14">
            <w:pPr>
              <w:tabs>
                <w:tab w:val="left" w:pos="0"/>
                <w:tab w:val="left" w:pos="4536"/>
              </w:tabs>
              <w:rPr>
                <w:rFonts w:ascii="Verdana" w:hAnsi="Verdana" w:cs="Arial"/>
                <w:color w:val="7F7F7F" w:themeColor="text1" w:themeTint="80"/>
                <w:sz w:val="22"/>
                <w:szCs w:val="22"/>
                <w:lang w:val="en-US"/>
              </w:rPr>
            </w:pPr>
            <w:r w:rsidRPr="00395661">
              <w:rPr>
                <w:rFonts w:ascii="Verdana" w:hAnsi="Verdana"/>
                <w:color w:val="7F7F7F" w:themeColor="text1" w:themeTint="80"/>
                <w:sz w:val="22"/>
                <w:szCs w:val="22"/>
                <w:lang w:val="en-GB"/>
              </w:rPr>
              <w:t xml:space="preserve">The mass lapse scenario should be recalibrated for all underwriting risks. In some markets and based on experience the mass lapse </w:t>
            </w:r>
            <w:r w:rsidRPr="00395661">
              <w:rPr>
                <w:rFonts w:ascii="Verdana" w:hAnsi="Verdana"/>
                <w:color w:val="7F7F7F" w:themeColor="text1" w:themeTint="80"/>
                <w:sz w:val="22"/>
                <w:szCs w:val="22"/>
                <w:lang w:val="en-GB"/>
              </w:rPr>
              <w:lastRenderedPageBreak/>
              <w:t>scenario amounts to 20%. It should be allowed to mitigate the negative impact of the scenario by releasing the related risk margin</w:t>
            </w:r>
            <w:r w:rsidRPr="00CF2245">
              <w:rPr>
                <w:rFonts w:ascii="Verdana" w:hAnsi="Verdana" w:cs="Arial"/>
                <w:color w:val="7F7F7F" w:themeColor="text1" w:themeTint="80"/>
                <w:sz w:val="22"/>
                <w:szCs w:val="22"/>
                <w:lang w:val="en-US"/>
              </w:rPr>
              <w:t>.</w:t>
            </w:r>
          </w:p>
          <w:p w14:paraId="0208B2C9" w14:textId="77777777" w:rsidR="006F5ECC" w:rsidRPr="00CF2245" w:rsidRDefault="006F5ECC" w:rsidP="00020B14">
            <w:pPr>
              <w:tabs>
                <w:tab w:val="left" w:pos="0"/>
                <w:tab w:val="left" w:pos="4536"/>
              </w:tabs>
              <w:rPr>
                <w:rFonts w:ascii="Verdana" w:hAnsi="Verdana"/>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22BF77A1"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3A45DCE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F743B2" w14:textId="77777777" w:rsidR="006F5ECC" w:rsidRPr="00FE3045" w:rsidRDefault="006F5ECC" w:rsidP="00020B14">
            <w:pPr>
              <w:tabs>
                <w:tab w:val="left" w:pos="0"/>
                <w:tab w:val="left" w:pos="4536"/>
              </w:tabs>
              <w:ind w:left="-96"/>
              <w:rPr>
                <w:rFonts w:ascii="Verdana" w:hAnsi="Verdana"/>
                <w:bCs/>
                <w:color w:val="000000"/>
                <w:sz w:val="22"/>
                <w:szCs w:val="22"/>
                <w:lang w:val="en-GB"/>
              </w:rPr>
            </w:pPr>
          </w:p>
        </w:tc>
        <w:tc>
          <w:tcPr>
            <w:tcW w:w="506" w:type="pct"/>
            <w:gridSpan w:val="2"/>
            <w:tcBorders>
              <w:top w:val="single" w:sz="4" w:space="0" w:color="auto"/>
              <w:left w:val="single" w:sz="4" w:space="0" w:color="auto"/>
              <w:bottom w:val="single" w:sz="4" w:space="0" w:color="auto"/>
              <w:right w:val="single" w:sz="4" w:space="0" w:color="auto"/>
            </w:tcBorders>
          </w:tcPr>
          <w:p w14:paraId="5AECFD32" w14:textId="77777777" w:rsidR="006F5ECC" w:rsidRPr="00FE3045" w:rsidRDefault="006F5ECC" w:rsidP="00020B14">
            <w:pPr>
              <w:tabs>
                <w:tab w:val="left" w:pos="0"/>
                <w:tab w:val="left" w:pos="4536"/>
              </w:tabs>
              <w:ind w:left="-96"/>
              <w:rPr>
                <w:rFonts w:ascii="Verdana" w:hAnsi="Verdana"/>
                <w:color w:val="7F7F7F"/>
                <w:sz w:val="22"/>
                <w:szCs w:val="22"/>
                <w:lang w:val="en-US"/>
              </w:rPr>
            </w:pPr>
          </w:p>
        </w:tc>
        <w:tc>
          <w:tcPr>
            <w:tcW w:w="1999" w:type="pct"/>
            <w:tcBorders>
              <w:top w:val="single" w:sz="4" w:space="0" w:color="auto"/>
              <w:left w:val="single" w:sz="4" w:space="0" w:color="auto"/>
              <w:bottom w:val="single" w:sz="4" w:space="0" w:color="auto"/>
              <w:right w:val="single" w:sz="4" w:space="0" w:color="auto"/>
            </w:tcBorders>
          </w:tcPr>
          <w:p w14:paraId="50BA58D4" w14:textId="77777777" w:rsidR="006F5ECC" w:rsidRPr="00CF2245" w:rsidRDefault="006F5ECC" w:rsidP="00020B14">
            <w:pPr>
              <w:tabs>
                <w:tab w:val="left" w:pos="0"/>
                <w:tab w:val="left" w:pos="4536"/>
              </w:tabs>
              <w:rPr>
                <w:rFonts w:ascii="Verdana" w:hAnsi="Verdana"/>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17EEABEA"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2B6246" w14:paraId="4798192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702E9F09" w14:textId="61162FB6" w:rsidR="006F5ECC" w:rsidRPr="00395661" w:rsidRDefault="006F5ECC" w:rsidP="00020B14">
            <w:pPr>
              <w:tabs>
                <w:tab w:val="left" w:pos="0"/>
                <w:tab w:val="left" w:pos="4536"/>
              </w:tabs>
              <w:rPr>
                <w:color w:val="7F7F7F" w:themeColor="text1" w:themeTint="80"/>
                <w:sz w:val="22"/>
                <w:szCs w:val="22"/>
                <w:lang w:val="en-US"/>
              </w:rPr>
            </w:pPr>
            <w:r w:rsidRPr="00395661">
              <w:rPr>
                <w:rFonts w:ascii="Verdana" w:eastAsia="Verdana" w:hAnsi="Verdana" w:cs="Verdana"/>
                <w:b/>
                <w:bCs/>
                <w:color w:val="7F7F7F" w:themeColor="text1" w:themeTint="80"/>
                <w:sz w:val="22"/>
                <w:szCs w:val="22"/>
                <w:lang w:val="en-US"/>
              </w:rPr>
              <w:t>5.8. Risk mitigation techniques</w:t>
            </w:r>
          </w:p>
        </w:tc>
      </w:tr>
      <w:tr w:rsidR="00FC5744" w:rsidRPr="001360A5" w14:paraId="0262900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10AA565" w14:textId="213C8170" w:rsidR="006F5ECC" w:rsidRPr="00FE3045" w:rsidRDefault="006F5ECC" w:rsidP="00020B14">
            <w:pPr>
              <w:tabs>
                <w:tab w:val="left" w:pos="0"/>
                <w:tab w:val="left" w:pos="4536"/>
              </w:tabs>
              <w:ind w:left="-96"/>
              <w:rPr>
                <w:rFonts w:ascii="Verdana" w:hAnsi="Verdana"/>
                <w:bCs/>
                <w:color w:val="000000"/>
                <w:sz w:val="22"/>
                <w:szCs w:val="22"/>
                <w:lang w:val="en-US"/>
              </w:rPr>
            </w:pPr>
            <w:r w:rsidRPr="003720A2">
              <w:rPr>
                <w:rFonts w:ascii="Verdana" w:hAnsi="Verdana"/>
                <w:bCs/>
                <w:color w:val="7F7F7F" w:themeColor="text1" w:themeTint="80"/>
                <w:sz w:val="22"/>
                <w:szCs w:val="22"/>
                <w:lang w:val="en-US"/>
              </w:rPr>
              <w:t>5</w:t>
            </w:r>
          </w:p>
        </w:tc>
        <w:tc>
          <w:tcPr>
            <w:tcW w:w="506" w:type="pct"/>
            <w:gridSpan w:val="2"/>
            <w:tcBorders>
              <w:top w:val="single" w:sz="4" w:space="0" w:color="auto"/>
              <w:left w:val="single" w:sz="4" w:space="0" w:color="auto"/>
              <w:bottom w:val="single" w:sz="4" w:space="0" w:color="auto"/>
              <w:right w:val="single" w:sz="4" w:space="0" w:color="auto"/>
            </w:tcBorders>
          </w:tcPr>
          <w:p w14:paraId="0077E990" w14:textId="67FE0649" w:rsidR="006F5ECC" w:rsidRPr="00FE304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284</w:t>
            </w:r>
          </w:p>
        </w:tc>
        <w:tc>
          <w:tcPr>
            <w:tcW w:w="1999" w:type="pct"/>
            <w:tcBorders>
              <w:top w:val="single" w:sz="4" w:space="0" w:color="auto"/>
              <w:left w:val="single" w:sz="4" w:space="0" w:color="auto"/>
              <w:bottom w:val="single" w:sz="4" w:space="0" w:color="auto"/>
              <w:right w:val="single" w:sz="4" w:space="0" w:color="auto"/>
            </w:tcBorders>
          </w:tcPr>
          <w:p w14:paraId="2B07A419" w14:textId="174404A6" w:rsidR="006F5ECC" w:rsidRDefault="006F5ECC" w:rsidP="00020B14">
            <w:pPr>
              <w:tabs>
                <w:tab w:val="left" w:pos="0"/>
                <w:tab w:val="left" w:pos="4536"/>
              </w:tabs>
              <w:rPr>
                <w:rFonts w:ascii="Verdana" w:hAnsi="Verdana"/>
                <w:b/>
                <w:bCs/>
                <w:color w:val="7F7F7F" w:themeColor="text1" w:themeTint="80"/>
                <w:sz w:val="22"/>
                <w:szCs w:val="22"/>
                <w:lang w:val="en-US" w:eastAsia="fr-FR"/>
              </w:rPr>
            </w:pPr>
            <w:r w:rsidRPr="001F7855">
              <w:rPr>
                <w:rFonts w:ascii="Verdana" w:hAnsi="Verdana"/>
                <w:b/>
                <w:bCs/>
                <w:color w:val="7F7F7F" w:themeColor="text1" w:themeTint="80"/>
                <w:sz w:val="22"/>
                <w:szCs w:val="22"/>
                <w:lang w:val="en-US" w:eastAsia="fr-FR"/>
              </w:rPr>
              <w:t>EIOPA´s Advice</w:t>
            </w:r>
          </w:p>
          <w:p w14:paraId="27731DE3" w14:textId="197F0171" w:rsidR="006F5ECC" w:rsidRPr="001F7855" w:rsidRDefault="006F5ECC" w:rsidP="00020B14">
            <w:pPr>
              <w:tabs>
                <w:tab w:val="left" w:pos="0"/>
                <w:tab w:val="left" w:pos="4536"/>
              </w:tabs>
              <w:rPr>
                <w:rFonts w:ascii="Verdana" w:hAnsi="Verdana"/>
                <w:color w:val="7F7F7F" w:themeColor="text1" w:themeTint="80"/>
                <w:sz w:val="22"/>
                <w:szCs w:val="22"/>
                <w:lang w:val="en-US" w:eastAsia="fr-FR"/>
              </w:rPr>
            </w:pPr>
            <w:r>
              <w:rPr>
                <w:rFonts w:ascii="Verdana" w:hAnsi="Verdana"/>
                <w:color w:val="7F7F7F" w:themeColor="text1" w:themeTint="80"/>
                <w:sz w:val="22"/>
                <w:szCs w:val="22"/>
                <w:lang w:val="en-US" w:eastAsia="fr-FR"/>
              </w:rPr>
              <w:t>Please see our answer to Q5.4 below.</w:t>
            </w:r>
          </w:p>
          <w:p w14:paraId="1347F2EF" w14:textId="286E5034" w:rsidR="006F5ECC" w:rsidRPr="001F7855" w:rsidRDefault="006F5ECC" w:rsidP="00020B14">
            <w:pPr>
              <w:tabs>
                <w:tab w:val="left" w:pos="0"/>
                <w:tab w:val="left" w:pos="4536"/>
              </w:tabs>
              <w:rPr>
                <w:rFonts w:ascii="Verdana" w:hAnsi="Verdana"/>
                <w:b/>
                <w:bCs/>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4A3F8873"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1603B9C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A3B985C" w14:textId="0F1264C0"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5</w:t>
            </w:r>
          </w:p>
        </w:tc>
        <w:tc>
          <w:tcPr>
            <w:tcW w:w="506" w:type="pct"/>
            <w:gridSpan w:val="2"/>
            <w:tcBorders>
              <w:top w:val="single" w:sz="4" w:space="0" w:color="auto"/>
              <w:left w:val="single" w:sz="4" w:space="0" w:color="auto"/>
              <w:bottom w:val="single" w:sz="4" w:space="0" w:color="auto"/>
              <w:right w:val="single" w:sz="4" w:space="0" w:color="auto"/>
            </w:tcBorders>
          </w:tcPr>
          <w:p w14:paraId="7B50D005" w14:textId="3873FA87" w:rsidR="006F5ECC" w:rsidRDefault="006F5ECC" w:rsidP="00020B14">
            <w:pPr>
              <w:tabs>
                <w:tab w:val="left" w:pos="0"/>
                <w:tab w:val="left" w:pos="4536"/>
              </w:tabs>
              <w:ind w:left="-96"/>
              <w:rPr>
                <w:rFonts w:ascii="Verdana" w:hAnsi="Verdana"/>
                <w:b/>
                <w:bCs/>
                <w:color w:val="7F7F7F"/>
                <w:sz w:val="22"/>
                <w:szCs w:val="22"/>
                <w:lang w:val="en-US"/>
              </w:rPr>
            </w:pPr>
            <w:r>
              <w:rPr>
                <w:rFonts w:ascii="Verdana" w:hAnsi="Verdana"/>
                <w:b/>
                <w:bCs/>
                <w:color w:val="7F7F7F"/>
                <w:sz w:val="22"/>
                <w:szCs w:val="22"/>
                <w:lang w:val="en-US"/>
              </w:rPr>
              <w:t>Question to stakeholders</w:t>
            </w:r>
          </w:p>
        </w:tc>
        <w:tc>
          <w:tcPr>
            <w:tcW w:w="1999" w:type="pct"/>
            <w:tcBorders>
              <w:top w:val="single" w:sz="4" w:space="0" w:color="auto"/>
              <w:left w:val="single" w:sz="4" w:space="0" w:color="auto"/>
              <w:bottom w:val="single" w:sz="4" w:space="0" w:color="auto"/>
              <w:right w:val="single" w:sz="4" w:space="0" w:color="auto"/>
            </w:tcBorders>
          </w:tcPr>
          <w:p w14:paraId="456D00FF" w14:textId="77777777" w:rsidR="006F5ECC" w:rsidRPr="00395661" w:rsidRDefault="006F5ECC" w:rsidP="00020B14">
            <w:pPr>
              <w:tabs>
                <w:tab w:val="left" w:pos="0"/>
                <w:tab w:val="left" w:pos="4536"/>
              </w:tabs>
              <w:spacing w:before="120" w:after="120"/>
              <w:ind w:hanging="567"/>
              <w:jc w:val="both"/>
              <w:rPr>
                <w:b/>
                <w:bCs/>
                <w:color w:val="7F7F7F" w:themeColor="text1" w:themeTint="80"/>
                <w:sz w:val="22"/>
                <w:szCs w:val="22"/>
                <w:lang w:val="en-US"/>
              </w:rPr>
            </w:pPr>
            <w:r w:rsidRPr="00395661">
              <w:rPr>
                <w:rFonts w:ascii="Verdana" w:eastAsia="Verdana" w:hAnsi="Verdana" w:cs="Verdana"/>
                <w:b/>
                <w:bCs/>
                <w:color w:val="7F7F7F" w:themeColor="text1" w:themeTint="80"/>
                <w:sz w:val="22"/>
                <w:szCs w:val="22"/>
                <w:lang w:val="en-US"/>
              </w:rPr>
              <w:t xml:space="preserve">Q5.4 What is your view on the recognition of non-proportional reinsurance in the SCR standard formula? If you consider changes necessary, please make concrete proposals. </w:t>
            </w:r>
            <w:r w:rsidRPr="00395661">
              <w:rPr>
                <w:rFonts w:ascii="Calibri" w:eastAsia="Calibri" w:hAnsi="Calibri" w:cs="Calibri"/>
                <w:b/>
                <w:bCs/>
                <w:color w:val="7F7F7F" w:themeColor="text1" w:themeTint="80"/>
                <w:sz w:val="22"/>
                <w:szCs w:val="22"/>
                <w:lang w:val="en-US"/>
              </w:rPr>
              <w:t>H</w:t>
            </w:r>
            <w:r w:rsidRPr="00395661">
              <w:rPr>
                <w:rFonts w:ascii="Verdana" w:eastAsia="Verdana" w:hAnsi="Verdana" w:cs="Verdana"/>
                <w:b/>
                <w:bCs/>
                <w:color w:val="7F7F7F" w:themeColor="text1" w:themeTint="80"/>
                <w:sz w:val="22"/>
                <w:szCs w:val="22"/>
                <w:lang w:val="en-US"/>
              </w:rPr>
              <w:t>ow does the proposal address the double counting issue regarding non-proportional reinsurance covers between the CAT risk sub-module and other sub-modules impacted by treaties?</w:t>
            </w:r>
          </w:p>
          <w:p w14:paraId="6620050D" w14:textId="6F1EA419" w:rsidR="006F5ECC" w:rsidRPr="00CF2245" w:rsidRDefault="006F5ECC" w:rsidP="00020B14">
            <w:pPr>
              <w:tabs>
                <w:tab w:val="left" w:pos="0"/>
                <w:tab w:val="left" w:pos="4536"/>
              </w:tabs>
              <w:rPr>
                <w:rFonts w:ascii="Verdana" w:hAnsi="Verdana"/>
                <w:color w:val="7F7F7F" w:themeColor="text1" w:themeTint="80"/>
                <w:sz w:val="22"/>
                <w:szCs w:val="22"/>
                <w:lang w:val="en-US" w:eastAsia="fr-FR"/>
              </w:rPr>
            </w:pPr>
            <w:r w:rsidRPr="00CF2245">
              <w:rPr>
                <w:rFonts w:ascii="Verdana" w:hAnsi="Verdana"/>
                <w:color w:val="7F7F7F" w:themeColor="text1" w:themeTint="80"/>
                <w:sz w:val="22"/>
                <w:szCs w:val="22"/>
                <w:lang w:val="en-US" w:eastAsia="fr-FR"/>
              </w:rPr>
              <w:t>It is true to say that the current (factor-based) approach to non-life and non-SLT health premium and reserve risk does not take full account of non-proportional reinsurance cover.</w:t>
            </w:r>
            <w:r>
              <w:rPr>
                <w:rFonts w:ascii="Verdana" w:hAnsi="Verdana"/>
                <w:color w:val="7F7F7F" w:themeColor="text1" w:themeTint="80"/>
                <w:sz w:val="22"/>
                <w:szCs w:val="22"/>
                <w:lang w:val="en-US" w:eastAsia="fr-FR"/>
              </w:rPr>
              <w:t xml:space="preserve"> </w:t>
            </w:r>
            <w:r w:rsidRPr="00CF2245">
              <w:rPr>
                <w:rFonts w:ascii="Verdana" w:hAnsi="Verdana"/>
                <w:color w:val="7F7F7F" w:themeColor="text1" w:themeTint="80"/>
                <w:sz w:val="22"/>
                <w:szCs w:val="22"/>
                <w:lang w:val="en-US" w:eastAsia="fr-FR"/>
              </w:rPr>
              <w:t xml:space="preserve">However, </w:t>
            </w:r>
            <w:r w:rsidRPr="00CF2245">
              <w:rPr>
                <w:rFonts w:ascii="Verdana" w:hAnsi="Verdana"/>
                <w:b/>
                <w:color w:val="7F7F7F" w:themeColor="text1" w:themeTint="80"/>
                <w:sz w:val="22"/>
                <w:szCs w:val="22"/>
                <w:lang w:val="en-US" w:eastAsia="fr-FR"/>
              </w:rPr>
              <w:t>the approach is simple to use and is well suited to so-called attritional claims</w:t>
            </w:r>
            <w:r w:rsidRPr="00CF2245">
              <w:rPr>
                <w:rFonts w:ascii="Verdana" w:hAnsi="Verdana"/>
                <w:color w:val="7F7F7F" w:themeColor="text1" w:themeTint="80"/>
                <w:sz w:val="22"/>
                <w:szCs w:val="22"/>
                <w:lang w:val="en-US" w:eastAsia="fr-FR"/>
              </w:rPr>
              <w:t xml:space="preserve">, i.e. excluding exceptional events which are often the trigger for activating NP covers (particularly Stop Loss covers). This formula must remain as simple as possible while remaining "risk-sensitive". The fixed adjustment factor (80% or 100%) for non-proportional reinsurance is, from this point of view, a good compromise for the premium risk, even if </w:t>
            </w:r>
            <w:r w:rsidRPr="00CF2245">
              <w:rPr>
                <w:rFonts w:ascii="Verdana" w:hAnsi="Verdana"/>
                <w:b/>
                <w:color w:val="7F7F7F" w:themeColor="text1" w:themeTint="80"/>
                <w:sz w:val="22"/>
                <w:szCs w:val="22"/>
                <w:lang w:val="en-US" w:eastAsia="fr-FR"/>
              </w:rPr>
              <w:t>one may regret the absence of such a factor when considering NP reinsurance cover on the risk of reserve deviation</w:t>
            </w:r>
            <w:r w:rsidRPr="00CF2245">
              <w:rPr>
                <w:rFonts w:ascii="Verdana" w:hAnsi="Verdana"/>
                <w:color w:val="7F7F7F" w:themeColor="text1" w:themeTint="80"/>
                <w:sz w:val="22"/>
                <w:szCs w:val="22"/>
                <w:lang w:val="en-US" w:eastAsia="fr-FR"/>
              </w:rPr>
              <w:t xml:space="preserve"> (ADC for example). The calibration work previously carried out by EIOPA to estimate the sigma of the reserve risk did not take into account the </w:t>
            </w:r>
            <w:r w:rsidRPr="00CF2245">
              <w:rPr>
                <w:rFonts w:ascii="Verdana" w:hAnsi="Verdana"/>
                <w:color w:val="7F7F7F" w:themeColor="text1" w:themeTint="80"/>
                <w:sz w:val="22"/>
                <w:szCs w:val="22"/>
                <w:lang w:val="en-US" w:eastAsia="fr-FR"/>
              </w:rPr>
              <w:lastRenderedPageBreak/>
              <w:t>benefits of this type of cover because they were less present on the European insurance market in the 2000s than they are today.</w:t>
            </w:r>
          </w:p>
          <w:p w14:paraId="756EC14D" w14:textId="77777777" w:rsidR="006F5ECC" w:rsidRPr="00CF2245" w:rsidRDefault="006F5ECC" w:rsidP="00020B14">
            <w:pPr>
              <w:tabs>
                <w:tab w:val="left" w:pos="0"/>
                <w:tab w:val="left" w:pos="4536"/>
              </w:tabs>
              <w:rPr>
                <w:rFonts w:ascii="Verdana" w:hAnsi="Verdana"/>
                <w:color w:val="7F7F7F" w:themeColor="text1" w:themeTint="80"/>
                <w:sz w:val="22"/>
                <w:szCs w:val="22"/>
                <w:lang w:val="en-US" w:eastAsia="fr-FR"/>
              </w:rPr>
            </w:pPr>
            <w:r w:rsidRPr="00CF2245">
              <w:rPr>
                <w:rFonts w:ascii="Verdana" w:hAnsi="Verdana"/>
                <w:color w:val="7F7F7F" w:themeColor="text1" w:themeTint="80"/>
                <w:sz w:val="22"/>
                <w:szCs w:val="22"/>
                <w:lang w:val="en-US" w:eastAsia="fr-FR"/>
              </w:rPr>
              <w:t xml:space="preserve"> </w:t>
            </w:r>
          </w:p>
          <w:p w14:paraId="34FA914C" w14:textId="67F48FE1" w:rsidR="006F5ECC" w:rsidRPr="00CF2245" w:rsidRDefault="006F5ECC" w:rsidP="00020B14">
            <w:pPr>
              <w:tabs>
                <w:tab w:val="left" w:pos="0"/>
                <w:tab w:val="left" w:pos="4536"/>
              </w:tabs>
              <w:rPr>
                <w:rFonts w:ascii="Verdana" w:hAnsi="Verdana"/>
                <w:color w:val="7F7F7F" w:themeColor="text1" w:themeTint="80"/>
                <w:sz w:val="22"/>
                <w:szCs w:val="22"/>
                <w:lang w:val="en-US" w:eastAsia="fr-FR"/>
              </w:rPr>
            </w:pPr>
            <w:r w:rsidRPr="00CF2245">
              <w:rPr>
                <w:rFonts w:ascii="Verdana" w:hAnsi="Verdana"/>
                <w:b/>
                <w:color w:val="7F7F7F" w:themeColor="text1" w:themeTint="80"/>
                <w:sz w:val="22"/>
                <w:szCs w:val="22"/>
                <w:lang w:val="en-US" w:eastAsia="fr-FR"/>
              </w:rPr>
              <w:t>The possibility should therefore be given to apply such adjustment factors to the reserves</w:t>
            </w:r>
            <w:r w:rsidRPr="00CF2245">
              <w:rPr>
                <w:rFonts w:ascii="Verdana" w:hAnsi="Verdana"/>
                <w:color w:val="7F7F7F" w:themeColor="text1" w:themeTint="80"/>
                <w:sz w:val="22"/>
                <w:szCs w:val="22"/>
                <w:lang w:val="en-US" w:eastAsia="fr-FR"/>
              </w:rPr>
              <w:t xml:space="preserve">. For the sake of simplicity, we believe that these factors should by default be equal to 100% in the standard formula and that a better calibration could only be achieved through the use of USPs. </w:t>
            </w:r>
          </w:p>
          <w:p w14:paraId="0BA4E0DC" w14:textId="77777777" w:rsidR="006F5ECC" w:rsidRPr="00CF2245" w:rsidRDefault="006F5ECC" w:rsidP="00020B14">
            <w:pPr>
              <w:tabs>
                <w:tab w:val="left" w:pos="0"/>
                <w:tab w:val="left" w:pos="4536"/>
              </w:tabs>
              <w:rPr>
                <w:rFonts w:ascii="Verdana" w:hAnsi="Verdana"/>
                <w:color w:val="7F7F7F" w:themeColor="text1" w:themeTint="80"/>
                <w:sz w:val="22"/>
                <w:szCs w:val="22"/>
                <w:lang w:val="en-US" w:eastAsia="fr-FR"/>
              </w:rPr>
            </w:pPr>
          </w:p>
          <w:p w14:paraId="4F532001" w14:textId="4B134438" w:rsidR="006F5ECC" w:rsidRPr="00CF2245" w:rsidRDefault="006F5ECC" w:rsidP="00020B14">
            <w:pPr>
              <w:tabs>
                <w:tab w:val="left" w:pos="0"/>
                <w:tab w:val="left" w:pos="4536"/>
              </w:tabs>
              <w:rPr>
                <w:rFonts w:ascii="Verdana" w:hAnsi="Verdana"/>
                <w:bCs/>
                <w:color w:val="7F7F7F" w:themeColor="text1" w:themeTint="80"/>
                <w:sz w:val="22"/>
                <w:szCs w:val="22"/>
                <w:lang w:val="en-US" w:eastAsia="fr-FR"/>
              </w:rPr>
            </w:pPr>
            <w:r w:rsidRPr="00CF2245">
              <w:rPr>
                <w:rFonts w:ascii="Verdana" w:hAnsi="Verdana"/>
                <w:bCs/>
                <w:color w:val="7F7F7F" w:themeColor="text1" w:themeTint="80"/>
                <w:sz w:val="22"/>
                <w:szCs w:val="22"/>
                <w:lang w:val="en-US" w:eastAsia="fr-FR"/>
              </w:rPr>
              <w:t>In summary;</w:t>
            </w:r>
          </w:p>
          <w:p w14:paraId="27A45F9B" w14:textId="77777777" w:rsidR="006F5ECC" w:rsidRPr="00460C92" w:rsidRDefault="006F5ECC" w:rsidP="00020B14">
            <w:pPr>
              <w:pStyle w:val="ListParagraph"/>
              <w:numPr>
                <w:ilvl w:val="0"/>
                <w:numId w:val="33"/>
              </w:numPr>
              <w:tabs>
                <w:tab w:val="left" w:pos="0"/>
                <w:tab w:val="left" w:pos="4536"/>
              </w:tabs>
              <w:ind w:left="0"/>
              <w:rPr>
                <w:rFonts w:ascii="Verdana" w:hAnsi="Verdana"/>
                <w:bCs/>
                <w:color w:val="7F7F7F" w:themeColor="text1" w:themeTint="80"/>
                <w:lang w:val="en-US" w:eastAsia="fr-FR"/>
              </w:rPr>
            </w:pPr>
            <w:r w:rsidRPr="00460C92">
              <w:rPr>
                <w:rFonts w:ascii="Verdana" w:hAnsi="Verdana"/>
                <w:bCs/>
                <w:color w:val="7F7F7F" w:themeColor="text1" w:themeTint="80"/>
                <w:lang w:val="en-US" w:eastAsia="fr-FR"/>
              </w:rPr>
              <w:t xml:space="preserve">The formula must be kept </w:t>
            </w:r>
            <w:r w:rsidRPr="00460C92">
              <w:rPr>
                <w:rFonts w:ascii="Verdana" w:hAnsi="Verdana"/>
                <w:b/>
                <w:color w:val="7F7F7F" w:themeColor="text1" w:themeTint="80"/>
                <w:lang w:val="en-US" w:eastAsia="fr-FR"/>
              </w:rPr>
              <w:t>as simple as possible</w:t>
            </w:r>
          </w:p>
          <w:p w14:paraId="62308DE4" w14:textId="1EB883C8" w:rsidR="006F5ECC" w:rsidRPr="00460C92" w:rsidRDefault="006F5ECC" w:rsidP="00020B14">
            <w:pPr>
              <w:pStyle w:val="ListParagraph"/>
              <w:numPr>
                <w:ilvl w:val="0"/>
                <w:numId w:val="33"/>
              </w:numPr>
              <w:tabs>
                <w:tab w:val="left" w:pos="0"/>
                <w:tab w:val="left" w:pos="4536"/>
              </w:tabs>
              <w:ind w:left="0"/>
              <w:rPr>
                <w:rFonts w:ascii="Verdana" w:hAnsi="Verdana"/>
                <w:bCs/>
                <w:color w:val="7F7F7F" w:themeColor="text1" w:themeTint="80"/>
                <w:lang w:val="en-US" w:eastAsia="fr-FR"/>
              </w:rPr>
            </w:pPr>
            <w:r w:rsidRPr="00460C92">
              <w:rPr>
                <w:rFonts w:ascii="Verdana" w:hAnsi="Verdana"/>
                <w:bCs/>
                <w:color w:val="7F7F7F" w:themeColor="text1" w:themeTint="80"/>
                <w:lang w:val="en-US" w:eastAsia="fr-FR"/>
              </w:rPr>
              <w:t xml:space="preserve">In order to adapt to the changing environment in the reinsurance cover market, </w:t>
            </w:r>
            <w:r w:rsidRPr="00460C92">
              <w:rPr>
                <w:rFonts w:ascii="Verdana" w:hAnsi="Verdana"/>
                <w:b/>
                <w:color w:val="7F7F7F" w:themeColor="text1" w:themeTint="80"/>
                <w:lang w:val="en-US" w:eastAsia="fr-FR"/>
              </w:rPr>
              <w:t>Solvency II regulations could introduce NP factors for reserve risk</w:t>
            </w:r>
            <w:r w:rsidRPr="00460C92">
              <w:rPr>
                <w:rFonts w:ascii="Verdana" w:hAnsi="Verdana"/>
                <w:bCs/>
                <w:color w:val="7F7F7F" w:themeColor="text1" w:themeTint="80"/>
                <w:lang w:val="en-US" w:eastAsia="fr-FR"/>
              </w:rPr>
              <w:t>; these would be equal to 100% by default in the Standard Formula and could be replaced by estimated factors using USPs to better take into account the insurer's risk profile.</w:t>
            </w:r>
          </w:p>
          <w:p w14:paraId="66495569" w14:textId="609B2E9B" w:rsidR="006F5ECC" w:rsidRPr="00CF2245" w:rsidRDefault="006F5ECC" w:rsidP="00020B14">
            <w:pPr>
              <w:tabs>
                <w:tab w:val="left" w:pos="0"/>
                <w:tab w:val="left" w:pos="4536"/>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265E9841"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1D8205B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DE0E7B3" w14:textId="2163824D" w:rsidR="006F5ECC" w:rsidRPr="0003536E" w:rsidRDefault="006F5ECC" w:rsidP="00020B14">
            <w:pPr>
              <w:tabs>
                <w:tab w:val="left" w:pos="0"/>
                <w:tab w:val="left" w:pos="4536"/>
              </w:tabs>
              <w:ind w:left="-96"/>
              <w:rPr>
                <w:rFonts w:ascii="Verdana" w:hAnsi="Verdana"/>
                <w:bCs/>
                <w:color w:val="7F7F7F" w:themeColor="text1" w:themeTint="80"/>
                <w:sz w:val="22"/>
                <w:szCs w:val="22"/>
                <w:lang w:val="en-US"/>
              </w:rPr>
            </w:pPr>
            <w:r>
              <w:rPr>
                <w:rFonts w:ascii="Verdana" w:hAnsi="Verdana"/>
                <w:bCs/>
                <w:color w:val="7F7F7F" w:themeColor="text1" w:themeTint="80"/>
                <w:sz w:val="22"/>
                <w:szCs w:val="22"/>
                <w:lang w:val="en-US"/>
              </w:rPr>
              <w:t>5</w:t>
            </w:r>
          </w:p>
        </w:tc>
        <w:tc>
          <w:tcPr>
            <w:tcW w:w="506" w:type="pct"/>
            <w:gridSpan w:val="2"/>
            <w:tcBorders>
              <w:top w:val="single" w:sz="4" w:space="0" w:color="auto"/>
              <w:left w:val="single" w:sz="4" w:space="0" w:color="auto"/>
              <w:bottom w:val="single" w:sz="4" w:space="0" w:color="auto"/>
              <w:right w:val="single" w:sz="4" w:space="0" w:color="auto"/>
            </w:tcBorders>
          </w:tcPr>
          <w:p w14:paraId="5825813D" w14:textId="1BE95179" w:rsidR="006F5ECC" w:rsidRPr="0003536E" w:rsidRDefault="006F5ECC" w:rsidP="00020B14">
            <w:pPr>
              <w:tabs>
                <w:tab w:val="left" w:pos="0"/>
                <w:tab w:val="left" w:pos="4536"/>
              </w:tabs>
              <w:ind w:left="-96"/>
              <w:rPr>
                <w:rFonts w:ascii="Verdana" w:hAnsi="Verdana"/>
                <w:b/>
                <w:bCs/>
                <w:color w:val="000000"/>
                <w:sz w:val="22"/>
                <w:szCs w:val="22"/>
                <w:lang w:val="en-GB" w:eastAsia="fr-FR"/>
              </w:rPr>
            </w:pPr>
            <w:r w:rsidRPr="00BB339B">
              <w:rPr>
                <w:rFonts w:ascii="Verdana" w:hAnsi="Verdana"/>
                <w:b/>
                <w:bCs/>
                <w:color w:val="7F7F7F" w:themeColor="text1" w:themeTint="80"/>
                <w:sz w:val="22"/>
                <w:szCs w:val="22"/>
                <w:lang w:val="en-GB" w:eastAsia="fr-FR"/>
              </w:rPr>
              <w:t>Question</w:t>
            </w:r>
            <w:r>
              <w:rPr>
                <w:rFonts w:ascii="Verdana" w:hAnsi="Verdana"/>
                <w:b/>
                <w:bCs/>
                <w:color w:val="7F7F7F" w:themeColor="text1" w:themeTint="80"/>
                <w:sz w:val="22"/>
                <w:szCs w:val="22"/>
                <w:lang w:val="en-GB" w:eastAsia="fr-FR"/>
              </w:rPr>
              <w:t xml:space="preserve"> to stakeholders</w:t>
            </w:r>
          </w:p>
        </w:tc>
        <w:tc>
          <w:tcPr>
            <w:tcW w:w="1999" w:type="pct"/>
            <w:tcBorders>
              <w:top w:val="single" w:sz="4" w:space="0" w:color="auto"/>
              <w:left w:val="single" w:sz="4" w:space="0" w:color="auto"/>
              <w:bottom w:val="single" w:sz="4" w:space="0" w:color="auto"/>
              <w:right w:val="single" w:sz="4" w:space="0" w:color="auto"/>
            </w:tcBorders>
          </w:tcPr>
          <w:p w14:paraId="1B333F8B" w14:textId="11F159CC" w:rsidR="006F5ECC" w:rsidRPr="00395661" w:rsidRDefault="006F5ECC" w:rsidP="00020B14">
            <w:pPr>
              <w:tabs>
                <w:tab w:val="left" w:pos="0"/>
                <w:tab w:val="left" w:pos="4536"/>
              </w:tabs>
              <w:spacing w:line="239" w:lineRule="auto"/>
              <w:ind w:right="20" w:hanging="565"/>
              <w:jc w:val="both"/>
              <w:rPr>
                <w:rFonts w:ascii="Verdana" w:eastAsia="Verdana" w:hAnsi="Verdana" w:cs="Verdana"/>
                <w:b/>
                <w:bCs/>
                <w:color w:val="7F7F7F" w:themeColor="text1" w:themeTint="80"/>
                <w:lang w:val="en-US"/>
              </w:rPr>
            </w:pPr>
            <w:r w:rsidRPr="00395661">
              <w:rPr>
                <w:rFonts w:ascii="Verdana" w:eastAsia="Verdana" w:hAnsi="Verdana" w:cs="Verdana"/>
                <w:b/>
                <w:bCs/>
                <w:color w:val="7F7F7F" w:themeColor="text1" w:themeTint="80"/>
                <w:sz w:val="22"/>
                <w:szCs w:val="22"/>
                <w:lang w:val="en-US"/>
              </w:rPr>
              <w:t>Q5.5: What is your view on the recognition of adverse development covers in the SCR standard formula? If you consider changes necessary, please make concrete proposals</w:t>
            </w:r>
            <w:r w:rsidRPr="00395661">
              <w:rPr>
                <w:rFonts w:ascii="Verdana" w:eastAsia="Verdana" w:hAnsi="Verdana" w:cs="Verdana"/>
                <w:b/>
                <w:bCs/>
                <w:color w:val="7F7F7F" w:themeColor="text1" w:themeTint="80"/>
                <w:lang w:val="en-US"/>
              </w:rPr>
              <w:t>.</w:t>
            </w:r>
          </w:p>
          <w:p w14:paraId="1469A5DB" w14:textId="557EEEDE" w:rsidR="006F5ECC" w:rsidRPr="00395661" w:rsidRDefault="006F5ECC" w:rsidP="00020B14">
            <w:pPr>
              <w:tabs>
                <w:tab w:val="left" w:pos="0"/>
                <w:tab w:val="left" w:pos="4536"/>
              </w:tabs>
              <w:spacing w:line="239" w:lineRule="auto"/>
              <w:ind w:right="20" w:hanging="565"/>
              <w:jc w:val="both"/>
              <w:rPr>
                <w:bCs/>
                <w:color w:val="7F7F7F" w:themeColor="text1" w:themeTint="80"/>
                <w:sz w:val="20"/>
                <w:szCs w:val="20"/>
                <w:lang w:val="en-US"/>
              </w:rPr>
            </w:pPr>
            <w:r w:rsidRPr="00395661">
              <w:rPr>
                <w:rFonts w:ascii="Verdana" w:eastAsia="Verdana" w:hAnsi="Verdana" w:cs="Verdana"/>
                <w:bCs/>
                <w:color w:val="7F7F7F" w:themeColor="text1" w:themeTint="80"/>
                <w:sz w:val="22"/>
                <w:szCs w:val="22"/>
                <w:lang w:val="en-US"/>
              </w:rPr>
              <w:t>See our precedent comment (see Q5.4)</w:t>
            </w:r>
          </w:p>
          <w:p w14:paraId="31DBD861" w14:textId="77777777" w:rsidR="006F5ECC" w:rsidRPr="00CF2245" w:rsidRDefault="006F5ECC" w:rsidP="00020B14">
            <w:pPr>
              <w:tabs>
                <w:tab w:val="left" w:pos="0"/>
                <w:tab w:val="left" w:pos="4536"/>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5A08C532"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06698040"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0218B81" w14:textId="79561ED9" w:rsidR="006F5ECC" w:rsidRPr="00FE3045" w:rsidRDefault="006F5ECC" w:rsidP="00020B14">
            <w:pPr>
              <w:tabs>
                <w:tab w:val="left" w:pos="0"/>
                <w:tab w:val="left" w:pos="4536"/>
              </w:tabs>
              <w:ind w:left="-96"/>
              <w:rPr>
                <w:rFonts w:ascii="Verdana" w:hAnsi="Verdana"/>
                <w:bCs/>
                <w:color w:val="000000"/>
                <w:sz w:val="22"/>
                <w:szCs w:val="22"/>
                <w:lang w:val="en-US"/>
              </w:rPr>
            </w:pPr>
            <w:r w:rsidRPr="00BB339B">
              <w:rPr>
                <w:rFonts w:ascii="Verdana" w:hAnsi="Verdana"/>
                <w:bCs/>
                <w:color w:val="7F7F7F" w:themeColor="text1" w:themeTint="80"/>
                <w:sz w:val="22"/>
                <w:szCs w:val="22"/>
                <w:lang w:val="en-US"/>
              </w:rPr>
              <w:t>5</w:t>
            </w:r>
          </w:p>
        </w:tc>
        <w:tc>
          <w:tcPr>
            <w:tcW w:w="506" w:type="pct"/>
            <w:gridSpan w:val="2"/>
            <w:tcBorders>
              <w:top w:val="single" w:sz="4" w:space="0" w:color="auto"/>
              <w:left w:val="single" w:sz="4" w:space="0" w:color="auto"/>
              <w:bottom w:val="single" w:sz="4" w:space="0" w:color="auto"/>
              <w:right w:val="single" w:sz="4" w:space="0" w:color="auto"/>
            </w:tcBorders>
          </w:tcPr>
          <w:p w14:paraId="41F1A7C8" w14:textId="269C0718" w:rsidR="006F5ECC" w:rsidRPr="00BB339B" w:rsidRDefault="006F5ECC" w:rsidP="00020B14">
            <w:pPr>
              <w:tabs>
                <w:tab w:val="left" w:pos="0"/>
                <w:tab w:val="left" w:pos="4536"/>
              </w:tabs>
              <w:ind w:left="-96"/>
              <w:rPr>
                <w:rFonts w:ascii="Verdana" w:hAnsi="Verdana"/>
                <w:b/>
                <w:bCs/>
                <w:color w:val="7F7F7F"/>
                <w:sz w:val="22"/>
                <w:szCs w:val="22"/>
                <w:lang w:val="en-US" w:eastAsia="fr-FR"/>
              </w:rPr>
            </w:pPr>
            <w:r>
              <w:rPr>
                <w:rFonts w:ascii="Verdana" w:hAnsi="Verdana"/>
                <w:b/>
                <w:bCs/>
                <w:color w:val="7F7F7F"/>
                <w:sz w:val="22"/>
                <w:szCs w:val="22"/>
                <w:lang w:val="en-US" w:eastAsia="fr-FR"/>
              </w:rPr>
              <w:t>Question to stakeholders</w:t>
            </w:r>
          </w:p>
        </w:tc>
        <w:tc>
          <w:tcPr>
            <w:tcW w:w="1999" w:type="pct"/>
            <w:tcBorders>
              <w:top w:val="single" w:sz="4" w:space="0" w:color="auto"/>
              <w:left w:val="single" w:sz="4" w:space="0" w:color="auto"/>
              <w:bottom w:val="single" w:sz="4" w:space="0" w:color="auto"/>
              <w:right w:val="single" w:sz="4" w:space="0" w:color="auto"/>
            </w:tcBorders>
          </w:tcPr>
          <w:p w14:paraId="0BEB798F" w14:textId="77777777" w:rsidR="006F5ECC" w:rsidRPr="00395661" w:rsidRDefault="006F5ECC" w:rsidP="00020B14">
            <w:pPr>
              <w:tabs>
                <w:tab w:val="left" w:pos="0"/>
                <w:tab w:val="left" w:pos="4536"/>
              </w:tabs>
              <w:rPr>
                <w:rFonts w:ascii="Verdana" w:hAnsi="Verdana"/>
                <w:b/>
                <w:bCs/>
                <w:color w:val="7F7F7F" w:themeColor="text1" w:themeTint="80"/>
                <w:sz w:val="22"/>
                <w:szCs w:val="22"/>
                <w:lang w:val="en-US" w:eastAsia="fr-FR"/>
              </w:rPr>
            </w:pPr>
            <w:r w:rsidRPr="00395661">
              <w:rPr>
                <w:rFonts w:ascii="Verdana" w:hAnsi="Verdana"/>
                <w:b/>
                <w:bCs/>
                <w:color w:val="7F7F7F" w:themeColor="text1" w:themeTint="80"/>
                <w:sz w:val="22"/>
                <w:szCs w:val="22"/>
                <w:lang w:val="en-US" w:eastAsia="fr-FR"/>
              </w:rPr>
              <w:t>Q5.6: What is your view on the recognition of finite reinsurance in the SCR standard formula? If you consider changes necessary, please make concrete proposals</w:t>
            </w:r>
          </w:p>
          <w:p w14:paraId="5DADED9C" w14:textId="7071F532" w:rsidR="006F5ECC" w:rsidRPr="00CF2245" w:rsidRDefault="006F5ECC" w:rsidP="00020B14">
            <w:pPr>
              <w:tabs>
                <w:tab w:val="left" w:pos="0"/>
                <w:tab w:val="left" w:pos="4536"/>
              </w:tabs>
              <w:rPr>
                <w:rFonts w:ascii="Verdana" w:hAnsi="Verdana"/>
                <w:color w:val="7F7F7F" w:themeColor="text1" w:themeTint="80"/>
                <w:sz w:val="22"/>
                <w:szCs w:val="22"/>
                <w:lang w:val="en-US" w:eastAsia="fr-FR"/>
              </w:rPr>
            </w:pPr>
            <w:r w:rsidRPr="00CF2245">
              <w:rPr>
                <w:rFonts w:ascii="Verdana" w:hAnsi="Verdana"/>
                <w:color w:val="7F7F7F" w:themeColor="text1" w:themeTint="80"/>
                <w:sz w:val="22"/>
                <w:szCs w:val="22"/>
                <w:lang w:val="en-US" w:eastAsia="fr-FR"/>
              </w:rPr>
              <w:t>N/A</w:t>
            </w:r>
          </w:p>
          <w:p w14:paraId="6EBE8E47" w14:textId="63A30856" w:rsidR="006F5ECC" w:rsidRPr="00395661" w:rsidRDefault="006F5ECC" w:rsidP="00020B14">
            <w:pPr>
              <w:tabs>
                <w:tab w:val="left" w:pos="0"/>
                <w:tab w:val="left" w:pos="4536"/>
              </w:tabs>
              <w:rPr>
                <w:rFonts w:ascii="Verdana" w:hAnsi="Verdana"/>
                <w:b/>
                <w:bCs/>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1F6525D8" w14:textId="77777777" w:rsidR="006F5ECC" w:rsidRPr="00FE3045" w:rsidRDefault="006F5ECC" w:rsidP="00020B14">
            <w:pPr>
              <w:tabs>
                <w:tab w:val="left" w:pos="0"/>
                <w:tab w:val="left" w:pos="4536"/>
              </w:tabs>
              <w:ind w:left="-96"/>
              <w:rPr>
                <w:color w:val="000000"/>
                <w:sz w:val="22"/>
                <w:szCs w:val="22"/>
                <w:lang w:val="en-US" w:eastAsia="fr-FR"/>
              </w:rPr>
            </w:pPr>
          </w:p>
        </w:tc>
      </w:tr>
      <w:tr w:rsidR="00FC5744" w:rsidRPr="00743E9A" w14:paraId="0D4E7E6A"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869D43F" w14:textId="2A2EFF2F" w:rsidR="006F5ECC" w:rsidRPr="00FE3045" w:rsidRDefault="006F5ECC" w:rsidP="00020B14">
            <w:pPr>
              <w:tabs>
                <w:tab w:val="left" w:pos="0"/>
                <w:tab w:val="left" w:pos="4536"/>
              </w:tabs>
              <w:ind w:left="-96"/>
              <w:rPr>
                <w:rFonts w:ascii="Verdana" w:hAnsi="Verdana"/>
                <w:bCs/>
                <w:color w:val="000000"/>
                <w:sz w:val="22"/>
                <w:szCs w:val="22"/>
                <w:lang w:val="en-US"/>
              </w:rPr>
            </w:pPr>
            <w:r w:rsidRPr="00BB339B">
              <w:rPr>
                <w:rFonts w:ascii="Verdana" w:hAnsi="Verdana"/>
                <w:bCs/>
                <w:color w:val="7F7F7F" w:themeColor="text1" w:themeTint="80"/>
                <w:sz w:val="22"/>
                <w:szCs w:val="22"/>
                <w:lang w:val="en-US"/>
              </w:rPr>
              <w:t>5</w:t>
            </w:r>
          </w:p>
        </w:tc>
        <w:tc>
          <w:tcPr>
            <w:tcW w:w="506" w:type="pct"/>
            <w:gridSpan w:val="2"/>
            <w:tcBorders>
              <w:top w:val="single" w:sz="4" w:space="0" w:color="auto"/>
              <w:left w:val="single" w:sz="4" w:space="0" w:color="auto"/>
              <w:bottom w:val="single" w:sz="4" w:space="0" w:color="auto"/>
              <w:right w:val="single" w:sz="4" w:space="0" w:color="auto"/>
            </w:tcBorders>
          </w:tcPr>
          <w:p w14:paraId="2F0022D2" w14:textId="0FE09335" w:rsidR="006F5ECC" w:rsidRPr="00FE3045" w:rsidRDefault="006F5ECC" w:rsidP="00020B14">
            <w:pPr>
              <w:tabs>
                <w:tab w:val="left" w:pos="0"/>
                <w:tab w:val="left" w:pos="4536"/>
              </w:tabs>
              <w:ind w:left="-96"/>
              <w:rPr>
                <w:color w:val="000000"/>
                <w:sz w:val="22"/>
                <w:szCs w:val="22"/>
                <w:lang w:val="en-US" w:eastAsia="fr-FR"/>
              </w:rPr>
            </w:pPr>
            <w:r>
              <w:rPr>
                <w:rFonts w:ascii="Verdana" w:hAnsi="Verdana"/>
                <w:b/>
                <w:bCs/>
                <w:color w:val="7F7F7F"/>
                <w:sz w:val="22"/>
                <w:szCs w:val="22"/>
                <w:lang w:val="en-US" w:eastAsia="fr-FR"/>
              </w:rPr>
              <w:t>Question to stakeholders</w:t>
            </w:r>
          </w:p>
        </w:tc>
        <w:tc>
          <w:tcPr>
            <w:tcW w:w="1999" w:type="pct"/>
            <w:tcBorders>
              <w:top w:val="single" w:sz="4" w:space="0" w:color="auto"/>
              <w:left w:val="single" w:sz="4" w:space="0" w:color="auto"/>
              <w:bottom w:val="single" w:sz="4" w:space="0" w:color="auto"/>
              <w:right w:val="single" w:sz="4" w:space="0" w:color="auto"/>
            </w:tcBorders>
          </w:tcPr>
          <w:p w14:paraId="4CDC77E8" w14:textId="1A28BBAB" w:rsidR="006F5ECC" w:rsidRPr="00395661" w:rsidRDefault="006F5ECC" w:rsidP="00020B14">
            <w:pPr>
              <w:tabs>
                <w:tab w:val="left" w:pos="0"/>
                <w:tab w:val="left" w:pos="4536"/>
              </w:tabs>
              <w:spacing w:line="239" w:lineRule="auto"/>
              <w:ind w:right="20" w:hanging="565"/>
              <w:jc w:val="both"/>
              <w:rPr>
                <w:rFonts w:ascii="Verdana" w:eastAsia="Verdana" w:hAnsi="Verdana" w:cs="Verdana"/>
                <w:b/>
                <w:bCs/>
                <w:color w:val="7F7F7F" w:themeColor="text1" w:themeTint="80"/>
                <w:sz w:val="22"/>
                <w:szCs w:val="22"/>
                <w:lang w:val="en-US"/>
              </w:rPr>
            </w:pPr>
            <w:r w:rsidRPr="00395661">
              <w:rPr>
                <w:rFonts w:ascii="Verdana" w:eastAsia="Verdana" w:hAnsi="Verdana" w:cs="Verdana"/>
                <w:b/>
                <w:bCs/>
                <w:color w:val="7F7F7F" w:themeColor="text1" w:themeTint="80"/>
                <w:sz w:val="22"/>
                <w:szCs w:val="22"/>
                <w:lang w:val="en-US"/>
              </w:rPr>
              <w:t>Q5.7</w:t>
            </w:r>
            <w:r w:rsidRPr="00395661">
              <w:rPr>
                <w:rFonts w:ascii="Verdana" w:eastAsia="Verdana" w:hAnsi="Verdana" w:cs="Verdana"/>
                <w:b/>
                <w:bCs/>
                <w:color w:val="7F7F7F" w:themeColor="text1" w:themeTint="80"/>
                <w:lang w:val="en-US"/>
              </w:rPr>
              <w:t xml:space="preserve">: </w:t>
            </w:r>
            <w:r w:rsidRPr="00395661">
              <w:rPr>
                <w:rFonts w:ascii="Verdana" w:eastAsia="Verdana" w:hAnsi="Verdana" w:cs="Verdana"/>
                <w:b/>
                <w:bCs/>
                <w:color w:val="7F7F7F" w:themeColor="text1" w:themeTint="80"/>
                <w:sz w:val="22"/>
                <w:szCs w:val="22"/>
                <w:lang w:val="en-US"/>
              </w:rPr>
              <w:t xml:space="preserve">If EIOPA would to recommend a consistent treatment of contingent instruments (contingent capital and convertible bond </w:t>
            </w:r>
            <w:r w:rsidRPr="00395661">
              <w:rPr>
                <w:rFonts w:ascii="Verdana" w:eastAsia="Verdana" w:hAnsi="Verdana" w:cs="Verdana"/>
                <w:b/>
                <w:bCs/>
                <w:color w:val="7F7F7F" w:themeColor="text1" w:themeTint="80"/>
                <w:sz w:val="22"/>
                <w:szCs w:val="22"/>
                <w:lang w:val="en-US"/>
              </w:rPr>
              <w:lastRenderedPageBreak/>
              <w:t>instruments) between standard formula and internal models, one possible way of implementing this principle would be to clarify that the definition of SCR (Article 101 of the Directive) does not include planned basic own funds increases. What do you think about this clarification?</w:t>
            </w:r>
          </w:p>
          <w:p w14:paraId="4D768AB2" w14:textId="77777777" w:rsidR="006F5ECC" w:rsidRPr="00395661" w:rsidRDefault="006F5ECC" w:rsidP="00020B14">
            <w:pPr>
              <w:tabs>
                <w:tab w:val="left" w:pos="0"/>
                <w:tab w:val="left" w:pos="4536"/>
              </w:tabs>
              <w:rPr>
                <w:rFonts w:ascii="Verdana" w:hAnsi="Verdana"/>
                <w:color w:val="7F7F7F" w:themeColor="text1" w:themeTint="80"/>
                <w:sz w:val="22"/>
                <w:szCs w:val="22"/>
                <w:lang w:val="en-US" w:eastAsia="fr-FR"/>
              </w:rPr>
            </w:pPr>
            <w:r w:rsidRPr="00395661">
              <w:rPr>
                <w:rFonts w:ascii="Verdana" w:hAnsi="Verdana"/>
                <w:color w:val="7F7F7F" w:themeColor="text1" w:themeTint="80"/>
                <w:sz w:val="22"/>
                <w:szCs w:val="22"/>
                <w:lang w:val="en-US" w:eastAsia="fr-FR"/>
              </w:rPr>
              <w:t>N/A</w:t>
            </w:r>
          </w:p>
          <w:p w14:paraId="33449307" w14:textId="77777777" w:rsidR="006F5ECC" w:rsidRPr="00CF2245" w:rsidRDefault="006F5ECC" w:rsidP="00020B14">
            <w:pPr>
              <w:tabs>
                <w:tab w:val="left" w:pos="0"/>
                <w:tab w:val="left" w:pos="4536"/>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68C94AFB" w14:textId="77777777" w:rsidR="006F5ECC" w:rsidRPr="00FE3045" w:rsidRDefault="006F5ECC" w:rsidP="00020B14">
            <w:pPr>
              <w:tabs>
                <w:tab w:val="left" w:pos="0"/>
                <w:tab w:val="left" w:pos="4536"/>
              </w:tabs>
              <w:ind w:left="-96"/>
              <w:rPr>
                <w:color w:val="000000"/>
                <w:sz w:val="22"/>
                <w:szCs w:val="22"/>
                <w:lang w:val="en-US" w:eastAsia="fr-FR"/>
              </w:rPr>
            </w:pPr>
          </w:p>
        </w:tc>
      </w:tr>
      <w:tr w:rsidR="006F5ECC" w:rsidRPr="001360A5" w14:paraId="6FC44308"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49CD9B1B" w14:textId="2B31452A" w:rsidR="006F5ECC" w:rsidRPr="00395661" w:rsidRDefault="006F5ECC" w:rsidP="00020B14">
            <w:pPr>
              <w:tabs>
                <w:tab w:val="left" w:pos="0"/>
                <w:tab w:val="left" w:pos="4536"/>
              </w:tabs>
              <w:rPr>
                <w:color w:val="7F7F7F" w:themeColor="text1" w:themeTint="80"/>
                <w:sz w:val="22"/>
                <w:szCs w:val="22"/>
                <w:lang w:val="en-US"/>
              </w:rPr>
            </w:pPr>
            <w:r w:rsidRPr="00395661">
              <w:rPr>
                <w:rFonts w:ascii="Verdana" w:eastAsia="Verdana" w:hAnsi="Verdana" w:cs="Verdana"/>
                <w:b/>
                <w:bCs/>
                <w:color w:val="7F7F7F" w:themeColor="text1" w:themeTint="80"/>
                <w:sz w:val="22"/>
                <w:szCs w:val="22"/>
                <w:lang w:val="en-US"/>
              </w:rPr>
              <w:t>5.9. Reducing reliance on external ratings</w:t>
            </w:r>
          </w:p>
        </w:tc>
      </w:tr>
      <w:tr w:rsidR="00FC5744" w:rsidRPr="001360A5" w14:paraId="2744EDB7"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4E70489" w14:textId="7D11DAB8" w:rsidR="006F5ECC" w:rsidRPr="002B6246" w:rsidRDefault="006F5ECC" w:rsidP="00020B14">
            <w:pPr>
              <w:tabs>
                <w:tab w:val="left" w:pos="0"/>
                <w:tab w:val="left" w:pos="4536"/>
              </w:tabs>
              <w:ind w:left="-96"/>
              <w:rPr>
                <w:rFonts w:ascii="Verdana" w:hAnsi="Verdana"/>
                <w:color w:val="7F7F7F" w:themeColor="text1" w:themeTint="80"/>
                <w:sz w:val="22"/>
                <w:szCs w:val="22"/>
                <w:lang w:val="en-US"/>
              </w:rPr>
            </w:pPr>
            <w:r w:rsidRPr="002B6246">
              <w:rPr>
                <w:rFonts w:ascii="Verdana" w:eastAsia="Verdana" w:hAnsi="Verdana" w:cs="Verdana"/>
                <w:color w:val="7F7F7F" w:themeColor="text1" w:themeTint="80"/>
                <w:sz w:val="22"/>
                <w:szCs w:val="22"/>
                <w:lang w:val="en-US"/>
              </w:rPr>
              <w:t>5</w:t>
            </w:r>
          </w:p>
        </w:tc>
        <w:tc>
          <w:tcPr>
            <w:tcW w:w="506" w:type="pct"/>
            <w:gridSpan w:val="2"/>
            <w:tcBorders>
              <w:top w:val="single" w:sz="4" w:space="0" w:color="auto"/>
              <w:left w:val="single" w:sz="4" w:space="0" w:color="auto"/>
              <w:bottom w:val="single" w:sz="4" w:space="0" w:color="auto"/>
              <w:right w:val="single" w:sz="4" w:space="0" w:color="auto"/>
            </w:tcBorders>
          </w:tcPr>
          <w:p w14:paraId="4DA5D1F0" w14:textId="7216B67C" w:rsidR="006F5ECC" w:rsidRPr="000A71B7" w:rsidRDefault="007E5E64" w:rsidP="00020B14">
            <w:pPr>
              <w:tabs>
                <w:tab w:val="left" w:pos="0"/>
                <w:tab w:val="left" w:pos="4536"/>
              </w:tabs>
              <w:ind w:left="-96"/>
              <w:rPr>
                <w:rFonts w:ascii="Verdana" w:hAnsi="Verdana"/>
                <w:color w:val="7F7F7F"/>
                <w:sz w:val="22"/>
                <w:szCs w:val="22"/>
                <w:lang w:val="en-US" w:eastAsia="fr-FR"/>
              </w:rPr>
            </w:pPr>
            <w:r>
              <w:rPr>
                <w:rFonts w:ascii="Verdana" w:hAnsi="Verdana"/>
                <w:color w:val="7F7F7F"/>
                <w:sz w:val="22"/>
                <w:szCs w:val="22"/>
                <w:lang w:val="en-US" w:eastAsia="fr-FR"/>
              </w:rPr>
              <w:t>321</w:t>
            </w:r>
          </w:p>
        </w:tc>
        <w:tc>
          <w:tcPr>
            <w:tcW w:w="1999" w:type="pct"/>
            <w:tcBorders>
              <w:top w:val="single" w:sz="4" w:space="0" w:color="auto"/>
              <w:left w:val="single" w:sz="4" w:space="0" w:color="auto"/>
              <w:bottom w:val="single" w:sz="4" w:space="0" w:color="auto"/>
              <w:right w:val="single" w:sz="4" w:space="0" w:color="auto"/>
            </w:tcBorders>
          </w:tcPr>
          <w:p w14:paraId="71E75332" w14:textId="2BF102F0" w:rsidR="006F5ECC" w:rsidRPr="003720A2" w:rsidRDefault="006F5ECC" w:rsidP="00020B14">
            <w:pPr>
              <w:tabs>
                <w:tab w:val="left" w:pos="0"/>
                <w:tab w:val="left" w:pos="4536"/>
              </w:tabs>
              <w:spacing w:after="120"/>
              <w:rPr>
                <w:rFonts w:ascii="Verdana" w:hAnsi="Verdana"/>
                <w:b/>
                <w:bCs/>
                <w:color w:val="7F7F7F" w:themeColor="text1" w:themeTint="80"/>
                <w:sz w:val="22"/>
                <w:szCs w:val="22"/>
                <w:lang w:val="en-US" w:eastAsia="fr-FR"/>
              </w:rPr>
            </w:pPr>
            <w:r w:rsidRPr="003720A2">
              <w:rPr>
                <w:rFonts w:ascii="Verdana" w:hAnsi="Verdana"/>
                <w:b/>
                <w:bCs/>
                <w:color w:val="7F7F7F" w:themeColor="text1" w:themeTint="80"/>
                <w:sz w:val="22"/>
                <w:szCs w:val="22"/>
                <w:lang w:val="en-US" w:eastAsia="fr-FR"/>
              </w:rPr>
              <w:t>EIOPA´s Advice – General Comments</w:t>
            </w:r>
          </w:p>
          <w:p w14:paraId="6D73B9AE" w14:textId="45738BEE" w:rsidR="006F5ECC" w:rsidRPr="00CF2245" w:rsidRDefault="006F5ECC" w:rsidP="00020B14">
            <w:pPr>
              <w:tabs>
                <w:tab w:val="left" w:pos="0"/>
                <w:tab w:val="left" w:pos="4536"/>
              </w:tabs>
              <w:rPr>
                <w:rFonts w:ascii="Verdana" w:hAnsi="Verdana"/>
                <w:color w:val="7F7F7F" w:themeColor="text1" w:themeTint="80"/>
                <w:sz w:val="22"/>
                <w:szCs w:val="22"/>
                <w:lang w:val="en-US" w:eastAsia="fr-FR"/>
              </w:rPr>
            </w:pPr>
            <w:r w:rsidRPr="003720A2">
              <w:rPr>
                <w:rFonts w:ascii="Verdana" w:hAnsi="Verdana"/>
                <w:color w:val="7F7F7F" w:themeColor="text1" w:themeTint="80"/>
                <w:sz w:val="22"/>
                <w:szCs w:val="22"/>
                <w:lang w:val="en-US" w:eastAsia="fr-FR"/>
              </w:rPr>
              <w:t xml:space="preserve">AMICE fully supports the reduction of reliance on </w:t>
            </w:r>
            <w:r w:rsidR="001B54F6">
              <w:rPr>
                <w:rFonts w:ascii="Verdana" w:hAnsi="Verdana"/>
                <w:color w:val="7F7F7F" w:themeColor="text1" w:themeTint="80"/>
                <w:sz w:val="22"/>
                <w:szCs w:val="22"/>
                <w:lang w:val="en-US" w:eastAsia="fr-FR"/>
              </w:rPr>
              <w:t>external ratings</w:t>
            </w:r>
            <w:r w:rsidRPr="003720A2">
              <w:rPr>
                <w:rFonts w:ascii="Verdana" w:hAnsi="Verdana"/>
                <w:color w:val="7F7F7F" w:themeColor="text1" w:themeTint="80"/>
                <w:sz w:val="22"/>
                <w:szCs w:val="22"/>
                <w:lang w:val="en-US" w:eastAsia="fr-FR"/>
              </w:rPr>
              <w:t xml:space="preserve">. </w:t>
            </w:r>
            <w:r w:rsidR="005307F4" w:rsidRPr="003720A2">
              <w:rPr>
                <w:rFonts w:ascii="Verdana" w:hAnsi="Verdana"/>
                <w:color w:val="7F7F7F" w:themeColor="text1" w:themeTint="80"/>
                <w:sz w:val="22"/>
                <w:szCs w:val="22"/>
                <w:lang w:val="en-US" w:eastAsia="fr-FR"/>
              </w:rPr>
              <w:t xml:space="preserve">However, the ability to develop internal measures is only available for few insurers because of the resources needed to develop such a system. </w:t>
            </w:r>
            <w:r w:rsidR="001B54F6">
              <w:rPr>
                <w:rFonts w:ascii="Verdana" w:hAnsi="Verdana"/>
                <w:color w:val="7F7F7F" w:themeColor="text1" w:themeTint="80"/>
                <w:sz w:val="22"/>
                <w:szCs w:val="22"/>
                <w:lang w:val="en-US" w:eastAsia="fr-FR"/>
              </w:rPr>
              <w:t>Small and medium size</w:t>
            </w:r>
            <w:r w:rsidR="005307F4" w:rsidRPr="003720A2">
              <w:rPr>
                <w:rFonts w:ascii="Verdana" w:hAnsi="Verdana"/>
                <w:color w:val="7F7F7F" w:themeColor="text1" w:themeTint="80"/>
                <w:sz w:val="22"/>
                <w:szCs w:val="22"/>
                <w:lang w:val="en-US" w:eastAsia="fr-FR"/>
              </w:rPr>
              <w:t xml:space="preserve"> companies should be able to use </w:t>
            </w:r>
            <w:r w:rsidR="001B54F6">
              <w:rPr>
                <w:rFonts w:ascii="Verdana" w:hAnsi="Verdana"/>
                <w:color w:val="7F7F7F" w:themeColor="text1" w:themeTint="80"/>
                <w:sz w:val="22"/>
                <w:szCs w:val="22"/>
                <w:lang w:val="en-US" w:eastAsia="fr-FR"/>
              </w:rPr>
              <w:t xml:space="preserve">the </w:t>
            </w:r>
            <w:r w:rsidR="005307F4" w:rsidRPr="003720A2">
              <w:rPr>
                <w:rFonts w:ascii="Verdana" w:hAnsi="Verdana"/>
                <w:color w:val="7F7F7F" w:themeColor="text1" w:themeTint="80"/>
                <w:sz w:val="22"/>
                <w:szCs w:val="22"/>
                <w:lang w:val="en-US" w:eastAsia="fr-FR"/>
              </w:rPr>
              <w:t xml:space="preserve">rating for </w:t>
            </w:r>
            <w:r w:rsidR="001B54F6">
              <w:rPr>
                <w:rFonts w:ascii="Verdana" w:hAnsi="Verdana"/>
                <w:color w:val="7F7F7F" w:themeColor="text1" w:themeTint="80"/>
                <w:sz w:val="22"/>
                <w:szCs w:val="22"/>
                <w:lang w:val="en-US" w:eastAsia="fr-FR"/>
              </w:rPr>
              <w:t>information at a reasonable</w:t>
            </w:r>
            <w:r w:rsidR="005307F4" w:rsidRPr="003720A2">
              <w:rPr>
                <w:rFonts w:ascii="Verdana" w:hAnsi="Verdana"/>
                <w:color w:val="7F7F7F" w:themeColor="text1" w:themeTint="80"/>
                <w:sz w:val="22"/>
                <w:szCs w:val="22"/>
                <w:lang w:val="en-US" w:eastAsia="fr-FR"/>
              </w:rPr>
              <w:t xml:space="preserve">. </w:t>
            </w:r>
            <w:r w:rsidR="001B54F6">
              <w:rPr>
                <w:rFonts w:ascii="Verdana" w:hAnsi="Verdana"/>
                <w:color w:val="7F7F7F" w:themeColor="text1" w:themeTint="80"/>
                <w:sz w:val="22"/>
                <w:szCs w:val="22"/>
                <w:lang w:val="en-US" w:eastAsia="fr-FR"/>
              </w:rPr>
              <w:t>T</w:t>
            </w:r>
            <w:r w:rsidR="005307F4" w:rsidRPr="003720A2">
              <w:rPr>
                <w:rFonts w:ascii="Verdana" w:hAnsi="Verdana"/>
                <w:color w:val="7F7F7F" w:themeColor="text1" w:themeTint="80"/>
                <w:sz w:val="22"/>
                <w:szCs w:val="22"/>
                <w:lang w:val="en-US" w:eastAsia="fr-FR"/>
              </w:rPr>
              <w:t xml:space="preserve">he European institutions should </w:t>
            </w:r>
            <w:r w:rsidR="001B54F6">
              <w:rPr>
                <w:rFonts w:ascii="Verdana" w:hAnsi="Verdana"/>
                <w:color w:val="7F7F7F" w:themeColor="text1" w:themeTint="80"/>
                <w:sz w:val="22"/>
                <w:szCs w:val="22"/>
                <w:lang w:val="en-US" w:eastAsia="fr-FR"/>
              </w:rPr>
              <w:t xml:space="preserve">therefore </w:t>
            </w:r>
            <w:r w:rsidR="005307F4" w:rsidRPr="003720A2">
              <w:rPr>
                <w:rFonts w:ascii="Verdana" w:hAnsi="Verdana"/>
                <w:color w:val="7F7F7F" w:themeColor="text1" w:themeTint="80"/>
                <w:sz w:val="22"/>
                <w:szCs w:val="22"/>
                <w:lang w:val="en-US" w:eastAsia="fr-FR"/>
              </w:rPr>
              <w:t>ensure that the use of ratings is not overly expensive</w:t>
            </w:r>
            <w:r w:rsidR="001B54F6">
              <w:rPr>
                <w:rFonts w:ascii="Verdana" w:hAnsi="Verdana"/>
                <w:color w:val="7F7F7F" w:themeColor="text1" w:themeTint="80"/>
                <w:sz w:val="22"/>
                <w:szCs w:val="22"/>
                <w:lang w:val="en-US" w:eastAsia="fr-FR"/>
              </w:rPr>
              <w:t xml:space="preserve"> for SMEs</w:t>
            </w:r>
            <w:r w:rsidR="005307F4">
              <w:rPr>
                <w:rFonts w:ascii="Verdana" w:hAnsi="Verdana"/>
                <w:color w:val="7F7F7F" w:themeColor="text1" w:themeTint="80"/>
                <w:sz w:val="22"/>
                <w:szCs w:val="22"/>
                <w:lang w:val="en-US" w:eastAsia="fr-FR"/>
              </w:rPr>
              <w:t>.</w:t>
            </w:r>
          </w:p>
        </w:tc>
        <w:tc>
          <w:tcPr>
            <w:tcW w:w="483" w:type="pct"/>
            <w:tcBorders>
              <w:top w:val="single" w:sz="4" w:space="0" w:color="auto"/>
              <w:left w:val="single" w:sz="4" w:space="0" w:color="auto"/>
              <w:bottom w:val="single" w:sz="4" w:space="0" w:color="auto"/>
              <w:right w:val="single" w:sz="4" w:space="0" w:color="auto"/>
            </w:tcBorders>
          </w:tcPr>
          <w:p w14:paraId="0BA72BB8" w14:textId="77777777" w:rsidR="006F5ECC" w:rsidRPr="00FE3045" w:rsidRDefault="006F5ECC" w:rsidP="00020B14">
            <w:pPr>
              <w:tabs>
                <w:tab w:val="left" w:pos="0"/>
                <w:tab w:val="left" w:pos="4536"/>
              </w:tabs>
              <w:ind w:left="-96"/>
              <w:rPr>
                <w:rFonts w:ascii="Verdana" w:hAnsi="Verdana"/>
                <w:color w:val="7F7F7F"/>
                <w:sz w:val="22"/>
                <w:szCs w:val="22"/>
                <w:lang w:val="en-US" w:eastAsia="fr-FR"/>
              </w:rPr>
            </w:pPr>
          </w:p>
        </w:tc>
      </w:tr>
      <w:tr w:rsidR="006F5ECC" w:rsidRPr="002B6246" w14:paraId="4E02F04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52A2E39D" w14:textId="55238861" w:rsidR="006F5ECC" w:rsidRPr="00395661" w:rsidRDefault="006F5ECC" w:rsidP="00020B14">
            <w:pPr>
              <w:tabs>
                <w:tab w:val="left" w:pos="0"/>
                <w:tab w:val="left" w:pos="4536"/>
              </w:tabs>
              <w:rPr>
                <w:color w:val="7F7F7F" w:themeColor="text1" w:themeTint="80"/>
                <w:sz w:val="22"/>
                <w:szCs w:val="22"/>
                <w:lang w:val="en-US" w:eastAsia="fr-FR"/>
              </w:rPr>
            </w:pPr>
            <w:r w:rsidRPr="00395661">
              <w:rPr>
                <w:rFonts w:ascii="Verdana" w:hAnsi="Verdana"/>
                <w:b/>
                <w:color w:val="7F7F7F" w:themeColor="text1" w:themeTint="80"/>
                <w:sz w:val="22"/>
                <w:szCs w:val="22"/>
                <w:lang w:val="en-US"/>
              </w:rPr>
              <w:t>5.10 Transitional on government bonds</w:t>
            </w:r>
          </w:p>
        </w:tc>
      </w:tr>
      <w:tr w:rsidR="00FC5744" w:rsidRPr="001360A5" w14:paraId="78FF82E0"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1C993E3" w14:textId="3C5763F0" w:rsidR="006F5ECC" w:rsidRPr="002B6246" w:rsidRDefault="006F5ECC" w:rsidP="00020B14">
            <w:pPr>
              <w:tabs>
                <w:tab w:val="left" w:pos="0"/>
                <w:tab w:val="left" w:pos="4536"/>
              </w:tabs>
              <w:ind w:left="-96"/>
              <w:rPr>
                <w:rFonts w:ascii="Verdana" w:hAnsi="Verdana"/>
                <w:bCs/>
                <w:color w:val="7F7F7F" w:themeColor="text1" w:themeTint="80"/>
                <w:sz w:val="22"/>
                <w:szCs w:val="22"/>
                <w:lang w:val="en-GB"/>
              </w:rPr>
            </w:pPr>
            <w:r w:rsidRPr="002B6246">
              <w:rPr>
                <w:rFonts w:ascii="Verdana" w:hAnsi="Verdana"/>
                <w:bCs/>
                <w:color w:val="7F7F7F" w:themeColor="text1" w:themeTint="80"/>
                <w:sz w:val="22"/>
                <w:szCs w:val="22"/>
                <w:lang w:val="en-GB"/>
              </w:rPr>
              <w:t>5</w:t>
            </w:r>
          </w:p>
        </w:tc>
        <w:tc>
          <w:tcPr>
            <w:tcW w:w="506" w:type="pct"/>
            <w:gridSpan w:val="2"/>
            <w:tcBorders>
              <w:top w:val="single" w:sz="4" w:space="0" w:color="auto"/>
              <w:left w:val="single" w:sz="4" w:space="0" w:color="auto"/>
              <w:bottom w:val="single" w:sz="4" w:space="0" w:color="auto"/>
              <w:right w:val="single" w:sz="4" w:space="0" w:color="auto"/>
            </w:tcBorders>
          </w:tcPr>
          <w:p w14:paraId="0D3B441C" w14:textId="7FA1CEC4" w:rsidR="006F5ECC" w:rsidRPr="002B6246" w:rsidRDefault="006F5ECC" w:rsidP="00020B14">
            <w:pPr>
              <w:tabs>
                <w:tab w:val="left" w:pos="0"/>
                <w:tab w:val="left" w:pos="4536"/>
              </w:tabs>
              <w:ind w:left="-96"/>
              <w:rPr>
                <w:rFonts w:ascii="Verdana" w:hAnsi="Verdana"/>
                <w:color w:val="7F7F7F" w:themeColor="text1" w:themeTint="80"/>
                <w:sz w:val="22"/>
                <w:szCs w:val="22"/>
                <w:lang w:val="en-US"/>
              </w:rPr>
            </w:pPr>
            <w:r w:rsidRPr="002B6246">
              <w:rPr>
                <w:rFonts w:ascii="Verdana" w:hAnsi="Verdana"/>
                <w:color w:val="7F7F7F" w:themeColor="text1" w:themeTint="80"/>
                <w:sz w:val="22"/>
                <w:szCs w:val="22"/>
                <w:lang w:val="en-US"/>
              </w:rPr>
              <w:t>10</w:t>
            </w:r>
          </w:p>
        </w:tc>
        <w:tc>
          <w:tcPr>
            <w:tcW w:w="1999" w:type="pct"/>
            <w:tcBorders>
              <w:top w:val="single" w:sz="4" w:space="0" w:color="auto"/>
              <w:left w:val="single" w:sz="4" w:space="0" w:color="auto"/>
              <w:bottom w:val="single" w:sz="4" w:space="0" w:color="auto"/>
              <w:right w:val="single" w:sz="4" w:space="0" w:color="auto"/>
            </w:tcBorders>
          </w:tcPr>
          <w:p w14:paraId="73155188" w14:textId="6C346A44" w:rsidR="006F5ECC" w:rsidRPr="00395661" w:rsidRDefault="006F5ECC" w:rsidP="00020B14">
            <w:pPr>
              <w:tabs>
                <w:tab w:val="left" w:pos="0"/>
                <w:tab w:val="left" w:pos="4536"/>
              </w:tabs>
              <w:rPr>
                <w:rFonts w:ascii="Verdana" w:hAnsi="Verdana"/>
                <w:color w:val="7F7F7F" w:themeColor="text1" w:themeTint="80"/>
                <w:sz w:val="22"/>
                <w:szCs w:val="22"/>
                <w:u w:val="single"/>
                <w:lang w:val="en-US" w:eastAsia="fr-FR"/>
              </w:rPr>
            </w:pPr>
            <w:r w:rsidRPr="00395661">
              <w:rPr>
                <w:rFonts w:ascii="Verdana" w:hAnsi="Verdana"/>
                <w:color w:val="7F7F7F" w:themeColor="text1" w:themeTint="80"/>
                <w:sz w:val="22"/>
                <w:szCs w:val="22"/>
                <w:u w:val="single"/>
                <w:lang w:val="en-US" w:eastAsia="fr-FR"/>
              </w:rPr>
              <w:t>Transitional on government bonds – EIOPA´s Advice</w:t>
            </w:r>
          </w:p>
          <w:p w14:paraId="35B09514" w14:textId="63CED64E" w:rsidR="006F5ECC" w:rsidRPr="00395661" w:rsidRDefault="006F5ECC" w:rsidP="00020B14">
            <w:pPr>
              <w:tabs>
                <w:tab w:val="left" w:pos="0"/>
                <w:tab w:val="left" w:pos="4536"/>
              </w:tabs>
              <w:rPr>
                <w:rFonts w:ascii="Verdana" w:hAnsi="Verdana"/>
                <w:color w:val="7F7F7F" w:themeColor="text1" w:themeTint="80"/>
                <w:sz w:val="22"/>
                <w:szCs w:val="22"/>
                <w:lang w:val="en-US" w:eastAsia="fr-FR"/>
              </w:rPr>
            </w:pPr>
            <w:r w:rsidRPr="00395661">
              <w:rPr>
                <w:rFonts w:ascii="Verdana" w:hAnsi="Verdana"/>
                <w:color w:val="7F7F7F" w:themeColor="text1" w:themeTint="80"/>
                <w:sz w:val="22"/>
                <w:szCs w:val="22"/>
                <w:lang w:val="en-US" w:eastAsia="fr-FR"/>
              </w:rPr>
              <w:t>We agree with EIOPA’s proposal not to extend the tr</w:t>
            </w:r>
            <w:r>
              <w:rPr>
                <w:rFonts w:ascii="Verdana" w:hAnsi="Verdana"/>
                <w:color w:val="7F7F7F" w:themeColor="text1" w:themeTint="80"/>
                <w:sz w:val="22"/>
                <w:szCs w:val="22"/>
                <w:lang w:val="en-US" w:eastAsia="fr-FR"/>
              </w:rPr>
              <w:t>ansitional</w:t>
            </w:r>
            <w:r w:rsidRPr="00395661">
              <w:rPr>
                <w:rFonts w:ascii="Verdana" w:hAnsi="Verdana"/>
                <w:color w:val="7F7F7F" w:themeColor="text1" w:themeTint="80"/>
                <w:sz w:val="22"/>
                <w:szCs w:val="22"/>
                <w:lang w:val="en-US" w:eastAsia="fr-FR"/>
              </w:rPr>
              <w:t xml:space="preserve"> measure on government bonds issued in a foreign currency.</w:t>
            </w:r>
          </w:p>
        </w:tc>
        <w:tc>
          <w:tcPr>
            <w:tcW w:w="483" w:type="pct"/>
            <w:tcBorders>
              <w:top w:val="single" w:sz="4" w:space="0" w:color="auto"/>
              <w:left w:val="single" w:sz="4" w:space="0" w:color="auto"/>
              <w:bottom w:val="single" w:sz="4" w:space="0" w:color="auto"/>
              <w:right w:val="single" w:sz="4" w:space="0" w:color="auto"/>
            </w:tcBorders>
          </w:tcPr>
          <w:p w14:paraId="5253EEDD" w14:textId="77777777" w:rsidR="006F5ECC" w:rsidRPr="002B6246" w:rsidRDefault="006F5ECC" w:rsidP="00020B14">
            <w:pPr>
              <w:tabs>
                <w:tab w:val="left" w:pos="0"/>
                <w:tab w:val="left" w:pos="4536"/>
              </w:tabs>
              <w:ind w:left="-96"/>
              <w:rPr>
                <w:color w:val="7F7F7F" w:themeColor="text1" w:themeTint="80"/>
                <w:sz w:val="22"/>
                <w:szCs w:val="22"/>
                <w:lang w:val="en-US" w:eastAsia="fr-FR"/>
              </w:rPr>
            </w:pPr>
          </w:p>
        </w:tc>
      </w:tr>
      <w:tr w:rsidR="006F5ECC" w:rsidRPr="002B6246" w14:paraId="762C387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3E8E5A55" w14:textId="52C64A14" w:rsidR="006F5ECC" w:rsidRPr="00395661" w:rsidRDefault="006F5ECC" w:rsidP="00020B14">
            <w:pPr>
              <w:tabs>
                <w:tab w:val="left" w:pos="0"/>
                <w:tab w:val="left" w:pos="4536"/>
              </w:tabs>
              <w:rPr>
                <w:color w:val="7F7F7F" w:themeColor="text1" w:themeTint="80"/>
                <w:sz w:val="22"/>
                <w:szCs w:val="22"/>
                <w:lang w:val="en-US"/>
              </w:rPr>
            </w:pPr>
            <w:r w:rsidRPr="00395661">
              <w:rPr>
                <w:rFonts w:ascii="Verdana" w:eastAsia="Verdana" w:hAnsi="Verdana" w:cs="Verdana"/>
                <w:b/>
                <w:bCs/>
                <w:color w:val="7F7F7F" w:themeColor="text1" w:themeTint="80"/>
                <w:sz w:val="22"/>
                <w:szCs w:val="22"/>
                <w:lang w:val="en-US"/>
              </w:rPr>
              <w:t>6. Minimum Capital Requirements</w:t>
            </w:r>
          </w:p>
        </w:tc>
      </w:tr>
      <w:tr w:rsidR="00FC5744" w:rsidRPr="00E7054D" w14:paraId="4836D153"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8335D6A" w14:textId="40B4ADB2" w:rsidR="006F5ECC" w:rsidRPr="006940B8" w:rsidRDefault="006F5ECC" w:rsidP="00020B14">
            <w:pPr>
              <w:tabs>
                <w:tab w:val="left" w:pos="0"/>
                <w:tab w:val="left" w:pos="4536"/>
              </w:tabs>
              <w:ind w:left="-96"/>
              <w:rPr>
                <w:rFonts w:ascii="Verdana" w:hAnsi="Verdana"/>
                <w:bCs/>
                <w:color w:val="7F7F7F" w:themeColor="text1" w:themeTint="80"/>
                <w:sz w:val="22"/>
                <w:szCs w:val="22"/>
                <w:lang w:val="en-US"/>
              </w:rPr>
            </w:pPr>
            <w:r w:rsidRPr="006940B8">
              <w:rPr>
                <w:rFonts w:ascii="Verdana" w:hAnsi="Verdana"/>
                <w:bCs/>
                <w:color w:val="7F7F7F" w:themeColor="text1" w:themeTint="80"/>
                <w:sz w:val="22"/>
                <w:szCs w:val="22"/>
                <w:lang w:val="en-US"/>
              </w:rPr>
              <w:t>6</w:t>
            </w:r>
          </w:p>
        </w:tc>
        <w:tc>
          <w:tcPr>
            <w:tcW w:w="506" w:type="pct"/>
            <w:gridSpan w:val="2"/>
            <w:tcBorders>
              <w:top w:val="single" w:sz="4" w:space="0" w:color="auto"/>
              <w:left w:val="single" w:sz="4" w:space="0" w:color="auto"/>
              <w:bottom w:val="single" w:sz="4" w:space="0" w:color="auto"/>
              <w:right w:val="single" w:sz="4" w:space="0" w:color="auto"/>
            </w:tcBorders>
          </w:tcPr>
          <w:p w14:paraId="35935D09" w14:textId="6CD25C27" w:rsidR="006F5ECC" w:rsidRPr="00FE3045" w:rsidRDefault="006F5ECC" w:rsidP="00020B14">
            <w:pPr>
              <w:tabs>
                <w:tab w:val="left" w:pos="0"/>
                <w:tab w:val="left" w:pos="4536"/>
              </w:tabs>
              <w:ind w:left="-96"/>
              <w:rPr>
                <w:rFonts w:ascii="Verdana" w:hAnsi="Verdana"/>
                <w:color w:val="7F7F7F"/>
                <w:sz w:val="22"/>
                <w:szCs w:val="22"/>
                <w:lang w:val="en-US" w:eastAsia="fr-FR"/>
              </w:rPr>
            </w:pPr>
            <w:r>
              <w:rPr>
                <w:rFonts w:ascii="Verdana" w:hAnsi="Verdana"/>
                <w:color w:val="7F7F7F"/>
                <w:sz w:val="22"/>
                <w:szCs w:val="22"/>
                <w:lang w:val="en-US" w:eastAsia="fr-FR"/>
              </w:rPr>
              <w:t>34</w:t>
            </w:r>
          </w:p>
        </w:tc>
        <w:tc>
          <w:tcPr>
            <w:tcW w:w="1999" w:type="pct"/>
            <w:tcBorders>
              <w:top w:val="single" w:sz="4" w:space="0" w:color="auto"/>
              <w:left w:val="single" w:sz="4" w:space="0" w:color="auto"/>
              <w:bottom w:val="single" w:sz="4" w:space="0" w:color="auto"/>
              <w:right w:val="single" w:sz="4" w:space="0" w:color="auto"/>
            </w:tcBorders>
          </w:tcPr>
          <w:p w14:paraId="1533164E" w14:textId="61EDABBA" w:rsidR="006F5ECC" w:rsidRPr="00CF2245" w:rsidRDefault="006F5ECC" w:rsidP="00020B14">
            <w:pPr>
              <w:tabs>
                <w:tab w:val="left" w:pos="0"/>
                <w:tab w:val="left" w:pos="4536"/>
              </w:tabs>
              <w:rPr>
                <w:rFonts w:ascii="Verdana" w:hAnsi="Verdana"/>
                <w:b/>
                <w:bCs/>
                <w:color w:val="7F7F7F" w:themeColor="text1" w:themeTint="80"/>
                <w:sz w:val="22"/>
                <w:szCs w:val="22"/>
                <w:lang w:val="en-US" w:eastAsia="fr-FR"/>
              </w:rPr>
            </w:pPr>
            <w:r w:rsidRPr="00CF2245">
              <w:rPr>
                <w:rFonts w:ascii="Verdana" w:hAnsi="Verdana"/>
                <w:b/>
                <w:bCs/>
                <w:color w:val="7F7F7F" w:themeColor="text1" w:themeTint="80"/>
                <w:sz w:val="22"/>
                <w:szCs w:val="22"/>
                <w:lang w:val="en-US" w:eastAsia="fr-FR"/>
              </w:rPr>
              <w:t>EIOPA’s Advice</w:t>
            </w:r>
          </w:p>
          <w:p w14:paraId="7164FE94" w14:textId="4FFE7B4C" w:rsidR="006F5ECC" w:rsidRPr="00CF2245" w:rsidRDefault="006F5ECC" w:rsidP="00020B14">
            <w:pPr>
              <w:tabs>
                <w:tab w:val="left" w:pos="0"/>
                <w:tab w:val="left" w:pos="4536"/>
              </w:tabs>
              <w:rPr>
                <w:rFonts w:ascii="Verdana" w:hAnsi="Verdana"/>
                <w:color w:val="7F7F7F" w:themeColor="text1" w:themeTint="80"/>
                <w:sz w:val="22"/>
                <w:szCs w:val="22"/>
                <w:lang w:val="en-US" w:eastAsia="fr-FR"/>
              </w:rPr>
            </w:pPr>
            <w:r w:rsidRPr="00CF2245">
              <w:rPr>
                <w:rFonts w:ascii="Verdana" w:hAnsi="Verdana"/>
                <w:color w:val="7F7F7F" w:themeColor="text1" w:themeTint="80"/>
                <w:sz w:val="22"/>
                <w:szCs w:val="22"/>
                <w:lang w:val="en-US" w:eastAsia="fr-FR"/>
              </w:rPr>
              <w:t>We do not believe that the amendments proposed to Article 139(1) of the Solvency II Directive are needed as the current wording ensures that the MCR is complied with at all times. The clarifications provided are not needed.</w:t>
            </w:r>
          </w:p>
        </w:tc>
        <w:tc>
          <w:tcPr>
            <w:tcW w:w="483" w:type="pct"/>
            <w:tcBorders>
              <w:top w:val="single" w:sz="4" w:space="0" w:color="auto"/>
              <w:left w:val="single" w:sz="4" w:space="0" w:color="auto"/>
              <w:bottom w:val="single" w:sz="4" w:space="0" w:color="auto"/>
              <w:right w:val="single" w:sz="4" w:space="0" w:color="auto"/>
            </w:tcBorders>
          </w:tcPr>
          <w:p w14:paraId="4A876B93" w14:textId="77777777" w:rsidR="006F5ECC" w:rsidRPr="00FE3045" w:rsidRDefault="006F5ECC" w:rsidP="00020B14">
            <w:pPr>
              <w:tabs>
                <w:tab w:val="left" w:pos="0"/>
                <w:tab w:val="left" w:pos="4536"/>
              </w:tabs>
              <w:ind w:left="-96"/>
              <w:rPr>
                <w:color w:val="000000"/>
                <w:sz w:val="22"/>
                <w:szCs w:val="22"/>
                <w:lang w:val="en-US" w:eastAsia="fr-FR"/>
              </w:rPr>
            </w:pPr>
          </w:p>
        </w:tc>
      </w:tr>
      <w:tr w:rsidR="00FC5744" w:rsidRPr="001360A5" w14:paraId="3EB776F6"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A093EB5" w14:textId="4E175883" w:rsidR="006F5ECC" w:rsidRPr="006940B8" w:rsidRDefault="006F5ECC" w:rsidP="00020B14">
            <w:pPr>
              <w:tabs>
                <w:tab w:val="left" w:pos="0"/>
                <w:tab w:val="left" w:pos="4536"/>
              </w:tabs>
              <w:ind w:left="-96"/>
              <w:rPr>
                <w:rFonts w:ascii="Verdana" w:hAnsi="Verdana"/>
                <w:bCs/>
                <w:color w:val="7F7F7F" w:themeColor="text1" w:themeTint="80"/>
                <w:sz w:val="22"/>
                <w:szCs w:val="22"/>
                <w:lang w:val="en-US"/>
              </w:rPr>
            </w:pPr>
            <w:r w:rsidRPr="006940B8">
              <w:rPr>
                <w:rFonts w:ascii="Verdana" w:hAnsi="Verdana"/>
                <w:bCs/>
                <w:color w:val="7F7F7F" w:themeColor="text1" w:themeTint="80"/>
                <w:sz w:val="22"/>
                <w:szCs w:val="22"/>
                <w:lang w:val="en-US"/>
              </w:rPr>
              <w:t>6</w:t>
            </w:r>
          </w:p>
        </w:tc>
        <w:tc>
          <w:tcPr>
            <w:tcW w:w="506" w:type="pct"/>
            <w:gridSpan w:val="2"/>
            <w:tcBorders>
              <w:top w:val="single" w:sz="4" w:space="0" w:color="auto"/>
              <w:left w:val="single" w:sz="4" w:space="0" w:color="auto"/>
              <w:bottom w:val="single" w:sz="4" w:space="0" w:color="auto"/>
              <w:right w:val="single" w:sz="4" w:space="0" w:color="auto"/>
            </w:tcBorders>
          </w:tcPr>
          <w:p w14:paraId="4FB792A0" w14:textId="44E069C1" w:rsidR="006F5ECC" w:rsidRPr="00FE3045" w:rsidRDefault="006F5ECC" w:rsidP="00020B14">
            <w:pPr>
              <w:tabs>
                <w:tab w:val="left" w:pos="0"/>
                <w:tab w:val="left" w:pos="4536"/>
              </w:tabs>
              <w:ind w:left="-96"/>
              <w:rPr>
                <w:rFonts w:ascii="Verdana" w:hAnsi="Verdana"/>
                <w:color w:val="7F7F7F"/>
                <w:sz w:val="22"/>
                <w:szCs w:val="22"/>
                <w:lang w:val="en-US" w:eastAsia="fr-FR"/>
              </w:rPr>
            </w:pPr>
            <w:r>
              <w:rPr>
                <w:rFonts w:ascii="Verdana" w:hAnsi="Verdana"/>
                <w:color w:val="7F7F7F"/>
                <w:sz w:val="22"/>
                <w:szCs w:val="22"/>
                <w:lang w:val="en-US" w:eastAsia="fr-FR"/>
              </w:rPr>
              <w:t>54</w:t>
            </w:r>
          </w:p>
        </w:tc>
        <w:tc>
          <w:tcPr>
            <w:tcW w:w="1999" w:type="pct"/>
            <w:tcBorders>
              <w:top w:val="single" w:sz="4" w:space="0" w:color="auto"/>
              <w:left w:val="single" w:sz="4" w:space="0" w:color="auto"/>
              <w:bottom w:val="single" w:sz="4" w:space="0" w:color="auto"/>
              <w:right w:val="single" w:sz="4" w:space="0" w:color="auto"/>
            </w:tcBorders>
          </w:tcPr>
          <w:p w14:paraId="3A88F4DA" w14:textId="77777777" w:rsidR="006F5ECC" w:rsidRPr="00CF2245" w:rsidRDefault="006F5ECC" w:rsidP="00020B14">
            <w:pPr>
              <w:tabs>
                <w:tab w:val="left" w:pos="0"/>
                <w:tab w:val="left" w:pos="4536"/>
              </w:tabs>
              <w:rPr>
                <w:rFonts w:ascii="Verdana" w:hAnsi="Verdana"/>
                <w:b/>
                <w:bCs/>
                <w:color w:val="7F7F7F" w:themeColor="text1" w:themeTint="80"/>
                <w:sz w:val="22"/>
                <w:szCs w:val="22"/>
                <w:lang w:val="en-US" w:eastAsia="fr-FR"/>
              </w:rPr>
            </w:pPr>
            <w:r w:rsidRPr="00CF2245">
              <w:rPr>
                <w:rFonts w:ascii="Verdana" w:hAnsi="Verdana"/>
                <w:b/>
                <w:bCs/>
                <w:color w:val="7F7F7F" w:themeColor="text1" w:themeTint="80"/>
                <w:sz w:val="22"/>
                <w:szCs w:val="22"/>
                <w:lang w:val="en-US" w:eastAsia="fr-FR"/>
              </w:rPr>
              <w:t>EIOPA’s Advice</w:t>
            </w:r>
          </w:p>
          <w:p w14:paraId="5080DB1E" w14:textId="2CA565F5" w:rsidR="006F5ECC" w:rsidRPr="00CF2245" w:rsidRDefault="006F5ECC" w:rsidP="00020B14">
            <w:pPr>
              <w:tabs>
                <w:tab w:val="left" w:pos="0"/>
                <w:tab w:val="left" w:pos="4536"/>
              </w:tabs>
              <w:rPr>
                <w:rFonts w:ascii="Verdana" w:hAnsi="Verdana"/>
                <w:color w:val="7F7F7F" w:themeColor="text1" w:themeTint="80"/>
                <w:sz w:val="22"/>
                <w:szCs w:val="22"/>
                <w:lang w:val="en-US" w:eastAsia="fr-FR"/>
              </w:rPr>
            </w:pPr>
            <w:r w:rsidRPr="00CF2245">
              <w:rPr>
                <w:rFonts w:ascii="Verdana" w:hAnsi="Verdana"/>
                <w:color w:val="7F7F7F" w:themeColor="text1" w:themeTint="80"/>
                <w:sz w:val="22"/>
                <w:szCs w:val="22"/>
                <w:lang w:val="en-US" w:eastAsia="fr-FR"/>
              </w:rPr>
              <w:lastRenderedPageBreak/>
              <w:t>We do not support the EIOPA’s proposal by which a finance scheme is being requested before the breach of the MCR. The aim is this plan is to determine a set of measures for the re-establishment of the compliance with the MCR.</w:t>
            </w:r>
          </w:p>
        </w:tc>
        <w:tc>
          <w:tcPr>
            <w:tcW w:w="483" w:type="pct"/>
            <w:tcBorders>
              <w:top w:val="single" w:sz="4" w:space="0" w:color="auto"/>
              <w:left w:val="single" w:sz="4" w:space="0" w:color="auto"/>
              <w:bottom w:val="single" w:sz="4" w:space="0" w:color="auto"/>
              <w:right w:val="single" w:sz="4" w:space="0" w:color="auto"/>
            </w:tcBorders>
          </w:tcPr>
          <w:p w14:paraId="7A62E350" w14:textId="77777777" w:rsidR="006F5ECC" w:rsidRPr="00FE3045" w:rsidRDefault="006F5ECC" w:rsidP="00020B14">
            <w:pPr>
              <w:tabs>
                <w:tab w:val="left" w:pos="0"/>
                <w:tab w:val="left" w:pos="4536"/>
              </w:tabs>
              <w:ind w:left="-96"/>
              <w:rPr>
                <w:color w:val="000000"/>
                <w:sz w:val="22"/>
                <w:szCs w:val="22"/>
                <w:lang w:val="en-US" w:eastAsia="fr-FR"/>
              </w:rPr>
            </w:pPr>
          </w:p>
        </w:tc>
      </w:tr>
      <w:tr w:rsidR="006F5ECC" w:rsidRPr="00BF4500" w14:paraId="7AB2F89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1363E774" w14:textId="1C373341" w:rsidR="006F5ECC" w:rsidRPr="003720A2" w:rsidRDefault="006F5ECC" w:rsidP="00020B14">
            <w:pPr>
              <w:tabs>
                <w:tab w:val="left" w:pos="0"/>
                <w:tab w:val="left" w:pos="4536"/>
              </w:tabs>
              <w:rPr>
                <w:rFonts w:ascii="Verdana" w:hAnsi="Verdana"/>
                <w:b/>
                <w:bCs/>
                <w:color w:val="7F7F7F" w:themeColor="text1" w:themeTint="80"/>
                <w:sz w:val="22"/>
                <w:szCs w:val="22"/>
                <w:lang w:val="en-GB" w:eastAsia="fr-FR"/>
              </w:rPr>
            </w:pPr>
            <w:r w:rsidRPr="00C24334">
              <w:rPr>
                <w:rFonts w:ascii="Verdana" w:hAnsi="Verdana"/>
                <w:b/>
                <w:bCs/>
                <w:color w:val="7F7F7F" w:themeColor="text1" w:themeTint="80"/>
                <w:sz w:val="22"/>
                <w:szCs w:val="22"/>
                <w:lang w:val="en-GB" w:eastAsia="fr-FR"/>
              </w:rPr>
              <w:t>7. Reporting and disclosure</w:t>
            </w:r>
          </w:p>
        </w:tc>
      </w:tr>
      <w:tr w:rsidR="00FC5744" w:rsidRPr="001360A5" w14:paraId="2F389A48"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F5DA327" w14:textId="6985C7BB" w:rsidR="006F5ECC" w:rsidRPr="00823BC5" w:rsidRDefault="006F5ECC" w:rsidP="00020B14">
            <w:pPr>
              <w:tabs>
                <w:tab w:val="left" w:pos="0"/>
                <w:tab w:val="left" w:pos="4536"/>
              </w:tabs>
              <w:ind w:left="-96"/>
              <w:rPr>
                <w:rFonts w:ascii="Verdana" w:hAnsi="Verdana"/>
                <w:color w:val="7F7F7F" w:themeColor="text1" w:themeTint="80"/>
                <w:sz w:val="22"/>
                <w:szCs w:val="22"/>
                <w:lang w:val="en-US"/>
              </w:rPr>
            </w:pPr>
            <w:r w:rsidRPr="00823BC5">
              <w:rPr>
                <w:rFonts w:ascii="Verdana" w:hAnsi="Verdana"/>
                <w:color w:val="7F7F7F" w:themeColor="text1" w:themeTint="80"/>
                <w:sz w:val="22"/>
                <w:szCs w:val="22"/>
                <w:lang w:val="en-US"/>
              </w:rPr>
              <w:t>7</w:t>
            </w:r>
          </w:p>
        </w:tc>
        <w:tc>
          <w:tcPr>
            <w:tcW w:w="506" w:type="pct"/>
            <w:gridSpan w:val="2"/>
            <w:tcBorders>
              <w:top w:val="single" w:sz="4" w:space="0" w:color="auto"/>
              <w:left w:val="single" w:sz="4" w:space="0" w:color="auto"/>
              <w:bottom w:val="single" w:sz="4" w:space="0" w:color="auto"/>
              <w:right w:val="single" w:sz="4" w:space="0" w:color="auto"/>
            </w:tcBorders>
          </w:tcPr>
          <w:p w14:paraId="0648EF88" w14:textId="1698776E" w:rsidR="006F5ECC" w:rsidRPr="00823BC5" w:rsidRDefault="006F5ECC" w:rsidP="00020B14">
            <w:pPr>
              <w:tabs>
                <w:tab w:val="left" w:pos="0"/>
                <w:tab w:val="left" w:pos="4536"/>
              </w:tabs>
              <w:ind w:left="-96"/>
              <w:rPr>
                <w:rFonts w:ascii="Verdana" w:hAnsi="Verdana"/>
                <w:color w:val="7F7F7F" w:themeColor="text1" w:themeTint="80"/>
                <w:sz w:val="22"/>
                <w:szCs w:val="22"/>
                <w:lang w:val="en-US"/>
              </w:rPr>
            </w:pPr>
            <w:r w:rsidRPr="00C24334">
              <w:rPr>
                <w:rFonts w:ascii="Verdana" w:hAnsi="Verdana"/>
                <w:color w:val="7F7F7F" w:themeColor="text1" w:themeTint="80"/>
                <w:sz w:val="22"/>
                <w:szCs w:val="22"/>
                <w:lang w:val="en-US"/>
              </w:rPr>
              <w:t>General comments</w:t>
            </w:r>
          </w:p>
        </w:tc>
        <w:tc>
          <w:tcPr>
            <w:tcW w:w="1999" w:type="pct"/>
            <w:tcBorders>
              <w:top w:val="single" w:sz="4" w:space="0" w:color="auto"/>
              <w:left w:val="single" w:sz="4" w:space="0" w:color="auto"/>
              <w:bottom w:val="single" w:sz="4" w:space="0" w:color="auto"/>
              <w:right w:val="single" w:sz="4" w:space="0" w:color="auto"/>
            </w:tcBorders>
          </w:tcPr>
          <w:p w14:paraId="0F1326DD" w14:textId="57D03805" w:rsidR="006F5ECC" w:rsidRPr="00823BC5" w:rsidRDefault="006F5ECC" w:rsidP="00020B14">
            <w:pPr>
              <w:tabs>
                <w:tab w:val="left" w:pos="0"/>
                <w:tab w:val="left" w:pos="4536"/>
              </w:tabs>
              <w:rPr>
                <w:rFonts w:ascii="Verdana" w:hAnsi="Verdana"/>
                <w:color w:val="7F7F7F" w:themeColor="text1" w:themeTint="80"/>
                <w:sz w:val="22"/>
                <w:szCs w:val="22"/>
                <w:lang w:val="en-GB" w:eastAsia="fr-FR"/>
              </w:rPr>
            </w:pPr>
            <w:r w:rsidRPr="00823BC5">
              <w:rPr>
                <w:rFonts w:ascii="Verdana" w:hAnsi="Verdana"/>
                <w:color w:val="7F7F7F" w:themeColor="text1" w:themeTint="80"/>
                <w:sz w:val="22"/>
                <w:szCs w:val="22"/>
                <w:lang w:val="en-GB" w:eastAsia="fr-FR"/>
              </w:rPr>
              <w:t xml:space="preserve">AMICE is not supportive of EIOPA’s proposal </w:t>
            </w:r>
            <w:r w:rsidRPr="00C24334">
              <w:rPr>
                <w:rFonts w:ascii="Verdana" w:hAnsi="Verdana"/>
                <w:color w:val="7F7F7F" w:themeColor="text1" w:themeTint="80"/>
                <w:sz w:val="22"/>
                <w:szCs w:val="22"/>
                <w:lang w:val="en-GB" w:eastAsia="fr-FR"/>
              </w:rPr>
              <w:t>to split</w:t>
            </w:r>
            <w:r w:rsidRPr="00823BC5">
              <w:rPr>
                <w:rFonts w:ascii="Verdana" w:hAnsi="Verdana"/>
                <w:color w:val="7F7F7F" w:themeColor="text1" w:themeTint="80"/>
                <w:sz w:val="22"/>
                <w:szCs w:val="22"/>
                <w:lang w:val="en-GB" w:eastAsia="fr-FR"/>
              </w:rPr>
              <w:t xml:space="preserve"> the Single SFCR into a multiple set of reports. This split means </w:t>
            </w:r>
            <w:r w:rsidRPr="00C24334">
              <w:rPr>
                <w:rFonts w:ascii="Verdana" w:hAnsi="Verdana"/>
                <w:color w:val="7F7F7F" w:themeColor="text1" w:themeTint="80"/>
                <w:sz w:val="22"/>
                <w:szCs w:val="22"/>
                <w:lang w:val="en-GB" w:eastAsia="fr-FR"/>
              </w:rPr>
              <w:t xml:space="preserve">setting </w:t>
            </w:r>
            <w:r w:rsidRPr="00823BC5">
              <w:rPr>
                <w:rFonts w:ascii="Verdana" w:hAnsi="Verdana"/>
                <w:color w:val="7F7F7F" w:themeColor="text1" w:themeTint="80"/>
                <w:sz w:val="22"/>
                <w:szCs w:val="22"/>
                <w:lang w:val="en-GB" w:eastAsia="fr-FR"/>
              </w:rPr>
              <w:t>multiple deadlines to publish a single SFCR</w:t>
            </w:r>
            <w:r w:rsidRPr="00C24334">
              <w:rPr>
                <w:rFonts w:ascii="Verdana" w:hAnsi="Verdana"/>
                <w:color w:val="7F7F7F" w:themeColor="text1" w:themeTint="80"/>
                <w:sz w:val="22"/>
                <w:szCs w:val="22"/>
                <w:lang w:val="en-GB" w:eastAsia="fr-FR"/>
              </w:rPr>
              <w:t>;</w:t>
            </w:r>
            <w:r w:rsidRPr="00823BC5">
              <w:rPr>
                <w:rFonts w:ascii="Verdana" w:hAnsi="Verdana"/>
                <w:color w:val="7F7F7F" w:themeColor="text1" w:themeTint="80"/>
                <w:sz w:val="22"/>
                <w:szCs w:val="22"/>
                <w:lang w:val="en-GB" w:eastAsia="fr-FR"/>
              </w:rPr>
              <w:t xml:space="preserve"> </w:t>
            </w:r>
            <w:r w:rsidRPr="00C24334">
              <w:rPr>
                <w:rFonts w:ascii="Verdana" w:hAnsi="Verdana"/>
                <w:color w:val="7F7F7F" w:themeColor="text1" w:themeTint="80"/>
                <w:sz w:val="22"/>
                <w:szCs w:val="22"/>
                <w:lang w:val="en-GB" w:eastAsia="fr-FR"/>
              </w:rPr>
              <w:t>We do support this proposal</w:t>
            </w:r>
            <w:r>
              <w:rPr>
                <w:rFonts w:ascii="Verdana" w:hAnsi="Verdana"/>
                <w:color w:val="7F7F7F" w:themeColor="text1" w:themeTint="80"/>
                <w:sz w:val="22"/>
                <w:szCs w:val="22"/>
                <w:lang w:val="en-GB" w:eastAsia="fr-FR"/>
              </w:rPr>
              <w:t>.</w:t>
            </w:r>
            <w:r w:rsidRPr="00C24334">
              <w:rPr>
                <w:rFonts w:ascii="Verdana" w:hAnsi="Verdana"/>
                <w:color w:val="7F7F7F" w:themeColor="text1" w:themeTint="80"/>
                <w:sz w:val="22"/>
                <w:szCs w:val="22"/>
                <w:lang w:val="en-GB" w:eastAsia="fr-FR"/>
              </w:rPr>
              <w:t xml:space="preserve"> </w:t>
            </w:r>
            <w:r w:rsidRPr="00823BC5">
              <w:rPr>
                <w:rFonts w:ascii="Verdana" w:hAnsi="Verdana"/>
                <w:color w:val="7F7F7F" w:themeColor="text1" w:themeTint="80"/>
                <w:sz w:val="22"/>
                <w:szCs w:val="22"/>
                <w:lang w:val="en-GB" w:eastAsia="fr-FR"/>
              </w:rPr>
              <w:t xml:space="preserve">The single SFCR report should not be split into separate reports with multiple deadlines as </w:t>
            </w:r>
            <w:r w:rsidRPr="00C24334">
              <w:rPr>
                <w:rFonts w:ascii="Verdana" w:hAnsi="Verdana"/>
                <w:color w:val="7F7F7F" w:themeColor="text1" w:themeTint="80"/>
                <w:sz w:val="22"/>
                <w:szCs w:val="22"/>
                <w:lang w:val="en-GB" w:eastAsia="fr-FR"/>
              </w:rPr>
              <w:t>it</w:t>
            </w:r>
            <w:r w:rsidRPr="00823BC5">
              <w:rPr>
                <w:rFonts w:ascii="Verdana" w:hAnsi="Verdana"/>
                <w:color w:val="7F7F7F" w:themeColor="text1" w:themeTint="80"/>
                <w:sz w:val="22"/>
                <w:szCs w:val="22"/>
                <w:lang w:val="en-GB" w:eastAsia="fr-FR"/>
              </w:rPr>
              <w:t xml:space="preserve"> </w:t>
            </w:r>
            <w:r w:rsidRPr="00C24334">
              <w:rPr>
                <w:rFonts w:ascii="Verdana" w:hAnsi="Verdana"/>
                <w:color w:val="7F7F7F" w:themeColor="text1" w:themeTint="80"/>
                <w:sz w:val="22"/>
                <w:szCs w:val="22"/>
                <w:lang w:val="en-GB" w:eastAsia="fr-FR"/>
              </w:rPr>
              <w:t xml:space="preserve">would </w:t>
            </w:r>
            <w:r w:rsidRPr="00823BC5">
              <w:rPr>
                <w:rFonts w:ascii="Verdana" w:hAnsi="Verdana"/>
                <w:color w:val="7F7F7F" w:themeColor="text1" w:themeTint="80"/>
                <w:sz w:val="22"/>
                <w:szCs w:val="22"/>
                <w:lang w:val="en-GB" w:eastAsia="fr-FR"/>
              </w:rPr>
              <w:t xml:space="preserve">become impractical and contradictory </w:t>
            </w:r>
            <w:r w:rsidRPr="00C24334">
              <w:rPr>
                <w:rFonts w:ascii="Verdana" w:hAnsi="Verdana"/>
                <w:color w:val="7F7F7F" w:themeColor="text1" w:themeTint="80"/>
                <w:sz w:val="22"/>
                <w:szCs w:val="22"/>
                <w:lang w:val="en-GB" w:eastAsia="fr-FR"/>
              </w:rPr>
              <w:t>to</w:t>
            </w:r>
            <w:r w:rsidRPr="00823BC5">
              <w:rPr>
                <w:rFonts w:ascii="Verdana" w:hAnsi="Verdana"/>
                <w:color w:val="7F7F7F" w:themeColor="text1" w:themeTint="80"/>
                <w:sz w:val="22"/>
                <w:szCs w:val="22"/>
                <w:lang w:val="en-GB" w:eastAsia="fr-FR"/>
              </w:rPr>
              <w:t xml:space="preserve"> the purpose of having “one single document” in the first place. Instead, the components of the report proposed (</w:t>
            </w:r>
            <w:r w:rsidRPr="00C24334">
              <w:rPr>
                <w:rFonts w:ascii="Verdana" w:hAnsi="Verdana"/>
                <w:color w:val="7F7F7F" w:themeColor="text1" w:themeTint="80"/>
                <w:sz w:val="22"/>
                <w:szCs w:val="22"/>
                <w:lang w:val="en-GB" w:eastAsia="fr-FR"/>
              </w:rPr>
              <w:t xml:space="preserve">i.e. </w:t>
            </w:r>
            <w:r w:rsidRPr="00823BC5">
              <w:rPr>
                <w:rFonts w:ascii="Verdana" w:hAnsi="Verdana"/>
                <w:color w:val="7F7F7F" w:themeColor="text1" w:themeTint="80"/>
                <w:sz w:val="22"/>
                <w:szCs w:val="22"/>
                <w:lang w:val="en-GB" w:eastAsia="fr-FR"/>
              </w:rPr>
              <w:t>group and solo policyholder and professional sections) should maintain the same deadlines for submission, preferably the group reporting timelines of 22 weeks.</w:t>
            </w:r>
          </w:p>
          <w:p w14:paraId="3EF63EE8" w14:textId="6A01EB49" w:rsidR="006F5ECC" w:rsidRDefault="006F5ECC" w:rsidP="00020B14">
            <w:pPr>
              <w:tabs>
                <w:tab w:val="left" w:pos="0"/>
                <w:tab w:val="left" w:pos="4536"/>
              </w:tabs>
              <w:spacing w:before="120" w:after="120"/>
              <w:rPr>
                <w:rFonts w:ascii="Verdana" w:hAnsi="Verdana"/>
                <w:color w:val="7F7F7F" w:themeColor="text1" w:themeTint="80"/>
                <w:sz w:val="22"/>
                <w:szCs w:val="22"/>
                <w:lang w:val="en-GB" w:eastAsia="fr-FR"/>
              </w:rPr>
            </w:pPr>
            <w:r w:rsidRPr="00823BC5">
              <w:rPr>
                <w:rFonts w:ascii="Verdana" w:hAnsi="Verdana"/>
                <w:color w:val="7F7F7F" w:themeColor="text1" w:themeTint="80"/>
                <w:sz w:val="22"/>
                <w:szCs w:val="22"/>
                <w:lang w:val="en-GB" w:eastAsia="fr-FR"/>
              </w:rPr>
              <w:t xml:space="preserve">On the </w:t>
            </w:r>
            <w:r w:rsidRPr="00823BC5">
              <w:rPr>
                <w:rFonts w:ascii="Verdana" w:hAnsi="Verdana"/>
                <w:b/>
                <w:bCs/>
                <w:color w:val="7F7F7F" w:themeColor="text1" w:themeTint="80"/>
                <w:sz w:val="22"/>
                <w:szCs w:val="22"/>
                <w:lang w:val="en-GB" w:eastAsia="fr-FR"/>
              </w:rPr>
              <w:t>frequency of the RSR</w:t>
            </w:r>
            <w:r w:rsidRPr="00823BC5">
              <w:rPr>
                <w:rFonts w:ascii="Verdana" w:hAnsi="Verdana"/>
                <w:color w:val="7F7F7F" w:themeColor="text1" w:themeTint="80"/>
                <w:sz w:val="22"/>
                <w:szCs w:val="22"/>
                <w:lang w:val="en-GB" w:eastAsia="fr-FR"/>
              </w:rPr>
              <w:t xml:space="preserve"> full report, AMICE believe</w:t>
            </w:r>
            <w:r w:rsidRPr="00C24334">
              <w:rPr>
                <w:rFonts w:ascii="Verdana" w:hAnsi="Verdana"/>
                <w:color w:val="7F7F7F" w:themeColor="text1" w:themeTint="80"/>
                <w:sz w:val="22"/>
                <w:szCs w:val="22"/>
                <w:lang w:val="en-GB" w:eastAsia="fr-FR"/>
              </w:rPr>
              <w:t>s</w:t>
            </w:r>
            <w:r w:rsidRPr="00823BC5">
              <w:rPr>
                <w:rFonts w:ascii="Verdana" w:hAnsi="Verdana"/>
                <w:color w:val="7F7F7F" w:themeColor="text1" w:themeTint="80"/>
                <w:sz w:val="22"/>
                <w:szCs w:val="22"/>
                <w:lang w:val="en-GB" w:eastAsia="fr-FR"/>
              </w:rPr>
              <w:t xml:space="preserve"> that a default frequency of the RSR should be</w:t>
            </w:r>
            <w:r w:rsidRPr="00C24334">
              <w:rPr>
                <w:rFonts w:ascii="Verdana" w:hAnsi="Verdana"/>
                <w:color w:val="7F7F7F" w:themeColor="text1" w:themeTint="80"/>
                <w:sz w:val="22"/>
                <w:szCs w:val="22"/>
                <w:lang w:val="en-GB" w:eastAsia="fr-FR"/>
              </w:rPr>
              <w:t xml:space="preserve"> </w:t>
            </w:r>
            <w:r w:rsidRPr="00823BC5">
              <w:rPr>
                <w:rFonts w:ascii="Verdana" w:hAnsi="Verdana"/>
                <w:color w:val="7F7F7F" w:themeColor="text1" w:themeTint="80"/>
                <w:sz w:val="22"/>
                <w:szCs w:val="22"/>
                <w:lang w:val="en-GB" w:eastAsia="fr-FR"/>
              </w:rPr>
              <w:t xml:space="preserve">harmonised at 3 years. The proposals set out in this consultation paper risk overcomplicating rather than reducing the burden. While we welcome the idea to reduce </w:t>
            </w:r>
            <w:r>
              <w:rPr>
                <w:rFonts w:ascii="Verdana" w:hAnsi="Verdana"/>
                <w:color w:val="7F7F7F" w:themeColor="text1" w:themeTint="80"/>
                <w:sz w:val="22"/>
                <w:szCs w:val="22"/>
                <w:lang w:val="en-GB" w:eastAsia="fr-FR"/>
              </w:rPr>
              <w:t>the</w:t>
            </w:r>
            <w:r w:rsidRPr="00823BC5">
              <w:rPr>
                <w:rFonts w:ascii="Verdana" w:hAnsi="Verdana"/>
                <w:color w:val="7F7F7F" w:themeColor="text1" w:themeTint="80"/>
                <w:sz w:val="22"/>
                <w:szCs w:val="22"/>
                <w:lang w:val="en-GB" w:eastAsia="fr-FR"/>
              </w:rPr>
              <w:t xml:space="preserve"> reporting burden in the RSR</w:t>
            </w:r>
            <w:r>
              <w:rPr>
                <w:rFonts w:ascii="Verdana" w:hAnsi="Verdana"/>
                <w:color w:val="7F7F7F" w:themeColor="text1" w:themeTint="80"/>
                <w:sz w:val="22"/>
                <w:szCs w:val="22"/>
                <w:lang w:val="en-GB" w:eastAsia="fr-FR"/>
              </w:rPr>
              <w:t xml:space="preserve"> overall</w:t>
            </w:r>
            <w:r w:rsidRPr="00823BC5">
              <w:rPr>
                <w:rFonts w:ascii="Verdana" w:hAnsi="Verdana"/>
                <w:color w:val="7F7F7F" w:themeColor="text1" w:themeTint="80"/>
                <w:sz w:val="22"/>
                <w:szCs w:val="22"/>
                <w:lang w:val="en-GB" w:eastAsia="fr-FR"/>
              </w:rPr>
              <w:t>, we are worried by the RSR proposals detailed in Annex 7.1, which we think they lead to further divergence between the structure and content of the SFCR and RSR reports in future</w:t>
            </w:r>
            <w:r>
              <w:rPr>
                <w:rFonts w:ascii="Verdana" w:hAnsi="Verdana"/>
                <w:color w:val="7F7F7F" w:themeColor="text1" w:themeTint="80"/>
                <w:sz w:val="22"/>
                <w:szCs w:val="22"/>
                <w:lang w:val="en-GB" w:eastAsia="fr-FR"/>
              </w:rPr>
              <w:t xml:space="preserve">. </w:t>
            </w:r>
          </w:p>
          <w:p w14:paraId="3719D826" w14:textId="47CA6972" w:rsidR="006F5ECC" w:rsidRPr="00C24334" w:rsidRDefault="006F5ECC" w:rsidP="00020B14">
            <w:pPr>
              <w:tabs>
                <w:tab w:val="left" w:pos="0"/>
                <w:tab w:val="left" w:pos="4536"/>
              </w:tabs>
              <w:spacing w:before="120" w:after="120"/>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Finally, we</w:t>
            </w:r>
            <w:r w:rsidRPr="00FE2D33">
              <w:rPr>
                <w:rFonts w:ascii="Verdana" w:hAnsi="Verdana"/>
                <w:color w:val="7F7F7F" w:themeColor="text1" w:themeTint="80"/>
                <w:sz w:val="22"/>
                <w:szCs w:val="22"/>
                <w:lang w:val="en-GB" w:eastAsia="fr-FR"/>
              </w:rPr>
              <w:t xml:space="preserve"> have strong concerns regarding </w:t>
            </w:r>
            <w:r>
              <w:rPr>
                <w:rFonts w:ascii="Verdana" w:hAnsi="Verdana"/>
                <w:color w:val="7F7F7F" w:themeColor="text1" w:themeTint="80"/>
                <w:sz w:val="22"/>
                <w:szCs w:val="22"/>
                <w:lang w:val="en-GB" w:eastAsia="fr-FR"/>
              </w:rPr>
              <w:t xml:space="preserve">the </w:t>
            </w:r>
            <w:r w:rsidRPr="00FE2D33">
              <w:rPr>
                <w:rFonts w:ascii="Verdana" w:hAnsi="Verdana"/>
                <w:color w:val="7F7F7F" w:themeColor="text1" w:themeTint="80"/>
                <w:sz w:val="22"/>
                <w:szCs w:val="22"/>
                <w:lang w:val="en-GB" w:eastAsia="fr-FR"/>
              </w:rPr>
              <w:t xml:space="preserve">EIOPA´s proposal to request an </w:t>
            </w:r>
            <w:r w:rsidRPr="001F7855">
              <w:rPr>
                <w:rFonts w:ascii="Verdana" w:hAnsi="Verdana"/>
                <w:b/>
                <w:bCs/>
                <w:color w:val="7F7F7F" w:themeColor="text1" w:themeTint="80"/>
                <w:sz w:val="22"/>
                <w:szCs w:val="22"/>
                <w:lang w:val="en-GB" w:eastAsia="fr-FR"/>
              </w:rPr>
              <w:t>external audit of the Group SFCR</w:t>
            </w:r>
            <w:r w:rsidRPr="00FE2D33">
              <w:rPr>
                <w:rFonts w:ascii="Verdana" w:hAnsi="Verdana"/>
                <w:color w:val="7F7F7F" w:themeColor="text1" w:themeTint="80"/>
                <w:sz w:val="22"/>
                <w:szCs w:val="22"/>
                <w:lang w:val="en-GB" w:eastAsia="fr-FR"/>
              </w:rPr>
              <w:t xml:space="preserve">. The Solvency II Directive should not require any form of external scrutiny or audit of </w:t>
            </w:r>
            <w:r>
              <w:rPr>
                <w:rFonts w:ascii="Verdana" w:hAnsi="Verdana"/>
                <w:color w:val="7F7F7F" w:themeColor="text1" w:themeTint="80"/>
                <w:sz w:val="22"/>
                <w:szCs w:val="22"/>
                <w:lang w:val="en-GB" w:eastAsia="fr-FR"/>
              </w:rPr>
              <w:t xml:space="preserve">the </w:t>
            </w:r>
            <w:r w:rsidRPr="00FE2D33">
              <w:rPr>
                <w:rFonts w:ascii="Verdana" w:hAnsi="Verdana"/>
                <w:color w:val="7F7F7F" w:themeColor="text1" w:themeTint="80"/>
                <w:sz w:val="22"/>
                <w:szCs w:val="22"/>
                <w:lang w:val="en-GB" w:eastAsia="fr-FR"/>
              </w:rPr>
              <w:t>Solvency II</w:t>
            </w:r>
            <w:r>
              <w:rPr>
                <w:rFonts w:ascii="Verdana" w:hAnsi="Verdana"/>
                <w:color w:val="7F7F7F" w:themeColor="text1" w:themeTint="80"/>
                <w:sz w:val="22"/>
                <w:szCs w:val="22"/>
                <w:lang w:val="en-GB" w:eastAsia="fr-FR"/>
              </w:rPr>
              <w:t xml:space="preserve"> information</w:t>
            </w:r>
            <w:r w:rsidRPr="00FE2D33">
              <w:rPr>
                <w:rFonts w:ascii="Verdana" w:hAnsi="Verdana"/>
                <w:color w:val="7F7F7F" w:themeColor="text1" w:themeTint="80"/>
                <w:sz w:val="22"/>
                <w:szCs w:val="22"/>
                <w:lang w:val="en-GB" w:eastAsia="fr-FR"/>
              </w:rPr>
              <w:t xml:space="preserve">. </w:t>
            </w:r>
          </w:p>
        </w:tc>
        <w:tc>
          <w:tcPr>
            <w:tcW w:w="483" w:type="pct"/>
            <w:tcBorders>
              <w:top w:val="single" w:sz="4" w:space="0" w:color="auto"/>
              <w:left w:val="single" w:sz="4" w:space="0" w:color="auto"/>
              <w:bottom w:val="single" w:sz="4" w:space="0" w:color="auto"/>
              <w:right w:val="single" w:sz="4" w:space="0" w:color="auto"/>
            </w:tcBorders>
          </w:tcPr>
          <w:p w14:paraId="7585F5EE"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7EB46E5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DC7EAC2" w14:textId="1BF2ECF3" w:rsidR="006F5ECC" w:rsidRPr="00AE081A" w:rsidRDefault="006F5ECC"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7</w:t>
            </w:r>
          </w:p>
        </w:tc>
        <w:tc>
          <w:tcPr>
            <w:tcW w:w="506" w:type="pct"/>
            <w:gridSpan w:val="2"/>
            <w:tcBorders>
              <w:top w:val="single" w:sz="4" w:space="0" w:color="auto"/>
              <w:left w:val="single" w:sz="4" w:space="0" w:color="auto"/>
              <w:bottom w:val="single" w:sz="4" w:space="0" w:color="auto"/>
              <w:right w:val="single" w:sz="4" w:space="0" w:color="auto"/>
            </w:tcBorders>
          </w:tcPr>
          <w:p w14:paraId="7986119B" w14:textId="5C4B89FC"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21</w:t>
            </w:r>
          </w:p>
        </w:tc>
        <w:tc>
          <w:tcPr>
            <w:tcW w:w="1999" w:type="pct"/>
            <w:tcBorders>
              <w:top w:val="single" w:sz="4" w:space="0" w:color="auto"/>
              <w:left w:val="single" w:sz="4" w:space="0" w:color="auto"/>
              <w:bottom w:val="single" w:sz="4" w:space="0" w:color="auto"/>
              <w:right w:val="single" w:sz="4" w:space="0" w:color="auto"/>
            </w:tcBorders>
          </w:tcPr>
          <w:p w14:paraId="1DDBC190" w14:textId="77777777" w:rsidR="006F5ECC" w:rsidRPr="00CF2245" w:rsidRDefault="006F5ECC" w:rsidP="00020B14">
            <w:pPr>
              <w:tabs>
                <w:tab w:val="left" w:pos="0"/>
                <w:tab w:val="left" w:pos="4536"/>
              </w:tabs>
              <w:rPr>
                <w:rFonts w:ascii="Verdana" w:hAnsi="Verdana"/>
                <w:b/>
                <w:bCs/>
                <w:color w:val="7F7F7F" w:themeColor="text1" w:themeTint="80"/>
                <w:sz w:val="22"/>
                <w:szCs w:val="22"/>
                <w:lang w:val="en-GB" w:eastAsia="fr-FR"/>
              </w:rPr>
            </w:pPr>
            <w:r w:rsidRPr="00CF2245">
              <w:rPr>
                <w:rFonts w:ascii="Verdana" w:hAnsi="Verdana"/>
                <w:b/>
                <w:bCs/>
                <w:color w:val="7F7F7F" w:themeColor="text1" w:themeTint="80"/>
                <w:sz w:val="22"/>
                <w:szCs w:val="22"/>
                <w:lang w:val="en-GB" w:eastAsia="fr-FR"/>
              </w:rPr>
              <w:t>Frequency of the RSR</w:t>
            </w:r>
          </w:p>
          <w:p w14:paraId="2217AC70" w14:textId="0734E65B" w:rsidR="006F5ECC" w:rsidRPr="00C24334" w:rsidRDefault="006F5ECC" w:rsidP="00020B14">
            <w:pPr>
              <w:tabs>
                <w:tab w:val="left" w:pos="0"/>
                <w:tab w:val="left" w:pos="4536"/>
              </w:tabs>
              <w:rPr>
                <w:rFonts w:ascii="Verdana" w:hAnsi="Verdana"/>
                <w:color w:val="7F7F7F" w:themeColor="text1" w:themeTint="80"/>
                <w:sz w:val="22"/>
                <w:szCs w:val="22"/>
                <w:lang w:val="en-GB" w:eastAsia="fr-FR"/>
              </w:rPr>
            </w:pPr>
            <w:r w:rsidRPr="00CF2245">
              <w:rPr>
                <w:rFonts w:ascii="Verdana" w:hAnsi="Verdana"/>
                <w:color w:val="7F7F7F" w:themeColor="text1" w:themeTint="80"/>
                <w:sz w:val="22"/>
                <w:szCs w:val="22"/>
                <w:lang w:val="en-GB" w:eastAsia="fr-FR"/>
              </w:rPr>
              <w:lastRenderedPageBreak/>
              <w:t xml:space="preserve">We believe that a default frequency of the RSR should be harmonised at 3 years. The proposals set out in this consultation paper risk overcomplicating rather than reducing the burden. Further, we do not support EIOPA’s proposal to leave the decision for RSR-frequency at the discretion of the </w:t>
            </w:r>
            <w:r w:rsidRPr="00C24334">
              <w:rPr>
                <w:rFonts w:ascii="Verdana" w:hAnsi="Verdana"/>
                <w:color w:val="7F7F7F" w:themeColor="text1" w:themeTint="80"/>
                <w:sz w:val="22"/>
                <w:szCs w:val="22"/>
                <w:lang w:val="en-GB" w:eastAsia="fr-FR"/>
              </w:rPr>
              <w:t>supervisory authority.</w:t>
            </w:r>
          </w:p>
          <w:p w14:paraId="275E4E56" w14:textId="61E7303E" w:rsidR="006F5ECC" w:rsidRPr="00CF2245" w:rsidRDefault="006F5ECC" w:rsidP="00020B14">
            <w:pPr>
              <w:tabs>
                <w:tab w:val="left" w:pos="0"/>
                <w:tab w:val="left" w:pos="4536"/>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67F009CA"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2270FBF7"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E7D83C7" w14:textId="637F08F9" w:rsidR="006F5ECC" w:rsidRDefault="006F5ECC"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7</w:t>
            </w:r>
          </w:p>
        </w:tc>
        <w:tc>
          <w:tcPr>
            <w:tcW w:w="506" w:type="pct"/>
            <w:gridSpan w:val="2"/>
            <w:tcBorders>
              <w:top w:val="single" w:sz="4" w:space="0" w:color="auto"/>
              <w:left w:val="single" w:sz="4" w:space="0" w:color="auto"/>
              <w:bottom w:val="single" w:sz="4" w:space="0" w:color="auto"/>
              <w:right w:val="single" w:sz="4" w:space="0" w:color="auto"/>
            </w:tcBorders>
          </w:tcPr>
          <w:p w14:paraId="70354959" w14:textId="4E975AC1"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27</w:t>
            </w:r>
          </w:p>
        </w:tc>
        <w:tc>
          <w:tcPr>
            <w:tcW w:w="1999" w:type="pct"/>
            <w:tcBorders>
              <w:top w:val="single" w:sz="4" w:space="0" w:color="auto"/>
              <w:left w:val="single" w:sz="4" w:space="0" w:color="auto"/>
              <w:bottom w:val="single" w:sz="4" w:space="0" w:color="auto"/>
              <w:right w:val="single" w:sz="4" w:space="0" w:color="auto"/>
            </w:tcBorders>
          </w:tcPr>
          <w:p w14:paraId="1F8180B9" w14:textId="30E29E5F" w:rsidR="006F5ECC" w:rsidRPr="00395661" w:rsidRDefault="006F5ECC" w:rsidP="00020B14">
            <w:pPr>
              <w:tabs>
                <w:tab w:val="left" w:pos="0"/>
                <w:tab w:val="left" w:pos="4536"/>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In the July consultation, EIOPA mentioned on page 13 of its consultation papers that the format of the SFCR had to be machine-readable but that the details would be put forward by EIOPA as part of the second wave of consultation. We note that nothing has been explicitly elaborated on this. </w:t>
            </w:r>
          </w:p>
          <w:p w14:paraId="474BD64A" w14:textId="77777777" w:rsidR="006F5ECC" w:rsidRPr="00CF2245" w:rsidRDefault="006F5ECC" w:rsidP="00020B14">
            <w:pPr>
              <w:tabs>
                <w:tab w:val="left" w:pos="0"/>
                <w:tab w:val="left" w:pos="4536"/>
              </w:tabs>
              <w:rPr>
                <w:rFonts w:ascii="Verdana" w:eastAsia="Verdana" w:hAnsi="Verdana" w:cs="Verdana"/>
                <w:b/>
                <w:bCs/>
                <w:color w:val="7F7F7F" w:themeColor="text1" w:themeTint="80"/>
                <w:lang w:val="en-US"/>
              </w:rPr>
            </w:pPr>
          </w:p>
        </w:tc>
        <w:tc>
          <w:tcPr>
            <w:tcW w:w="483" w:type="pct"/>
            <w:tcBorders>
              <w:top w:val="single" w:sz="4" w:space="0" w:color="auto"/>
              <w:left w:val="single" w:sz="4" w:space="0" w:color="auto"/>
              <w:bottom w:val="single" w:sz="4" w:space="0" w:color="auto"/>
              <w:right w:val="single" w:sz="4" w:space="0" w:color="auto"/>
            </w:tcBorders>
          </w:tcPr>
          <w:p w14:paraId="4368B192"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1E7F2D97"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CF58880" w14:textId="1004B713" w:rsidR="006F5ECC" w:rsidRPr="00AE081A" w:rsidRDefault="006F5ECC"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7</w:t>
            </w:r>
          </w:p>
        </w:tc>
        <w:tc>
          <w:tcPr>
            <w:tcW w:w="506" w:type="pct"/>
            <w:gridSpan w:val="2"/>
            <w:tcBorders>
              <w:top w:val="single" w:sz="4" w:space="0" w:color="auto"/>
              <w:left w:val="single" w:sz="4" w:space="0" w:color="auto"/>
              <w:bottom w:val="single" w:sz="4" w:space="0" w:color="auto"/>
              <w:right w:val="single" w:sz="4" w:space="0" w:color="auto"/>
            </w:tcBorders>
          </w:tcPr>
          <w:p w14:paraId="72829F17" w14:textId="58A52B66"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29</w:t>
            </w:r>
          </w:p>
        </w:tc>
        <w:tc>
          <w:tcPr>
            <w:tcW w:w="1999" w:type="pct"/>
            <w:tcBorders>
              <w:top w:val="single" w:sz="4" w:space="0" w:color="auto"/>
              <w:left w:val="single" w:sz="4" w:space="0" w:color="auto"/>
              <w:bottom w:val="single" w:sz="4" w:space="0" w:color="auto"/>
              <w:right w:val="single" w:sz="4" w:space="0" w:color="auto"/>
            </w:tcBorders>
          </w:tcPr>
          <w:p w14:paraId="52CF99A0" w14:textId="77777777" w:rsidR="006F5ECC" w:rsidRPr="00395661" w:rsidRDefault="006F5ECC" w:rsidP="00020B14">
            <w:pPr>
              <w:tabs>
                <w:tab w:val="left" w:pos="0"/>
                <w:tab w:val="left" w:pos="4536"/>
              </w:tabs>
              <w:rPr>
                <w:color w:val="7F7F7F" w:themeColor="text1" w:themeTint="80"/>
                <w:sz w:val="20"/>
                <w:szCs w:val="20"/>
                <w:lang w:val="en-US"/>
              </w:rPr>
            </w:pPr>
            <w:r w:rsidRPr="00395661">
              <w:rPr>
                <w:rFonts w:ascii="Verdana" w:eastAsia="Verdana" w:hAnsi="Verdana" w:cs="Verdana"/>
                <w:b/>
                <w:bCs/>
                <w:color w:val="7F7F7F" w:themeColor="text1" w:themeTint="80"/>
                <w:sz w:val="22"/>
                <w:szCs w:val="22"/>
                <w:lang w:val="en-US"/>
              </w:rPr>
              <w:t>Content of the Regular Supervisory Reporting (RSR</w:t>
            </w:r>
            <w:r w:rsidRPr="00395661">
              <w:rPr>
                <w:rFonts w:ascii="Verdana" w:eastAsia="Verdana" w:hAnsi="Verdana" w:cs="Verdana"/>
                <w:b/>
                <w:bCs/>
                <w:color w:val="7F7F7F" w:themeColor="text1" w:themeTint="80"/>
                <w:lang w:val="en-US"/>
              </w:rPr>
              <w:t>)</w:t>
            </w:r>
          </w:p>
          <w:p w14:paraId="01457063" w14:textId="4B2CA03C" w:rsidR="006F5ECC" w:rsidRPr="00395661" w:rsidRDefault="006F5ECC" w:rsidP="00020B14">
            <w:pPr>
              <w:tabs>
                <w:tab w:val="left" w:pos="0"/>
                <w:tab w:val="left" w:pos="4536"/>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We welcome EIOPA’s statement that the RSR can be simplified and that duplications and overlaps within the RSR and between the RSR and other supervisory reports should be avoided</w:t>
            </w:r>
            <w:r w:rsidRPr="00395661">
              <w:rPr>
                <w:rFonts w:ascii="Verdana" w:eastAsia="Verdana" w:hAnsi="Verdana" w:cs="Verdana"/>
                <w:color w:val="7F7F7F" w:themeColor="text1" w:themeTint="80"/>
                <w:lang w:val="en-US"/>
              </w:rPr>
              <w:t xml:space="preserve">. </w:t>
            </w:r>
            <w:r w:rsidRPr="00CF2245">
              <w:rPr>
                <w:rFonts w:ascii="Verdana" w:hAnsi="Verdana"/>
                <w:color w:val="7F7F7F" w:themeColor="text1" w:themeTint="80"/>
                <w:sz w:val="22"/>
                <w:szCs w:val="22"/>
                <w:lang w:val="en-US"/>
              </w:rPr>
              <w:t>However, we are worried by the RSR proposals detailed in Annex 7.1, which we think lead to further divergence between the SFCR and RSR reports, generally. We oppose this development</w:t>
            </w:r>
            <w:r w:rsidRPr="00395661">
              <w:rPr>
                <w:rFonts w:ascii="Verdana" w:hAnsi="Verdana"/>
                <w:color w:val="7F7F7F" w:themeColor="text1" w:themeTint="80"/>
                <w:sz w:val="22"/>
                <w:szCs w:val="22"/>
                <w:lang w:val="en-US"/>
              </w:rPr>
              <w:t>; We see many benefits in maintaining the same structures and content (but more in-depth in the RSR) in the SFCR and RSR; there are benefits in maintaining the same/similar structures when building up and handling the production of the reports and the writing process. The RSR should be revised and its structure should be changed in a manner consistent with the proposals for the new SFCR structure.</w:t>
            </w:r>
          </w:p>
          <w:p w14:paraId="181E3AA8" w14:textId="77777777" w:rsidR="006F5ECC" w:rsidRPr="00395661" w:rsidRDefault="006F5ECC" w:rsidP="00020B14">
            <w:pPr>
              <w:tabs>
                <w:tab w:val="left" w:pos="0"/>
                <w:tab w:val="left" w:pos="4536"/>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5ABCF7E7"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1302513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3A000A7" w14:textId="2181FF88" w:rsidR="006F5ECC" w:rsidRPr="001C20F5" w:rsidRDefault="006F5ECC" w:rsidP="00020B14">
            <w:pPr>
              <w:tabs>
                <w:tab w:val="left" w:pos="0"/>
                <w:tab w:val="left" w:pos="4536"/>
              </w:tabs>
              <w:ind w:left="-96"/>
              <w:rPr>
                <w:lang w:val="en-US"/>
              </w:rPr>
            </w:pPr>
            <w:r w:rsidRPr="00AE081A">
              <w:rPr>
                <w:rFonts w:ascii="Verdana" w:hAnsi="Verdana"/>
                <w:color w:val="7F7F7F" w:themeColor="text1" w:themeTint="80"/>
                <w:sz w:val="22"/>
                <w:szCs w:val="22"/>
                <w:lang w:val="en-GB" w:eastAsia="fr-FR"/>
              </w:rPr>
              <w:t>7</w:t>
            </w:r>
          </w:p>
        </w:tc>
        <w:tc>
          <w:tcPr>
            <w:tcW w:w="506" w:type="pct"/>
            <w:gridSpan w:val="2"/>
            <w:tcBorders>
              <w:top w:val="single" w:sz="4" w:space="0" w:color="auto"/>
              <w:left w:val="single" w:sz="4" w:space="0" w:color="auto"/>
              <w:bottom w:val="single" w:sz="4" w:space="0" w:color="auto"/>
              <w:right w:val="single" w:sz="4" w:space="0" w:color="auto"/>
            </w:tcBorders>
          </w:tcPr>
          <w:p w14:paraId="0C45FF28" w14:textId="269F2B10" w:rsidR="006F5ECC" w:rsidRPr="001C20F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42</w:t>
            </w:r>
          </w:p>
        </w:tc>
        <w:tc>
          <w:tcPr>
            <w:tcW w:w="1999" w:type="pct"/>
            <w:tcBorders>
              <w:top w:val="single" w:sz="4" w:space="0" w:color="auto"/>
              <w:left w:val="single" w:sz="4" w:space="0" w:color="auto"/>
              <w:bottom w:val="single" w:sz="4" w:space="0" w:color="auto"/>
              <w:right w:val="single" w:sz="4" w:space="0" w:color="auto"/>
            </w:tcBorders>
          </w:tcPr>
          <w:p w14:paraId="745A5800" w14:textId="5E9AF183" w:rsidR="006F5ECC" w:rsidRPr="00CF2245" w:rsidRDefault="006F5ECC" w:rsidP="00020B14">
            <w:pPr>
              <w:tabs>
                <w:tab w:val="left" w:pos="0"/>
                <w:tab w:val="left" w:pos="4536"/>
              </w:tabs>
              <w:rPr>
                <w:rFonts w:ascii="Verdana" w:hAnsi="Verdana"/>
                <w:color w:val="7F7F7F" w:themeColor="text1" w:themeTint="80"/>
                <w:sz w:val="22"/>
                <w:szCs w:val="22"/>
                <w:lang w:val="en-GB" w:eastAsia="fr-FR"/>
              </w:rPr>
            </w:pPr>
            <w:r w:rsidRPr="00CF2245">
              <w:rPr>
                <w:rFonts w:ascii="Verdana" w:hAnsi="Verdana"/>
                <w:color w:val="7F7F7F" w:themeColor="text1" w:themeTint="80"/>
                <w:sz w:val="22"/>
                <w:szCs w:val="22"/>
                <w:lang w:val="en-GB" w:eastAsia="fr-FR"/>
              </w:rPr>
              <w:t xml:space="preserve">We welcome EIOPA’s proposal to amend Article 254 of the Solvency II Directive to allow for the exemption of groups reporting without the </w:t>
            </w:r>
            <w:r w:rsidRPr="00CF2245">
              <w:rPr>
                <w:rFonts w:ascii="Verdana" w:hAnsi="Verdana"/>
                <w:color w:val="7F7F7F" w:themeColor="text1" w:themeTint="80"/>
                <w:sz w:val="22"/>
                <w:szCs w:val="22"/>
                <w:lang w:val="en-GB" w:eastAsia="fr-FR"/>
              </w:rPr>
              <w:lastRenderedPageBreak/>
              <w:t>condition of exemption of all solo insurance undertakings belonging to that group.</w:t>
            </w:r>
          </w:p>
        </w:tc>
        <w:tc>
          <w:tcPr>
            <w:tcW w:w="483" w:type="pct"/>
            <w:tcBorders>
              <w:top w:val="single" w:sz="4" w:space="0" w:color="auto"/>
              <w:left w:val="single" w:sz="4" w:space="0" w:color="auto"/>
              <w:bottom w:val="single" w:sz="4" w:space="0" w:color="auto"/>
              <w:right w:val="single" w:sz="4" w:space="0" w:color="auto"/>
            </w:tcBorders>
          </w:tcPr>
          <w:p w14:paraId="48EEFA3A"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3EA961F6"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751B320" w14:textId="65E2E59B" w:rsidR="006F5ECC" w:rsidRPr="00650464" w:rsidRDefault="006F5ECC"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7</w:t>
            </w:r>
          </w:p>
        </w:tc>
        <w:tc>
          <w:tcPr>
            <w:tcW w:w="506" w:type="pct"/>
            <w:gridSpan w:val="2"/>
            <w:tcBorders>
              <w:top w:val="single" w:sz="4" w:space="0" w:color="auto"/>
              <w:left w:val="single" w:sz="4" w:space="0" w:color="auto"/>
              <w:bottom w:val="single" w:sz="4" w:space="0" w:color="auto"/>
              <w:right w:val="single" w:sz="4" w:space="0" w:color="auto"/>
            </w:tcBorders>
          </w:tcPr>
          <w:p w14:paraId="7451CA22" w14:textId="0BF62209"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46 – General Comments</w:t>
            </w:r>
          </w:p>
        </w:tc>
        <w:tc>
          <w:tcPr>
            <w:tcW w:w="1999" w:type="pct"/>
            <w:tcBorders>
              <w:top w:val="single" w:sz="4" w:space="0" w:color="auto"/>
              <w:left w:val="single" w:sz="4" w:space="0" w:color="auto"/>
              <w:bottom w:val="single" w:sz="4" w:space="0" w:color="auto"/>
              <w:right w:val="single" w:sz="4" w:space="0" w:color="auto"/>
            </w:tcBorders>
          </w:tcPr>
          <w:p w14:paraId="7AB3CA62" w14:textId="77013CF7" w:rsidR="006F5ECC" w:rsidRPr="00CF2245" w:rsidRDefault="006F5ECC" w:rsidP="00020B14">
            <w:pPr>
              <w:tabs>
                <w:tab w:val="left" w:pos="0"/>
                <w:tab w:val="left" w:pos="4536"/>
              </w:tabs>
              <w:rPr>
                <w:rFonts w:ascii="Verdana" w:hAnsi="Verdana"/>
                <w:b/>
                <w:bCs/>
                <w:color w:val="7F7F7F" w:themeColor="text1" w:themeTint="80"/>
                <w:sz w:val="22"/>
                <w:szCs w:val="22"/>
                <w:lang w:val="en-GB" w:eastAsia="fr-FR"/>
              </w:rPr>
            </w:pPr>
            <w:r w:rsidRPr="00CF2245">
              <w:rPr>
                <w:rFonts w:ascii="Verdana" w:hAnsi="Verdana"/>
                <w:b/>
                <w:bCs/>
                <w:color w:val="7F7F7F" w:themeColor="text1" w:themeTint="80"/>
                <w:sz w:val="22"/>
                <w:szCs w:val="22"/>
                <w:lang w:val="en-GB" w:eastAsia="fr-FR"/>
              </w:rPr>
              <w:t>Group templates</w:t>
            </w:r>
          </w:p>
          <w:p w14:paraId="2590A73C" w14:textId="667E0ABB" w:rsidR="006F5ECC" w:rsidRPr="00395661" w:rsidRDefault="006F5ECC" w:rsidP="00020B14">
            <w:pPr>
              <w:tabs>
                <w:tab w:val="left" w:pos="0"/>
                <w:tab w:val="left" w:pos="4536"/>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In general, it is challenging to have a clear view of the impacts of EIOPA’s proposals in the area of supervisory reporting and disclosure and whether EIOPA’s efforts to reduce the number of QRTs and the reporting burden have the intended impact because reference is often made to the proposals detailed in the first wave.</w:t>
            </w:r>
          </w:p>
          <w:p w14:paraId="058CCDEA" w14:textId="4FA6138F" w:rsidR="006F5ECC" w:rsidRPr="00395661" w:rsidRDefault="006F5ECC" w:rsidP="00020B14">
            <w:pPr>
              <w:tabs>
                <w:tab w:val="left" w:pos="0"/>
                <w:tab w:val="left" w:pos="4536"/>
              </w:tabs>
              <w:rPr>
                <w:rFonts w:ascii="Verdana" w:hAnsi="Verdana"/>
                <w:b/>
                <w:bCs/>
                <w:color w:val="7F7F7F" w:themeColor="text1" w:themeTint="80"/>
                <w:sz w:val="22"/>
                <w:szCs w:val="22"/>
                <w:lang w:val="en-US" w:eastAsia="fr-FR"/>
              </w:rPr>
            </w:pPr>
          </w:p>
          <w:p w14:paraId="3ADD103D" w14:textId="66AC36B2" w:rsidR="006F5ECC" w:rsidRPr="00395661" w:rsidRDefault="006F5ECC" w:rsidP="00020B14">
            <w:pPr>
              <w:tabs>
                <w:tab w:val="left" w:pos="0"/>
                <w:tab w:val="left" w:pos="4536"/>
              </w:tabs>
              <w:rPr>
                <w:rFonts w:ascii="Verdana" w:hAnsi="Verdana"/>
                <w:color w:val="7F7F7F" w:themeColor="text1" w:themeTint="80"/>
                <w:sz w:val="22"/>
                <w:szCs w:val="22"/>
                <w:lang w:val="en-US" w:eastAsia="fr-FR"/>
              </w:rPr>
            </w:pPr>
            <w:r w:rsidRPr="00395661">
              <w:rPr>
                <w:rFonts w:ascii="Verdana" w:hAnsi="Verdana"/>
                <w:color w:val="7F7F7F" w:themeColor="text1" w:themeTint="80"/>
                <w:sz w:val="22"/>
                <w:szCs w:val="22"/>
                <w:lang w:val="en-US" w:eastAsia="fr-FR"/>
              </w:rPr>
              <w:t xml:space="preserve">In particular, we refer to paragraph 7.5 of this consultation paper which states that further proposals to change the reporting and disclosure reporting are dealt with in different chapters. By reviewing the sections listed in paragraph 7.5 it is not always clear whether a new reporting requirement is proposed and/or a new QRT/new section of a QRT is being </w:t>
            </w:r>
            <w:r>
              <w:rPr>
                <w:rFonts w:ascii="Verdana" w:hAnsi="Verdana"/>
                <w:color w:val="7F7F7F" w:themeColor="text1" w:themeTint="80"/>
                <w:sz w:val="22"/>
                <w:szCs w:val="22"/>
                <w:lang w:val="en-US" w:eastAsia="fr-FR"/>
              </w:rPr>
              <w:t>put forward</w:t>
            </w:r>
            <w:r w:rsidRPr="00395661">
              <w:rPr>
                <w:rFonts w:ascii="Verdana" w:hAnsi="Verdana"/>
                <w:color w:val="7F7F7F" w:themeColor="text1" w:themeTint="80"/>
                <w:sz w:val="22"/>
                <w:szCs w:val="22"/>
                <w:lang w:val="en-US" w:eastAsia="fr-FR"/>
              </w:rPr>
              <w:t xml:space="preserve"> or whether only new information to be reported is being identified. All the proposed reporting changes should be assessed together in a consistent manner.</w:t>
            </w:r>
          </w:p>
          <w:p w14:paraId="4CA73623" w14:textId="45D4B3B5" w:rsidR="006F5ECC" w:rsidRPr="00395661" w:rsidRDefault="006F5ECC" w:rsidP="00020B14">
            <w:pPr>
              <w:tabs>
                <w:tab w:val="left" w:pos="0"/>
                <w:tab w:val="left" w:pos="4536"/>
              </w:tabs>
              <w:rPr>
                <w:rFonts w:ascii="Verdana" w:hAnsi="Verdana"/>
                <w:color w:val="7F7F7F" w:themeColor="text1" w:themeTint="80"/>
                <w:sz w:val="22"/>
                <w:szCs w:val="22"/>
                <w:lang w:val="en-US" w:eastAsia="fr-FR"/>
              </w:rPr>
            </w:pPr>
          </w:p>
          <w:p w14:paraId="0BFEFC2D" w14:textId="03E9FA55" w:rsidR="006F5ECC" w:rsidRPr="00395661" w:rsidRDefault="006F5ECC" w:rsidP="00020B14">
            <w:pPr>
              <w:tabs>
                <w:tab w:val="left" w:pos="0"/>
                <w:tab w:val="left" w:pos="4536"/>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 xml:space="preserve">Furthermore, EIOPA points out that this is a draft proposal not being the final version of EIOPA’s proposals – e.g. in section 7.73 it is mentioned that as a result of the consultation of group solvency changes proposed in QRT S.23.01, changes to the group OF templates may follow after any revision of the Solvency II Directive and Delegated Regulation. </w:t>
            </w:r>
          </w:p>
          <w:p w14:paraId="00C46FB2" w14:textId="08F6AF67" w:rsidR="006F5ECC" w:rsidRPr="00CF2245" w:rsidRDefault="006F5ECC" w:rsidP="00020B14">
            <w:pPr>
              <w:tabs>
                <w:tab w:val="left" w:pos="0"/>
                <w:tab w:val="left" w:pos="4536"/>
              </w:tabs>
              <w:rPr>
                <w:rFonts w:ascii="Verdana" w:hAnsi="Verdana"/>
                <w:b/>
                <w:bCs/>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0AFD9E2A"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75D82E98"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517A715" w14:textId="56013794" w:rsidR="006F5ECC" w:rsidRDefault="006F5ECC" w:rsidP="00020B14">
            <w:pPr>
              <w:tabs>
                <w:tab w:val="left" w:pos="0"/>
                <w:tab w:val="left" w:pos="4536"/>
              </w:tabs>
              <w:ind w:left="-96"/>
              <w:rPr>
                <w:rFonts w:ascii="Verdana" w:hAnsi="Verdana"/>
                <w:color w:val="7F7F7F" w:themeColor="text1" w:themeTint="80"/>
                <w:sz w:val="22"/>
                <w:szCs w:val="22"/>
                <w:lang w:val="en-US" w:eastAsia="fr-FR"/>
              </w:rPr>
            </w:pPr>
            <w:r>
              <w:rPr>
                <w:rFonts w:ascii="Verdana" w:hAnsi="Verdana"/>
                <w:color w:val="7F7F7F" w:themeColor="text1" w:themeTint="80"/>
                <w:sz w:val="22"/>
                <w:szCs w:val="22"/>
                <w:lang w:val="en-GB" w:eastAsia="fr-FR"/>
              </w:rPr>
              <w:t>7</w:t>
            </w:r>
          </w:p>
        </w:tc>
        <w:tc>
          <w:tcPr>
            <w:tcW w:w="506" w:type="pct"/>
            <w:gridSpan w:val="2"/>
            <w:tcBorders>
              <w:top w:val="single" w:sz="4" w:space="0" w:color="auto"/>
              <w:left w:val="single" w:sz="4" w:space="0" w:color="auto"/>
              <w:bottom w:val="single" w:sz="4" w:space="0" w:color="auto"/>
              <w:right w:val="single" w:sz="4" w:space="0" w:color="auto"/>
            </w:tcBorders>
          </w:tcPr>
          <w:p w14:paraId="47718095" w14:textId="43A022F1"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 xml:space="preserve">46 – General Comments </w:t>
            </w:r>
          </w:p>
        </w:tc>
        <w:tc>
          <w:tcPr>
            <w:tcW w:w="1999" w:type="pct"/>
            <w:tcBorders>
              <w:top w:val="single" w:sz="4" w:space="0" w:color="auto"/>
              <w:left w:val="single" w:sz="4" w:space="0" w:color="auto"/>
              <w:bottom w:val="single" w:sz="4" w:space="0" w:color="auto"/>
              <w:right w:val="single" w:sz="4" w:space="0" w:color="auto"/>
            </w:tcBorders>
          </w:tcPr>
          <w:p w14:paraId="55F797EA" w14:textId="28EA25E9" w:rsidR="006F5ECC" w:rsidRPr="00CF2245" w:rsidRDefault="006F5ECC" w:rsidP="00020B14">
            <w:pPr>
              <w:tabs>
                <w:tab w:val="left" w:pos="0"/>
                <w:tab w:val="left" w:pos="4536"/>
              </w:tabs>
              <w:rPr>
                <w:rFonts w:ascii="Verdana" w:hAnsi="Verdana"/>
                <w:b/>
                <w:bCs/>
                <w:color w:val="7F7F7F" w:themeColor="text1" w:themeTint="80"/>
                <w:sz w:val="22"/>
                <w:szCs w:val="22"/>
                <w:lang w:val="en-US"/>
              </w:rPr>
            </w:pPr>
            <w:r w:rsidRPr="00CF2245">
              <w:rPr>
                <w:rFonts w:ascii="Verdana" w:hAnsi="Verdana"/>
                <w:b/>
                <w:bCs/>
                <w:color w:val="7F7F7F" w:themeColor="text1" w:themeTint="80"/>
                <w:sz w:val="22"/>
                <w:szCs w:val="22"/>
                <w:lang w:val="en-US"/>
              </w:rPr>
              <w:t>EIOPA’s QRT proposals</w:t>
            </w:r>
            <w:r>
              <w:rPr>
                <w:rFonts w:ascii="Verdana" w:hAnsi="Verdana"/>
                <w:b/>
                <w:bCs/>
                <w:color w:val="7F7F7F" w:themeColor="text1" w:themeTint="80"/>
                <w:sz w:val="22"/>
                <w:szCs w:val="22"/>
                <w:lang w:val="en-US"/>
              </w:rPr>
              <w:t>:</w:t>
            </w:r>
            <w:r w:rsidRPr="00CF2245">
              <w:rPr>
                <w:rFonts w:ascii="Verdana" w:hAnsi="Verdana"/>
                <w:b/>
                <w:bCs/>
                <w:color w:val="7F7F7F" w:themeColor="text1" w:themeTint="80"/>
                <w:sz w:val="22"/>
                <w:szCs w:val="22"/>
                <w:lang w:val="en-US"/>
              </w:rPr>
              <w:t xml:space="preserve"> Core and Non-core QRTs.</w:t>
            </w:r>
          </w:p>
          <w:p w14:paraId="0F005BAA" w14:textId="3A9CF33F" w:rsidR="006F5ECC" w:rsidRPr="00CF2245" w:rsidRDefault="006F5ECC" w:rsidP="00020B14">
            <w:pPr>
              <w:tabs>
                <w:tab w:val="left" w:pos="0"/>
                <w:tab w:val="left" w:pos="4536"/>
              </w:tabs>
              <w:rPr>
                <w:rFonts w:ascii="Verdana" w:hAnsi="Verdana"/>
                <w:color w:val="7F7F7F" w:themeColor="text1" w:themeTint="80"/>
                <w:sz w:val="22"/>
                <w:szCs w:val="22"/>
                <w:lang w:val="en-US"/>
              </w:rPr>
            </w:pPr>
            <w:r w:rsidRPr="00CF2245">
              <w:rPr>
                <w:rFonts w:ascii="Verdana" w:hAnsi="Verdana"/>
                <w:color w:val="7F7F7F" w:themeColor="text1" w:themeTint="80"/>
                <w:sz w:val="22"/>
                <w:szCs w:val="22"/>
                <w:lang w:val="en-US"/>
              </w:rPr>
              <w:t xml:space="preserve">The main issue with the current proposal is </w:t>
            </w:r>
            <w:r>
              <w:rPr>
                <w:rFonts w:ascii="Verdana" w:hAnsi="Verdana"/>
                <w:color w:val="7F7F7F" w:themeColor="text1" w:themeTint="80"/>
                <w:sz w:val="22"/>
                <w:szCs w:val="22"/>
                <w:lang w:val="en-US"/>
              </w:rPr>
              <w:t xml:space="preserve">that </w:t>
            </w:r>
            <w:r w:rsidRPr="00CF2245">
              <w:rPr>
                <w:rFonts w:ascii="Verdana" w:hAnsi="Verdana"/>
                <w:color w:val="7F7F7F" w:themeColor="text1" w:themeTint="80"/>
                <w:sz w:val="22"/>
                <w:szCs w:val="22"/>
                <w:lang w:val="en-US"/>
              </w:rPr>
              <w:t xml:space="preserve">it is difficult to </w:t>
            </w:r>
            <w:r>
              <w:rPr>
                <w:rFonts w:ascii="Verdana" w:hAnsi="Verdana"/>
                <w:color w:val="7F7F7F" w:themeColor="text1" w:themeTint="80"/>
                <w:sz w:val="22"/>
                <w:szCs w:val="22"/>
                <w:lang w:val="en-US"/>
              </w:rPr>
              <w:t xml:space="preserve">fully </w:t>
            </w:r>
            <w:r w:rsidRPr="00CF2245">
              <w:rPr>
                <w:rFonts w:ascii="Verdana" w:hAnsi="Verdana"/>
                <w:color w:val="7F7F7F" w:themeColor="text1" w:themeTint="80"/>
                <w:sz w:val="22"/>
                <w:szCs w:val="22"/>
                <w:lang w:val="en-US"/>
              </w:rPr>
              <w:t>assess whether a categorization as “core” or “non-core” QRT</w:t>
            </w:r>
            <w:r>
              <w:rPr>
                <w:rFonts w:ascii="Verdana" w:hAnsi="Verdana"/>
                <w:color w:val="7F7F7F" w:themeColor="text1" w:themeTint="80"/>
                <w:sz w:val="22"/>
                <w:szCs w:val="22"/>
                <w:lang w:val="en-US"/>
              </w:rPr>
              <w:t>s</w:t>
            </w:r>
            <w:r w:rsidRPr="00CF2245">
              <w:rPr>
                <w:rFonts w:ascii="Verdana" w:hAnsi="Verdana"/>
                <w:color w:val="7F7F7F" w:themeColor="text1" w:themeTint="80"/>
                <w:sz w:val="22"/>
                <w:szCs w:val="22"/>
                <w:lang w:val="en-US"/>
              </w:rPr>
              <w:t xml:space="preserve"> has any </w:t>
            </w:r>
            <w:r w:rsidRPr="00CF2245">
              <w:rPr>
                <w:rFonts w:ascii="Verdana" w:hAnsi="Verdana"/>
                <w:color w:val="7F7F7F" w:themeColor="text1" w:themeTint="80"/>
                <w:sz w:val="22"/>
                <w:szCs w:val="22"/>
                <w:lang w:val="en-US"/>
              </w:rPr>
              <w:lastRenderedPageBreak/>
              <w:t>bearing on the overall reporting requirements</w:t>
            </w:r>
            <w:r>
              <w:rPr>
                <w:rFonts w:ascii="Verdana" w:hAnsi="Verdana"/>
                <w:color w:val="7F7F7F" w:themeColor="text1" w:themeTint="80"/>
                <w:sz w:val="22"/>
                <w:szCs w:val="22"/>
                <w:lang w:val="en-US"/>
              </w:rPr>
              <w:t>.</w:t>
            </w:r>
            <w:r w:rsidRPr="00CF2245">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We doubt</w:t>
            </w:r>
            <w:r w:rsidRPr="00CF2245">
              <w:rPr>
                <w:rFonts w:ascii="Verdana" w:hAnsi="Verdana"/>
                <w:color w:val="7F7F7F" w:themeColor="text1" w:themeTint="80"/>
                <w:sz w:val="22"/>
                <w:szCs w:val="22"/>
                <w:lang w:val="en-US"/>
              </w:rPr>
              <w:t xml:space="preserve"> undertaking</w:t>
            </w:r>
            <w:r>
              <w:rPr>
                <w:rFonts w:ascii="Verdana" w:hAnsi="Verdana"/>
                <w:color w:val="7F7F7F" w:themeColor="text1" w:themeTint="80"/>
                <w:sz w:val="22"/>
                <w:szCs w:val="22"/>
                <w:lang w:val="en-US"/>
              </w:rPr>
              <w:t>s</w:t>
            </w:r>
            <w:r w:rsidRPr="00CF2245">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will</w:t>
            </w:r>
            <w:r w:rsidRPr="00CF2245">
              <w:rPr>
                <w:rFonts w:ascii="Verdana" w:hAnsi="Verdana"/>
                <w:color w:val="7F7F7F" w:themeColor="text1" w:themeTint="80"/>
                <w:sz w:val="22"/>
                <w:szCs w:val="22"/>
                <w:lang w:val="en-US"/>
              </w:rPr>
              <w:t xml:space="preserve"> achieve a lessen volume of reporting in </w:t>
            </w:r>
            <w:r>
              <w:rPr>
                <w:rFonts w:ascii="Verdana" w:hAnsi="Verdana"/>
                <w:color w:val="7F7F7F" w:themeColor="text1" w:themeTint="80"/>
                <w:sz w:val="22"/>
                <w:szCs w:val="22"/>
                <w:lang w:val="en-US"/>
              </w:rPr>
              <w:t xml:space="preserve">the </w:t>
            </w:r>
            <w:r w:rsidRPr="00CF2245">
              <w:rPr>
                <w:rFonts w:ascii="Verdana" w:hAnsi="Verdana"/>
                <w:color w:val="7F7F7F" w:themeColor="text1" w:themeTint="80"/>
                <w:sz w:val="22"/>
                <w:szCs w:val="22"/>
                <w:lang w:val="en-US"/>
              </w:rPr>
              <w:t xml:space="preserve">future. </w:t>
            </w:r>
          </w:p>
          <w:p w14:paraId="1562D594" w14:textId="77777777" w:rsidR="006F5ECC" w:rsidRPr="00CF2245" w:rsidRDefault="006F5ECC" w:rsidP="00020B14">
            <w:pPr>
              <w:tabs>
                <w:tab w:val="left" w:pos="0"/>
                <w:tab w:val="left" w:pos="4536"/>
              </w:tabs>
              <w:spacing w:before="120" w:after="120"/>
              <w:rPr>
                <w:rFonts w:ascii="Verdana" w:hAnsi="Verdana"/>
                <w:color w:val="7F7F7F" w:themeColor="text1" w:themeTint="80"/>
                <w:sz w:val="22"/>
                <w:szCs w:val="22"/>
                <w:lang w:val="en-US"/>
              </w:rPr>
            </w:pPr>
            <w:r w:rsidRPr="00CF2245">
              <w:rPr>
                <w:rFonts w:ascii="Verdana" w:hAnsi="Verdana"/>
                <w:color w:val="7F7F7F" w:themeColor="text1" w:themeTint="80"/>
                <w:sz w:val="22"/>
                <w:szCs w:val="22"/>
                <w:lang w:val="en-US"/>
              </w:rPr>
              <w:t xml:space="preserve">There should be a more transparent way (which can be reliably predicted by the industry, using for instance quantitative thresholds or supervisory “scores” in the supervisory review) of knowing with some degree of certainty what the overall reporting burden is. With the core/non-core distinction this is not sufficiently clear.  </w:t>
            </w:r>
          </w:p>
          <w:p w14:paraId="685EB78E" w14:textId="77777777" w:rsidR="006F5ECC" w:rsidRPr="00395661" w:rsidRDefault="006F5ECC" w:rsidP="00020B14">
            <w:pPr>
              <w:tabs>
                <w:tab w:val="left" w:pos="0"/>
                <w:tab w:val="left" w:pos="4536"/>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14B4C437"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46DEC3A0"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39C9BF1" w14:textId="6B03BCF2" w:rsidR="006F5ECC" w:rsidRPr="006404E5" w:rsidRDefault="006F5ECC" w:rsidP="00020B14">
            <w:pPr>
              <w:tabs>
                <w:tab w:val="left" w:pos="0"/>
                <w:tab w:val="left" w:pos="4536"/>
              </w:tabs>
              <w:ind w:left="-96"/>
              <w:rPr>
                <w:rFonts w:ascii="Verdana" w:hAnsi="Verdana"/>
                <w:color w:val="7F7F7F" w:themeColor="text1" w:themeTint="80"/>
                <w:sz w:val="22"/>
                <w:szCs w:val="22"/>
                <w:lang w:val="en-US" w:eastAsia="fr-FR"/>
              </w:rPr>
            </w:pPr>
            <w:r>
              <w:rPr>
                <w:rFonts w:ascii="Verdana" w:hAnsi="Verdana"/>
                <w:color w:val="7F7F7F" w:themeColor="text1" w:themeTint="80"/>
                <w:sz w:val="22"/>
                <w:szCs w:val="22"/>
                <w:lang w:val="en-US" w:eastAsia="fr-FR"/>
              </w:rPr>
              <w:t>7</w:t>
            </w:r>
          </w:p>
        </w:tc>
        <w:tc>
          <w:tcPr>
            <w:tcW w:w="506" w:type="pct"/>
            <w:gridSpan w:val="2"/>
            <w:tcBorders>
              <w:top w:val="single" w:sz="4" w:space="0" w:color="auto"/>
              <w:left w:val="single" w:sz="4" w:space="0" w:color="auto"/>
              <w:bottom w:val="single" w:sz="4" w:space="0" w:color="auto"/>
              <w:right w:val="single" w:sz="4" w:space="0" w:color="auto"/>
            </w:tcBorders>
          </w:tcPr>
          <w:p w14:paraId="6A173D8C" w14:textId="29D4FA63"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53 &amp; 58</w:t>
            </w:r>
          </w:p>
        </w:tc>
        <w:tc>
          <w:tcPr>
            <w:tcW w:w="1999" w:type="pct"/>
            <w:tcBorders>
              <w:top w:val="single" w:sz="4" w:space="0" w:color="auto"/>
              <w:left w:val="single" w:sz="4" w:space="0" w:color="auto"/>
              <w:bottom w:val="single" w:sz="4" w:space="0" w:color="auto"/>
              <w:right w:val="single" w:sz="4" w:space="0" w:color="auto"/>
            </w:tcBorders>
          </w:tcPr>
          <w:p w14:paraId="6DE655F3" w14:textId="0BD114CB" w:rsidR="006F5ECC" w:rsidRPr="00395661" w:rsidRDefault="006F5ECC" w:rsidP="00020B14">
            <w:pPr>
              <w:tabs>
                <w:tab w:val="left" w:pos="0"/>
                <w:tab w:val="left" w:pos="4536"/>
              </w:tabs>
              <w:rPr>
                <w:rFonts w:ascii="Verdana" w:hAnsi="Verdana"/>
                <w:color w:val="7F7F7F" w:themeColor="text1" w:themeTint="80"/>
                <w:sz w:val="22"/>
                <w:szCs w:val="22"/>
                <w:lang w:val="en-US" w:eastAsia="fr-FR"/>
              </w:rPr>
            </w:pPr>
            <w:r w:rsidRPr="00395661">
              <w:rPr>
                <w:rFonts w:ascii="Verdana" w:hAnsi="Verdana"/>
                <w:color w:val="7F7F7F" w:themeColor="text1" w:themeTint="80"/>
                <w:sz w:val="22"/>
                <w:szCs w:val="22"/>
                <w:lang w:val="en-US" w:eastAsia="fr-FR"/>
              </w:rPr>
              <w:t xml:space="preserve">EIOPA proposes to reduce the reporting burden at group level by removing S.05.01 from </w:t>
            </w:r>
            <w:r>
              <w:rPr>
                <w:rFonts w:ascii="Verdana" w:hAnsi="Verdana"/>
                <w:color w:val="7F7F7F" w:themeColor="text1" w:themeTint="80"/>
                <w:sz w:val="22"/>
                <w:szCs w:val="22"/>
                <w:lang w:val="en-US" w:eastAsia="fr-FR"/>
              </w:rPr>
              <w:t xml:space="preserve">the </w:t>
            </w:r>
            <w:r w:rsidRPr="00395661">
              <w:rPr>
                <w:rFonts w:ascii="Verdana" w:hAnsi="Verdana"/>
                <w:color w:val="7F7F7F" w:themeColor="text1" w:themeTint="80"/>
                <w:sz w:val="22"/>
                <w:szCs w:val="22"/>
                <w:lang w:val="en-US" w:eastAsia="fr-FR"/>
              </w:rPr>
              <w:t xml:space="preserve">group SFCR Public Disclosure QRTs. The deletion of S.05.01 without removing S.05.02 would not add any relief in the reporting burden, as the two templates largely require the same kind of information. </w:t>
            </w:r>
          </w:p>
          <w:p w14:paraId="18A10B43" w14:textId="77777777" w:rsidR="006F5ECC" w:rsidRPr="00CF2245" w:rsidRDefault="006F5ECC" w:rsidP="00020B14">
            <w:pPr>
              <w:tabs>
                <w:tab w:val="left" w:pos="0"/>
                <w:tab w:val="left" w:pos="4536"/>
              </w:tabs>
              <w:rPr>
                <w:rFonts w:ascii="Verdana" w:hAnsi="Verdana"/>
                <w:b/>
                <w:bCs/>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7539D64A"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592CEDD1"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60CB97B" w14:textId="3B3B8F83" w:rsidR="006F5ECC" w:rsidRPr="00776014" w:rsidRDefault="006F5ECC"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7</w:t>
            </w:r>
          </w:p>
        </w:tc>
        <w:tc>
          <w:tcPr>
            <w:tcW w:w="506" w:type="pct"/>
            <w:gridSpan w:val="2"/>
            <w:tcBorders>
              <w:top w:val="single" w:sz="4" w:space="0" w:color="auto"/>
              <w:left w:val="single" w:sz="4" w:space="0" w:color="auto"/>
              <w:bottom w:val="single" w:sz="4" w:space="0" w:color="auto"/>
              <w:right w:val="single" w:sz="4" w:space="0" w:color="auto"/>
            </w:tcBorders>
          </w:tcPr>
          <w:p w14:paraId="113482EC" w14:textId="381F2AD7" w:rsidR="006F5ECC" w:rsidRPr="00776014"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120</w:t>
            </w:r>
          </w:p>
        </w:tc>
        <w:tc>
          <w:tcPr>
            <w:tcW w:w="1999" w:type="pct"/>
            <w:tcBorders>
              <w:top w:val="single" w:sz="4" w:space="0" w:color="auto"/>
              <w:left w:val="single" w:sz="4" w:space="0" w:color="auto"/>
              <w:bottom w:val="single" w:sz="4" w:space="0" w:color="auto"/>
              <w:right w:val="single" w:sz="4" w:space="0" w:color="auto"/>
            </w:tcBorders>
          </w:tcPr>
          <w:p w14:paraId="7EC927D9" w14:textId="77777777" w:rsidR="006F5ECC" w:rsidRPr="00CF2245" w:rsidRDefault="006F5ECC" w:rsidP="00020B14">
            <w:pPr>
              <w:tabs>
                <w:tab w:val="left" w:pos="0"/>
                <w:tab w:val="left" w:pos="1140"/>
                <w:tab w:val="left" w:pos="4536"/>
              </w:tabs>
              <w:rPr>
                <w:rFonts w:ascii="Verdana" w:hAnsi="Verdana"/>
                <w:b/>
                <w:bCs/>
                <w:color w:val="7F7F7F" w:themeColor="text1" w:themeTint="80"/>
                <w:sz w:val="22"/>
                <w:szCs w:val="22"/>
                <w:lang w:val="en-GB" w:eastAsia="fr-FR"/>
              </w:rPr>
            </w:pPr>
            <w:r w:rsidRPr="00CF2245">
              <w:rPr>
                <w:rFonts w:ascii="Verdana" w:hAnsi="Verdana"/>
                <w:b/>
                <w:bCs/>
                <w:color w:val="7F7F7F" w:themeColor="text1" w:themeTint="80"/>
                <w:sz w:val="22"/>
                <w:szCs w:val="22"/>
                <w:lang w:val="en-GB" w:eastAsia="fr-FR"/>
              </w:rPr>
              <w:t>EIOPA’s Advice on Group Solvency and financial condition report - Addresses of the SFCR</w:t>
            </w:r>
          </w:p>
          <w:p w14:paraId="060AB0B6" w14:textId="77777777" w:rsidR="006F5ECC" w:rsidRPr="00CF2245" w:rsidRDefault="006F5ECC" w:rsidP="00020B14">
            <w:pPr>
              <w:tabs>
                <w:tab w:val="left" w:pos="0"/>
                <w:tab w:val="left" w:pos="4536"/>
              </w:tabs>
              <w:spacing w:after="120"/>
              <w:rPr>
                <w:rFonts w:ascii="Verdana" w:hAnsi="Verdana"/>
                <w:color w:val="7F7F7F" w:themeColor="text1" w:themeTint="80"/>
                <w:sz w:val="22"/>
                <w:szCs w:val="22"/>
                <w:lang w:val="en-GB" w:eastAsia="fr-FR"/>
              </w:rPr>
            </w:pPr>
            <w:r w:rsidRPr="00CF2245">
              <w:rPr>
                <w:rFonts w:ascii="Verdana" w:hAnsi="Verdana"/>
                <w:color w:val="7F7F7F" w:themeColor="text1" w:themeTint="80"/>
                <w:sz w:val="22"/>
                <w:szCs w:val="22"/>
                <w:lang w:val="en-GB" w:eastAsia="fr-FR"/>
              </w:rPr>
              <w:t xml:space="preserve">We welcome EIOPA’s proposal to not introduce amendments in Level 1 (Directive) and Level 2 (Delegated Regulation) regarding the addresses of the group SFCR. </w:t>
            </w:r>
          </w:p>
          <w:p w14:paraId="268F460B" w14:textId="55921076" w:rsidR="006F5ECC" w:rsidRPr="00395661" w:rsidRDefault="006F5ECC" w:rsidP="00020B14">
            <w:pPr>
              <w:tabs>
                <w:tab w:val="left" w:pos="0"/>
                <w:tab w:val="left" w:pos="4536"/>
              </w:tabs>
              <w:rPr>
                <w:rFonts w:ascii="Verdana" w:hAnsi="Verdana"/>
                <w:color w:val="7F7F7F" w:themeColor="text1" w:themeTint="80"/>
                <w:sz w:val="22"/>
                <w:szCs w:val="22"/>
                <w:u w:val="single"/>
                <w:lang w:val="en-GB"/>
              </w:rPr>
            </w:pPr>
          </w:p>
        </w:tc>
        <w:tc>
          <w:tcPr>
            <w:tcW w:w="483" w:type="pct"/>
            <w:tcBorders>
              <w:top w:val="single" w:sz="4" w:space="0" w:color="auto"/>
              <w:left w:val="single" w:sz="4" w:space="0" w:color="auto"/>
              <w:bottom w:val="single" w:sz="4" w:space="0" w:color="auto"/>
              <w:right w:val="single" w:sz="4" w:space="0" w:color="auto"/>
            </w:tcBorders>
          </w:tcPr>
          <w:p w14:paraId="617ED136" w14:textId="77777777" w:rsidR="006F5ECC" w:rsidRPr="00776014" w:rsidRDefault="006F5ECC" w:rsidP="00020B14">
            <w:pPr>
              <w:tabs>
                <w:tab w:val="left" w:pos="0"/>
                <w:tab w:val="left" w:pos="4536"/>
              </w:tabs>
              <w:ind w:left="-96"/>
              <w:rPr>
                <w:rFonts w:ascii="Verdana" w:hAnsi="Verdana"/>
                <w:color w:val="7F7F7F" w:themeColor="text1" w:themeTint="80"/>
                <w:sz w:val="22"/>
                <w:szCs w:val="22"/>
                <w:lang w:val="en-GB" w:eastAsia="fr-FR"/>
              </w:rPr>
            </w:pPr>
          </w:p>
        </w:tc>
      </w:tr>
      <w:tr w:rsidR="00FC5744" w:rsidRPr="001360A5" w14:paraId="3D068C7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BD3B425" w14:textId="6095D272" w:rsidR="006F5ECC" w:rsidRPr="00776014" w:rsidRDefault="006F5ECC"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7</w:t>
            </w:r>
          </w:p>
        </w:tc>
        <w:tc>
          <w:tcPr>
            <w:tcW w:w="506" w:type="pct"/>
            <w:gridSpan w:val="2"/>
            <w:tcBorders>
              <w:top w:val="single" w:sz="4" w:space="0" w:color="auto"/>
              <w:left w:val="single" w:sz="4" w:space="0" w:color="auto"/>
              <w:bottom w:val="single" w:sz="4" w:space="0" w:color="auto"/>
              <w:right w:val="single" w:sz="4" w:space="0" w:color="auto"/>
            </w:tcBorders>
          </w:tcPr>
          <w:p w14:paraId="03B2EC47" w14:textId="1C923125" w:rsidR="006F5ECC" w:rsidRPr="00776014"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121</w:t>
            </w:r>
          </w:p>
        </w:tc>
        <w:tc>
          <w:tcPr>
            <w:tcW w:w="1999" w:type="pct"/>
            <w:tcBorders>
              <w:top w:val="single" w:sz="4" w:space="0" w:color="auto"/>
              <w:left w:val="single" w:sz="4" w:space="0" w:color="auto"/>
              <w:bottom w:val="single" w:sz="4" w:space="0" w:color="auto"/>
              <w:right w:val="single" w:sz="4" w:space="0" w:color="auto"/>
            </w:tcBorders>
          </w:tcPr>
          <w:p w14:paraId="7182150F" w14:textId="77777777" w:rsidR="006F5ECC" w:rsidRPr="00CF2245" w:rsidRDefault="006F5ECC" w:rsidP="00020B14">
            <w:pPr>
              <w:tabs>
                <w:tab w:val="left" w:pos="0"/>
                <w:tab w:val="left" w:pos="1140"/>
                <w:tab w:val="left" w:pos="4536"/>
              </w:tabs>
              <w:rPr>
                <w:rFonts w:ascii="Verdana" w:hAnsi="Verdana"/>
                <w:b/>
                <w:bCs/>
                <w:color w:val="7F7F7F" w:themeColor="text1" w:themeTint="80"/>
                <w:sz w:val="22"/>
                <w:szCs w:val="22"/>
                <w:lang w:val="en-GB" w:eastAsia="fr-FR"/>
              </w:rPr>
            </w:pPr>
            <w:bookmarkStart w:id="18" w:name="_Hlk29728356"/>
            <w:r w:rsidRPr="00CF2245">
              <w:rPr>
                <w:rFonts w:ascii="Verdana" w:hAnsi="Verdana"/>
                <w:b/>
                <w:bCs/>
                <w:color w:val="7F7F7F" w:themeColor="text1" w:themeTint="80"/>
                <w:sz w:val="22"/>
                <w:szCs w:val="22"/>
                <w:lang w:val="en-GB" w:eastAsia="fr-FR"/>
              </w:rPr>
              <w:t>SFCR – The split between the section for policyholders and for professionals</w:t>
            </w:r>
          </w:p>
          <w:p w14:paraId="47D98C9E" w14:textId="0A0BFA1D" w:rsidR="006F5ECC" w:rsidRPr="00CF2245" w:rsidRDefault="006F5ECC" w:rsidP="00020B14">
            <w:pPr>
              <w:tabs>
                <w:tab w:val="left" w:pos="0"/>
                <w:tab w:val="left" w:pos="4536"/>
              </w:tabs>
              <w:autoSpaceDE w:val="0"/>
              <w:autoSpaceDN w:val="0"/>
              <w:spacing w:after="120"/>
              <w:jc w:val="both"/>
              <w:rPr>
                <w:rFonts w:ascii="Verdana" w:hAnsi="Verdana"/>
                <w:color w:val="7F7F7F" w:themeColor="text1" w:themeTint="80"/>
                <w:sz w:val="22"/>
                <w:szCs w:val="22"/>
                <w:lang w:val="en-GB" w:eastAsia="fr-FR"/>
              </w:rPr>
            </w:pPr>
            <w:r w:rsidRPr="00CF2245">
              <w:rPr>
                <w:rFonts w:ascii="Verdana" w:hAnsi="Verdana"/>
                <w:color w:val="7F7F7F" w:themeColor="text1" w:themeTint="80"/>
                <w:sz w:val="22"/>
                <w:szCs w:val="22"/>
                <w:lang w:val="en-GB" w:eastAsia="fr-FR"/>
              </w:rPr>
              <w:t xml:space="preserve">Generally and with regards to more clearly defined sections for “policyholders” and “professionals”, we have largely been supportive of this part of EIOPA’s approach thus far, as we have seen it to be either a) commensurate with the idea of clearly defined sections of the same report, making the SFCR more accessible also to our policyholders or b) </w:t>
            </w:r>
            <w:r w:rsidRPr="00CF2245">
              <w:rPr>
                <w:rFonts w:ascii="Verdana" w:hAnsi="Verdana"/>
                <w:color w:val="7F7F7F" w:themeColor="text1" w:themeTint="80"/>
                <w:sz w:val="22"/>
                <w:szCs w:val="22"/>
                <w:lang w:val="en-GB" w:eastAsia="fr-FR"/>
              </w:rPr>
              <w:lastRenderedPageBreak/>
              <w:t>where the split is inevitable, it would nonetheless come with the added benefit that overall SFCR requirements are reduced and this in particularly would be reflected in the content of the SFCR for professionals, which would be greatly reduced as a result.</w:t>
            </w:r>
            <w:r w:rsidRPr="00CF2245">
              <w:rPr>
                <w:color w:val="7F7F7F" w:themeColor="text1" w:themeTint="80"/>
                <w:lang w:val="en-US"/>
              </w:rPr>
              <w:t xml:space="preserve"> </w:t>
            </w:r>
            <w:r w:rsidRPr="00CF2245">
              <w:rPr>
                <w:rFonts w:ascii="Verdana" w:hAnsi="Verdana"/>
                <w:color w:val="7F7F7F" w:themeColor="text1" w:themeTint="80"/>
                <w:sz w:val="22"/>
                <w:szCs w:val="22"/>
                <w:lang w:val="en-GB" w:eastAsia="fr-FR"/>
              </w:rPr>
              <w:t>From what we can defer from EIOPA’s proposal which points to more reports being required in the future without any tangible evidence of a lessening of burden, we think this proposal needs far more work to achieve these ambitions in practice.</w:t>
            </w:r>
            <w:bookmarkEnd w:id="18"/>
          </w:p>
          <w:p w14:paraId="021F0496" w14:textId="25765708" w:rsidR="006F5ECC" w:rsidRPr="00CF2245" w:rsidRDefault="006F5ECC" w:rsidP="00020B14">
            <w:pPr>
              <w:tabs>
                <w:tab w:val="left" w:pos="0"/>
                <w:tab w:val="left" w:pos="4536"/>
              </w:tabs>
              <w:rPr>
                <w:rFonts w:ascii="Verdana" w:hAnsi="Verdana"/>
                <w:color w:val="7F7F7F" w:themeColor="text1" w:themeTint="80"/>
                <w:sz w:val="22"/>
                <w:szCs w:val="22"/>
                <w:lang w:val="en-US" w:eastAsia="fr-FR"/>
              </w:rPr>
            </w:pPr>
            <w:r w:rsidRPr="00CF2245">
              <w:rPr>
                <w:rFonts w:ascii="Verdana" w:hAnsi="Verdana"/>
                <w:color w:val="7F7F7F" w:themeColor="text1" w:themeTint="80"/>
                <w:sz w:val="22"/>
                <w:szCs w:val="22"/>
                <w:lang w:val="en-GB" w:eastAsia="fr-FR"/>
              </w:rPr>
              <w:t>A viable alternative possibility, which we believe should be considered as an alternative to EIOPA’s proposal, is to instead let the Summary of the SFCR form the general &amp; policyholder’s section with some additional information and more structured formats and prescribed graphs and tables. This would mean only one report in future and it would serve to improve the readability and comparability of SFCR for policyholders, while no fundamental change is made to the overall current structure of the report.</w:t>
            </w:r>
          </w:p>
        </w:tc>
        <w:tc>
          <w:tcPr>
            <w:tcW w:w="483" w:type="pct"/>
            <w:tcBorders>
              <w:top w:val="single" w:sz="4" w:space="0" w:color="auto"/>
              <w:left w:val="single" w:sz="4" w:space="0" w:color="auto"/>
              <w:bottom w:val="single" w:sz="4" w:space="0" w:color="auto"/>
              <w:right w:val="single" w:sz="4" w:space="0" w:color="auto"/>
            </w:tcBorders>
          </w:tcPr>
          <w:p w14:paraId="7AFFA915" w14:textId="77777777" w:rsidR="006F5ECC" w:rsidRPr="00776014" w:rsidRDefault="006F5ECC" w:rsidP="00020B14">
            <w:pPr>
              <w:tabs>
                <w:tab w:val="left" w:pos="0"/>
                <w:tab w:val="left" w:pos="4536"/>
              </w:tabs>
              <w:ind w:left="-96"/>
              <w:rPr>
                <w:rFonts w:ascii="Verdana" w:hAnsi="Verdana"/>
                <w:color w:val="7F7F7F" w:themeColor="text1" w:themeTint="80"/>
                <w:sz w:val="22"/>
                <w:szCs w:val="22"/>
                <w:lang w:val="en-GB" w:eastAsia="fr-FR"/>
              </w:rPr>
            </w:pPr>
          </w:p>
        </w:tc>
      </w:tr>
      <w:tr w:rsidR="00FC5744" w:rsidRPr="001360A5" w14:paraId="5CE166B2"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4F98BE4" w14:textId="4BDA2697" w:rsidR="006F5ECC" w:rsidRPr="00776014" w:rsidRDefault="006F5ECC"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7</w:t>
            </w:r>
          </w:p>
        </w:tc>
        <w:tc>
          <w:tcPr>
            <w:tcW w:w="506" w:type="pct"/>
            <w:gridSpan w:val="2"/>
            <w:tcBorders>
              <w:top w:val="single" w:sz="4" w:space="0" w:color="auto"/>
              <w:left w:val="single" w:sz="4" w:space="0" w:color="auto"/>
              <w:bottom w:val="single" w:sz="4" w:space="0" w:color="auto"/>
              <w:right w:val="single" w:sz="4" w:space="0" w:color="auto"/>
            </w:tcBorders>
          </w:tcPr>
          <w:p w14:paraId="44787235" w14:textId="23F1D89E" w:rsidR="006F5ECC" w:rsidRPr="00776014"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123</w:t>
            </w:r>
          </w:p>
        </w:tc>
        <w:tc>
          <w:tcPr>
            <w:tcW w:w="1999" w:type="pct"/>
            <w:tcBorders>
              <w:top w:val="single" w:sz="4" w:space="0" w:color="auto"/>
              <w:left w:val="single" w:sz="4" w:space="0" w:color="auto"/>
              <w:bottom w:val="single" w:sz="4" w:space="0" w:color="auto"/>
              <w:right w:val="single" w:sz="4" w:space="0" w:color="auto"/>
            </w:tcBorders>
          </w:tcPr>
          <w:p w14:paraId="363E3782" w14:textId="77777777" w:rsidR="006F5ECC" w:rsidRPr="00CF2245" w:rsidRDefault="006F5ECC" w:rsidP="00020B14">
            <w:pPr>
              <w:tabs>
                <w:tab w:val="left" w:pos="0"/>
                <w:tab w:val="left" w:pos="4536"/>
              </w:tabs>
              <w:rPr>
                <w:rFonts w:ascii="Verdana" w:hAnsi="Verdana"/>
                <w:b/>
                <w:bCs/>
                <w:color w:val="7F7F7F" w:themeColor="text1" w:themeTint="80"/>
                <w:sz w:val="22"/>
                <w:szCs w:val="22"/>
                <w:lang w:val="en-US"/>
              </w:rPr>
            </w:pPr>
            <w:r w:rsidRPr="00CF2245">
              <w:rPr>
                <w:rFonts w:ascii="Verdana" w:hAnsi="Verdana"/>
                <w:b/>
                <w:bCs/>
                <w:color w:val="7F7F7F" w:themeColor="text1" w:themeTint="80"/>
                <w:sz w:val="22"/>
                <w:szCs w:val="22"/>
                <w:lang w:val="en-US"/>
              </w:rPr>
              <w:t>SFCR – The split between the section for policyholders and for professionals</w:t>
            </w:r>
          </w:p>
          <w:p w14:paraId="4E4B4B98" w14:textId="029AC142" w:rsidR="006F5ECC" w:rsidRPr="00CF2245" w:rsidRDefault="006F5ECC" w:rsidP="00020B14">
            <w:pPr>
              <w:tabs>
                <w:tab w:val="left" w:pos="0"/>
                <w:tab w:val="left" w:pos="4536"/>
              </w:tabs>
              <w:rPr>
                <w:rFonts w:ascii="Verdana" w:hAnsi="Verdana"/>
                <w:color w:val="7F7F7F" w:themeColor="text1" w:themeTint="80"/>
                <w:sz w:val="22"/>
                <w:szCs w:val="22"/>
                <w:lang w:val="en-US"/>
              </w:rPr>
            </w:pPr>
            <w:r w:rsidRPr="00CF2245">
              <w:rPr>
                <w:rFonts w:ascii="Verdana" w:hAnsi="Verdana"/>
                <w:color w:val="7F7F7F" w:themeColor="text1" w:themeTint="80"/>
                <w:sz w:val="22"/>
                <w:szCs w:val="22"/>
                <w:lang w:val="en-US"/>
              </w:rPr>
              <w:t xml:space="preserve">If the professional section cannot emanate in a report based on a low-cost data extraction with little or no burdensome narrative requirements, we think the current proposals should not be further pursued. </w:t>
            </w:r>
          </w:p>
          <w:p w14:paraId="399FD45F" w14:textId="77777777" w:rsidR="006F5ECC" w:rsidRPr="00CF2245" w:rsidRDefault="006F5ECC" w:rsidP="00020B14">
            <w:pPr>
              <w:tabs>
                <w:tab w:val="left" w:pos="0"/>
                <w:tab w:val="left" w:pos="4536"/>
              </w:tabs>
              <w:rPr>
                <w:rFonts w:ascii="Verdana" w:hAnsi="Verdana"/>
                <w:color w:val="7F7F7F" w:themeColor="text1" w:themeTint="80"/>
                <w:sz w:val="22"/>
                <w:szCs w:val="22"/>
                <w:lang w:val="en-US"/>
              </w:rPr>
            </w:pPr>
          </w:p>
          <w:p w14:paraId="43A3054C" w14:textId="77777777" w:rsidR="006F5ECC" w:rsidRPr="00CF2245" w:rsidRDefault="006F5ECC" w:rsidP="00020B14">
            <w:pPr>
              <w:tabs>
                <w:tab w:val="left" w:pos="0"/>
                <w:tab w:val="left" w:pos="4536"/>
              </w:tabs>
              <w:rPr>
                <w:rFonts w:ascii="Verdana" w:hAnsi="Verdana"/>
                <w:color w:val="7F7F7F" w:themeColor="text1" w:themeTint="80"/>
                <w:sz w:val="22"/>
                <w:szCs w:val="22"/>
                <w:lang w:val="en-US"/>
              </w:rPr>
            </w:pPr>
            <w:r w:rsidRPr="00CF2245">
              <w:rPr>
                <w:rFonts w:ascii="Verdana" w:hAnsi="Verdana"/>
                <w:color w:val="7F7F7F" w:themeColor="text1" w:themeTint="80"/>
                <w:sz w:val="22"/>
                <w:szCs w:val="22"/>
                <w:lang w:val="en-US"/>
              </w:rPr>
              <w:t xml:space="preserve">Our view is that, while we think EIOPA’s efforts to make the SFCR more accessible also to policyholders makes a lot of sense (for instance by splitting more clearly the policyholder section and professional section), we nonetheless think this proposal needs much more work to avoid increasing the overall reporting burden. </w:t>
            </w:r>
          </w:p>
          <w:p w14:paraId="600F04B5" w14:textId="77777777" w:rsidR="006F5ECC" w:rsidRPr="00CF2245" w:rsidRDefault="006F5ECC" w:rsidP="00020B14">
            <w:pPr>
              <w:tabs>
                <w:tab w:val="left" w:pos="0"/>
                <w:tab w:val="left" w:pos="4536"/>
              </w:tabs>
              <w:rPr>
                <w:rFonts w:ascii="Verdana" w:hAnsi="Verdana"/>
                <w:color w:val="7F7F7F" w:themeColor="text1" w:themeTint="80"/>
                <w:sz w:val="22"/>
                <w:szCs w:val="22"/>
                <w:lang w:val="en-US"/>
              </w:rPr>
            </w:pPr>
          </w:p>
          <w:p w14:paraId="3B347443" w14:textId="14999BE6" w:rsidR="006F5ECC" w:rsidRPr="00CF2245" w:rsidRDefault="006F5ECC" w:rsidP="00020B14">
            <w:pPr>
              <w:tabs>
                <w:tab w:val="left" w:pos="0"/>
                <w:tab w:val="left" w:pos="4536"/>
              </w:tabs>
              <w:rPr>
                <w:rFonts w:ascii="Verdana" w:hAnsi="Verdana"/>
                <w:color w:val="7F7F7F" w:themeColor="text1" w:themeTint="80"/>
                <w:sz w:val="22"/>
                <w:szCs w:val="22"/>
                <w:lang w:val="en-US"/>
              </w:rPr>
            </w:pPr>
            <w:r w:rsidRPr="00CF2245">
              <w:rPr>
                <w:rFonts w:ascii="Verdana" w:hAnsi="Verdana"/>
                <w:color w:val="7F7F7F" w:themeColor="text1" w:themeTint="80"/>
                <w:sz w:val="22"/>
                <w:szCs w:val="22"/>
                <w:lang w:val="en-US"/>
              </w:rPr>
              <w:t>Enhancing accessibility to the information of SFCR for both policyholder or other professionals is basically a good idea. But as the EIOPA proposal stands now, by inflating what is needed in the policyholder section but at the same time not reducing any of the content in the professional section of the SFCR (or moving everything into the RSR instead), it is hard to see how the aim of reducing reporting burden can be achieved in practice.</w:t>
            </w:r>
          </w:p>
          <w:p w14:paraId="665D0661" w14:textId="77777777" w:rsidR="006F5ECC" w:rsidRPr="00CF2245" w:rsidRDefault="006F5ECC" w:rsidP="00020B14">
            <w:pPr>
              <w:tabs>
                <w:tab w:val="left" w:pos="0"/>
                <w:tab w:val="left" w:pos="4536"/>
              </w:tabs>
              <w:rPr>
                <w:rFonts w:ascii="Verdana" w:hAnsi="Verdana"/>
                <w:color w:val="7F7F7F" w:themeColor="text1" w:themeTint="80"/>
                <w:sz w:val="22"/>
                <w:szCs w:val="22"/>
                <w:lang w:val="en-US"/>
              </w:rPr>
            </w:pPr>
          </w:p>
          <w:p w14:paraId="19CAA17D" w14:textId="119420AC" w:rsidR="006F5ECC" w:rsidRPr="00CF2245" w:rsidRDefault="006F5ECC" w:rsidP="00020B14">
            <w:pPr>
              <w:tabs>
                <w:tab w:val="left" w:pos="0"/>
                <w:tab w:val="left" w:pos="4536"/>
              </w:tabs>
              <w:rPr>
                <w:rFonts w:ascii="Verdana" w:hAnsi="Verdana"/>
                <w:color w:val="7F7F7F" w:themeColor="text1" w:themeTint="80"/>
                <w:sz w:val="22"/>
                <w:szCs w:val="22"/>
                <w:lang w:val="en-US"/>
              </w:rPr>
            </w:pPr>
            <w:r w:rsidRPr="00CF2245">
              <w:rPr>
                <w:rFonts w:ascii="Verdana" w:hAnsi="Verdana"/>
                <w:color w:val="7F7F7F" w:themeColor="text1" w:themeTint="80"/>
                <w:sz w:val="22"/>
                <w:szCs w:val="22"/>
                <w:lang w:val="en-US"/>
              </w:rPr>
              <w:t xml:space="preserve">In the current proposal the SFCR is essentially split into two separate parts, which contain the same chapters and cover similar topics. To avoid obvious duplication, the content in each part should be carefully reviewed so that there is no duplication of information and data at all. References between the different sections should be applied instead. Otherwise, the current proposal will entail a lot of extra work and add more burden for the insurers </w:t>
            </w:r>
            <w:r>
              <w:rPr>
                <w:rFonts w:ascii="Verdana" w:hAnsi="Verdana"/>
                <w:color w:val="7F7F7F" w:themeColor="text1" w:themeTint="80"/>
                <w:sz w:val="22"/>
                <w:szCs w:val="22"/>
                <w:lang w:val="en-US"/>
              </w:rPr>
              <w:t>by having</w:t>
            </w:r>
            <w:r w:rsidRPr="00CF2245">
              <w:rPr>
                <w:rFonts w:ascii="Verdana" w:hAnsi="Verdana"/>
                <w:color w:val="7F7F7F" w:themeColor="text1" w:themeTint="80"/>
                <w:sz w:val="22"/>
                <w:szCs w:val="22"/>
                <w:lang w:val="en-US"/>
              </w:rPr>
              <w:t xml:space="preserve"> to update the same information in two different places. </w:t>
            </w:r>
          </w:p>
          <w:p w14:paraId="0DA2019E" w14:textId="77777777" w:rsidR="006F5ECC" w:rsidRPr="00CF2245" w:rsidRDefault="006F5ECC" w:rsidP="00020B14">
            <w:pPr>
              <w:tabs>
                <w:tab w:val="left" w:pos="0"/>
                <w:tab w:val="left" w:pos="4536"/>
              </w:tabs>
              <w:rPr>
                <w:rFonts w:ascii="Verdana" w:hAnsi="Verdana"/>
                <w:color w:val="7F7F7F" w:themeColor="text1" w:themeTint="80"/>
                <w:sz w:val="22"/>
                <w:szCs w:val="22"/>
                <w:lang w:val="en-US"/>
              </w:rPr>
            </w:pPr>
          </w:p>
          <w:p w14:paraId="1B24CFA2" w14:textId="399866D0" w:rsidR="006F5ECC" w:rsidRPr="00CF2245" w:rsidRDefault="006F5ECC" w:rsidP="00020B14">
            <w:pPr>
              <w:tabs>
                <w:tab w:val="left" w:pos="0"/>
                <w:tab w:val="left" w:pos="4536"/>
              </w:tabs>
              <w:rPr>
                <w:rFonts w:ascii="Verdana" w:hAnsi="Verdana"/>
                <w:color w:val="7F7F7F" w:themeColor="text1" w:themeTint="80"/>
                <w:sz w:val="22"/>
                <w:szCs w:val="22"/>
                <w:lang w:val="en-US"/>
              </w:rPr>
            </w:pPr>
            <w:r w:rsidRPr="00CF2245">
              <w:rPr>
                <w:rFonts w:ascii="Verdana" w:hAnsi="Verdana"/>
                <w:color w:val="7F7F7F" w:themeColor="text1" w:themeTint="80"/>
                <w:sz w:val="22"/>
                <w:szCs w:val="22"/>
                <w:lang w:val="en-US"/>
              </w:rPr>
              <w:t xml:space="preserve">The development of different sections with varying levels of “reader-friendliness” </w:t>
            </w:r>
            <w:r>
              <w:rPr>
                <w:rFonts w:ascii="Verdana" w:hAnsi="Verdana"/>
                <w:color w:val="7F7F7F" w:themeColor="text1" w:themeTint="80"/>
                <w:sz w:val="22"/>
                <w:szCs w:val="22"/>
                <w:lang w:val="en-US"/>
              </w:rPr>
              <w:t>contains the risk of</w:t>
            </w:r>
            <w:r w:rsidRPr="00CF2245">
              <w:rPr>
                <w:rFonts w:ascii="Verdana" w:hAnsi="Verdana"/>
                <w:color w:val="7F7F7F" w:themeColor="text1" w:themeTint="80"/>
                <w:sz w:val="22"/>
                <w:szCs w:val="22"/>
                <w:lang w:val="en-US"/>
              </w:rPr>
              <w:t xml:space="preserve"> turning the SFCR into a very extensive and burdensome </w:t>
            </w:r>
            <w:r>
              <w:rPr>
                <w:rFonts w:ascii="Verdana" w:hAnsi="Verdana"/>
                <w:color w:val="7F7F7F" w:themeColor="text1" w:themeTint="80"/>
                <w:sz w:val="22"/>
                <w:szCs w:val="22"/>
                <w:lang w:val="en-US"/>
              </w:rPr>
              <w:t xml:space="preserve">exercise </w:t>
            </w:r>
            <w:r w:rsidRPr="00CF2245">
              <w:rPr>
                <w:rFonts w:ascii="Verdana" w:hAnsi="Verdana"/>
                <w:color w:val="7F7F7F" w:themeColor="text1" w:themeTint="80"/>
                <w:sz w:val="22"/>
                <w:szCs w:val="22"/>
                <w:lang w:val="en-US"/>
              </w:rPr>
              <w:t xml:space="preserve">for insurers, and also </w:t>
            </w:r>
            <w:r>
              <w:rPr>
                <w:rFonts w:ascii="Verdana" w:hAnsi="Verdana"/>
                <w:color w:val="7F7F7F" w:themeColor="text1" w:themeTint="80"/>
                <w:sz w:val="22"/>
                <w:szCs w:val="22"/>
                <w:lang w:val="en-US"/>
              </w:rPr>
              <w:t xml:space="preserve">the </w:t>
            </w:r>
            <w:r w:rsidRPr="00CF2245">
              <w:rPr>
                <w:rFonts w:ascii="Verdana" w:hAnsi="Verdana"/>
                <w:color w:val="7F7F7F" w:themeColor="text1" w:themeTint="80"/>
                <w:sz w:val="22"/>
                <w:szCs w:val="22"/>
                <w:lang w:val="en-US"/>
              </w:rPr>
              <w:t>risk</w:t>
            </w:r>
            <w:r>
              <w:rPr>
                <w:rFonts w:ascii="Verdana" w:hAnsi="Verdana"/>
                <w:color w:val="7F7F7F" w:themeColor="text1" w:themeTint="80"/>
                <w:sz w:val="22"/>
                <w:szCs w:val="22"/>
                <w:lang w:val="en-US"/>
              </w:rPr>
              <w:t xml:space="preserve"> of</w:t>
            </w:r>
            <w:r w:rsidRPr="00CF2245">
              <w:rPr>
                <w:rFonts w:ascii="Verdana" w:hAnsi="Verdana"/>
                <w:color w:val="7F7F7F" w:themeColor="text1" w:themeTint="80"/>
                <w:sz w:val="22"/>
                <w:szCs w:val="22"/>
                <w:lang w:val="en-US"/>
              </w:rPr>
              <w:t xml:space="preserve"> creating two reports posing as one in future. We question the value of doing this, also given the overall aim of the 2020 review. </w:t>
            </w:r>
          </w:p>
          <w:p w14:paraId="6E3E4D65" w14:textId="77777777" w:rsidR="006F5ECC" w:rsidRPr="00CF2245" w:rsidRDefault="006F5ECC" w:rsidP="00020B14">
            <w:pPr>
              <w:tabs>
                <w:tab w:val="left" w:pos="0"/>
                <w:tab w:val="left" w:pos="4536"/>
              </w:tabs>
              <w:rPr>
                <w:rFonts w:ascii="Verdana" w:hAnsi="Verdana"/>
                <w:color w:val="7F7F7F" w:themeColor="text1" w:themeTint="80"/>
                <w:sz w:val="22"/>
                <w:szCs w:val="22"/>
                <w:lang w:val="en-US"/>
              </w:rPr>
            </w:pPr>
          </w:p>
          <w:p w14:paraId="672C09D5" w14:textId="59554349" w:rsidR="006F5ECC" w:rsidRPr="00CF2245" w:rsidRDefault="006F5ECC" w:rsidP="00020B14">
            <w:pPr>
              <w:tabs>
                <w:tab w:val="left" w:pos="0"/>
                <w:tab w:val="left" w:pos="4536"/>
              </w:tabs>
              <w:rPr>
                <w:rFonts w:ascii="Verdana" w:hAnsi="Verdana"/>
                <w:color w:val="7F7F7F" w:themeColor="text1" w:themeTint="80"/>
                <w:sz w:val="22"/>
                <w:szCs w:val="22"/>
                <w:lang w:val="en-US"/>
              </w:rPr>
            </w:pPr>
            <w:r w:rsidRPr="00CF2245">
              <w:rPr>
                <w:rFonts w:ascii="Verdana" w:hAnsi="Verdana"/>
                <w:color w:val="7F7F7F" w:themeColor="text1" w:themeTint="80"/>
                <w:sz w:val="22"/>
                <w:szCs w:val="22"/>
                <w:lang w:val="en-US"/>
              </w:rPr>
              <w:t>We believe</w:t>
            </w:r>
            <w:r>
              <w:rPr>
                <w:rFonts w:ascii="Verdana" w:hAnsi="Verdana"/>
                <w:color w:val="7F7F7F" w:themeColor="text1" w:themeTint="80"/>
                <w:sz w:val="22"/>
                <w:szCs w:val="22"/>
                <w:lang w:val="en-US"/>
              </w:rPr>
              <w:t xml:space="preserve"> that</w:t>
            </w:r>
            <w:r w:rsidRPr="00CF2245">
              <w:rPr>
                <w:rFonts w:ascii="Verdana" w:hAnsi="Verdana"/>
                <w:color w:val="7F7F7F" w:themeColor="text1" w:themeTint="80"/>
                <w:sz w:val="22"/>
                <w:szCs w:val="22"/>
                <w:lang w:val="en-US"/>
              </w:rPr>
              <w:t xml:space="preserve"> in order to strike a good balance between EIOPA</w:t>
            </w:r>
            <w:r>
              <w:rPr>
                <w:rFonts w:ascii="Verdana" w:hAnsi="Verdana"/>
                <w:color w:val="7F7F7F" w:themeColor="text1" w:themeTint="80"/>
                <w:sz w:val="22"/>
                <w:szCs w:val="22"/>
                <w:lang w:val="en-US"/>
              </w:rPr>
              <w:t>´s</w:t>
            </w:r>
            <w:r w:rsidRPr="00CF2245">
              <w:rPr>
                <w:rFonts w:ascii="Verdana" w:hAnsi="Verdana"/>
                <w:color w:val="7F7F7F" w:themeColor="text1" w:themeTint="80"/>
                <w:sz w:val="22"/>
                <w:szCs w:val="22"/>
                <w:lang w:val="en-US"/>
              </w:rPr>
              <w:t xml:space="preserve"> overall goal of enhancing policyholder understanding </w:t>
            </w:r>
            <w:r>
              <w:rPr>
                <w:rFonts w:ascii="Verdana" w:hAnsi="Verdana"/>
                <w:color w:val="7F7F7F" w:themeColor="text1" w:themeTint="80"/>
                <w:sz w:val="22"/>
                <w:szCs w:val="22"/>
                <w:lang w:val="en-US"/>
              </w:rPr>
              <w:t>and</w:t>
            </w:r>
            <w:r w:rsidRPr="00CF2245">
              <w:rPr>
                <w:rFonts w:ascii="Verdana" w:hAnsi="Verdana"/>
                <w:color w:val="7F7F7F" w:themeColor="text1" w:themeTint="80"/>
                <w:sz w:val="22"/>
                <w:szCs w:val="22"/>
                <w:lang w:val="en-US"/>
              </w:rPr>
              <w:t xml:space="preserve"> the industry</w:t>
            </w:r>
            <w:r>
              <w:rPr>
                <w:rFonts w:ascii="Verdana" w:hAnsi="Verdana"/>
                <w:color w:val="7F7F7F" w:themeColor="text1" w:themeTint="80"/>
                <w:sz w:val="22"/>
                <w:szCs w:val="22"/>
                <w:lang w:val="en-US"/>
              </w:rPr>
              <w:t>´s</w:t>
            </w:r>
            <w:r w:rsidRPr="00CF2245">
              <w:rPr>
                <w:rFonts w:ascii="Verdana" w:hAnsi="Verdana"/>
                <w:color w:val="7F7F7F" w:themeColor="text1" w:themeTint="80"/>
                <w:sz w:val="22"/>
                <w:szCs w:val="22"/>
                <w:lang w:val="en-US"/>
              </w:rPr>
              <w:t xml:space="preserve"> aim to find ways to reduce overall reporting burden associated with the SFCR</w:t>
            </w:r>
            <w:r>
              <w:rPr>
                <w:rFonts w:ascii="Verdana" w:hAnsi="Verdana"/>
                <w:color w:val="7F7F7F" w:themeColor="text1" w:themeTint="80"/>
                <w:sz w:val="22"/>
                <w:szCs w:val="22"/>
                <w:lang w:val="en-US"/>
              </w:rPr>
              <w:t xml:space="preserve"> further is needed on this area;</w:t>
            </w:r>
            <w:r w:rsidRPr="00CF2245">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a</w:t>
            </w:r>
            <w:r w:rsidRPr="00CF2245">
              <w:rPr>
                <w:rFonts w:ascii="Verdana" w:hAnsi="Verdana"/>
                <w:color w:val="7F7F7F" w:themeColor="text1" w:themeTint="80"/>
                <w:sz w:val="22"/>
                <w:szCs w:val="22"/>
                <w:lang w:val="en-US"/>
              </w:rPr>
              <w:t xml:space="preserve">n alternative to </w:t>
            </w:r>
            <w:r>
              <w:rPr>
                <w:rFonts w:ascii="Verdana" w:hAnsi="Verdana"/>
                <w:color w:val="7F7F7F" w:themeColor="text1" w:themeTint="80"/>
                <w:sz w:val="22"/>
                <w:szCs w:val="22"/>
                <w:lang w:val="en-US"/>
              </w:rPr>
              <w:t xml:space="preserve">EIOPA´s proposal to </w:t>
            </w:r>
            <w:r w:rsidRPr="00CF2245">
              <w:rPr>
                <w:rFonts w:ascii="Verdana" w:hAnsi="Verdana"/>
                <w:color w:val="7F7F7F" w:themeColor="text1" w:themeTint="80"/>
                <w:sz w:val="22"/>
                <w:szCs w:val="22"/>
                <w:lang w:val="en-US"/>
              </w:rPr>
              <w:t>replicat</w:t>
            </w:r>
            <w:r>
              <w:rPr>
                <w:rFonts w:ascii="Verdana" w:hAnsi="Verdana"/>
                <w:color w:val="7F7F7F" w:themeColor="text1" w:themeTint="80"/>
                <w:sz w:val="22"/>
                <w:szCs w:val="22"/>
                <w:lang w:val="en-US"/>
              </w:rPr>
              <w:t>e</w:t>
            </w:r>
            <w:r w:rsidRPr="00CF2245">
              <w:rPr>
                <w:rFonts w:ascii="Verdana" w:hAnsi="Verdana"/>
                <w:color w:val="7F7F7F" w:themeColor="text1" w:themeTint="80"/>
                <w:sz w:val="22"/>
                <w:szCs w:val="22"/>
                <w:lang w:val="en-US"/>
              </w:rPr>
              <w:t xml:space="preserve"> the SFCR in a policyholder friendly and a more technical </w:t>
            </w:r>
            <w:r w:rsidRPr="00CF2245">
              <w:rPr>
                <w:rFonts w:ascii="Verdana" w:hAnsi="Verdana"/>
                <w:color w:val="7F7F7F" w:themeColor="text1" w:themeTint="80"/>
                <w:sz w:val="22"/>
                <w:szCs w:val="22"/>
                <w:lang w:val="en-US"/>
              </w:rPr>
              <w:lastRenderedPageBreak/>
              <w:t xml:space="preserve">section, with </w:t>
            </w:r>
            <w:r>
              <w:rPr>
                <w:rFonts w:ascii="Verdana" w:hAnsi="Verdana"/>
                <w:color w:val="7F7F7F" w:themeColor="text1" w:themeTint="80"/>
                <w:sz w:val="22"/>
                <w:szCs w:val="22"/>
                <w:lang w:val="en-US"/>
              </w:rPr>
              <w:t xml:space="preserve">the </w:t>
            </w:r>
            <w:r w:rsidRPr="00CF2245">
              <w:rPr>
                <w:rFonts w:ascii="Verdana" w:hAnsi="Verdana"/>
                <w:color w:val="7F7F7F" w:themeColor="text1" w:themeTint="80"/>
                <w:sz w:val="22"/>
                <w:szCs w:val="22"/>
                <w:lang w:val="en-US"/>
              </w:rPr>
              <w:t xml:space="preserve">risk of duplication </w:t>
            </w:r>
            <w:r>
              <w:rPr>
                <w:rFonts w:ascii="Verdana" w:hAnsi="Verdana"/>
                <w:color w:val="7F7F7F" w:themeColor="text1" w:themeTint="80"/>
                <w:sz w:val="22"/>
                <w:szCs w:val="22"/>
                <w:lang w:val="en-US"/>
              </w:rPr>
              <w:t>of the same information in</w:t>
            </w:r>
            <w:r w:rsidRPr="00CF2245">
              <w:rPr>
                <w:rFonts w:ascii="Verdana" w:hAnsi="Verdana"/>
                <w:color w:val="7F7F7F" w:themeColor="text1" w:themeTint="80"/>
                <w:sz w:val="22"/>
                <w:szCs w:val="22"/>
                <w:lang w:val="en-US"/>
              </w:rPr>
              <w:t xml:space="preserve"> many sections of the report, would be to make better use of the existing “Summary” section in the existing SFCR report</w:t>
            </w:r>
            <w:r>
              <w:rPr>
                <w:rFonts w:ascii="Verdana" w:hAnsi="Verdana"/>
                <w:color w:val="7F7F7F" w:themeColor="text1" w:themeTint="80"/>
                <w:sz w:val="22"/>
                <w:szCs w:val="22"/>
                <w:lang w:val="en-US"/>
              </w:rPr>
              <w:t>,</w:t>
            </w:r>
            <w:r w:rsidRPr="00CF2245">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this</w:t>
            </w:r>
            <w:r w:rsidRPr="00CF2245">
              <w:rPr>
                <w:rFonts w:ascii="Verdana" w:hAnsi="Verdana"/>
                <w:color w:val="7F7F7F" w:themeColor="text1" w:themeTint="80"/>
                <w:sz w:val="22"/>
                <w:szCs w:val="22"/>
                <w:lang w:val="en-US"/>
              </w:rPr>
              <w:t xml:space="preserve"> section </w:t>
            </w:r>
            <w:r>
              <w:rPr>
                <w:rFonts w:ascii="Verdana" w:hAnsi="Verdana"/>
                <w:color w:val="7F7F7F" w:themeColor="text1" w:themeTint="80"/>
                <w:sz w:val="22"/>
                <w:szCs w:val="22"/>
                <w:lang w:val="en-US"/>
              </w:rPr>
              <w:t xml:space="preserve">could be </w:t>
            </w:r>
            <w:r w:rsidRPr="00CF2245">
              <w:rPr>
                <w:rFonts w:ascii="Verdana" w:hAnsi="Verdana"/>
                <w:color w:val="7F7F7F" w:themeColor="text1" w:themeTint="80"/>
                <w:sz w:val="22"/>
                <w:szCs w:val="22"/>
                <w:lang w:val="en-US"/>
              </w:rPr>
              <w:t xml:space="preserve">more easily accessible to the policyholders, as was also the original intention behind the current wording of the </w:t>
            </w:r>
            <w:r>
              <w:rPr>
                <w:rFonts w:ascii="Verdana" w:hAnsi="Verdana"/>
                <w:color w:val="7F7F7F" w:themeColor="text1" w:themeTint="80"/>
                <w:sz w:val="22"/>
                <w:szCs w:val="22"/>
                <w:lang w:val="en-US"/>
              </w:rPr>
              <w:t>Article 292(1) of the D</w:t>
            </w:r>
            <w:r w:rsidRPr="00CF2245">
              <w:rPr>
                <w:rFonts w:ascii="Verdana" w:hAnsi="Verdana"/>
                <w:color w:val="7F7F7F" w:themeColor="text1" w:themeTint="80"/>
                <w:sz w:val="22"/>
                <w:szCs w:val="22"/>
                <w:lang w:val="en-US"/>
              </w:rPr>
              <w:t xml:space="preserve">elegated </w:t>
            </w:r>
            <w:r>
              <w:rPr>
                <w:rFonts w:ascii="Verdana" w:hAnsi="Verdana"/>
                <w:color w:val="7F7F7F" w:themeColor="text1" w:themeTint="80"/>
                <w:sz w:val="22"/>
                <w:szCs w:val="22"/>
                <w:lang w:val="en-US"/>
              </w:rPr>
              <w:t>R</w:t>
            </w:r>
            <w:r w:rsidRPr="00CF2245">
              <w:rPr>
                <w:rFonts w:ascii="Verdana" w:hAnsi="Verdana"/>
                <w:color w:val="7F7F7F" w:themeColor="text1" w:themeTint="80"/>
                <w:sz w:val="22"/>
                <w:szCs w:val="22"/>
                <w:lang w:val="en-US"/>
              </w:rPr>
              <w:t xml:space="preserve">egulation. </w:t>
            </w:r>
          </w:p>
          <w:p w14:paraId="1F82312F" w14:textId="77777777" w:rsidR="006F5ECC" w:rsidRPr="00CF2245" w:rsidRDefault="006F5ECC" w:rsidP="00020B14">
            <w:pPr>
              <w:tabs>
                <w:tab w:val="left" w:pos="0"/>
                <w:tab w:val="left" w:pos="4536"/>
              </w:tabs>
              <w:rPr>
                <w:rFonts w:ascii="Verdana" w:hAnsi="Verdana"/>
                <w:color w:val="7F7F7F" w:themeColor="text1" w:themeTint="80"/>
                <w:sz w:val="22"/>
                <w:szCs w:val="22"/>
                <w:lang w:val="en-US"/>
              </w:rPr>
            </w:pPr>
          </w:p>
          <w:p w14:paraId="60A594C4" w14:textId="37033E5B" w:rsidR="006F5ECC" w:rsidRPr="00CF2245" w:rsidRDefault="006F5ECC" w:rsidP="00020B14">
            <w:pPr>
              <w:tabs>
                <w:tab w:val="left" w:pos="0"/>
                <w:tab w:val="left" w:pos="4536"/>
              </w:tabs>
              <w:rPr>
                <w:rFonts w:ascii="Verdana" w:hAnsi="Verdana"/>
                <w:color w:val="7F7F7F" w:themeColor="text1" w:themeTint="80"/>
                <w:sz w:val="22"/>
                <w:szCs w:val="22"/>
                <w:lang w:val="en-US"/>
              </w:rPr>
            </w:pPr>
            <w:r w:rsidRPr="00CF2245">
              <w:rPr>
                <w:rFonts w:ascii="Verdana" w:hAnsi="Verdana"/>
                <w:color w:val="7F7F7F" w:themeColor="text1" w:themeTint="80"/>
                <w:sz w:val="22"/>
                <w:szCs w:val="22"/>
                <w:lang w:val="en-US"/>
              </w:rPr>
              <w:t>In this proposal, the Summary of the SFCR could form the basis of a general &amp; policyholder’s section, with some additional information and more structured formats and prescribed graphs and tables. The benefit of this proposal is it would also improve the readability and comparability of SFCR, while less fundamental change is made to the overall structure of the report, while obtaining many of the same benefits that EIOPA is hoping to achieve by its proposal. It also means there would continue to be only one SFCR report.</w:t>
            </w:r>
          </w:p>
          <w:p w14:paraId="5BC246ED" w14:textId="77777777" w:rsidR="006F5ECC" w:rsidRPr="00395661" w:rsidRDefault="006F5ECC" w:rsidP="00020B14">
            <w:pPr>
              <w:tabs>
                <w:tab w:val="left" w:pos="0"/>
                <w:tab w:val="left" w:pos="4536"/>
              </w:tabs>
              <w:autoSpaceDE w:val="0"/>
              <w:autoSpaceDN w:val="0"/>
              <w:spacing w:before="120" w:after="120"/>
              <w:jc w:val="both"/>
              <w:rPr>
                <w:rFonts w:ascii="Verdana" w:hAnsi="Verdana"/>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4727CC9C" w14:textId="77777777" w:rsidR="006F5ECC" w:rsidRPr="00776014" w:rsidRDefault="006F5ECC" w:rsidP="00020B14">
            <w:pPr>
              <w:tabs>
                <w:tab w:val="left" w:pos="0"/>
                <w:tab w:val="left" w:pos="4536"/>
              </w:tabs>
              <w:ind w:left="-96"/>
              <w:rPr>
                <w:rFonts w:ascii="Verdana" w:hAnsi="Verdana"/>
                <w:color w:val="7F7F7F" w:themeColor="text1" w:themeTint="80"/>
                <w:sz w:val="22"/>
                <w:szCs w:val="22"/>
                <w:lang w:val="en-GB" w:eastAsia="fr-FR"/>
              </w:rPr>
            </w:pPr>
          </w:p>
        </w:tc>
      </w:tr>
      <w:tr w:rsidR="00FC5744" w:rsidRPr="001360A5" w14:paraId="4649DCF0"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9FEE15C" w14:textId="77777777" w:rsidR="006F5ECC" w:rsidRPr="00776014" w:rsidRDefault="006F5ECC" w:rsidP="00020B14">
            <w:pPr>
              <w:tabs>
                <w:tab w:val="left" w:pos="0"/>
                <w:tab w:val="left" w:pos="4536"/>
              </w:tabs>
              <w:ind w:left="-96"/>
              <w:rPr>
                <w:rFonts w:ascii="Verdana" w:hAnsi="Verdana"/>
                <w:color w:val="7F7F7F" w:themeColor="text1" w:themeTint="80"/>
                <w:sz w:val="22"/>
                <w:szCs w:val="22"/>
                <w:lang w:val="en-GB" w:eastAsia="fr-FR"/>
              </w:rPr>
            </w:pPr>
            <w:r w:rsidRPr="00776014">
              <w:rPr>
                <w:rFonts w:ascii="Verdana" w:hAnsi="Verdana"/>
                <w:color w:val="7F7F7F" w:themeColor="text1" w:themeTint="80"/>
                <w:sz w:val="22"/>
                <w:szCs w:val="22"/>
                <w:lang w:val="en-GB" w:eastAsia="fr-FR"/>
              </w:rPr>
              <w:lastRenderedPageBreak/>
              <w:t>7</w:t>
            </w:r>
          </w:p>
        </w:tc>
        <w:tc>
          <w:tcPr>
            <w:tcW w:w="506" w:type="pct"/>
            <w:gridSpan w:val="2"/>
            <w:tcBorders>
              <w:top w:val="single" w:sz="4" w:space="0" w:color="auto"/>
              <w:left w:val="single" w:sz="4" w:space="0" w:color="auto"/>
              <w:bottom w:val="single" w:sz="4" w:space="0" w:color="auto"/>
              <w:right w:val="single" w:sz="4" w:space="0" w:color="auto"/>
            </w:tcBorders>
          </w:tcPr>
          <w:p w14:paraId="321840CB" w14:textId="77777777" w:rsidR="006F5ECC" w:rsidRPr="00776014" w:rsidRDefault="006F5ECC" w:rsidP="00020B14">
            <w:pPr>
              <w:tabs>
                <w:tab w:val="left" w:pos="0"/>
                <w:tab w:val="left" w:pos="4536"/>
              </w:tabs>
              <w:ind w:left="-96"/>
              <w:rPr>
                <w:rFonts w:ascii="Verdana" w:hAnsi="Verdana"/>
                <w:color w:val="7F7F7F" w:themeColor="text1" w:themeTint="80"/>
                <w:sz w:val="22"/>
                <w:szCs w:val="22"/>
                <w:lang w:val="en-US"/>
              </w:rPr>
            </w:pPr>
            <w:r w:rsidRPr="00776014">
              <w:rPr>
                <w:rFonts w:ascii="Verdana" w:hAnsi="Verdana"/>
                <w:color w:val="7F7F7F" w:themeColor="text1" w:themeTint="80"/>
                <w:sz w:val="22"/>
                <w:szCs w:val="22"/>
                <w:lang w:val="en-US"/>
              </w:rPr>
              <w:t>131</w:t>
            </w:r>
          </w:p>
        </w:tc>
        <w:tc>
          <w:tcPr>
            <w:tcW w:w="1999" w:type="pct"/>
            <w:tcBorders>
              <w:top w:val="single" w:sz="4" w:space="0" w:color="auto"/>
              <w:left w:val="single" w:sz="4" w:space="0" w:color="auto"/>
              <w:bottom w:val="single" w:sz="4" w:space="0" w:color="auto"/>
              <w:right w:val="single" w:sz="4" w:space="0" w:color="auto"/>
            </w:tcBorders>
          </w:tcPr>
          <w:p w14:paraId="23C1B40E" w14:textId="33375E55" w:rsidR="006F5ECC" w:rsidRDefault="006F5ECC" w:rsidP="00020B14">
            <w:pPr>
              <w:tabs>
                <w:tab w:val="left" w:pos="0"/>
                <w:tab w:val="left" w:pos="4536"/>
              </w:tabs>
              <w:autoSpaceDE w:val="0"/>
              <w:autoSpaceDN w:val="0"/>
              <w:spacing w:after="120"/>
              <w:jc w:val="both"/>
              <w:rPr>
                <w:rFonts w:ascii="Verdana" w:hAnsi="Verdana"/>
                <w:color w:val="7F7F7F" w:themeColor="text1" w:themeTint="80"/>
                <w:sz w:val="22"/>
                <w:szCs w:val="22"/>
                <w:lang w:val="en-GB"/>
              </w:rPr>
            </w:pPr>
            <w:r>
              <w:rPr>
                <w:rFonts w:ascii="Verdana" w:hAnsi="Verdana"/>
                <w:b/>
                <w:bCs/>
                <w:color w:val="7F7F7F" w:themeColor="text1" w:themeTint="80"/>
                <w:sz w:val="22"/>
                <w:szCs w:val="22"/>
                <w:lang w:val="en-GB" w:eastAsia="fr-FR"/>
              </w:rPr>
              <w:t>External Audit of the SFCR</w:t>
            </w:r>
            <w:r w:rsidRPr="003B5DBA" w:rsidDel="001B5BB0">
              <w:rPr>
                <w:rFonts w:ascii="Verdana" w:hAnsi="Verdana"/>
                <w:color w:val="7F7F7F" w:themeColor="text1" w:themeTint="80"/>
                <w:sz w:val="22"/>
                <w:szCs w:val="22"/>
                <w:u w:val="single"/>
                <w:lang w:val="en-GB"/>
              </w:rPr>
              <w:t xml:space="preserve"> </w:t>
            </w:r>
          </w:p>
          <w:p w14:paraId="5F80DE66" w14:textId="3825F8AC" w:rsidR="006F5ECC" w:rsidRPr="0003536E" w:rsidRDefault="006F5ECC" w:rsidP="00020B14">
            <w:pPr>
              <w:tabs>
                <w:tab w:val="left" w:pos="0"/>
                <w:tab w:val="left" w:pos="4536"/>
              </w:tabs>
              <w:autoSpaceDE w:val="0"/>
              <w:autoSpaceDN w:val="0"/>
              <w:spacing w:after="120"/>
              <w:jc w:val="both"/>
              <w:rPr>
                <w:rFonts w:ascii="Verdana" w:hAnsi="Verdana"/>
                <w:color w:val="7F7F7F" w:themeColor="text1" w:themeTint="80"/>
                <w:sz w:val="22"/>
                <w:szCs w:val="22"/>
                <w:lang w:val="en-GB" w:eastAsia="en-US"/>
              </w:rPr>
            </w:pPr>
            <w:r w:rsidRPr="0003536E">
              <w:rPr>
                <w:rFonts w:ascii="Verdana" w:hAnsi="Verdana"/>
                <w:color w:val="7F7F7F" w:themeColor="text1" w:themeTint="80"/>
                <w:sz w:val="22"/>
                <w:szCs w:val="22"/>
                <w:lang w:val="en-GB"/>
              </w:rPr>
              <w:t>EIOPA indicates that where auditing requirements are in place all NSAs consider these to be beneficial, improving the quality of the data</w:t>
            </w:r>
            <w:r>
              <w:rPr>
                <w:rFonts w:ascii="Verdana" w:hAnsi="Verdana"/>
                <w:color w:val="7F7F7F" w:themeColor="text1" w:themeTint="80"/>
                <w:sz w:val="22"/>
                <w:szCs w:val="22"/>
                <w:lang w:val="en-GB"/>
              </w:rPr>
              <w:t xml:space="preserve">. </w:t>
            </w:r>
          </w:p>
          <w:p w14:paraId="6DE0DFBF" w14:textId="77777777" w:rsidR="006F5ECC" w:rsidRPr="00776014" w:rsidRDefault="006F5ECC" w:rsidP="00020B14">
            <w:pPr>
              <w:tabs>
                <w:tab w:val="left" w:pos="0"/>
                <w:tab w:val="left" w:pos="4536"/>
              </w:tabs>
              <w:autoSpaceDE w:val="0"/>
              <w:autoSpaceDN w:val="0"/>
              <w:spacing w:before="120" w:after="120"/>
              <w:jc w:val="both"/>
              <w:rPr>
                <w:rFonts w:ascii="Verdana" w:hAnsi="Verdana"/>
                <w:color w:val="7F7F7F" w:themeColor="text1" w:themeTint="80"/>
                <w:sz w:val="22"/>
                <w:szCs w:val="22"/>
                <w:lang w:val="en-GB"/>
              </w:rPr>
            </w:pPr>
            <w:r w:rsidRPr="00776014">
              <w:rPr>
                <w:rFonts w:ascii="Verdana" w:hAnsi="Verdana"/>
                <w:color w:val="7F7F7F" w:themeColor="text1" w:themeTint="80"/>
                <w:sz w:val="22"/>
                <w:szCs w:val="22"/>
                <w:lang w:val="en-GB"/>
              </w:rPr>
              <w:t xml:space="preserve">Firstly, </w:t>
            </w:r>
            <w:r>
              <w:rPr>
                <w:rFonts w:ascii="Verdana" w:hAnsi="Verdana"/>
                <w:color w:val="7F7F7F" w:themeColor="text1" w:themeTint="80"/>
                <w:sz w:val="22"/>
                <w:szCs w:val="22"/>
                <w:lang w:val="en-GB"/>
              </w:rPr>
              <w:t>we</w:t>
            </w:r>
            <w:r w:rsidRPr="00776014">
              <w:rPr>
                <w:rFonts w:ascii="Verdana" w:hAnsi="Verdana"/>
                <w:color w:val="7F7F7F" w:themeColor="text1" w:themeTint="80"/>
                <w:sz w:val="22"/>
                <w:szCs w:val="22"/>
                <w:lang w:val="en-GB"/>
              </w:rPr>
              <w:t xml:space="preserve"> would like to reiterate that the reporting deadlines are very challenging in the Solvency II framework. The shortening of the deadlines is obliging companies to resort more and more to proxies and simplifications. Imposing external audit would not solve this issue and would shorten even more the necessary period to prepare both the quantitative and qualitative information. </w:t>
            </w:r>
          </w:p>
          <w:p w14:paraId="66F4836B" w14:textId="127C060C" w:rsidR="006F5ECC" w:rsidRDefault="006F5ECC" w:rsidP="00020B14">
            <w:pPr>
              <w:tabs>
                <w:tab w:val="left" w:pos="0"/>
                <w:tab w:val="left" w:pos="4536"/>
              </w:tabs>
              <w:jc w:val="both"/>
              <w:rPr>
                <w:rFonts w:ascii="Verdana" w:hAnsi="Verdana"/>
                <w:color w:val="7F7F7F" w:themeColor="text1" w:themeTint="80"/>
                <w:sz w:val="22"/>
                <w:szCs w:val="22"/>
                <w:lang w:val="en-GB"/>
              </w:rPr>
            </w:pPr>
            <w:r w:rsidRPr="00776014">
              <w:rPr>
                <w:rFonts w:ascii="Verdana" w:hAnsi="Verdana"/>
                <w:color w:val="7F7F7F" w:themeColor="text1" w:themeTint="80"/>
                <w:sz w:val="22"/>
                <w:szCs w:val="22"/>
                <w:lang w:val="en-GB"/>
              </w:rPr>
              <w:lastRenderedPageBreak/>
              <w:t>Secondly, Solvency II did only come into effect in 2016</w:t>
            </w:r>
            <w:r>
              <w:rPr>
                <w:rFonts w:ascii="Verdana" w:hAnsi="Verdana"/>
                <w:color w:val="7F7F7F" w:themeColor="text1" w:themeTint="80"/>
                <w:sz w:val="22"/>
                <w:szCs w:val="22"/>
                <w:lang w:val="en-GB"/>
              </w:rPr>
              <w:t>;</w:t>
            </w:r>
            <w:r w:rsidRPr="00776014">
              <w:rPr>
                <w:rFonts w:ascii="Verdana" w:hAnsi="Verdana"/>
                <w:color w:val="7F7F7F" w:themeColor="text1" w:themeTint="80"/>
                <w:sz w:val="22"/>
                <w:szCs w:val="22"/>
                <w:lang w:val="en-GB"/>
              </w:rPr>
              <w:t xml:space="preserve"> the quality of data and information published has improved significantly and continues to improve due to the further exchanges between the supervisory authority and the undertakings and also due the big efforts made by the insur</w:t>
            </w:r>
            <w:r>
              <w:rPr>
                <w:rFonts w:ascii="Verdana" w:hAnsi="Verdana"/>
                <w:color w:val="7F7F7F" w:themeColor="text1" w:themeTint="80"/>
                <w:sz w:val="22"/>
                <w:szCs w:val="22"/>
                <w:lang w:val="en-GB"/>
              </w:rPr>
              <w:t>ance industry</w:t>
            </w:r>
            <w:r w:rsidRPr="00776014">
              <w:rPr>
                <w:rFonts w:ascii="Verdana" w:hAnsi="Verdana"/>
                <w:color w:val="7F7F7F" w:themeColor="text1" w:themeTint="80"/>
                <w:sz w:val="22"/>
                <w:szCs w:val="22"/>
                <w:lang w:val="en-GB"/>
              </w:rPr>
              <w:t xml:space="preserve"> to implement the Solvency II regime. Furthermore, we believe that regulatory stability also helps achiev</w:t>
            </w:r>
            <w:r>
              <w:rPr>
                <w:rFonts w:ascii="Verdana" w:hAnsi="Verdana"/>
                <w:color w:val="7F7F7F" w:themeColor="text1" w:themeTint="80"/>
                <w:sz w:val="22"/>
                <w:szCs w:val="22"/>
                <w:lang w:val="en-GB"/>
              </w:rPr>
              <w:t>ing</w:t>
            </w:r>
            <w:r w:rsidRPr="00776014">
              <w:rPr>
                <w:rFonts w:ascii="Verdana" w:hAnsi="Verdana"/>
                <w:color w:val="7F7F7F" w:themeColor="text1" w:themeTint="80"/>
                <w:sz w:val="22"/>
                <w:szCs w:val="22"/>
                <w:lang w:val="en-GB"/>
              </w:rPr>
              <w:t xml:space="preserve"> this goal. It is therefore key that EIOPA does not add any additional data requirements and focus</w:t>
            </w:r>
            <w:r>
              <w:rPr>
                <w:rFonts w:ascii="Verdana" w:hAnsi="Verdana"/>
                <w:color w:val="7F7F7F" w:themeColor="text1" w:themeTint="80"/>
                <w:sz w:val="22"/>
                <w:szCs w:val="22"/>
                <w:lang w:val="en-GB"/>
              </w:rPr>
              <w:t xml:space="preserve"> only</w:t>
            </w:r>
            <w:r w:rsidRPr="00776014">
              <w:rPr>
                <w:rFonts w:ascii="Verdana" w:hAnsi="Verdana"/>
                <w:color w:val="7F7F7F" w:themeColor="text1" w:themeTint="80"/>
                <w:sz w:val="22"/>
                <w:szCs w:val="22"/>
                <w:lang w:val="en-GB"/>
              </w:rPr>
              <w:t xml:space="preserve"> on simplifications </w:t>
            </w:r>
            <w:r>
              <w:rPr>
                <w:rFonts w:ascii="Verdana" w:hAnsi="Verdana"/>
                <w:color w:val="7F7F7F" w:themeColor="text1" w:themeTint="80"/>
                <w:sz w:val="22"/>
                <w:szCs w:val="22"/>
                <w:lang w:val="en-GB"/>
              </w:rPr>
              <w:t xml:space="preserve">as part of </w:t>
            </w:r>
            <w:r w:rsidRPr="00776014">
              <w:rPr>
                <w:rFonts w:ascii="Verdana" w:hAnsi="Verdana"/>
                <w:color w:val="7F7F7F" w:themeColor="text1" w:themeTint="80"/>
                <w:sz w:val="22"/>
                <w:szCs w:val="22"/>
                <w:lang w:val="en-GB"/>
              </w:rPr>
              <w:t>the QRTs review.</w:t>
            </w:r>
          </w:p>
          <w:p w14:paraId="4D628267" w14:textId="77777777" w:rsidR="006F5ECC" w:rsidRPr="00776014" w:rsidRDefault="006F5ECC" w:rsidP="00020B14">
            <w:pPr>
              <w:tabs>
                <w:tab w:val="left" w:pos="0"/>
                <w:tab w:val="left" w:pos="4536"/>
              </w:tabs>
              <w:jc w:val="both"/>
              <w:rPr>
                <w:rFonts w:ascii="Verdana" w:hAnsi="Verdana"/>
                <w:color w:val="7F7F7F" w:themeColor="text1" w:themeTint="80"/>
                <w:sz w:val="22"/>
                <w:szCs w:val="22"/>
                <w:lang w:val="en-GB"/>
              </w:rPr>
            </w:pPr>
          </w:p>
          <w:p w14:paraId="57317DC9" w14:textId="42B0599D" w:rsidR="006F5ECC" w:rsidRDefault="006F5ECC" w:rsidP="00020B14">
            <w:pPr>
              <w:tabs>
                <w:tab w:val="left" w:pos="0"/>
                <w:tab w:val="left" w:pos="4536"/>
              </w:tabs>
              <w:jc w:val="both"/>
              <w:rPr>
                <w:rFonts w:ascii="Verdana" w:hAnsi="Verdana"/>
                <w:color w:val="7F7F7F" w:themeColor="text1" w:themeTint="80"/>
                <w:sz w:val="22"/>
                <w:szCs w:val="22"/>
                <w:lang w:val="en-GB"/>
              </w:rPr>
            </w:pPr>
            <w:r w:rsidRPr="00776014">
              <w:rPr>
                <w:rFonts w:ascii="Verdana" w:hAnsi="Verdana"/>
                <w:color w:val="7F7F7F" w:themeColor="text1" w:themeTint="80"/>
                <w:sz w:val="22"/>
                <w:szCs w:val="22"/>
                <w:lang w:val="en-GB"/>
              </w:rPr>
              <w:t>Thirdly, before requiring external audit for all undertakings, EIOPA should further assess the benefit</w:t>
            </w:r>
            <w:r>
              <w:rPr>
                <w:rFonts w:ascii="Verdana" w:hAnsi="Verdana"/>
                <w:color w:val="7F7F7F" w:themeColor="text1" w:themeTint="80"/>
                <w:sz w:val="22"/>
                <w:szCs w:val="22"/>
                <w:lang w:val="en-GB"/>
              </w:rPr>
              <w:t>s</w:t>
            </w:r>
            <w:r w:rsidRPr="00776014">
              <w:rPr>
                <w:rFonts w:ascii="Verdana" w:hAnsi="Verdana"/>
                <w:color w:val="7F7F7F" w:themeColor="text1" w:themeTint="80"/>
                <w:sz w:val="22"/>
                <w:szCs w:val="22"/>
                <w:lang w:val="en-GB"/>
              </w:rPr>
              <w:t xml:space="preserve"> and cost</w:t>
            </w:r>
            <w:r>
              <w:rPr>
                <w:rFonts w:ascii="Verdana" w:hAnsi="Verdana"/>
                <w:color w:val="7F7F7F" w:themeColor="text1" w:themeTint="80"/>
                <w:sz w:val="22"/>
                <w:szCs w:val="22"/>
                <w:lang w:val="en-GB"/>
              </w:rPr>
              <w:t>s</w:t>
            </w:r>
            <w:r w:rsidRPr="00776014">
              <w:rPr>
                <w:rFonts w:ascii="Verdana" w:hAnsi="Verdana"/>
                <w:color w:val="7F7F7F" w:themeColor="text1" w:themeTint="80"/>
                <w:sz w:val="22"/>
                <w:szCs w:val="22"/>
                <w:lang w:val="en-GB"/>
              </w:rPr>
              <w:t xml:space="preserve"> </w:t>
            </w:r>
            <w:r>
              <w:rPr>
                <w:rFonts w:ascii="Verdana" w:hAnsi="Verdana"/>
                <w:color w:val="7F7F7F" w:themeColor="text1" w:themeTint="80"/>
                <w:sz w:val="22"/>
                <w:szCs w:val="22"/>
                <w:lang w:val="en-GB"/>
              </w:rPr>
              <w:t xml:space="preserve">of implementing this requirement </w:t>
            </w:r>
            <w:r w:rsidRPr="00776014">
              <w:rPr>
                <w:rFonts w:ascii="Verdana" w:hAnsi="Verdana"/>
                <w:color w:val="7F7F7F" w:themeColor="text1" w:themeTint="80"/>
                <w:sz w:val="22"/>
                <w:szCs w:val="22"/>
                <w:lang w:val="en-GB"/>
              </w:rPr>
              <w:t xml:space="preserve">and provide more statistical information. We believe that a better coordination/communication between NSAs would be more efficient rather than an extension of the external audit requirements. </w:t>
            </w:r>
          </w:p>
          <w:p w14:paraId="20B37617" w14:textId="77777777" w:rsidR="006F5ECC" w:rsidRPr="00776014" w:rsidRDefault="006F5ECC" w:rsidP="00020B14">
            <w:pPr>
              <w:tabs>
                <w:tab w:val="left" w:pos="0"/>
                <w:tab w:val="left" w:pos="4536"/>
              </w:tabs>
              <w:jc w:val="both"/>
              <w:rPr>
                <w:rFonts w:ascii="Verdana" w:hAnsi="Verdana"/>
                <w:color w:val="7F7F7F" w:themeColor="text1" w:themeTint="80"/>
                <w:sz w:val="22"/>
                <w:szCs w:val="22"/>
                <w:lang w:val="en-GB"/>
              </w:rPr>
            </w:pPr>
          </w:p>
          <w:p w14:paraId="1FC623AE" w14:textId="35D552ED" w:rsidR="006F5ECC" w:rsidRPr="00776014" w:rsidRDefault="006F5ECC" w:rsidP="00020B14">
            <w:pPr>
              <w:tabs>
                <w:tab w:val="left" w:pos="0"/>
                <w:tab w:val="left" w:pos="4536"/>
              </w:tabs>
              <w:jc w:val="both"/>
              <w:rPr>
                <w:rFonts w:ascii="Verdana" w:hAnsi="Verdana"/>
                <w:color w:val="7F7F7F" w:themeColor="text1" w:themeTint="80"/>
                <w:sz w:val="22"/>
                <w:szCs w:val="22"/>
                <w:lang w:val="en-GB"/>
              </w:rPr>
            </w:pPr>
            <w:r w:rsidRPr="00776014">
              <w:rPr>
                <w:rFonts w:ascii="Verdana" w:hAnsi="Verdana"/>
                <w:color w:val="7F7F7F" w:themeColor="text1" w:themeTint="80"/>
                <w:sz w:val="22"/>
                <w:szCs w:val="22"/>
                <w:lang w:val="en-GB"/>
              </w:rPr>
              <w:t xml:space="preserve">Finally, in </w:t>
            </w:r>
            <w:r>
              <w:rPr>
                <w:rFonts w:ascii="Verdana" w:hAnsi="Verdana"/>
                <w:color w:val="7F7F7F" w:themeColor="text1" w:themeTint="80"/>
                <w:sz w:val="22"/>
                <w:szCs w:val="22"/>
                <w:lang w:val="en-GB"/>
              </w:rPr>
              <w:t>most jurisdictions</w:t>
            </w:r>
            <w:r w:rsidRPr="00776014">
              <w:rPr>
                <w:rFonts w:ascii="Verdana" w:hAnsi="Verdana"/>
                <w:color w:val="7F7F7F" w:themeColor="text1" w:themeTint="80"/>
                <w:sz w:val="22"/>
                <w:szCs w:val="22"/>
                <w:lang w:val="en-GB"/>
              </w:rPr>
              <w:t xml:space="preserve"> the </w:t>
            </w:r>
            <w:r>
              <w:rPr>
                <w:rFonts w:ascii="Verdana" w:hAnsi="Verdana"/>
                <w:color w:val="7F7F7F" w:themeColor="text1" w:themeTint="80"/>
                <w:sz w:val="22"/>
                <w:szCs w:val="22"/>
                <w:lang w:val="en-GB"/>
              </w:rPr>
              <w:t>national competent authority</w:t>
            </w:r>
            <w:r w:rsidRPr="00776014">
              <w:rPr>
                <w:rFonts w:ascii="Verdana" w:hAnsi="Verdana"/>
                <w:color w:val="7F7F7F" w:themeColor="text1" w:themeTint="80"/>
                <w:sz w:val="22"/>
                <w:szCs w:val="22"/>
                <w:lang w:val="en-GB"/>
              </w:rPr>
              <w:t xml:space="preserve"> is financed by the contributions of undertakings </w:t>
            </w:r>
            <w:r>
              <w:rPr>
                <w:rFonts w:ascii="Verdana" w:hAnsi="Verdana"/>
                <w:color w:val="7F7F7F" w:themeColor="text1" w:themeTint="80"/>
                <w:sz w:val="22"/>
                <w:szCs w:val="22"/>
                <w:lang w:val="en-GB"/>
              </w:rPr>
              <w:t xml:space="preserve">who are </w:t>
            </w:r>
            <w:r w:rsidRPr="00776014">
              <w:rPr>
                <w:rFonts w:ascii="Verdana" w:hAnsi="Verdana"/>
                <w:color w:val="7F7F7F" w:themeColor="text1" w:themeTint="80"/>
                <w:sz w:val="22"/>
                <w:szCs w:val="22"/>
                <w:lang w:val="en-GB"/>
              </w:rPr>
              <w:t>subject to its supervision</w:t>
            </w:r>
            <w:r>
              <w:rPr>
                <w:rFonts w:ascii="Verdana" w:hAnsi="Verdana"/>
                <w:color w:val="7F7F7F" w:themeColor="text1" w:themeTint="80"/>
                <w:sz w:val="22"/>
                <w:szCs w:val="22"/>
                <w:lang w:val="en-GB"/>
              </w:rPr>
              <w:t xml:space="preserve">; </w:t>
            </w:r>
            <w:r w:rsidRPr="00776014">
              <w:rPr>
                <w:rFonts w:ascii="Verdana" w:hAnsi="Verdana"/>
                <w:color w:val="7F7F7F" w:themeColor="text1" w:themeTint="80"/>
                <w:sz w:val="22"/>
                <w:szCs w:val="22"/>
                <w:lang w:val="en-GB"/>
              </w:rPr>
              <w:t xml:space="preserve">the external auditor’s role would therefore overlap with the duties of the supervisory authorities. If an external audit of the SFCR is required, </w:t>
            </w:r>
            <w:bookmarkStart w:id="19" w:name="_Hlk28267536"/>
            <w:r w:rsidRPr="00776014">
              <w:rPr>
                <w:rFonts w:ascii="Verdana" w:hAnsi="Verdana"/>
                <w:color w:val="7F7F7F" w:themeColor="text1" w:themeTint="80"/>
                <w:sz w:val="22"/>
                <w:szCs w:val="22"/>
                <w:lang w:val="en-GB"/>
              </w:rPr>
              <w:t>additional costs should be beared by NSA</w:t>
            </w:r>
            <w:r>
              <w:rPr>
                <w:rFonts w:ascii="Verdana" w:hAnsi="Verdana"/>
                <w:color w:val="7F7F7F" w:themeColor="text1" w:themeTint="80"/>
                <w:sz w:val="22"/>
                <w:szCs w:val="22"/>
                <w:lang w:val="en-GB"/>
              </w:rPr>
              <w:t>s</w:t>
            </w:r>
            <w:r w:rsidRPr="00776014">
              <w:rPr>
                <w:rFonts w:ascii="Verdana" w:hAnsi="Verdana"/>
                <w:color w:val="7F7F7F" w:themeColor="text1" w:themeTint="80"/>
                <w:sz w:val="22"/>
                <w:szCs w:val="22"/>
                <w:lang w:val="en-GB"/>
              </w:rPr>
              <w:t xml:space="preserve"> and not by the </w:t>
            </w:r>
            <w:r>
              <w:rPr>
                <w:rFonts w:ascii="Verdana" w:hAnsi="Verdana"/>
                <w:color w:val="7F7F7F" w:themeColor="text1" w:themeTint="80"/>
                <w:sz w:val="22"/>
                <w:szCs w:val="22"/>
                <w:lang w:val="en-GB"/>
              </w:rPr>
              <w:t>insurance sector</w:t>
            </w:r>
            <w:r w:rsidRPr="00776014">
              <w:rPr>
                <w:rFonts w:ascii="Verdana" w:hAnsi="Verdana"/>
                <w:color w:val="7F7F7F" w:themeColor="text1" w:themeTint="80"/>
                <w:sz w:val="22"/>
                <w:szCs w:val="22"/>
                <w:lang w:val="en-GB"/>
              </w:rPr>
              <w:t>.</w:t>
            </w:r>
          </w:p>
          <w:bookmarkEnd w:id="19"/>
          <w:p w14:paraId="0F537D17" w14:textId="77777777" w:rsidR="006F5ECC" w:rsidRPr="00776014" w:rsidRDefault="006F5ECC" w:rsidP="00020B14">
            <w:pPr>
              <w:tabs>
                <w:tab w:val="left" w:pos="0"/>
                <w:tab w:val="left" w:pos="4536"/>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10F29BA6" w14:textId="77777777" w:rsidR="006F5ECC" w:rsidRPr="00776014" w:rsidRDefault="006F5ECC" w:rsidP="00020B14">
            <w:pPr>
              <w:tabs>
                <w:tab w:val="left" w:pos="0"/>
                <w:tab w:val="left" w:pos="4536"/>
              </w:tabs>
              <w:ind w:left="-96"/>
              <w:rPr>
                <w:rFonts w:ascii="Verdana" w:hAnsi="Verdana"/>
                <w:color w:val="7F7F7F" w:themeColor="text1" w:themeTint="80"/>
                <w:sz w:val="22"/>
                <w:szCs w:val="22"/>
                <w:lang w:val="en-GB" w:eastAsia="fr-FR"/>
              </w:rPr>
            </w:pPr>
          </w:p>
        </w:tc>
      </w:tr>
      <w:tr w:rsidR="00FC5744" w:rsidRPr="001360A5" w14:paraId="7904653A"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E788353" w14:textId="77777777" w:rsidR="006F5ECC" w:rsidRPr="0003536E" w:rsidRDefault="006F5ECC" w:rsidP="00020B14">
            <w:pPr>
              <w:tabs>
                <w:tab w:val="left" w:pos="0"/>
                <w:tab w:val="left" w:pos="4536"/>
              </w:tabs>
              <w:ind w:left="-96"/>
              <w:rPr>
                <w:rFonts w:ascii="Verdana" w:hAnsi="Verdana"/>
                <w:color w:val="7F7F7F" w:themeColor="text1" w:themeTint="80"/>
                <w:sz w:val="22"/>
                <w:szCs w:val="22"/>
                <w:lang w:val="en-GB" w:eastAsia="fr-FR"/>
              </w:rPr>
            </w:pPr>
            <w:r w:rsidRPr="0003536E">
              <w:rPr>
                <w:rFonts w:ascii="Verdana" w:hAnsi="Verdana"/>
                <w:color w:val="7F7F7F" w:themeColor="text1" w:themeTint="80"/>
                <w:sz w:val="22"/>
                <w:szCs w:val="22"/>
                <w:lang w:val="en-GB" w:eastAsia="fr-FR"/>
              </w:rPr>
              <w:t>7</w:t>
            </w:r>
          </w:p>
        </w:tc>
        <w:tc>
          <w:tcPr>
            <w:tcW w:w="506" w:type="pct"/>
            <w:gridSpan w:val="2"/>
            <w:tcBorders>
              <w:top w:val="single" w:sz="4" w:space="0" w:color="auto"/>
              <w:left w:val="single" w:sz="4" w:space="0" w:color="auto"/>
              <w:bottom w:val="single" w:sz="4" w:space="0" w:color="auto"/>
              <w:right w:val="single" w:sz="4" w:space="0" w:color="auto"/>
            </w:tcBorders>
          </w:tcPr>
          <w:p w14:paraId="0052E843" w14:textId="77777777" w:rsidR="006F5ECC" w:rsidRPr="0003536E" w:rsidRDefault="006F5ECC" w:rsidP="00020B14">
            <w:pPr>
              <w:tabs>
                <w:tab w:val="left" w:pos="0"/>
                <w:tab w:val="left" w:pos="4536"/>
              </w:tabs>
              <w:ind w:left="-96"/>
              <w:rPr>
                <w:rFonts w:ascii="Verdana" w:hAnsi="Verdana"/>
                <w:color w:val="7F7F7F" w:themeColor="text1" w:themeTint="80"/>
                <w:sz w:val="22"/>
                <w:szCs w:val="22"/>
                <w:lang w:val="en-US"/>
              </w:rPr>
            </w:pPr>
            <w:r w:rsidRPr="0003536E">
              <w:rPr>
                <w:rFonts w:ascii="Verdana" w:hAnsi="Verdana"/>
                <w:color w:val="7F7F7F" w:themeColor="text1" w:themeTint="80"/>
                <w:sz w:val="22"/>
                <w:szCs w:val="22"/>
                <w:lang w:val="en-US"/>
              </w:rPr>
              <w:t>134</w:t>
            </w:r>
          </w:p>
        </w:tc>
        <w:tc>
          <w:tcPr>
            <w:tcW w:w="1999" w:type="pct"/>
            <w:tcBorders>
              <w:top w:val="single" w:sz="4" w:space="0" w:color="auto"/>
              <w:left w:val="single" w:sz="4" w:space="0" w:color="auto"/>
              <w:bottom w:val="single" w:sz="4" w:space="0" w:color="auto"/>
              <w:right w:val="single" w:sz="4" w:space="0" w:color="auto"/>
            </w:tcBorders>
          </w:tcPr>
          <w:p w14:paraId="07A51568" w14:textId="77777777" w:rsidR="006F5ECC" w:rsidRPr="0003536E" w:rsidRDefault="006F5ECC" w:rsidP="00020B14">
            <w:pPr>
              <w:tabs>
                <w:tab w:val="left" w:pos="0"/>
                <w:tab w:val="left" w:pos="4536"/>
              </w:tabs>
              <w:autoSpaceDE w:val="0"/>
              <w:autoSpaceDN w:val="0"/>
              <w:spacing w:before="120" w:after="120"/>
              <w:jc w:val="both"/>
              <w:rPr>
                <w:rFonts w:ascii="Verdana" w:hAnsi="Verdana"/>
                <w:color w:val="7F7F7F" w:themeColor="text1" w:themeTint="80"/>
                <w:sz w:val="22"/>
                <w:szCs w:val="22"/>
                <w:lang w:val="en-GB"/>
              </w:rPr>
            </w:pPr>
            <w:r w:rsidRPr="0003536E">
              <w:rPr>
                <w:rFonts w:ascii="Verdana" w:hAnsi="Verdana"/>
                <w:color w:val="7F7F7F" w:themeColor="text1" w:themeTint="80"/>
                <w:sz w:val="22"/>
                <w:szCs w:val="22"/>
                <w:lang w:val="en-GB"/>
              </w:rPr>
              <w:t xml:space="preserve">EIOPA indicates </w:t>
            </w:r>
            <w:r>
              <w:rPr>
                <w:rFonts w:ascii="Verdana" w:hAnsi="Verdana"/>
                <w:color w:val="7F7F7F" w:themeColor="text1" w:themeTint="80"/>
                <w:sz w:val="22"/>
                <w:szCs w:val="22"/>
                <w:lang w:val="en-GB"/>
              </w:rPr>
              <w:t>that t</w:t>
            </w:r>
            <w:r w:rsidRPr="0003536E">
              <w:rPr>
                <w:rFonts w:ascii="Verdana" w:hAnsi="Verdana"/>
                <w:color w:val="7F7F7F" w:themeColor="text1" w:themeTint="80"/>
                <w:sz w:val="22"/>
                <w:szCs w:val="22"/>
                <w:lang w:val="en-GB"/>
              </w:rPr>
              <w:t xml:space="preserve">he SFCRs are disclosed to the market and sent to the NSAs at the same time, therefore the review from supervisors can only take place after the undertakings </w:t>
            </w:r>
            <w:r>
              <w:rPr>
                <w:rFonts w:ascii="Verdana" w:hAnsi="Verdana"/>
                <w:color w:val="7F7F7F" w:themeColor="text1" w:themeTint="80"/>
                <w:sz w:val="22"/>
                <w:szCs w:val="22"/>
                <w:lang w:val="en-GB"/>
              </w:rPr>
              <w:t xml:space="preserve">have </w:t>
            </w:r>
            <w:r w:rsidRPr="0003536E">
              <w:rPr>
                <w:rFonts w:ascii="Verdana" w:hAnsi="Verdana"/>
                <w:color w:val="7F7F7F" w:themeColor="text1" w:themeTint="80"/>
                <w:sz w:val="22"/>
                <w:szCs w:val="22"/>
                <w:lang w:val="en-GB"/>
              </w:rPr>
              <w:t xml:space="preserve">published their SFCR. In the </w:t>
            </w:r>
            <w:r>
              <w:rPr>
                <w:rFonts w:ascii="Verdana" w:hAnsi="Verdana"/>
                <w:color w:val="7F7F7F" w:themeColor="text1" w:themeTint="80"/>
                <w:sz w:val="22"/>
                <w:szCs w:val="22"/>
                <w:lang w:val="en-GB"/>
              </w:rPr>
              <w:t>supervisory review process,</w:t>
            </w:r>
            <w:r w:rsidRPr="0003536E">
              <w:rPr>
                <w:rFonts w:ascii="Verdana" w:hAnsi="Verdana"/>
                <w:color w:val="7F7F7F" w:themeColor="text1" w:themeTint="80"/>
                <w:sz w:val="22"/>
                <w:szCs w:val="22"/>
                <w:lang w:val="en-GB"/>
              </w:rPr>
              <w:t xml:space="preserve"> NSAs will check the information provided </w:t>
            </w:r>
            <w:r>
              <w:rPr>
                <w:rFonts w:ascii="Verdana" w:hAnsi="Verdana"/>
                <w:color w:val="7F7F7F" w:themeColor="text1" w:themeTint="80"/>
                <w:sz w:val="22"/>
                <w:szCs w:val="22"/>
                <w:lang w:val="en-GB"/>
              </w:rPr>
              <w:t>in the Group SFCR</w:t>
            </w:r>
            <w:r w:rsidRPr="0003536E">
              <w:rPr>
                <w:rFonts w:ascii="Verdana" w:hAnsi="Verdana"/>
                <w:color w:val="7F7F7F" w:themeColor="text1" w:themeTint="80"/>
                <w:sz w:val="22"/>
                <w:szCs w:val="22"/>
                <w:lang w:val="en-GB"/>
              </w:rPr>
              <w:t xml:space="preserve"> </w:t>
            </w:r>
            <w:r>
              <w:rPr>
                <w:rFonts w:ascii="Verdana" w:hAnsi="Verdana"/>
                <w:color w:val="7F7F7F" w:themeColor="text1" w:themeTint="80"/>
                <w:sz w:val="22"/>
                <w:szCs w:val="22"/>
                <w:lang w:val="en-GB"/>
              </w:rPr>
              <w:t>regarding</w:t>
            </w:r>
            <w:r w:rsidRPr="0003536E">
              <w:rPr>
                <w:rFonts w:ascii="Verdana" w:hAnsi="Verdana"/>
                <w:color w:val="7F7F7F" w:themeColor="text1" w:themeTint="80"/>
                <w:sz w:val="22"/>
                <w:szCs w:val="22"/>
                <w:lang w:val="en-GB"/>
              </w:rPr>
              <w:t xml:space="preserve"> their solvency and financial position. </w:t>
            </w:r>
          </w:p>
          <w:p w14:paraId="6332D9B3" w14:textId="2A299A68" w:rsidR="006F5ECC" w:rsidRPr="0003536E" w:rsidRDefault="006F5ECC" w:rsidP="00020B14">
            <w:pPr>
              <w:tabs>
                <w:tab w:val="left" w:pos="0"/>
                <w:tab w:val="left" w:pos="4536"/>
              </w:tabs>
              <w:spacing w:before="120" w:after="120"/>
              <w:jc w:val="both"/>
              <w:rPr>
                <w:rFonts w:ascii="Verdana" w:hAnsi="Verdana"/>
                <w:color w:val="7F7F7F" w:themeColor="text1" w:themeTint="80"/>
                <w:sz w:val="22"/>
                <w:szCs w:val="22"/>
                <w:lang w:val="en-GB"/>
              </w:rPr>
            </w:pPr>
            <w:r w:rsidRPr="0003536E">
              <w:rPr>
                <w:rFonts w:ascii="Verdana" w:hAnsi="Verdana"/>
                <w:color w:val="7F7F7F" w:themeColor="text1" w:themeTint="80"/>
                <w:sz w:val="22"/>
                <w:szCs w:val="22"/>
                <w:lang w:val="en-GB"/>
              </w:rPr>
              <w:lastRenderedPageBreak/>
              <w:t>The current S</w:t>
            </w:r>
            <w:r>
              <w:rPr>
                <w:rFonts w:ascii="Verdana" w:hAnsi="Verdana"/>
                <w:color w:val="7F7F7F" w:themeColor="text1" w:themeTint="80"/>
                <w:sz w:val="22"/>
                <w:szCs w:val="22"/>
                <w:lang w:val="en-GB"/>
              </w:rPr>
              <w:t xml:space="preserve">olvency </w:t>
            </w:r>
            <w:r w:rsidRPr="0003536E">
              <w:rPr>
                <w:rFonts w:ascii="Verdana" w:hAnsi="Verdana"/>
                <w:color w:val="7F7F7F" w:themeColor="text1" w:themeTint="80"/>
                <w:sz w:val="22"/>
                <w:szCs w:val="22"/>
                <w:lang w:val="en-GB"/>
              </w:rPr>
              <w:t>II framework requires several lines of defence in addition to those of the supervisor</w:t>
            </w:r>
            <w:r>
              <w:rPr>
                <w:rFonts w:ascii="Verdana" w:hAnsi="Verdana"/>
                <w:color w:val="7F7F7F" w:themeColor="text1" w:themeTint="80"/>
                <w:sz w:val="22"/>
                <w:szCs w:val="22"/>
                <w:lang w:val="en-GB"/>
              </w:rPr>
              <w:t>y authority;</w:t>
            </w:r>
            <w:r w:rsidRPr="0003536E">
              <w:rPr>
                <w:rFonts w:ascii="Verdana" w:hAnsi="Verdana"/>
                <w:color w:val="7F7F7F" w:themeColor="text1" w:themeTint="80"/>
                <w:sz w:val="22"/>
                <w:szCs w:val="22"/>
                <w:lang w:val="en-GB"/>
              </w:rPr>
              <w:t xml:space="preserve"> the system ensures the quality of information published, especially for undertakings with only national activities and a low risk profile. In our opinion, the added value of an external auditor is very low for insurers subject to Solvency II and it</w:t>
            </w:r>
            <w:r>
              <w:rPr>
                <w:rFonts w:ascii="Verdana" w:hAnsi="Verdana"/>
                <w:color w:val="7F7F7F" w:themeColor="text1" w:themeTint="80"/>
                <w:sz w:val="22"/>
                <w:szCs w:val="22"/>
                <w:lang w:val="en-GB"/>
              </w:rPr>
              <w:t xml:space="preserve"> is</w:t>
            </w:r>
            <w:r w:rsidRPr="0003536E">
              <w:rPr>
                <w:rFonts w:ascii="Verdana" w:hAnsi="Verdana"/>
                <w:color w:val="7F7F7F" w:themeColor="text1" w:themeTint="80"/>
                <w:sz w:val="22"/>
                <w:szCs w:val="22"/>
                <w:lang w:val="en-GB"/>
              </w:rPr>
              <w:t xml:space="preserve"> also very costly in terms of financial and human resources. Besides, if any important error is detected, the undertaking should publish an updated version of the SFCR together with an explanation in accordance with the S</w:t>
            </w:r>
            <w:r>
              <w:rPr>
                <w:rFonts w:ascii="Verdana" w:hAnsi="Verdana"/>
                <w:color w:val="7F7F7F" w:themeColor="text1" w:themeTint="80"/>
                <w:sz w:val="22"/>
                <w:szCs w:val="22"/>
                <w:lang w:val="en-GB"/>
              </w:rPr>
              <w:t xml:space="preserve">olvency </w:t>
            </w:r>
            <w:r w:rsidRPr="0003536E">
              <w:rPr>
                <w:rFonts w:ascii="Verdana" w:hAnsi="Verdana"/>
                <w:color w:val="7F7F7F" w:themeColor="text1" w:themeTint="80"/>
                <w:sz w:val="22"/>
                <w:szCs w:val="22"/>
                <w:lang w:val="en-GB"/>
              </w:rPr>
              <w:t xml:space="preserve">II regulation. </w:t>
            </w:r>
          </w:p>
          <w:p w14:paraId="30D6829C" w14:textId="4AF4229C" w:rsidR="006F5ECC" w:rsidRPr="0003536E" w:rsidRDefault="006F5ECC" w:rsidP="00020B14">
            <w:pPr>
              <w:tabs>
                <w:tab w:val="left" w:pos="0"/>
                <w:tab w:val="left" w:pos="4536"/>
              </w:tabs>
              <w:jc w:val="both"/>
              <w:rPr>
                <w:rFonts w:ascii="Verdana" w:hAnsi="Verdana"/>
                <w:color w:val="7F7F7F" w:themeColor="text1" w:themeTint="80"/>
                <w:sz w:val="22"/>
                <w:szCs w:val="22"/>
                <w:lang w:val="en-GB"/>
              </w:rPr>
            </w:pPr>
            <w:r w:rsidRPr="0003536E">
              <w:rPr>
                <w:rFonts w:ascii="Verdana" w:hAnsi="Verdana"/>
                <w:color w:val="7F7F7F" w:themeColor="text1" w:themeTint="80"/>
                <w:sz w:val="22"/>
                <w:szCs w:val="22"/>
                <w:lang w:val="en-GB"/>
              </w:rPr>
              <w:t xml:space="preserve">Finally, we </w:t>
            </w:r>
            <w:r>
              <w:rPr>
                <w:rFonts w:ascii="Verdana" w:hAnsi="Verdana"/>
                <w:color w:val="7F7F7F" w:themeColor="text1" w:themeTint="80"/>
                <w:sz w:val="22"/>
                <w:szCs w:val="22"/>
                <w:lang w:val="en-GB"/>
              </w:rPr>
              <w:t>query</w:t>
            </w:r>
            <w:r w:rsidRPr="0003536E">
              <w:rPr>
                <w:rFonts w:ascii="Verdana" w:hAnsi="Verdana"/>
                <w:color w:val="7F7F7F" w:themeColor="text1" w:themeTint="80"/>
                <w:sz w:val="22"/>
                <w:szCs w:val="22"/>
                <w:lang w:val="en-GB"/>
              </w:rPr>
              <w:t xml:space="preserve"> the benefit of disclosing the report to the market and sending </w:t>
            </w:r>
            <w:r>
              <w:rPr>
                <w:rFonts w:ascii="Verdana" w:hAnsi="Verdana"/>
                <w:color w:val="7F7F7F" w:themeColor="text1" w:themeTint="80"/>
                <w:sz w:val="22"/>
                <w:szCs w:val="22"/>
                <w:lang w:val="en-GB"/>
              </w:rPr>
              <w:t xml:space="preserve">it </w:t>
            </w:r>
            <w:r w:rsidRPr="0003536E">
              <w:rPr>
                <w:rFonts w:ascii="Verdana" w:hAnsi="Verdana"/>
                <w:color w:val="7F7F7F" w:themeColor="text1" w:themeTint="80"/>
                <w:sz w:val="22"/>
                <w:szCs w:val="22"/>
                <w:lang w:val="en-GB"/>
              </w:rPr>
              <w:t>to the N</w:t>
            </w:r>
            <w:r>
              <w:rPr>
                <w:rFonts w:ascii="Verdana" w:hAnsi="Verdana"/>
                <w:color w:val="7F7F7F" w:themeColor="text1" w:themeTint="80"/>
                <w:sz w:val="22"/>
                <w:szCs w:val="22"/>
                <w:lang w:val="en-GB"/>
              </w:rPr>
              <w:t>C</w:t>
            </w:r>
            <w:r w:rsidRPr="0003536E">
              <w:rPr>
                <w:rFonts w:ascii="Verdana" w:hAnsi="Verdana"/>
                <w:color w:val="7F7F7F" w:themeColor="text1" w:themeTint="80"/>
                <w:sz w:val="22"/>
                <w:szCs w:val="22"/>
                <w:lang w:val="en-GB"/>
              </w:rPr>
              <w:t>A</w:t>
            </w:r>
            <w:r>
              <w:rPr>
                <w:rFonts w:ascii="Verdana" w:hAnsi="Verdana"/>
                <w:color w:val="7F7F7F" w:themeColor="text1" w:themeTint="80"/>
                <w:sz w:val="22"/>
                <w:szCs w:val="22"/>
                <w:lang w:val="en-GB"/>
              </w:rPr>
              <w:t>s</w:t>
            </w:r>
            <w:r w:rsidRPr="0003536E">
              <w:rPr>
                <w:rFonts w:ascii="Verdana" w:hAnsi="Verdana"/>
                <w:color w:val="7F7F7F" w:themeColor="text1" w:themeTint="80"/>
                <w:sz w:val="22"/>
                <w:szCs w:val="22"/>
                <w:lang w:val="en-GB"/>
              </w:rPr>
              <w:t xml:space="preserve"> at the same time. Insurers could be requested to disclose their SFCR only once it has been reviewed by the NCAs. A maximum period of 2 months between the submission to the NCA and the publication could be defined.</w:t>
            </w:r>
          </w:p>
          <w:p w14:paraId="305D5604" w14:textId="77777777" w:rsidR="006F5ECC" w:rsidRPr="0003536E" w:rsidRDefault="006F5ECC" w:rsidP="00020B14">
            <w:pPr>
              <w:tabs>
                <w:tab w:val="left" w:pos="0"/>
                <w:tab w:val="left" w:pos="4536"/>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07B9ABE7" w14:textId="77777777" w:rsidR="006F5ECC" w:rsidRPr="0003536E" w:rsidRDefault="006F5ECC" w:rsidP="00020B14">
            <w:pPr>
              <w:tabs>
                <w:tab w:val="left" w:pos="0"/>
                <w:tab w:val="left" w:pos="4536"/>
              </w:tabs>
              <w:ind w:left="-96"/>
              <w:rPr>
                <w:rFonts w:ascii="Verdana" w:hAnsi="Verdana"/>
                <w:color w:val="7F7F7F" w:themeColor="text1" w:themeTint="80"/>
                <w:sz w:val="22"/>
                <w:szCs w:val="22"/>
                <w:lang w:val="en-GB" w:eastAsia="fr-FR"/>
              </w:rPr>
            </w:pPr>
          </w:p>
        </w:tc>
      </w:tr>
      <w:tr w:rsidR="00FC5744" w:rsidRPr="001360A5" w14:paraId="735BDA5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BEA6257" w14:textId="5E56CF4C" w:rsidR="006F5ECC" w:rsidRPr="001C20F5" w:rsidRDefault="006F5ECC" w:rsidP="00020B14">
            <w:pPr>
              <w:tabs>
                <w:tab w:val="left" w:pos="0"/>
                <w:tab w:val="left" w:pos="4536"/>
              </w:tabs>
              <w:ind w:left="-96"/>
              <w:rPr>
                <w:lang w:val="en-US"/>
              </w:rPr>
            </w:pPr>
            <w:r w:rsidRPr="00650464">
              <w:rPr>
                <w:rFonts w:ascii="Verdana" w:hAnsi="Verdana"/>
                <w:color w:val="7F7F7F" w:themeColor="text1" w:themeTint="80"/>
                <w:sz w:val="22"/>
                <w:szCs w:val="22"/>
                <w:lang w:val="en-GB" w:eastAsia="fr-FR"/>
              </w:rPr>
              <w:t>7</w:t>
            </w:r>
          </w:p>
        </w:tc>
        <w:tc>
          <w:tcPr>
            <w:tcW w:w="506" w:type="pct"/>
            <w:gridSpan w:val="2"/>
            <w:tcBorders>
              <w:top w:val="single" w:sz="4" w:space="0" w:color="auto"/>
              <w:left w:val="single" w:sz="4" w:space="0" w:color="auto"/>
              <w:bottom w:val="single" w:sz="4" w:space="0" w:color="auto"/>
              <w:right w:val="single" w:sz="4" w:space="0" w:color="auto"/>
            </w:tcBorders>
          </w:tcPr>
          <w:p w14:paraId="59CB641E" w14:textId="0E845356" w:rsidR="006F5ECC" w:rsidRPr="001C20F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137</w:t>
            </w:r>
          </w:p>
        </w:tc>
        <w:tc>
          <w:tcPr>
            <w:tcW w:w="1999" w:type="pct"/>
            <w:tcBorders>
              <w:top w:val="single" w:sz="4" w:space="0" w:color="auto"/>
              <w:left w:val="single" w:sz="4" w:space="0" w:color="auto"/>
              <w:bottom w:val="single" w:sz="4" w:space="0" w:color="auto"/>
              <w:right w:val="single" w:sz="4" w:space="0" w:color="auto"/>
            </w:tcBorders>
          </w:tcPr>
          <w:p w14:paraId="428CBD04" w14:textId="1CFD7FCA" w:rsidR="006F5ECC" w:rsidRPr="00E2323C" w:rsidRDefault="006F5ECC" w:rsidP="00020B14">
            <w:pPr>
              <w:tabs>
                <w:tab w:val="left" w:pos="0"/>
                <w:tab w:val="left" w:pos="4536"/>
              </w:tabs>
              <w:spacing w:before="120"/>
              <w:rPr>
                <w:rFonts w:ascii="Verdana" w:hAnsi="Verdana"/>
                <w:b/>
                <w:bCs/>
                <w:color w:val="7F7F7F" w:themeColor="text1" w:themeTint="80"/>
                <w:sz w:val="22"/>
                <w:szCs w:val="22"/>
                <w:lang w:val="en-GB" w:eastAsia="fr-FR"/>
              </w:rPr>
            </w:pPr>
            <w:r>
              <w:rPr>
                <w:rFonts w:ascii="Verdana" w:hAnsi="Verdana"/>
                <w:b/>
                <w:bCs/>
                <w:color w:val="7F7F7F" w:themeColor="text1" w:themeTint="80"/>
                <w:sz w:val="22"/>
                <w:szCs w:val="22"/>
                <w:lang w:val="en-GB" w:eastAsia="fr-FR"/>
              </w:rPr>
              <w:t>EIOPA’s Advice on External Audit of the SFCR</w:t>
            </w:r>
          </w:p>
          <w:p w14:paraId="75AFC8C1" w14:textId="6F12AB2C" w:rsidR="006F5ECC" w:rsidRDefault="006F5ECC" w:rsidP="00020B14">
            <w:pPr>
              <w:tabs>
                <w:tab w:val="left" w:pos="0"/>
                <w:tab w:val="left" w:pos="4536"/>
              </w:tabs>
              <w:spacing w:after="120"/>
              <w:rPr>
                <w:rFonts w:ascii="Verdana" w:hAnsi="Verdana"/>
                <w:color w:val="7F7F7F" w:themeColor="text1" w:themeTint="80"/>
                <w:sz w:val="22"/>
                <w:szCs w:val="22"/>
                <w:lang w:val="en-GB" w:eastAsia="fr-FR"/>
              </w:rPr>
            </w:pPr>
            <w:r w:rsidRPr="00FE2D33">
              <w:rPr>
                <w:rFonts w:ascii="Verdana" w:hAnsi="Verdana"/>
                <w:color w:val="7F7F7F" w:themeColor="text1" w:themeTint="80"/>
                <w:sz w:val="22"/>
                <w:szCs w:val="22"/>
                <w:lang w:val="en-GB" w:eastAsia="fr-FR"/>
              </w:rPr>
              <w:t xml:space="preserve">AMICE members have strong concerns regarding EIOPA´s proposal to request an external audit of the Group SFCR. The Solvency II Directive should not require any form of external scrutiny or audit of </w:t>
            </w:r>
            <w:r>
              <w:rPr>
                <w:rFonts w:ascii="Verdana" w:hAnsi="Verdana"/>
                <w:color w:val="7F7F7F" w:themeColor="text1" w:themeTint="80"/>
                <w:sz w:val="22"/>
                <w:szCs w:val="22"/>
                <w:lang w:val="en-GB" w:eastAsia="fr-FR"/>
              </w:rPr>
              <w:t xml:space="preserve">the </w:t>
            </w:r>
            <w:r w:rsidRPr="00FE2D33">
              <w:rPr>
                <w:rFonts w:ascii="Verdana" w:hAnsi="Verdana"/>
                <w:color w:val="7F7F7F" w:themeColor="text1" w:themeTint="80"/>
                <w:sz w:val="22"/>
                <w:szCs w:val="22"/>
                <w:lang w:val="en-GB" w:eastAsia="fr-FR"/>
              </w:rPr>
              <w:t>Solvency II</w:t>
            </w:r>
            <w:r>
              <w:rPr>
                <w:rFonts w:ascii="Verdana" w:hAnsi="Verdana"/>
                <w:color w:val="7F7F7F" w:themeColor="text1" w:themeTint="80"/>
                <w:sz w:val="22"/>
                <w:szCs w:val="22"/>
                <w:lang w:val="en-GB" w:eastAsia="fr-FR"/>
              </w:rPr>
              <w:t xml:space="preserve"> information</w:t>
            </w:r>
            <w:r w:rsidRPr="00FE2D33">
              <w:rPr>
                <w:rFonts w:ascii="Verdana" w:hAnsi="Verdana"/>
                <w:color w:val="7F7F7F" w:themeColor="text1" w:themeTint="80"/>
                <w:sz w:val="22"/>
                <w:szCs w:val="22"/>
                <w:lang w:val="en-GB" w:eastAsia="fr-FR"/>
              </w:rPr>
              <w:t xml:space="preserve">. </w:t>
            </w:r>
          </w:p>
          <w:p w14:paraId="64253054" w14:textId="7D32A7FE" w:rsidR="006F5ECC" w:rsidRPr="00FE2D33" w:rsidRDefault="006F5ECC" w:rsidP="00020B14">
            <w:pPr>
              <w:tabs>
                <w:tab w:val="left" w:pos="0"/>
                <w:tab w:val="left" w:pos="4536"/>
              </w:tabs>
              <w:rPr>
                <w:rFonts w:ascii="Verdana" w:hAnsi="Verdana"/>
                <w:color w:val="7F7F7F" w:themeColor="text1" w:themeTint="80"/>
                <w:sz w:val="22"/>
                <w:szCs w:val="22"/>
                <w:lang w:val="en-US"/>
              </w:rPr>
            </w:pPr>
            <w:r w:rsidRPr="00FE2D33">
              <w:rPr>
                <w:rFonts w:ascii="Verdana" w:hAnsi="Verdana"/>
                <w:color w:val="7F7F7F" w:themeColor="text1" w:themeTint="80"/>
                <w:sz w:val="22"/>
                <w:szCs w:val="22"/>
                <w:lang w:val="en-US"/>
              </w:rPr>
              <w:t>We strongly reject EIOPA’s proposal here and in the previous consultation paper, to introduce an external audit requirement for the SFCR, be that for group or solo levels. This creates an unnecessary additional burden for the industry. We also question EIOPA’s calculations behind their proposal to extend the period of time to submit the report to 2+ weeks which we think is seriously flawed and not commensurate with the work actually involved in preparing the reports</w:t>
            </w:r>
            <w:r>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lastRenderedPageBreak/>
              <w:t>i</w:t>
            </w:r>
            <w:r w:rsidRPr="00FE2D33">
              <w:rPr>
                <w:rFonts w:ascii="Verdana" w:hAnsi="Verdana"/>
                <w:color w:val="7F7F7F" w:themeColor="text1" w:themeTint="80"/>
                <w:sz w:val="22"/>
                <w:szCs w:val="22"/>
                <w:lang w:val="en-US"/>
              </w:rPr>
              <w:t xml:space="preserve">ndeed </w:t>
            </w:r>
            <w:r>
              <w:rPr>
                <w:rFonts w:ascii="Verdana" w:hAnsi="Verdana"/>
                <w:color w:val="7F7F7F" w:themeColor="text1" w:themeTint="80"/>
                <w:sz w:val="22"/>
                <w:szCs w:val="22"/>
                <w:lang w:val="en-US"/>
              </w:rPr>
              <w:t>we query the added</w:t>
            </w:r>
            <w:r w:rsidRPr="00FE2D33">
              <w:rPr>
                <w:rFonts w:ascii="Verdana" w:hAnsi="Verdana"/>
                <w:color w:val="7F7F7F" w:themeColor="text1" w:themeTint="80"/>
                <w:sz w:val="22"/>
                <w:szCs w:val="22"/>
                <w:lang w:val="en-US"/>
              </w:rPr>
              <w:t xml:space="preserve"> value </w:t>
            </w:r>
            <w:r>
              <w:rPr>
                <w:rFonts w:ascii="Verdana" w:hAnsi="Verdana"/>
                <w:color w:val="7F7F7F" w:themeColor="text1" w:themeTint="80"/>
                <w:sz w:val="22"/>
                <w:szCs w:val="22"/>
                <w:lang w:val="en-US"/>
              </w:rPr>
              <w:t>that an</w:t>
            </w:r>
            <w:r w:rsidRPr="00FE2D33">
              <w:rPr>
                <w:rFonts w:ascii="Verdana" w:hAnsi="Verdana"/>
                <w:color w:val="7F7F7F" w:themeColor="text1" w:themeTint="80"/>
                <w:sz w:val="22"/>
                <w:szCs w:val="22"/>
                <w:lang w:val="en-US"/>
              </w:rPr>
              <w:t xml:space="preserve"> external review </w:t>
            </w:r>
            <w:r w:rsidRPr="008F52BD">
              <w:rPr>
                <w:rFonts w:ascii="Verdana" w:hAnsi="Verdana"/>
                <w:color w:val="7F7F7F" w:themeColor="text1" w:themeTint="80"/>
                <w:sz w:val="22"/>
                <w:szCs w:val="22"/>
                <w:lang w:val="en-US"/>
              </w:rPr>
              <w:t xml:space="preserve">could add in such a short timeframe unless the scope is extremely limited. EIOPA should consider that since the end of the transitional period, the timeline for reporting has already been reduced, and adding the audit requirement to the timelines beyond the transitional </w:t>
            </w:r>
            <w:r w:rsidRPr="00FE2D33">
              <w:rPr>
                <w:rFonts w:ascii="Verdana" w:hAnsi="Verdana"/>
                <w:color w:val="7F7F7F" w:themeColor="text1" w:themeTint="80"/>
                <w:sz w:val="22"/>
                <w:szCs w:val="22"/>
                <w:lang w:val="en-US"/>
              </w:rPr>
              <w:t>period is very ambitious indeed, as it will seriously curtail the time in preparing the reports. The further time needed for the audit will come at the expense of shortening the period of time used in preparing the SFCR, impacting on the quality of the report.</w:t>
            </w:r>
          </w:p>
          <w:p w14:paraId="01BC006E" w14:textId="77777777" w:rsidR="006F5ECC" w:rsidRPr="00FE2D33" w:rsidRDefault="006F5ECC" w:rsidP="00020B14">
            <w:pPr>
              <w:tabs>
                <w:tab w:val="left" w:pos="0"/>
                <w:tab w:val="left" w:pos="4536"/>
              </w:tabs>
              <w:rPr>
                <w:rFonts w:ascii="Verdana" w:hAnsi="Verdana"/>
                <w:color w:val="7F7F7F" w:themeColor="text1" w:themeTint="80"/>
                <w:sz w:val="22"/>
                <w:szCs w:val="22"/>
                <w:lang w:val="en-US"/>
              </w:rPr>
            </w:pPr>
          </w:p>
          <w:p w14:paraId="24691D62" w14:textId="12E08BF9" w:rsidR="006F5ECC" w:rsidRPr="00FE2D33" w:rsidRDefault="006F5ECC" w:rsidP="00020B14">
            <w:pPr>
              <w:tabs>
                <w:tab w:val="left" w:pos="0"/>
                <w:tab w:val="left" w:pos="4536"/>
              </w:tabs>
              <w:rPr>
                <w:rFonts w:ascii="Verdana" w:hAnsi="Verdana"/>
                <w:color w:val="7F7F7F" w:themeColor="text1" w:themeTint="80"/>
                <w:sz w:val="22"/>
                <w:szCs w:val="22"/>
                <w:lang w:val="en-US"/>
              </w:rPr>
            </w:pPr>
            <w:r w:rsidRPr="00FE2D33">
              <w:rPr>
                <w:rFonts w:ascii="Verdana" w:hAnsi="Verdana"/>
                <w:color w:val="7F7F7F" w:themeColor="text1" w:themeTint="80"/>
                <w:sz w:val="22"/>
                <w:szCs w:val="22"/>
                <w:lang w:val="en-US"/>
              </w:rPr>
              <w:t xml:space="preserve">We think that many of the concerns that EIOPA raises when introducing </w:t>
            </w:r>
            <w:r>
              <w:rPr>
                <w:rFonts w:ascii="Verdana" w:hAnsi="Verdana"/>
                <w:color w:val="7F7F7F" w:themeColor="text1" w:themeTint="80"/>
                <w:sz w:val="22"/>
                <w:szCs w:val="22"/>
                <w:lang w:val="en-US"/>
              </w:rPr>
              <w:t xml:space="preserve">the </w:t>
            </w:r>
            <w:r w:rsidRPr="00FE2D33">
              <w:rPr>
                <w:rFonts w:ascii="Verdana" w:hAnsi="Verdana"/>
                <w:color w:val="7F7F7F" w:themeColor="text1" w:themeTint="80"/>
                <w:sz w:val="22"/>
                <w:szCs w:val="22"/>
                <w:lang w:val="en-US"/>
              </w:rPr>
              <w:t xml:space="preserve">audit requirement </w:t>
            </w:r>
            <w:r>
              <w:rPr>
                <w:rFonts w:ascii="Verdana" w:hAnsi="Verdana"/>
                <w:color w:val="7F7F7F" w:themeColor="text1" w:themeTint="80"/>
                <w:sz w:val="22"/>
                <w:szCs w:val="22"/>
                <w:lang w:val="en-US"/>
              </w:rPr>
              <w:t>with</w:t>
            </w:r>
            <w:r w:rsidRPr="00FE2D33">
              <w:rPr>
                <w:rFonts w:ascii="Verdana" w:hAnsi="Verdana"/>
                <w:color w:val="7F7F7F" w:themeColor="text1" w:themeTint="80"/>
                <w:sz w:val="22"/>
                <w:szCs w:val="22"/>
                <w:lang w:val="en-US"/>
              </w:rPr>
              <w:t xml:space="preserve"> regards to data quality </w:t>
            </w:r>
            <w:r>
              <w:rPr>
                <w:rFonts w:ascii="Verdana" w:hAnsi="Verdana"/>
                <w:color w:val="7F7F7F" w:themeColor="text1" w:themeTint="80"/>
                <w:sz w:val="22"/>
                <w:szCs w:val="22"/>
                <w:lang w:val="en-US"/>
              </w:rPr>
              <w:t>of the information included in the reports</w:t>
            </w:r>
            <w:r w:rsidRPr="00FE2D33">
              <w:rPr>
                <w:rFonts w:ascii="Verdana" w:hAnsi="Verdana"/>
                <w:color w:val="7F7F7F" w:themeColor="text1" w:themeTint="80"/>
                <w:sz w:val="22"/>
                <w:szCs w:val="22"/>
                <w:lang w:val="en-US"/>
              </w:rPr>
              <w:t xml:space="preserve"> </w:t>
            </w:r>
            <w:r w:rsidRPr="0065738C">
              <w:rPr>
                <w:rFonts w:ascii="Verdana" w:hAnsi="Verdana"/>
                <w:color w:val="7F7F7F" w:themeColor="text1" w:themeTint="80"/>
                <w:sz w:val="22"/>
                <w:szCs w:val="22"/>
                <w:lang w:val="en-US"/>
              </w:rPr>
              <w:t>could be addressed instead by strengthening/highlighting those as part of the supervisory review process;</w:t>
            </w:r>
            <w:r w:rsidRPr="00FE2D33">
              <w:rPr>
                <w:rFonts w:ascii="Verdana" w:hAnsi="Verdana"/>
                <w:color w:val="7F7F7F" w:themeColor="text1" w:themeTint="80"/>
                <w:sz w:val="22"/>
                <w:szCs w:val="22"/>
                <w:lang w:val="en-US"/>
              </w:rPr>
              <w:t xml:space="preserve"> Confer what is expected from the supervisory review process as set out in the extensive set of reviews listed in </w:t>
            </w:r>
            <w:r>
              <w:rPr>
                <w:rFonts w:ascii="Verdana" w:hAnsi="Verdana"/>
                <w:color w:val="7F7F7F" w:themeColor="text1" w:themeTint="80"/>
                <w:sz w:val="22"/>
                <w:szCs w:val="22"/>
                <w:lang w:val="en-US"/>
              </w:rPr>
              <w:t>Article 36 of the Solvency II Directive</w:t>
            </w:r>
            <w:r w:rsidRPr="00FE2D33">
              <w:rPr>
                <w:rFonts w:ascii="Verdana" w:hAnsi="Verdana"/>
                <w:color w:val="7F7F7F" w:themeColor="text1" w:themeTint="80"/>
                <w:sz w:val="22"/>
                <w:szCs w:val="22"/>
                <w:lang w:val="en-US"/>
              </w:rPr>
              <w:t xml:space="preserve"> which all serve to enhance the quality of the regulatory reporting, including the SFCR report, in more or less the same ways that EIOPA is hoping will be achieved through the introduction of an external audit requirement of the content of the SFCR</w:t>
            </w:r>
            <w:r>
              <w:rPr>
                <w:rFonts w:ascii="Verdana" w:hAnsi="Verdana"/>
                <w:color w:val="7F7F7F" w:themeColor="text1" w:themeTint="80"/>
                <w:sz w:val="22"/>
                <w:szCs w:val="22"/>
                <w:lang w:val="en-US"/>
              </w:rPr>
              <w:t>.</w:t>
            </w:r>
            <w:r w:rsidRPr="00FE2D33">
              <w:rPr>
                <w:rFonts w:ascii="Verdana" w:hAnsi="Verdana"/>
                <w:color w:val="7F7F7F" w:themeColor="text1" w:themeTint="80"/>
                <w:sz w:val="22"/>
                <w:szCs w:val="22"/>
                <w:lang w:val="en-US"/>
              </w:rPr>
              <w:t xml:space="preserve"> </w:t>
            </w:r>
          </w:p>
          <w:p w14:paraId="6ACCBBCC" w14:textId="58B6E32A" w:rsidR="006F5ECC" w:rsidRPr="00FE2D33" w:rsidRDefault="006F5ECC" w:rsidP="00020B14">
            <w:pPr>
              <w:tabs>
                <w:tab w:val="left" w:pos="0"/>
                <w:tab w:val="left" w:pos="4536"/>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4B4D6656"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27DC1482"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5D51BEC" w14:textId="290F19C2" w:rsidR="006F5ECC" w:rsidRPr="001C20F5" w:rsidRDefault="006F5ECC" w:rsidP="00020B14">
            <w:pPr>
              <w:tabs>
                <w:tab w:val="left" w:pos="0"/>
                <w:tab w:val="left" w:pos="4536"/>
              </w:tabs>
              <w:ind w:left="-96"/>
              <w:rPr>
                <w:lang w:val="en-US"/>
              </w:rPr>
            </w:pPr>
            <w:r w:rsidRPr="00650464">
              <w:rPr>
                <w:rFonts w:ascii="Verdana" w:hAnsi="Verdana"/>
                <w:color w:val="7F7F7F" w:themeColor="text1" w:themeTint="80"/>
                <w:sz w:val="22"/>
                <w:szCs w:val="22"/>
                <w:lang w:val="en-GB" w:eastAsia="fr-FR"/>
              </w:rPr>
              <w:t>7</w:t>
            </w:r>
          </w:p>
        </w:tc>
        <w:tc>
          <w:tcPr>
            <w:tcW w:w="506" w:type="pct"/>
            <w:gridSpan w:val="2"/>
            <w:tcBorders>
              <w:top w:val="single" w:sz="4" w:space="0" w:color="auto"/>
              <w:left w:val="single" w:sz="4" w:space="0" w:color="auto"/>
              <w:bottom w:val="single" w:sz="4" w:space="0" w:color="auto"/>
              <w:right w:val="single" w:sz="4" w:space="0" w:color="auto"/>
            </w:tcBorders>
          </w:tcPr>
          <w:p w14:paraId="7B9CE334" w14:textId="089F6838" w:rsidR="006F5ECC" w:rsidRPr="001C20F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151</w:t>
            </w:r>
          </w:p>
        </w:tc>
        <w:tc>
          <w:tcPr>
            <w:tcW w:w="1999" w:type="pct"/>
            <w:tcBorders>
              <w:top w:val="single" w:sz="4" w:space="0" w:color="auto"/>
              <w:left w:val="single" w:sz="4" w:space="0" w:color="auto"/>
              <w:bottom w:val="single" w:sz="4" w:space="0" w:color="auto"/>
              <w:right w:val="single" w:sz="4" w:space="0" w:color="auto"/>
            </w:tcBorders>
          </w:tcPr>
          <w:p w14:paraId="17CE7C5A" w14:textId="77777777" w:rsidR="006F5ECC" w:rsidRPr="00E2323C" w:rsidRDefault="006F5ECC" w:rsidP="00020B14">
            <w:pPr>
              <w:tabs>
                <w:tab w:val="left" w:pos="0"/>
                <w:tab w:val="left" w:pos="4536"/>
              </w:tabs>
              <w:rPr>
                <w:rFonts w:ascii="Verdana" w:hAnsi="Verdana"/>
                <w:b/>
                <w:bCs/>
                <w:color w:val="7F7F7F"/>
                <w:sz w:val="22"/>
                <w:szCs w:val="22"/>
                <w:lang w:val="en-GB" w:eastAsia="fr-FR"/>
              </w:rPr>
            </w:pPr>
            <w:r w:rsidRPr="00E2323C">
              <w:rPr>
                <w:rFonts w:ascii="Verdana" w:hAnsi="Verdana"/>
                <w:b/>
                <w:bCs/>
                <w:color w:val="7F7F7F"/>
                <w:sz w:val="22"/>
                <w:szCs w:val="22"/>
                <w:lang w:val="en-US"/>
              </w:rPr>
              <w:t>Templates used in the SFCR</w:t>
            </w:r>
            <w:r w:rsidRPr="00E2323C">
              <w:rPr>
                <w:rFonts w:ascii="Verdana" w:hAnsi="Verdana"/>
                <w:b/>
                <w:bCs/>
                <w:color w:val="7F7F7F"/>
                <w:sz w:val="22"/>
                <w:szCs w:val="22"/>
                <w:lang w:val="en-GB" w:eastAsia="fr-FR"/>
              </w:rPr>
              <w:t xml:space="preserve"> </w:t>
            </w:r>
          </w:p>
          <w:p w14:paraId="0CAC5EEA" w14:textId="372860C1" w:rsidR="006F5ECC" w:rsidRDefault="006F5ECC" w:rsidP="00020B14">
            <w:pPr>
              <w:tabs>
                <w:tab w:val="left" w:pos="0"/>
                <w:tab w:val="left" w:pos="4536"/>
              </w:tabs>
              <w:spacing w:after="120"/>
              <w:rPr>
                <w:rFonts w:ascii="Verdana" w:hAnsi="Verdana"/>
                <w:color w:val="7F7F7F" w:themeColor="text1" w:themeTint="80"/>
                <w:sz w:val="22"/>
                <w:szCs w:val="22"/>
                <w:lang w:val="en-US"/>
              </w:rPr>
            </w:pPr>
            <w:r w:rsidRPr="00E2323C">
              <w:rPr>
                <w:rFonts w:ascii="Verdana" w:hAnsi="Verdana"/>
                <w:color w:val="7F7F7F" w:themeColor="text1" w:themeTint="80"/>
                <w:sz w:val="22"/>
                <w:szCs w:val="22"/>
                <w:lang w:val="en-US"/>
              </w:rPr>
              <w:t xml:space="preserve">Generally, it is very hard to gain </w:t>
            </w:r>
            <w:r>
              <w:rPr>
                <w:rFonts w:ascii="Verdana" w:hAnsi="Verdana"/>
                <w:color w:val="7F7F7F" w:themeColor="text1" w:themeTint="80"/>
                <w:sz w:val="22"/>
                <w:szCs w:val="22"/>
                <w:lang w:val="en-US"/>
              </w:rPr>
              <w:t>a</w:t>
            </w:r>
            <w:r w:rsidRPr="00E2323C">
              <w:rPr>
                <w:rFonts w:ascii="Verdana" w:hAnsi="Verdana"/>
                <w:color w:val="7F7F7F" w:themeColor="text1" w:themeTint="80"/>
                <w:sz w:val="22"/>
                <w:szCs w:val="22"/>
                <w:lang w:val="en-US"/>
              </w:rPr>
              <w:t xml:space="preserve"> full perspective of the changes EIOPA is proposing</w:t>
            </w:r>
            <w:r>
              <w:rPr>
                <w:rFonts w:ascii="Verdana" w:hAnsi="Verdana"/>
                <w:color w:val="7F7F7F" w:themeColor="text1" w:themeTint="80"/>
                <w:sz w:val="22"/>
                <w:szCs w:val="22"/>
                <w:lang w:val="en-US"/>
              </w:rPr>
              <w:t xml:space="preserve">; </w:t>
            </w:r>
            <w:r w:rsidRPr="00E2323C">
              <w:rPr>
                <w:rFonts w:ascii="Verdana" w:hAnsi="Verdana"/>
                <w:color w:val="7F7F7F" w:themeColor="text1" w:themeTint="80"/>
                <w:sz w:val="22"/>
                <w:szCs w:val="22"/>
                <w:lang w:val="en-US"/>
              </w:rPr>
              <w:t xml:space="preserve">EIOPA mentions that they intend to keep unchanged the templates that are currently </w:t>
            </w:r>
            <w:r>
              <w:rPr>
                <w:rFonts w:ascii="Verdana" w:hAnsi="Verdana"/>
                <w:color w:val="7F7F7F" w:themeColor="text1" w:themeTint="80"/>
                <w:sz w:val="22"/>
                <w:szCs w:val="22"/>
                <w:lang w:val="en-US"/>
              </w:rPr>
              <w:t xml:space="preserve">being </w:t>
            </w:r>
            <w:r w:rsidRPr="00E2323C">
              <w:rPr>
                <w:rFonts w:ascii="Verdana" w:hAnsi="Verdana"/>
                <w:color w:val="7F7F7F" w:themeColor="text1" w:themeTint="80"/>
                <w:sz w:val="22"/>
                <w:szCs w:val="22"/>
                <w:lang w:val="en-US"/>
              </w:rPr>
              <w:t>disclosed</w:t>
            </w:r>
            <w:r>
              <w:rPr>
                <w:rFonts w:ascii="Verdana" w:hAnsi="Verdana"/>
                <w:color w:val="7F7F7F" w:themeColor="text1" w:themeTint="80"/>
                <w:sz w:val="22"/>
                <w:szCs w:val="22"/>
                <w:lang w:val="en-US"/>
              </w:rPr>
              <w:t>,</w:t>
            </w:r>
            <w:r w:rsidRPr="00E2323C">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h</w:t>
            </w:r>
            <w:r w:rsidRPr="00E2323C">
              <w:rPr>
                <w:rFonts w:ascii="Verdana" w:hAnsi="Verdana"/>
                <w:color w:val="7F7F7F" w:themeColor="text1" w:themeTint="80"/>
                <w:sz w:val="22"/>
                <w:szCs w:val="22"/>
                <w:lang w:val="en-US"/>
              </w:rPr>
              <w:t xml:space="preserve">owever there </w:t>
            </w:r>
            <w:r>
              <w:rPr>
                <w:rFonts w:ascii="Verdana" w:hAnsi="Verdana"/>
                <w:color w:val="7F7F7F" w:themeColor="text1" w:themeTint="80"/>
                <w:sz w:val="22"/>
                <w:szCs w:val="22"/>
                <w:lang w:val="en-US"/>
              </w:rPr>
              <w:t>have been</w:t>
            </w:r>
            <w:r w:rsidRPr="00E2323C">
              <w:rPr>
                <w:rFonts w:ascii="Verdana" w:hAnsi="Verdana"/>
                <w:color w:val="7F7F7F" w:themeColor="text1" w:themeTint="80"/>
                <w:sz w:val="22"/>
                <w:szCs w:val="22"/>
                <w:lang w:val="en-US"/>
              </w:rPr>
              <w:t xml:space="preserve"> a </w:t>
            </w:r>
            <w:r>
              <w:rPr>
                <w:rFonts w:ascii="Verdana" w:hAnsi="Verdana"/>
                <w:color w:val="7F7F7F" w:themeColor="text1" w:themeTint="80"/>
                <w:sz w:val="22"/>
                <w:szCs w:val="22"/>
                <w:lang w:val="en-US"/>
              </w:rPr>
              <w:t>significant number of</w:t>
            </w:r>
            <w:r w:rsidRPr="00E2323C">
              <w:rPr>
                <w:rFonts w:ascii="Verdana" w:hAnsi="Verdana"/>
                <w:color w:val="7F7F7F" w:themeColor="text1" w:themeTint="80"/>
                <w:sz w:val="22"/>
                <w:szCs w:val="22"/>
                <w:lang w:val="en-US"/>
              </w:rPr>
              <w:t xml:space="preserve"> changes proposed as part of the July </w:t>
            </w:r>
            <w:r w:rsidRPr="00E2323C">
              <w:rPr>
                <w:rFonts w:ascii="Verdana" w:hAnsi="Verdana"/>
                <w:color w:val="7F7F7F" w:themeColor="text1" w:themeTint="80"/>
                <w:sz w:val="22"/>
                <w:szCs w:val="22"/>
                <w:lang w:val="en-US"/>
              </w:rPr>
              <w:lastRenderedPageBreak/>
              <w:t xml:space="preserve">Consultation and </w:t>
            </w:r>
            <w:r>
              <w:rPr>
                <w:rFonts w:ascii="Verdana" w:hAnsi="Verdana"/>
                <w:color w:val="7F7F7F" w:themeColor="text1" w:themeTint="80"/>
                <w:sz w:val="22"/>
                <w:szCs w:val="22"/>
                <w:lang w:val="en-US"/>
              </w:rPr>
              <w:t>there is not clarity yet</w:t>
            </w:r>
            <w:r w:rsidRPr="00E2323C">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as to</w:t>
            </w:r>
            <w:r w:rsidRPr="00E2323C">
              <w:rPr>
                <w:rFonts w:ascii="Verdana" w:hAnsi="Verdana"/>
                <w:color w:val="7F7F7F" w:themeColor="text1" w:themeTint="80"/>
                <w:sz w:val="22"/>
                <w:szCs w:val="22"/>
                <w:lang w:val="en-US"/>
              </w:rPr>
              <w:t xml:space="preserve"> wh</w:t>
            </w:r>
            <w:r>
              <w:rPr>
                <w:rFonts w:ascii="Verdana" w:hAnsi="Verdana"/>
                <w:color w:val="7F7F7F" w:themeColor="text1" w:themeTint="80"/>
                <w:sz w:val="22"/>
                <w:szCs w:val="22"/>
                <w:lang w:val="en-US"/>
              </w:rPr>
              <w:t>ether the proposed</w:t>
            </w:r>
            <w:r w:rsidRPr="00E2323C">
              <w:rPr>
                <w:rFonts w:ascii="Verdana" w:hAnsi="Verdana"/>
                <w:color w:val="7F7F7F" w:themeColor="text1" w:themeTint="80"/>
                <w:sz w:val="22"/>
                <w:szCs w:val="22"/>
                <w:lang w:val="en-US"/>
              </w:rPr>
              <w:t xml:space="preserve"> changes are due </w:t>
            </w:r>
            <w:r>
              <w:rPr>
                <w:rFonts w:ascii="Verdana" w:hAnsi="Verdana"/>
                <w:color w:val="7F7F7F" w:themeColor="text1" w:themeTint="80"/>
                <w:sz w:val="22"/>
                <w:szCs w:val="22"/>
                <w:lang w:val="en-US"/>
              </w:rPr>
              <w:t>on the</w:t>
            </w:r>
            <w:r w:rsidRPr="00E2323C">
              <w:rPr>
                <w:rFonts w:ascii="Verdana" w:hAnsi="Verdana"/>
                <w:color w:val="7F7F7F" w:themeColor="text1" w:themeTint="80"/>
                <w:sz w:val="22"/>
                <w:szCs w:val="22"/>
                <w:lang w:val="en-US"/>
              </w:rPr>
              <w:t xml:space="preserve"> QRTs</w:t>
            </w:r>
            <w:r>
              <w:rPr>
                <w:rFonts w:ascii="Verdana" w:hAnsi="Verdana"/>
                <w:color w:val="7F7F7F" w:themeColor="text1" w:themeTint="80"/>
                <w:sz w:val="22"/>
                <w:szCs w:val="22"/>
                <w:lang w:val="en-US"/>
              </w:rPr>
              <w:t xml:space="preserve"> which are publicly disclosed</w:t>
            </w:r>
            <w:r w:rsidRPr="00E2323C">
              <w:rPr>
                <w:rFonts w:ascii="Verdana" w:hAnsi="Verdana"/>
                <w:color w:val="7F7F7F" w:themeColor="text1" w:themeTint="80"/>
                <w:sz w:val="22"/>
                <w:szCs w:val="22"/>
                <w:lang w:val="en-US"/>
              </w:rPr>
              <w:t xml:space="preserve">. </w:t>
            </w:r>
          </w:p>
          <w:p w14:paraId="06F56BDB" w14:textId="73E706CD" w:rsidR="006F5ECC" w:rsidRPr="00E2323C" w:rsidRDefault="006F5ECC" w:rsidP="00020B14">
            <w:pPr>
              <w:tabs>
                <w:tab w:val="left" w:pos="0"/>
                <w:tab w:val="left" w:pos="4536"/>
              </w:tabs>
              <w:spacing w:before="120" w:after="120"/>
              <w:rPr>
                <w:rFonts w:ascii="Verdana" w:hAnsi="Verdana"/>
                <w:color w:val="7F7F7F" w:themeColor="text1" w:themeTint="80"/>
                <w:sz w:val="22"/>
                <w:szCs w:val="22"/>
                <w:lang w:val="en-US"/>
              </w:rPr>
            </w:pPr>
            <w:r>
              <w:rPr>
                <w:rFonts w:ascii="Verdana" w:hAnsi="Verdana"/>
                <w:color w:val="7F7F7F" w:themeColor="text1" w:themeTint="80"/>
                <w:sz w:val="22"/>
                <w:szCs w:val="22"/>
                <w:lang w:val="en-US"/>
              </w:rPr>
              <w:t xml:space="preserve">Concerning the EIOPA’s </w:t>
            </w:r>
            <w:r w:rsidRPr="00E2323C">
              <w:rPr>
                <w:rFonts w:ascii="Verdana" w:hAnsi="Verdana"/>
                <w:color w:val="7F7F7F" w:themeColor="text1" w:themeTint="80"/>
                <w:sz w:val="22"/>
                <w:szCs w:val="22"/>
                <w:lang w:val="en-US"/>
              </w:rPr>
              <w:t xml:space="preserve">ambition to reduce </w:t>
            </w:r>
            <w:r>
              <w:rPr>
                <w:rFonts w:ascii="Verdana" w:hAnsi="Verdana"/>
                <w:color w:val="7F7F7F" w:themeColor="text1" w:themeTint="80"/>
                <w:sz w:val="22"/>
                <w:szCs w:val="22"/>
                <w:lang w:val="en-US"/>
              </w:rPr>
              <w:t xml:space="preserve">the </w:t>
            </w:r>
            <w:r w:rsidRPr="00E2323C">
              <w:rPr>
                <w:rFonts w:ascii="Verdana" w:hAnsi="Verdana"/>
                <w:color w:val="7F7F7F" w:themeColor="text1" w:themeTint="80"/>
                <w:sz w:val="22"/>
                <w:szCs w:val="22"/>
                <w:lang w:val="en-US"/>
              </w:rPr>
              <w:t xml:space="preserve">overall reporting burden, </w:t>
            </w:r>
            <w:r>
              <w:rPr>
                <w:rFonts w:ascii="Verdana" w:hAnsi="Verdana"/>
                <w:color w:val="7F7F7F" w:themeColor="text1" w:themeTint="80"/>
                <w:sz w:val="22"/>
                <w:szCs w:val="22"/>
                <w:lang w:val="en-US"/>
              </w:rPr>
              <w:t xml:space="preserve">we believe that </w:t>
            </w:r>
            <w:r w:rsidRPr="00E2323C">
              <w:rPr>
                <w:rFonts w:ascii="Verdana" w:hAnsi="Verdana"/>
                <w:color w:val="7F7F7F" w:themeColor="text1" w:themeTint="80"/>
                <w:sz w:val="22"/>
                <w:szCs w:val="22"/>
                <w:lang w:val="en-US"/>
              </w:rPr>
              <w:t>not enough has been done in this regard.</w:t>
            </w:r>
          </w:p>
          <w:p w14:paraId="10377486" w14:textId="0D2C5244" w:rsidR="006F5ECC" w:rsidRPr="00E2323C" w:rsidRDefault="006F5ECC" w:rsidP="00020B14">
            <w:pPr>
              <w:tabs>
                <w:tab w:val="left" w:pos="0"/>
                <w:tab w:val="left" w:pos="4536"/>
              </w:tabs>
              <w:rPr>
                <w:rFonts w:ascii="Verdana" w:hAnsi="Verdana"/>
                <w:color w:val="7F7F7F" w:themeColor="text1" w:themeTint="80"/>
                <w:sz w:val="22"/>
                <w:szCs w:val="22"/>
                <w:lang w:val="en-US"/>
              </w:rPr>
            </w:pPr>
            <w:r>
              <w:rPr>
                <w:rFonts w:ascii="Verdana" w:hAnsi="Verdana"/>
                <w:color w:val="7F7F7F" w:themeColor="text1" w:themeTint="80"/>
                <w:sz w:val="22"/>
                <w:szCs w:val="22"/>
                <w:lang w:val="en-US"/>
              </w:rPr>
              <w:t xml:space="preserve">Furthermore, </w:t>
            </w:r>
            <w:r w:rsidRPr="00E2323C">
              <w:rPr>
                <w:rFonts w:ascii="Verdana" w:hAnsi="Verdana"/>
                <w:color w:val="7F7F7F" w:themeColor="text1" w:themeTint="80"/>
                <w:sz w:val="22"/>
                <w:szCs w:val="22"/>
                <w:lang w:val="en-US"/>
              </w:rPr>
              <w:t>the QRTs and the public disclosure templates should continue to be closely aligned or the same to ensure there is not duplication of effort.</w:t>
            </w:r>
          </w:p>
          <w:p w14:paraId="3A7DE27E" w14:textId="77777777" w:rsidR="006F5ECC" w:rsidRPr="00E2323C" w:rsidRDefault="006F5ECC" w:rsidP="00020B14">
            <w:pPr>
              <w:tabs>
                <w:tab w:val="left" w:pos="0"/>
                <w:tab w:val="left" w:pos="4536"/>
              </w:tabs>
              <w:rPr>
                <w:rFonts w:ascii="Verdana" w:hAnsi="Verdana"/>
                <w:color w:val="7F7F7F" w:themeColor="text1" w:themeTint="80"/>
                <w:sz w:val="22"/>
                <w:szCs w:val="22"/>
                <w:lang w:val="en-US"/>
              </w:rPr>
            </w:pPr>
          </w:p>
          <w:p w14:paraId="4CC5441E" w14:textId="1F340D47" w:rsidR="006F5ECC" w:rsidRPr="00C17BF3" w:rsidRDefault="006F5ECC" w:rsidP="00020B14">
            <w:pPr>
              <w:tabs>
                <w:tab w:val="left" w:pos="0"/>
                <w:tab w:val="left" w:pos="4536"/>
              </w:tabs>
              <w:rPr>
                <w:rFonts w:ascii="Verdana" w:hAnsi="Verdana"/>
                <w:color w:val="7F7F7F"/>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46D3010C"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4A579E7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10B8F53" w14:textId="37DFBDD0" w:rsidR="006F5ECC" w:rsidRPr="001C20F5" w:rsidRDefault="006F5ECC" w:rsidP="00020B14">
            <w:pPr>
              <w:tabs>
                <w:tab w:val="left" w:pos="0"/>
                <w:tab w:val="left" w:pos="4536"/>
              </w:tabs>
              <w:ind w:left="-96"/>
              <w:rPr>
                <w:lang w:val="en-US"/>
              </w:rPr>
            </w:pPr>
            <w:r w:rsidRPr="00650464">
              <w:rPr>
                <w:rFonts w:ascii="Verdana" w:hAnsi="Verdana"/>
                <w:color w:val="7F7F7F" w:themeColor="text1" w:themeTint="80"/>
                <w:sz w:val="22"/>
                <w:szCs w:val="22"/>
                <w:lang w:val="en-GB" w:eastAsia="fr-FR"/>
              </w:rPr>
              <w:t>7</w:t>
            </w:r>
          </w:p>
        </w:tc>
        <w:tc>
          <w:tcPr>
            <w:tcW w:w="506" w:type="pct"/>
            <w:gridSpan w:val="2"/>
            <w:tcBorders>
              <w:top w:val="single" w:sz="4" w:space="0" w:color="auto"/>
              <w:left w:val="single" w:sz="4" w:space="0" w:color="auto"/>
              <w:bottom w:val="single" w:sz="4" w:space="0" w:color="auto"/>
              <w:right w:val="single" w:sz="4" w:space="0" w:color="auto"/>
            </w:tcBorders>
          </w:tcPr>
          <w:p w14:paraId="738643A8" w14:textId="2CE0AFA4" w:rsidR="006F5ECC" w:rsidRPr="001C20F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 xml:space="preserve">157 </w:t>
            </w:r>
          </w:p>
        </w:tc>
        <w:tc>
          <w:tcPr>
            <w:tcW w:w="1999" w:type="pct"/>
            <w:tcBorders>
              <w:top w:val="single" w:sz="4" w:space="0" w:color="auto"/>
              <w:left w:val="single" w:sz="4" w:space="0" w:color="auto"/>
              <w:bottom w:val="single" w:sz="4" w:space="0" w:color="auto"/>
              <w:right w:val="single" w:sz="4" w:space="0" w:color="auto"/>
            </w:tcBorders>
          </w:tcPr>
          <w:p w14:paraId="12C05E03" w14:textId="185253F0" w:rsidR="006F5ECC" w:rsidRPr="00CF2245" w:rsidRDefault="006F5ECC" w:rsidP="00020B14">
            <w:pPr>
              <w:tabs>
                <w:tab w:val="left" w:pos="0"/>
                <w:tab w:val="left" w:pos="4536"/>
              </w:tabs>
              <w:spacing w:before="120" w:line="257" w:lineRule="auto"/>
              <w:rPr>
                <w:rFonts w:ascii="Verdana" w:hAnsi="Verdana" w:cstheme="minorHAnsi"/>
                <w:b/>
                <w:bCs/>
                <w:color w:val="7F7F7F" w:themeColor="text1" w:themeTint="80"/>
                <w:sz w:val="22"/>
                <w:szCs w:val="22"/>
                <w:lang w:val="en-US"/>
              </w:rPr>
            </w:pPr>
            <w:r w:rsidRPr="00CF2245">
              <w:rPr>
                <w:rFonts w:ascii="Verdana" w:hAnsi="Verdana" w:cstheme="minorHAnsi"/>
                <w:b/>
                <w:bCs/>
                <w:color w:val="7F7F7F" w:themeColor="text1" w:themeTint="80"/>
                <w:sz w:val="22"/>
                <w:szCs w:val="22"/>
                <w:lang w:val="en-US"/>
              </w:rPr>
              <w:t>EIOPA’s Advice on Single SFCR</w:t>
            </w:r>
          </w:p>
          <w:p w14:paraId="7D3F69C2" w14:textId="33AA2AF9" w:rsidR="006F5ECC" w:rsidRPr="00CF2245" w:rsidRDefault="006F5ECC" w:rsidP="00020B14">
            <w:pPr>
              <w:tabs>
                <w:tab w:val="left" w:pos="0"/>
                <w:tab w:val="left" w:pos="4536"/>
              </w:tabs>
              <w:spacing w:after="120" w:line="257" w:lineRule="auto"/>
              <w:rPr>
                <w:rFonts w:ascii="Verdana" w:hAnsi="Verdana" w:cstheme="minorHAnsi"/>
                <w:color w:val="7F7F7F" w:themeColor="text1" w:themeTint="80"/>
                <w:sz w:val="22"/>
                <w:szCs w:val="22"/>
                <w:lang w:val="en-US"/>
              </w:rPr>
            </w:pPr>
            <w:r w:rsidRPr="00CF2245">
              <w:rPr>
                <w:rFonts w:ascii="Verdana" w:hAnsi="Verdana" w:cstheme="minorHAnsi"/>
                <w:color w:val="7F7F7F" w:themeColor="text1" w:themeTint="80"/>
                <w:sz w:val="22"/>
                <w:szCs w:val="22"/>
                <w:lang w:val="en-US"/>
              </w:rPr>
              <w:t xml:space="preserve">We reject the proposals with regards to the Single Solvency </w:t>
            </w:r>
            <w:r>
              <w:rPr>
                <w:rFonts w:ascii="Verdana" w:hAnsi="Verdana" w:cstheme="minorHAnsi"/>
                <w:color w:val="7F7F7F" w:themeColor="text1" w:themeTint="80"/>
                <w:sz w:val="22"/>
                <w:szCs w:val="22"/>
                <w:lang w:val="en-US"/>
              </w:rPr>
              <w:t xml:space="preserve">and Financial Condition </w:t>
            </w:r>
            <w:r w:rsidRPr="00CF2245">
              <w:rPr>
                <w:rFonts w:ascii="Verdana" w:hAnsi="Verdana" w:cstheme="minorHAnsi"/>
                <w:color w:val="7F7F7F" w:themeColor="text1" w:themeTint="80"/>
                <w:sz w:val="22"/>
                <w:szCs w:val="22"/>
                <w:lang w:val="en-US"/>
              </w:rPr>
              <w:t>Report</w:t>
            </w:r>
            <w:r>
              <w:rPr>
                <w:rFonts w:ascii="Verdana" w:hAnsi="Verdana" w:cstheme="minorHAnsi"/>
                <w:color w:val="7F7F7F" w:themeColor="text1" w:themeTint="80"/>
                <w:sz w:val="22"/>
                <w:szCs w:val="22"/>
                <w:lang w:val="en-US"/>
              </w:rPr>
              <w:t xml:space="preserve"> (i.e. SFCR)</w:t>
            </w:r>
            <w:r w:rsidRPr="00CF2245">
              <w:rPr>
                <w:rFonts w:ascii="Verdana" w:hAnsi="Verdana" w:cstheme="minorHAnsi"/>
                <w:color w:val="7F7F7F" w:themeColor="text1" w:themeTint="80"/>
                <w:sz w:val="22"/>
                <w:szCs w:val="22"/>
                <w:lang w:val="en-US"/>
              </w:rPr>
              <w:t xml:space="preserve"> as we believe they are “off the track” and risk reducing its use in </w:t>
            </w:r>
            <w:r>
              <w:rPr>
                <w:rFonts w:ascii="Verdana" w:hAnsi="Verdana" w:cstheme="minorHAnsi"/>
                <w:color w:val="7F7F7F" w:themeColor="text1" w:themeTint="80"/>
                <w:sz w:val="22"/>
                <w:szCs w:val="22"/>
                <w:lang w:val="en-US"/>
              </w:rPr>
              <w:t xml:space="preserve">the </w:t>
            </w:r>
            <w:r w:rsidRPr="00CF2245">
              <w:rPr>
                <w:rFonts w:ascii="Verdana" w:hAnsi="Verdana" w:cstheme="minorHAnsi"/>
                <w:color w:val="7F7F7F" w:themeColor="text1" w:themeTint="80"/>
                <w:sz w:val="22"/>
                <w:szCs w:val="22"/>
                <w:lang w:val="en-US"/>
              </w:rPr>
              <w:t>future, as the content and use of the Single SFCR will be severely impeded by EIOPA’s new proposals.</w:t>
            </w:r>
          </w:p>
          <w:p w14:paraId="04C9434C" w14:textId="372FB732" w:rsidR="006F5ECC" w:rsidRPr="00CF2245" w:rsidRDefault="006F5ECC" w:rsidP="00020B14">
            <w:pPr>
              <w:tabs>
                <w:tab w:val="left" w:pos="0"/>
                <w:tab w:val="left" w:pos="4536"/>
              </w:tabs>
              <w:spacing w:before="120" w:after="120" w:line="257" w:lineRule="auto"/>
              <w:rPr>
                <w:rFonts w:ascii="Verdana" w:hAnsi="Verdana" w:cstheme="minorHAnsi"/>
                <w:color w:val="7F7F7F" w:themeColor="text1" w:themeTint="80"/>
                <w:sz w:val="22"/>
                <w:szCs w:val="22"/>
                <w:lang w:val="en-US"/>
              </w:rPr>
            </w:pPr>
            <w:r w:rsidRPr="00CF2245">
              <w:rPr>
                <w:rFonts w:ascii="Verdana" w:hAnsi="Verdana" w:cstheme="minorHAnsi"/>
                <w:color w:val="7F7F7F" w:themeColor="text1" w:themeTint="80"/>
                <w:sz w:val="22"/>
                <w:szCs w:val="22"/>
                <w:lang w:val="en-US"/>
              </w:rPr>
              <w:t>The proposals set out for the Single SFCR are unclear; EIOPA seems to divide the Single SFCR into two clearly separate reports, which is a development of the SFCR we would not support</w:t>
            </w:r>
            <w:r>
              <w:rPr>
                <w:rFonts w:ascii="Verdana" w:hAnsi="Verdana" w:cstheme="minorHAnsi"/>
                <w:color w:val="7F7F7F" w:themeColor="text1" w:themeTint="80"/>
                <w:sz w:val="22"/>
                <w:szCs w:val="22"/>
                <w:lang w:val="en-US"/>
              </w:rPr>
              <w:t>;</w:t>
            </w:r>
            <w:r w:rsidRPr="00CF2245">
              <w:rPr>
                <w:rFonts w:ascii="Verdana" w:hAnsi="Verdana" w:cstheme="minorHAnsi"/>
                <w:color w:val="7F7F7F" w:themeColor="text1" w:themeTint="80"/>
                <w:sz w:val="22"/>
                <w:szCs w:val="22"/>
                <w:lang w:val="en-US"/>
              </w:rPr>
              <w:t xml:space="preserve"> </w:t>
            </w:r>
            <w:r>
              <w:rPr>
                <w:rFonts w:ascii="Verdana" w:hAnsi="Verdana" w:cstheme="minorHAnsi"/>
                <w:color w:val="7F7F7F" w:themeColor="text1" w:themeTint="80"/>
                <w:sz w:val="22"/>
                <w:szCs w:val="22"/>
                <w:lang w:val="en-US"/>
              </w:rPr>
              <w:t>d</w:t>
            </w:r>
            <w:r w:rsidRPr="00CF2245">
              <w:rPr>
                <w:rFonts w:ascii="Verdana" w:hAnsi="Verdana" w:cstheme="minorHAnsi"/>
                <w:color w:val="7F7F7F" w:themeColor="text1" w:themeTint="80"/>
                <w:sz w:val="22"/>
                <w:szCs w:val="22"/>
                <w:lang w:val="en-US"/>
              </w:rPr>
              <w:t xml:space="preserve">ifferent parts are prosed to have different timelines in mind for the policyholder and professional sections (sometimes “financial users” is mentioned instead, which adds some confusion) - where the former follows timelines proposed for solo reporting and the latter report follows timelines proposed for group reporting. </w:t>
            </w:r>
          </w:p>
          <w:p w14:paraId="38276BFD" w14:textId="3AD5DAF3" w:rsidR="006F5ECC" w:rsidRPr="00CF2245" w:rsidRDefault="006F5ECC" w:rsidP="00020B14">
            <w:pPr>
              <w:tabs>
                <w:tab w:val="left" w:pos="0"/>
                <w:tab w:val="left" w:pos="4536"/>
              </w:tabs>
              <w:spacing w:after="160" w:line="256" w:lineRule="auto"/>
              <w:contextualSpacing/>
              <w:rPr>
                <w:rFonts w:ascii="Verdana" w:hAnsi="Verdana" w:cstheme="minorHAnsi"/>
                <w:color w:val="7F7F7F" w:themeColor="text1" w:themeTint="80"/>
                <w:sz w:val="22"/>
                <w:szCs w:val="22"/>
                <w:lang w:val="en-US"/>
              </w:rPr>
            </w:pPr>
            <w:r>
              <w:rPr>
                <w:rFonts w:ascii="Verdana" w:hAnsi="Verdana" w:cstheme="minorHAnsi"/>
                <w:color w:val="7F7F7F" w:themeColor="text1" w:themeTint="80"/>
                <w:sz w:val="22"/>
                <w:szCs w:val="22"/>
                <w:lang w:val="en-US"/>
              </w:rPr>
              <w:t xml:space="preserve">In this paragraph </w:t>
            </w:r>
            <w:r w:rsidRPr="00CF2245">
              <w:rPr>
                <w:rFonts w:ascii="Verdana" w:hAnsi="Verdana" w:cstheme="minorHAnsi"/>
                <w:color w:val="7F7F7F" w:themeColor="text1" w:themeTint="80"/>
                <w:sz w:val="22"/>
                <w:szCs w:val="22"/>
                <w:lang w:val="en-US"/>
              </w:rPr>
              <w:t xml:space="preserve">it is </w:t>
            </w:r>
            <w:r>
              <w:rPr>
                <w:rFonts w:ascii="Verdana" w:hAnsi="Verdana" w:cstheme="minorHAnsi"/>
                <w:color w:val="7F7F7F" w:themeColor="text1" w:themeTint="80"/>
                <w:sz w:val="22"/>
                <w:szCs w:val="22"/>
                <w:lang w:val="en-US"/>
              </w:rPr>
              <w:t xml:space="preserve">also </w:t>
            </w:r>
            <w:r w:rsidRPr="00CF2245">
              <w:rPr>
                <w:rFonts w:ascii="Verdana" w:hAnsi="Verdana" w:cstheme="minorHAnsi"/>
                <w:color w:val="7F7F7F" w:themeColor="text1" w:themeTint="80"/>
                <w:sz w:val="22"/>
                <w:szCs w:val="22"/>
                <w:lang w:val="en-US"/>
              </w:rPr>
              <w:t>stated</w:t>
            </w:r>
            <w:r>
              <w:rPr>
                <w:rFonts w:ascii="Verdana" w:hAnsi="Verdana" w:cstheme="minorHAnsi"/>
                <w:color w:val="7F7F7F" w:themeColor="text1" w:themeTint="80"/>
                <w:sz w:val="22"/>
                <w:szCs w:val="22"/>
                <w:lang w:val="en-US"/>
              </w:rPr>
              <w:t xml:space="preserve"> that</w:t>
            </w:r>
            <w:r w:rsidRPr="00CF2245">
              <w:rPr>
                <w:rFonts w:ascii="Verdana" w:hAnsi="Verdana" w:cstheme="minorHAnsi"/>
                <w:color w:val="7F7F7F" w:themeColor="text1" w:themeTint="80"/>
                <w:sz w:val="22"/>
                <w:szCs w:val="22"/>
                <w:lang w:val="en-US"/>
              </w:rPr>
              <w:t>:</w:t>
            </w:r>
          </w:p>
          <w:p w14:paraId="5983E742" w14:textId="03D897CC" w:rsidR="006F5ECC" w:rsidRPr="00B4753A" w:rsidRDefault="006F5ECC" w:rsidP="00020B14">
            <w:pPr>
              <w:tabs>
                <w:tab w:val="left" w:pos="0"/>
                <w:tab w:val="left" w:pos="4536"/>
              </w:tabs>
              <w:ind w:right="186"/>
              <w:rPr>
                <w:sz w:val="22"/>
                <w:szCs w:val="22"/>
                <w:lang w:val="en-US"/>
              </w:rPr>
            </w:pPr>
            <w:r w:rsidRPr="00B4753A">
              <w:rPr>
                <w:rFonts w:ascii="Verdana" w:hAnsi="Verdana" w:cstheme="minorHAnsi"/>
                <w:i/>
                <w:color w:val="7F7F7F" w:themeColor="text1" w:themeTint="80"/>
                <w:sz w:val="22"/>
                <w:szCs w:val="22"/>
                <w:lang w:val="en-US"/>
              </w:rPr>
              <w:t xml:space="preserve">“Considering that the Single SCFR includes both the SCFR at group level and SFCR at solo level, that the solo SFCR is proposed to have </w:t>
            </w:r>
            <w:r w:rsidRPr="00B4753A">
              <w:rPr>
                <w:rFonts w:ascii="Verdana" w:hAnsi="Verdana" w:cstheme="minorHAnsi"/>
                <w:i/>
                <w:color w:val="7F7F7F" w:themeColor="text1" w:themeTint="80"/>
                <w:sz w:val="22"/>
                <w:szCs w:val="22"/>
                <w:lang w:val="en-US"/>
              </w:rPr>
              <w:lastRenderedPageBreak/>
              <w:t xml:space="preserve">two distinctive parts (one for policyholders and another one for other financial users, and that the group SFCR will only have the part of other financial users”. </w:t>
            </w:r>
            <w:r w:rsidRPr="00B4753A">
              <w:rPr>
                <w:rFonts w:ascii="Verdana" w:hAnsi="Verdana" w:cstheme="minorHAnsi"/>
                <w:color w:val="7F7F7F" w:themeColor="text1" w:themeTint="80"/>
                <w:sz w:val="22"/>
                <w:szCs w:val="22"/>
                <w:lang w:val="en-US"/>
              </w:rPr>
              <w:t>This would seem to mean that there is no group section included in the single policyholder SFCR, when this report is aligned with deadlines for solo reporting. The clear divi</w:t>
            </w:r>
            <w:r>
              <w:rPr>
                <w:rFonts w:ascii="Verdana" w:hAnsi="Verdana" w:cstheme="minorHAnsi"/>
                <w:color w:val="7F7F7F" w:themeColor="text1" w:themeTint="80"/>
                <w:sz w:val="22"/>
                <w:szCs w:val="22"/>
                <w:lang w:val="en-US"/>
              </w:rPr>
              <w:t>sion</w:t>
            </w:r>
            <w:r w:rsidRPr="00B4753A">
              <w:rPr>
                <w:rFonts w:ascii="Verdana" w:hAnsi="Verdana" w:cstheme="minorHAnsi"/>
                <w:color w:val="7F7F7F" w:themeColor="text1" w:themeTint="80"/>
                <w:sz w:val="22"/>
                <w:szCs w:val="22"/>
                <w:lang w:val="en-US"/>
              </w:rPr>
              <w:t xml:space="preserve"> between the two sections as separate reports was a proposal included in the EIOPA´s consultation in July 2019, but now the split seems to be “de facto” the way EIOPA sees the SFCR reports in future. </w:t>
            </w:r>
          </w:p>
          <w:p w14:paraId="09C6A536" w14:textId="3C7ED2E7" w:rsidR="006F5ECC" w:rsidRPr="00CF2245" w:rsidRDefault="006F5ECC" w:rsidP="00020B14">
            <w:pPr>
              <w:pStyle w:val="Default"/>
              <w:tabs>
                <w:tab w:val="left" w:pos="0"/>
                <w:tab w:val="left" w:pos="4536"/>
              </w:tabs>
              <w:rPr>
                <w:rFonts w:ascii="Verdana" w:hAnsi="Verdana" w:cstheme="minorHAnsi"/>
                <w:color w:val="7F7F7F" w:themeColor="text1" w:themeTint="80"/>
                <w:sz w:val="22"/>
                <w:szCs w:val="22"/>
                <w:lang w:val="en-US"/>
              </w:rPr>
            </w:pPr>
            <w:r w:rsidRPr="00CF2245">
              <w:rPr>
                <w:rFonts w:ascii="Verdana" w:hAnsi="Verdana" w:cstheme="minorHAnsi"/>
                <w:color w:val="7F7F7F" w:themeColor="text1" w:themeTint="80"/>
                <w:sz w:val="22"/>
                <w:szCs w:val="22"/>
                <w:lang w:val="en-US"/>
              </w:rPr>
              <w:t xml:space="preserve">We think </w:t>
            </w:r>
            <w:r>
              <w:rPr>
                <w:rFonts w:ascii="Verdana" w:hAnsi="Verdana" w:cstheme="minorHAnsi"/>
                <w:color w:val="7F7F7F" w:themeColor="text1" w:themeTint="80"/>
                <w:sz w:val="22"/>
                <w:szCs w:val="22"/>
                <w:lang w:val="en-US"/>
              </w:rPr>
              <w:t xml:space="preserve">that </w:t>
            </w:r>
            <w:r w:rsidRPr="00CF2245">
              <w:rPr>
                <w:rFonts w:ascii="Verdana" w:hAnsi="Verdana" w:cstheme="minorHAnsi"/>
                <w:color w:val="7F7F7F" w:themeColor="text1" w:themeTint="80"/>
                <w:sz w:val="22"/>
                <w:szCs w:val="22"/>
                <w:lang w:val="en-US"/>
              </w:rPr>
              <w:t xml:space="preserve">the policyholder and professional sections of the Single Solvency </w:t>
            </w:r>
            <w:r>
              <w:rPr>
                <w:rFonts w:ascii="Verdana" w:hAnsi="Verdana" w:cstheme="minorHAnsi"/>
                <w:color w:val="7F7F7F" w:themeColor="text1" w:themeTint="80"/>
                <w:sz w:val="22"/>
                <w:szCs w:val="22"/>
                <w:lang w:val="en-US"/>
              </w:rPr>
              <w:t xml:space="preserve">and Financial Condition </w:t>
            </w:r>
            <w:r w:rsidRPr="00CF2245">
              <w:rPr>
                <w:rFonts w:ascii="Verdana" w:hAnsi="Verdana" w:cstheme="minorHAnsi"/>
                <w:color w:val="7F7F7F" w:themeColor="text1" w:themeTint="80"/>
                <w:sz w:val="22"/>
                <w:szCs w:val="22"/>
                <w:lang w:val="en-US"/>
              </w:rPr>
              <w:t xml:space="preserve">Report should not be split into two separate reports. Both should be separate sections of the same report and </w:t>
            </w:r>
            <w:r>
              <w:rPr>
                <w:rFonts w:ascii="Verdana" w:hAnsi="Verdana" w:cstheme="minorHAnsi"/>
                <w:color w:val="7F7F7F" w:themeColor="text1" w:themeTint="80"/>
                <w:sz w:val="22"/>
                <w:szCs w:val="22"/>
                <w:lang w:val="en-US"/>
              </w:rPr>
              <w:t xml:space="preserve">the </w:t>
            </w:r>
            <w:r w:rsidRPr="00CF2245">
              <w:rPr>
                <w:rFonts w:ascii="Verdana" w:hAnsi="Verdana" w:cstheme="minorHAnsi"/>
                <w:color w:val="7F7F7F" w:themeColor="text1" w:themeTint="80"/>
                <w:sz w:val="22"/>
                <w:szCs w:val="22"/>
                <w:lang w:val="en-US"/>
              </w:rPr>
              <w:t>deadlines for submission should follow group reporting timelines of 22 weeks</w:t>
            </w:r>
            <w:r>
              <w:rPr>
                <w:rFonts w:ascii="Verdana" w:hAnsi="Verdana" w:cstheme="minorHAnsi"/>
                <w:color w:val="7F7F7F" w:themeColor="text1" w:themeTint="80"/>
                <w:sz w:val="22"/>
                <w:szCs w:val="22"/>
                <w:lang w:val="en-US"/>
              </w:rPr>
              <w:t>.</w:t>
            </w:r>
            <w:r w:rsidRPr="00CF2245">
              <w:rPr>
                <w:rFonts w:ascii="Verdana" w:hAnsi="Verdana" w:cstheme="minorHAnsi"/>
                <w:color w:val="7F7F7F" w:themeColor="text1" w:themeTint="80"/>
                <w:sz w:val="22"/>
                <w:szCs w:val="22"/>
                <w:lang w:val="en-US"/>
              </w:rPr>
              <w:t xml:space="preserve"> </w:t>
            </w:r>
          </w:p>
          <w:p w14:paraId="00DE8271" w14:textId="04AF2773" w:rsidR="006F5ECC" w:rsidRPr="00CF2245" w:rsidRDefault="006F5ECC" w:rsidP="00020B14">
            <w:pPr>
              <w:tabs>
                <w:tab w:val="left" w:pos="0"/>
                <w:tab w:val="left" w:pos="4536"/>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733EC6A5"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0D54873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46C637C" w14:textId="678C51B4" w:rsidR="006F5ECC" w:rsidRPr="001360A5" w:rsidRDefault="006F5ECC" w:rsidP="00020B14">
            <w:pPr>
              <w:tabs>
                <w:tab w:val="left" w:pos="0"/>
                <w:tab w:val="left" w:pos="4536"/>
              </w:tabs>
              <w:ind w:left="-96"/>
              <w:rPr>
                <w:lang w:val="en-US"/>
              </w:rPr>
            </w:pPr>
            <w:bookmarkStart w:id="20" w:name="_Hlk29910841"/>
            <w:r w:rsidRPr="001360A5">
              <w:rPr>
                <w:rFonts w:ascii="Verdana" w:hAnsi="Verdana"/>
                <w:color w:val="7F7F7F" w:themeColor="text1" w:themeTint="80"/>
                <w:sz w:val="22"/>
                <w:szCs w:val="22"/>
                <w:lang w:val="en-GB" w:eastAsia="fr-FR"/>
              </w:rPr>
              <w:t>7</w:t>
            </w:r>
          </w:p>
        </w:tc>
        <w:tc>
          <w:tcPr>
            <w:tcW w:w="506" w:type="pct"/>
            <w:gridSpan w:val="2"/>
            <w:tcBorders>
              <w:top w:val="single" w:sz="4" w:space="0" w:color="auto"/>
              <w:left w:val="single" w:sz="4" w:space="0" w:color="auto"/>
              <w:bottom w:val="single" w:sz="4" w:space="0" w:color="auto"/>
              <w:right w:val="single" w:sz="4" w:space="0" w:color="auto"/>
            </w:tcBorders>
          </w:tcPr>
          <w:p w14:paraId="3D314A9D" w14:textId="301B8E39" w:rsidR="006F5ECC" w:rsidRPr="001C20F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Additional comment</w:t>
            </w:r>
          </w:p>
        </w:tc>
        <w:tc>
          <w:tcPr>
            <w:tcW w:w="1999" w:type="pct"/>
            <w:tcBorders>
              <w:top w:val="single" w:sz="4" w:space="0" w:color="auto"/>
              <w:left w:val="single" w:sz="4" w:space="0" w:color="auto"/>
              <w:bottom w:val="single" w:sz="4" w:space="0" w:color="auto"/>
              <w:right w:val="single" w:sz="4" w:space="0" w:color="auto"/>
            </w:tcBorders>
          </w:tcPr>
          <w:p w14:paraId="529CAEF4" w14:textId="261063F1" w:rsidR="006F5ECC" w:rsidRPr="004F6ADC" w:rsidRDefault="006F5ECC" w:rsidP="00020B14">
            <w:pPr>
              <w:tabs>
                <w:tab w:val="left" w:pos="0"/>
                <w:tab w:val="left" w:pos="4536"/>
              </w:tabs>
              <w:rPr>
                <w:rFonts w:ascii="Verdana" w:hAnsi="Verdana"/>
                <w:b/>
                <w:bCs/>
                <w:color w:val="7F7F7F" w:themeColor="text1" w:themeTint="80"/>
                <w:sz w:val="22"/>
                <w:szCs w:val="22"/>
                <w:lang w:val="en-US"/>
              </w:rPr>
            </w:pPr>
            <w:r w:rsidRPr="004F6ADC">
              <w:rPr>
                <w:rFonts w:ascii="Verdana" w:hAnsi="Verdana"/>
                <w:b/>
                <w:bCs/>
                <w:color w:val="7F7F7F" w:themeColor="text1" w:themeTint="80"/>
                <w:sz w:val="22"/>
                <w:szCs w:val="22"/>
                <w:lang w:val="en-US"/>
              </w:rPr>
              <w:t>European repository</w:t>
            </w:r>
          </w:p>
          <w:p w14:paraId="11357B1C" w14:textId="4C361A53" w:rsidR="006F5ECC" w:rsidRPr="004F6ADC" w:rsidRDefault="006F5ECC" w:rsidP="00020B14">
            <w:pPr>
              <w:tabs>
                <w:tab w:val="left" w:pos="0"/>
                <w:tab w:val="left" w:pos="4536"/>
              </w:tabs>
              <w:rPr>
                <w:rFonts w:ascii="Verdana" w:hAnsi="Verdana"/>
                <w:color w:val="7F7F7F" w:themeColor="text1" w:themeTint="80"/>
                <w:sz w:val="22"/>
                <w:szCs w:val="22"/>
                <w:lang w:val="en-US"/>
              </w:rPr>
            </w:pPr>
            <w:r w:rsidRPr="004F6ADC">
              <w:rPr>
                <w:rFonts w:ascii="Verdana" w:hAnsi="Verdana"/>
                <w:color w:val="7F7F7F" w:themeColor="text1" w:themeTint="80"/>
                <w:sz w:val="22"/>
                <w:szCs w:val="22"/>
                <w:lang w:val="en-US"/>
              </w:rPr>
              <w:t xml:space="preserve">In the July consultation, EIOPA mentioned on page 37 of its consultation paper its intention to discuss with its members the best way to promote a national/European repository. In the current consultation paper, we note that nothing has been explicitly elaborated on this proposal. </w:t>
            </w:r>
          </w:p>
          <w:p w14:paraId="4BC09ADE" w14:textId="77777777" w:rsidR="006F5ECC" w:rsidRPr="004F6ADC" w:rsidRDefault="006F5ECC" w:rsidP="00020B14">
            <w:pPr>
              <w:tabs>
                <w:tab w:val="left" w:pos="0"/>
                <w:tab w:val="left" w:pos="4536"/>
              </w:tabs>
              <w:rPr>
                <w:rFonts w:ascii="Verdana" w:hAnsi="Verdana"/>
                <w:color w:val="7F7F7F" w:themeColor="text1" w:themeTint="80"/>
                <w:sz w:val="22"/>
                <w:szCs w:val="22"/>
                <w:lang w:val="en-US"/>
              </w:rPr>
            </w:pPr>
          </w:p>
          <w:p w14:paraId="27083637" w14:textId="3D22942A" w:rsidR="006F5ECC" w:rsidRPr="00994F60" w:rsidRDefault="006F5ECC" w:rsidP="00020B14">
            <w:pPr>
              <w:tabs>
                <w:tab w:val="left" w:pos="0"/>
                <w:tab w:val="left" w:pos="4536"/>
              </w:tabs>
              <w:rPr>
                <w:rFonts w:ascii="Verdana" w:hAnsi="Verdana"/>
                <w:color w:val="7F7F7F"/>
                <w:sz w:val="22"/>
                <w:szCs w:val="22"/>
                <w:lang w:val="en-GB" w:eastAsia="fr-FR"/>
              </w:rPr>
            </w:pPr>
            <w:r w:rsidRPr="004F6ADC">
              <w:rPr>
                <w:rFonts w:ascii="Verdana" w:hAnsi="Verdana"/>
                <w:color w:val="7F7F7F" w:themeColor="text1" w:themeTint="80"/>
                <w:sz w:val="22"/>
                <w:szCs w:val="22"/>
                <w:lang w:val="en-US"/>
              </w:rPr>
              <w:t>Before pursuing these ideas further, EIOPA’s proposal should be further elaborated and also be subject to proper consultation with stakeholders. The benefits should be considered against the costs, both implementation and ongoing compliance costs. If the proposals imply earlier submissions of the SFCR reports, the quality of the written report will be impacted.</w:t>
            </w:r>
          </w:p>
        </w:tc>
        <w:tc>
          <w:tcPr>
            <w:tcW w:w="483" w:type="pct"/>
            <w:tcBorders>
              <w:top w:val="single" w:sz="4" w:space="0" w:color="auto"/>
              <w:left w:val="single" w:sz="4" w:space="0" w:color="auto"/>
              <w:bottom w:val="single" w:sz="4" w:space="0" w:color="auto"/>
              <w:right w:val="single" w:sz="4" w:space="0" w:color="auto"/>
            </w:tcBorders>
          </w:tcPr>
          <w:p w14:paraId="011492E8" w14:textId="77777777" w:rsidR="006F5ECC" w:rsidRPr="00FE3045" w:rsidRDefault="006F5ECC" w:rsidP="00020B14">
            <w:pPr>
              <w:tabs>
                <w:tab w:val="left" w:pos="0"/>
                <w:tab w:val="left" w:pos="4536"/>
              </w:tabs>
              <w:ind w:left="-96"/>
              <w:rPr>
                <w:color w:val="000000"/>
                <w:sz w:val="22"/>
                <w:szCs w:val="22"/>
                <w:lang w:val="en-GB" w:eastAsia="fr-FR"/>
              </w:rPr>
            </w:pPr>
          </w:p>
        </w:tc>
      </w:tr>
      <w:bookmarkEnd w:id="20"/>
      <w:tr w:rsidR="006F5ECC" w:rsidRPr="002B6246" w14:paraId="19A10C9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387FCB25" w14:textId="77777777" w:rsidR="006F5ECC" w:rsidRPr="001360A5" w:rsidRDefault="006F5ECC" w:rsidP="00020B14">
            <w:pPr>
              <w:tabs>
                <w:tab w:val="left" w:pos="0"/>
                <w:tab w:val="left" w:pos="4536"/>
              </w:tabs>
              <w:rPr>
                <w:rFonts w:ascii="Verdana" w:hAnsi="Verdana"/>
                <w:b/>
                <w:color w:val="7F7F7F" w:themeColor="text1" w:themeTint="80"/>
                <w:sz w:val="22"/>
                <w:szCs w:val="22"/>
                <w:lang w:val="en-GB" w:eastAsia="fr-FR"/>
              </w:rPr>
            </w:pPr>
            <w:r w:rsidRPr="001360A5">
              <w:rPr>
                <w:rFonts w:ascii="Verdana" w:hAnsi="Verdana"/>
                <w:b/>
                <w:color w:val="7F7F7F" w:themeColor="text1" w:themeTint="80"/>
                <w:sz w:val="22"/>
                <w:szCs w:val="22"/>
                <w:lang w:val="en-GB" w:eastAsia="fr-FR"/>
              </w:rPr>
              <w:t>8. Proportionality</w:t>
            </w:r>
          </w:p>
        </w:tc>
      </w:tr>
      <w:tr w:rsidR="006F5ECC" w:rsidRPr="002B6246" w14:paraId="47F07BF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526D58B2" w14:textId="77777777" w:rsidR="006F5ECC" w:rsidRPr="001360A5" w:rsidRDefault="006F5ECC" w:rsidP="00020B14">
            <w:pPr>
              <w:tabs>
                <w:tab w:val="left" w:pos="0"/>
                <w:tab w:val="left" w:pos="4536"/>
              </w:tabs>
              <w:rPr>
                <w:rFonts w:ascii="Verdana" w:hAnsi="Verdana"/>
                <w:b/>
                <w:bCs/>
                <w:color w:val="7F7F7F" w:themeColor="text1" w:themeTint="80"/>
                <w:sz w:val="22"/>
                <w:szCs w:val="22"/>
                <w:lang w:val="en-GB" w:eastAsia="fr-FR"/>
              </w:rPr>
            </w:pPr>
            <w:r w:rsidRPr="001360A5">
              <w:rPr>
                <w:rFonts w:ascii="Verdana" w:hAnsi="Verdana"/>
                <w:b/>
                <w:bCs/>
                <w:color w:val="7F7F7F" w:themeColor="text1" w:themeTint="80"/>
                <w:sz w:val="22"/>
                <w:szCs w:val="22"/>
                <w:lang w:val="en-GB" w:eastAsia="fr-FR"/>
              </w:rPr>
              <w:lastRenderedPageBreak/>
              <w:t>Thresholds</w:t>
            </w:r>
          </w:p>
        </w:tc>
      </w:tr>
      <w:tr w:rsidR="00FC5744" w:rsidRPr="001360A5" w14:paraId="7178092F" w14:textId="77777777" w:rsidTr="001360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FD030EE" w14:textId="54B41431" w:rsidR="006F5ECC" w:rsidRPr="001360A5" w:rsidRDefault="001360A5"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8</w:t>
            </w:r>
          </w:p>
        </w:tc>
        <w:tc>
          <w:tcPr>
            <w:tcW w:w="506" w:type="pct"/>
            <w:gridSpan w:val="2"/>
            <w:tcBorders>
              <w:top w:val="single" w:sz="4" w:space="0" w:color="auto"/>
              <w:left w:val="single" w:sz="4" w:space="0" w:color="auto"/>
              <w:bottom w:val="single" w:sz="4" w:space="0" w:color="auto"/>
              <w:right w:val="single" w:sz="4" w:space="0" w:color="auto"/>
            </w:tcBorders>
          </w:tcPr>
          <w:p w14:paraId="20F20CE1" w14:textId="53A360EB" w:rsidR="006F5ECC" w:rsidRPr="00D631AE" w:rsidRDefault="001360A5" w:rsidP="00020B14">
            <w:pPr>
              <w:tabs>
                <w:tab w:val="left" w:pos="0"/>
                <w:tab w:val="left" w:pos="4536"/>
              </w:tabs>
              <w:ind w:left="-96"/>
              <w:rPr>
                <w:rFonts w:ascii="Verdana" w:hAnsi="Verdana"/>
                <w:color w:val="7F7F7F" w:themeColor="text1" w:themeTint="80"/>
                <w:sz w:val="22"/>
                <w:szCs w:val="22"/>
                <w:highlight w:val="yellow"/>
                <w:lang w:val="en-GB" w:eastAsia="fr-FR"/>
              </w:rPr>
            </w:pPr>
            <w:r w:rsidRPr="001360A5">
              <w:rPr>
                <w:rFonts w:ascii="Verdana" w:hAnsi="Verdana"/>
                <w:color w:val="7F7F7F" w:themeColor="text1" w:themeTint="80"/>
                <w:sz w:val="22"/>
                <w:szCs w:val="22"/>
                <w:lang w:val="en-GB" w:eastAsia="fr-FR"/>
              </w:rPr>
              <w:t>30</w:t>
            </w:r>
          </w:p>
        </w:tc>
        <w:tc>
          <w:tcPr>
            <w:tcW w:w="1999" w:type="pct"/>
            <w:tcBorders>
              <w:top w:val="single" w:sz="4" w:space="0" w:color="auto"/>
              <w:left w:val="single" w:sz="4" w:space="0" w:color="auto"/>
              <w:bottom w:val="single" w:sz="4" w:space="0" w:color="auto"/>
              <w:right w:val="single" w:sz="4" w:space="0" w:color="auto"/>
            </w:tcBorders>
          </w:tcPr>
          <w:p w14:paraId="00E4D54E" w14:textId="6D79E799" w:rsidR="006F5ECC" w:rsidRPr="00D631AE" w:rsidRDefault="001360A5" w:rsidP="00020B14">
            <w:pPr>
              <w:tabs>
                <w:tab w:val="left" w:pos="0"/>
                <w:tab w:val="left" w:pos="4536"/>
              </w:tabs>
              <w:rPr>
                <w:rFonts w:ascii="Verdana" w:hAnsi="Verdana"/>
                <w:color w:val="7F7F7F" w:themeColor="text1" w:themeTint="80"/>
                <w:sz w:val="22"/>
                <w:szCs w:val="22"/>
                <w:highlight w:val="yellow"/>
                <w:lang w:val="en-GB" w:eastAsia="fr-FR"/>
              </w:rPr>
            </w:pPr>
            <w:r w:rsidRPr="001360A5">
              <w:rPr>
                <w:rFonts w:ascii="Verdana" w:hAnsi="Verdana"/>
                <w:color w:val="7F7F7F" w:themeColor="text1" w:themeTint="80"/>
                <w:sz w:val="22"/>
                <w:szCs w:val="22"/>
                <w:lang w:val="en-GB" w:eastAsia="fr-FR"/>
              </w:rPr>
              <w:t>EIOPA presents some assessment towards the policyholder angle. Normally, any increase in the level of capital to be hold by insurers will increase the protection of policyholders. As a consequence, any proposal by EIOPA to increase the best estimate/risk margin or the SCR will result in a short term increase in policyholder protection. However, EIOPA does not assess the impact on the long-term and how insurers will be affected in general in terms of costs on new insurance products, costs of innovative insurance products which take into account sustainability considerations and the competitive structure of the insurance market. Other factors such as the impact on entry barriers, consolidation of the insurance market and the possibility of fewer insurers to provide products and less competition is not considered in the paper.</w:t>
            </w:r>
          </w:p>
        </w:tc>
        <w:tc>
          <w:tcPr>
            <w:tcW w:w="483" w:type="pct"/>
            <w:tcBorders>
              <w:top w:val="single" w:sz="4" w:space="0" w:color="auto"/>
              <w:left w:val="single" w:sz="4" w:space="0" w:color="auto"/>
              <w:bottom w:val="single" w:sz="4" w:space="0" w:color="auto"/>
              <w:right w:val="single" w:sz="4" w:space="0" w:color="auto"/>
            </w:tcBorders>
          </w:tcPr>
          <w:p w14:paraId="65D7C256" w14:textId="77777777" w:rsidR="006F5ECC" w:rsidRPr="002B6246" w:rsidRDefault="006F5ECC" w:rsidP="00020B14">
            <w:pPr>
              <w:tabs>
                <w:tab w:val="left" w:pos="0"/>
                <w:tab w:val="left" w:pos="4536"/>
              </w:tabs>
              <w:ind w:left="-96"/>
              <w:rPr>
                <w:rFonts w:ascii="Verdana" w:hAnsi="Verdana"/>
                <w:color w:val="7F7F7F" w:themeColor="text1" w:themeTint="80"/>
                <w:sz w:val="22"/>
                <w:szCs w:val="22"/>
                <w:lang w:val="en-GB" w:eastAsia="fr-FR"/>
              </w:rPr>
            </w:pPr>
          </w:p>
        </w:tc>
        <w:tc>
          <w:tcPr>
            <w:tcW w:w="639" w:type="pct"/>
            <w:gridSpan w:val="3"/>
          </w:tcPr>
          <w:p w14:paraId="21475581" w14:textId="77777777" w:rsidR="006F5ECC" w:rsidRPr="002B6246" w:rsidRDefault="006F5ECC" w:rsidP="00020B14">
            <w:pPr>
              <w:tabs>
                <w:tab w:val="left" w:pos="0"/>
                <w:tab w:val="left" w:pos="4536"/>
              </w:tabs>
              <w:ind w:left="-96"/>
              <w:rPr>
                <w:rFonts w:ascii="Verdana" w:hAnsi="Verdana"/>
                <w:color w:val="7F7F7F" w:themeColor="text1" w:themeTint="80"/>
                <w:sz w:val="22"/>
                <w:szCs w:val="22"/>
                <w:lang w:val="en-GB" w:eastAsia="fr-FR"/>
              </w:rPr>
            </w:pPr>
          </w:p>
        </w:tc>
        <w:tc>
          <w:tcPr>
            <w:tcW w:w="792" w:type="pct"/>
            <w:gridSpan w:val="2"/>
          </w:tcPr>
          <w:p w14:paraId="48A80942" w14:textId="77777777" w:rsidR="006F5ECC" w:rsidRPr="002B6246" w:rsidRDefault="006F5ECC" w:rsidP="00020B14">
            <w:pPr>
              <w:tabs>
                <w:tab w:val="left" w:pos="0"/>
                <w:tab w:val="left" w:pos="4536"/>
              </w:tabs>
              <w:ind w:left="-96"/>
              <w:rPr>
                <w:color w:val="7F7F7F" w:themeColor="text1" w:themeTint="80"/>
                <w:sz w:val="22"/>
                <w:szCs w:val="22"/>
                <w:lang w:val="en-GB" w:eastAsia="fr-FR"/>
              </w:rPr>
            </w:pPr>
          </w:p>
        </w:tc>
      </w:tr>
      <w:tr w:rsidR="00FC5744" w:rsidRPr="001360A5" w14:paraId="47C194EC" w14:textId="77777777" w:rsidTr="001360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505329B" w14:textId="54839CBC" w:rsidR="006F5ECC" w:rsidRPr="00D631AE" w:rsidRDefault="001360A5" w:rsidP="00020B14">
            <w:pPr>
              <w:tabs>
                <w:tab w:val="left" w:pos="0"/>
                <w:tab w:val="left" w:pos="4536"/>
              </w:tabs>
              <w:ind w:left="-96"/>
              <w:rPr>
                <w:rFonts w:ascii="Verdana" w:hAnsi="Verdana"/>
                <w:color w:val="7F7F7F" w:themeColor="text1" w:themeTint="80"/>
                <w:sz w:val="22"/>
                <w:szCs w:val="22"/>
                <w:highlight w:val="yellow"/>
                <w:lang w:val="en-GB" w:eastAsia="fr-FR"/>
              </w:rPr>
            </w:pPr>
            <w:r>
              <w:rPr>
                <w:rFonts w:ascii="Verdana" w:hAnsi="Verdana"/>
                <w:color w:val="7F7F7F" w:themeColor="text1" w:themeTint="80"/>
                <w:sz w:val="22"/>
                <w:szCs w:val="22"/>
                <w:lang w:val="en-GB" w:eastAsia="fr-FR"/>
              </w:rPr>
              <w:t>8</w:t>
            </w:r>
          </w:p>
        </w:tc>
        <w:tc>
          <w:tcPr>
            <w:tcW w:w="506" w:type="pct"/>
            <w:gridSpan w:val="2"/>
            <w:tcBorders>
              <w:top w:val="single" w:sz="4" w:space="0" w:color="auto"/>
              <w:left w:val="single" w:sz="4" w:space="0" w:color="auto"/>
              <w:bottom w:val="single" w:sz="4" w:space="0" w:color="auto"/>
              <w:right w:val="single" w:sz="4" w:space="0" w:color="auto"/>
            </w:tcBorders>
          </w:tcPr>
          <w:p w14:paraId="537338C0" w14:textId="57049B5B" w:rsidR="006F5ECC" w:rsidRPr="00D631AE" w:rsidRDefault="001360A5" w:rsidP="00020B14">
            <w:pPr>
              <w:tabs>
                <w:tab w:val="left" w:pos="0"/>
                <w:tab w:val="left" w:pos="4536"/>
              </w:tabs>
              <w:ind w:left="-96"/>
              <w:rPr>
                <w:rFonts w:ascii="Verdana" w:hAnsi="Verdana"/>
                <w:color w:val="7F7F7F" w:themeColor="text1" w:themeTint="80"/>
                <w:sz w:val="22"/>
                <w:szCs w:val="22"/>
                <w:highlight w:val="yellow"/>
                <w:lang w:val="en-GB" w:eastAsia="fr-FR"/>
              </w:rPr>
            </w:pPr>
            <w:r w:rsidRPr="001360A5">
              <w:rPr>
                <w:rFonts w:ascii="Verdana" w:hAnsi="Verdana"/>
                <w:color w:val="7F7F7F" w:themeColor="text1" w:themeTint="80"/>
                <w:sz w:val="22"/>
                <w:szCs w:val="22"/>
                <w:lang w:val="en-GB" w:eastAsia="fr-FR"/>
              </w:rPr>
              <w:t>34</w:t>
            </w:r>
          </w:p>
        </w:tc>
        <w:tc>
          <w:tcPr>
            <w:tcW w:w="1999" w:type="pct"/>
            <w:tcBorders>
              <w:top w:val="single" w:sz="4" w:space="0" w:color="auto"/>
              <w:left w:val="single" w:sz="4" w:space="0" w:color="auto"/>
              <w:bottom w:val="single" w:sz="4" w:space="0" w:color="auto"/>
              <w:right w:val="single" w:sz="4" w:space="0" w:color="auto"/>
            </w:tcBorders>
          </w:tcPr>
          <w:p w14:paraId="0B0B3F5F" w14:textId="77777777" w:rsidR="001360A5" w:rsidRPr="001360A5" w:rsidRDefault="001360A5" w:rsidP="001360A5">
            <w:pPr>
              <w:tabs>
                <w:tab w:val="left" w:pos="0"/>
                <w:tab w:val="left" w:pos="4536"/>
              </w:tabs>
              <w:rPr>
                <w:rFonts w:ascii="Verdana" w:hAnsi="Verdana"/>
                <w:color w:val="7F7F7F" w:themeColor="text1" w:themeTint="80"/>
                <w:sz w:val="22"/>
                <w:szCs w:val="22"/>
                <w:lang w:val="en-US" w:eastAsia="fr-FR"/>
              </w:rPr>
            </w:pPr>
            <w:r w:rsidRPr="001360A5">
              <w:rPr>
                <w:rFonts w:ascii="Verdana" w:hAnsi="Verdana"/>
                <w:color w:val="7F7F7F" w:themeColor="text1" w:themeTint="80"/>
                <w:sz w:val="22"/>
                <w:szCs w:val="22"/>
                <w:lang w:val="en-US" w:eastAsia="fr-FR"/>
              </w:rPr>
              <w:t>EIOPA described the positive effects of all of its proposals. However, EIOPA does not assess the actual impact of all these enhanced measures on the functioning of insurers. The introduction of new plans, new activities etc. will result in duplications, increased administrative burden and the dispersion of management focus. We have not seen effective proportionality considerations within the new proposed measures.</w:t>
            </w:r>
          </w:p>
          <w:p w14:paraId="065512CB" w14:textId="498AD2C3" w:rsidR="006F5ECC" w:rsidRPr="001360A5" w:rsidRDefault="001360A5" w:rsidP="001360A5">
            <w:pPr>
              <w:tabs>
                <w:tab w:val="left" w:pos="0"/>
                <w:tab w:val="left" w:pos="4536"/>
              </w:tabs>
              <w:rPr>
                <w:rFonts w:ascii="Verdana" w:hAnsi="Verdana"/>
                <w:color w:val="7F7F7F" w:themeColor="text1" w:themeTint="80"/>
                <w:sz w:val="22"/>
                <w:szCs w:val="22"/>
                <w:highlight w:val="yellow"/>
                <w:lang w:val="en-US" w:eastAsia="fr-FR"/>
              </w:rPr>
            </w:pPr>
            <w:r w:rsidRPr="001360A5">
              <w:rPr>
                <w:rFonts w:ascii="Verdana" w:hAnsi="Verdana"/>
                <w:color w:val="7F7F7F" w:themeColor="text1" w:themeTint="80"/>
                <w:sz w:val="22"/>
                <w:szCs w:val="22"/>
                <w:lang w:val="en-US" w:eastAsia="fr-FR"/>
              </w:rPr>
              <w:t>In EIOPA´s opinion insurers should have in place a comprehensive plan in order to cope with all the perspective in an appropriate manner. The plan should be "as complex as needed and simple as possible". In the framework as suggested by EIOPA we can identify amongst others contingency plans, liquidity plans, systemic risk plans, recovery plans, pre-emptive plans, ORSA, etc. All these plans have so many features in common. A rationalisation would be needed to avoid the increase in the administrative burden for both insurers and supervisors.</w:t>
            </w:r>
          </w:p>
        </w:tc>
        <w:tc>
          <w:tcPr>
            <w:tcW w:w="483" w:type="pct"/>
            <w:tcBorders>
              <w:top w:val="single" w:sz="4" w:space="0" w:color="auto"/>
              <w:left w:val="single" w:sz="4" w:space="0" w:color="auto"/>
              <w:bottom w:val="single" w:sz="4" w:space="0" w:color="auto"/>
              <w:right w:val="single" w:sz="4" w:space="0" w:color="auto"/>
            </w:tcBorders>
          </w:tcPr>
          <w:p w14:paraId="08BE9E96" w14:textId="77777777" w:rsidR="006F5ECC" w:rsidRPr="002B6246" w:rsidRDefault="006F5ECC" w:rsidP="00020B14">
            <w:pPr>
              <w:tabs>
                <w:tab w:val="left" w:pos="0"/>
                <w:tab w:val="left" w:pos="4536"/>
              </w:tabs>
              <w:ind w:left="-96"/>
              <w:rPr>
                <w:rFonts w:ascii="Verdana" w:hAnsi="Verdana"/>
                <w:color w:val="7F7F7F" w:themeColor="text1" w:themeTint="80"/>
                <w:sz w:val="22"/>
                <w:szCs w:val="22"/>
                <w:lang w:val="en-GB" w:eastAsia="fr-FR"/>
              </w:rPr>
            </w:pPr>
          </w:p>
        </w:tc>
        <w:tc>
          <w:tcPr>
            <w:tcW w:w="639" w:type="pct"/>
            <w:gridSpan w:val="3"/>
          </w:tcPr>
          <w:p w14:paraId="13D693BF" w14:textId="77777777" w:rsidR="006F5ECC" w:rsidRPr="002B6246" w:rsidRDefault="006F5ECC" w:rsidP="00020B14">
            <w:pPr>
              <w:tabs>
                <w:tab w:val="left" w:pos="0"/>
                <w:tab w:val="left" w:pos="4536"/>
              </w:tabs>
              <w:ind w:left="-96"/>
              <w:rPr>
                <w:rFonts w:ascii="Verdana" w:hAnsi="Verdana"/>
                <w:color w:val="7F7F7F" w:themeColor="text1" w:themeTint="80"/>
                <w:sz w:val="22"/>
                <w:szCs w:val="22"/>
                <w:lang w:val="en-GB" w:eastAsia="fr-FR"/>
              </w:rPr>
            </w:pPr>
          </w:p>
        </w:tc>
        <w:tc>
          <w:tcPr>
            <w:tcW w:w="792" w:type="pct"/>
            <w:gridSpan w:val="2"/>
          </w:tcPr>
          <w:p w14:paraId="29EEC328" w14:textId="77777777" w:rsidR="006F5ECC" w:rsidRPr="002B6246" w:rsidRDefault="006F5ECC" w:rsidP="00020B14">
            <w:pPr>
              <w:tabs>
                <w:tab w:val="left" w:pos="0"/>
                <w:tab w:val="left" w:pos="4536"/>
              </w:tabs>
              <w:ind w:left="-96"/>
              <w:rPr>
                <w:color w:val="7F7F7F" w:themeColor="text1" w:themeTint="80"/>
                <w:sz w:val="22"/>
                <w:szCs w:val="22"/>
                <w:lang w:val="en-GB" w:eastAsia="fr-FR"/>
              </w:rPr>
            </w:pPr>
          </w:p>
        </w:tc>
      </w:tr>
      <w:tr w:rsidR="001360A5" w:rsidRPr="001360A5" w14:paraId="32C8569E" w14:textId="77777777" w:rsidTr="001360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FBD840A" w14:textId="7C4738E3" w:rsidR="001360A5" w:rsidRPr="001360A5" w:rsidRDefault="001360A5"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lastRenderedPageBreak/>
              <w:t>8</w:t>
            </w:r>
          </w:p>
        </w:tc>
        <w:tc>
          <w:tcPr>
            <w:tcW w:w="506" w:type="pct"/>
            <w:gridSpan w:val="2"/>
            <w:tcBorders>
              <w:top w:val="single" w:sz="4" w:space="0" w:color="auto"/>
              <w:left w:val="single" w:sz="4" w:space="0" w:color="auto"/>
              <w:bottom w:val="single" w:sz="4" w:space="0" w:color="auto"/>
              <w:right w:val="single" w:sz="4" w:space="0" w:color="auto"/>
            </w:tcBorders>
          </w:tcPr>
          <w:p w14:paraId="147F5352" w14:textId="458F0AE9" w:rsidR="001360A5" w:rsidRPr="001360A5" w:rsidRDefault="001360A5" w:rsidP="00020B14">
            <w:pPr>
              <w:tabs>
                <w:tab w:val="left" w:pos="0"/>
                <w:tab w:val="left" w:pos="4536"/>
              </w:tabs>
              <w:ind w:left="-96"/>
              <w:rPr>
                <w:rFonts w:ascii="Verdana" w:hAnsi="Verdana"/>
                <w:color w:val="7F7F7F" w:themeColor="text1" w:themeTint="80"/>
                <w:sz w:val="22"/>
                <w:szCs w:val="22"/>
                <w:lang w:val="en-GB" w:eastAsia="fr-FR"/>
              </w:rPr>
            </w:pPr>
            <w:r w:rsidRPr="001360A5">
              <w:rPr>
                <w:rFonts w:ascii="Verdana" w:hAnsi="Verdana"/>
                <w:color w:val="7F7F7F" w:themeColor="text1" w:themeTint="80"/>
                <w:sz w:val="22"/>
                <w:szCs w:val="22"/>
                <w:lang w:val="en-GB" w:eastAsia="fr-FR"/>
              </w:rPr>
              <w:t>35</w:t>
            </w:r>
          </w:p>
        </w:tc>
        <w:tc>
          <w:tcPr>
            <w:tcW w:w="1999" w:type="pct"/>
            <w:tcBorders>
              <w:top w:val="single" w:sz="4" w:space="0" w:color="auto"/>
              <w:left w:val="single" w:sz="4" w:space="0" w:color="auto"/>
              <w:bottom w:val="single" w:sz="4" w:space="0" w:color="auto"/>
              <w:right w:val="single" w:sz="4" w:space="0" w:color="auto"/>
            </w:tcBorders>
          </w:tcPr>
          <w:p w14:paraId="73AC228A" w14:textId="57295F53" w:rsidR="001360A5" w:rsidRPr="00D631AE" w:rsidRDefault="001360A5" w:rsidP="00020B14">
            <w:pPr>
              <w:tabs>
                <w:tab w:val="left" w:pos="0"/>
                <w:tab w:val="left" w:pos="4536"/>
              </w:tabs>
              <w:rPr>
                <w:rFonts w:ascii="Verdana" w:hAnsi="Verdana"/>
                <w:color w:val="7F7F7F" w:themeColor="text1" w:themeTint="80"/>
                <w:sz w:val="22"/>
                <w:szCs w:val="22"/>
                <w:highlight w:val="yellow"/>
                <w:lang w:val="en-GB" w:eastAsia="fr-FR"/>
              </w:rPr>
            </w:pPr>
            <w:r w:rsidRPr="001360A5">
              <w:rPr>
                <w:rFonts w:ascii="Verdana" w:hAnsi="Verdana"/>
                <w:color w:val="7F7F7F" w:themeColor="text1" w:themeTint="80"/>
                <w:sz w:val="22"/>
                <w:szCs w:val="22"/>
                <w:lang w:val="en-GB" w:eastAsia="fr-FR"/>
              </w:rPr>
              <w:t>We encourage a review of the treatment of liability business within the Article 4 conditions, with the possibility of considering it applicable in certain circumstances.</w:t>
            </w:r>
          </w:p>
        </w:tc>
        <w:tc>
          <w:tcPr>
            <w:tcW w:w="483" w:type="pct"/>
            <w:tcBorders>
              <w:top w:val="single" w:sz="4" w:space="0" w:color="auto"/>
              <w:left w:val="single" w:sz="4" w:space="0" w:color="auto"/>
              <w:bottom w:val="single" w:sz="4" w:space="0" w:color="auto"/>
              <w:right w:val="single" w:sz="4" w:space="0" w:color="auto"/>
            </w:tcBorders>
          </w:tcPr>
          <w:p w14:paraId="2DB5F95A" w14:textId="77777777" w:rsidR="001360A5" w:rsidRPr="002B6246" w:rsidRDefault="001360A5" w:rsidP="00020B14">
            <w:pPr>
              <w:tabs>
                <w:tab w:val="left" w:pos="0"/>
                <w:tab w:val="left" w:pos="4536"/>
              </w:tabs>
              <w:ind w:left="-96"/>
              <w:rPr>
                <w:rFonts w:ascii="Verdana" w:hAnsi="Verdana"/>
                <w:color w:val="7F7F7F" w:themeColor="text1" w:themeTint="80"/>
                <w:sz w:val="22"/>
                <w:szCs w:val="22"/>
                <w:lang w:val="en-GB" w:eastAsia="fr-FR"/>
              </w:rPr>
            </w:pPr>
          </w:p>
        </w:tc>
        <w:tc>
          <w:tcPr>
            <w:tcW w:w="639" w:type="pct"/>
            <w:gridSpan w:val="3"/>
          </w:tcPr>
          <w:p w14:paraId="392BB6DB" w14:textId="77777777" w:rsidR="001360A5" w:rsidRPr="002B6246" w:rsidRDefault="001360A5" w:rsidP="00020B14">
            <w:pPr>
              <w:tabs>
                <w:tab w:val="left" w:pos="0"/>
                <w:tab w:val="left" w:pos="4536"/>
              </w:tabs>
              <w:ind w:left="-96"/>
              <w:rPr>
                <w:rFonts w:ascii="Verdana" w:hAnsi="Verdana"/>
                <w:color w:val="7F7F7F" w:themeColor="text1" w:themeTint="80"/>
                <w:sz w:val="22"/>
                <w:szCs w:val="22"/>
                <w:lang w:val="en-GB" w:eastAsia="fr-FR"/>
              </w:rPr>
            </w:pPr>
          </w:p>
        </w:tc>
        <w:tc>
          <w:tcPr>
            <w:tcW w:w="792" w:type="pct"/>
            <w:gridSpan w:val="2"/>
          </w:tcPr>
          <w:p w14:paraId="5D12BC22" w14:textId="77777777" w:rsidR="001360A5" w:rsidRPr="002B6246" w:rsidRDefault="001360A5" w:rsidP="00020B14">
            <w:pPr>
              <w:tabs>
                <w:tab w:val="left" w:pos="0"/>
                <w:tab w:val="left" w:pos="4536"/>
              </w:tabs>
              <w:ind w:left="-96"/>
              <w:rPr>
                <w:color w:val="7F7F7F" w:themeColor="text1" w:themeTint="80"/>
                <w:sz w:val="22"/>
                <w:szCs w:val="22"/>
                <w:lang w:val="en-GB" w:eastAsia="fr-FR"/>
              </w:rPr>
            </w:pPr>
          </w:p>
        </w:tc>
      </w:tr>
      <w:tr w:rsidR="001360A5" w:rsidRPr="001360A5" w14:paraId="2126141B" w14:textId="77777777" w:rsidTr="001360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3674754" w14:textId="670A32CC" w:rsidR="001360A5" w:rsidRPr="001360A5" w:rsidRDefault="001360A5"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8</w:t>
            </w:r>
          </w:p>
        </w:tc>
        <w:tc>
          <w:tcPr>
            <w:tcW w:w="506" w:type="pct"/>
            <w:gridSpan w:val="2"/>
            <w:tcBorders>
              <w:top w:val="single" w:sz="4" w:space="0" w:color="auto"/>
              <w:left w:val="single" w:sz="4" w:space="0" w:color="auto"/>
              <w:bottom w:val="single" w:sz="4" w:space="0" w:color="auto"/>
              <w:right w:val="single" w:sz="4" w:space="0" w:color="auto"/>
            </w:tcBorders>
          </w:tcPr>
          <w:p w14:paraId="4C282D1E" w14:textId="420FD213" w:rsidR="001360A5" w:rsidRPr="001360A5" w:rsidRDefault="001360A5"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44</w:t>
            </w:r>
          </w:p>
        </w:tc>
        <w:tc>
          <w:tcPr>
            <w:tcW w:w="1999" w:type="pct"/>
            <w:tcBorders>
              <w:top w:val="single" w:sz="4" w:space="0" w:color="auto"/>
              <w:left w:val="single" w:sz="4" w:space="0" w:color="auto"/>
              <w:bottom w:val="single" w:sz="4" w:space="0" w:color="auto"/>
              <w:right w:val="single" w:sz="4" w:space="0" w:color="auto"/>
            </w:tcBorders>
          </w:tcPr>
          <w:p w14:paraId="3C57BC4E" w14:textId="4DEE45AB" w:rsidR="001360A5" w:rsidRPr="001360A5" w:rsidRDefault="001360A5" w:rsidP="00020B14">
            <w:pPr>
              <w:tabs>
                <w:tab w:val="left" w:pos="0"/>
                <w:tab w:val="left" w:pos="4536"/>
              </w:tabs>
              <w:rPr>
                <w:rFonts w:ascii="Verdana" w:hAnsi="Verdana"/>
                <w:color w:val="7F7F7F" w:themeColor="text1" w:themeTint="80"/>
                <w:sz w:val="22"/>
                <w:szCs w:val="22"/>
                <w:lang w:val="en-GB" w:eastAsia="fr-FR"/>
              </w:rPr>
            </w:pPr>
            <w:r w:rsidRPr="001360A5">
              <w:rPr>
                <w:rFonts w:ascii="Verdana" w:hAnsi="Verdana"/>
                <w:color w:val="7F7F7F" w:themeColor="text1" w:themeTint="80"/>
                <w:sz w:val="22"/>
                <w:szCs w:val="22"/>
                <w:lang w:val="en-GB" w:eastAsia="fr-FR"/>
              </w:rPr>
              <w:t>We welcome EIOPA's proposals but encourage a further review of the top threshold with respect to the individual market, or establishing the threshold by market share</w:t>
            </w:r>
          </w:p>
        </w:tc>
        <w:tc>
          <w:tcPr>
            <w:tcW w:w="483" w:type="pct"/>
            <w:tcBorders>
              <w:top w:val="single" w:sz="4" w:space="0" w:color="auto"/>
              <w:left w:val="single" w:sz="4" w:space="0" w:color="auto"/>
              <w:bottom w:val="single" w:sz="4" w:space="0" w:color="auto"/>
              <w:right w:val="single" w:sz="4" w:space="0" w:color="auto"/>
            </w:tcBorders>
          </w:tcPr>
          <w:p w14:paraId="0CDFBF1A" w14:textId="77777777" w:rsidR="001360A5" w:rsidRPr="002B6246" w:rsidRDefault="001360A5" w:rsidP="00020B14">
            <w:pPr>
              <w:tabs>
                <w:tab w:val="left" w:pos="0"/>
                <w:tab w:val="left" w:pos="4536"/>
              </w:tabs>
              <w:ind w:left="-96"/>
              <w:rPr>
                <w:rFonts w:ascii="Verdana" w:hAnsi="Verdana"/>
                <w:color w:val="7F7F7F" w:themeColor="text1" w:themeTint="80"/>
                <w:sz w:val="22"/>
                <w:szCs w:val="22"/>
                <w:lang w:val="en-GB" w:eastAsia="fr-FR"/>
              </w:rPr>
            </w:pPr>
          </w:p>
        </w:tc>
        <w:tc>
          <w:tcPr>
            <w:tcW w:w="639" w:type="pct"/>
            <w:gridSpan w:val="3"/>
          </w:tcPr>
          <w:p w14:paraId="7EB2F5D9" w14:textId="77777777" w:rsidR="001360A5" w:rsidRPr="002B6246" w:rsidRDefault="001360A5" w:rsidP="00020B14">
            <w:pPr>
              <w:tabs>
                <w:tab w:val="left" w:pos="0"/>
                <w:tab w:val="left" w:pos="4536"/>
              </w:tabs>
              <w:ind w:left="-96"/>
              <w:rPr>
                <w:rFonts w:ascii="Verdana" w:hAnsi="Verdana"/>
                <w:color w:val="7F7F7F" w:themeColor="text1" w:themeTint="80"/>
                <w:sz w:val="22"/>
                <w:szCs w:val="22"/>
                <w:lang w:val="en-GB" w:eastAsia="fr-FR"/>
              </w:rPr>
            </w:pPr>
          </w:p>
        </w:tc>
        <w:tc>
          <w:tcPr>
            <w:tcW w:w="792" w:type="pct"/>
            <w:gridSpan w:val="2"/>
          </w:tcPr>
          <w:p w14:paraId="328E88E2" w14:textId="77777777" w:rsidR="001360A5" w:rsidRPr="002B6246" w:rsidRDefault="001360A5" w:rsidP="00020B14">
            <w:pPr>
              <w:tabs>
                <w:tab w:val="left" w:pos="0"/>
                <w:tab w:val="left" w:pos="4536"/>
              </w:tabs>
              <w:ind w:left="-96"/>
              <w:rPr>
                <w:color w:val="7F7F7F" w:themeColor="text1" w:themeTint="80"/>
                <w:sz w:val="22"/>
                <w:szCs w:val="22"/>
                <w:lang w:val="en-GB" w:eastAsia="fr-FR"/>
              </w:rPr>
            </w:pPr>
          </w:p>
        </w:tc>
      </w:tr>
      <w:tr w:rsidR="006F5ECC" w:rsidRPr="002B6246" w14:paraId="24F86D80"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0504D1FC" w14:textId="2E80A2BB" w:rsidR="006F5ECC" w:rsidRPr="002B6246" w:rsidRDefault="006F5ECC" w:rsidP="00020B14">
            <w:pPr>
              <w:tabs>
                <w:tab w:val="left" w:pos="0"/>
                <w:tab w:val="left" w:pos="4536"/>
              </w:tabs>
              <w:rPr>
                <w:rFonts w:ascii="Verdana" w:hAnsi="Verdana"/>
                <w:b/>
                <w:bCs/>
                <w:color w:val="7F7F7F" w:themeColor="text1" w:themeTint="80"/>
                <w:sz w:val="22"/>
                <w:szCs w:val="22"/>
                <w:lang w:val="en-GB" w:eastAsia="fr-FR"/>
              </w:rPr>
            </w:pPr>
            <w:r w:rsidRPr="002B6246">
              <w:rPr>
                <w:rFonts w:ascii="Verdana" w:hAnsi="Verdana"/>
                <w:b/>
                <w:bCs/>
                <w:color w:val="7F7F7F" w:themeColor="text1" w:themeTint="80"/>
                <w:sz w:val="22"/>
                <w:szCs w:val="22"/>
                <w:lang w:val="en-GB" w:eastAsia="fr-FR"/>
              </w:rPr>
              <w:t>8.</w:t>
            </w:r>
            <w:r>
              <w:rPr>
                <w:rFonts w:ascii="Verdana" w:hAnsi="Verdana"/>
                <w:b/>
                <w:bCs/>
                <w:color w:val="7F7F7F" w:themeColor="text1" w:themeTint="80"/>
                <w:sz w:val="22"/>
                <w:szCs w:val="22"/>
                <w:lang w:val="en-GB" w:eastAsia="fr-FR"/>
              </w:rPr>
              <w:t>2</w:t>
            </w:r>
            <w:r w:rsidRPr="002B6246">
              <w:rPr>
                <w:rFonts w:ascii="Verdana" w:hAnsi="Verdana"/>
                <w:b/>
                <w:bCs/>
                <w:color w:val="7F7F7F" w:themeColor="text1" w:themeTint="80"/>
                <w:sz w:val="22"/>
                <w:szCs w:val="22"/>
                <w:lang w:val="en-GB" w:eastAsia="fr-FR"/>
              </w:rPr>
              <w:t xml:space="preserve"> Proportionality in Pillar 1</w:t>
            </w:r>
          </w:p>
        </w:tc>
      </w:tr>
      <w:tr w:rsidR="00FC5744" w:rsidRPr="001360A5" w14:paraId="7996308E"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710296C" w14:textId="3D9F1C99" w:rsidR="006F5ECC" w:rsidRPr="007A6117" w:rsidRDefault="006F5ECC" w:rsidP="00020B14">
            <w:pPr>
              <w:tabs>
                <w:tab w:val="left" w:pos="0"/>
                <w:tab w:val="left" w:pos="4536"/>
              </w:tabs>
              <w:ind w:left="-96"/>
              <w:rPr>
                <w:rFonts w:ascii="Verdana" w:hAnsi="Verdana"/>
                <w:bCs/>
                <w:color w:val="7F7F7F" w:themeColor="text1" w:themeTint="80"/>
                <w:sz w:val="22"/>
                <w:szCs w:val="22"/>
                <w:lang w:val="en-GB"/>
              </w:rPr>
            </w:pPr>
            <w:r w:rsidRPr="007A6117">
              <w:rPr>
                <w:rFonts w:ascii="Verdana" w:hAnsi="Verdana"/>
                <w:bCs/>
                <w:color w:val="7F7F7F" w:themeColor="text1" w:themeTint="80"/>
                <w:sz w:val="22"/>
                <w:szCs w:val="22"/>
                <w:lang w:val="en-GB"/>
              </w:rPr>
              <w:t xml:space="preserve">8 </w:t>
            </w:r>
          </w:p>
        </w:tc>
        <w:tc>
          <w:tcPr>
            <w:tcW w:w="506" w:type="pct"/>
            <w:gridSpan w:val="2"/>
            <w:tcBorders>
              <w:top w:val="single" w:sz="4" w:space="0" w:color="auto"/>
              <w:left w:val="single" w:sz="4" w:space="0" w:color="auto"/>
              <w:bottom w:val="single" w:sz="4" w:space="0" w:color="auto"/>
              <w:right w:val="single" w:sz="4" w:space="0" w:color="auto"/>
            </w:tcBorders>
          </w:tcPr>
          <w:p w14:paraId="0211EDED" w14:textId="067212B0" w:rsidR="006F5ECC" w:rsidRPr="007A6117" w:rsidRDefault="006F5ECC"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General Comments</w:t>
            </w:r>
          </w:p>
        </w:tc>
        <w:tc>
          <w:tcPr>
            <w:tcW w:w="1999" w:type="pct"/>
            <w:tcBorders>
              <w:top w:val="single" w:sz="4" w:space="0" w:color="auto"/>
              <w:left w:val="single" w:sz="4" w:space="0" w:color="auto"/>
              <w:bottom w:val="single" w:sz="4" w:space="0" w:color="auto"/>
              <w:right w:val="single" w:sz="4" w:space="0" w:color="auto"/>
            </w:tcBorders>
          </w:tcPr>
          <w:p w14:paraId="7CEA2499" w14:textId="77777777" w:rsidR="006F5ECC" w:rsidRPr="00F0251A" w:rsidRDefault="006F5ECC" w:rsidP="00020B14">
            <w:pPr>
              <w:tabs>
                <w:tab w:val="left" w:pos="0"/>
                <w:tab w:val="left" w:pos="4536"/>
              </w:tabs>
              <w:spacing w:before="120" w:after="120"/>
              <w:rPr>
                <w:rFonts w:ascii="Verdana" w:hAnsi="Verdana"/>
                <w:color w:val="7F7F7F"/>
                <w:sz w:val="22"/>
                <w:szCs w:val="22"/>
                <w:lang w:val="en-US" w:eastAsia="fr-FR"/>
              </w:rPr>
            </w:pPr>
            <w:r w:rsidRPr="00016D8C">
              <w:rPr>
                <w:rFonts w:ascii="Verdana" w:hAnsi="Verdana"/>
                <w:color w:val="7F7F7F"/>
                <w:sz w:val="22"/>
                <w:szCs w:val="22"/>
                <w:lang w:val="en-GB" w:eastAsia="fr-FR"/>
              </w:rPr>
              <w:t xml:space="preserve">The Directive must make clear that </w:t>
            </w:r>
            <w:r w:rsidRPr="00016D8C">
              <w:rPr>
                <w:rFonts w:ascii="Verdana" w:hAnsi="Verdana"/>
                <w:b/>
                <w:bCs/>
                <w:color w:val="7F7F7F"/>
                <w:sz w:val="22"/>
                <w:szCs w:val="22"/>
                <w:lang w:val="en-GB" w:eastAsia="fr-FR"/>
              </w:rPr>
              <w:t xml:space="preserve">NSAs have a duty </w:t>
            </w:r>
            <w:r w:rsidRPr="00016D8C">
              <w:rPr>
                <w:rFonts w:ascii="Verdana" w:hAnsi="Verdana"/>
                <w:color w:val="7F7F7F"/>
                <w:sz w:val="22"/>
                <w:szCs w:val="22"/>
                <w:lang w:val="en-GB" w:eastAsia="fr-FR"/>
              </w:rPr>
              <w:t>to always consider where they should allow companies to deviate from any specific requirements due to proportionality considerations, either by using approximations, simplified approaches or by not applying a requirement where appropriate</w:t>
            </w:r>
            <w:r>
              <w:rPr>
                <w:rFonts w:ascii="Verdana" w:hAnsi="Verdana"/>
                <w:color w:val="7F7F7F"/>
                <w:sz w:val="22"/>
                <w:szCs w:val="22"/>
                <w:lang w:val="en-GB" w:eastAsia="fr-FR"/>
              </w:rPr>
              <w:t>.</w:t>
            </w:r>
          </w:p>
          <w:p w14:paraId="3D8AFA71" w14:textId="77777777" w:rsidR="006F5ECC" w:rsidRPr="00F0251A" w:rsidRDefault="006F5ECC" w:rsidP="00020B14">
            <w:pPr>
              <w:tabs>
                <w:tab w:val="left" w:pos="0"/>
                <w:tab w:val="left" w:pos="4536"/>
              </w:tabs>
              <w:rPr>
                <w:rFonts w:ascii="Verdana" w:hAnsi="Verdana"/>
                <w:color w:val="7F7F7F"/>
                <w:sz w:val="22"/>
                <w:szCs w:val="22"/>
                <w:lang w:val="en-US" w:eastAsia="fr-FR"/>
              </w:rPr>
            </w:pPr>
            <w:r w:rsidRPr="00016D8C">
              <w:rPr>
                <w:rFonts w:ascii="Verdana" w:hAnsi="Verdana"/>
                <w:b/>
                <w:bCs/>
                <w:color w:val="7F7F7F"/>
                <w:sz w:val="22"/>
                <w:szCs w:val="22"/>
                <w:lang w:val="en-GB" w:eastAsia="fr-FR"/>
              </w:rPr>
              <w:t>A "toolbox" providing a non-exhaustive list of simplifications</w:t>
            </w:r>
            <w:r w:rsidRPr="00016D8C">
              <w:rPr>
                <w:rFonts w:ascii="Verdana" w:hAnsi="Verdana"/>
                <w:color w:val="7F7F7F"/>
                <w:sz w:val="22"/>
                <w:szCs w:val="22"/>
                <w:lang w:val="en-GB" w:eastAsia="fr-FR"/>
              </w:rPr>
              <w:t>, alternative calculation methods and/or exemptions from certain reporting templates that can be automatically applied by companies when some predefined and risk-based criteria are met</w:t>
            </w:r>
          </w:p>
          <w:p w14:paraId="17B69A71" w14:textId="76837D31" w:rsidR="006F5ECC" w:rsidRDefault="006F5ECC" w:rsidP="00020B14">
            <w:pPr>
              <w:tabs>
                <w:tab w:val="left" w:pos="0"/>
                <w:tab w:val="left" w:pos="4536"/>
              </w:tabs>
              <w:spacing w:after="120"/>
              <w:rPr>
                <w:rFonts w:ascii="Verdana" w:hAnsi="Verdana"/>
                <w:color w:val="7F7F7F"/>
                <w:sz w:val="22"/>
                <w:szCs w:val="22"/>
                <w:lang w:val="en-US" w:eastAsia="fr-FR"/>
              </w:rPr>
            </w:pPr>
            <w:r w:rsidRPr="00016D8C">
              <w:rPr>
                <w:rFonts w:ascii="Verdana" w:hAnsi="Verdana"/>
                <w:color w:val="7F7F7F"/>
                <w:sz w:val="22"/>
                <w:szCs w:val="22"/>
                <w:lang w:val="en-US" w:eastAsia="fr-FR"/>
              </w:rPr>
              <w:t xml:space="preserve">EIOPA should publish an </w:t>
            </w:r>
            <w:r w:rsidRPr="00016D8C">
              <w:rPr>
                <w:rFonts w:ascii="Verdana" w:hAnsi="Verdana"/>
                <w:b/>
                <w:bCs/>
                <w:color w:val="7F7F7F"/>
                <w:sz w:val="22"/>
                <w:szCs w:val="22"/>
                <w:lang w:val="en-US" w:eastAsia="fr-FR"/>
              </w:rPr>
              <w:t xml:space="preserve">annual report on proportionality </w:t>
            </w:r>
            <w:r w:rsidRPr="00016D8C">
              <w:rPr>
                <w:rFonts w:ascii="Verdana" w:hAnsi="Verdana"/>
                <w:color w:val="7F7F7F"/>
                <w:sz w:val="22"/>
                <w:szCs w:val="22"/>
                <w:lang w:val="en-US" w:eastAsia="fr-FR"/>
              </w:rPr>
              <w:t>including proposals on how to improve its effectiveness and consistency</w:t>
            </w:r>
            <w:r>
              <w:rPr>
                <w:rFonts w:ascii="Verdana" w:hAnsi="Verdana"/>
                <w:color w:val="7F7F7F"/>
                <w:sz w:val="22"/>
                <w:szCs w:val="22"/>
                <w:lang w:val="en-US" w:eastAsia="fr-FR"/>
              </w:rPr>
              <w:t>.</w:t>
            </w:r>
          </w:p>
          <w:p w14:paraId="2D66CB0C" w14:textId="2F400FDB" w:rsidR="006F5ECC" w:rsidRPr="00EF3828" w:rsidRDefault="006F5ECC" w:rsidP="00020B14">
            <w:pPr>
              <w:tabs>
                <w:tab w:val="left" w:pos="0"/>
                <w:tab w:val="left" w:pos="4536"/>
              </w:tabs>
              <w:rPr>
                <w:rFonts w:ascii="Verdana" w:hAnsi="Verdana"/>
                <w:color w:val="7F7F7F" w:themeColor="text1" w:themeTint="80"/>
                <w:sz w:val="22"/>
                <w:szCs w:val="22"/>
                <w:lang w:val="en-US" w:eastAsia="fr-FR"/>
              </w:rPr>
            </w:pPr>
            <w:r w:rsidRPr="00EF3828">
              <w:rPr>
                <w:rFonts w:ascii="Verdana" w:hAnsi="Verdana"/>
                <w:color w:val="7F7F7F" w:themeColor="text1" w:themeTint="80"/>
                <w:sz w:val="22"/>
                <w:szCs w:val="22"/>
                <w:lang w:val="en-GB" w:eastAsia="fr-FR"/>
              </w:rPr>
              <w:t>AMICE-insurance Europe ha</w:t>
            </w:r>
            <w:r w:rsidR="00EF3828" w:rsidRPr="00EF3828">
              <w:rPr>
                <w:rFonts w:ascii="Verdana" w:hAnsi="Verdana"/>
                <w:color w:val="7F7F7F" w:themeColor="text1" w:themeTint="80"/>
                <w:sz w:val="22"/>
                <w:szCs w:val="22"/>
                <w:lang w:val="en-GB" w:eastAsia="fr-FR"/>
              </w:rPr>
              <w:t>ve</w:t>
            </w:r>
            <w:r w:rsidRPr="00EF3828">
              <w:rPr>
                <w:rFonts w:ascii="Verdana" w:hAnsi="Verdana"/>
                <w:color w:val="7F7F7F" w:themeColor="text1" w:themeTint="80"/>
                <w:sz w:val="22"/>
                <w:szCs w:val="22"/>
                <w:lang w:val="en-GB" w:eastAsia="fr-FR"/>
              </w:rPr>
              <w:t xml:space="preserve"> already submitted a detailed proposal for consideration (see Annex 4).</w:t>
            </w:r>
          </w:p>
          <w:p w14:paraId="04E160D6" w14:textId="77777777" w:rsidR="006F5ECC" w:rsidRPr="007A6117" w:rsidRDefault="006F5ECC" w:rsidP="00020B14">
            <w:pPr>
              <w:tabs>
                <w:tab w:val="left" w:pos="0"/>
                <w:tab w:val="left" w:pos="4536"/>
              </w:tabs>
              <w:jc w:val="both"/>
              <w:rPr>
                <w:rFonts w:ascii="Verdana" w:hAnsi="Verdana"/>
                <w:color w:val="7F7F7F" w:themeColor="text1" w:themeTint="80"/>
                <w:sz w:val="22"/>
                <w:szCs w:val="22"/>
                <w:u w:val="single"/>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554CAD03" w14:textId="77777777" w:rsidR="006F5ECC" w:rsidRPr="009478C1" w:rsidRDefault="006F5ECC" w:rsidP="00020B14">
            <w:pPr>
              <w:tabs>
                <w:tab w:val="left" w:pos="0"/>
                <w:tab w:val="left" w:pos="4536"/>
              </w:tabs>
              <w:ind w:left="-96"/>
              <w:rPr>
                <w:rFonts w:ascii="Verdana" w:hAnsi="Verdana"/>
                <w:color w:val="000000"/>
                <w:sz w:val="22"/>
                <w:szCs w:val="22"/>
                <w:lang w:val="en-GB" w:eastAsia="fr-FR"/>
              </w:rPr>
            </w:pPr>
          </w:p>
        </w:tc>
      </w:tr>
      <w:tr w:rsidR="00FC5744" w:rsidRPr="001360A5" w14:paraId="5D3518F3"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080A60F" w14:textId="19987071" w:rsidR="006F5ECC" w:rsidRPr="007A6117" w:rsidRDefault="006F5ECC" w:rsidP="00020B14">
            <w:pPr>
              <w:tabs>
                <w:tab w:val="left" w:pos="0"/>
                <w:tab w:val="left" w:pos="4536"/>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8</w:t>
            </w:r>
          </w:p>
        </w:tc>
        <w:tc>
          <w:tcPr>
            <w:tcW w:w="506" w:type="pct"/>
            <w:gridSpan w:val="2"/>
            <w:tcBorders>
              <w:top w:val="single" w:sz="4" w:space="0" w:color="auto"/>
              <w:left w:val="single" w:sz="4" w:space="0" w:color="auto"/>
              <w:bottom w:val="single" w:sz="4" w:space="0" w:color="auto"/>
              <w:right w:val="single" w:sz="4" w:space="0" w:color="auto"/>
            </w:tcBorders>
          </w:tcPr>
          <w:p w14:paraId="326F3550" w14:textId="3B51C3A8" w:rsidR="006F5ECC" w:rsidRPr="006B53C5" w:rsidRDefault="006F5ECC" w:rsidP="00020B14">
            <w:pPr>
              <w:tabs>
                <w:tab w:val="left" w:pos="0"/>
                <w:tab w:val="left" w:pos="4536"/>
              </w:tabs>
              <w:ind w:left="-96"/>
              <w:rPr>
                <w:rFonts w:ascii="Verdana" w:hAnsi="Verdana"/>
                <w:color w:val="7F7F7F"/>
                <w:sz w:val="22"/>
                <w:szCs w:val="22"/>
                <w:lang w:val="en-GB" w:eastAsia="fr-FR"/>
              </w:rPr>
            </w:pPr>
            <w:r>
              <w:rPr>
                <w:rFonts w:ascii="Verdana" w:hAnsi="Verdana"/>
                <w:color w:val="7F7F7F"/>
                <w:sz w:val="22"/>
                <w:szCs w:val="22"/>
                <w:lang w:val="en-GB" w:eastAsia="fr-FR"/>
              </w:rPr>
              <w:t xml:space="preserve">General Comments </w:t>
            </w:r>
          </w:p>
        </w:tc>
        <w:tc>
          <w:tcPr>
            <w:tcW w:w="1999" w:type="pct"/>
            <w:tcBorders>
              <w:top w:val="single" w:sz="4" w:space="0" w:color="auto"/>
              <w:left w:val="single" w:sz="4" w:space="0" w:color="auto"/>
              <w:bottom w:val="single" w:sz="4" w:space="0" w:color="auto"/>
              <w:right w:val="single" w:sz="4" w:space="0" w:color="auto"/>
            </w:tcBorders>
            <w:vAlign w:val="bottom"/>
          </w:tcPr>
          <w:p w14:paraId="2F8A774F" w14:textId="77777777" w:rsidR="006F5ECC" w:rsidRDefault="006F5ECC" w:rsidP="00020B14">
            <w:pPr>
              <w:tabs>
                <w:tab w:val="left" w:pos="0"/>
                <w:tab w:val="left" w:pos="4536"/>
              </w:tabs>
              <w:spacing w:before="120"/>
              <w:rPr>
                <w:rFonts w:ascii="Verdana" w:hAnsi="Verdana"/>
                <w:b/>
                <w:bCs/>
                <w:color w:val="7F7F7F"/>
                <w:sz w:val="22"/>
                <w:szCs w:val="22"/>
                <w:lang w:val="en-US" w:eastAsia="fr-FR"/>
              </w:rPr>
            </w:pPr>
            <w:r>
              <w:rPr>
                <w:rFonts w:ascii="Verdana" w:hAnsi="Verdana"/>
                <w:b/>
                <w:bCs/>
                <w:color w:val="7F7F7F"/>
                <w:sz w:val="22"/>
                <w:szCs w:val="22"/>
                <w:lang w:val="en-US" w:eastAsia="fr-FR"/>
              </w:rPr>
              <w:t>Proportionality Tool-Box</w:t>
            </w:r>
          </w:p>
          <w:p w14:paraId="6E0FF13B" w14:textId="77777777" w:rsidR="006F5ECC" w:rsidRPr="00016D8C" w:rsidRDefault="006F5ECC" w:rsidP="00020B14">
            <w:pPr>
              <w:tabs>
                <w:tab w:val="left" w:pos="0"/>
                <w:tab w:val="left" w:pos="4536"/>
              </w:tabs>
              <w:spacing w:before="120" w:after="120"/>
              <w:rPr>
                <w:rFonts w:ascii="Verdana" w:hAnsi="Verdana"/>
                <w:color w:val="7F7F7F"/>
                <w:sz w:val="22"/>
                <w:szCs w:val="22"/>
                <w:lang w:val="en-US" w:eastAsia="fr-FR"/>
              </w:rPr>
            </w:pPr>
            <w:r>
              <w:rPr>
                <w:rFonts w:ascii="Verdana" w:hAnsi="Verdana"/>
                <w:color w:val="7F7F7F"/>
                <w:sz w:val="22"/>
                <w:szCs w:val="22"/>
                <w:lang w:val="en-US" w:eastAsia="fr-FR"/>
              </w:rPr>
              <w:t>The proportionality tool-box consists of the following proposals:</w:t>
            </w:r>
          </w:p>
          <w:p w14:paraId="74A654F9" w14:textId="77777777" w:rsidR="006F5ECC" w:rsidRPr="00F0251A" w:rsidRDefault="006F5ECC" w:rsidP="00020B14">
            <w:pPr>
              <w:pStyle w:val="ListParagraph"/>
              <w:numPr>
                <w:ilvl w:val="0"/>
                <w:numId w:val="13"/>
              </w:numPr>
              <w:tabs>
                <w:tab w:val="left" w:pos="0"/>
                <w:tab w:val="left" w:pos="4536"/>
              </w:tabs>
              <w:spacing w:before="120" w:after="120"/>
              <w:ind w:left="0" w:hanging="357"/>
              <w:rPr>
                <w:rFonts w:ascii="Verdana" w:hAnsi="Verdana"/>
                <w:color w:val="7F7F7F"/>
                <w:lang w:val="en-US" w:eastAsia="fr-FR"/>
              </w:rPr>
            </w:pPr>
            <w:r w:rsidRPr="00F0251A">
              <w:rPr>
                <w:rFonts w:ascii="Verdana" w:hAnsi="Verdana"/>
                <w:color w:val="7F7F7F"/>
                <w:lang w:val="en-US" w:eastAsia="fr-FR"/>
              </w:rPr>
              <w:t>Introduc</w:t>
            </w:r>
            <w:r>
              <w:rPr>
                <w:rFonts w:ascii="Verdana" w:hAnsi="Verdana"/>
                <w:color w:val="7F7F7F"/>
                <w:lang w:val="en-US" w:eastAsia="fr-FR"/>
              </w:rPr>
              <w:t>tion of</w:t>
            </w:r>
            <w:r w:rsidRPr="00F0251A">
              <w:rPr>
                <w:rFonts w:ascii="Verdana" w:hAnsi="Verdana"/>
                <w:color w:val="7F7F7F"/>
                <w:lang w:val="en-US" w:eastAsia="fr-FR"/>
              </w:rPr>
              <w:t xml:space="preserve"> a </w:t>
            </w:r>
            <w:r w:rsidRPr="00F0251A">
              <w:rPr>
                <w:rFonts w:ascii="Verdana" w:hAnsi="Verdana"/>
                <w:b/>
                <w:bCs/>
                <w:color w:val="7F7F7F"/>
                <w:lang w:val="en-US" w:eastAsia="fr-FR"/>
              </w:rPr>
              <w:t xml:space="preserve">clear risk-based specific criteria </w:t>
            </w:r>
            <w:r w:rsidRPr="00F0251A">
              <w:rPr>
                <w:rFonts w:ascii="Verdana" w:hAnsi="Verdana"/>
                <w:color w:val="7F7F7F"/>
                <w:lang w:val="en-US" w:eastAsia="fr-FR"/>
              </w:rPr>
              <w:t>for the automatic application of the measures of the tool box</w:t>
            </w:r>
            <w:r>
              <w:rPr>
                <w:rFonts w:ascii="Verdana" w:hAnsi="Verdana"/>
                <w:color w:val="7F7F7F"/>
                <w:lang w:val="en-US" w:eastAsia="fr-FR"/>
              </w:rPr>
              <w:t xml:space="preserve">. </w:t>
            </w:r>
            <w:r w:rsidRPr="00F0251A">
              <w:rPr>
                <w:rFonts w:ascii="Verdana" w:hAnsi="Verdana"/>
                <w:color w:val="7F7F7F"/>
                <w:lang w:val="en-US" w:eastAsia="fr-FR"/>
              </w:rPr>
              <w:t xml:space="preserve">EIOPA should develop these </w:t>
            </w:r>
            <w:r w:rsidRPr="00F0251A">
              <w:rPr>
                <w:rFonts w:ascii="Verdana" w:hAnsi="Verdana"/>
                <w:b/>
                <w:bCs/>
                <w:color w:val="7F7F7F"/>
                <w:lang w:val="en-US" w:eastAsia="fr-FR"/>
              </w:rPr>
              <w:lastRenderedPageBreak/>
              <w:t>clear risk-based criteria aiming at assisting NSAs</w:t>
            </w:r>
            <w:r w:rsidRPr="00F0251A">
              <w:rPr>
                <w:rFonts w:ascii="Verdana" w:hAnsi="Verdana"/>
                <w:color w:val="7F7F7F"/>
                <w:lang w:val="en-US" w:eastAsia="fr-FR"/>
              </w:rPr>
              <w:t xml:space="preserve"> in their assessment of the nature, scale and complexity of risks and increase transparency in the application process of the principle</w:t>
            </w:r>
            <w:r>
              <w:rPr>
                <w:rFonts w:ascii="Verdana" w:hAnsi="Verdana"/>
                <w:color w:val="7F7F7F"/>
                <w:lang w:val="en-US" w:eastAsia="fr-FR"/>
              </w:rPr>
              <w:t>.</w:t>
            </w:r>
          </w:p>
          <w:p w14:paraId="2C16CE11" w14:textId="77777777" w:rsidR="006F5ECC" w:rsidRPr="00F0251A" w:rsidRDefault="006F5ECC" w:rsidP="00020B14">
            <w:pPr>
              <w:numPr>
                <w:ilvl w:val="0"/>
                <w:numId w:val="12"/>
              </w:numPr>
              <w:tabs>
                <w:tab w:val="left" w:pos="0"/>
                <w:tab w:val="left" w:pos="4536"/>
              </w:tabs>
              <w:spacing w:before="120" w:after="120"/>
              <w:ind w:left="0"/>
              <w:rPr>
                <w:rFonts w:ascii="Verdana" w:hAnsi="Verdana"/>
                <w:color w:val="7F7F7F"/>
                <w:sz w:val="22"/>
                <w:szCs w:val="22"/>
                <w:lang w:val="en-US" w:eastAsia="fr-FR"/>
              </w:rPr>
            </w:pPr>
            <w:r w:rsidRPr="00016D8C">
              <w:rPr>
                <w:rFonts w:ascii="Verdana" w:hAnsi="Verdana"/>
                <w:color w:val="7F7F7F"/>
                <w:sz w:val="22"/>
                <w:szCs w:val="22"/>
                <w:lang w:val="en-US" w:eastAsia="fr-FR"/>
              </w:rPr>
              <w:t xml:space="preserve">A </w:t>
            </w:r>
            <w:r w:rsidRPr="00016D8C">
              <w:rPr>
                <w:rFonts w:ascii="Verdana" w:hAnsi="Verdana"/>
                <w:b/>
                <w:bCs/>
                <w:color w:val="7F7F7F"/>
                <w:sz w:val="22"/>
                <w:szCs w:val="22"/>
                <w:lang w:val="en-US" w:eastAsia="fr-FR"/>
              </w:rPr>
              <w:t xml:space="preserve">predefined risk-based criterion </w:t>
            </w:r>
            <w:r w:rsidRPr="00016D8C">
              <w:rPr>
                <w:rFonts w:ascii="Verdana" w:hAnsi="Verdana"/>
                <w:color w:val="7F7F7F"/>
                <w:sz w:val="22"/>
                <w:szCs w:val="22"/>
                <w:lang w:val="en-US" w:eastAsia="fr-FR"/>
              </w:rPr>
              <w:t xml:space="preserve">should allow NSAs to identify </w:t>
            </w:r>
            <w:r w:rsidRPr="00016D8C">
              <w:rPr>
                <w:rFonts w:ascii="Verdana" w:hAnsi="Verdana"/>
                <w:b/>
                <w:bCs/>
                <w:color w:val="7F7F7F"/>
                <w:sz w:val="22"/>
                <w:szCs w:val="22"/>
                <w:lang w:val="en-US" w:eastAsia="fr-FR"/>
              </w:rPr>
              <w:t>low risk companies</w:t>
            </w:r>
            <w:r w:rsidRPr="00016D8C">
              <w:rPr>
                <w:rFonts w:ascii="Verdana" w:hAnsi="Verdana"/>
                <w:color w:val="7F7F7F"/>
                <w:sz w:val="22"/>
                <w:szCs w:val="22"/>
                <w:lang w:val="en-US" w:eastAsia="fr-FR"/>
              </w:rPr>
              <w:t>, based on their overall scale, nature and complexity</w:t>
            </w:r>
            <w:r>
              <w:rPr>
                <w:rFonts w:ascii="Verdana" w:hAnsi="Verdana"/>
                <w:color w:val="7F7F7F"/>
                <w:sz w:val="22"/>
                <w:szCs w:val="22"/>
                <w:lang w:val="en-US" w:eastAsia="fr-FR"/>
              </w:rPr>
              <w:t>.</w:t>
            </w:r>
          </w:p>
          <w:p w14:paraId="01EC3487" w14:textId="77777777" w:rsidR="006F5ECC" w:rsidRPr="00F0251A" w:rsidRDefault="006F5ECC" w:rsidP="00020B14">
            <w:pPr>
              <w:numPr>
                <w:ilvl w:val="0"/>
                <w:numId w:val="12"/>
              </w:numPr>
              <w:tabs>
                <w:tab w:val="left" w:pos="0"/>
                <w:tab w:val="left" w:pos="4536"/>
              </w:tabs>
              <w:spacing w:before="120" w:after="120"/>
              <w:ind w:left="0" w:hanging="357"/>
              <w:rPr>
                <w:rFonts w:ascii="Verdana" w:hAnsi="Verdana"/>
                <w:color w:val="7F7F7F"/>
                <w:sz w:val="22"/>
                <w:szCs w:val="22"/>
                <w:lang w:val="en-US" w:eastAsia="fr-FR"/>
              </w:rPr>
            </w:pPr>
            <w:r w:rsidRPr="00016D8C">
              <w:rPr>
                <w:rFonts w:ascii="Verdana" w:hAnsi="Verdana"/>
                <w:color w:val="7F7F7F"/>
                <w:sz w:val="22"/>
                <w:szCs w:val="22"/>
                <w:lang w:val="en-US" w:eastAsia="fr-FR"/>
              </w:rPr>
              <w:t xml:space="preserve">Companies would be automatically entitled to apply a list of simplifications and waivers, without any additional burden of proof and </w:t>
            </w:r>
            <w:r w:rsidRPr="00016D8C">
              <w:rPr>
                <w:rFonts w:ascii="Verdana" w:hAnsi="Verdana"/>
                <w:b/>
                <w:bCs/>
                <w:color w:val="7F7F7F"/>
                <w:sz w:val="22"/>
                <w:szCs w:val="22"/>
                <w:lang w:val="en-GB" w:eastAsia="fr-FR"/>
              </w:rPr>
              <w:t>without possibility for NSAs to object (there is not pre-application process)</w:t>
            </w:r>
          </w:p>
          <w:p w14:paraId="5DA7C40E" w14:textId="77777777" w:rsidR="006F5ECC" w:rsidRPr="00F0251A" w:rsidRDefault="006F5ECC" w:rsidP="00020B14">
            <w:pPr>
              <w:numPr>
                <w:ilvl w:val="0"/>
                <w:numId w:val="12"/>
              </w:numPr>
              <w:tabs>
                <w:tab w:val="left" w:pos="0"/>
                <w:tab w:val="left" w:pos="4536"/>
              </w:tabs>
              <w:spacing w:before="120" w:after="120"/>
              <w:ind w:left="0" w:hanging="357"/>
              <w:rPr>
                <w:rFonts w:ascii="Verdana" w:hAnsi="Verdana"/>
                <w:color w:val="7F7F7F"/>
                <w:sz w:val="22"/>
                <w:szCs w:val="22"/>
                <w:lang w:val="en-US" w:eastAsia="fr-FR"/>
              </w:rPr>
            </w:pPr>
            <w:r w:rsidRPr="00016D8C">
              <w:rPr>
                <w:rFonts w:ascii="Verdana" w:hAnsi="Verdana"/>
                <w:color w:val="7F7F7F"/>
                <w:sz w:val="22"/>
                <w:szCs w:val="22"/>
                <w:lang w:val="en-US" w:eastAsia="fr-FR"/>
              </w:rPr>
              <w:t xml:space="preserve">Individual measures of the tool-box can be </w:t>
            </w:r>
            <w:r w:rsidRPr="00016D8C">
              <w:rPr>
                <w:rFonts w:ascii="Verdana" w:hAnsi="Verdana"/>
                <w:b/>
                <w:bCs/>
                <w:color w:val="7F7F7F"/>
                <w:sz w:val="22"/>
                <w:szCs w:val="22"/>
                <w:lang w:val="en-US" w:eastAsia="fr-FR"/>
              </w:rPr>
              <w:t xml:space="preserve">applied by all insurers </w:t>
            </w:r>
            <w:r w:rsidRPr="00016D8C">
              <w:rPr>
                <w:rFonts w:ascii="Verdana" w:hAnsi="Verdana"/>
                <w:color w:val="7F7F7F"/>
                <w:sz w:val="22"/>
                <w:szCs w:val="22"/>
                <w:lang w:val="en-US" w:eastAsia="fr-FR"/>
              </w:rPr>
              <w:t xml:space="preserve">-&gt; </w:t>
            </w:r>
            <w:r w:rsidRPr="00016D8C">
              <w:rPr>
                <w:rFonts w:ascii="Verdana" w:hAnsi="Verdana"/>
                <w:color w:val="7F7F7F"/>
                <w:sz w:val="22"/>
                <w:szCs w:val="22"/>
                <w:lang w:val="en-GB" w:eastAsia="fr-FR"/>
              </w:rPr>
              <w:t xml:space="preserve">Proportionality could also mean choosing to not apply an individual requirement, on a case-by case basis -&gt; </w:t>
            </w:r>
            <w:r w:rsidRPr="00016D8C">
              <w:rPr>
                <w:rFonts w:ascii="Verdana" w:hAnsi="Verdana"/>
                <w:color w:val="7F7F7F"/>
                <w:sz w:val="22"/>
                <w:szCs w:val="22"/>
                <w:lang w:val="en-US" w:eastAsia="fr-FR"/>
              </w:rPr>
              <w:t xml:space="preserve">Proportionality applies also for more complex insurers on non-material risks and lines of business </w:t>
            </w:r>
          </w:p>
          <w:p w14:paraId="081942F4" w14:textId="77777777" w:rsidR="006F5ECC" w:rsidRPr="00F0251A" w:rsidRDefault="006F5ECC" w:rsidP="00020B14">
            <w:pPr>
              <w:numPr>
                <w:ilvl w:val="0"/>
                <w:numId w:val="12"/>
              </w:numPr>
              <w:tabs>
                <w:tab w:val="left" w:pos="0"/>
                <w:tab w:val="left" w:pos="4536"/>
              </w:tabs>
              <w:spacing w:before="120" w:after="120"/>
              <w:ind w:left="0" w:hanging="357"/>
              <w:rPr>
                <w:rFonts w:ascii="Verdana" w:hAnsi="Verdana"/>
                <w:color w:val="7F7F7F"/>
                <w:sz w:val="22"/>
                <w:szCs w:val="22"/>
                <w:lang w:val="en-US" w:eastAsia="fr-FR"/>
              </w:rPr>
            </w:pPr>
            <w:r w:rsidRPr="00016D8C">
              <w:rPr>
                <w:rFonts w:ascii="Verdana" w:hAnsi="Verdana"/>
                <w:color w:val="7F7F7F"/>
                <w:sz w:val="22"/>
                <w:szCs w:val="22"/>
                <w:lang w:val="en-US" w:eastAsia="fr-FR"/>
              </w:rPr>
              <w:t xml:space="preserve">EIOPA’s annual report on proportionality, and any follow-up, should be </w:t>
            </w:r>
            <w:r w:rsidRPr="00016D8C">
              <w:rPr>
                <w:rFonts w:ascii="Verdana" w:hAnsi="Verdana"/>
                <w:b/>
                <w:bCs/>
                <w:color w:val="7F7F7F"/>
                <w:sz w:val="22"/>
                <w:szCs w:val="22"/>
                <w:lang w:val="en-US" w:eastAsia="fr-FR"/>
              </w:rPr>
              <w:t>overseen by the new proportionality committee</w:t>
            </w:r>
            <w:r w:rsidRPr="00016D8C">
              <w:rPr>
                <w:rFonts w:ascii="Verdana" w:hAnsi="Verdana"/>
                <w:color w:val="7F7F7F"/>
                <w:sz w:val="22"/>
                <w:szCs w:val="22"/>
                <w:vertAlign w:val="superscript"/>
                <w:lang w:val="en-US" w:eastAsia="fr-FR"/>
              </w:rPr>
              <w:t xml:space="preserve"> </w:t>
            </w:r>
            <w:r w:rsidRPr="00016D8C">
              <w:rPr>
                <w:rFonts w:ascii="Verdana" w:hAnsi="Verdana"/>
                <w:color w:val="7F7F7F"/>
                <w:sz w:val="22"/>
                <w:szCs w:val="22"/>
                <w:lang w:val="en-US" w:eastAsia="fr-FR"/>
              </w:rPr>
              <w:t>which is required to be set up by the ESAs review</w:t>
            </w:r>
          </w:p>
          <w:p w14:paraId="4C2A4A67" w14:textId="77777777" w:rsidR="006F5ECC" w:rsidRPr="00F0251A" w:rsidRDefault="006F5ECC" w:rsidP="00020B14">
            <w:pPr>
              <w:numPr>
                <w:ilvl w:val="0"/>
                <w:numId w:val="12"/>
              </w:numPr>
              <w:tabs>
                <w:tab w:val="left" w:pos="0"/>
                <w:tab w:val="left" w:pos="4536"/>
              </w:tabs>
              <w:spacing w:before="120" w:after="120"/>
              <w:ind w:left="0" w:hanging="357"/>
              <w:rPr>
                <w:rFonts w:ascii="Verdana" w:hAnsi="Verdana"/>
                <w:color w:val="7F7F7F"/>
                <w:sz w:val="22"/>
                <w:szCs w:val="22"/>
                <w:lang w:val="en-US" w:eastAsia="fr-FR"/>
              </w:rPr>
            </w:pPr>
            <w:r w:rsidRPr="00016D8C">
              <w:rPr>
                <w:rFonts w:ascii="Verdana" w:hAnsi="Verdana"/>
                <w:color w:val="7F7F7F"/>
                <w:sz w:val="22"/>
                <w:szCs w:val="22"/>
                <w:lang w:val="en-GB" w:eastAsia="fr-FR"/>
              </w:rPr>
              <w:t xml:space="preserve">Applying proportionality </w:t>
            </w:r>
            <w:r w:rsidRPr="00016D8C">
              <w:rPr>
                <w:rFonts w:ascii="Verdana" w:hAnsi="Verdana"/>
                <w:b/>
                <w:bCs/>
                <w:color w:val="7F7F7F"/>
                <w:sz w:val="22"/>
                <w:szCs w:val="22"/>
                <w:lang w:val="en-GB" w:eastAsia="fr-FR"/>
              </w:rPr>
              <w:t>should not result in gold plating</w:t>
            </w:r>
            <w:r w:rsidRPr="00016D8C">
              <w:rPr>
                <w:rFonts w:ascii="Verdana" w:hAnsi="Verdana"/>
                <w:color w:val="7F7F7F"/>
                <w:sz w:val="22"/>
                <w:szCs w:val="22"/>
                <w:lang w:val="en-GB" w:eastAsia="fr-FR"/>
              </w:rPr>
              <w:t>, and proportionality should not be mis-used to increase the burden for some insurers</w:t>
            </w:r>
          </w:p>
          <w:p w14:paraId="0D75415D" w14:textId="77777777" w:rsidR="006F5ECC" w:rsidRPr="00F0251A" w:rsidRDefault="006F5ECC" w:rsidP="00020B14">
            <w:pPr>
              <w:numPr>
                <w:ilvl w:val="0"/>
                <w:numId w:val="12"/>
              </w:numPr>
              <w:tabs>
                <w:tab w:val="left" w:pos="0"/>
                <w:tab w:val="left" w:pos="4536"/>
              </w:tabs>
              <w:ind w:left="0"/>
              <w:rPr>
                <w:rFonts w:ascii="Verdana" w:hAnsi="Verdana"/>
                <w:color w:val="7F7F7F"/>
                <w:sz w:val="22"/>
                <w:szCs w:val="22"/>
                <w:lang w:val="en-US" w:eastAsia="fr-FR"/>
              </w:rPr>
            </w:pPr>
            <w:r w:rsidRPr="00016D8C">
              <w:rPr>
                <w:rFonts w:ascii="Verdana" w:hAnsi="Verdana"/>
                <w:color w:val="7F7F7F"/>
                <w:sz w:val="22"/>
                <w:szCs w:val="22"/>
                <w:lang w:val="en-GB" w:eastAsia="fr-FR"/>
              </w:rPr>
              <w:t>A proportionate supervision is key to ensure that Solvency II is effectively a risk-based framework</w:t>
            </w:r>
          </w:p>
          <w:p w14:paraId="66594E7F" w14:textId="77777777" w:rsidR="006F5ECC" w:rsidRPr="00F0251A" w:rsidRDefault="006F5ECC" w:rsidP="00020B14">
            <w:pPr>
              <w:tabs>
                <w:tab w:val="left" w:pos="0"/>
                <w:tab w:val="left" w:pos="4536"/>
              </w:tabs>
              <w:rPr>
                <w:rFonts w:ascii="Verdana" w:hAnsi="Verdana"/>
                <w:color w:val="7F7F7F"/>
                <w:sz w:val="22"/>
                <w:szCs w:val="22"/>
                <w:lang w:val="en-US" w:eastAsia="fr-FR"/>
              </w:rPr>
            </w:pPr>
          </w:p>
          <w:p w14:paraId="6F5D09D0" w14:textId="77777777" w:rsidR="006F5ECC" w:rsidRDefault="006F5ECC" w:rsidP="00020B14">
            <w:pPr>
              <w:tabs>
                <w:tab w:val="left" w:pos="0"/>
                <w:tab w:val="left" w:pos="4536"/>
              </w:tabs>
              <w:rPr>
                <w:rFonts w:ascii="Verdana" w:hAnsi="Verdana"/>
                <w:b/>
                <w:bCs/>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vAlign w:val="bottom"/>
          </w:tcPr>
          <w:p w14:paraId="5F4E62E7"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62CA1DC7"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30ADAA9" w14:textId="77777777" w:rsidR="006F5ECC" w:rsidRPr="000A71B7" w:rsidRDefault="006F5ECC" w:rsidP="00020B14">
            <w:pPr>
              <w:tabs>
                <w:tab w:val="left" w:pos="0"/>
                <w:tab w:val="left" w:pos="4536"/>
              </w:tabs>
              <w:ind w:left="-96"/>
              <w:rPr>
                <w:rFonts w:ascii="Verdana" w:hAnsi="Verdana"/>
                <w:bCs/>
                <w:color w:val="7F7F7F"/>
                <w:sz w:val="22"/>
                <w:szCs w:val="22"/>
                <w:lang w:val="en-GB"/>
              </w:rPr>
            </w:pPr>
            <w:r w:rsidRPr="007A6117">
              <w:rPr>
                <w:rFonts w:ascii="Verdana" w:hAnsi="Verdana"/>
                <w:bCs/>
                <w:color w:val="7F7F7F" w:themeColor="text1" w:themeTint="80"/>
                <w:sz w:val="22"/>
                <w:szCs w:val="22"/>
                <w:lang w:val="en-GB"/>
              </w:rPr>
              <w:lastRenderedPageBreak/>
              <w:t>8</w:t>
            </w:r>
          </w:p>
        </w:tc>
        <w:tc>
          <w:tcPr>
            <w:tcW w:w="506" w:type="pct"/>
            <w:gridSpan w:val="2"/>
            <w:tcBorders>
              <w:top w:val="single" w:sz="4" w:space="0" w:color="auto"/>
              <w:left w:val="single" w:sz="4" w:space="0" w:color="auto"/>
              <w:bottom w:val="single" w:sz="4" w:space="0" w:color="auto"/>
              <w:right w:val="single" w:sz="4" w:space="0" w:color="auto"/>
            </w:tcBorders>
          </w:tcPr>
          <w:p w14:paraId="12734CCE" w14:textId="5D8BC4CD" w:rsidR="006F5ECC" w:rsidRPr="001F7855" w:rsidRDefault="006F5ECC" w:rsidP="00020B14">
            <w:pPr>
              <w:tabs>
                <w:tab w:val="left" w:pos="0"/>
                <w:tab w:val="left" w:pos="4536"/>
              </w:tabs>
              <w:ind w:left="-96"/>
              <w:rPr>
                <w:rFonts w:ascii="Verdana" w:hAnsi="Verdana"/>
                <w:b/>
                <w:bCs/>
                <w:color w:val="7F7F7F" w:themeColor="text1" w:themeTint="80"/>
                <w:sz w:val="22"/>
                <w:szCs w:val="22"/>
                <w:lang w:val="en-GB" w:eastAsia="fr-FR"/>
              </w:rPr>
            </w:pPr>
            <w:r w:rsidRPr="006B53C5">
              <w:rPr>
                <w:rFonts w:ascii="Verdana" w:hAnsi="Verdana"/>
                <w:b/>
                <w:bCs/>
                <w:color w:val="7F7F7F" w:themeColor="text1" w:themeTint="80"/>
                <w:sz w:val="22"/>
                <w:szCs w:val="22"/>
                <w:lang w:val="en-GB" w:eastAsia="fr-FR"/>
              </w:rPr>
              <w:t>Question to stakeholders</w:t>
            </w:r>
          </w:p>
        </w:tc>
        <w:tc>
          <w:tcPr>
            <w:tcW w:w="1999" w:type="pct"/>
            <w:tcBorders>
              <w:top w:val="single" w:sz="4" w:space="0" w:color="auto"/>
              <w:left w:val="single" w:sz="4" w:space="0" w:color="auto"/>
              <w:bottom w:val="single" w:sz="4" w:space="0" w:color="auto"/>
              <w:right w:val="single" w:sz="4" w:space="0" w:color="auto"/>
            </w:tcBorders>
          </w:tcPr>
          <w:p w14:paraId="4A9FCAA6" w14:textId="337138BF" w:rsidR="006F5ECC" w:rsidRPr="006B53C5" w:rsidRDefault="006F5ECC" w:rsidP="00020B14">
            <w:pPr>
              <w:tabs>
                <w:tab w:val="left" w:pos="0"/>
                <w:tab w:val="left" w:pos="4536"/>
              </w:tabs>
              <w:spacing w:after="120"/>
              <w:rPr>
                <w:rFonts w:ascii="Verdana" w:hAnsi="Verdana"/>
                <w:b/>
                <w:bCs/>
                <w:color w:val="7F7F7F" w:themeColor="text1" w:themeTint="80"/>
                <w:sz w:val="22"/>
                <w:szCs w:val="22"/>
                <w:lang w:val="en-GB" w:eastAsia="fr-FR"/>
              </w:rPr>
            </w:pPr>
            <w:r w:rsidRPr="006B53C5">
              <w:rPr>
                <w:rFonts w:ascii="Verdana" w:hAnsi="Verdana"/>
                <w:b/>
                <w:bCs/>
                <w:color w:val="7F7F7F" w:themeColor="text1" w:themeTint="80"/>
                <w:sz w:val="22"/>
                <w:szCs w:val="22"/>
                <w:lang w:val="en-GB" w:eastAsia="fr-FR"/>
              </w:rPr>
              <w:t>Q8.1: In your view, are changes to the provisions on the calculation of technical provisions necessary in order to improve the proportionality of the requirements? Please make concrete proposals</w:t>
            </w:r>
            <w:r>
              <w:rPr>
                <w:rFonts w:ascii="Verdana" w:hAnsi="Verdana"/>
                <w:b/>
                <w:bCs/>
                <w:color w:val="7F7F7F" w:themeColor="text1" w:themeTint="80"/>
                <w:sz w:val="22"/>
                <w:szCs w:val="22"/>
                <w:lang w:val="en-GB" w:eastAsia="fr-FR"/>
              </w:rPr>
              <w:t>:</w:t>
            </w:r>
          </w:p>
          <w:p w14:paraId="1A8FB96B" w14:textId="77777777" w:rsidR="006F5ECC" w:rsidRPr="006B53C5" w:rsidRDefault="006F5ECC" w:rsidP="00020B14">
            <w:pPr>
              <w:tabs>
                <w:tab w:val="left" w:pos="0"/>
                <w:tab w:val="left" w:pos="4536"/>
              </w:tabs>
              <w:rPr>
                <w:rFonts w:ascii="Verdana" w:hAnsi="Verdana" w:cs="Calibri"/>
                <w:color w:val="7F7F7F" w:themeColor="text1" w:themeTint="80"/>
                <w:sz w:val="22"/>
                <w:szCs w:val="22"/>
                <w:lang w:val="en-GB"/>
              </w:rPr>
            </w:pPr>
            <w:r w:rsidRPr="006B53C5">
              <w:rPr>
                <w:rFonts w:ascii="Verdana" w:hAnsi="Verdana"/>
                <w:b/>
                <w:bCs/>
                <w:color w:val="7F7F7F" w:themeColor="text1" w:themeTint="80"/>
                <w:sz w:val="22"/>
                <w:szCs w:val="22"/>
                <w:lang w:val="en-GB" w:eastAsia="fr-FR"/>
              </w:rPr>
              <w:t>New simplification proposed – split Lob 29 Health SLT business</w:t>
            </w:r>
            <w:r w:rsidRPr="006B53C5">
              <w:rPr>
                <w:rFonts w:ascii="Verdana" w:hAnsi="Verdana" w:cs="Calibri"/>
                <w:color w:val="7F7F7F" w:themeColor="text1" w:themeTint="80"/>
                <w:sz w:val="22"/>
                <w:szCs w:val="22"/>
                <w:lang w:val="en-GB"/>
              </w:rPr>
              <w:t xml:space="preserve"> </w:t>
            </w:r>
          </w:p>
          <w:p w14:paraId="6C563248" w14:textId="57A97238" w:rsidR="006F5ECC" w:rsidRPr="006B53C5" w:rsidRDefault="006F5ECC" w:rsidP="00020B14">
            <w:pPr>
              <w:tabs>
                <w:tab w:val="left" w:pos="0"/>
                <w:tab w:val="left" w:pos="4536"/>
              </w:tabs>
              <w:rPr>
                <w:rFonts w:ascii="Verdana" w:hAnsi="Verdana" w:cs="Calibri"/>
                <w:b/>
                <w:color w:val="7F7F7F" w:themeColor="text1" w:themeTint="80"/>
                <w:sz w:val="22"/>
                <w:szCs w:val="22"/>
                <w:u w:val="single"/>
                <w:lang w:val="en-US" w:eastAsia="fr-FR"/>
              </w:rPr>
            </w:pPr>
            <w:r w:rsidRPr="006B53C5">
              <w:rPr>
                <w:rFonts w:ascii="Verdana" w:hAnsi="Verdana" w:cs="Calibri"/>
                <w:color w:val="7F7F7F" w:themeColor="text1" w:themeTint="80"/>
                <w:sz w:val="22"/>
                <w:szCs w:val="22"/>
                <w:lang w:val="en-GB"/>
              </w:rPr>
              <w:t>The Lob 29 Health insurance capturing the SLT business (</w:t>
            </w:r>
            <w:r w:rsidRPr="006B53C5">
              <w:rPr>
                <w:rFonts w:ascii="Verdana" w:hAnsi="Verdana" w:cs="Calibri"/>
                <w:i/>
                <w:color w:val="7F7F7F" w:themeColor="text1" w:themeTint="80"/>
                <w:sz w:val="22"/>
                <w:szCs w:val="22"/>
                <w:lang w:val="en-GB"/>
              </w:rPr>
              <w:t>health insurance obligations where the underlying business is pursued on a similar technical basis to that of life insurance, other than those included in Lob 33</w:t>
            </w:r>
            <w:r w:rsidRPr="006B53C5">
              <w:rPr>
                <w:rFonts w:ascii="Verdana" w:hAnsi="Verdana" w:cs="Calibri"/>
                <w:color w:val="7F7F7F" w:themeColor="text1" w:themeTint="80"/>
                <w:sz w:val="22"/>
                <w:szCs w:val="22"/>
                <w:lang w:val="en-GB"/>
              </w:rPr>
              <w:t xml:space="preserve">) should be split between </w:t>
            </w:r>
            <w:r w:rsidRPr="006B53C5">
              <w:rPr>
                <w:rFonts w:ascii="Verdana" w:hAnsi="Verdana" w:cs="Calibri"/>
                <w:b/>
                <w:color w:val="7F7F7F" w:themeColor="text1" w:themeTint="80"/>
                <w:sz w:val="22"/>
                <w:szCs w:val="22"/>
                <w:lang w:val="en-GB"/>
              </w:rPr>
              <w:t>medical expense and income protection disability – morbidity risk</w:t>
            </w:r>
            <w:r w:rsidRPr="006B53C5">
              <w:rPr>
                <w:rFonts w:ascii="Verdana" w:hAnsi="Verdana" w:cs="Calibri"/>
                <w:color w:val="7F7F7F" w:themeColor="text1" w:themeTint="80"/>
                <w:sz w:val="22"/>
                <w:szCs w:val="22"/>
                <w:lang w:val="en-GB"/>
              </w:rPr>
              <w:t xml:space="preserve">. </w:t>
            </w:r>
          </w:p>
          <w:p w14:paraId="41D3DDE1" w14:textId="77777777" w:rsidR="006F5ECC" w:rsidRPr="006B53C5" w:rsidRDefault="006F5ECC" w:rsidP="00020B14">
            <w:pPr>
              <w:tabs>
                <w:tab w:val="left" w:pos="0"/>
                <w:tab w:val="left" w:pos="4536"/>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vAlign w:val="bottom"/>
          </w:tcPr>
          <w:p w14:paraId="77F3E5F7"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10519BD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98D947F" w14:textId="07972611" w:rsidR="006F5ECC" w:rsidRPr="007A6117" w:rsidRDefault="006F5ECC" w:rsidP="00020B14">
            <w:pPr>
              <w:tabs>
                <w:tab w:val="left" w:pos="0"/>
                <w:tab w:val="left" w:pos="4536"/>
              </w:tabs>
              <w:ind w:left="-96"/>
              <w:rPr>
                <w:rFonts w:ascii="Verdana" w:hAnsi="Verdana"/>
                <w:bCs/>
                <w:color w:val="7F7F7F" w:themeColor="text1" w:themeTint="80"/>
                <w:sz w:val="22"/>
                <w:szCs w:val="22"/>
                <w:lang w:val="en-GB"/>
              </w:rPr>
            </w:pPr>
            <w:r w:rsidRPr="007A6117">
              <w:rPr>
                <w:rFonts w:ascii="Verdana" w:hAnsi="Verdana"/>
                <w:bCs/>
                <w:color w:val="7F7F7F" w:themeColor="text1" w:themeTint="80"/>
                <w:sz w:val="22"/>
                <w:szCs w:val="22"/>
                <w:lang w:val="en-GB"/>
              </w:rPr>
              <w:t>8</w:t>
            </w:r>
          </w:p>
        </w:tc>
        <w:tc>
          <w:tcPr>
            <w:tcW w:w="506" w:type="pct"/>
            <w:gridSpan w:val="2"/>
            <w:tcBorders>
              <w:top w:val="single" w:sz="4" w:space="0" w:color="auto"/>
              <w:left w:val="single" w:sz="4" w:space="0" w:color="auto"/>
              <w:bottom w:val="single" w:sz="4" w:space="0" w:color="auto"/>
              <w:right w:val="single" w:sz="4" w:space="0" w:color="auto"/>
            </w:tcBorders>
          </w:tcPr>
          <w:p w14:paraId="7786BA6E" w14:textId="34ACBEC0" w:rsidR="006F5ECC" w:rsidRPr="007A6117" w:rsidRDefault="006F5ECC" w:rsidP="00020B14">
            <w:pPr>
              <w:tabs>
                <w:tab w:val="left" w:pos="0"/>
                <w:tab w:val="left" w:pos="4536"/>
              </w:tabs>
              <w:ind w:left="-96"/>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76</w:t>
            </w:r>
          </w:p>
        </w:tc>
        <w:tc>
          <w:tcPr>
            <w:tcW w:w="1999" w:type="pct"/>
            <w:tcBorders>
              <w:top w:val="single" w:sz="4" w:space="0" w:color="auto"/>
              <w:left w:val="single" w:sz="4" w:space="0" w:color="auto"/>
              <w:bottom w:val="single" w:sz="4" w:space="0" w:color="auto"/>
              <w:right w:val="single" w:sz="4" w:space="0" w:color="auto"/>
            </w:tcBorders>
          </w:tcPr>
          <w:p w14:paraId="1ED55F5E" w14:textId="62051E2A" w:rsidR="006F5ECC" w:rsidRPr="006B53C5" w:rsidRDefault="006F5ECC" w:rsidP="00020B14">
            <w:pPr>
              <w:tabs>
                <w:tab w:val="left" w:pos="0"/>
                <w:tab w:val="left" w:pos="4536"/>
              </w:tabs>
              <w:spacing w:after="120"/>
              <w:rPr>
                <w:rFonts w:ascii="Verdana" w:hAnsi="Verdana"/>
                <w:color w:val="7F7F7F" w:themeColor="text1" w:themeTint="80"/>
                <w:sz w:val="22"/>
                <w:szCs w:val="22"/>
                <w:lang w:val="en-GB" w:eastAsia="fr-FR"/>
              </w:rPr>
            </w:pPr>
            <w:r w:rsidRPr="006B53C5">
              <w:rPr>
                <w:rFonts w:ascii="Verdana" w:hAnsi="Verdana"/>
                <w:color w:val="7F7F7F" w:themeColor="text1" w:themeTint="80"/>
                <w:sz w:val="22"/>
                <w:szCs w:val="22"/>
                <w:lang w:val="en-GB" w:eastAsia="fr-FR"/>
              </w:rPr>
              <w:t>We agree with EIOPA that proportionality can be enhanced by introducing further simplifications to the calculation of the capital requirements (see below).</w:t>
            </w:r>
          </w:p>
          <w:p w14:paraId="66EC30B5" w14:textId="067DAFFE" w:rsidR="006F5ECC" w:rsidRPr="007A6117" w:rsidRDefault="006F5ECC" w:rsidP="00020B14">
            <w:pPr>
              <w:tabs>
                <w:tab w:val="left" w:pos="0"/>
                <w:tab w:val="left" w:pos="4536"/>
              </w:tabs>
              <w:rPr>
                <w:rFonts w:ascii="Verdana" w:hAnsi="Verdana"/>
                <w:b/>
                <w:color w:val="7F7F7F" w:themeColor="text1" w:themeTint="80"/>
                <w:sz w:val="22"/>
                <w:szCs w:val="22"/>
                <w:u w:val="single"/>
                <w:lang w:val="en-US" w:eastAsia="fr-FR"/>
              </w:rPr>
            </w:pPr>
            <w:r w:rsidRPr="001F7855">
              <w:rPr>
                <w:rFonts w:ascii="Verdana" w:hAnsi="Verdana"/>
                <w:b/>
                <w:bCs/>
                <w:color w:val="7F7F7F" w:themeColor="text1" w:themeTint="80"/>
                <w:sz w:val="22"/>
                <w:szCs w:val="22"/>
                <w:u w:val="single"/>
                <w:lang w:val="en-GB" w:eastAsia="fr-FR"/>
              </w:rPr>
              <w:t>Simplification best estimate non-life</w:t>
            </w:r>
            <w:r>
              <w:rPr>
                <w:rFonts w:ascii="Verdana" w:hAnsi="Verdana"/>
                <w:b/>
                <w:bCs/>
                <w:color w:val="7F7F7F" w:themeColor="text1" w:themeTint="80"/>
                <w:sz w:val="22"/>
                <w:szCs w:val="22"/>
                <w:u w:val="single"/>
                <w:lang w:val="en-GB" w:eastAsia="fr-FR"/>
              </w:rPr>
              <w:t xml:space="preserve">: </w:t>
            </w:r>
            <w:r w:rsidRPr="007A6117">
              <w:rPr>
                <w:rFonts w:ascii="Verdana" w:hAnsi="Verdana"/>
                <w:b/>
                <w:color w:val="7F7F7F" w:themeColor="text1" w:themeTint="80"/>
                <w:sz w:val="22"/>
                <w:szCs w:val="22"/>
                <w:u w:val="single"/>
                <w:lang w:val="en-US" w:eastAsia="fr-FR"/>
              </w:rPr>
              <w:t>Non-life lapse risk</w:t>
            </w:r>
          </w:p>
          <w:p w14:paraId="0E157B6E" w14:textId="6428382D" w:rsidR="006F5ECC" w:rsidRPr="007A6117" w:rsidRDefault="006F5ECC" w:rsidP="00020B14">
            <w:pPr>
              <w:tabs>
                <w:tab w:val="left" w:pos="0"/>
                <w:tab w:val="left" w:pos="4536"/>
              </w:tabs>
              <w:rPr>
                <w:rFonts w:ascii="Verdana" w:hAnsi="Verdana"/>
                <w:color w:val="7F7F7F" w:themeColor="text1" w:themeTint="80"/>
                <w:sz w:val="22"/>
                <w:szCs w:val="22"/>
                <w:lang w:val="en-US" w:eastAsia="fr-FR"/>
              </w:rPr>
            </w:pPr>
            <w:r w:rsidRPr="007A6117">
              <w:rPr>
                <w:rFonts w:ascii="Verdana" w:hAnsi="Verdana"/>
                <w:color w:val="7F7F7F" w:themeColor="text1" w:themeTint="80"/>
                <w:sz w:val="22"/>
                <w:szCs w:val="22"/>
                <w:lang w:val="en-US" w:eastAsia="fr-FR"/>
              </w:rPr>
              <w:t xml:space="preserve">As a result of the 2018 review of Solvency II, EIOPA introduced a simplification by HRG for non-life lapse risk. We would like to remind EIOPA that insurance risks are not monitored on a policy-by-policy basis but rather on a portfolio basis. Simplifications for Non-life lapse risk over homogeneous risk groups (HRG) can be misaligned with the unbundling of insurance contracts. If a policyholder lapses it is assumed that all related insurance covers will lapse. Non-life contracts have different guarantees which are split across different HRG. When the policy lapses the different guarantees lapse as well, those which are profitable and those which are onerous. It is therefore meaningless to compute the Non-Life lapse risk sub-module at homogeneous risk group level. We reiterate the need to apply this shock at the best estimate level. The potential slight underestimation of this approach should be </w:t>
            </w:r>
            <w:r w:rsidRPr="007A6117">
              <w:rPr>
                <w:rFonts w:ascii="Verdana" w:hAnsi="Verdana"/>
                <w:color w:val="7F7F7F" w:themeColor="text1" w:themeTint="80"/>
                <w:sz w:val="22"/>
                <w:szCs w:val="22"/>
                <w:lang w:val="en-US" w:eastAsia="fr-FR"/>
              </w:rPr>
              <w:lastRenderedPageBreak/>
              <w:t>compensated by the high level of calibration of this risk (i.e. 40% shock).</w:t>
            </w:r>
          </w:p>
          <w:p w14:paraId="692CDF1C" w14:textId="77777777" w:rsidR="006F5ECC" w:rsidRPr="007A6117" w:rsidRDefault="006F5ECC" w:rsidP="00020B14">
            <w:pPr>
              <w:tabs>
                <w:tab w:val="left" w:pos="0"/>
                <w:tab w:val="left" w:pos="4536"/>
              </w:tabs>
              <w:rPr>
                <w:rFonts w:ascii="Verdana" w:hAnsi="Verdana"/>
                <w:color w:val="7F7F7F" w:themeColor="text1" w:themeTint="80"/>
                <w:sz w:val="22"/>
                <w:szCs w:val="22"/>
                <w:u w:val="single"/>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79781F31" w14:textId="77777777" w:rsidR="006F5ECC" w:rsidRPr="009478C1" w:rsidRDefault="006F5ECC" w:rsidP="00020B14">
            <w:pPr>
              <w:tabs>
                <w:tab w:val="left" w:pos="0"/>
                <w:tab w:val="left" w:pos="4536"/>
              </w:tabs>
              <w:ind w:left="-96"/>
              <w:rPr>
                <w:rFonts w:ascii="Verdana" w:hAnsi="Verdana"/>
                <w:color w:val="000000"/>
                <w:sz w:val="22"/>
                <w:szCs w:val="22"/>
                <w:lang w:val="en-GB" w:eastAsia="fr-FR"/>
              </w:rPr>
            </w:pPr>
          </w:p>
        </w:tc>
      </w:tr>
      <w:tr w:rsidR="00FC5744" w:rsidRPr="001360A5" w14:paraId="6CC6F5B2"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9B8367A" w14:textId="210CDAA1" w:rsidR="006F5ECC" w:rsidRPr="000A71B7" w:rsidRDefault="006F5ECC" w:rsidP="00020B14">
            <w:pPr>
              <w:tabs>
                <w:tab w:val="left" w:pos="0"/>
                <w:tab w:val="left" w:pos="4536"/>
              </w:tabs>
              <w:ind w:left="-96"/>
              <w:rPr>
                <w:rFonts w:ascii="Verdana" w:hAnsi="Verdana"/>
                <w:bCs/>
                <w:color w:val="7F7F7F"/>
                <w:sz w:val="22"/>
                <w:szCs w:val="22"/>
                <w:lang w:val="en-GB"/>
              </w:rPr>
            </w:pPr>
            <w:r w:rsidRPr="007A6117">
              <w:rPr>
                <w:rFonts w:ascii="Verdana" w:hAnsi="Verdana"/>
                <w:bCs/>
                <w:color w:val="7F7F7F" w:themeColor="text1" w:themeTint="80"/>
                <w:sz w:val="22"/>
                <w:szCs w:val="22"/>
                <w:lang w:val="en-GB"/>
              </w:rPr>
              <w:t>8</w:t>
            </w:r>
          </w:p>
        </w:tc>
        <w:tc>
          <w:tcPr>
            <w:tcW w:w="506" w:type="pct"/>
            <w:gridSpan w:val="2"/>
            <w:tcBorders>
              <w:top w:val="single" w:sz="4" w:space="0" w:color="auto"/>
              <w:left w:val="single" w:sz="4" w:space="0" w:color="auto"/>
              <w:bottom w:val="single" w:sz="4" w:space="0" w:color="auto"/>
              <w:right w:val="single" w:sz="4" w:space="0" w:color="auto"/>
            </w:tcBorders>
          </w:tcPr>
          <w:p w14:paraId="5B0EDBE2" w14:textId="61DB1D5E" w:rsidR="006F5ECC" w:rsidRPr="00544BC5" w:rsidRDefault="006F5ECC" w:rsidP="00020B14">
            <w:pPr>
              <w:tabs>
                <w:tab w:val="left" w:pos="0"/>
                <w:tab w:val="left" w:pos="4536"/>
              </w:tabs>
              <w:ind w:left="-96"/>
              <w:rPr>
                <w:rFonts w:ascii="Verdana" w:hAnsi="Verdana"/>
                <w:color w:val="7F7F7F"/>
                <w:sz w:val="22"/>
                <w:szCs w:val="22"/>
                <w:lang w:val="en-GB" w:eastAsia="fr-FR"/>
              </w:rPr>
            </w:pPr>
            <w:r>
              <w:rPr>
                <w:rFonts w:ascii="Verdana" w:hAnsi="Verdana"/>
                <w:color w:val="7F7F7F" w:themeColor="text1" w:themeTint="80"/>
                <w:sz w:val="22"/>
                <w:szCs w:val="22"/>
                <w:lang w:val="en-GB" w:eastAsia="fr-FR"/>
              </w:rPr>
              <w:t>80</w:t>
            </w:r>
          </w:p>
        </w:tc>
        <w:tc>
          <w:tcPr>
            <w:tcW w:w="1999" w:type="pct"/>
            <w:tcBorders>
              <w:top w:val="single" w:sz="4" w:space="0" w:color="auto"/>
              <w:left w:val="single" w:sz="4" w:space="0" w:color="auto"/>
              <w:bottom w:val="single" w:sz="4" w:space="0" w:color="auto"/>
              <w:right w:val="single" w:sz="4" w:space="0" w:color="auto"/>
            </w:tcBorders>
          </w:tcPr>
          <w:p w14:paraId="641646B7" w14:textId="3F900720" w:rsidR="006F5ECC" w:rsidRPr="00AE601A" w:rsidRDefault="006F5ECC" w:rsidP="00020B14">
            <w:pPr>
              <w:tabs>
                <w:tab w:val="left" w:pos="0"/>
                <w:tab w:val="left" w:pos="4536"/>
              </w:tabs>
              <w:rPr>
                <w:rFonts w:ascii="Verdana" w:hAnsi="Verdana"/>
                <w:color w:val="7F7F7F" w:themeColor="text1" w:themeTint="80"/>
                <w:sz w:val="22"/>
                <w:szCs w:val="22"/>
                <w:lang w:val="en-GB" w:eastAsia="fr-FR"/>
              </w:rPr>
            </w:pPr>
            <w:r w:rsidRPr="006B53C5">
              <w:rPr>
                <w:rFonts w:ascii="Verdana" w:hAnsi="Verdana"/>
                <w:color w:val="7F7F7F" w:themeColor="text1" w:themeTint="80"/>
                <w:sz w:val="22"/>
                <w:szCs w:val="22"/>
                <w:u w:val="single"/>
                <w:lang w:val="en-GB" w:eastAsia="fr-FR"/>
              </w:rPr>
              <w:t xml:space="preserve">On the grouping method: </w:t>
            </w:r>
            <w:r w:rsidRPr="00D631AE">
              <w:rPr>
                <w:rFonts w:ascii="Verdana" w:hAnsi="Verdana"/>
                <w:color w:val="7F7F7F" w:themeColor="text1" w:themeTint="80"/>
                <w:sz w:val="22"/>
                <w:szCs w:val="22"/>
                <w:lang w:val="en-GB" w:eastAsia="fr-FR"/>
              </w:rPr>
              <w:t xml:space="preserve">As </w:t>
            </w:r>
            <w:r w:rsidRPr="00AE601A">
              <w:rPr>
                <w:rFonts w:ascii="Verdana" w:hAnsi="Verdana"/>
                <w:color w:val="7F7F7F" w:themeColor="text1" w:themeTint="80"/>
                <w:sz w:val="22"/>
                <w:szCs w:val="22"/>
                <w:lang w:val="en-GB" w:eastAsia="fr-FR"/>
              </w:rPr>
              <w:t xml:space="preserve">a result of the 2018 Solvency II review, EIOPA introduced a simplification so that insurers did not have to allocate the sum insured across the different Cresta zones. However, the option selected by which firms have to allocate the undertaking’s exposure to the Cresta zone with the highest risk weight in the region is very conservative and would hardly be used by undertakings. We rather support </w:t>
            </w:r>
            <w:r w:rsidRPr="00AE601A">
              <w:rPr>
                <w:rFonts w:ascii="Verdana" w:hAnsi="Verdana"/>
                <w:b/>
                <w:color w:val="7F7F7F" w:themeColor="text1" w:themeTint="80"/>
                <w:sz w:val="22"/>
                <w:szCs w:val="22"/>
                <w:lang w:val="en-GB" w:eastAsia="fr-FR"/>
              </w:rPr>
              <w:t>the use of the risk factor for the region without consideration of risk zones and applying a prudency factor for the undertaking’s exposure</w:t>
            </w:r>
            <w:r w:rsidRPr="00AE601A">
              <w:rPr>
                <w:rFonts w:ascii="Verdana" w:hAnsi="Verdana"/>
                <w:color w:val="7F7F7F" w:themeColor="text1" w:themeTint="80"/>
                <w:sz w:val="22"/>
                <w:szCs w:val="22"/>
                <w:lang w:val="en-GB" w:eastAsia="fr-FR"/>
              </w:rPr>
              <w:t>.</w:t>
            </w:r>
          </w:p>
          <w:p w14:paraId="45A3BD9C" w14:textId="77777777" w:rsidR="006F5ECC" w:rsidRPr="00AE601A" w:rsidRDefault="006F5ECC" w:rsidP="00020B14">
            <w:pPr>
              <w:tabs>
                <w:tab w:val="left" w:pos="0"/>
                <w:tab w:val="left" w:pos="4536"/>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35ADEF6D"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25243FF5"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14590A3" w14:textId="65D55AE8" w:rsidR="006F5ECC" w:rsidRDefault="006F5ECC" w:rsidP="00020B14">
            <w:pPr>
              <w:tabs>
                <w:tab w:val="left" w:pos="0"/>
                <w:tab w:val="left" w:pos="4536"/>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8</w:t>
            </w:r>
          </w:p>
        </w:tc>
        <w:tc>
          <w:tcPr>
            <w:tcW w:w="506" w:type="pct"/>
            <w:gridSpan w:val="2"/>
            <w:tcBorders>
              <w:top w:val="single" w:sz="4" w:space="0" w:color="auto"/>
              <w:left w:val="single" w:sz="4" w:space="0" w:color="auto"/>
              <w:bottom w:val="single" w:sz="4" w:space="0" w:color="auto"/>
              <w:right w:val="single" w:sz="4" w:space="0" w:color="auto"/>
            </w:tcBorders>
          </w:tcPr>
          <w:p w14:paraId="14CAB747" w14:textId="7FB12848"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83</w:t>
            </w:r>
          </w:p>
        </w:tc>
        <w:tc>
          <w:tcPr>
            <w:tcW w:w="1999" w:type="pct"/>
            <w:tcBorders>
              <w:top w:val="single" w:sz="4" w:space="0" w:color="auto"/>
              <w:left w:val="single" w:sz="4" w:space="0" w:color="auto"/>
              <w:bottom w:val="single" w:sz="4" w:space="0" w:color="auto"/>
              <w:right w:val="single" w:sz="4" w:space="0" w:color="auto"/>
            </w:tcBorders>
            <w:vAlign w:val="bottom"/>
          </w:tcPr>
          <w:p w14:paraId="29C6B9A0" w14:textId="03ECB6CF" w:rsidR="006F5ECC" w:rsidRPr="001F7855" w:rsidRDefault="006F5ECC" w:rsidP="00020B14">
            <w:pPr>
              <w:tabs>
                <w:tab w:val="left" w:pos="0"/>
                <w:tab w:val="left" w:pos="4536"/>
              </w:tabs>
              <w:jc w:val="both"/>
              <w:rPr>
                <w:rFonts w:ascii="Verdana" w:hAnsi="Verdana"/>
                <w:b/>
                <w:bCs/>
                <w:color w:val="7F7F7F" w:themeColor="text1" w:themeTint="80"/>
                <w:sz w:val="22"/>
                <w:szCs w:val="22"/>
                <w:lang w:val="en-GB" w:eastAsia="fr-FR"/>
              </w:rPr>
            </w:pPr>
            <w:r w:rsidRPr="001F7855">
              <w:rPr>
                <w:rFonts w:ascii="Verdana" w:hAnsi="Verdana"/>
                <w:b/>
                <w:bCs/>
                <w:color w:val="7F7F7F" w:themeColor="text1" w:themeTint="80"/>
                <w:sz w:val="22"/>
                <w:szCs w:val="22"/>
                <w:lang w:val="en-GB" w:eastAsia="fr-FR"/>
              </w:rPr>
              <w:t>b</w:t>
            </w:r>
            <w:r>
              <w:rPr>
                <w:rFonts w:ascii="Verdana" w:hAnsi="Verdana"/>
                <w:b/>
                <w:bCs/>
                <w:color w:val="7F7F7F" w:themeColor="text1" w:themeTint="80"/>
                <w:sz w:val="22"/>
                <w:szCs w:val="22"/>
                <w:lang w:val="en-GB" w:eastAsia="fr-FR"/>
              </w:rPr>
              <w:t>.</w:t>
            </w:r>
            <w:r w:rsidRPr="001F7855">
              <w:rPr>
                <w:rFonts w:ascii="Verdana" w:hAnsi="Verdana"/>
                <w:b/>
                <w:bCs/>
                <w:color w:val="7F7F7F" w:themeColor="text1" w:themeTint="80"/>
                <w:sz w:val="22"/>
                <w:szCs w:val="22"/>
                <w:lang w:val="en-GB" w:eastAsia="fr-FR"/>
              </w:rPr>
              <w:t xml:space="preserve"> Method for risk mitigation, diversification and adjustments</w:t>
            </w:r>
          </w:p>
          <w:p w14:paraId="3FE5CE39" w14:textId="3252B3C1" w:rsidR="006F5ECC" w:rsidRDefault="006F5ECC" w:rsidP="00020B14">
            <w:pPr>
              <w:tabs>
                <w:tab w:val="left" w:pos="0"/>
                <w:tab w:val="left" w:pos="4536"/>
              </w:tabs>
              <w:jc w:val="both"/>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As a result of the 2018 Solvency II review, the largest risk exposures within the marine, fire and aviation risk sub-modules should be identified on a net of reinsurance basis. F</w:t>
            </w:r>
            <w:r w:rsidRPr="001F7855">
              <w:rPr>
                <w:rFonts w:ascii="Verdana" w:hAnsi="Verdana"/>
                <w:color w:val="7F7F7F" w:themeColor="text1" w:themeTint="80"/>
                <w:sz w:val="22"/>
                <w:szCs w:val="22"/>
                <w:lang w:val="en-GB" w:eastAsia="fr-FR"/>
              </w:rPr>
              <w:t xml:space="preserve">or fire risk </w:t>
            </w:r>
            <w:r>
              <w:rPr>
                <w:rFonts w:ascii="Verdana" w:hAnsi="Verdana"/>
                <w:color w:val="7F7F7F" w:themeColor="text1" w:themeTint="80"/>
                <w:sz w:val="22"/>
                <w:szCs w:val="22"/>
                <w:lang w:val="en-GB" w:eastAsia="fr-FR"/>
              </w:rPr>
              <w:t>this means that</w:t>
            </w:r>
            <w:r w:rsidRPr="001F7855">
              <w:rPr>
                <w:rFonts w:ascii="Verdana" w:hAnsi="Verdana"/>
                <w:color w:val="7F7F7F" w:themeColor="text1" w:themeTint="80"/>
                <w:sz w:val="22"/>
                <w:szCs w:val="22"/>
                <w:lang w:val="en-GB" w:eastAsia="fr-FR"/>
              </w:rPr>
              <w:t xml:space="preserve"> all possible combinations within a radius of 200m </w:t>
            </w:r>
            <w:r>
              <w:rPr>
                <w:rFonts w:ascii="Verdana" w:hAnsi="Verdana"/>
                <w:color w:val="7F7F7F" w:themeColor="text1" w:themeTint="80"/>
                <w:sz w:val="22"/>
                <w:szCs w:val="22"/>
                <w:lang w:val="en-GB" w:eastAsia="fr-FR"/>
              </w:rPr>
              <w:t>have to be assessed on a</w:t>
            </w:r>
            <w:r w:rsidRPr="001F7855">
              <w:rPr>
                <w:rFonts w:ascii="Verdana" w:hAnsi="Verdana"/>
                <w:color w:val="7F7F7F" w:themeColor="text1" w:themeTint="80"/>
                <w:sz w:val="22"/>
                <w:szCs w:val="22"/>
                <w:lang w:val="en-GB" w:eastAsia="fr-FR"/>
              </w:rPr>
              <w:t xml:space="preserve"> net </w:t>
            </w:r>
            <w:r>
              <w:rPr>
                <w:rFonts w:ascii="Verdana" w:hAnsi="Verdana"/>
                <w:color w:val="7F7F7F" w:themeColor="text1" w:themeTint="80"/>
                <w:sz w:val="22"/>
                <w:szCs w:val="22"/>
                <w:lang w:val="en-GB" w:eastAsia="fr-FR"/>
              </w:rPr>
              <w:t>basis</w:t>
            </w:r>
            <w:r w:rsidRPr="001F7855">
              <w:rPr>
                <w:rFonts w:ascii="Verdana" w:hAnsi="Verdana"/>
                <w:color w:val="7F7F7F" w:themeColor="text1" w:themeTint="80"/>
                <w:sz w:val="22"/>
                <w:szCs w:val="22"/>
                <w:lang w:val="en-GB" w:eastAsia="fr-FR"/>
              </w:rPr>
              <w:t>.</w:t>
            </w:r>
            <w:r>
              <w:rPr>
                <w:rFonts w:ascii="Helvetica" w:hAnsi="Helvetica" w:cs="Helvetica"/>
                <w:color w:val="7F7F7F"/>
                <w:lang w:val="en-US"/>
              </w:rPr>
              <w:t xml:space="preserve"> </w:t>
            </w:r>
            <w:r>
              <w:rPr>
                <w:rFonts w:ascii="Verdana" w:hAnsi="Verdana"/>
                <w:color w:val="7F7F7F" w:themeColor="text1" w:themeTint="80"/>
                <w:sz w:val="22"/>
                <w:szCs w:val="22"/>
                <w:lang w:val="en-US" w:eastAsia="fr-FR"/>
              </w:rPr>
              <w:t>T</w:t>
            </w:r>
            <w:r w:rsidRPr="001F7855">
              <w:rPr>
                <w:rFonts w:ascii="Verdana" w:hAnsi="Verdana"/>
                <w:color w:val="7F7F7F" w:themeColor="text1" w:themeTint="80"/>
                <w:sz w:val="22"/>
                <w:szCs w:val="22"/>
                <w:lang w:val="en-GB" w:eastAsia="fr-FR"/>
              </w:rPr>
              <w:t xml:space="preserve">hose insurers </w:t>
            </w:r>
            <w:r>
              <w:rPr>
                <w:rFonts w:ascii="Verdana" w:hAnsi="Verdana"/>
                <w:color w:val="7F7F7F" w:themeColor="text1" w:themeTint="80"/>
                <w:sz w:val="22"/>
                <w:szCs w:val="22"/>
                <w:lang w:val="en-GB" w:eastAsia="fr-FR"/>
              </w:rPr>
              <w:t>whose</w:t>
            </w:r>
            <w:r w:rsidRPr="001F7855">
              <w:rPr>
                <w:rFonts w:ascii="Verdana" w:hAnsi="Verdana"/>
                <w:color w:val="7F7F7F" w:themeColor="text1" w:themeTint="80"/>
                <w:sz w:val="22"/>
                <w:szCs w:val="22"/>
                <w:lang w:val="en-GB" w:eastAsia="fr-FR"/>
              </w:rPr>
              <w:t xml:space="preserve"> reinsurance covers would not change the outcome of the fire risk</w:t>
            </w:r>
            <w:r>
              <w:rPr>
                <w:rFonts w:ascii="Verdana" w:hAnsi="Verdana"/>
                <w:color w:val="7F7F7F" w:themeColor="text1" w:themeTint="80"/>
                <w:sz w:val="22"/>
                <w:szCs w:val="22"/>
                <w:lang w:val="en-GB" w:eastAsia="fr-FR"/>
              </w:rPr>
              <w:t xml:space="preserve"> sub-module</w:t>
            </w:r>
            <w:r w:rsidRPr="001F7855">
              <w:rPr>
                <w:rFonts w:ascii="Verdana" w:hAnsi="Verdana"/>
                <w:color w:val="7F7F7F" w:themeColor="text1" w:themeTint="80"/>
                <w:sz w:val="22"/>
                <w:szCs w:val="22"/>
                <w:lang w:val="en-GB" w:eastAsia="fr-FR"/>
              </w:rPr>
              <w:t xml:space="preserve">, </w:t>
            </w:r>
            <w:r>
              <w:rPr>
                <w:rFonts w:ascii="Verdana" w:hAnsi="Verdana"/>
                <w:color w:val="7F7F7F" w:themeColor="text1" w:themeTint="80"/>
                <w:sz w:val="22"/>
                <w:szCs w:val="22"/>
                <w:lang w:val="en-GB" w:eastAsia="fr-FR"/>
              </w:rPr>
              <w:t>should be allow to carry out the calculation on a gross basis in application of the proportionality principle.</w:t>
            </w:r>
          </w:p>
        </w:tc>
        <w:tc>
          <w:tcPr>
            <w:tcW w:w="483" w:type="pct"/>
            <w:tcBorders>
              <w:top w:val="single" w:sz="4" w:space="0" w:color="auto"/>
              <w:left w:val="single" w:sz="4" w:space="0" w:color="auto"/>
              <w:bottom w:val="single" w:sz="4" w:space="0" w:color="auto"/>
              <w:right w:val="single" w:sz="4" w:space="0" w:color="auto"/>
            </w:tcBorders>
          </w:tcPr>
          <w:p w14:paraId="6E2539B8"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1FAB88CC"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CB1D08D" w14:textId="732CCE54" w:rsidR="006F5ECC" w:rsidRDefault="006F5ECC" w:rsidP="00020B14">
            <w:pPr>
              <w:tabs>
                <w:tab w:val="left" w:pos="0"/>
                <w:tab w:val="left" w:pos="4536"/>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8</w:t>
            </w:r>
          </w:p>
        </w:tc>
        <w:tc>
          <w:tcPr>
            <w:tcW w:w="506" w:type="pct"/>
            <w:gridSpan w:val="2"/>
            <w:tcBorders>
              <w:top w:val="single" w:sz="4" w:space="0" w:color="auto"/>
              <w:left w:val="single" w:sz="4" w:space="0" w:color="auto"/>
              <w:bottom w:val="single" w:sz="4" w:space="0" w:color="auto"/>
              <w:right w:val="single" w:sz="4" w:space="0" w:color="auto"/>
            </w:tcBorders>
          </w:tcPr>
          <w:p w14:paraId="5C9A8D3C" w14:textId="2F7F8436" w:rsidR="006F5ECC" w:rsidRPr="006B53C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87</w:t>
            </w:r>
          </w:p>
        </w:tc>
        <w:tc>
          <w:tcPr>
            <w:tcW w:w="1999" w:type="pct"/>
            <w:tcBorders>
              <w:top w:val="single" w:sz="4" w:space="0" w:color="auto"/>
              <w:left w:val="single" w:sz="4" w:space="0" w:color="auto"/>
              <w:bottom w:val="single" w:sz="4" w:space="0" w:color="auto"/>
              <w:right w:val="single" w:sz="4" w:space="0" w:color="auto"/>
            </w:tcBorders>
            <w:vAlign w:val="bottom"/>
          </w:tcPr>
          <w:p w14:paraId="302912BC" w14:textId="0B2657CE" w:rsidR="006F5ECC" w:rsidRPr="006B53C5" w:rsidRDefault="006F5ECC" w:rsidP="00020B14">
            <w:pPr>
              <w:tabs>
                <w:tab w:val="left" w:pos="0"/>
                <w:tab w:val="left" w:pos="4536"/>
              </w:tabs>
              <w:jc w:val="both"/>
              <w:rPr>
                <w:rFonts w:ascii="Verdana" w:hAnsi="Verdana"/>
                <w:color w:val="7F7F7F" w:themeColor="text1" w:themeTint="80"/>
                <w:sz w:val="22"/>
                <w:szCs w:val="22"/>
                <w:lang w:val="en-GB" w:eastAsia="fr-FR"/>
              </w:rPr>
            </w:pPr>
            <w:bookmarkStart w:id="21" w:name="_Hlk29923943"/>
            <w:r>
              <w:rPr>
                <w:rFonts w:ascii="Verdana" w:hAnsi="Verdana"/>
                <w:color w:val="7F7F7F" w:themeColor="text1" w:themeTint="80"/>
                <w:sz w:val="22"/>
                <w:szCs w:val="22"/>
                <w:lang w:val="en-GB" w:eastAsia="fr-FR"/>
              </w:rPr>
              <w:t>EIOPA has developed two methodologies in Option 3 in order to update the SCR for immaterial risks; In Method 1 (paragraph 8.91 to 8.96), the driver for immaterial risks is the BSCR; The BSCR is a combination of different risks but not a good driver to capture the real risk evolution of immaterial risks. Moreover, method 1 is more complex. We would favour method 2 as different exposures for immaterial risks are being used (e.g. volume measures for lapse risk). Method 2 is easier and it is also a better driver for the immaterial risks.</w:t>
            </w:r>
            <w:bookmarkEnd w:id="21"/>
          </w:p>
        </w:tc>
        <w:tc>
          <w:tcPr>
            <w:tcW w:w="483" w:type="pct"/>
            <w:tcBorders>
              <w:top w:val="single" w:sz="4" w:space="0" w:color="auto"/>
              <w:left w:val="single" w:sz="4" w:space="0" w:color="auto"/>
              <w:bottom w:val="single" w:sz="4" w:space="0" w:color="auto"/>
              <w:right w:val="single" w:sz="4" w:space="0" w:color="auto"/>
            </w:tcBorders>
          </w:tcPr>
          <w:p w14:paraId="32C08B44"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3C8D28DC"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A7AAA8C" w14:textId="665AC200" w:rsidR="006F5ECC" w:rsidRPr="007A6117" w:rsidRDefault="006F5ECC" w:rsidP="00020B14">
            <w:pPr>
              <w:tabs>
                <w:tab w:val="left" w:pos="0"/>
                <w:tab w:val="left" w:pos="4536"/>
              </w:tabs>
              <w:ind w:left="-96"/>
              <w:rPr>
                <w:rFonts w:ascii="Verdana" w:hAnsi="Verdana"/>
                <w:bCs/>
                <w:color w:val="7F7F7F" w:themeColor="text1" w:themeTint="80"/>
                <w:sz w:val="22"/>
                <w:szCs w:val="22"/>
                <w:lang w:val="en-GB"/>
              </w:rPr>
            </w:pPr>
            <w:bookmarkStart w:id="22" w:name="_Hlk29809723"/>
            <w:r>
              <w:rPr>
                <w:rFonts w:ascii="Verdana" w:hAnsi="Verdana"/>
                <w:bCs/>
                <w:color w:val="7F7F7F" w:themeColor="text1" w:themeTint="80"/>
                <w:sz w:val="22"/>
                <w:szCs w:val="22"/>
                <w:lang w:val="en-GB"/>
              </w:rPr>
              <w:lastRenderedPageBreak/>
              <w:t>8</w:t>
            </w:r>
          </w:p>
        </w:tc>
        <w:tc>
          <w:tcPr>
            <w:tcW w:w="506" w:type="pct"/>
            <w:gridSpan w:val="2"/>
            <w:tcBorders>
              <w:top w:val="single" w:sz="4" w:space="0" w:color="auto"/>
              <w:left w:val="single" w:sz="4" w:space="0" w:color="auto"/>
              <w:bottom w:val="single" w:sz="4" w:space="0" w:color="auto"/>
              <w:right w:val="single" w:sz="4" w:space="0" w:color="auto"/>
            </w:tcBorders>
          </w:tcPr>
          <w:p w14:paraId="2EEDA3E3" w14:textId="08316E2F" w:rsidR="006F5ECC" w:rsidRPr="001F7855" w:rsidRDefault="006F5ECC" w:rsidP="00020B14">
            <w:pPr>
              <w:tabs>
                <w:tab w:val="left" w:pos="0"/>
                <w:tab w:val="left" w:pos="4536"/>
              </w:tabs>
              <w:ind w:left="-96"/>
              <w:rPr>
                <w:rFonts w:ascii="Verdana" w:hAnsi="Verdana"/>
                <w:color w:val="7F7F7F"/>
                <w:sz w:val="22"/>
                <w:szCs w:val="22"/>
                <w:lang w:val="en-US"/>
              </w:rPr>
            </w:pPr>
            <w:r w:rsidRPr="001F7855">
              <w:rPr>
                <w:rFonts w:ascii="Verdana" w:hAnsi="Verdana"/>
                <w:color w:val="7F7F7F"/>
                <w:sz w:val="22"/>
                <w:szCs w:val="22"/>
                <w:lang w:val="en-US"/>
              </w:rPr>
              <w:t>104-106</w:t>
            </w:r>
          </w:p>
        </w:tc>
        <w:tc>
          <w:tcPr>
            <w:tcW w:w="1999" w:type="pct"/>
            <w:tcBorders>
              <w:top w:val="single" w:sz="4" w:space="0" w:color="auto"/>
              <w:left w:val="single" w:sz="4" w:space="0" w:color="auto"/>
              <w:bottom w:val="single" w:sz="4" w:space="0" w:color="auto"/>
              <w:right w:val="single" w:sz="4" w:space="0" w:color="auto"/>
            </w:tcBorders>
            <w:vAlign w:val="bottom"/>
          </w:tcPr>
          <w:p w14:paraId="233871A4" w14:textId="77777777" w:rsidR="006F5ECC" w:rsidRPr="006B53C5" w:rsidRDefault="006F5ECC" w:rsidP="00020B14">
            <w:pPr>
              <w:tabs>
                <w:tab w:val="left" w:pos="0"/>
                <w:tab w:val="left" w:pos="4536"/>
              </w:tabs>
              <w:jc w:val="both"/>
              <w:rPr>
                <w:rFonts w:ascii="Verdana" w:hAnsi="Verdana"/>
                <w:b/>
                <w:bCs/>
                <w:color w:val="7F7F7F" w:themeColor="text1" w:themeTint="80"/>
                <w:sz w:val="22"/>
                <w:szCs w:val="22"/>
                <w:lang w:val="en-GB" w:eastAsia="fr-FR"/>
              </w:rPr>
            </w:pPr>
            <w:r w:rsidRPr="006B53C5">
              <w:rPr>
                <w:rFonts w:ascii="Verdana" w:hAnsi="Verdana"/>
                <w:b/>
                <w:bCs/>
                <w:color w:val="7F7F7F" w:themeColor="text1" w:themeTint="80"/>
                <w:sz w:val="22"/>
                <w:szCs w:val="22"/>
                <w:lang w:val="en-GB" w:eastAsia="fr-FR"/>
              </w:rPr>
              <w:t>EIOPA’s supervisory statement on the application of proportionality</w:t>
            </w:r>
          </w:p>
          <w:p w14:paraId="476C62F7" w14:textId="77777777" w:rsidR="006F5ECC" w:rsidRPr="006B53C5" w:rsidRDefault="006F5ECC" w:rsidP="00020B14">
            <w:pPr>
              <w:tabs>
                <w:tab w:val="left" w:pos="0"/>
                <w:tab w:val="left" w:pos="4536"/>
              </w:tabs>
              <w:jc w:val="both"/>
              <w:rPr>
                <w:rFonts w:ascii="Verdana" w:hAnsi="Verdana"/>
                <w:color w:val="7F7F7F" w:themeColor="text1" w:themeTint="80"/>
                <w:sz w:val="22"/>
                <w:szCs w:val="22"/>
                <w:lang w:val="en-GB" w:eastAsia="fr-FR"/>
              </w:rPr>
            </w:pPr>
            <w:r w:rsidRPr="006B53C5">
              <w:rPr>
                <w:rFonts w:ascii="Verdana" w:hAnsi="Verdana"/>
                <w:color w:val="7F7F7F" w:themeColor="text1" w:themeTint="80"/>
                <w:sz w:val="22"/>
                <w:szCs w:val="22"/>
                <w:lang w:val="en-GB" w:eastAsia="fr-FR"/>
              </w:rPr>
              <w:t>Following EIOPA’s publication of its Supervisory Statement on the application of proportionality, an SCR sub-module is considered immaterial for the purposes of the SCR calculation when its amount is not relevant for the decision-making process or the judgement of the undertaking itself or the supervisory authorities. According to this principle, even if materiality needs to be assessed on a case-by-case basis, EIOPA recommends that materiality is assessed considering the weight of the sub-modules in the total BSCR and that each sub-module subject to this approach should not represent more than 5% of the BSCR or all sub-modules should not represent more than 10% of the BSCR.</w:t>
            </w:r>
          </w:p>
          <w:p w14:paraId="191F321C" w14:textId="77777777" w:rsidR="006F5ECC" w:rsidRPr="006B53C5" w:rsidRDefault="006F5ECC" w:rsidP="00020B14">
            <w:pPr>
              <w:tabs>
                <w:tab w:val="left" w:pos="0"/>
                <w:tab w:val="left" w:pos="4536"/>
              </w:tabs>
              <w:jc w:val="both"/>
              <w:rPr>
                <w:rFonts w:ascii="Verdana" w:hAnsi="Verdana"/>
                <w:color w:val="7F7F7F" w:themeColor="text1" w:themeTint="80"/>
                <w:sz w:val="22"/>
                <w:szCs w:val="22"/>
                <w:lang w:val="en-GB" w:eastAsia="fr-FR"/>
              </w:rPr>
            </w:pPr>
            <w:r w:rsidRPr="006B53C5">
              <w:rPr>
                <w:rFonts w:ascii="Verdana" w:hAnsi="Verdana"/>
                <w:color w:val="7F7F7F" w:themeColor="text1" w:themeTint="80"/>
                <w:sz w:val="22"/>
                <w:szCs w:val="22"/>
                <w:lang w:val="en-GB" w:eastAsia="fr-FR"/>
              </w:rPr>
              <w:t>EIOPA’s recommendation should be included in the Delegated Regulation.</w:t>
            </w:r>
          </w:p>
          <w:p w14:paraId="6DB50BEF" w14:textId="77777777" w:rsidR="006F5ECC" w:rsidRPr="001F7855" w:rsidRDefault="006F5ECC" w:rsidP="00020B14">
            <w:pPr>
              <w:tabs>
                <w:tab w:val="left" w:pos="0"/>
                <w:tab w:val="left" w:pos="4536"/>
              </w:tabs>
              <w:spacing w:before="120"/>
              <w:rPr>
                <w:rFonts w:ascii="Verdana" w:hAnsi="Verdana"/>
                <w:b/>
                <w:bCs/>
                <w:color w:val="7F7F7F"/>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5597D32C"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6790B1A5"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9CAB978" w14:textId="40DFF831" w:rsidR="006F5ECC" w:rsidRDefault="006F5ECC" w:rsidP="00020B14">
            <w:pPr>
              <w:tabs>
                <w:tab w:val="left" w:pos="0"/>
                <w:tab w:val="left" w:pos="4536"/>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8</w:t>
            </w:r>
          </w:p>
        </w:tc>
        <w:tc>
          <w:tcPr>
            <w:tcW w:w="506" w:type="pct"/>
            <w:gridSpan w:val="2"/>
            <w:tcBorders>
              <w:top w:val="single" w:sz="4" w:space="0" w:color="auto"/>
              <w:left w:val="single" w:sz="4" w:space="0" w:color="auto"/>
              <w:bottom w:val="single" w:sz="4" w:space="0" w:color="auto"/>
              <w:right w:val="single" w:sz="4" w:space="0" w:color="auto"/>
            </w:tcBorders>
          </w:tcPr>
          <w:p w14:paraId="013A09D6" w14:textId="5C2667FE" w:rsidR="006F5ECC" w:rsidRPr="001F7855" w:rsidRDefault="006F5ECC" w:rsidP="00020B14">
            <w:pPr>
              <w:tabs>
                <w:tab w:val="left" w:pos="0"/>
                <w:tab w:val="left" w:pos="4536"/>
              </w:tabs>
              <w:ind w:left="-96"/>
              <w:rPr>
                <w:rFonts w:ascii="Verdana" w:hAnsi="Verdana"/>
                <w:color w:val="7F7F7F"/>
                <w:sz w:val="22"/>
                <w:szCs w:val="22"/>
                <w:lang w:val="en-US"/>
              </w:rPr>
            </w:pPr>
            <w:r w:rsidRPr="001F7855">
              <w:rPr>
                <w:rFonts w:ascii="Verdana" w:hAnsi="Verdana"/>
                <w:color w:val="7F7F7F"/>
                <w:sz w:val="22"/>
                <w:szCs w:val="22"/>
                <w:lang w:val="en-US"/>
              </w:rPr>
              <w:t>110</w:t>
            </w:r>
          </w:p>
        </w:tc>
        <w:tc>
          <w:tcPr>
            <w:tcW w:w="1999" w:type="pct"/>
            <w:tcBorders>
              <w:top w:val="single" w:sz="4" w:space="0" w:color="auto"/>
              <w:left w:val="single" w:sz="4" w:space="0" w:color="auto"/>
              <w:bottom w:val="single" w:sz="4" w:space="0" w:color="auto"/>
              <w:right w:val="single" w:sz="4" w:space="0" w:color="auto"/>
            </w:tcBorders>
            <w:vAlign w:val="bottom"/>
          </w:tcPr>
          <w:p w14:paraId="226F8DF0" w14:textId="77777777" w:rsidR="006F5ECC" w:rsidRPr="001F7855" w:rsidRDefault="006F5ECC" w:rsidP="00020B14">
            <w:pPr>
              <w:tabs>
                <w:tab w:val="left" w:pos="0"/>
                <w:tab w:val="left" w:pos="4536"/>
              </w:tabs>
              <w:rPr>
                <w:rFonts w:ascii="Verdana" w:hAnsi="Verdana"/>
                <w:b/>
                <w:bCs/>
                <w:color w:val="7F7F7F" w:themeColor="text1" w:themeTint="80"/>
                <w:sz w:val="22"/>
                <w:szCs w:val="22"/>
                <w:lang w:val="en-US" w:eastAsia="fr-FR"/>
              </w:rPr>
            </w:pPr>
            <w:r w:rsidRPr="001F7855">
              <w:rPr>
                <w:rFonts w:ascii="Verdana" w:hAnsi="Verdana"/>
                <w:b/>
                <w:bCs/>
                <w:color w:val="7F7F7F" w:themeColor="text1" w:themeTint="80"/>
                <w:sz w:val="22"/>
                <w:szCs w:val="22"/>
                <w:lang w:val="en-US" w:eastAsia="fr-FR"/>
              </w:rPr>
              <w:t>EIOPA´s Advice</w:t>
            </w:r>
          </w:p>
          <w:p w14:paraId="3519C29D" w14:textId="322C8F7B" w:rsidR="006F5ECC" w:rsidRDefault="006F5ECC" w:rsidP="00020B14">
            <w:pPr>
              <w:tabs>
                <w:tab w:val="left" w:pos="0"/>
                <w:tab w:val="left" w:pos="4536"/>
              </w:tabs>
              <w:rPr>
                <w:rFonts w:ascii="Verdana" w:hAnsi="Verdana"/>
                <w:color w:val="7F7F7F" w:themeColor="text1" w:themeTint="80"/>
                <w:sz w:val="22"/>
                <w:szCs w:val="22"/>
                <w:lang w:val="en-GB" w:eastAsia="fr-FR"/>
              </w:rPr>
            </w:pPr>
            <w:r w:rsidRPr="001F7855">
              <w:rPr>
                <w:rFonts w:ascii="Verdana" w:hAnsi="Verdana"/>
                <w:color w:val="7F7F7F" w:themeColor="text1" w:themeTint="80"/>
                <w:sz w:val="22"/>
                <w:szCs w:val="22"/>
                <w:lang w:val="en-GB" w:eastAsia="fr-FR"/>
              </w:rPr>
              <w:t>Another approach to enhance proportionality in the framework is to reflect in the legislation in order be binding the content of the EIOPA´s Supervisory Statement on proportionality</w:t>
            </w:r>
            <w:r>
              <w:rPr>
                <w:rFonts w:ascii="Verdana" w:hAnsi="Verdana"/>
                <w:color w:val="7F7F7F" w:themeColor="text1" w:themeTint="80"/>
                <w:sz w:val="22"/>
                <w:szCs w:val="22"/>
                <w:lang w:val="en-GB" w:eastAsia="fr-FR"/>
              </w:rPr>
              <w:t>.</w:t>
            </w:r>
          </w:p>
          <w:p w14:paraId="2A981708" w14:textId="77B6A661" w:rsidR="006F5ECC" w:rsidRPr="00C63ED4" w:rsidRDefault="006F5ECC" w:rsidP="00020B14">
            <w:pPr>
              <w:tabs>
                <w:tab w:val="left" w:pos="0"/>
                <w:tab w:val="left" w:pos="4536"/>
              </w:tabs>
              <w:rPr>
                <w:rFonts w:ascii="Verdana" w:hAnsi="Verdana"/>
                <w:b/>
                <w:bCs/>
                <w:color w:val="7F7F7F"/>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27B861E7"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74DA06E5"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D226B1B" w14:textId="17A0056B" w:rsidR="006F5ECC" w:rsidRPr="007A6117" w:rsidRDefault="006F5ECC" w:rsidP="00020B14">
            <w:pPr>
              <w:tabs>
                <w:tab w:val="left" w:pos="0"/>
                <w:tab w:val="left" w:pos="4536"/>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8</w:t>
            </w:r>
          </w:p>
        </w:tc>
        <w:tc>
          <w:tcPr>
            <w:tcW w:w="506" w:type="pct"/>
            <w:gridSpan w:val="2"/>
            <w:tcBorders>
              <w:top w:val="single" w:sz="4" w:space="0" w:color="auto"/>
              <w:left w:val="single" w:sz="4" w:space="0" w:color="auto"/>
              <w:bottom w:val="single" w:sz="4" w:space="0" w:color="auto"/>
              <w:right w:val="single" w:sz="4" w:space="0" w:color="auto"/>
            </w:tcBorders>
          </w:tcPr>
          <w:p w14:paraId="1C73C626" w14:textId="14D6CD21" w:rsidR="006F5ECC" w:rsidRPr="00C63ED4" w:rsidDel="007412D5" w:rsidRDefault="006F5ECC" w:rsidP="00020B14">
            <w:pPr>
              <w:tabs>
                <w:tab w:val="left" w:pos="0"/>
                <w:tab w:val="left" w:pos="4536"/>
              </w:tabs>
              <w:ind w:left="-96"/>
              <w:rPr>
                <w:rFonts w:ascii="Verdana" w:hAnsi="Verdana"/>
                <w:b/>
                <w:bCs/>
                <w:color w:val="7F7F7F"/>
                <w:sz w:val="22"/>
                <w:szCs w:val="22"/>
                <w:lang w:val="en-US"/>
              </w:rPr>
            </w:pPr>
            <w:r>
              <w:rPr>
                <w:rFonts w:ascii="Verdana" w:hAnsi="Verdana"/>
                <w:b/>
                <w:bCs/>
                <w:color w:val="7F7F7F"/>
                <w:sz w:val="22"/>
                <w:szCs w:val="22"/>
                <w:lang w:val="en-US"/>
              </w:rPr>
              <w:t>Question to stakeholders</w:t>
            </w:r>
          </w:p>
        </w:tc>
        <w:tc>
          <w:tcPr>
            <w:tcW w:w="1999" w:type="pct"/>
            <w:tcBorders>
              <w:top w:val="single" w:sz="4" w:space="0" w:color="auto"/>
              <w:left w:val="single" w:sz="4" w:space="0" w:color="auto"/>
              <w:bottom w:val="single" w:sz="4" w:space="0" w:color="auto"/>
              <w:right w:val="single" w:sz="4" w:space="0" w:color="auto"/>
            </w:tcBorders>
            <w:vAlign w:val="bottom"/>
          </w:tcPr>
          <w:p w14:paraId="01BD2BAD" w14:textId="2A9F9274" w:rsidR="006F5ECC" w:rsidRDefault="006F5ECC" w:rsidP="00020B14">
            <w:pPr>
              <w:tabs>
                <w:tab w:val="left" w:pos="0"/>
                <w:tab w:val="left" w:pos="4536"/>
              </w:tabs>
              <w:rPr>
                <w:rFonts w:ascii="Verdana" w:hAnsi="Verdana"/>
                <w:b/>
                <w:bCs/>
                <w:color w:val="7F7F7F"/>
                <w:sz w:val="22"/>
                <w:szCs w:val="22"/>
                <w:lang w:val="en-US" w:eastAsia="fr-FR"/>
              </w:rPr>
            </w:pPr>
            <w:r>
              <w:rPr>
                <w:rFonts w:ascii="Verdana" w:hAnsi="Verdana"/>
                <w:b/>
                <w:bCs/>
                <w:color w:val="7F7F7F"/>
                <w:sz w:val="22"/>
                <w:szCs w:val="22"/>
                <w:lang w:val="en-US" w:eastAsia="fr-FR"/>
              </w:rPr>
              <w:t>Q8.2 What is your preference with regard to the options on introducing further simplifications to the calculation of the SCR standard formula?</w:t>
            </w:r>
          </w:p>
          <w:p w14:paraId="20856364" w14:textId="0A20E064" w:rsidR="006F5ECC" w:rsidRPr="005943BF" w:rsidRDefault="006F5ECC" w:rsidP="00020B14">
            <w:pPr>
              <w:tabs>
                <w:tab w:val="left" w:pos="0"/>
                <w:tab w:val="left" w:pos="4536"/>
              </w:tabs>
              <w:rPr>
                <w:rFonts w:ascii="Verdana" w:hAnsi="Verdana"/>
                <w:color w:val="7F7F7F"/>
                <w:sz w:val="22"/>
                <w:szCs w:val="22"/>
                <w:lang w:val="en-US" w:eastAsia="fr-FR"/>
              </w:rPr>
            </w:pPr>
            <w:r>
              <w:rPr>
                <w:rFonts w:ascii="Verdana" w:hAnsi="Verdana"/>
                <w:color w:val="7F7F7F"/>
                <w:sz w:val="22"/>
                <w:szCs w:val="22"/>
                <w:lang w:val="en-US" w:eastAsia="fr-FR"/>
              </w:rPr>
              <w:t>We do not have a specific preference for any of the options presented. An optimal situation would be a combination of Option 2 (set of simplified calculation of capital requirements for immaterial risks) together with Option 3 (integrated simplified calculation of capital requirements for immaterial risks).</w:t>
            </w:r>
          </w:p>
        </w:tc>
        <w:tc>
          <w:tcPr>
            <w:tcW w:w="483" w:type="pct"/>
            <w:tcBorders>
              <w:top w:val="single" w:sz="4" w:space="0" w:color="auto"/>
              <w:left w:val="single" w:sz="4" w:space="0" w:color="auto"/>
              <w:bottom w:val="single" w:sz="4" w:space="0" w:color="auto"/>
              <w:right w:val="single" w:sz="4" w:space="0" w:color="auto"/>
            </w:tcBorders>
          </w:tcPr>
          <w:p w14:paraId="3842C706" w14:textId="77777777" w:rsidR="006F5ECC" w:rsidRPr="00FE3045" w:rsidRDefault="006F5ECC" w:rsidP="00020B14">
            <w:pPr>
              <w:tabs>
                <w:tab w:val="left" w:pos="0"/>
                <w:tab w:val="left" w:pos="4536"/>
              </w:tabs>
              <w:ind w:left="-96"/>
              <w:rPr>
                <w:color w:val="000000"/>
                <w:sz w:val="22"/>
                <w:szCs w:val="22"/>
                <w:lang w:val="en-GB" w:eastAsia="fr-FR"/>
              </w:rPr>
            </w:pPr>
          </w:p>
        </w:tc>
      </w:tr>
      <w:bookmarkEnd w:id="22"/>
      <w:tr w:rsidR="006F5ECC" w:rsidRPr="00E7041B" w14:paraId="142B8ADA"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22C74E36" w14:textId="77777777" w:rsidR="006F5ECC" w:rsidRPr="0003536E" w:rsidRDefault="006F5ECC" w:rsidP="00020B14">
            <w:pPr>
              <w:tabs>
                <w:tab w:val="left" w:pos="0"/>
                <w:tab w:val="left" w:pos="4536"/>
              </w:tabs>
              <w:rPr>
                <w:color w:val="7F7F7F" w:themeColor="text1" w:themeTint="80"/>
                <w:sz w:val="22"/>
                <w:szCs w:val="22"/>
                <w:lang w:val="en-US"/>
              </w:rPr>
            </w:pPr>
            <w:r w:rsidRPr="0003536E">
              <w:rPr>
                <w:rFonts w:ascii="Verdana" w:eastAsia="Verdana" w:hAnsi="Verdana" w:cs="Verdana"/>
                <w:b/>
                <w:bCs/>
                <w:color w:val="7F7F7F" w:themeColor="text1" w:themeTint="80"/>
                <w:sz w:val="22"/>
                <w:szCs w:val="22"/>
                <w:lang w:val="en-US"/>
              </w:rPr>
              <w:t>9. Group supervision</w:t>
            </w:r>
          </w:p>
          <w:p w14:paraId="27737A67" w14:textId="77777777" w:rsidR="006F5ECC" w:rsidRPr="00E7041B" w:rsidRDefault="006F5ECC" w:rsidP="00020B14">
            <w:pPr>
              <w:tabs>
                <w:tab w:val="left" w:pos="0"/>
                <w:tab w:val="left" w:pos="4536"/>
              </w:tabs>
              <w:rPr>
                <w:color w:val="000000"/>
                <w:sz w:val="22"/>
                <w:szCs w:val="22"/>
                <w:lang w:val="en-GB" w:eastAsia="fr-FR"/>
              </w:rPr>
            </w:pPr>
          </w:p>
        </w:tc>
      </w:tr>
      <w:tr w:rsidR="00FC5744" w:rsidRPr="001360A5" w14:paraId="39B32C0A"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2FF5525" w14:textId="511B0744"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sidRPr="00001686">
              <w:rPr>
                <w:rFonts w:ascii="Verdana" w:hAnsi="Verdana"/>
                <w:color w:val="7F7F7F" w:themeColor="text1" w:themeTint="80"/>
                <w:sz w:val="22"/>
                <w:szCs w:val="22"/>
              </w:rPr>
              <w:lastRenderedPageBreak/>
              <w:t>9</w:t>
            </w:r>
          </w:p>
        </w:tc>
        <w:tc>
          <w:tcPr>
            <w:tcW w:w="506" w:type="pct"/>
            <w:gridSpan w:val="2"/>
            <w:tcBorders>
              <w:top w:val="single" w:sz="4" w:space="0" w:color="auto"/>
              <w:left w:val="single" w:sz="4" w:space="0" w:color="auto"/>
              <w:bottom w:val="single" w:sz="4" w:space="0" w:color="auto"/>
              <w:right w:val="single" w:sz="4" w:space="0" w:color="auto"/>
            </w:tcBorders>
          </w:tcPr>
          <w:p w14:paraId="58724C93" w14:textId="14F2A37B"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sidRPr="00001686">
              <w:rPr>
                <w:rFonts w:ascii="Verdana" w:hAnsi="Verdana"/>
                <w:color w:val="7F7F7F" w:themeColor="text1" w:themeTint="80"/>
                <w:sz w:val="22"/>
                <w:szCs w:val="22"/>
              </w:rPr>
              <w:t>24</w:t>
            </w:r>
          </w:p>
        </w:tc>
        <w:tc>
          <w:tcPr>
            <w:tcW w:w="1999" w:type="pct"/>
            <w:tcBorders>
              <w:top w:val="single" w:sz="4" w:space="0" w:color="auto"/>
              <w:left w:val="single" w:sz="4" w:space="0" w:color="auto"/>
              <w:bottom w:val="single" w:sz="4" w:space="0" w:color="auto"/>
              <w:right w:val="single" w:sz="4" w:space="0" w:color="auto"/>
            </w:tcBorders>
            <w:vAlign w:val="center"/>
          </w:tcPr>
          <w:p w14:paraId="668DDC71" w14:textId="77777777" w:rsidR="006F5ECC" w:rsidRPr="001C6D31" w:rsidRDefault="006F5ECC" w:rsidP="00020B14">
            <w:pPr>
              <w:tabs>
                <w:tab w:val="left" w:pos="0"/>
                <w:tab w:val="left" w:pos="4536"/>
              </w:tabs>
              <w:spacing w:line="238" w:lineRule="auto"/>
              <w:ind w:right="20"/>
              <w:rPr>
                <w:rFonts w:ascii="Verdana" w:hAnsi="Verdana"/>
                <w:b/>
                <w:bCs/>
                <w:color w:val="7F7F7F" w:themeColor="text1" w:themeTint="80"/>
                <w:sz w:val="22"/>
                <w:szCs w:val="22"/>
                <w:lang w:val="en-US"/>
              </w:rPr>
            </w:pPr>
            <w:r w:rsidRPr="001C6D31">
              <w:rPr>
                <w:rFonts w:ascii="Verdana" w:hAnsi="Verdana"/>
                <w:b/>
                <w:bCs/>
                <w:color w:val="7F7F7F" w:themeColor="text1" w:themeTint="80"/>
                <w:sz w:val="22"/>
                <w:szCs w:val="22"/>
                <w:lang w:val="en-US"/>
              </w:rPr>
              <w:t>Policy Issue 1 – Article 212 of the Solvency II Directive and identification of groups</w:t>
            </w:r>
          </w:p>
          <w:p w14:paraId="61029E22" w14:textId="3F22D9B7" w:rsidR="006F5ECC" w:rsidRPr="009D2125" w:rsidRDefault="006F5ECC" w:rsidP="00020B14">
            <w:pPr>
              <w:tabs>
                <w:tab w:val="left" w:pos="0"/>
                <w:tab w:val="left" w:pos="4536"/>
              </w:tabs>
              <w:spacing w:before="120" w:after="120"/>
              <w:rPr>
                <w:rFonts w:ascii="Verdana" w:hAnsi="Verdana"/>
                <w:color w:val="7F7F7F" w:themeColor="text1" w:themeTint="80"/>
                <w:sz w:val="22"/>
                <w:szCs w:val="22"/>
                <w:lang w:val="en-US"/>
              </w:rPr>
            </w:pPr>
            <w:r w:rsidRPr="001C6D31">
              <w:rPr>
                <w:rFonts w:ascii="Verdana" w:hAnsi="Verdana"/>
                <w:color w:val="7F7F7F" w:themeColor="text1" w:themeTint="80"/>
                <w:sz w:val="22"/>
                <w:szCs w:val="22"/>
                <w:lang w:val="en-US"/>
              </w:rPr>
              <w:t>Firstly, we do not understand</w:t>
            </w:r>
            <w:r w:rsidRPr="009D2125">
              <w:rPr>
                <w:rFonts w:ascii="Verdana" w:hAnsi="Verdana"/>
                <w:color w:val="7F7F7F" w:themeColor="text1" w:themeTint="80"/>
                <w:sz w:val="22"/>
                <w:szCs w:val="22"/>
                <w:lang w:val="en-US"/>
              </w:rPr>
              <w:t xml:space="preserve"> why this is a policy issue if these entities are not considered to be a group pursuant to Article 212 of the Solvency II Directive; All the solo provisions will apply to them. The national competent authority can always include all group-related elements in their supervisory dialogue.</w:t>
            </w:r>
          </w:p>
          <w:p w14:paraId="438957D2" w14:textId="2F3B32A3" w:rsidR="006F5ECC" w:rsidRPr="009D2125" w:rsidRDefault="006F5ECC" w:rsidP="00020B14">
            <w:pPr>
              <w:tabs>
                <w:tab w:val="left" w:pos="0"/>
                <w:tab w:val="left" w:pos="4536"/>
              </w:tabs>
              <w:spacing w:before="120" w:after="120"/>
              <w:rPr>
                <w:rFonts w:ascii="Verdana" w:hAnsi="Verdana"/>
                <w:color w:val="7F7F7F" w:themeColor="text1" w:themeTint="80"/>
                <w:sz w:val="22"/>
                <w:szCs w:val="22"/>
                <w:lang w:val="en-US"/>
              </w:rPr>
            </w:pPr>
            <w:r w:rsidRPr="009D2125">
              <w:rPr>
                <w:rFonts w:ascii="Verdana" w:hAnsi="Verdana"/>
                <w:color w:val="7F7F7F" w:themeColor="text1" w:themeTint="80"/>
                <w:sz w:val="22"/>
                <w:szCs w:val="22"/>
                <w:lang w:val="en-US"/>
              </w:rPr>
              <w:t xml:space="preserve">Secondly, EIOPA indicates that insurance and reinsurance undertakings can partly or fully have the same shareholders; All components of the group own funds have to meet the criteria as mentioned in the Directive 2009/138/EC and </w:t>
            </w:r>
            <w:r w:rsidRPr="00D06C11">
              <w:rPr>
                <w:rFonts w:ascii="Verdana" w:hAnsi="Verdana"/>
                <w:color w:val="7F7F7F" w:themeColor="text1" w:themeTint="80"/>
                <w:sz w:val="22"/>
                <w:szCs w:val="22"/>
                <w:lang w:val="en-US"/>
              </w:rPr>
              <w:t>Regulation 2015/35/EC</w:t>
            </w:r>
            <w:r w:rsidRPr="009D2125">
              <w:rPr>
                <w:rFonts w:ascii="Verdana" w:hAnsi="Verdana"/>
                <w:color w:val="7F7F7F" w:themeColor="text1" w:themeTint="80"/>
                <w:sz w:val="22"/>
                <w:szCs w:val="22"/>
                <w:lang w:val="en-US"/>
              </w:rPr>
              <w:t>. Having the same shareholders will only have an impact on the insurer’s solvency position if ancillary capital is recognized where the counterparty is the same shareholder. In any case, this would have to be assessed.</w:t>
            </w:r>
          </w:p>
          <w:p w14:paraId="103A58D9" w14:textId="54AC4CC9" w:rsidR="006F5ECC" w:rsidRPr="009D2125" w:rsidRDefault="006F5ECC" w:rsidP="00020B14">
            <w:pPr>
              <w:tabs>
                <w:tab w:val="left" w:pos="0"/>
                <w:tab w:val="left" w:pos="4536"/>
              </w:tabs>
              <w:spacing w:before="120" w:after="120"/>
              <w:rPr>
                <w:rFonts w:ascii="Verdana" w:hAnsi="Verdana"/>
                <w:color w:val="7F7F7F" w:themeColor="text1" w:themeTint="80"/>
                <w:sz w:val="22"/>
                <w:szCs w:val="22"/>
                <w:lang w:val="en-US"/>
              </w:rPr>
            </w:pPr>
            <w:r w:rsidRPr="009D2125">
              <w:rPr>
                <w:rFonts w:ascii="Verdana" w:hAnsi="Verdana"/>
                <w:color w:val="7F7F7F" w:themeColor="text1" w:themeTint="80"/>
                <w:sz w:val="22"/>
                <w:szCs w:val="22"/>
                <w:lang w:val="en-US"/>
              </w:rPr>
              <w:t>Thirdly, EIOPA refers to having AMSB/management body members in common; The relevant question is whether the AMSB/management body has enough time to act as AMSB and whether it has sufficient independency; This is part of the fit and proper assessment.</w:t>
            </w:r>
          </w:p>
          <w:p w14:paraId="08082F1B" w14:textId="63F6D241" w:rsidR="006F5ECC" w:rsidRPr="009D2125" w:rsidRDefault="006F5ECC" w:rsidP="00020B14">
            <w:pPr>
              <w:tabs>
                <w:tab w:val="left" w:pos="0"/>
                <w:tab w:val="left" w:pos="4536"/>
              </w:tabs>
              <w:spacing w:before="120" w:after="120"/>
              <w:rPr>
                <w:rFonts w:ascii="Verdana" w:hAnsi="Verdana"/>
                <w:color w:val="7F7F7F" w:themeColor="text1" w:themeTint="80"/>
                <w:sz w:val="22"/>
                <w:szCs w:val="22"/>
                <w:lang w:val="en-US"/>
              </w:rPr>
            </w:pPr>
            <w:r w:rsidRPr="009D2125">
              <w:rPr>
                <w:rFonts w:ascii="Verdana" w:hAnsi="Verdana"/>
                <w:color w:val="7F7F7F" w:themeColor="text1" w:themeTint="80"/>
                <w:sz w:val="22"/>
                <w:szCs w:val="22"/>
                <w:lang w:val="en-US"/>
              </w:rPr>
              <w:t xml:space="preserve">Fourthly, EIOPA also refers to have financial links; If the links are too dominant, a </w:t>
            </w:r>
            <w:r>
              <w:rPr>
                <w:rFonts w:ascii="Verdana" w:hAnsi="Verdana"/>
                <w:color w:val="7F7F7F" w:themeColor="text1" w:themeTint="80"/>
                <w:sz w:val="22"/>
                <w:szCs w:val="22"/>
                <w:lang w:val="en-US"/>
              </w:rPr>
              <w:t xml:space="preserve">risk concentration </w:t>
            </w:r>
            <w:r w:rsidRPr="009D2125">
              <w:rPr>
                <w:rFonts w:ascii="Verdana" w:hAnsi="Verdana"/>
                <w:color w:val="7F7F7F" w:themeColor="text1" w:themeTint="80"/>
                <w:sz w:val="22"/>
                <w:szCs w:val="22"/>
                <w:lang w:val="en-US"/>
              </w:rPr>
              <w:t>will emerge which will have to be dealt with according to the current legislation.</w:t>
            </w:r>
          </w:p>
          <w:p w14:paraId="33F07EF7" w14:textId="5BBB6D36" w:rsidR="006F5ECC" w:rsidRPr="009D2125" w:rsidRDefault="006F5ECC" w:rsidP="00020B14">
            <w:pPr>
              <w:tabs>
                <w:tab w:val="left" w:pos="0"/>
                <w:tab w:val="left" w:pos="4536"/>
              </w:tabs>
              <w:spacing w:before="120" w:after="120"/>
              <w:rPr>
                <w:rFonts w:ascii="Verdana" w:hAnsi="Verdana"/>
                <w:color w:val="7F7F7F" w:themeColor="text1" w:themeTint="80"/>
                <w:sz w:val="22"/>
                <w:szCs w:val="22"/>
                <w:lang w:val="en-GB" w:eastAsia="fr-FR"/>
              </w:rPr>
            </w:pPr>
            <w:r w:rsidRPr="009D2125">
              <w:rPr>
                <w:rFonts w:ascii="Verdana" w:hAnsi="Verdana"/>
                <w:color w:val="7F7F7F" w:themeColor="text1" w:themeTint="80"/>
                <w:sz w:val="22"/>
                <w:szCs w:val="22"/>
                <w:lang w:val="en-US"/>
              </w:rPr>
              <w:lastRenderedPageBreak/>
              <w:t>If there is no group for accounting or other purposes, EIOPA should not try to create new groups if not deemed necessary. We wonder what would be the policyholders’ interest at stake.</w:t>
            </w:r>
          </w:p>
        </w:tc>
        <w:tc>
          <w:tcPr>
            <w:tcW w:w="483" w:type="pct"/>
            <w:tcBorders>
              <w:top w:val="single" w:sz="4" w:space="0" w:color="auto"/>
              <w:left w:val="single" w:sz="4" w:space="0" w:color="auto"/>
              <w:bottom w:val="single" w:sz="4" w:space="0" w:color="auto"/>
              <w:right w:val="single" w:sz="4" w:space="0" w:color="auto"/>
            </w:tcBorders>
          </w:tcPr>
          <w:p w14:paraId="2C43A239" w14:textId="77777777" w:rsidR="006F5ECC" w:rsidRPr="00D46B4C" w:rsidRDefault="006F5ECC" w:rsidP="00020B14">
            <w:pPr>
              <w:tabs>
                <w:tab w:val="left" w:pos="0"/>
                <w:tab w:val="left" w:pos="4536"/>
              </w:tabs>
              <w:ind w:left="-96"/>
              <w:rPr>
                <w:color w:val="7F7F7F" w:themeColor="text1" w:themeTint="80"/>
                <w:sz w:val="22"/>
                <w:szCs w:val="22"/>
                <w:lang w:val="en-GB" w:eastAsia="fr-FR"/>
              </w:rPr>
            </w:pPr>
          </w:p>
        </w:tc>
      </w:tr>
      <w:tr w:rsidR="00FC5744" w:rsidRPr="00BB339B" w14:paraId="1EBBFEA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9AD527A" w14:textId="12783F77"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r w:rsidRPr="000D5250">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7941D9CC" w14:textId="364F1CF4"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27</w:t>
            </w:r>
          </w:p>
        </w:tc>
        <w:tc>
          <w:tcPr>
            <w:tcW w:w="1999" w:type="pct"/>
            <w:tcBorders>
              <w:top w:val="single" w:sz="4" w:space="0" w:color="auto"/>
              <w:left w:val="single" w:sz="4" w:space="0" w:color="auto"/>
              <w:bottom w:val="single" w:sz="4" w:space="0" w:color="auto"/>
              <w:right w:val="single" w:sz="4" w:space="0" w:color="auto"/>
            </w:tcBorders>
            <w:vAlign w:val="center"/>
          </w:tcPr>
          <w:p w14:paraId="0FC68A51" w14:textId="0044EC6E" w:rsidR="006F5ECC" w:rsidRPr="0003536E" w:rsidRDefault="006F5ECC" w:rsidP="00020B14">
            <w:pPr>
              <w:tabs>
                <w:tab w:val="left" w:pos="0"/>
                <w:tab w:val="left" w:pos="4536"/>
              </w:tabs>
              <w:rPr>
                <w:rFonts w:ascii="Verdana" w:hAnsi="Verdana"/>
                <w:b/>
                <w:bCs/>
                <w:color w:val="7F7F7F" w:themeColor="text1" w:themeTint="80"/>
                <w:sz w:val="22"/>
                <w:szCs w:val="22"/>
                <w:lang w:val="en-US"/>
              </w:rPr>
            </w:pPr>
            <w:r>
              <w:rPr>
                <w:rFonts w:ascii="Verdana" w:hAnsi="Verdana"/>
                <w:b/>
                <w:bCs/>
                <w:color w:val="7F7F7F" w:themeColor="text1" w:themeTint="80"/>
                <w:sz w:val="22"/>
                <w:szCs w:val="22"/>
                <w:lang w:val="en-US"/>
              </w:rPr>
              <w:t>Policy Issue 2: Article 213 of the Solvency II – application of group supervision</w:t>
            </w:r>
          </w:p>
          <w:p w14:paraId="6E4D7240" w14:textId="0D7655CE" w:rsidR="006F5ECC" w:rsidRPr="00D46B4C" w:rsidRDefault="006F5ECC" w:rsidP="00020B14">
            <w:pPr>
              <w:tabs>
                <w:tab w:val="left" w:pos="0"/>
                <w:tab w:val="left" w:pos="4536"/>
              </w:tabs>
              <w:rPr>
                <w:rFonts w:ascii="Verdana" w:hAnsi="Verdana"/>
                <w:color w:val="7F7F7F" w:themeColor="text1" w:themeTint="80"/>
                <w:sz w:val="22"/>
                <w:szCs w:val="22"/>
                <w:lang w:val="en-GB" w:eastAsia="fr-FR"/>
              </w:rPr>
            </w:pPr>
            <w:r w:rsidRPr="00D46B4C">
              <w:rPr>
                <w:rFonts w:ascii="Verdana" w:hAnsi="Verdana"/>
                <w:color w:val="7F7F7F" w:themeColor="text1" w:themeTint="80"/>
                <w:sz w:val="22"/>
                <w:szCs w:val="22"/>
                <w:lang w:val="en-US"/>
              </w:rPr>
              <w:t xml:space="preserve">EIOPA notes a second policy issue, but </w:t>
            </w:r>
            <w:r>
              <w:rPr>
                <w:rFonts w:ascii="Verdana" w:hAnsi="Verdana"/>
                <w:color w:val="7F7F7F" w:themeColor="text1" w:themeTint="80"/>
                <w:sz w:val="22"/>
                <w:szCs w:val="22"/>
                <w:lang w:val="en-US"/>
              </w:rPr>
              <w:t xml:space="preserve">it </w:t>
            </w:r>
            <w:r w:rsidRPr="00D46B4C">
              <w:rPr>
                <w:rFonts w:ascii="Verdana" w:hAnsi="Verdana"/>
                <w:color w:val="7F7F7F" w:themeColor="text1" w:themeTint="80"/>
                <w:sz w:val="22"/>
                <w:szCs w:val="22"/>
                <w:lang w:val="en-US"/>
              </w:rPr>
              <w:t xml:space="preserve">does not provide a quantification. </w:t>
            </w:r>
            <w:r w:rsidRPr="00BB339B">
              <w:rPr>
                <w:rFonts w:ascii="Verdana" w:hAnsi="Verdana"/>
                <w:color w:val="7F7F7F" w:themeColor="text1" w:themeTint="80"/>
                <w:sz w:val="22"/>
                <w:szCs w:val="22"/>
                <w:lang w:val="en-US"/>
              </w:rPr>
              <w:t>In how many instances was this an issue?</w:t>
            </w:r>
          </w:p>
        </w:tc>
        <w:tc>
          <w:tcPr>
            <w:tcW w:w="483" w:type="pct"/>
            <w:tcBorders>
              <w:top w:val="single" w:sz="4" w:space="0" w:color="auto"/>
              <w:left w:val="single" w:sz="4" w:space="0" w:color="auto"/>
              <w:bottom w:val="single" w:sz="4" w:space="0" w:color="auto"/>
              <w:right w:val="single" w:sz="4" w:space="0" w:color="auto"/>
            </w:tcBorders>
          </w:tcPr>
          <w:p w14:paraId="2C24E6EE" w14:textId="77777777" w:rsidR="006F5ECC" w:rsidRPr="00D46B4C" w:rsidRDefault="006F5ECC" w:rsidP="00020B14">
            <w:pPr>
              <w:tabs>
                <w:tab w:val="left" w:pos="0"/>
                <w:tab w:val="left" w:pos="4536"/>
              </w:tabs>
              <w:ind w:left="-96"/>
              <w:rPr>
                <w:color w:val="7F7F7F" w:themeColor="text1" w:themeTint="80"/>
                <w:sz w:val="22"/>
                <w:szCs w:val="22"/>
                <w:lang w:val="en-GB" w:eastAsia="fr-FR"/>
              </w:rPr>
            </w:pPr>
          </w:p>
        </w:tc>
      </w:tr>
      <w:tr w:rsidR="00FC5744" w:rsidRPr="001360A5" w14:paraId="5396F8C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D25C788" w14:textId="14168806"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1D6464FB" w14:textId="5258AD8D"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34</w:t>
            </w:r>
          </w:p>
        </w:tc>
        <w:tc>
          <w:tcPr>
            <w:tcW w:w="1999" w:type="pct"/>
            <w:tcBorders>
              <w:top w:val="single" w:sz="4" w:space="0" w:color="auto"/>
              <w:left w:val="single" w:sz="4" w:space="0" w:color="auto"/>
              <w:bottom w:val="single" w:sz="4" w:space="0" w:color="auto"/>
              <w:right w:val="single" w:sz="4" w:space="0" w:color="auto"/>
            </w:tcBorders>
            <w:vAlign w:val="center"/>
          </w:tcPr>
          <w:p w14:paraId="1452AEFC" w14:textId="08D6C4E7" w:rsidR="006F5ECC" w:rsidRPr="0003536E" w:rsidRDefault="006F5ECC" w:rsidP="00020B14">
            <w:pPr>
              <w:tabs>
                <w:tab w:val="left" w:pos="0"/>
                <w:tab w:val="left" w:pos="4536"/>
              </w:tabs>
              <w:spacing w:line="274" w:lineRule="auto"/>
              <w:ind w:right="64"/>
              <w:rPr>
                <w:b/>
                <w:bCs/>
                <w:color w:val="7F7F7F" w:themeColor="text1" w:themeTint="80"/>
                <w:sz w:val="22"/>
                <w:szCs w:val="22"/>
                <w:lang w:val="en-US"/>
              </w:rPr>
            </w:pPr>
            <w:r w:rsidRPr="0003536E">
              <w:rPr>
                <w:rFonts w:ascii="Verdana" w:eastAsia="Verdana" w:hAnsi="Verdana" w:cs="Verdana"/>
                <w:b/>
                <w:bCs/>
                <w:color w:val="7F7F7F" w:themeColor="text1" w:themeTint="80"/>
                <w:sz w:val="22"/>
                <w:szCs w:val="22"/>
                <w:lang w:val="en-US"/>
              </w:rPr>
              <w:t>Policy Issue 1: – Article 212 of the Solvency II Directive and identification of groups</w:t>
            </w:r>
          </w:p>
          <w:p w14:paraId="66E71CBD" w14:textId="40599924" w:rsidR="006F5ECC" w:rsidRPr="00D35C67" w:rsidRDefault="006F5ECC" w:rsidP="00020B14">
            <w:pPr>
              <w:tabs>
                <w:tab w:val="left" w:pos="0"/>
                <w:tab w:val="left" w:pos="4536"/>
              </w:tabs>
              <w:rPr>
                <w:rFonts w:ascii="Verdana" w:hAnsi="Verdana"/>
                <w:color w:val="7F7F7F" w:themeColor="text1" w:themeTint="80"/>
                <w:sz w:val="22"/>
                <w:szCs w:val="22"/>
                <w:lang w:val="en-US"/>
              </w:rPr>
            </w:pPr>
            <w:r w:rsidRPr="00D35C67">
              <w:rPr>
                <w:rFonts w:ascii="Verdana" w:hAnsi="Verdana"/>
                <w:color w:val="7F7F7F" w:themeColor="text1" w:themeTint="80"/>
                <w:sz w:val="22"/>
                <w:szCs w:val="22"/>
                <w:lang w:val="en-US"/>
              </w:rPr>
              <w:t xml:space="preserve">EIOPA indicates that no </w:t>
            </w:r>
            <w:r>
              <w:rPr>
                <w:rFonts w:ascii="Verdana" w:hAnsi="Verdana"/>
                <w:color w:val="7F7F7F" w:themeColor="text1" w:themeTint="80"/>
                <w:sz w:val="22"/>
                <w:szCs w:val="22"/>
                <w:lang w:val="en-US"/>
              </w:rPr>
              <w:t>c</w:t>
            </w:r>
            <w:r w:rsidRPr="00D35C67">
              <w:rPr>
                <w:rFonts w:ascii="Verdana" w:hAnsi="Verdana"/>
                <w:color w:val="7F7F7F" w:themeColor="text1" w:themeTint="80"/>
                <w:sz w:val="22"/>
                <w:szCs w:val="22"/>
                <w:lang w:val="en-US"/>
              </w:rPr>
              <w:t xml:space="preserve">hange in </w:t>
            </w:r>
            <w:r>
              <w:rPr>
                <w:rFonts w:ascii="Verdana" w:hAnsi="Verdana"/>
                <w:color w:val="7F7F7F" w:themeColor="text1" w:themeTint="80"/>
                <w:sz w:val="22"/>
                <w:szCs w:val="22"/>
                <w:lang w:val="en-US"/>
              </w:rPr>
              <w:t>A</w:t>
            </w:r>
            <w:r w:rsidRPr="00D35C67">
              <w:rPr>
                <w:rFonts w:ascii="Verdana" w:hAnsi="Verdana"/>
                <w:color w:val="7F7F7F" w:themeColor="text1" w:themeTint="80"/>
                <w:sz w:val="22"/>
                <w:szCs w:val="22"/>
                <w:lang w:val="en-US"/>
              </w:rPr>
              <w:t xml:space="preserve">rticle 212 of the Solvency II Directive and the identification of groups </w:t>
            </w:r>
          </w:p>
          <w:p w14:paraId="669E0293" w14:textId="106E78C5" w:rsidR="006F5ECC" w:rsidRPr="00D35C67" w:rsidRDefault="006F5ECC" w:rsidP="00020B14">
            <w:pPr>
              <w:tabs>
                <w:tab w:val="left" w:pos="0"/>
                <w:tab w:val="left" w:pos="4536"/>
              </w:tabs>
              <w:rPr>
                <w:rFonts w:ascii="Verdana" w:hAnsi="Verdana"/>
                <w:color w:val="7F7F7F" w:themeColor="text1" w:themeTint="80"/>
                <w:sz w:val="22"/>
                <w:szCs w:val="22"/>
                <w:lang w:val="en-US"/>
              </w:rPr>
            </w:pPr>
            <w:r w:rsidRPr="00D35C67">
              <w:rPr>
                <w:rFonts w:ascii="Verdana" w:hAnsi="Verdana"/>
                <w:color w:val="7F7F7F" w:themeColor="text1" w:themeTint="80"/>
                <w:sz w:val="22"/>
                <w:szCs w:val="22"/>
                <w:lang w:val="en-US"/>
              </w:rPr>
              <w:t>will not help with current issues as challenges with identification of a group under the current criteria remain.</w:t>
            </w:r>
          </w:p>
          <w:p w14:paraId="2F82A9FB" w14:textId="2AB71AC5" w:rsidR="006F5ECC" w:rsidRPr="00D46B4C" w:rsidRDefault="006F5ECC" w:rsidP="00020B14">
            <w:pPr>
              <w:tabs>
                <w:tab w:val="left" w:pos="0"/>
                <w:tab w:val="left" w:pos="4536"/>
              </w:tabs>
              <w:rPr>
                <w:rFonts w:ascii="Verdana" w:hAnsi="Verdana"/>
                <w:color w:val="7F7F7F" w:themeColor="text1" w:themeTint="80"/>
                <w:sz w:val="22"/>
                <w:szCs w:val="22"/>
                <w:lang w:val="en-GB" w:eastAsia="fr-FR"/>
              </w:rPr>
            </w:pPr>
            <w:r w:rsidRPr="00D46B4C">
              <w:rPr>
                <w:rFonts w:ascii="Verdana" w:hAnsi="Verdana"/>
                <w:color w:val="7F7F7F" w:themeColor="text1" w:themeTint="80"/>
                <w:sz w:val="22"/>
                <w:szCs w:val="22"/>
                <w:lang w:val="en-US"/>
              </w:rPr>
              <w:t xml:space="preserve">It is unclear </w:t>
            </w:r>
            <w:r>
              <w:rPr>
                <w:rFonts w:ascii="Verdana" w:hAnsi="Verdana"/>
                <w:color w:val="7F7F7F" w:themeColor="text1" w:themeTint="80"/>
                <w:sz w:val="22"/>
                <w:szCs w:val="22"/>
                <w:lang w:val="en-US"/>
              </w:rPr>
              <w:t>as to</w:t>
            </w:r>
            <w:r w:rsidRPr="00D46B4C">
              <w:rPr>
                <w:rFonts w:ascii="Verdana" w:hAnsi="Verdana"/>
                <w:color w:val="7F7F7F" w:themeColor="text1" w:themeTint="80"/>
                <w:sz w:val="22"/>
                <w:szCs w:val="22"/>
                <w:lang w:val="en-US"/>
              </w:rPr>
              <w:t xml:space="preserve"> how many groups or </w:t>
            </w:r>
            <w:r>
              <w:rPr>
                <w:rFonts w:ascii="Verdana" w:hAnsi="Verdana"/>
                <w:color w:val="7F7F7F" w:themeColor="text1" w:themeTint="80"/>
                <w:sz w:val="22"/>
                <w:szCs w:val="22"/>
                <w:lang w:val="en-US"/>
              </w:rPr>
              <w:t xml:space="preserve">potential new </w:t>
            </w:r>
            <w:r w:rsidRPr="00D46B4C">
              <w:rPr>
                <w:rFonts w:ascii="Verdana" w:hAnsi="Verdana"/>
                <w:color w:val="7F7F7F" w:themeColor="text1" w:themeTint="80"/>
                <w:sz w:val="22"/>
                <w:szCs w:val="22"/>
                <w:lang w:val="en-US"/>
              </w:rPr>
              <w:t xml:space="preserve">groups this is deemed </w:t>
            </w:r>
            <w:r>
              <w:rPr>
                <w:rFonts w:ascii="Verdana" w:hAnsi="Verdana"/>
                <w:color w:val="7F7F7F" w:themeColor="text1" w:themeTint="80"/>
                <w:sz w:val="22"/>
                <w:szCs w:val="22"/>
                <w:lang w:val="en-US"/>
              </w:rPr>
              <w:t xml:space="preserve">to be </w:t>
            </w:r>
            <w:r w:rsidRPr="00D46B4C">
              <w:rPr>
                <w:rFonts w:ascii="Verdana" w:hAnsi="Verdana"/>
                <w:color w:val="7F7F7F" w:themeColor="text1" w:themeTint="80"/>
                <w:sz w:val="22"/>
                <w:szCs w:val="22"/>
                <w:lang w:val="en-US"/>
              </w:rPr>
              <w:t>an issue</w:t>
            </w:r>
            <w:r>
              <w:rPr>
                <w:rFonts w:ascii="Verdana" w:hAnsi="Verdana"/>
                <w:color w:val="7F7F7F" w:themeColor="text1" w:themeTint="80"/>
                <w:sz w:val="22"/>
                <w:szCs w:val="22"/>
                <w:lang w:val="en-US"/>
              </w:rPr>
              <w:t>.</w:t>
            </w:r>
            <w:r w:rsidRPr="00D46B4C">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The</w:t>
            </w:r>
            <w:r w:rsidRPr="00D46B4C">
              <w:rPr>
                <w:rFonts w:ascii="Verdana" w:hAnsi="Verdana"/>
                <w:color w:val="7F7F7F" w:themeColor="text1" w:themeTint="80"/>
                <w:sz w:val="22"/>
                <w:szCs w:val="22"/>
                <w:lang w:val="en-US"/>
              </w:rPr>
              <w:t xml:space="preserve"> principle</w:t>
            </w:r>
            <w:r>
              <w:rPr>
                <w:rFonts w:ascii="Verdana" w:hAnsi="Verdana"/>
                <w:color w:val="7F7F7F" w:themeColor="text1" w:themeTint="80"/>
                <w:sz w:val="22"/>
                <w:szCs w:val="22"/>
                <w:lang w:val="en-US"/>
              </w:rPr>
              <w:t>-</w:t>
            </w:r>
            <w:r w:rsidRPr="00D46B4C">
              <w:rPr>
                <w:rFonts w:ascii="Verdana" w:hAnsi="Verdana"/>
                <w:color w:val="7F7F7F" w:themeColor="text1" w:themeTint="80"/>
                <w:sz w:val="22"/>
                <w:szCs w:val="22"/>
                <w:lang w:val="en-US"/>
              </w:rPr>
              <w:t xml:space="preserve">based </w:t>
            </w:r>
            <w:r>
              <w:rPr>
                <w:rFonts w:ascii="Verdana" w:hAnsi="Verdana"/>
                <w:color w:val="7F7F7F" w:themeColor="text1" w:themeTint="80"/>
                <w:sz w:val="22"/>
                <w:szCs w:val="22"/>
                <w:lang w:val="en-US"/>
              </w:rPr>
              <w:t>allows</w:t>
            </w:r>
            <w:r w:rsidRPr="00D46B4C">
              <w:rPr>
                <w:rFonts w:ascii="Verdana" w:hAnsi="Verdana"/>
                <w:color w:val="7F7F7F" w:themeColor="text1" w:themeTint="80"/>
                <w:sz w:val="22"/>
                <w:szCs w:val="22"/>
                <w:lang w:val="en-US"/>
              </w:rPr>
              <w:t xml:space="preserve"> an individual supervisor </w:t>
            </w:r>
            <w:r>
              <w:rPr>
                <w:rFonts w:ascii="Verdana" w:hAnsi="Verdana"/>
                <w:color w:val="7F7F7F" w:themeColor="text1" w:themeTint="80"/>
                <w:sz w:val="22"/>
                <w:szCs w:val="22"/>
                <w:lang w:val="en-US"/>
              </w:rPr>
              <w:t>to</w:t>
            </w:r>
            <w:r w:rsidRPr="00D46B4C">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cater for an</w:t>
            </w:r>
            <w:r w:rsidRPr="00D46B4C">
              <w:rPr>
                <w:rFonts w:ascii="Verdana" w:hAnsi="Verdana"/>
                <w:color w:val="7F7F7F" w:themeColor="text1" w:themeTint="80"/>
                <w:sz w:val="22"/>
                <w:szCs w:val="22"/>
                <w:lang w:val="en-US"/>
              </w:rPr>
              <w:t xml:space="preserve"> appropriate supervision</w:t>
            </w:r>
            <w:r>
              <w:rPr>
                <w:rFonts w:ascii="Verdana" w:hAnsi="Verdana"/>
                <w:color w:val="7F7F7F" w:themeColor="text1" w:themeTint="80"/>
                <w:sz w:val="22"/>
                <w:szCs w:val="22"/>
                <w:lang w:val="en-US"/>
              </w:rPr>
              <w:t xml:space="preserve"> to each and every group</w:t>
            </w:r>
            <w:r w:rsidRPr="00D46B4C">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Moreover,</w:t>
            </w:r>
            <w:r w:rsidRPr="00D46B4C">
              <w:rPr>
                <w:rFonts w:ascii="Verdana" w:hAnsi="Verdana"/>
                <w:color w:val="7F7F7F" w:themeColor="text1" w:themeTint="80"/>
                <w:sz w:val="22"/>
                <w:szCs w:val="22"/>
                <w:lang w:val="en-US"/>
              </w:rPr>
              <w:t xml:space="preserve"> current legislation provide</w:t>
            </w:r>
            <w:r>
              <w:rPr>
                <w:rFonts w:ascii="Verdana" w:hAnsi="Verdana"/>
                <w:color w:val="7F7F7F" w:themeColor="text1" w:themeTint="80"/>
                <w:sz w:val="22"/>
                <w:szCs w:val="22"/>
                <w:lang w:val="en-US"/>
              </w:rPr>
              <w:t>s</w:t>
            </w:r>
            <w:r w:rsidRPr="00D46B4C">
              <w:rPr>
                <w:rFonts w:ascii="Verdana" w:hAnsi="Verdana"/>
                <w:color w:val="7F7F7F" w:themeColor="text1" w:themeTint="80"/>
                <w:sz w:val="22"/>
                <w:szCs w:val="22"/>
                <w:lang w:val="en-US"/>
              </w:rPr>
              <w:t xml:space="preserve"> sufficient opportunities for an effective supervision of the solo undertakings, grouping of undertakings </w:t>
            </w:r>
            <w:r>
              <w:rPr>
                <w:rFonts w:ascii="Verdana" w:hAnsi="Verdana"/>
                <w:color w:val="7F7F7F" w:themeColor="text1" w:themeTint="80"/>
                <w:sz w:val="22"/>
                <w:szCs w:val="22"/>
                <w:lang w:val="en-US"/>
              </w:rPr>
              <w:t>and</w:t>
            </w:r>
            <w:r w:rsidRPr="00D46B4C">
              <w:rPr>
                <w:rFonts w:ascii="Verdana" w:hAnsi="Verdana"/>
                <w:color w:val="7F7F7F" w:themeColor="text1" w:themeTint="80"/>
                <w:sz w:val="22"/>
                <w:szCs w:val="22"/>
                <w:lang w:val="en-US"/>
              </w:rPr>
              <w:t xml:space="preserve"> groups.</w:t>
            </w:r>
          </w:p>
        </w:tc>
        <w:tc>
          <w:tcPr>
            <w:tcW w:w="483" w:type="pct"/>
            <w:tcBorders>
              <w:top w:val="single" w:sz="4" w:space="0" w:color="auto"/>
              <w:left w:val="single" w:sz="4" w:space="0" w:color="auto"/>
              <w:bottom w:val="single" w:sz="4" w:space="0" w:color="auto"/>
              <w:right w:val="single" w:sz="4" w:space="0" w:color="auto"/>
            </w:tcBorders>
          </w:tcPr>
          <w:p w14:paraId="42BFCFE2" w14:textId="77777777" w:rsidR="006F5ECC" w:rsidRPr="00D46B4C" w:rsidRDefault="006F5ECC" w:rsidP="00020B14">
            <w:pPr>
              <w:tabs>
                <w:tab w:val="left" w:pos="0"/>
                <w:tab w:val="left" w:pos="4536"/>
              </w:tabs>
              <w:ind w:left="-96"/>
              <w:rPr>
                <w:color w:val="7F7F7F" w:themeColor="text1" w:themeTint="80"/>
                <w:sz w:val="22"/>
                <w:szCs w:val="22"/>
                <w:lang w:val="en-GB" w:eastAsia="fr-FR"/>
              </w:rPr>
            </w:pPr>
          </w:p>
        </w:tc>
      </w:tr>
      <w:tr w:rsidR="00FC5744" w:rsidRPr="001360A5" w14:paraId="4750CBCF"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1D3B94C" w14:textId="2B57B4EA"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127876DF" w14:textId="275782F4"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35</w:t>
            </w:r>
          </w:p>
        </w:tc>
        <w:tc>
          <w:tcPr>
            <w:tcW w:w="1999" w:type="pct"/>
            <w:tcBorders>
              <w:top w:val="single" w:sz="4" w:space="0" w:color="auto"/>
              <w:left w:val="single" w:sz="4" w:space="0" w:color="auto"/>
              <w:bottom w:val="single" w:sz="4" w:space="0" w:color="auto"/>
              <w:right w:val="single" w:sz="4" w:space="0" w:color="auto"/>
            </w:tcBorders>
            <w:vAlign w:val="center"/>
          </w:tcPr>
          <w:p w14:paraId="32750FD2" w14:textId="73CC3C2E" w:rsidR="006F5ECC" w:rsidRPr="00D46B4C" w:rsidRDefault="006F5ECC" w:rsidP="00020B14">
            <w:pPr>
              <w:tabs>
                <w:tab w:val="left" w:pos="0"/>
                <w:tab w:val="left" w:pos="4536"/>
              </w:tabs>
              <w:rPr>
                <w:rFonts w:ascii="Verdana" w:hAnsi="Verdana"/>
                <w:color w:val="7F7F7F" w:themeColor="text1" w:themeTint="80"/>
                <w:sz w:val="22"/>
                <w:szCs w:val="22"/>
                <w:lang w:val="en-GB" w:eastAsia="fr-FR"/>
              </w:rPr>
            </w:pPr>
            <w:r w:rsidRPr="00D46B4C">
              <w:rPr>
                <w:rFonts w:ascii="Verdana" w:hAnsi="Verdana"/>
                <w:color w:val="7F7F7F" w:themeColor="text1" w:themeTint="80"/>
                <w:sz w:val="22"/>
                <w:szCs w:val="22"/>
                <w:lang w:val="en-US"/>
              </w:rPr>
              <w:t>Article 212 (1)(c)(ii) does provide sufficient possibility to include entities to be part of a group.</w:t>
            </w:r>
          </w:p>
        </w:tc>
        <w:tc>
          <w:tcPr>
            <w:tcW w:w="483" w:type="pct"/>
            <w:tcBorders>
              <w:top w:val="single" w:sz="4" w:space="0" w:color="auto"/>
              <w:left w:val="single" w:sz="4" w:space="0" w:color="auto"/>
              <w:bottom w:val="single" w:sz="4" w:space="0" w:color="auto"/>
              <w:right w:val="single" w:sz="4" w:space="0" w:color="auto"/>
            </w:tcBorders>
          </w:tcPr>
          <w:p w14:paraId="4FECB7B7" w14:textId="77777777" w:rsidR="006F5ECC" w:rsidRPr="00D46B4C" w:rsidRDefault="006F5ECC" w:rsidP="00020B14">
            <w:pPr>
              <w:tabs>
                <w:tab w:val="left" w:pos="0"/>
                <w:tab w:val="left" w:pos="4536"/>
              </w:tabs>
              <w:ind w:left="-96"/>
              <w:rPr>
                <w:color w:val="7F7F7F" w:themeColor="text1" w:themeTint="80"/>
                <w:sz w:val="22"/>
                <w:szCs w:val="22"/>
                <w:lang w:val="en-GB" w:eastAsia="fr-FR"/>
              </w:rPr>
            </w:pPr>
          </w:p>
        </w:tc>
      </w:tr>
      <w:tr w:rsidR="00FC5744" w:rsidRPr="001360A5" w14:paraId="0278F903"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1A7A65C" w14:textId="63478648"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bookmarkStart w:id="23" w:name="_Hlk29289044"/>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17A5C8F4" w14:textId="336FCE83"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36</w:t>
            </w:r>
          </w:p>
        </w:tc>
        <w:tc>
          <w:tcPr>
            <w:tcW w:w="1999" w:type="pct"/>
            <w:tcBorders>
              <w:top w:val="single" w:sz="4" w:space="0" w:color="auto"/>
              <w:left w:val="single" w:sz="4" w:space="0" w:color="auto"/>
              <w:bottom w:val="single" w:sz="4" w:space="0" w:color="auto"/>
              <w:right w:val="single" w:sz="4" w:space="0" w:color="auto"/>
            </w:tcBorders>
            <w:vAlign w:val="center"/>
          </w:tcPr>
          <w:p w14:paraId="4E1AEE97" w14:textId="34FE18BD" w:rsidR="006F5ECC" w:rsidRPr="00D46B4C" w:rsidRDefault="006F5ECC" w:rsidP="00020B14">
            <w:pPr>
              <w:tabs>
                <w:tab w:val="left" w:pos="0"/>
                <w:tab w:val="left" w:pos="4536"/>
              </w:tabs>
              <w:rPr>
                <w:rFonts w:ascii="Verdana" w:hAnsi="Verdana"/>
                <w:color w:val="7F7F7F" w:themeColor="text1" w:themeTint="80"/>
                <w:sz w:val="22"/>
                <w:szCs w:val="22"/>
                <w:lang w:val="en-GB" w:eastAsia="fr-FR"/>
              </w:rPr>
            </w:pPr>
            <w:r w:rsidRPr="00F0251A">
              <w:rPr>
                <w:rFonts w:ascii="Verdana" w:hAnsi="Verdana"/>
                <w:color w:val="7F7F7F" w:themeColor="text1" w:themeTint="80"/>
                <w:sz w:val="22"/>
                <w:szCs w:val="22"/>
                <w:lang w:val="en-US"/>
              </w:rPr>
              <w:t>EIOPA points that the regulatory framework should contain a definition of ‘centralized coordination’ in paragraph (1)(c)(ii) of Article 212;</w:t>
            </w:r>
            <w:r>
              <w:rPr>
                <w:rFonts w:ascii="Verdana" w:eastAsia="Verdana" w:hAnsi="Verdana" w:cs="Verdana"/>
                <w:lang w:val="en-US"/>
              </w:rPr>
              <w:t xml:space="preserve"> </w:t>
            </w:r>
            <w:r>
              <w:rPr>
                <w:rFonts w:ascii="Verdana" w:hAnsi="Verdana"/>
                <w:color w:val="7F7F7F" w:themeColor="text1" w:themeTint="80"/>
                <w:sz w:val="22"/>
                <w:szCs w:val="22"/>
                <w:lang w:val="en-US"/>
              </w:rPr>
              <w:t xml:space="preserve">We believe that </w:t>
            </w:r>
            <w:r w:rsidRPr="00D46B4C">
              <w:rPr>
                <w:rFonts w:ascii="Verdana" w:hAnsi="Verdana"/>
                <w:color w:val="7F7F7F" w:themeColor="text1" w:themeTint="80"/>
                <w:sz w:val="22"/>
                <w:szCs w:val="22"/>
                <w:lang w:val="en-US"/>
              </w:rPr>
              <w:t>"</w:t>
            </w:r>
            <w:r w:rsidRPr="000D5250">
              <w:rPr>
                <w:rFonts w:ascii="Verdana" w:hAnsi="Verdana"/>
                <w:i/>
                <w:iCs/>
                <w:color w:val="7F7F7F" w:themeColor="text1" w:themeTint="80"/>
                <w:sz w:val="22"/>
                <w:szCs w:val="22"/>
                <w:lang w:val="en-US"/>
              </w:rPr>
              <w:t>centralized coordination</w:t>
            </w:r>
            <w:r w:rsidRPr="00D46B4C">
              <w:rPr>
                <w:rFonts w:ascii="Verdana" w:hAnsi="Verdana"/>
                <w:color w:val="7F7F7F" w:themeColor="text1" w:themeTint="80"/>
                <w:sz w:val="22"/>
                <w:szCs w:val="22"/>
                <w:lang w:val="en-US"/>
              </w:rPr>
              <w:t xml:space="preserve">" does not need to be further defined. If the supervisor is of the opinion </w:t>
            </w:r>
            <w:r>
              <w:rPr>
                <w:rFonts w:ascii="Verdana" w:hAnsi="Verdana"/>
                <w:color w:val="7F7F7F" w:themeColor="text1" w:themeTint="80"/>
                <w:sz w:val="22"/>
                <w:szCs w:val="22"/>
                <w:lang w:val="en-US"/>
              </w:rPr>
              <w:t>that a group is centralized coordinated</w:t>
            </w:r>
            <w:r w:rsidRPr="00D46B4C">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it</w:t>
            </w:r>
            <w:r w:rsidRPr="00D46B4C">
              <w:rPr>
                <w:rFonts w:ascii="Verdana" w:hAnsi="Verdana"/>
                <w:color w:val="7F7F7F" w:themeColor="text1" w:themeTint="80"/>
                <w:sz w:val="22"/>
                <w:szCs w:val="22"/>
                <w:lang w:val="en-US"/>
              </w:rPr>
              <w:t xml:space="preserve"> will provide </w:t>
            </w:r>
            <w:r>
              <w:rPr>
                <w:rFonts w:ascii="Verdana" w:hAnsi="Verdana"/>
                <w:color w:val="7F7F7F" w:themeColor="text1" w:themeTint="80"/>
                <w:sz w:val="22"/>
                <w:szCs w:val="22"/>
                <w:lang w:val="en-US"/>
              </w:rPr>
              <w:t>its</w:t>
            </w:r>
            <w:r w:rsidRPr="00D46B4C">
              <w:rPr>
                <w:rFonts w:ascii="Verdana" w:hAnsi="Verdana"/>
                <w:color w:val="7F7F7F" w:themeColor="text1" w:themeTint="80"/>
                <w:sz w:val="22"/>
                <w:szCs w:val="22"/>
                <w:lang w:val="en-US"/>
              </w:rPr>
              <w:t xml:space="preserve"> opinion includ</w:t>
            </w:r>
            <w:r>
              <w:rPr>
                <w:rFonts w:ascii="Verdana" w:hAnsi="Verdana"/>
                <w:color w:val="7F7F7F" w:themeColor="text1" w:themeTint="80"/>
                <w:sz w:val="22"/>
                <w:szCs w:val="22"/>
                <w:lang w:val="en-US"/>
              </w:rPr>
              <w:t>ing</w:t>
            </w:r>
            <w:r w:rsidRPr="00D46B4C">
              <w:rPr>
                <w:rFonts w:ascii="Verdana" w:hAnsi="Verdana"/>
                <w:color w:val="7F7F7F" w:themeColor="text1" w:themeTint="80"/>
                <w:sz w:val="22"/>
                <w:szCs w:val="22"/>
                <w:lang w:val="en-US"/>
              </w:rPr>
              <w:t xml:space="preserve"> the reasoning</w:t>
            </w:r>
            <w:r>
              <w:rPr>
                <w:rFonts w:ascii="Verdana" w:hAnsi="Verdana"/>
                <w:color w:val="7F7F7F" w:themeColor="text1" w:themeTint="80"/>
                <w:sz w:val="22"/>
                <w:szCs w:val="22"/>
                <w:lang w:val="en-US"/>
              </w:rPr>
              <w:t xml:space="preserve"> for that</w:t>
            </w:r>
            <w:r w:rsidRPr="00D46B4C">
              <w:rPr>
                <w:rFonts w:ascii="Verdana" w:hAnsi="Verdana"/>
                <w:color w:val="7F7F7F" w:themeColor="text1" w:themeTint="80"/>
                <w:sz w:val="22"/>
                <w:szCs w:val="22"/>
                <w:lang w:val="en-US"/>
              </w:rPr>
              <w:t xml:space="preserve">. The alleged group will </w:t>
            </w:r>
            <w:r>
              <w:rPr>
                <w:rFonts w:ascii="Verdana" w:hAnsi="Verdana"/>
                <w:color w:val="7F7F7F" w:themeColor="text1" w:themeTint="80"/>
                <w:sz w:val="22"/>
                <w:szCs w:val="22"/>
                <w:lang w:val="en-US"/>
              </w:rPr>
              <w:t>assess</w:t>
            </w:r>
            <w:r w:rsidRPr="00D46B4C">
              <w:rPr>
                <w:rFonts w:ascii="Verdana" w:hAnsi="Verdana"/>
                <w:color w:val="7F7F7F" w:themeColor="text1" w:themeTint="80"/>
                <w:sz w:val="22"/>
                <w:szCs w:val="22"/>
                <w:lang w:val="en-US"/>
              </w:rPr>
              <w:t xml:space="preserve"> the centralized coordination</w:t>
            </w:r>
            <w:r>
              <w:rPr>
                <w:rFonts w:ascii="Verdana" w:hAnsi="Verdana"/>
                <w:color w:val="7F7F7F" w:themeColor="text1" w:themeTint="80"/>
                <w:sz w:val="22"/>
                <w:szCs w:val="22"/>
                <w:lang w:val="en-US"/>
              </w:rPr>
              <w:t xml:space="preserve"> and it will</w:t>
            </w:r>
            <w:r w:rsidRPr="00D46B4C">
              <w:rPr>
                <w:rFonts w:ascii="Verdana" w:hAnsi="Verdana"/>
                <w:color w:val="7F7F7F" w:themeColor="text1" w:themeTint="80"/>
                <w:sz w:val="22"/>
                <w:szCs w:val="22"/>
                <w:lang w:val="en-US"/>
              </w:rPr>
              <w:t xml:space="preserve"> be </w:t>
            </w:r>
            <w:r w:rsidRPr="00D46B4C">
              <w:rPr>
                <w:rFonts w:ascii="Verdana" w:hAnsi="Verdana"/>
                <w:color w:val="7F7F7F" w:themeColor="text1" w:themeTint="80"/>
                <w:sz w:val="22"/>
                <w:szCs w:val="22"/>
                <w:lang w:val="en-US"/>
              </w:rPr>
              <w:lastRenderedPageBreak/>
              <w:t xml:space="preserve">input in the supervisory dialogue. </w:t>
            </w:r>
            <w:r w:rsidRPr="001F7855">
              <w:rPr>
                <w:rFonts w:ascii="Verdana" w:hAnsi="Verdana"/>
                <w:color w:val="7F7F7F" w:themeColor="text1" w:themeTint="80"/>
                <w:sz w:val="22"/>
                <w:szCs w:val="22"/>
                <w:lang w:val="en-US"/>
              </w:rPr>
              <w:t>A more "rules-based" definition will find sufficient cases where it is deemed to be ambiguous or the situation can be made in such a manner that either a group is formed or not.</w:t>
            </w:r>
            <w:r w:rsidRPr="00F632E4">
              <w:rPr>
                <w:rFonts w:ascii="Verdana" w:hAnsi="Verdana"/>
                <w:color w:val="FF0000"/>
                <w:sz w:val="22"/>
                <w:szCs w:val="22"/>
                <w:lang w:val="en-US"/>
              </w:rPr>
              <w:t xml:space="preserve"> </w:t>
            </w:r>
          </w:p>
        </w:tc>
        <w:tc>
          <w:tcPr>
            <w:tcW w:w="483" w:type="pct"/>
            <w:tcBorders>
              <w:top w:val="single" w:sz="4" w:space="0" w:color="auto"/>
              <w:left w:val="single" w:sz="4" w:space="0" w:color="auto"/>
              <w:bottom w:val="single" w:sz="4" w:space="0" w:color="auto"/>
              <w:right w:val="single" w:sz="4" w:space="0" w:color="auto"/>
            </w:tcBorders>
          </w:tcPr>
          <w:p w14:paraId="7A3FF3CD" w14:textId="710AAE08" w:rsidR="006F5ECC" w:rsidRPr="00D46B4C" w:rsidRDefault="006F5ECC" w:rsidP="00020B14">
            <w:pPr>
              <w:tabs>
                <w:tab w:val="left" w:pos="0"/>
                <w:tab w:val="left" w:pos="4536"/>
              </w:tabs>
              <w:ind w:left="-96"/>
              <w:rPr>
                <w:color w:val="7F7F7F" w:themeColor="text1" w:themeTint="80"/>
                <w:sz w:val="22"/>
                <w:szCs w:val="22"/>
                <w:lang w:val="en-GB" w:eastAsia="fr-FR"/>
              </w:rPr>
            </w:pPr>
          </w:p>
        </w:tc>
      </w:tr>
      <w:tr w:rsidR="00FC5744" w:rsidRPr="006D453E" w14:paraId="4625868E"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5F58D2D" w14:textId="2EA95834"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bookmarkStart w:id="24" w:name="_Hlk29289536"/>
            <w:bookmarkEnd w:id="23"/>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6835F42E" w14:textId="4F50ED3F"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37</w:t>
            </w:r>
          </w:p>
        </w:tc>
        <w:tc>
          <w:tcPr>
            <w:tcW w:w="1999" w:type="pct"/>
            <w:tcBorders>
              <w:top w:val="single" w:sz="4" w:space="0" w:color="auto"/>
              <w:left w:val="single" w:sz="4" w:space="0" w:color="auto"/>
              <w:bottom w:val="single" w:sz="4" w:space="0" w:color="auto"/>
              <w:right w:val="single" w:sz="4" w:space="0" w:color="auto"/>
            </w:tcBorders>
            <w:vAlign w:val="center"/>
          </w:tcPr>
          <w:p w14:paraId="78E56ACA" w14:textId="1307EBFF" w:rsidR="006F5ECC" w:rsidRPr="00D46B4C" w:rsidRDefault="006F5ECC" w:rsidP="00020B14">
            <w:pPr>
              <w:tabs>
                <w:tab w:val="left" w:pos="0"/>
                <w:tab w:val="left" w:pos="4536"/>
              </w:tabs>
              <w:rPr>
                <w:rFonts w:ascii="Verdana" w:hAnsi="Verdana"/>
                <w:color w:val="7F7F7F" w:themeColor="text1" w:themeTint="80"/>
                <w:sz w:val="22"/>
                <w:szCs w:val="22"/>
                <w:lang w:val="en-GB" w:eastAsia="fr-FR"/>
              </w:rPr>
            </w:pPr>
            <w:r w:rsidRPr="00D46B4C">
              <w:rPr>
                <w:rFonts w:ascii="Verdana" w:hAnsi="Verdana"/>
                <w:color w:val="7F7F7F" w:themeColor="text1" w:themeTint="80"/>
                <w:sz w:val="22"/>
                <w:szCs w:val="22"/>
                <w:lang w:val="en-US"/>
              </w:rPr>
              <w:t xml:space="preserve">We would advise EIOPA to assess </w:t>
            </w:r>
            <w:r>
              <w:rPr>
                <w:rFonts w:ascii="Verdana" w:hAnsi="Verdana"/>
                <w:color w:val="7F7F7F" w:themeColor="text1" w:themeTint="80"/>
                <w:sz w:val="22"/>
                <w:szCs w:val="22"/>
                <w:lang w:val="en-US"/>
              </w:rPr>
              <w:t xml:space="preserve">first </w:t>
            </w:r>
            <w:r w:rsidRPr="00D46B4C">
              <w:rPr>
                <w:rFonts w:ascii="Verdana" w:hAnsi="Verdana"/>
                <w:color w:val="7F7F7F" w:themeColor="text1" w:themeTint="80"/>
                <w:sz w:val="22"/>
                <w:szCs w:val="22"/>
                <w:lang w:val="en-US"/>
              </w:rPr>
              <w:t xml:space="preserve">the principles as laid down in the IFRS standards </w:t>
            </w:r>
            <w:r>
              <w:rPr>
                <w:rFonts w:ascii="Verdana" w:hAnsi="Verdana"/>
                <w:color w:val="7F7F7F" w:themeColor="text1" w:themeTint="80"/>
                <w:sz w:val="22"/>
                <w:szCs w:val="22"/>
                <w:lang w:val="en-US"/>
              </w:rPr>
              <w:t>with</w:t>
            </w:r>
            <w:r w:rsidRPr="00D46B4C">
              <w:rPr>
                <w:rFonts w:ascii="Verdana" w:hAnsi="Verdana"/>
                <w:color w:val="7F7F7F" w:themeColor="text1" w:themeTint="80"/>
                <w:sz w:val="22"/>
                <w:szCs w:val="22"/>
                <w:lang w:val="en-US"/>
              </w:rPr>
              <w:t xml:space="preserve"> respect to </w:t>
            </w:r>
            <w:r>
              <w:rPr>
                <w:rFonts w:ascii="Verdana" w:hAnsi="Verdana"/>
                <w:color w:val="7F7F7F" w:themeColor="text1" w:themeTint="80"/>
                <w:sz w:val="22"/>
                <w:szCs w:val="22"/>
                <w:lang w:val="en-US"/>
              </w:rPr>
              <w:t>the definition of “</w:t>
            </w:r>
            <w:r w:rsidRPr="00D46B4C">
              <w:rPr>
                <w:rFonts w:ascii="Verdana" w:hAnsi="Verdana"/>
                <w:color w:val="7F7F7F" w:themeColor="text1" w:themeTint="80"/>
                <w:sz w:val="22"/>
                <w:szCs w:val="22"/>
                <w:lang w:val="en-US"/>
              </w:rPr>
              <w:t>control</w:t>
            </w:r>
            <w:r>
              <w:rPr>
                <w:rFonts w:ascii="Verdana" w:hAnsi="Verdana"/>
                <w:color w:val="7F7F7F" w:themeColor="text1" w:themeTint="80"/>
                <w:sz w:val="22"/>
                <w:szCs w:val="22"/>
                <w:lang w:val="en-US"/>
              </w:rPr>
              <w:t>”</w:t>
            </w:r>
            <w:r w:rsidRPr="00D46B4C">
              <w:rPr>
                <w:rFonts w:ascii="Verdana" w:hAnsi="Verdana"/>
                <w:color w:val="7F7F7F" w:themeColor="text1" w:themeTint="80"/>
                <w:sz w:val="22"/>
                <w:szCs w:val="22"/>
                <w:lang w:val="en-US"/>
              </w:rPr>
              <w:t xml:space="preserve"> or </w:t>
            </w:r>
            <w:r>
              <w:rPr>
                <w:rFonts w:ascii="Verdana" w:hAnsi="Verdana"/>
                <w:color w:val="7F7F7F" w:themeColor="text1" w:themeTint="80"/>
                <w:sz w:val="22"/>
                <w:szCs w:val="22"/>
                <w:lang w:val="en-US"/>
              </w:rPr>
              <w:t>“</w:t>
            </w:r>
            <w:r w:rsidRPr="00D46B4C">
              <w:rPr>
                <w:rFonts w:ascii="Verdana" w:hAnsi="Verdana"/>
                <w:color w:val="7F7F7F" w:themeColor="text1" w:themeTint="80"/>
                <w:sz w:val="22"/>
                <w:szCs w:val="22"/>
                <w:lang w:val="en-US"/>
              </w:rPr>
              <w:t>significant influence</w:t>
            </w:r>
            <w:r>
              <w:rPr>
                <w:rFonts w:ascii="Verdana" w:hAnsi="Verdana"/>
                <w:color w:val="7F7F7F" w:themeColor="text1" w:themeTint="80"/>
                <w:sz w:val="22"/>
                <w:szCs w:val="22"/>
                <w:lang w:val="en-US"/>
              </w:rPr>
              <w:t>”</w:t>
            </w:r>
            <w:r w:rsidRPr="00D46B4C">
              <w:rPr>
                <w:rFonts w:ascii="Verdana" w:hAnsi="Verdana"/>
                <w:color w:val="7F7F7F" w:themeColor="text1" w:themeTint="80"/>
                <w:sz w:val="22"/>
                <w:szCs w:val="22"/>
                <w:lang w:val="en-US"/>
              </w:rPr>
              <w:t xml:space="preserve">. An alignment between accounting and Solvency II would result in similar </w:t>
            </w:r>
            <w:r w:rsidRPr="00453AEB">
              <w:rPr>
                <w:rFonts w:ascii="Verdana" w:hAnsi="Verdana"/>
                <w:color w:val="7F7F7F" w:themeColor="text1" w:themeTint="80"/>
                <w:sz w:val="22"/>
                <w:szCs w:val="22"/>
                <w:lang w:val="en-US"/>
              </w:rPr>
              <w:t>consolidation circles</w:t>
            </w:r>
            <w:r w:rsidRPr="00D46B4C">
              <w:rPr>
                <w:rFonts w:ascii="Verdana" w:hAnsi="Verdana"/>
                <w:color w:val="7F7F7F" w:themeColor="text1" w:themeTint="80"/>
                <w:sz w:val="22"/>
                <w:szCs w:val="22"/>
                <w:lang w:val="en-US"/>
              </w:rPr>
              <w:t>.</w:t>
            </w:r>
          </w:p>
        </w:tc>
        <w:tc>
          <w:tcPr>
            <w:tcW w:w="483" w:type="pct"/>
            <w:tcBorders>
              <w:top w:val="single" w:sz="4" w:space="0" w:color="auto"/>
              <w:left w:val="single" w:sz="4" w:space="0" w:color="auto"/>
              <w:bottom w:val="single" w:sz="4" w:space="0" w:color="auto"/>
              <w:right w:val="single" w:sz="4" w:space="0" w:color="auto"/>
            </w:tcBorders>
          </w:tcPr>
          <w:p w14:paraId="143EBEAC" w14:textId="0BC3B9A4" w:rsidR="006F5ECC" w:rsidRPr="006D453E" w:rsidRDefault="006F5ECC" w:rsidP="00020B14">
            <w:pPr>
              <w:tabs>
                <w:tab w:val="left" w:pos="0"/>
                <w:tab w:val="left" w:pos="4536"/>
              </w:tabs>
              <w:ind w:left="-96"/>
              <w:rPr>
                <w:color w:val="7F7F7F" w:themeColor="text1" w:themeTint="80"/>
                <w:sz w:val="22"/>
                <w:szCs w:val="22"/>
                <w:lang w:eastAsia="fr-FR"/>
              </w:rPr>
            </w:pPr>
            <w:r>
              <w:rPr>
                <w:color w:val="7F7F7F" w:themeColor="text1" w:themeTint="80"/>
                <w:sz w:val="22"/>
                <w:szCs w:val="22"/>
                <w:lang w:eastAsia="fr-FR"/>
              </w:rPr>
              <w:t>¨</w:t>
            </w:r>
          </w:p>
        </w:tc>
      </w:tr>
      <w:bookmarkEnd w:id="24"/>
      <w:tr w:rsidR="00FC5744" w:rsidRPr="001360A5" w14:paraId="2A67138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8A7C6A9" w14:textId="6AE9E972"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477D0967" w14:textId="6205FD5F"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39</w:t>
            </w:r>
          </w:p>
        </w:tc>
        <w:tc>
          <w:tcPr>
            <w:tcW w:w="1999" w:type="pct"/>
            <w:tcBorders>
              <w:top w:val="single" w:sz="4" w:space="0" w:color="auto"/>
              <w:left w:val="single" w:sz="4" w:space="0" w:color="auto"/>
              <w:bottom w:val="single" w:sz="4" w:space="0" w:color="auto"/>
              <w:right w:val="single" w:sz="4" w:space="0" w:color="auto"/>
            </w:tcBorders>
            <w:vAlign w:val="center"/>
          </w:tcPr>
          <w:p w14:paraId="09104F3D" w14:textId="63C75C3D" w:rsidR="006F5ECC" w:rsidRPr="0003536E" w:rsidRDefault="006F5ECC" w:rsidP="00020B14">
            <w:pPr>
              <w:tabs>
                <w:tab w:val="left" w:pos="0"/>
                <w:tab w:val="left" w:pos="4536"/>
              </w:tabs>
              <w:rPr>
                <w:b/>
                <w:bCs/>
                <w:color w:val="7F7F7F" w:themeColor="text1" w:themeTint="80"/>
                <w:sz w:val="22"/>
                <w:szCs w:val="22"/>
                <w:lang w:val="en-US"/>
              </w:rPr>
            </w:pPr>
            <w:r w:rsidRPr="0003536E">
              <w:rPr>
                <w:rFonts w:ascii="Verdana" w:eastAsia="Verdana" w:hAnsi="Verdana" w:cs="Verdana"/>
                <w:b/>
                <w:bCs/>
                <w:color w:val="7F7F7F" w:themeColor="text1" w:themeTint="80"/>
                <w:sz w:val="22"/>
                <w:szCs w:val="22"/>
                <w:lang w:val="en-US"/>
              </w:rPr>
              <w:t>Policy Issue 2: Article 213 of the Solvency II – application of group supervision</w:t>
            </w:r>
          </w:p>
          <w:p w14:paraId="67317C76" w14:textId="05E78A8F" w:rsidR="006F5ECC" w:rsidRPr="008A515B" w:rsidRDefault="006F5ECC" w:rsidP="00020B14">
            <w:pPr>
              <w:tabs>
                <w:tab w:val="left" w:pos="0"/>
                <w:tab w:val="left" w:pos="4536"/>
              </w:tabs>
              <w:rPr>
                <w:rFonts w:ascii="Verdana" w:hAnsi="Verdana"/>
                <w:color w:val="7F7F7F" w:themeColor="text1" w:themeTint="80"/>
                <w:sz w:val="22"/>
                <w:szCs w:val="22"/>
                <w:lang w:val="en-US"/>
              </w:rPr>
            </w:pPr>
            <w:r w:rsidRPr="008A515B">
              <w:rPr>
                <w:rFonts w:ascii="Verdana" w:hAnsi="Verdana"/>
                <w:color w:val="7F7F7F" w:themeColor="text1" w:themeTint="80"/>
                <w:sz w:val="22"/>
                <w:szCs w:val="22"/>
                <w:lang w:val="en-US"/>
              </w:rPr>
              <w:t xml:space="preserve">EIOPA points out </w:t>
            </w:r>
            <w:r>
              <w:rPr>
                <w:rFonts w:ascii="Verdana" w:hAnsi="Verdana"/>
                <w:color w:val="7F7F7F" w:themeColor="text1" w:themeTint="80"/>
                <w:sz w:val="22"/>
                <w:szCs w:val="22"/>
                <w:lang w:val="en-US"/>
              </w:rPr>
              <w:t xml:space="preserve">that no </w:t>
            </w:r>
            <w:r w:rsidRPr="008A515B">
              <w:rPr>
                <w:rFonts w:ascii="Verdana" w:hAnsi="Verdana"/>
                <w:color w:val="7F7F7F" w:themeColor="text1" w:themeTint="80"/>
                <w:sz w:val="22"/>
                <w:szCs w:val="22"/>
                <w:lang w:val="en-US"/>
              </w:rPr>
              <w:t xml:space="preserve">change </w:t>
            </w:r>
            <w:r>
              <w:rPr>
                <w:rFonts w:ascii="Verdana" w:hAnsi="Verdana"/>
                <w:color w:val="7F7F7F" w:themeColor="text1" w:themeTint="80"/>
                <w:sz w:val="22"/>
                <w:szCs w:val="22"/>
                <w:lang w:val="en-US"/>
              </w:rPr>
              <w:t>in the application of group supervision will</w:t>
            </w:r>
            <w:r w:rsidRPr="008A515B">
              <w:rPr>
                <w:rFonts w:ascii="Verdana" w:hAnsi="Verdana"/>
                <w:color w:val="7F7F7F" w:themeColor="text1" w:themeTint="80"/>
                <w:sz w:val="22"/>
                <w:szCs w:val="22"/>
                <w:lang w:val="en-US"/>
              </w:rPr>
              <w:t xml:space="preserve"> not help with current issues and uncertainty regarding the application of group supervision.</w:t>
            </w:r>
            <w:r>
              <w:rPr>
                <w:rFonts w:ascii="Verdana" w:hAnsi="Verdana"/>
                <w:color w:val="7F7F7F" w:themeColor="text1" w:themeTint="80"/>
                <w:sz w:val="22"/>
                <w:szCs w:val="22"/>
                <w:lang w:val="en-US"/>
              </w:rPr>
              <w:t xml:space="preserve"> We query how material the issue highlighted by EIOPA is.</w:t>
            </w:r>
          </w:p>
          <w:p w14:paraId="22DE7D40" w14:textId="5D6DC53F" w:rsidR="006F5ECC" w:rsidRPr="00D46B4C" w:rsidRDefault="006F5ECC" w:rsidP="00020B14">
            <w:pPr>
              <w:tabs>
                <w:tab w:val="left" w:pos="0"/>
                <w:tab w:val="left" w:pos="4536"/>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4C77C901" w14:textId="77777777" w:rsidR="006F5ECC" w:rsidRPr="00D46B4C" w:rsidRDefault="006F5ECC" w:rsidP="00020B14">
            <w:pPr>
              <w:tabs>
                <w:tab w:val="left" w:pos="0"/>
                <w:tab w:val="left" w:pos="4536"/>
              </w:tabs>
              <w:ind w:left="-96"/>
              <w:rPr>
                <w:color w:val="7F7F7F" w:themeColor="text1" w:themeTint="80"/>
                <w:sz w:val="22"/>
                <w:szCs w:val="22"/>
                <w:lang w:val="en-GB" w:eastAsia="fr-FR"/>
              </w:rPr>
            </w:pPr>
          </w:p>
        </w:tc>
      </w:tr>
      <w:tr w:rsidR="00FC5744" w:rsidRPr="001360A5" w14:paraId="0831E147"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F6474DC" w14:textId="5734DA3A"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5BE407D1" w14:textId="33E53A78"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40</w:t>
            </w:r>
          </w:p>
        </w:tc>
        <w:tc>
          <w:tcPr>
            <w:tcW w:w="1999" w:type="pct"/>
            <w:tcBorders>
              <w:top w:val="single" w:sz="4" w:space="0" w:color="auto"/>
              <w:left w:val="single" w:sz="4" w:space="0" w:color="auto"/>
              <w:bottom w:val="single" w:sz="4" w:space="0" w:color="auto"/>
              <w:right w:val="single" w:sz="4" w:space="0" w:color="auto"/>
            </w:tcBorders>
            <w:vAlign w:val="center"/>
          </w:tcPr>
          <w:p w14:paraId="0C85D4E6" w14:textId="4C60CD37" w:rsidR="006F5ECC" w:rsidRPr="0003536E" w:rsidRDefault="006F5ECC" w:rsidP="00020B14">
            <w:pPr>
              <w:tabs>
                <w:tab w:val="left" w:pos="0"/>
                <w:tab w:val="left" w:pos="4536"/>
              </w:tabs>
              <w:spacing w:line="238" w:lineRule="auto"/>
              <w:ind w:right="120"/>
              <w:rPr>
                <w:rFonts w:ascii="Verdana" w:hAnsi="Verdana"/>
                <w:b/>
                <w:bCs/>
                <w:color w:val="7F7F7F" w:themeColor="text1" w:themeTint="80"/>
                <w:sz w:val="22"/>
                <w:szCs w:val="22"/>
                <w:lang w:val="en-US"/>
              </w:rPr>
            </w:pPr>
            <w:r>
              <w:rPr>
                <w:rFonts w:ascii="Verdana" w:hAnsi="Verdana"/>
                <w:b/>
                <w:bCs/>
                <w:color w:val="7F7F7F" w:themeColor="text1" w:themeTint="80"/>
                <w:sz w:val="22"/>
                <w:szCs w:val="22"/>
                <w:lang w:val="en-US"/>
              </w:rPr>
              <w:t xml:space="preserve">Policy Issue 2: </w:t>
            </w:r>
            <w:r w:rsidRPr="0003536E">
              <w:rPr>
                <w:rFonts w:ascii="Verdana" w:hAnsi="Verdana"/>
                <w:b/>
                <w:bCs/>
                <w:color w:val="7F7F7F" w:themeColor="text1" w:themeTint="80"/>
                <w:sz w:val="22"/>
                <w:szCs w:val="22"/>
                <w:lang w:val="en-US"/>
              </w:rPr>
              <w:t>Article 213 of the Solvency II Directive and application of group supervision</w:t>
            </w:r>
          </w:p>
          <w:p w14:paraId="4685027A" w14:textId="1DA22133" w:rsidR="006F5ECC" w:rsidRDefault="006F5ECC" w:rsidP="00020B14">
            <w:pPr>
              <w:tabs>
                <w:tab w:val="left" w:pos="0"/>
                <w:tab w:val="left" w:pos="4536"/>
              </w:tabs>
              <w:rPr>
                <w:rFonts w:ascii="Verdana" w:hAnsi="Verdana"/>
                <w:color w:val="7F7F7F" w:themeColor="text1" w:themeTint="80"/>
                <w:sz w:val="22"/>
                <w:szCs w:val="22"/>
                <w:lang w:val="en-US"/>
              </w:rPr>
            </w:pPr>
            <w:r w:rsidRPr="00F0251A">
              <w:rPr>
                <w:rFonts w:ascii="Verdana" w:hAnsi="Verdana"/>
                <w:color w:val="7F7F7F" w:themeColor="text1" w:themeTint="80"/>
                <w:sz w:val="22"/>
                <w:szCs w:val="22"/>
                <w:lang w:val="en-US"/>
              </w:rPr>
              <w:t>EIOPA recommends that supervisory authorities have powers to require their supervised undertakings, to structure in such a way which enables the relevant NSA to exercise the group supervision.</w:t>
            </w:r>
            <w:r w:rsidRPr="00D46B4C">
              <w:rPr>
                <w:rFonts w:ascii="Verdana" w:hAnsi="Verdana"/>
                <w:color w:val="7F7F7F" w:themeColor="text1" w:themeTint="80"/>
                <w:sz w:val="22"/>
                <w:szCs w:val="22"/>
                <w:lang w:val="en-US"/>
              </w:rPr>
              <w:t xml:space="preserve"> </w:t>
            </w:r>
          </w:p>
          <w:p w14:paraId="560CCC58" w14:textId="58CFEB3A" w:rsidR="006F5ECC" w:rsidRPr="00F0251A"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 xml:space="preserve">We do not feel it is justified to provide the supervisory authorities </w:t>
            </w:r>
            <w:r>
              <w:rPr>
                <w:rFonts w:ascii="Verdana" w:hAnsi="Verdana"/>
                <w:color w:val="7F7F7F" w:themeColor="text1" w:themeTint="80"/>
                <w:sz w:val="22"/>
                <w:szCs w:val="22"/>
                <w:lang w:val="en-US"/>
              </w:rPr>
              <w:t xml:space="preserve">with </w:t>
            </w:r>
            <w:r w:rsidRPr="00D46B4C">
              <w:rPr>
                <w:rFonts w:ascii="Verdana" w:hAnsi="Verdana"/>
                <w:color w:val="7F7F7F" w:themeColor="text1" w:themeTint="80"/>
                <w:sz w:val="22"/>
                <w:szCs w:val="22"/>
                <w:lang w:val="en-US"/>
              </w:rPr>
              <w:t xml:space="preserve">the power to require a legal restructuring of the groups. In our opinion, the Solvency II legislation has sufficient possibilities to </w:t>
            </w:r>
            <w:r>
              <w:rPr>
                <w:rFonts w:ascii="Verdana" w:hAnsi="Verdana"/>
                <w:color w:val="7F7F7F" w:themeColor="text1" w:themeTint="80"/>
                <w:sz w:val="22"/>
                <w:szCs w:val="22"/>
                <w:lang w:val="en-US"/>
              </w:rPr>
              <w:t>allow the</w:t>
            </w:r>
            <w:r w:rsidRPr="00D46B4C">
              <w:rPr>
                <w:rFonts w:ascii="Verdana" w:hAnsi="Verdana"/>
                <w:color w:val="7F7F7F" w:themeColor="text1" w:themeTint="80"/>
                <w:sz w:val="22"/>
                <w:szCs w:val="22"/>
                <w:lang w:val="en-US"/>
              </w:rPr>
              <w:t xml:space="preserve"> exercise </w:t>
            </w:r>
            <w:r>
              <w:rPr>
                <w:rFonts w:ascii="Verdana" w:hAnsi="Verdana"/>
                <w:color w:val="7F7F7F" w:themeColor="text1" w:themeTint="80"/>
                <w:sz w:val="22"/>
                <w:szCs w:val="22"/>
                <w:lang w:val="en-US"/>
              </w:rPr>
              <w:t xml:space="preserve">of an </w:t>
            </w:r>
            <w:r w:rsidRPr="00D46B4C">
              <w:rPr>
                <w:rFonts w:ascii="Verdana" w:hAnsi="Verdana"/>
                <w:color w:val="7F7F7F" w:themeColor="text1" w:themeTint="80"/>
                <w:sz w:val="22"/>
                <w:szCs w:val="22"/>
                <w:lang w:val="en-US"/>
              </w:rPr>
              <w:t>effective group supervision.</w:t>
            </w:r>
          </w:p>
        </w:tc>
        <w:tc>
          <w:tcPr>
            <w:tcW w:w="483" w:type="pct"/>
            <w:tcBorders>
              <w:top w:val="single" w:sz="4" w:space="0" w:color="auto"/>
              <w:left w:val="single" w:sz="4" w:space="0" w:color="auto"/>
              <w:bottom w:val="single" w:sz="4" w:space="0" w:color="auto"/>
              <w:right w:val="single" w:sz="4" w:space="0" w:color="auto"/>
            </w:tcBorders>
          </w:tcPr>
          <w:p w14:paraId="440829A1" w14:textId="77777777" w:rsidR="006F5ECC" w:rsidRPr="00D46B4C" w:rsidRDefault="006F5ECC" w:rsidP="00020B14">
            <w:pPr>
              <w:tabs>
                <w:tab w:val="left" w:pos="0"/>
                <w:tab w:val="left" w:pos="4536"/>
              </w:tabs>
              <w:ind w:left="-96"/>
              <w:rPr>
                <w:color w:val="7F7F7F" w:themeColor="text1" w:themeTint="80"/>
                <w:sz w:val="22"/>
                <w:szCs w:val="22"/>
                <w:lang w:val="en-GB" w:eastAsia="fr-FR"/>
              </w:rPr>
            </w:pPr>
          </w:p>
        </w:tc>
      </w:tr>
      <w:tr w:rsidR="00FC5744" w:rsidRPr="001360A5" w14:paraId="7B4A9B3A"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C9C27D2" w14:textId="7E8DD3E7" w:rsidR="006F5ECC" w:rsidRPr="003B5D27"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0DB0AAFD" w14:textId="08C04CF2"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42</w:t>
            </w:r>
          </w:p>
        </w:tc>
        <w:tc>
          <w:tcPr>
            <w:tcW w:w="1999" w:type="pct"/>
            <w:tcBorders>
              <w:top w:val="single" w:sz="4" w:space="0" w:color="auto"/>
              <w:left w:val="single" w:sz="4" w:space="0" w:color="auto"/>
              <w:bottom w:val="single" w:sz="4" w:space="0" w:color="auto"/>
              <w:right w:val="single" w:sz="4" w:space="0" w:color="auto"/>
            </w:tcBorders>
            <w:vAlign w:val="center"/>
          </w:tcPr>
          <w:p w14:paraId="4D9C5D96" w14:textId="44C8CABB" w:rsidR="006F5ECC" w:rsidRPr="00F0251A" w:rsidRDefault="006F5ECC" w:rsidP="00020B14">
            <w:pPr>
              <w:tabs>
                <w:tab w:val="left" w:pos="0"/>
                <w:tab w:val="left" w:pos="4536"/>
              </w:tabs>
              <w:rPr>
                <w:rFonts w:ascii="Verdana" w:hAnsi="Verdana"/>
                <w:color w:val="7F7F7F" w:themeColor="text1" w:themeTint="80"/>
                <w:sz w:val="22"/>
                <w:szCs w:val="22"/>
                <w:lang w:val="en-US"/>
              </w:rPr>
            </w:pPr>
            <w:r>
              <w:rPr>
                <w:rFonts w:ascii="Verdana" w:hAnsi="Verdana"/>
                <w:color w:val="7F7F7F" w:themeColor="text1" w:themeTint="80"/>
                <w:sz w:val="22"/>
                <w:szCs w:val="22"/>
                <w:lang w:val="en-US"/>
              </w:rPr>
              <w:t>EIOPA proposes to allow</w:t>
            </w:r>
            <w:r w:rsidRPr="000D5250">
              <w:rPr>
                <w:rFonts w:ascii="Verdana" w:hAnsi="Verdana"/>
                <w:color w:val="7F7F7F" w:themeColor="text1" w:themeTint="80"/>
                <w:sz w:val="22"/>
                <w:szCs w:val="22"/>
                <w:lang w:val="en-US"/>
              </w:rPr>
              <w:t xml:space="preserve"> NSA</w:t>
            </w:r>
            <w:r>
              <w:rPr>
                <w:rFonts w:ascii="Verdana" w:hAnsi="Verdana"/>
                <w:color w:val="7F7F7F" w:themeColor="text1" w:themeTint="80"/>
                <w:sz w:val="22"/>
                <w:szCs w:val="22"/>
                <w:lang w:val="en-US"/>
              </w:rPr>
              <w:t>s</w:t>
            </w:r>
            <w:r w:rsidRPr="000D5250">
              <w:rPr>
                <w:rFonts w:ascii="Verdana" w:hAnsi="Verdana"/>
                <w:color w:val="7F7F7F" w:themeColor="text1" w:themeTint="80"/>
                <w:sz w:val="22"/>
                <w:szCs w:val="22"/>
                <w:lang w:val="en-US"/>
              </w:rPr>
              <w:t xml:space="preserve"> to require the establishment of an EU holding company or the establishment of an undertaking that exercises centralized coordination and dominant influence.</w:t>
            </w:r>
            <w:r w:rsidRPr="00F0251A">
              <w:rPr>
                <w:rFonts w:ascii="Verdana" w:hAnsi="Verdana"/>
                <w:color w:val="7F7F7F" w:themeColor="text1" w:themeTint="80"/>
                <w:sz w:val="22"/>
                <w:szCs w:val="22"/>
                <w:lang w:val="en-US"/>
              </w:rPr>
              <w:t xml:space="preserve"> We believe that </w:t>
            </w:r>
            <w:r w:rsidRPr="00D46B4C">
              <w:rPr>
                <w:rFonts w:ascii="Verdana" w:hAnsi="Verdana"/>
                <w:color w:val="7F7F7F" w:themeColor="text1" w:themeTint="80"/>
                <w:sz w:val="22"/>
                <w:szCs w:val="22"/>
                <w:lang w:val="en-US"/>
              </w:rPr>
              <w:t xml:space="preserve">the option is not proportionate to the scale of the issue mentioned. The </w:t>
            </w:r>
            <w:r w:rsidRPr="00D46B4C">
              <w:rPr>
                <w:rFonts w:ascii="Verdana" w:hAnsi="Verdana"/>
                <w:color w:val="7F7F7F" w:themeColor="text1" w:themeTint="80"/>
                <w:sz w:val="22"/>
                <w:szCs w:val="22"/>
                <w:lang w:val="en-US"/>
              </w:rPr>
              <w:lastRenderedPageBreak/>
              <w:t xml:space="preserve">creation of an EU holding entity will require many resources and </w:t>
            </w:r>
            <w:r w:rsidRPr="004C664A">
              <w:rPr>
                <w:rFonts w:ascii="Verdana" w:hAnsi="Verdana"/>
                <w:color w:val="7F7F7F" w:themeColor="text1" w:themeTint="80"/>
                <w:sz w:val="22"/>
                <w:szCs w:val="22"/>
                <w:lang w:val="en-US"/>
              </w:rPr>
              <w:t>ambiguity</w:t>
            </w:r>
            <w:r w:rsidRPr="00D46B4C">
              <w:rPr>
                <w:rFonts w:ascii="Verdana" w:hAnsi="Verdana"/>
                <w:color w:val="7F7F7F" w:themeColor="text1" w:themeTint="80"/>
                <w:sz w:val="22"/>
                <w:szCs w:val="22"/>
                <w:lang w:val="en-US"/>
              </w:rPr>
              <w:t>.</w:t>
            </w:r>
          </w:p>
        </w:tc>
        <w:tc>
          <w:tcPr>
            <w:tcW w:w="483" w:type="pct"/>
            <w:tcBorders>
              <w:top w:val="single" w:sz="4" w:space="0" w:color="auto"/>
              <w:left w:val="single" w:sz="4" w:space="0" w:color="auto"/>
              <w:bottom w:val="single" w:sz="4" w:space="0" w:color="auto"/>
              <w:right w:val="single" w:sz="4" w:space="0" w:color="auto"/>
            </w:tcBorders>
          </w:tcPr>
          <w:p w14:paraId="02BF2DBF" w14:textId="77777777" w:rsidR="006F5ECC" w:rsidRPr="00D46B4C" w:rsidRDefault="006F5ECC" w:rsidP="00020B14">
            <w:pPr>
              <w:tabs>
                <w:tab w:val="left" w:pos="0"/>
                <w:tab w:val="left" w:pos="4536"/>
              </w:tabs>
              <w:ind w:left="-96"/>
              <w:rPr>
                <w:color w:val="7F7F7F" w:themeColor="text1" w:themeTint="80"/>
                <w:sz w:val="22"/>
                <w:szCs w:val="22"/>
                <w:lang w:val="en-GB" w:eastAsia="fr-FR"/>
              </w:rPr>
            </w:pPr>
          </w:p>
        </w:tc>
      </w:tr>
      <w:tr w:rsidR="00FC5744" w:rsidRPr="001360A5" w14:paraId="62523FB7"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831EBAB" w14:textId="153C7744" w:rsidR="006F5ECC" w:rsidRPr="003B5D27"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2E2AE9BF" w14:textId="759BCAD3"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44</w:t>
            </w:r>
          </w:p>
        </w:tc>
        <w:tc>
          <w:tcPr>
            <w:tcW w:w="1999" w:type="pct"/>
            <w:tcBorders>
              <w:top w:val="single" w:sz="4" w:space="0" w:color="auto"/>
              <w:left w:val="single" w:sz="4" w:space="0" w:color="auto"/>
              <w:bottom w:val="single" w:sz="4" w:space="0" w:color="auto"/>
              <w:right w:val="single" w:sz="4" w:space="0" w:color="auto"/>
            </w:tcBorders>
            <w:vAlign w:val="center"/>
          </w:tcPr>
          <w:p w14:paraId="74C0E6A0" w14:textId="2CF4BFA1" w:rsidR="006F5ECC" w:rsidRPr="0003536E" w:rsidRDefault="006F5ECC" w:rsidP="00020B14">
            <w:pPr>
              <w:tabs>
                <w:tab w:val="left" w:pos="0"/>
                <w:tab w:val="left" w:pos="4536"/>
              </w:tabs>
              <w:spacing w:line="238" w:lineRule="auto"/>
              <w:ind w:right="120"/>
              <w:rPr>
                <w:b/>
                <w:bCs/>
                <w:color w:val="7F7F7F" w:themeColor="text1" w:themeTint="80"/>
                <w:sz w:val="22"/>
                <w:szCs w:val="22"/>
                <w:lang w:val="en-US"/>
              </w:rPr>
            </w:pPr>
            <w:r w:rsidRPr="0003536E">
              <w:rPr>
                <w:rFonts w:ascii="Verdana" w:eastAsia="Verdana" w:hAnsi="Verdana" w:cs="Verdana"/>
                <w:b/>
                <w:bCs/>
                <w:color w:val="7F7F7F" w:themeColor="text1" w:themeTint="80"/>
                <w:sz w:val="22"/>
                <w:szCs w:val="22"/>
                <w:lang w:val="en-US"/>
              </w:rPr>
              <w:t>Policy Option 3: Scope of groups</w:t>
            </w:r>
          </w:p>
          <w:p w14:paraId="3F560A25" w14:textId="34C20133" w:rsidR="006F5ECC" w:rsidRPr="00D46B4C" w:rsidRDefault="006F5ECC" w:rsidP="00020B14">
            <w:pPr>
              <w:tabs>
                <w:tab w:val="left" w:pos="0"/>
                <w:tab w:val="left" w:pos="4536"/>
              </w:tabs>
              <w:rPr>
                <w:rFonts w:ascii="Verdana" w:hAnsi="Verdana"/>
                <w:color w:val="7F7F7F" w:themeColor="text1" w:themeTint="80"/>
                <w:sz w:val="22"/>
                <w:szCs w:val="22"/>
                <w:lang w:val="en-GB" w:eastAsia="fr-FR"/>
              </w:rPr>
            </w:pPr>
            <w:r w:rsidRPr="00D46B4C">
              <w:rPr>
                <w:rFonts w:ascii="Verdana" w:hAnsi="Verdana"/>
                <w:color w:val="7F7F7F" w:themeColor="text1" w:themeTint="80"/>
                <w:sz w:val="22"/>
                <w:szCs w:val="22"/>
                <w:lang w:val="en-US"/>
              </w:rPr>
              <w:t xml:space="preserve">The scope is not based on accounting considerations, but on legal considerations. The % ownership of shares. IFRS </w:t>
            </w:r>
            <w:r>
              <w:rPr>
                <w:rFonts w:ascii="Verdana" w:hAnsi="Verdana"/>
                <w:color w:val="7F7F7F" w:themeColor="text1" w:themeTint="80"/>
                <w:sz w:val="22"/>
                <w:szCs w:val="22"/>
                <w:lang w:val="en-US"/>
              </w:rPr>
              <w:t>standards do not set</w:t>
            </w:r>
            <w:r w:rsidRPr="00D46B4C">
              <w:rPr>
                <w:rFonts w:ascii="Verdana" w:hAnsi="Verdana"/>
                <w:color w:val="7F7F7F" w:themeColor="text1" w:themeTint="80"/>
                <w:sz w:val="22"/>
                <w:szCs w:val="22"/>
                <w:lang w:val="en-US"/>
              </w:rPr>
              <w:t xml:space="preserve"> such absolute legal boundary</w:t>
            </w:r>
            <w:r>
              <w:rPr>
                <w:rFonts w:ascii="Verdana" w:hAnsi="Verdana"/>
                <w:color w:val="7F7F7F" w:themeColor="text1" w:themeTint="80"/>
                <w:sz w:val="22"/>
                <w:szCs w:val="22"/>
                <w:lang w:val="en-US"/>
              </w:rPr>
              <w:t xml:space="preserve"> </w:t>
            </w:r>
            <w:r w:rsidRPr="00D46B4C">
              <w:rPr>
                <w:rFonts w:ascii="Verdana" w:hAnsi="Verdana"/>
                <w:color w:val="7F7F7F" w:themeColor="text1" w:themeTint="80"/>
                <w:sz w:val="22"/>
                <w:szCs w:val="22"/>
                <w:lang w:val="en-US"/>
              </w:rPr>
              <w:t xml:space="preserve">but </w:t>
            </w:r>
            <w:r>
              <w:rPr>
                <w:rFonts w:ascii="Verdana" w:hAnsi="Verdana"/>
                <w:color w:val="7F7F7F" w:themeColor="text1" w:themeTint="80"/>
                <w:sz w:val="22"/>
                <w:szCs w:val="22"/>
                <w:lang w:val="en-US"/>
              </w:rPr>
              <w:t>instead it allows t</w:t>
            </w:r>
            <w:r w:rsidRPr="00D46B4C">
              <w:rPr>
                <w:rFonts w:ascii="Verdana" w:hAnsi="Verdana"/>
                <w:color w:val="7F7F7F" w:themeColor="text1" w:themeTint="80"/>
                <w:sz w:val="22"/>
                <w:szCs w:val="22"/>
                <w:lang w:val="en-US"/>
              </w:rPr>
              <w:t xml:space="preserve">he possibility to have dominant influence even if </w:t>
            </w:r>
            <w:r>
              <w:rPr>
                <w:rFonts w:ascii="Verdana" w:hAnsi="Verdana"/>
                <w:color w:val="7F7F7F" w:themeColor="text1" w:themeTint="80"/>
                <w:sz w:val="22"/>
                <w:szCs w:val="22"/>
                <w:lang w:val="en-US"/>
              </w:rPr>
              <w:t>undertaking does</w:t>
            </w:r>
            <w:r w:rsidRPr="00D46B4C">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hold</w:t>
            </w:r>
            <w:r w:rsidRPr="00D46B4C">
              <w:rPr>
                <w:rFonts w:ascii="Verdana" w:hAnsi="Verdana"/>
                <w:color w:val="7F7F7F" w:themeColor="text1" w:themeTint="80"/>
                <w:sz w:val="22"/>
                <w:szCs w:val="22"/>
                <w:lang w:val="en-US"/>
              </w:rPr>
              <w:t xml:space="preserve"> 20% of voting rights (directly and indirectly) and vice versa.</w:t>
            </w:r>
          </w:p>
        </w:tc>
        <w:tc>
          <w:tcPr>
            <w:tcW w:w="483" w:type="pct"/>
            <w:tcBorders>
              <w:top w:val="single" w:sz="4" w:space="0" w:color="auto"/>
              <w:left w:val="single" w:sz="4" w:space="0" w:color="auto"/>
              <w:bottom w:val="single" w:sz="4" w:space="0" w:color="auto"/>
              <w:right w:val="single" w:sz="4" w:space="0" w:color="auto"/>
            </w:tcBorders>
          </w:tcPr>
          <w:p w14:paraId="62D00B66" w14:textId="77777777" w:rsidR="006F5ECC" w:rsidRPr="00D46B4C" w:rsidRDefault="006F5ECC" w:rsidP="00020B14">
            <w:pPr>
              <w:tabs>
                <w:tab w:val="left" w:pos="0"/>
                <w:tab w:val="left" w:pos="4536"/>
              </w:tabs>
              <w:ind w:left="-96"/>
              <w:rPr>
                <w:color w:val="7F7F7F" w:themeColor="text1" w:themeTint="80"/>
                <w:sz w:val="22"/>
                <w:szCs w:val="22"/>
                <w:lang w:val="en-GB" w:eastAsia="fr-FR"/>
              </w:rPr>
            </w:pPr>
          </w:p>
        </w:tc>
      </w:tr>
      <w:tr w:rsidR="00FC5744" w:rsidRPr="001360A5" w14:paraId="71EB86C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8632C65" w14:textId="138A3A09"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5FAADB28" w14:textId="320BB88A" w:rsidR="006F5ECC" w:rsidRPr="00FC1EBA" w:rsidRDefault="006F5ECC" w:rsidP="00020B14">
            <w:pPr>
              <w:tabs>
                <w:tab w:val="left" w:pos="0"/>
                <w:tab w:val="left" w:pos="4536"/>
              </w:tabs>
              <w:ind w:left="-96"/>
              <w:rPr>
                <w:rFonts w:ascii="Verdana" w:hAnsi="Verdana"/>
                <w:color w:val="7F7F7F" w:themeColor="text1" w:themeTint="80"/>
                <w:sz w:val="22"/>
                <w:szCs w:val="22"/>
                <w:lang w:val="es-ES"/>
              </w:rPr>
            </w:pPr>
            <w:r>
              <w:rPr>
                <w:rFonts w:ascii="Verdana" w:hAnsi="Verdana"/>
                <w:color w:val="7F7F7F" w:themeColor="text1" w:themeTint="80"/>
                <w:sz w:val="22"/>
                <w:szCs w:val="22"/>
                <w:lang w:val="en-US"/>
              </w:rPr>
              <w:t>45</w:t>
            </w:r>
          </w:p>
        </w:tc>
        <w:tc>
          <w:tcPr>
            <w:tcW w:w="1999" w:type="pct"/>
            <w:tcBorders>
              <w:top w:val="single" w:sz="4" w:space="0" w:color="auto"/>
              <w:left w:val="single" w:sz="4" w:space="0" w:color="auto"/>
              <w:bottom w:val="single" w:sz="4" w:space="0" w:color="auto"/>
              <w:right w:val="single" w:sz="4" w:space="0" w:color="auto"/>
            </w:tcBorders>
            <w:vAlign w:val="center"/>
          </w:tcPr>
          <w:p w14:paraId="044B7F76" w14:textId="099F3AC6" w:rsidR="006F5ECC" w:rsidRPr="00823BC5"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 xml:space="preserve">If a look through is applied to subsidiaries, all assets </w:t>
            </w:r>
            <w:r>
              <w:rPr>
                <w:rFonts w:ascii="Verdana" w:hAnsi="Verdana"/>
                <w:color w:val="7F7F7F" w:themeColor="text1" w:themeTint="80"/>
                <w:sz w:val="22"/>
                <w:szCs w:val="22"/>
                <w:lang w:val="en-US"/>
              </w:rPr>
              <w:t xml:space="preserve">and </w:t>
            </w:r>
            <w:r w:rsidRPr="00D46B4C">
              <w:rPr>
                <w:rFonts w:ascii="Verdana" w:hAnsi="Verdana"/>
                <w:color w:val="7F7F7F" w:themeColor="text1" w:themeTint="80"/>
                <w:sz w:val="22"/>
                <w:szCs w:val="22"/>
                <w:lang w:val="en-US"/>
              </w:rPr>
              <w:t>liabilities are in included in the consolidated data.</w:t>
            </w:r>
            <w:r>
              <w:rPr>
                <w:rFonts w:ascii="Verdana" w:hAnsi="Verdana"/>
                <w:color w:val="7F7F7F" w:themeColor="text1" w:themeTint="80"/>
                <w:sz w:val="22"/>
                <w:szCs w:val="22"/>
                <w:lang w:val="en-US"/>
              </w:rPr>
              <w:t xml:space="preserve"> </w:t>
            </w:r>
            <w:r w:rsidRPr="00F632E4">
              <w:rPr>
                <w:rFonts w:ascii="Verdana" w:hAnsi="Verdana"/>
                <w:color w:val="7F7F7F" w:themeColor="text1" w:themeTint="80"/>
                <w:sz w:val="22"/>
                <w:szCs w:val="22"/>
                <w:lang w:val="en-US"/>
              </w:rPr>
              <w:t>Article 336 of the Delegated Regulation is amended so that the related undertakings are treated at group level in the same way that they are treated at solo level. This means that where there is look-through at solo level, there should be look-through at group level and where there is no look-through at solo level because of the simplification in Article 84(3) of the Delegated Regulation, then there is also no look-through at group level.</w:t>
            </w:r>
          </w:p>
          <w:p w14:paraId="38A67DC6" w14:textId="0B24227B" w:rsidR="006F5ECC" w:rsidRPr="00D46B4C" w:rsidRDefault="006F5ECC" w:rsidP="00020B14">
            <w:pPr>
              <w:tabs>
                <w:tab w:val="left" w:pos="0"/>
                <w:tab w:val="left" w:pos="4536"/>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6633F283" w14:textId="0553A831" w:rsidR="006F5ECC" w:rsidRPr="000D5250" w:rsidRDefault="006F5ECC" w:rsidP="00020B14">
            <w:pPr>
              <w:tabs>
                <w:tab w:val="left" w:pos="0"/>
                <w:tab w:val="left" w:pos="4536"/>
              </w:tabs>
              <w:ind w:left="-96"/>
              <w:rPr>
                <w:rFonts w:ascii="Verdana" w:hAnsi="Verdana"/>
                <w:color w:val="7F7F7F" w:themeColor="text1" w:themeTint="80"/>
                <w:sz w:val="22"/>
                <w:szCs w:val="22"/>
                <w:lang w:val="en-GB" w:eastAsia="fr-FR"/>
              </w:rPr>
            </w:pPr>
          </w:p>
        </w:tc>
      </w:tr>
      <w:tr w:rsidR="00FC5744" w:rsidRPr="007019BB" w14:paraId="5CDEAB73"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39E2514" w14:textId="22582784"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150177AA" w14:textId="6E782CC2"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46</w:t>
            </w:r>
          </w:p>
        </w:tc>
        <w:tc>
          <w:tcPr>
            <w:tcW w:w="1999" w:type="pct"/>
            <w:tcBorders>
              <w:top w:val="single" w:sz="4" w:space="0" w:color="auto"/>
              <w:left w:val="single" w:sz="4" w:space="0" w:color="auto"/>
              <w:bottom w:val="single" w:sz="4" w:space="0" w:color="auto"/>
              <w:right w:val="single" w:sz="4" w:space="0" w:color="auto"/>
            </w:tcBorders>
            <w:vAlign w:val="center"/>
          </w:tcPr>
          <w:p w14:paraId="0C4ABA2B" w14:textId="3CD48A90" w:rsidR="006F5ECC" w:rsidRPr="0003536E" w:rsidRDefault="006F5ECC" w:rsidP="00020B14">
            <w:pPr>
              <w:tabs>
                <w:tab w:val="left" w:pos="0"/>
                <w:tab w:val="left" w:pos="4536"/>
              </w:tabs>
              <w:rPr>
                <w:rFonts w:ascii="Verdana" w:hAnsi="Verdana"/>
                <w:b/>
                <w:bCs/>
                <w:color w:val="7F7F7F" w:themeColor="text1" w:themeTint="80"/>
                <w:sz w:val="22"/>
                <w:szCs w:val="22"/>
                <w:lang w:val="en-US"/>
              </w:rPr>
            </w:pPr>
            <w:r>
              <w:rPr>
                <w:rFonts w:ascii="Verdana" w:hAnsi="Verdana"/>
                <w:b/>
                <w:bCs/>
                <w:color w:val="7F7F7F" w:themeColor="text1" w:themeTint="80"/>
                <w:sz w:val="22"/>
                <w:szCs w:val="22"/>
                <w:lang w:val="en-US"/>
              </w:rPr>
              <w:t>EIOPA’s Advice on Policy Issue 1: Article 212 of the Solvency II Directive and identification of groups</w:t>
            </w:r>
          </w:p>
          <w:p w14:paraId="46A84D85" w14:textId="70C048FB" w:rsidR="006F5ECC" w:rsidRDefault="006F5ECC" w:rsidP="00020B14">
            <w:pPr>
              <w:tabs>
                <w:tab w:val="left" w:pos="0"/>
                <w:tab w:val="left" w:pos="4536"/>
              </w:tabs>
              <w:rPr>
                <w:rFonts w:ascii="Verdana" w:hAnsi="Verdana"/>
                <w:color w:val="7F7F7F" w:themeColor="text1" w:themeTint="80"/>
                <w:sz w:val="22"/>
                <w:szCs w:val="22"/>
                <w:lang w:val="en-US"/>
              </w:rPr>
            </w:pPr>
            <w:r w:rsidRPr="0003536E">
              <w:rPr>
                <w:rFonts w:ascii="Verdana" w:hAnsi="Verdana"/>
                <w:color w:val="7F7F7F" w:themeColor="text1" w:themeTint="80"/>
                <w:sz w:val="22"/>
                <w:szCs w:val="22"/>
                <w:lang w:val="en-US"/>
              </w:rPr>
              <w:t>We disagree with the p</w:t>
            </w:r>
            <w:r>
              <w:rPr>
                <w:rFonts w:ascii="Verdana" w:hAnsi="Verdana"/>
                <w:color w:val="7F7F7F" w:themeColor="text1" w:themeTint="80"/>
                <w:sz w:val="22"/>
                <w:szCs w:val="22"/>
                <w:lang w:val="en-US"/>
              </w:rPr>
              <w:t>roposal to amend Article 212 of the Solvency II Directive to allow further supervisory flexibility. Article 212(1) © (ii) of the Solvency II Directive already provides that a “group” means a group of undertakings that is based on the establishment, contractually or otherwise, of strong and sustainable financial relationships among those undertakings. EIOPA’s tentative to clarify the regulation does not arise from identified issues and the regulation already provides enough flexibility for NSAs to assess whether undertakings are managed on a unified basis.</w:t>
            </w:r>
          </w:p>
          <w:p w14:paraId="00447D3E" w14:textId="77777777" w:rsidR="006F5ECC" w:rsidRDefault="006F5ECC" w:rsidP="00020B14">
            <w:pPr>
              <w:tabs>
                <w:tab w:val="left" w:pos="0"/>
                <w:tab w:val="left" w:pos="4536"/>
              </w:tabs>
              <w:rPr>
                <w:rFonts w:ascii="Verdana" w:hAnsi="Verdana"/>
                <w:color w:val="7F7F7F" w:themeColor="text1" w:themeTint="80"/>
                <w:sz w:val="22"/>
                <w:szCs w:val="22"/>
                <w:lang w:val="en-US"/>
              </w:rPr>
            </w:pPr>
          </w:p>
          <w:p w14:paraId="5E8572D6" w14:textId="77777777" w:rsidR="006F5ECC" w:rsidRPr="0003536E" w:rsidRDefault="006F5ECC" w:rsidP="00020B14">
            <w:pPr>
              <w:tabs>
                <w:tab w:val="left" w:pos="0"/>
                <w:tab w:val="left" w:pos="4536"/>
              </w:tabs>
              <w:rPr>
                <w:rFonts w:ascii="Verdana" w:hAnsi="Verdana"/>
                <w:color w:val="7F7F7F" w:themeColor="text1" w:themeTint="80"/>
                <w:sz w:val="22"/>
                <w:szCs w:val="22"/>
                <w:lang w:val="en-US"/>
              </w:rPr>
            </w:pPr>
            <w:r w:rsidRPr="0003536E">
              <w:rPr>
                <w:rFonts w:ascii="Verdana" w:hAnsi="Verdana"/>
                <w:color w:val="7F7F7F" w:themeColor="text1" w:themeTint="80"/>
                <w:sz w:val="22"/>
                <w:szCs w:val="22"/>
                <w:lang w:val="en-US"/>
              </w:rPr>
              <w:lastRenderedPageBreak/>
              <w:t>Definitions should be clear enough to allow undertakings in advance to assess the consequences of business decisions, definitions should also be as consistent as possible with other European regulations, in this context for example with the European Accounting Directive and also with banking and financial conglomerates regulations. Overall, there is no need for further clarification.</w:t>
            </w:r>
          </w:p>
          <w:p w14:paraId="745870EC" w14:textId="41B2B7DD" w:rsidR="006F5ECC" w:rsidRPr="00D46B4C" w:rsidRDefault="006F5ECC" w:rsidP="00020B14">
            <w:pPr>
              <w:tabs>
                <w:tab w:val="left" w:pos="0"/>
                <w:tab w:val="left" w:pos="4536"/>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7FF10877" w14:textId="77777777" w:rsidR="006F5ECC" w:rsidRPr="00D46B4C" w:rsidRDefault="006F5ECC" w:rsidP="00020B14">
            <w:pPr>
              <w:tabs>
                <w:tab w:val="left" w:pos="0"/>
                <w:tab w:val="left" w:pos="4536"/>
              </w:tabs>
              <w:ind w:left="-96"/>
              <w:rPr>
                <w:color w:val="7F7F7F" w:themeColor="text1" w:themeTint="80"/>
                <w:sz w:val="22"/>
                <w:szCs w:val="22"/>
                <w:lang w:val="en-GB" w:eastAsia="fr-FR"/>
              </w:rPr>
            </w:pPr>
          </w:p>
        </w:tc>
      </w:tr>
      <w:tr w:rsidR="00FC5744" w:rsidRPr="00D53D4E" w14:paraId="01E2F698"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5643C1B" w14:textId="53748141"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5162D623" w14:textId="162E2F69"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47</w:t>
            </w:r>
          </w:p>
        </w:tc>
        <w:tc>
          <w:tcPr>
            <w:tcW w:w="1999" w:type="pct"/>
            <w:tcBorders>
              <w:top w:val="single" w:sz="4" w:space="0" w:color="auto"/>
              <w:left w:val="single" w:sz="4" w:space="0" w:color="auto"/>
              <w:bottom w:val="single" w:sz="4" w:space="0" w:color="auto"/>
              <w:right w:val="single" w:sz="4" w:space="0" w:color="auto"/>
            </w:tcBorders>
            <w:vAlign w:val="center"/>
          </w:tcPr>
          <w:p w14:paraId="57BDDFFE" w14:textId="07C1E5B4" w:rsidR="006F5ECC" w:rsidRPr="0003536E" w:rsidRDefault="006F5ECC" w:rsidP="00020B14">
            <w:pPr>
              <w:tabs>
                <w:tab w:val="left" w:pos="0"/>
                <w:tab w:val="left" w:pos="4536"/>
              </w:tabs>
              <w:rPr>
                <w:rFonts w:ascii="Verdana" w:hAnsi="Verdana"/>
                <w:color w:val="7F7F7F" w:themeColor="text1" w:themeTint="80"/>
                <w:sz w:val="22"/>
                <w:szCs w:val="22"/>
                <w:lang w:val="en-GB" w:eastAsia="fr-FR"/>
              </w:rPr>
            </w:pPr>
            <w:r w:rsidRPr="0003536E">
              <w:rPr>
                <w:rFonts w:ascii="Verdana" w:hAnsi="Verdana"/>
                <w:color w:val="7F7F7F" w:themeColor="text1" w:themeTint="80"/>
                <w:sz w:val="22"/>
                <w:szCs w:val="22"/>
                <w:lang w:val="en-US"/>
              </w:rPr>
              <w:t>See comments to paragraph 9.37</w:t>
            </w:r>
          </w:p>
        </w:tc>
        <w:tc>
          <w:tcPr>
            <w:tcW w:w="483" w:type="pct"/>
            <w:tcBorders>
              <w:top w:val="single" w:sz="4" w:space="0" w:color="auto"/>
              <w:left w:val="single" w:sz="4" w:space="0" w:color="auto"/>
              <w:bottom w:val="single" w:sz="4" w:space="0" w:color="auto"/>
              <w:right w:val="single" w:sz="4" w:space="0" w:color="auto"/>
            </w:tcBorders>
          </w:tcPr>
          <w:p w14:paraId="2A4706F7" w14:textId="77777777" w:rsidR="006F5ECC" w:rsidRPr="00D46B4C" w:rsidRDefault="006F5ECC" w:rsidP="00020B14">
            <w:pPr>
              <w:tabs>
                <w:tab w:val="left" w:pos="0"/>
                <w:tab w:val="left" w:pos="4536"/>
              </w:tabs>
              <w:ind w:left="-96"/>
              <w:rPr>
                <w:color w:val="7F7F7F" w:themeColor="text1" w:themeTint="80"/>
                <w:sz w:val="22"/>
                <w:szCs w:val="22"/>
                <w:lang w:val="en-GB" w:eastAsia="fr-FR"/>
              </w:rPr>
            </w:pPr>
          </w:p>
        </w:tc>
      </w:tr>
      <w:tr w:rsidR="00FC5744" w:rsidRPr="001360A5" w14:paraId="56E0B1C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B1AD5EB" w14:textId="04DD82D9"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4F8D9B1F" w14:textId="0BA3BC64"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48</w:t>
            </w:r>
          </w:p>
        </w:tc>
        <w:tc>
          <w:tcPr>
            <w:tcW w:w="1999" w:type="pct"/>
            <w:tcBorders>
              <w:top w:val="single" w:sz="4" w:space="0" w:color="auto"/>
              <w:left w:val="single" w:sz="4" w:space="0" w:color="auto"/>
              <w:bottom w:val="single" w:sz="4" w:space="0" w:color="auto"/>
              <w:right w:val="single" w:sz="4" w:space="0" w:color="auto"/>
            </w:tcBorders>
            <w:vAlign w:val="center"/>
          </w:tcPr>
          <w:p w14:paraId="080DD644" w14:textId="2FE5F648" w:rsidR="006F5ECC" w:rsidRPr="0003536E" w:rsidRDefault="006F5ECC" w:rsidP="00020B14">
            <w:pPr>
              <w:tabs>
                <w:tab w:val="left" w:pos="0"/>
                <w:tab w:val="left" w:pos="4536"/>
              </w:tabs>
              <w:rPr>
                <w:rFonts w:ascii="Verdana" w:hAnsi="Verdana"/>
                <w:color w:val="7F7F7F" w:themeColor="text1" w:themeTint="80"/>
                <w:sz w:val="22"/>
                <w:szCs w:val="22"/>
                <w:lang w:val="en-GB"/>
              </w:rPr>
            </w:pPr>
            <w:r w:rsidRPr="0003536E">
              <w:rPr>
                <w:rFonts w:ascii="Verdana" w:hAnsi="Verdana"/>
                <w:color w:val="7F7F7F" w:themeColor="text1" w:themeTint="80"/>
                <w:sz w:val="22"/>
                <w:szCs w:val="22"/>
                <w:lang w:val="en-GB"/>
              </w:rPr>
              <w:t>We oppose EIOPA’s advice to provide NSAs the power to restructure groups. The pursued goal is unclear, as NSAs already have the power to consider as a group undertaking acting with a centralised coordination in Article 212 (see comments on §46 &amp; 48).</w:t>
            </w:r>
          </w:p>
          <w:p w14:paraId="15E1A421" w14:textId="30C2CE9D" w:rsidR="006F5ECC" w:rsidRPr="0003536E" w:rsidRDefault="006F5ECC" w:rsidP="00020B14">
            <w:pPr>
              <w:tabs>
                <w:tab w:val="left" w:pos="0"/>
                <w:tab w:val="left" w:pos="4536"/>
              </w:tabs>
              <w:rPr>
                <w:color w:val="7F7F7F" w:themeColor="text1" w:themeTint="80"/>
                <w:lang w:val="en-GB"/>
              </w:rPr>
            </w:pPr>
          </w:p>
          <w:p w14:paraId="0C624D06" w14:textId="77777777" w:rsidR="006F5ECC" w:rsidRPr="0003536E" w:rsidRDefault="006F5ECC" w:rsidP="00020B14">
            <w:pPr>
              <w:tabs>
                <w:tab w:val="left" w:pos="0"/>
                <w:tab w:val="left" w:pos="4536"/>
              </w:tabs>
              <w:rPr>
                <w:rFonts w:ascii="Verdana" w:hAnsi="Verdana"/>
                <w:color w:val="7F7F7F" w:themeColor="text1" w:themeTint="80"/>
                <w:sz w:val="22"/>
                <w:szCs w:val="22"/>
                <w:lang w:val="en-GB"/>
              </w:rPr>
            </w:pPr>
            <w:r w:rsidRPr="0003536E">
              <w:rPr>
                <w:rFonts w:ascii="Verdana" w:hAnsi="Verdana"/>
                <w:color w:val="7F7F7F" w:themeColor="text1" w:themeTint="80"/>
                <w:sz w:val="22"/>
                <w:szCs w:val="22"/>
                <w:lang w:val="en-GB"/>
              </w:rPr>
              <w:t>The structuring of groups should remain a management decision. In general, NSAs should not be empowered to force groups to restructure themselves for the purpose of supervision. Only extreme situations could justify such significant interventions. In these cases, other legal framework conditions such as corporate law must be taken into consideration by NSAs. The legal process must be applicable to the supervised undertakings, which is especially important for groups with undertakings in several jurisdictions.</w:t>
            </w:r>
          </w:p>
          <w:p w14:paraId="2720F043" w14:textId="77777777" w:rsidR="006F5ECC" w:rsidRPr="0003536E" w:rsidRDefault="006F5ECC" w:rsidP="00020B14">
            <w:pPr>
              <w:tabs>
                <w:tab w:val="left" w:pos="0"/>
                <w:tab w:val="left" w:pos="4536"/>
              </w:tabs>
              <w:rPr>
                <w:rFonts w:ascii="Verdana" w:hAnsi="Verdana"/>
                <w:color w:val="7F7F7F" w:themeColor="text1" w:themeTint="80"/>
                <w:sz w:val="22"/>
                <w:szCs w:val="22"/>
                <w:lang w:val="en-GB"/>
              </w:rPr>
            </w:pPr>
          </w:p>
          <w:p w14:paraId="33F37BC6" w14:textId="3EB0FE84" w:rsidR="006F5ECC" w:rsidRPr="0003536E" w:rsidRDefault="006F5ECC" w:rsidP="00020B14">
            <w:pPr>
              <w:tabs>
                <w:tab w:val="left" w:pos="0"/>
                <w:tab w:val="left" w:pos="4536"/>
              </w:tabs>
              <w:rPr>
                <w:rFonts w:ascii="Verdana" w:hAnsi="Verdana"/>
                <w:color w:val="7F7F7F" w:themeColor="text1" w:themeTint="80"/>
                <w:sz w:val="22"/>
                <w:szCs w:val="22"/>
                <w:lang w:val="en-GB"/>
              </w:rPr>
            </w:pPr>
            <w:r w:rsidRPr="0003536E">
              <w:rPr>
                <w:rFonts w:ascii="Verdana" w:hAnsi="Verdana"/>
                <w:color w:val="7F7F7F" w:themeColor="text1" w:themeTint="80"/>
                <w:sz w:val="22"/>
                <w:szCs w:val="22"/>
                <w:lang w:val="en-GB"/>
              </w:rPr>
              <w:t xml:space="preserve">Providing NSAs the power to require a legal restructuring of the groups seems unjustified and not proportionate. The current framework has sufficient possibilities to be able to exercise effective (group) supervision </w:t>
            </w:r>
          </w:p>
          <w:p w14:paraId="0684E3AF" w14:textId="1BBCBBF3" w:rsidR="006F5ECC" w:rsidRPr="0003536E" w:rsidRDefault="006F5ECC" w:rsidP="00020B14">
            <w:pPr>
              <w:tabs>
                <w:tab w:val="left" w:pos="0"/>
                <w:tab w:val="left" w:pos="4536"/>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331F67DF" w14:textId="77777777" w:rsidR="006F5ECC" w:rsidRPr="00D46B4C" w:rsidRDefault="006F5ECC" w:rsidP="00020B14">
            <w:pPr>
              <w:tabs>
                <w:tab w:val="left" w:pos="0"/>
                <w:tab w:val="left" w:pos="4536"/>
              </w:tabs>
              <w:ind w:left="-96"/>
              <w:rPr>
                <w:color w:val="7F7F7F" w:themeColor="text1" w:themeTint="80"/>
                <w:sz w:val="22"/>
                <w:szCs w:val="22"/>
                <w:lang w:val="en-GB" w:eastAsia="fr-FR"/>
              </w:rPr>
            </w:pPr>
          </w:p>
        </w:tc>
      </w:tr>
      <w:tr w:rsidR="00FC5744" w:rsidRPr="001360A5" w14:paraId="0711A56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511CC82" w14:textId="237EF151"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16DF5233" w14:textId="0A9F6EED"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49</w:t>
            </w:r>
          </w:p>
        </w:tc>
        <w:tc>
          <w:tcPr>
            <w:tcW w:w="1999" w:type="pct"/>
            <w:tcBorders>
              <w:top w:val="single" w:sz="4" w:space="0" w:color="auto"/>
              <w:left w:val="single" w:sz="4" w:space="0" w:color="auto"/>
              <w:bottom w:val="single" w:sz="4" w:space="0" w:color="auto"/>
              <w:right w:val="single" w:sz="4" w:space="0" w:color="auto"/>
            </w:tcBorders>
            <w:vAlign w:val="center"/>
          </w:tcPr>
          <w:p w14:paraId="4453E215" w14:textId="0755EF9E" w:rsidR="006F5ECC" w:rsidRPr="0003536E" w:rsidRDefault="006F5ECC" w:rsidP="00020B14">
            <w:pPr>
              <w:tabs>
                <w:tab w:val="left" w:pos="0"/>
                <w:tab w:val="left" w:pos="4536"/>
              </w:tabs>
              <w:rPr>
                <w:rFonts w:ascii="Verdana" w:hAnsi="Verdana"/>
                <w:b/>
                <w:bCs/>
                <w:color w:val="7F7F7F" w:themeColor="text1" w:themeTint="80"/>
                <w:sz w:val="22"/>
                <w:szCs w:val="22"/>
                <w:lang w:val="en-US"/>
              </w:rPr>
            </w:pPr>
            <w:r>
              <w:rPr>
                <w:rFonts w:ascii="Verdana" w:hAnsi="Verdana"/>
                <w:b/>
                <w:bCs/>
                <w:color w:val="7F7F7F" w:themeColor="text1" w:themeTint="80"/>
                <w:sz w:val="22"/>
                <w:szCs w:val="22"/>
                <w:lang w:val="en-US"/>
              </w:rPr>
              <w:t>EIOPA’s Advice on Policy Issue 2: Article 213 of the SII Directive and application of group supervision</w:t>
            </w:r>
          </w:p>
          <w:p w14:paraId="10612022" w14:textId="67FD6040" w:rsidR="006F5ECC" w:rsidRPr="00D46B4C" w:rsidRDefault="006F5ECC" w:rsidP="00020B14">
            <w:pPr>
              <w:tabs>
                <w:tab w:val="left" w:pos="0"/>
                <w:tab w:val="left" w:pos="4536"/>
              </w:tabs>
              <w:rPr>
                <w:rFonts w:ascii="Verdana" w:hAnsi="Verdana"/>
                <w:color w:val="7F7F7F" w:themeColor="text1" w:themeTint="80"/>
                <w:sz w:val="22"/>
                <w:szCs w:val="22"/>
                <w:lang w:val="en-GB" w:eastAsia="fr-FR"/>
              </w:rPr>
            </w:pPr>
            <w:r w:rsidRPr="00D46B4C">
              <w:rPr>
                <w:rFonts w:ascii="Verdana" w:hAnsi="Verdana"/>
                <w:color w:val="7F7F7F" w:themeColor="text1" w:themeTint="80"/>
                <w:sz w:val="22"/>
                <w:szCs w:val="22"/>
                <w:lang w:val="en-US"/>
              </w:rPr>
              <w:lastRenderedPageBreak/>
              <w:t xml:space="preserve">We do not feel it is justified to provide the supervisory authorities the power to require a legal restructuring of the groups. In our opinion, the Solvency II legislation </w:t>
            </w:r>
            <w:r>
              <w:rPr>
                <w:rFonts w:ascii="Verdana" w:hAnsi="Verdana"/>
                <w:color w:val="7F7F7F" w:themeColor="text1" w:themeTint="80"/>
                <w:sz w:val="22"/>
                <w:szCs w:val="22"/>
                <w:lang w:val="en-US"/>
              </w:rPr>
              <w:t>allows the effective e</w:t>
            </w:r>
            <w:r w:rsidRPr="00D46B4C">
              <w:rPr>
                <w:rFonts w:ascii="Verdana" w:hAnsi="Verdana"/>
                <w:color w:val="7F7F7F" w:themeColor="text1" w:themeTint="80"/>
                <w:sz w:val="22"/>
                <w:szCs w:val="22"/>
                <w:lang w:val="en-US"/>
              </w:rPr>
              <w:t xml:space="preserve">xercise </w:t>
            </w:r>
            <w:r>
              <w:rPr>
                <w:rFonts w:ascii="Verdana" w:hAnsi="Verdana"/>
                <w:color w:val="7F7F7F" w:themeColor="text1" w:themeTint="80"/>
                <w:sz w:val="22"/>
                <w:szCs w:val="22"/>
                <w:lang w:val="en-US"/>
              </w:rPr>
              <w:t>of</w:t>
            </w:r>
            <w:r w:rsidRPr="00D46B4C">
              <w:rPr>
                <w:rFonts w:ascii="Verdana" w:hAnsi="Verdana"/>
                <w:color w:val="7F7F7F" w:themeColor="text1" w:themeTint="80"/>
                <w:sz w:val="22"/>
                <w:szCs w:val="22"/>
                <w:lang w:val="en-US"/>
              </w:rPr>
              <w:t xml:space="preserve"> (group) supervision.</w:t>
            </w:r>
          </w:p>
        </w:tc>
        <w:tc>
          <w:tcPr>
            <w:tcW w:w="483" w:type="pct"/>
            <w:tcBorders>
              <w:top w:val="single" w:sz="4" w:space="0" w:color="auto"/>
              <w:left w:val="single" w:sz="4" w:space="0" w:color="auto"/>
              <w:bottom w:val="single" w:sz="4" w:space="0" w:color="auto"/>
              <w:right w:val="single" w:sz="4" w:space="0" w:color="auto"/>
            </w:tcBorders>
          </w:tcPr>
          <w:p w14:paraId="791A7544" w14:textId="77777777" w:rsidR="006F5ECC" w:rsidRPr="00D46B4C" w:rsidRDefault="006F5ECC" w:rsidP="00020B14">
            <w:pPr>
              <w:tabs>
                <w:tab w:val="left" w:pos="0"/>
                <w:tab w:val="left" w:pos="4536"/>
              </w:tabs>
              <w:ind w:left="-96"/>
              <w:rPr>
                <w:color w:val="7F7F7F" w:themeColor="text1" w:themeTint="80"/>
                <w:sz w:val="22"/>
                <w:szCs w:val="22"/>
                <w:lang w:val="en-GB" w:eastAsia="fr-FR"/>
              </w:rPr>
            </w:pPr>
          </w:p>
        </w:tc>
      </w:tr>
      <w:tr w:rsidR="006F5ECC" w:rsidRPr="001360A5" w14:paraId="25C8BA9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1418" w:type="pct"/>
          <w:trHeight w:val="300"/>
        </w:trPr>
        <w:tc>
          <w:tcPr>
            <w:tcW w:w="3582" w:type="pct"/>
            <w:gridSpan w:val="6"/>
            <w:tcBorders>
              <w:top w:val="single" w:sz="4" w:space="0" w:color="auto"/>
              <w:left w:val="single" w:sz="4" w:space="0" w:color="auto"/>
              <w:bottom w:val="single" w:sz="4" w:space="0" w:color="auto"/>
              <w:right w:val="single" w:sz="4" w:space="0" w:color="auto"/>
            </w:tcBorders>
            <w:shd w:val="clear" w:color="auto" w:fill="auto"/>
            <w:noWrap/>
          </w:tcPr>
          <w:p w14:paraId="734128D7" w14:textId="296E54EB" w:rsidR="006F5ECC" w:rsidRPr="0003536E" w:rsidRDefault="006F5ECC" w:rsidP="00020B14">
            <w:pPr>
              <w:tabs>
                <w:tab w:val="left" w:pos="0"/>
                <w:tab w:val="left" w:pos="4536"/>
              </w:tabs>
              <w:rPr>
                <w:rFonts w:ascii="Verdana" w:hAnsi="Verdana"/>
                <w:b/>
                <w:bCs/>
                <w:color w:val="7F7F7F" w:themeColor="text1" w:themeTint="80"/>
                <w:sz w:val="22"/>
                <w:szCs w:val="22"/>
                <w:lang w:val="en-GB" w:eastAsia="fr-FR"/>
              </w:rPr>
            </w:pPr>
            <w:r w:rsidRPr="0003536E">
              <w:rPr>
                <w:rFonts w:ascii="Verdana" w:hAnsi="Verdana"/>
                <w:b/>
                <w:bCs/>
                <w:color w:val="7F7F7F" w:themeColor="text1" w:themeTint="80"/>
                <w:sz w:val="22"/>
                <w:szCs w:val="22"/>
                <w:lang w:val="en-GB" w:eastAsia="fr-FR"/>
              </w:rPr>
              <w:t>9.3.2 Definition of Insurance Holding Companies and other challenges</w:t>
            </w:r>
          </w:p>
        </w:tc>
      </w:tr>
      <w:tr w:rsidR="00FC5744" w:rsidRPr="001360A5" w14:paraId="005E636A"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B02D88D" w14:textId="30140632"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473A704A" w14:textId="7463572D"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55</w:t>
            </w:r>
          </w:p>
        </w:tc>
        <w:tc>
          <w:tcPr>
            <w:tcW w:w="1999" w:type="pct"/>
            <w:tcBorders>
              <w:top w:val="single" w:sz="4" w:space="0" w:color="auto"/>
              <w:left w:val="single" w:sz="4" w:space="0" w:color="auto"/>
              <w:bottom w:val="single" w:sz="4" w:space="0" w:color="auto"/>
              <w:right w:val="single" w:sz="4" w:space="0" w:color="auto"/>
            </w:tcBorders>
            <w:vAlign w:val="center"/>
          </w:tcPr>
          <w:p w14:paraId="7E85728E" w14:textId="026D5878" w:rsidR="006F5ECC" w:rsidRPr="0003536E" w:rsidRDefault="006F5ECC" w:rsidP="00020B14">
            <w:pPr>
              <w:tabs>
                <w:tab w:val="left" w:pos="0"/>
                <w:tab w:val="left" w:pos="4536"/>
              </w:tabs>
              <w:rPr>
                <w:rFonts w:ascii="Verdana" w:hAnsi="Verdana"/>
                <w:b/>
                <w:bCs/>
                <w:color w:val="7F7F7F" w:themeColor="text1" w:themeTint="80"/>
                <w:sz w:val="22"/>
                <w:szCs w:val="22"/>
                <w:lang w:val="en-US"/>
              </w:rPr>
            </w:pPr>
            <w:r>
              <w:rPr>
                <w:rFonts w:ascii="Verdana" w:hAnsi="Verdana"/>
                <w:b/>
                <w:bCs/>
                <w:color w:val="7F7F7F" w:themeColor="text1" w:themeTint="80"/>
                <w:sz w:val="22"/>
                <w:szCs w:val="22"/>
                <w:lang w:val="en-US"/>
              </w:rPr>
              <w:t xml:space="preserve">Policy Issue 1: </w:t>
            </w:r>
            <w:r w:rsidRPr="0003536E">
              <w:rPr>
                <w:rFonts w:ascii="Verdana" w:hAnsi="Verdana"/>
                <w:b/>
                <w:bCs/>
                <w:color w:val="7F7F7F" w:themeColor="text1" w:themeTint="80"/>
                <w:sz w:val="22"/>
                <w:szCs w:val="22"/>
                <w:lang w:val="en-US"/>
              </w:rPr>
              <w:t>Definition of Holding Companies</w:t>
            </w:r>
          </w:p>
          <w:p w14:paraId="27F2A345" w14:textId="779E1685" w:rsidR="006F5ECC" w:rsidRPr="00D46B4C" w:rsidRDefault="006F5ECC" w:rsidP="00020B14">
            <w:pPr>
              <w:tabs>
                <w:tab w:val="left" w:pos="0"/>
                <w:tab w:val="left" w:pos="4536"/>
              </w:tabs>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US"/>
              </w:rPr>
              <w:t xml:space="preserve">EIOPA points out that </w:t>
            </w:r>
            <w:r w:rsidRPr="00FC1EBA">
              <w:rPr>
                <w:rFonts w:ascii="Verdana" w:hAnsi="Verdana"/>
                <w:color w:val="7F7F7F" w:themeColor="text1" w:themeTint="80"/>
                <w:sz w:val="22"/>
                <w:szCs w:val="22"/>
                <w:lang w:val="en-US"/>
              </w:rPr>
              <w:t>Article 212 of the Solvency II Directive does not provide additional explanation of the meaning of 'exclusively or mainly' in the definition of IHC</w:t>
            </w:r>
            <w:r>
              <w:rPr>
                <w:rFonts w:ascii="Verdana" w:hAnsi="Verdana"/>
                <w:color w:val="7F7F7F" w:themeColor="text1" w:themeTint="80"/>
                <w:sz w:val="22"/>
                <w:szCs w:val="22"/>
                <w:lang w:val="en-US"/>
              </w:rPr>
              <w:t>. However, w</w:t>
            </w:r>
            <w:r w:rsidRPr="00D46B4C">
              <w:rPr>
                <w:rFonts w:ascii="Verdana" w:hAnsi="Verdana"/>
                <w:color w:val="7F7F7F" w:themeColor="text1" w:themeTint="80"/>
                <w:sz w:val="22"/>
                <w:szCs w:val="22"/>
                <w:lang w:val="en-US"/>
              </w:rPr>
              <w:t>e are not aware of any problems with th</w:t>
            </w:r>
            <w:r>
              <w:rPr>
                <w:rFonts w:ascii="Verdana" w:hAnsi="Verdana"/>
                <w:color w:val="7F7F7F" w:themeColor="text1" w:themeTint="80"/>
                <w:sz w:val="22"/>
                <w:szCs w:val="22"/>
                <w:lang w:val="en-US"/>
              </w:rPr>
              <w:t>is</w:t>
            </w:r>
            <w:r w:rsidRPr="00D46B4C">
              <w:rPr>
                <w:rFonts w:ascii="Verdana" w:hAnsi="Verdana"/>
                <w:color w:val="7F7F7F" w:themeColor="text1" w:themeTint="80"/>
                <w:sz w:val="22"/>
                <w:szCs w:val="22"/>
                <w:lang w:val="en-US"/>
              </w:rPr>
              <w:t xml:space="preserve"> definition </w:t>
            </w:r>
            <w:r>
              <w:rPr>
                <w:rFonts w:ascii="Verdana" w:hAnsi="Verdana"/>
                <w:color w:val="7F7F7F" w:themeColor="text1" w:themeTint="80"/>
                <w:sz w:val="22"/>
                <w:szCs w:val="22"/>
                <w:lang w:val="en-US"/>
              </w:rPr>
              <w:t>which</w:t>
            </w:r>
            <w:r w:rsidRPr="00D46B4C">
              <w:rPr>
                <w:rFonts w:ascii="Verdana" w:hAnsi="Verdana"/>
                <w:color w:val="7F7F7F" w:themeColor="text1" w:themeTint="80"/>
                <w:sz w:val="22"/>
                <w:szCs w:val="22"/>
                <w:lang w:val="en-US"/>
              </w:rPr>
              <w:t xml:space="preserve"> is widely</w:t>
            </w:r>
            <w:r>
              <w:rPr>
                <w:rFonts w:ascii="Verdana" w:hAnsi="Verdana"/>
                <w:color w:val="7F7F7F" w:themeColor="text1" w:themeTint="80"/>
                <w:sz w:val="22"/>
                <w:szCs w:val="22"/>
                <w:lang w:val="en-US"/>
              </w:rPr>
              <w:t xml:space="preserve"> used</w:t>
            </w:r>
            <w:r w:rsidRPr="00D46B4C">
              <w:rPr>
                <w:rFonts w:ascii="Verdana" w:hAnsi="Verdana"/>
                <w:color w:val="7F7F7F" w:themeColor="text1" w:themeTint="80"/>
                <w:sz w:val="22"/>
                <w:szCs w:val="22"/>
                <w:lang w:val="en-US"/>
              </w:rPr>
              <w:t>. Could EIOPA state in how many cases this is actually an issue?</w:t>
            </w:r>
          </w:p>
        </w:tc>
        <w:tc>
          <w:tcPr>
            <w:tcW w:w="483" w:type="pct"/>
            <w:tcBorders>
              <w:top w:val="single" w:sz="4" w:space="0" w:color="auto"/>
              <w:left w:val="single" w:sz="4" w:space="0" w:color="auto"/>
              <w:bottom w:val="single" w:sz="4" w:space="0" w:color="auto"/>
              <w:right w:val="single" w:sz="4" w:space="0" w:color="auto"/>
            </w:tcBorders>
          </w:tcPr>
          <w:p w14:paraId="226E667C" w14:textId="77777777" w:rsidR="006F5ECC" w:rsidRPr="00D46B4C" w:rsidRDefault="006F5ECC" w:rsidP="00020B14">
            <w:pPr>
              <w:tabs>
                <w:tab w:val="left" w:pos="0"/>
                <w:tab w:val="left" w:pos="4536"/>
              </w:tabs>
              <w:ind w:left="-96"/>
              <w:rPr>
                <w:color w:val="7F7F7F" w:themeColor="text1" w:themeTint="80"/>
                <w:sz w:val="22"/>
                <w:szCs w:val="22"/>
                <w:lang w:val="en-GB" w:eastAsia="fr-FR"/>
              </w:rPr>
            </w:pPr>
          </w:p>
        </w:tc>
      </w:tr>
      <w:tr w:rsidR="00FC5744" w:rsidRPr="001360A5" w14:paraId="31E062B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BB3BAB4" w14:textId="4EEBF1EB"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090E4983" w14:textId="14BCF51D" w:rsidR="006F5ECC" w:rsidRPr="00001686"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56</w:t>
            </w:r>
          </w:p>
        </w:tc>
        <w:tc>
          <w:tcPr>
            <w:tcW w:w="1999" w:type="pct"/>
            <w:tcBorders>
              <w:top w:val="single" w:sz="4" w:space="0" w:color="auto"/>
              <w:left w:val="single" w:sz="4" w:space="0" w:color="auto"/>
              <w:bottom w:val="single" w:sz="4" w:space="0" w:color="auto"/>
              <w:right w:val="single" w:sz="4" w:space="0" w:color="auto"/>
            </w:tcBorders>
            <w:vAlign w:val="center"/>
          </w:tcPr>
          <w:p w14:paraId="7180EC95" w14:textId="43BA9665" w:rsidR="006F5ECC" w:rsidRPr="0003536E" w:rsidRDefault="006F5ECC" w:rsidP="00020B14">
            <w:pPr>
              <w:tabs>
                <w:tab w:val="left" w:pos="0"/>
                <w:tab w:val="left" w:pos="4536"/>
              </w:tabs>
              <w:rPr>
                <w:rFonts w:ascii="Verdana" w:hAnsi="Verdana"/>
                <w:b/>
                <w:bCs/>
                <w:color w:val="7F7F7F" w:themeColor="text1" w:themeTint="80"/>
                <w:sz w:val="22"/>
                <w:szCs w:val="22"/>
                <w:lang w:val="en-US"/>
              </w:rPr>
            </w:pPr>
            <w:r>
              <w:rPr>
                <w:rFonts w:ascii="Verdana" w:hAnsi="Verdana"/>
                <w:b/>
                <w:bCs/>
                <w:color w:val="7F7F7F" w:themeColor="text1" w:themeTint="80"/>
                <w:sz w:val="22"/>
                <w:szCs w:val="22"/>
                <w:lang w:val="en-US"/>
              </w:rPr>
              <w:t>Policy Issue 2: Article 214(1) of the Solvency II Directive and powers over holdings</w:t>
            </w:r>
          </w:p>
          <w:p w14:paraId="0426C9F6" w14:textId="16A8A27E" w:rsidR="006F5ECC" w:rsidRPr="00D46B4C" w:rsidRDefault="006F5ECC" w:rsidP="00020B14">
            <w:pPr>
              <w:tabs>
                <w:tab w:val="left" w:pos="0"/>
                <w:tab w:val="left" w:pos="4536"/>
              </w:tabs>
              <w:rPr>
                <w:rFonts w:ascii="Verdana" w:hAnsi="Verdana"/>
                <w:color w:val="7F7F7F" w:themeColor="text1" w:themeTint="80"/>
                <w:sz w:val="22"/>
                <w:szCs w:val="22"/>
                <w:lang w:val="en-GB" w:eastAsia="fr-FR"/>
              </w:rPr>
            </w:pPr>
            <w:r w:rsidRPr="00D46B4C">
              <w:rPr>
                <w:rFonts w:ascii="Verdana" w:hAnsi="Verdana"/>
                <w:color w:val="7F7F7F" w:themeColor="text1" w:themeTint="80"/>
                <w:sz w:val="22"/>
                <w:szCs w:val="22"/>
                <w:lang w:val="en-US"/>
              </w:rPr>
              <w:t xml:space="preserve">Article 214 </w:t>
            </w:r>
            <w:r>
              <w:rPr>
                <w:rFonts w:ascii="Verdana" w:hAnsi="Verdana"/>
                <w:color w:val="7F7F7F" w:themeColor="text1" w:themeTint="80"/>
                <w:sz w:val="22"/>
                <w:szCs w:val="22"/>
                <w:lang w:val="en-US"/>
              </w:rPr>
              <w:t>of the Solvency II Directive aims</w:t>
            </w:r>
            <w:r w:rsidRPr="00D46B4C">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at</w:t>
            </w:r>
            <w:r w:rsidRPr="00D46B4C">
              <w:rPr>
                <w:rFonts w:ascii="Verdana" w:hAnsi="Verdana"/>
                <w:color w:val="7F7F7F" w:themeColor="text1" w:themeTint="80"/>
                <w:sz w:val="22"/>
                <w:szCs w:val="22"/>
                <w:lang w:val="en-US"/>
              </w:rPr>
              <w:t xml:space="preserve"> ensur</w:t>
            </w:r>
            <w:r>
              <w:rPr>
                <w:rFonts w:ascii="Verdana" w:hAnsi="Verdana"/>
                <w:color w:val="7F7F7F" w:themeColor="text1" w:themeTint="80"/>
                <w:sz w:val="22"/>
                <w:szCs w:val="22"/>
                <w:lang w:val="en-US"/>
              </w:rPr>
              <w:t>ing</w:t>
            </w:r>
            <w:r w:rsidRPr="00D46B4C">
              <w:rPr>
                <w:rFonts w:ascii="Verdana" w:hAnsi="Verdana"/>
                <w:color w:val="7F7F7F" w:themeColor="text1" w:themeTint="80"/>
                <w:sz w:val="22"/>
                <w:szCs w:val="22"/>
                <w:lang w:val="en-US"/>
              </w:rPr>
              <w:t xml:space="preserve"> that at a solo</w:t>
            </w:r>
            <w:r>
              <w:rPr>
                <w:rFonts w:ascii="Verdana" w:hAnsi="Verdana"/>
                <w:color w:val="7F7F7F" w:themeColor="text1" w:themeTint="80"/>
                <w:sz w:val="22"/>
                <w:szCs w:val="22"/>
                <w:lang w:val="en-US"/>
              </w:rPr>
              <w:t>-</w:t>
            </w:r>
            <w:r w:rsidRPr="00D46B4C">
              <w:rPr>
                <w:rFonts w:ascii="Verdana" w:hAnsi="Verdana"/>
                <w:color w:val="7F7F7F" w:themeColor="text1" w:themeTint="80"/>
                <w:sz w:val="22"/>
                <w:szCs w:val="22"/>
                <w:lang w:val="en-US"/>
              </w:rPr>
              <w:t xml:space="preserve">basis the scope of supervision is not elaborated. </w:t>
            </w:r>
            <w:r>
              <w:rPr>
                <w:rFonts w:ascii="Verdana" w:hAnsi="Verdana"/>
                <w:color w:val="7F7F7F" w:themeColor="text1" w:themeTint="80"/>
                <w:sz w:val="22"/>
                <w:szCs w:val="22"/>
                <w:lang w:val="en-US"/>
              </w:rPr>
              <w:t>A</w:t>
            </w:r>
            <w:r w:rsidRPr="00D46B4C">
              <w:rPr>
                <w:rFonts w:ascii="Verdana" w:hAnsi="Verdana"/>
                <w:color w:val="7F7F7F" w:themeColor="text1" w:themeTint="80"/>
                <w:sz w:val="22"/>
                <w:szCs w:val="22"/>
                <w:lang w:val="en-US"/>
              </w:rPr>
              <w:t>rticle</w:t>
            </w:r>
            <w:r>
              <w:rPr>
                <w:rFonts w:ascii="Verdana" w:hAnsi="Verdana"/>
                <w:color w:val="7F7F7F" w:themeColor="text1" w:themeTint="80"/>
                <w:sz w:val="22"/>
                <w:szCs w:val="22"/>
                <w:lang w:val="en-US"/>
              </w:rPr>
              <w:t>s</w:t>
            </w:r>
            <w:r w:rsidRPr="00D46B4C">
              <w:rPr>
                <w:rFonts w:ascii="Verdana" w:hAnsi="Verdana"/>
                <w:color w:val="7F7F7F" w:themeColor="text1" w:themeTint="80"/>
                <w:sz w:val="22"/>
                <w:szCs w:val="22"/>
                <w:lang w:val="en-US"/>
              </w:rPr>
              <w:t xml:space="preserve"> 218 and 219 refer to the consolidated group data, </w:t>
            </w:r>
            <w:r>
              <w:rPr>
                <w:rFonts w:ascii="Verdana" w:hAnsi="Verdana"/>
                <w:color w:val="7F7F7F" w:themeColor="text1" w:themeTint="80"/>
                <w:sz w:val="22"/>
                <w:szCs w:val="22"/>
                <w:lang w:val="en-US"/>
              </w:rPr>
              <w:t>which</w:t>
            </w:r>
            <w:r w:rsidRPr="00D46B4C">
              <w:rPr>
                <w:rFonts w:ascii="Verdana" w:hAnsi="Verdana"/>
                <w:color w:val="7F7F7F" w:themeColor="text1" w:themeTint="80"/>
                <w:sz w:val="22"/>
                <w:szCs w:val="22"/>
                <w:lang w:val="en-US"/>
              </w:rPr>
              <w:t xml:space="preserve"> is </w:t>
            </w:r>
            <w:r>
              <w:rPr>
                <w:rFonts w:ascii="Verdana" w:hAnsi="Verdana"/>
                <w:color w:val="7F7F7F" w:themeColor="text1" w:themeTint="80"/>
                <w:sz w:val="22"/>
                <w:szCs w:val="22"/>
                <w:lang w:val="en-US"/>
              </w:rPr>
              <w:t>subject</w:t>
            </w:r>
            <w:r w:rsidRPr="00D46B4C">
              <w:rPr>
                <w:rFonts w:ascii="Verdana" w:hAnsi="Verdana"/>
                <w:color w:val="7F7F7F" w:themeColor="text1" w:themeTint="80"/>
                <w:sz w:val="22"/>
                <w:szCs w:val="22"/>
                <w:lang w:val="en-US"/>
              </w:rPr>
              <w:t xml:space="preserve"> to group supervision</w:t>
            </w:r>
            <w:r>
              <w:rPr>
                <w:rFonts w:ascii="Verdana" w:hAnsi="Verdana"/>
                <w:color w:val="7F7F7F" w:themeColor="text1" w:themeTint="80"/>
                <w:sz w:val="22"/>
                <w:szCs w:val="22"/>
                <w:lang w:val="en-US"/>
              </w:rPr>
              <w:t>;</w:t>
            </w:r>
            <w:r w:rsidRPr="00D46B4C">
              <w:rPr>
                <w:rFonts w:ascii="Verdana" w:hAnsi="Verdana"/>
                <w:color w:val="7F7F7F" w:themeColor="text1" w:themeTint="80"/>
                <w:sz w:val="22"/>
                <w:szCs w:val="22"/>
                <w:lang w:val="en-US"/>
              </w:rPr>
              <w:t xml:space="preserve"> There is no contradiction in our opinion. In practice, the whole group will comply with the centrally set policies, risk appetite and governance</w:t>
            </w:r>
            <w:r>
              <w:rPr>
                <w:rFonts w:ascii="Verdana" w:hAnsi="Verdana"/>
                <w:color w:val="7F7F7F" w:themeColor="text1" w:themeTint="80"/>
                <w:sz w:val="22"/>
                <w:szCs w:val="22"/>
                <w:lang w:val="en-US"/>
              </w:rPr>
              <w:t>,</w:t>
            </w:r>
            <w:r w:rsidRPr="00D46B4C">
              <w:rPr>
                <w:rFonts w:ascii="Verdana" w:hAnsi="Verdana"/>
                <w:color w:val="7F7F7F" w:themeColor="text1" w:themeTint="80"/>
                <w:sz w:val="22"/>
                <w:szCs w:val="22"/>
                <w:lang w:val="en-US"/>
              </w:rPr>
              <w:t xml:space="preserve"> </w:t>
            </w:r>
            <w:r w:rsidRPr="000D5250">
              <w:rPr>
                <w:rFonts w:ascii="Verdana" w:hAnsi="Verdana"/>
                <w:color w:val="7F7F7F" w:themeColor="text1" w:themeTint="80"/>
                <w:sz w:val="22"/>
                <w:szCs w:val="22"/>
                <w:lang w:val="en-US"/>
              </w:rPr>
              <w:t>regardless of article 214 (1).</w:t>
            </w:r>
          </w:p>
        </w:tc>
        <w:tc>
          <w:tcPr>
            <w:tcW w:w="483" w:type="pct"/>
            <w:tcBorders>
              <w:top w:val="single" w:sz="4" w:space="0" w:color="auto"/>
              <w:left w:val="single" w:sz="4" w:space="0" w:color="auto"/>
              <w:bottom w:val="single" w:sz="4" w:space="0" w:color="auto"/>
              <w:right w:val="single" w:sz="4" w:space="0" w:color="auto"/>
            </w:tcBorders>
          </w:tcPr>
          <w:p w14:paraId="5F1E8BA7" w14:textId="77777777" w:rsidR="006F5ECC" w:rsidRPr="00D46B4C" w:rsidRDefault="006F5ECC" w:rsidP="00020B14">
            <w:pPr>
              <w:tabs>
                <w:tab w:val="left" w:pos="0"/>
                <w:tab w:val="left" w:pos="4536"/>
              </w:tabs>
              <w:ind w:left="-96"/>
              <w:rPr>
                <w:color w:val="7F7F7F" w:themeColor="text1" w:themeTint="80"/>
                <w:sz w:val="22"/>
                <w:szCs w:val="22"/>
                <w:lang w:val="en-GB" w:eastAsia="fr-FR"/>
              </w:rPr>
            </w:pPr>
          </w:p>
        </w:tc>
      </w:tr>
      <w:tr w:rsidR="00FC5744" w:rsidRPr="001360A5" w14:paraId="65C3F547"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8386A57" w14:textId="75161548" w:rsidR="006F5ECC" w:rsidRPr="000D5250" w:rsidRDefault="006F5ECC" w:rsidP="00020B14">
            <w:pPr>
              <w:tabs>
                <w:tab w:val="left" w:pos="0"/>
                <w:tab w:val="left" w:pos="4536"/>
              </w:tabs>
              <w:ind w:left="-96"/>
              <w:rPr>
                <w:rFonts w:ascii="Verdana" w:hAnsi="Verdana"/>
                <w:sz w:val="22"/>
                <w:szCs w:val="22"/>
                <w:lang w:val="en-US"/>
              </w:rPr>
            </w:pPr>
            <w:r w:rsidRPr="000D5250">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77544D3D" w14:textId="62C60C67" w:rsidR="006F5ECC" w:rsidRPr="001C20F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62</w:t>
            </w:r>
          </w:p>
        </w:tc>
        <w:tc>
          <w:tcPr>
            <w:tcW w:w="1999" w:type="pct"/>
            <w:tcBorders>
              <w:top w:val="single" w:sz="4" w:space="0" w:color="auto"/>
              <w:left w:val="single" w:sz="4" w:space="0" w:color="auto"/>
              <w:bottom w:val="single" w:sz="4" w:space="0" w:color="auto"/>
              <w:right w:val="single" w:sz="4" w:space="0" w:color="auto"/>
            </w:tcBorders>
            <w:vAlign w:val="center"/>
          </w:tcPr>
          <w:p w14:paraId="647F6DBE" w14:textId="4C03FF5D" w:rsidR="006F5ECC" w:rsidRPr="00D629C6" w:rsidRDefault="006F5ECC" w:rsidP="00020B14">
            <w:pPr>
              <w:tabs>
                <w:tab w:val="left" w:pos="0"/>
                <w:tab w:val="left" w:pos="4536"/>
              </w:tabs>
              <w:rPr>
                <w:rFonts w:ascii="Verdana" w:hAnsi="Verdana"/>
                <w:color w:val="7F7F7F" w:themeColor="text1" w:themeTint="80"/>
                <w:sz w:val="22"/>
                <w:szCs w:val="22"/>
                <w:lang w:val="en-US"/>
              </w:rPr>
            </w:pPr>
            <w:r>
              <w:rPr>
                <w:rFonts w:ascii="Verdana" w:hAnsi="Verdana"/>
                <w:color w:val="7F7F7F" w:themeColor="text1" w:themeTint="80"/>
                <w:sz w:val="22"/>
                <w:szCs w:val="22"/>
                <w:lang w:val="en-US"/>
              </w:rPr>
              <w:t>EIOPA proposes t</w:t>
            </w:r>
            <w:r w:rsidRPr="00D629C6">
              <w:rPr>
                <w:rFonts w:ascii="Verdana" w:hAnsi="Verdana"/>
                <w:color w:val="7F7F7F" w:themeColor="text1" w:themeTint="80"/>
                <w:sz w:val="22"/>
                <w:szCs w:val="22"/>
                <w:lang w:val="en-US"/>
              </w:rPr>
              <w:t>o clarify the term “exclusively” or “mainly” used in the definition of IHC contained in Article 212(2)(f) of the Solvency II Directive</w:t>
            </w:r>
            <w:r>
              <w:rPr>
                <w:rFonts w:ascii="Verdana" w:hAnsi="Verdana"/>
                <w:color w:val="7F7F7F" w:themeColor="text1" w:themeTint="80"/>
                <w:sz w:val="22"/>
                <w:szCs w:val="22"/>
                <w:lang w:val="en-US"/>
              </w:rPr>
              <w:t>.</w:t>
            </w:r>
          </w:p>
          <w:p w14:paraId="782421DB" w14:textId="24D08712" w:rsidR="006F5ECC" w:rsidRPr="00D629C6" w:rsidRDefault="006F5ECC" w:rsidP="00020B14">
            <w:pPr>
              <w:tabs>
                <w:tab w:val="left" w:pos="0"/>
                <w:tab w:val="left" w:pos="4536"/>
              </w:tabs>
              <w:rPr>
                <w:rFonts w:ascii="Verdana" w:hAnsi="Verdana"/>
                <w:color w:val="7F7F7F" w:themeColor="text1" w:themeTint="80"/>
                <w:sz w:val="22"/>
                <w:szCs w:val="22"/>
                <w:lang w:val="en-GB" w:eastAsia="fr-FR"/>
              </w:rPr>
            </w:pPr>
            <w:r w:rsidRPr="00D629C6">
              <w:rPr>
                <w:rFonts w:ascii="Verdana" w:hAnsi="Verdana"/>
                <w:color w:val="7F7F7F" w:themeColor="text1" w:themeTint="80"/>
                <w:sz w:val="22"/>
                <w:szCs w:val="22"/>
                <w:lang w:val="en-US"/>
              </w:rPr>
              <w:t xml:space="preserve">We cannot see how the </w:t>
            </w:r>
            <w:r>
              <w:rPr>
                <w:rFonts w:ascii="Verdana" w:hAnsi="Verdana"/>
                <w:color w:val="7F7F7F" w:themeColor="text1" w:themeTint="80"/>
                <w:sz w:val="22"/>
                <w:szCs w:val="22"/>
                <w:lang w:val="en-US"/>
              </w:rPr>
              <w:t xml:space="preserve">mentioned </w:t>
            </w:r>
            <w:r w:rsidRPr="00D629C6">
              <w:rPr>
                <w:rFonts w:ascii="Verdana" w:hAnsi="Verdana"/>
                <w:color w:val="7F7F7F" w:themeColor="text1" w:themeTint="80"/>
                <w:sz w:val="22"/>
                <w:szCs w:val="22"/>
                <w:lang w:val="en-US"/>
              </w:rPr>
              <w:t xml:space="preserve">proposal will solve the issue of the </w:t>
            </w:r>
            <w:r w:rsidRPr="000D5250">
              <w:rPr>
                <w:rFonts w:ascii="Verdana" w:hAnsi="Verdana"/>
                <w:color w:val="7F7F7F" w:themeColor="text1" w:themeTint="80"/>
                <w:sz w:val="22"/>
                <w:szCs w:val="22"/>
                <w:lang w:val="en-US"/>
              </w:rPr>
              <w:t>mixed financial holding companies</w:t>
            </w:r>
            <w:r w:rsidRPr="00211776">
              <w:rPr>
                <w:rFonts w:ascii="Verdana" w:eastAsia="Verdana" w:hAnsi="Verdana" w:cs="Verdana"/>
                <w:lang w:val="en-US"/>
              </w:rPr>
              <w:t xml:space="preserve"> </w:t>
            </w:r>
            <w:r w:rsidRPr="00F0251A">
              <w:rPr>
                <w:rFonts w:ascii="Verdana" w:eastAsia="Verdana" w:hAnsi="Verdana" w:cs="Verdana"/>
                <w:color w:val="7F7F7F" w:themeColor="text1" w:themeTint="80"/>
                <w:lang w:val="en-US"/>
              </w:rPr>
              <w:t>(</w:t>
            </w:r>
            <w:r w:rsidRPr="00F0251A">
              <w:rPr>
                <w:rFonts w:ascii="Verdana" w:eastAsia="Verdana" w:hAnsi="Verdana" w:cs="Verdana"/>
                <w:color w:val="7F7F7F" w:themeColor="text1" w:themeTint="80"/>
                <w:sz w:val="22"/>
                <w:szCs w:val="22"/>
                <w:lang w:val="en-US"/>
              </w:rPr>
              <w:t>i.e.</w:t>
            </w:r>
            <w:r w:rsidRPr="00F0251A">
              <w:rPr>
                <w:rFonts w:ascii="Verdana" w:eastAsia="Verdana" w:hAnsi="Verdana" w:cs="Verdana"/>
                <w:color w:val="7F7F7F" w:themeColor="text1" w:themeTint="80"/>
                <w:lang w:val="en-US"/>
              </w:rPr>
              <w:t xml:space="preserve"> </w:t>
            </w:r>
            <w:r w:rsidRPr="00670760">
              <w:rPr>
                <w:rFonts w:ascii="Verdana" w:hAnsi="Verdana"/>
                <w:color w:val="7F7F7F" w:themeColor="text1" w:themeTint="80"/>
                <w:sz w:val="22"/>
                <w:szCs w:val="22"/>
                <w:lang w:val="en-US"/>
              </w:rPr>
              <w:t>MAIHC</w:t>
            </w:r>
            <w:r>
              <w:rPr>
                <w:rFonts w:ascii="Verdana" w:hAnsi="Verdana"/>
                <w:color w:val="7F7F7F" w:themeColor="text1" w:themeTint="80"/>
                <w:sz w:val="22"/>
                <w:szCs w:val="22"/>
                <w:lang w:val="en-US"/>
              </w:rPr>
              <w:t>)</w:t>
            </w:r>
            <w:r w:rsidRPr="00D629C6">
              <w:rPr>
                <w:rFonts w:ascii="Verdana" w:hAnsi="Verdana"/>
                <w:color w:val="7F7F7F" w:themeColor="text1" w:themeTint="80"/>
                <w:sz w:val="22"/>
                <w:szCs w:val="22"/>
                <w:lang w:val="en-US"/>
              </w:rPr>
              <w:t xml:space="preserve"> because only reference is made towards </w:t>
            </w:r>
            <w:r>
              <w:rPr>
                <w:rFonts w:ascii="Verdana" w:hAnsi="Verdana"/>
                <w:color w:val="7F7F7F" w:themeColor="text1" w:themeTint="80"/>
                <w:sz w:val="22"/>
                <w:szCs w:val="22"/>
                <w:lang w:val="en-US"/>
              </w:rPr>
              <w:t xml:space="preserve">insurance holding companies (i.e. </w:t>
            </w:r>
            <w:r w:rsidRPr="00D629C6">
              <w:rPr>
                <w:rFonts w:ascii="Verdana" w:hAnsi="Verdana"/>
                <w:color w:val="7F7F7F" w:themeColor="text1" w:themeTint="80"/>
                <w:sz w:val="22"/>
                <w:szCs w:val="22"/>
                <w:lang w:val="en-US"/>
              </w:rPr>
              <w:t>IHC</w:t>
            </w:r>
            <w:r>
              <w:rPr>
                <w:rFonts w:ascii="Verdana" w:hAnsi="Verdana"/>
                <w:color w:val="7F7F7F" w:themeColor="text1" w:themeTint="80"/>
                <w:sz w:val="22"/>
                <w:szCs w:val="22"/>
                <w:lang w:val="en-US"/>
              </w:rPr>
              <w:t>)</w:t>
            </w:r>
            <w:r w:rsidRPr="00D629C6">
              <w:rPr>
                <w:rFonts w:ascii="Verdana" w:hAnsi="Verdana"/>
                <w:color w:val="7F7F7F" w:themeColor="text1" w:themeTint="80"/>
                <w:sz w:val="22"/>
                <w:szCs w:val="22"/>
                <w:lang w:val="en-US"/>
              </w:rPr>
              <w:t>?</w:t>
            </w:r>
          </w:p>
        </w:tc>
        <w:tc>
          <w:tcPr>
            <w:tcW w:w="483" w:type="pct"/>
            <w:tcBorders>
              <w:top w:val="single" w:sz="4" w:space="0" w:color="auto"/>
              <w:left w:val="single" w:sz="4" w:space="0" w:color="auto"/>
              <w:bottom w:val="single" w:sz="4" w:space="0" w:color="auto"/>
              <w:right w:val="single" w:sz="4" w:space="0" w:color="auto"/>
            </w:tcBorders>
          </w:tcPr>
          <w:p w14:paraId="1D33C2C6"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489DD37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9A58C58" w14:textId="557D1D04" w:rsidR="006F5ECC" w:rsidRPr="000D5250" w:rsidRDefault="006F5ECC" w:rsidP="00020B14">
            <w:pPr>
              <w:tabs>
                <w:tab w:val="left" w:pos="0"/>
                <w:tab w:val="left" w:pos="4536"/>
              </w:tabs>
              <w:ind w:left="-96"/>
              <w:rPr>
                <w:rFonts w:ascii="Verdana" w:hAnsi="Verdana"/>
                <w:sz w:val="22"/>
                <w:szCs w:val="22"/>
                <w:lang w:val="en-US"/>
              </w:rPr>
            </w:pPr>
            <w:r w:rsidRPr="000D5250">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4F05E6DB" w14:textId="0F0D96C8" w:rsidR="006F5ECC" w:rsidRPr="001C20F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66</w:t>
            </w:r>
          </w:p>
        </w:tc>
        <w:tc>
          <w:tcPr>
            <w:tcW w:w="1999" w:type="pct"/>
            <w:tcBorders>
              <w:top w:val="single" w:sz="4" w:space="0" w:color="auto"/>
              <w:left w:val="single" w:sz="4" w:space="0" w:color="auto"/>
              <w:bottom w:val="single" w:sz="4" w:space="0" w:color="auto"/>
              <w:right w:val="single" w:sz="4" w:space="0" w:color="auto"/>
            </w:tcBorders>
            <w:vAlign w:val="center"/>
          </w:tcPr>
          <w:p w14:paraId="30764610" w14:textId="5138D6FF" w:rsidR="006F5ECC" w:rsidRPr="00D629C6" w:rsidRDefault="006F5ECC" w:rsidP="00020B14">
            <w:pPr>
              <w:tabs>
                <w:tab w:val="left" w:pos="0"/>
                <w:tab w:val="left" w:pos="4536"/>
              </w:tabs>
              <w:rPr>
                <w:rFonts w:ascii="Verdana" w:hAnsi="Verdana"/>
                <w:color w:val="7F7F7F" w:themeColor="text1" w:themeTint="80"/>
                <w:sz w:val="22"/>
                <w:szCs w:val="22"/>
                <w:lang w:val="en-GB" w:eastAsia="fr-FR"/>
              </w:rPr>
            </w:pPr>
            <w:r w:rsidRPr="00D629C6">
              <w:rPr>
                <w:rFonts w:ascii="Verdana" w:hAnsi="Verdana"/>
                <w:color w:val="7F7F7F" w:themeColor="text1" w:themeTint="80"/>
                <w:sz w:val="22"/>
                <w:szCs w:val="22"/>
                <w:lang w:val="en-US"/>
              </w:rPr>
              <w:t xml:space="preserve">It is totally unclear why all these </w:t>
            </w:r>
            <w:r>
              <w:rPr>
                <w:rFonts w:ascii="Verdana" w:hAnsi="Verdana"/>
                <w:color w:val="7F7F7F" w:themeColor="text1" w:themeTint="80"/>
                <w:sz w:val="22"/>
                <w:szCs w:val="22"/>
                <w:lang w:val="en-US"/>
              </w:rPr>
              <w:t>powers</w:t>
            </w:r>
            <w:r w:rsidRPr="00D629C6">
              <w:rPr>
                <w:rFonts w:ascii="Verdana" w:hAnsi="Verdana"/>
                <w:color w:val="7F7F7F" w:themeColor="text1" w:themeTint="80"/>
                <w:sz w:val="22"/>
                <w:szCs w:val="22"/>
                <w:lang w:val="en-US"/>
              </w:rPr>
              <w:t xml:space="preserve"> are needed when analysi</w:t>
            </w:r>
            <w:r>
              <w:rPr>
                <w:rFonts w:ascii="Verdana" w:hAnsi="Verdana"/>
                <w:color w:val="7F7F7F" w:themeColor="text1" w:themeTint="80"/>
                <w:sz w:val="22"/>
                <w:szCs w:val="22"/>
                <w:lang w:val="en-US"/>
              </w:rPr>
              <w:t>ng</w:t>
            </w:r>
            <w:r w:rsidRPr="00D629C6">
              <w:rPr>
                <w:rFonts w:ascii="Verdana" w:hAnsi="Verdana"/>
                <w:color w:val="7F7F7F" w:themeColor="text1" w:themeTint="80"/>
                <w:sz w:val="22"/>
                <w:szCs w:val="22"/>
                <w:lang w:val="en-US"/>
              </w:rPr>
              <w:t xml:space="preserve"> the policy issue as </w:t>
            </w:r>
            <w:r>
              <w:rPr>
                <w:rFonts w:ascii="Verdana" w:hAnsi="Verdana"/>
                <w:color w:val="7F7F7F" w:themeColor="text1" w:themeTint="80"/>
                <w:sz w:val="22"/>
                <w:szCs w:val="22"/>
                <w:lang w:val="en-US"/>
              </w:rPr>
              <w:t>described</w:t>
            </w:r>
            <w:r w:rsidRPr="00D629C6">
              <w:rPr>
                <w:rFonts w:ascii="Verdana" w:hAnsi="Verdana"/>
                <w:color w:val="7F7F7F" w:themeColor="text1" w:themeTint="80"/>
                <w:sz w:val="22"/>
                <w:szCs w:val="22"/>
                <w:lang w:val="en-US"/>
              </w:rPr>
              <w:t xml:space="preserve"> in para</w:t>
            </w:r>
            <w:r>
              <w:rPr>
                <w:rFonts w:ascii="Verdana" w:hAnsi="Verdana"/>
                <w:color w:val="7F7F7F" w:themeColor="text1" w:themeTint="80"/>
                <w:sz w:val="22"/>
                <w:szCs w:val="22"/>
                <w:lang w:val="en-US"/>
              </w:rPr>
              <w:t>graph</w:t>
            </w:r>
            <w:r w:rsidRPr="00D629C6">
              <w:rPr>
                <w:rFonts w:ascii="Verdana" w:hAnsi="Verdana"/>
                <w:color w:val="7F7F7F" w:themeColor="text1" w:themeTint="80"/>
                <w:sz w:val="22"/>
                <w:szCs w:val="22"/>
                <w:lang w:val="en-US"/>
              </w:rPr>
              <w:t xml:space="preserve"> 60. We feel that the proposals </w:t>
            </w:r>
            <w:r>
              <w:rPr>
                <w:rFonts w:ascii="Verdana" w:hAnsi="Verdana"/>
                <w:color w:val="7F7F7F" w:themeColor="text1" w:themeTint="80"/>
                <w:sz w:val="22"/>
                <w:szCs w:val="22"/>
                <w:lang w:val="en-US"/>
              </w:rPr>
              <w:t>are</w:t>
            </w:r>
            <w:r w:rsidRPr="00D629C6">
              <w:rPr>
                <w:rFonts w:ascii="Verdana" w:hAnsi="Verdana"/>
                <w:color w:val="7F7F7F" w:themeColor="text1" w:themeTint="80"/>
                <w:sz w:val="22"/>
                <w:szCs w:val="22"/>
                <w:lang w:val="en-US"/>
              </w:rPr>
              <w:t xml:space="preserve"> not proportionate to the nature </w:t>
            </w:r>
            <w:r>
              <w:rPr>
                <w:rFonts w:ascii="Verdana" w:hAnsi="Verdana"/>
                <w:color w:val="7F7F7F" w:themeColor="text1" w:themeTint="80"/>
                <w:sz w:val="22"/>
                <w:szCs w:val="22"/>
                <w:lang w:val="en-US"/>
              </w:rPr>
              <w:t>and</w:t>
            </w:r>
            <w:r w:rsidRPr="00D629C6">
              <w:rPr>
                <w:rFonts w:ascii="Verdana" w:hAnsi="Verdana"/>
                <w:color w:val="7F7F7F" w:themeColor="text1" w:themeTint="80"/>
                <w:sz w:val="22"/>
                <w:szCs w:val="22"/>
                <w:lang w:val="en-US"/>
              </w:rPr>
              <w:t xml:space="preserve"> size of the issue described.</w:t>
            </w:r>
          </w:p>
        </w:tc>
        <w:tc>
          <w:tcPr>
            <w:tcW w:w="483" w:type="pct"/>
            <w:tcBorders>
              <w:top w:val="single" w:sz="4" w:space="0" w:color="auto"/>
              <w:left w:val="single" w:sz="4" w:space="0" w:color="auto"/>
              <w:bottom w:val="single" w:sz="4" w:space="0" w:color="auto"/>
              <w:right w:val="single" w:sz="4" w:space="0" w:color="auto"/>
            </w:tcBorders>
          </w:tcPr>
          <w:p w14:paraId="446A99DF"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D53D4E" w14:paraId="65B284C7"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9C6FCDC" w14:textId="0CFDDBE8" w:rsidR="006F5ECC" w:rsidRPr="000D5250" w:rsidRDefault="006F5ECC" w:rsidP="00020B14">
            <w:pPr>
              <w:tabs>
                <w:tab w:val="left" w:pos="0"/>
                <w:tab w:val="left" w:pos="4536"/>
              </w:tabs>
              <w:ind w:left="-96"/>
              <w:rPr>
                <w:rFonts w:ascii="Verdana" w:hAnsi="Verdana"/>
                <w:sz w:val="22"/>
                <w:szCs w:val="22"/>
                <w:lang w:val="en-US"/>
              </w:rPr>
            </w:pPr>
            <w:r w:rsidRPr="000D5250">
              <w:rPr>
                <w:rFonts w:ascii="Verdana" w:hAnsi="Verdana"/>
                <w:color w:val="7F7F7F" w:themeColor="text1" w:themeTint="80"/>
                <w:sz w:val="22"/>
                <w:szCs w:val="22"/>
                <w:lang w:val="en-US"/>
              </w:rPr>
              <w:lastRenderedPageBreak/>
              <w:t>9</w:t>
            </w:r>
          </w:p>
        </w:tc>
        <w:tc>
          <w:tcPr>
            <w:tcW w:w="506" w:type="pct"/>
            <w:gridSpan w:val="2"/>
            <w:tcBorders>
              <w:top w:val="single" w:sz="4" w:space="0" w:color="auto"/>
              <w:left w:val="single" w:sz="4" w:space="0" w:color="auto"/>
              <w:bottom w:val="single" w:sz="4" w:space="0" w:color="auto"/>
              <w:right w:val="single" w:sz="4" w:space="0" w:color="auto"/>
            </w:tcBorders>
          </w:tcPr>
          <w:p w14:paraId="11DF6256" w14:textId="0C5C77C5" w:rsidR="006F5ECC" w:rsidRPr="001C20F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67</w:t>
            </w:r>
          </w:p>
        </w:tc>
        <w:tc>
          <w:tcPr>
            <w:tcW w:w="1999" w:type="pct"/>
            <w:tcBorders>
              <w:top w:val="single" w:sz="4" w:space="0" w:color="auto"/>
              <w:left w:val="single" w:sz="4" w:space="0" w:color="auto"/>
              <w:bottom w:val="single" w:sz="4" w:space="0" w:color="auto"/>
              <w:right w:val="single" w:sz="4" w:space="0" w:color="auto"/>
            </w:tcBorders>
            <w:vAlign w:val="center"/>
          </w:tcPr>
          <w:p w14:paraId="41CC2B9F" w14:textId="4B3914A2" w:rsidR="006F5ECC" w:rsidRPr="00D629C6" w:rsidRDefault="006F5ECC" w:rsidP="00020B14">
            <w:pPr>
              <w:tabs>
                <w:tab w:val="left" w:pos="0"/>
                <w:tab w:val="left" w:pos="4536"/>
              </w:tabs>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US"/>
              </w:rPr>
              <w:t>See comments to paragraph 9.62</w:t>
            </w:r>
          </w:p>
        </w:tc>
        <w:tc>
          <w:tcPr>
            <w:tcW w:w="483" w:type="pct"/>
            <w:tcBorders>
              <w:top w:val="single" w:sz="4" w:space="0" w:color="auto"/>
              <w:left w:val="single" w:sz="4" w:space="0" w:color="auto"/>
              <w:bottom w:val="single" w:sz="4" w:space="0" w:color="auto"/>
              <w:right w:val="single" w:sz="4" w:space="0" w:color="auto"/>
            </w:tcBorders>
          </w:tcPr>
          <w:p w14:paraId="50B25D4F"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70348F6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D2C083C" w14:textId="2B6F17F3"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2D44D66A" w14:textId="775D5728"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68&amp;69</w:t>
            </w:r>
          </w:p>
        </w:tc>
        <w:tc>
          <w:tcPr>
            <w:tcW w:w="1999" w:type="pct"/>
            <w:tcBorders>
              <w:top w:val="single" w:sz="4" w:space="0" w:color="auto"/>
              <w:left w:val="single" w:sz="4" w:space="0" w:color="auto"/>
              <w:bottom w:val="single" w:sz="4" w:space="0" w:color="auto"/>
              <w:right w:val="single" w:sz="4" w:space="0" w:color="auto"/>
            </w:tcBorders>
            <w:vAlign w:val="center"/>
          </w:tcPr>
          <w:p w14:paraId="46B4396A" w14:textId="589F6C0B" w:rsidR="006F5ECC" w:rsidRPr="003F2CB2" w:rsidRDefault="006F5ECC" w:rsidP="00020B14">
            <w:pPr>
              <w:tabs>
                <w:tab w:val="left" w:pos="0"/>
                <w:tab w:val="left" w:pos="4536"/>
              </w:tabs>
              <w:rPr>
                <w:rFonts w:ascii="Verdana" w:hAnsi="Verdana"/>
                <w:b/>
                <w:bCs/>
                <w:color w:val="7F7F7F" w:themeColor="text1" w:themeTint="80"/>
                <w:sz w:val="22"/>
                <w:szCs w:val="22"/>
                <w:lang w:val="en-GB"/>
              </w:rPr>
            </w:pPr>
            <w:r>
              <w:rPr>
                <w:rFonts w:ascii="Verdana" w:hAnsi="Verdana"/>
                <w:b/>
                <w:bCs/>
                <w:color w:val="7F7F7F" w:themeColor="text1" w:themeTint="80"/>
                <w:sz w:val="22"/>
                <w:szCs w:val="22"/>
                <w:lang w:val="en-GB"/>
              </w:rPr>
              <w:t>EIOPA’s Advice on Policy Issue 2: Article 214(1) of the Solvency II Directive and powers over holdings</w:t>
            </w:r>
          </w:p>
          <w:p w14:paraId="111BACDE" w14:textId="0A4FBA14" w:rsidR="006F5ECC" w:rsidRPr="00B0081A" w:rsidRDefault="006F5ECC" w:rsidP="00020B14">
            <w:pPr>
              <w:tabs>
                <w:tab w:val="left" w:pos="0"/>
                <w:tab w:val="left" w:pos="4536"/>
              </w:tabs>
              <w:rPr>
                <w:rFonts w:ascii="Verdana" w:hAnsi="Verdana"/>
                <w:color w:val="7F7F7F" w:themeColor="text1" w:themeTint="80"/>
                <w:sz w:val="22"/>
                <w:szCs w:val="22"/>
                <w:lang w:val="en-GB"/>
              </w:rPr>
            </w:pPr>
            <w:r w:rsidRPr="00B0081A">
              <w:rPr>
                <w:rFonts w:ascii="Verdana" w:hAnsi="Verdana"/>
                <w:color w:val="7F7F7F" w:themeColor="text1" w:themeTint="80"/>
                <w:sz w:val="22"/>
                <w:szCs w:val="22"/>
                <w:lang w:val="en-GB"/>
              </w:rPr>
              <w:t>The possibility for NSAs to request a structural organization of groups should be limited to cases where supervision is clearly obstructed. Such a request is in any other case not justified or proportionate.</w:t>
            </w:r>
          </w:p>
          <w:p w14:paraId="6DC3826F" w14:textId="77777777" w:rsidR="006F5ECC" w:rsidRPr="00B0081A" w:rsidRDefault="006F5ECC" w:rsidP="00020B14">
            <w:pPr>
              <w:tabs>
                <w:tab w:val="left" w:pos="0"/>
                <w:tab w:val="left" w:pos="4536"/>
              </w:tabs>
              <w:rPr>
                <w:rFonts w:ascii="Verdana" w:hAnsi="Verdana"/>
                <w:color w:val="7F7F7F" w:themeColor="text1" w:themeTint="80"/>
                <w:sz w:val="22"/>
                <w:szCs w:val="22"/>
                <w:lang w:val="en-GB"/>
              </w:rPr>
            </w:pPr>
          </w:p>
          <w:p w14:paraId="006FC89A" w14:textId="7CCC11AF" w:rsidR="006F5ECC" w:rsidRPr="00B0081A" w:rsidRDefault="006F5ECC" w:rsidP="00020B14">
            <w:pPr>
              <w:tabs>
                <w:tab w:val="left" w:pos="0"/>
                <w:tab w:val="left" w:pos="4536"/>
              </w:tabs>
              <w:rPr>
                <w:rFonts w:ascii="Verdana" w:hAnsi="Verdana"/>
                <w:color w:val="7F7F7F" w:themeColor="text1" w:themeTint="80"/>
                <w:sz w:val="22"/>
                <w:szCs w:val="22"/>
                <w:lang w:val="en-GB"/>
              </w:rPr>
            </w:pPr>
            <w:r w:rsidRPr="00B0081A">
              <w:rPr>
                <w:rFonts w:ascii="Verdana" w:hAnsi="Verdana"/>
                <w:color w:val="7F7F7F" w:themeColor="text1" w:themeTint="80"/>
                <w:sz w:val="22"/>
                <w:szCs w:val="22"/>
                <w:lang w:val="en-GB"/>
              </w:rPr>
              <w:t xml:space="preserve">The proposed powers are too far going considering e.g. that holding companies are not authorised entities and are not conducting insurance business. </w:t>
            </w:r>
            <w:r>
              <w:rPr>
                <w:rFonts w:ascii="Verdana" w:hAnsi="Verdana"/>
                <w:color w:val="7F7F7F" w:themeColor="text1" w:themeTint="80"/>
                <w:sz w:val="22"/>
                <w:szCs w:val="22"/>
                <w:lang w:val="en-GB"/>
              </w:rPr>
              <w:t xml:space="preserve">Besides, the adoption of the proposed measures towards the holding company could also negatively affect other non-supervised companies belonging to the group, especially if such companies are listed. </w:t>
            </w:r>
            <w:r w:rsidRPr="00B0081A">
              <w:rPr>
                <w:rFonts w:ascii="Verdana" w:hAnsi="Verdana"/>
                <w:color w:val="7F7F7F" w:themeColor="text1" w:themeTint="80"/>
                <w:sz w:val="22"/>
                <w:szCs w:val="22"/>
                <w:lang w:val="en-GB"/>
              </w:rPr>
              <w:t>In addition, the measures available to NSAs should only be used in gradual stages. Significant interventions, such as suspending the exercise of voting rights, restricting distribution or interest payments to shareholders and reduce holdings in insurers or other financial sector entities, should only be allowed in extreme situations. The proposal to allow the transfer of participations</w:t>
            </w:r>
            <w:r w:rsidRPr="00B0081A">
              <w:rPr>
                <w:color w:val="7F7F7F" w:themeColor="text1" w:themeTint="80"/>
                <w:lang w:val="en-GB"/>
              </w:rPr>
              <w:t xml:space="preserve"> </w:t>
            </w:r>
            <w:r w:rsidRPr="00B0081A">
              <w:rPr>
                <w:rFonts w:ascii="Verdana" w:hAnsi="Verdana"/>
                <w:color w:val="7F7F7F" w:themeColor="text1" w:themeTint="80"/>
                <w:sz w:val="22"/>
                <w:szCs w:val="22"/>
                <w:lang w:val="en-GB"/>
              </w:rPr>
              <w:t>is questionable from a legal perspective and could lead to unforeseeable consequences. Other legal framework conditions such as the company law must be taken into consideration by NSAs. The legal process must be applicable to the supervised undertakings which is especially important for groups with undertakings in several jurisdictions.</w:t>
            </w:r>
          </w:p>
          <w:p w14:paraId="5B6F5B30" w14:textId="1767343E" w:rsidR="006F5ECC" w:rsidRPr="00B0081A" w:rsidRDefault="006F5ECC" w:rsidP="00020B14">
            <w:pPr>
              <w:tabs>
                <w:tab w:val="left" w:pos="0"/>
                <w:tab w:val="left" w:pos="4536"/>
              </w:tabs>
              <w:rPr>
                <w:rFonts w:ascii="Verdana" w:hAnsi="Verdana"/>
                <w:color w:val="7F7F7F" w:themeColor="text1" w:themeTint="80"/>
                <w:sz w:val="22"/>
                <w:szCs w:val="22"/>
                <w:lang w:val="en-GB"/>
              </w:rPr>
            </w:pPr>
          </w:p>
          <w:p w14:paraId="5A0A36D3" w14:textId="0963609D" w:rsidR="006F5ECC" w:rsidRDefault="006F5ECC" w:rsidP="00020B14">
            <w:pPr>
              <w:tabs>
                <w:tab w:val="left" w:pos="0"/>
                <w:tab w:val="left" w:pos="4536"/>
              </w:tabs>
              <w:rPr>
                <w:rFonts w:ascii="Verdana" w:hAnsi="Verdana"/>
                <w:color w:val="7F7F7F" w:themeColor="text1" w:themeTint="80"/>
                <w:sz w:val="22"/>
                <w:szCs w:val="22"/>
                <w:lang w:val="en-GB"/>
              </w:rPr>
            </w:pPr>
            <w:r w:rsidRPr="00B0081A">
              <w:rPr>
                <w:rFonts w:ascii="Verdana" w:hAnsi="Verdana"/>
                <w:color w:val="7F7F7F" w:themeColor="text1" w:themeTint="80"/>
                <w:sz w:val="22"/>
                <w:szCs w:val="22"/>
                <w:lang w:val="en-GB"/>
              </w:rPr>
              <w:t>Furthermore, a decision to temporarily designate another company within a group as responsible to ensure compliance should be left to the group itself. The same effect can also be achieved within the powers of NSAs to request a structural organisation that enables group supervision.</w:t>
            </w:r>
          </w:p>
          <w:p w14:paraId="447E17BD" w14:textId="18D34A2F" w:rsidR="006F5ECC" w:rsidRDefault="006F5ECC" w:rsidP="00020B14">
            <w:pPr>
              <w:tabs>
                <w:tab w:val="left" w:pos="0"/>
                <w:tab w:val="left" w:pos="4536"/>
              </w:tabs>
              <w:rPr>
                <w:rFonts w:ascii="Verdana" w:hAnsi="Verdana"/>
                <w:color w:val="7F7F7F" w:themeColor="text1" w:themeTint="80"/>
                <w:sz w:val="22"/>
                <w:szCs w:val="22"/>
                <w:lang w:val="en-GB"/>
              </w:rPr>
            </w:pPr>
          </w:p>
          <w:p w14:paraId="7CD1A172" w14:textId="3BCF59D1" w:rsidR="006F5ECC" w:rsidRPr="00B0081A" w:rsidRDefault="006F5ECC" w:rsidP="00020B14">
            <w:pPr>
              <w:tabs>
                <w:tab w:val="left" w:pos="0"/>
                <w:tab w:val="left" w:pos="4536"/>
              </w:tabs>
              <w:rPr>
                <w:rFonts w:ascii="Verdana" w:hAnsi="Verdana"/>
                <w:color w:val="7F7F7F" w:themeColor="text1" w:themeTint="80"/>
                <w:sz w:val="22"/>
                <w:szCs w:val="22"/>
                <w:lang w:val="en-GB"/>
              </w:rPr>
            </w:pPr>
            <w:r>
              <w:rPr>
                <w:rFonts w:ascii="Verdana" w:hAnsi="Verdana"/>
                <w:color w:val="7F7F7F" w:themeColor="text1" w:themeTint="80"/>
                <w:sz w:val="22"/>
                <w:szCs w:val="22"/>
                <w:lang w:val="en-GB"/>
              </w:rPr>
              <w:t>To conclude, it is worth considering that the proposed amendments to Article 214 would break the existing symmetry with other sectorial regulations (see Article 214, paragraph 3, CRD IV and Article 5, paragraph 5, FICOD which contains analogous provisions).</w:t>
            </w:r>
          </w:p>
          <w:p w14:paraId="44E27A92" w14:textId="77777777" w:rsidR="006F5ECC" w:rsidRPr="0003536E" w:rsidRDefault="006F5ECC" w:rsidP="00020B14">
            <w:pPr>
              <w:tabs>
                <w:tab w:val="left" w:pos="0"/>
                <w:tab w:val="left" w:pos="4536"/>
              </w:tabs>
              <w:rPr>
                <w:rFonts w:ascii="Verdana" w:hAnsi="Verdana"/>
                <w:color w:val="7F7F7F" w:themeColor="text1" w:themeTint="80"/>
                <w:sz w:val="22"/>
                <w:szCs w:val="22"/>
                <w:lang w:val="en-GB"/>
              </w:rPr>
            </w:pPr>
          </w:p>
        </w:tc>
        <w:tc>
          <w:tcPr>
            <w:tcW w:w="483" w:type="pct"/>
            <w:tcBorders>
              <w:top w:val="single" w:sz="4" w:space="0" w:color="auto"/>
              <w:left w:val="single" w:sz="4" w:space="0" w:color="auto"/>
              <w:bottom w:val="single" w:sz="4" w:space="0" w:color="auto"/>
              <w:right w:val="single" w:sz="4" w:space="0" w:color="auto"/>
            </w:tcBorders>
          </w:tcPr>
          <w:p w14:paraId="3F85199E"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2694C57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C9CA169" w14:textId="0B65551F" w:rsidR="006F5ECC" w:rsidRPr="000D5250" w:rsidRDefault="006F5ECC" w:rsidP="00020B14">
            <w:pPr>
              <w:tabs>
                <w:tab w:val="left" w:pos="0"/>
                <w:tab w:val="left" w:pos="4536"/>
              </w:tabs>
              <w:ind w:left="-96"/>
              <w:rPr>
                <w:rFonts w:ascii="Verdana" w:hAnsi="Verdana"/>
                <w:sz w:val="22"/>
                <w:szCs w:val="22"/>
                <w:lang w:val="en-US"/>
              </w:rPr>
            </w:pPr>
            <w:r w:rsidRPr="000D5250">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6FE8E7D2" w14:textId="31BCCEFD" w:rsidR="006F5ECC" w:rsidRPr="001C20F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69</w:t>
            </w:r>
          </w:p>
        </w:tc>
        <w:tc>
          <w:tcPr>
            <w:tcW w:w="1999" w:type="pct"/>
            <w:tcBorders>
              <w:top w:val="single" w:sz="4" w:space="0" w:color="auto"/>
              <w:left w:val="single" w:sz="4" w:space="0" w:color="auto"/>
              <w:bottom w:val="single" w:sz="4" w:space="0" w:color="auto"/>
              <w:right w:val="single" w:sz="4" w:space="0" w:color="auto"/>
            </w:tcBorders>
            <w:vAlign w:val="center"/>
          </w:tcPr>
          <w:p w14:paraId="551269B6" w14:textId="7A3926FE" w:rsidR="006F5ECC" w:rsidRPr="00D629C6" w:rsidRDefault="006F5ECC" w:rsidP="00020B14">
            <w:pPr>
              <w:tabs>
                <w:tab w:val="left" w:pos="0"/>
                <w:tab w:val="left" w:pos="4536"/>
              </w:tabs>
              <w:rPr>
                <w:rFonts w:ascii="Verdana" w:hAnsi="Verdana"/>
                <w:color w:val="7F7F7F" w:themeColor="text1" w:themeTint="80"/>
                <w:sz w:val="22"/>
                <w:szCs w:val="22"/>
                <w:lang w:val="en-GB" w:eastAsia="fr-FR"/>
              </w:rPr>
            </w:pPr>
            <w:r w:rsidRPr="00D629C6">
              <w:rPr>
                <w:rFonts w:ascii="Verdana" w:hAnsi="Verdana"/>
                <w:color w:val="7F7F7F" w:themeColor="text1" w:themeTint="80"/>
                <w:sz w:val="22"/>
                <w:szCs w:val="22"/>
                <w:lang w:val="en-US"/>
              </w:rPr>
              <w:t xml:space="preserve">The proposed additional powers are not proportionate to the issues described. In paragraph 60 there is no real </w:t>
            </w:r>
            <w:r>
              <w:rPr>
                <w:rFonts w:ascii="Verdana" w:hAnsi="Verdana"/>
                <w:color w:val="7F7F7F" w:themeColor="text1" w:themeTint="80"/>
                <w:sz w:val="22"/>
                <w:szCs w:val="22"/>
                <w:lang w:val="en-US"/>
              </w:rPr>
              <w:t xml:space="preserve">illustration of </w:t>
            </w:r>
            <w:r w:rsidRPr="00D629C6">
              <w:rPr>
                <w:rFonts w:ascii="Verdana" w:hAnsi="Verdana"/>
                <w:color w:val="7F7F7F" w:themeColor="text1" w:themeTint="80"/>
                <w:sz w:val="22"/>
                <w:szCs w:val="22"/>
                <w:lang w:val="en-US"/>
              </w:rPr>
              <w:t xml:space="preserve">the issue and why the </w:t>
            </w:r>
            <w:r>
              <w:rPr>
                <w:rFonts w:ascii="Verdana" w:hAnsi="Verdana"/>
                <w:color w:val="7F7F7F" w:themeColor="text1" w:themeTint="80"/>
                <w:sz w:val="22"/>
                <w:szCs w:val="22"/>
                <w:lang w:val="en-US"/>
              </w:rPr>
              <w:t xml:space="preserve">proposed </w:t>
            </w:r>
            <w:r w:rsidRPr="00D629C6">
              <w:rPr>
                <w:rFonts w:ascii="Verdana" w:hAnsi="Verdana"/>
                <w:color w:val="7F7F7F" w:themeColor="text1" w:themeTint="80"/>
                <w:sz w:val="22"/>
                <w:szCs w:val="22"/>
                <w:lang w:val="en-US"/>
              </w:rPr>
              <w:t xml:space="preserve">measures </w:t>
            </w:r>
            <w:r>
              <w:rPr>
                <w:rFonts w:ascii="Verdana" w:hAnsi="Verdana"/>
                <w:color w:val="7F7F7F" w:themeColor="text1" w:themeTint="80"/>
                <w:sz w:val="22"/>
                <w:szCs w:val="22"/>
                <w:lang w:val="en-US"/>
              </w:rPr>
              <w:t>defined</w:t>
            </w:r>
            <w:r w:rsidRPr="00D629C6">
              <w:rPr>
                <w:rFonts w:ascii="Verdana" w:hAnsi="Verdana"/>
                <w:color w:val="7F7F7F" w:themeColor="text1" w:themeTint="80"/>
                <w:sz w:val="22"/>
                <w:szCs w:val="22"/>
                <w:lang w:val="en-US"/>
              </w:rPr>
              <w:t xml:space="preserve"> are </w:t>
            </w:r>
            <w:r>
              <w:rPr>
                <w:rFonts w:ascii="Verdana" w:hAnsi="Verdana"/>
                <w:color w:val="7F7F7F" w:themeColor="text1" w:themeTint="80"/>
                <w:sz w:val="22"/>
                <w:szCs w:val="22"/>
                <w:lang w:val="en-US"/>
              </w:rPr>
              <w:t xml:space="preserve">really </w:t>
            </w:r>
            <w:r w:rsidRPr="00D629C6">
              <w:rPr>
                <w:rFonts w:ascii="Verdana" w:hAnsi="Verdana"/>
                <w:color w:val="7F7F7F" w:themeColor="text1" w:themeTint="80"/>
                <w:sz w:val="22"/>
                <w:szCs w:val="22"/>
                <w:lang w:val="en-US"/>
              </w:rPr>
              <w:t xml:space="preserve">needed. </w:t>
            </w:r>
            <w:r>
              <w:rPr>
                <w:rFonts w:ascii="Verdana" w:hAnsi="Verdana"/>
                <w:color w:val="7F7F7F" w:themeColor="text1" w:themeTint="80"/>
                <w:sz w:val="22"/>
                <w:szCs w:val="22"/>
                <w:lang w:val="en-US"/>
              </w:rPr>
              <w:t>EIOPA does not indicate either</w:t>
            </w:r>
            <w:r w:rsidRPr="00D629C6">
              <w:rPr>
                <w:rFonts w:ascii="Verdana" w:hAnsi="Verdana"/>
                <w:color w:val="7F7F7F" w:themeColor="text1" w:themeTint="80"/>
                <w:sz w:val="22"/>
                <w:szCs w:val="22"/>
                <w:lang w:val="en-US"/>
              </w:rPr>
              <w:t xml:space="preserve"> the number of groups where this issue </w:t>
            </w:r>
            <w:r>
              <w:rPr>
                <w:rFonts w:ascii="Verdana" w:hAnsi="Verdana"/>
                <w:color w:val="7F7F7F" w:themeColor="text1" w:themeTint="80"/>
                <w:sz w:val="22"/>
                <w:szCs w:val="22"/>
                <w:lang w:val="en-US"/>
              </w:rPr>
              <w:t>has been spotted</w:t>
            </w:r>
            <w:r w:rsidRPr="00D629C6">
              <w:rPr>
                <w:rFonts w:ascii="Verdana" w:hAnsi="Verdana"/>
                <w:color w:val="7F7F7F" w:themeColor="text1" w:themeTint="80"/>
                <w:sz w:val="22"/>
                <w:szCs w:val="22"/>
                <w:lang w:val="en-US"/>
              </w:rPr>
              <w:t>.</w:t>
            </w:r>
          </w:p>
        </w:tc>
        <w:tc>
          <w:tcPr>
            <w:tcW w:w="483" w:type="pct"/>
            <w:tcBorders>
              <w:top w:val="single" w:sz="4" w:space="0" w:color="auto"/>
              <w:left w:val="single" w:sz="4" w:space="0" w:color="auto"/>
              <w:bottom w:val="single" w:sz="4" w:space="0" w:color="auto"/>
              <w:right w:val="single" w:sz="4" w:space="0" w:color="auto"/>
            </w:tcBorders>
          </w:tcPr>
          <w:p w14:paraId="3E6E3FDD"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1360A5" w14:paraId="76917F4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1418" w:type="pct"/>
          <w:trHeight w:val="300"/>
        </w:trPr>
        <w:tc>
          <w:tcPr>
            <w:tcW w:w="3582" w:type="pct"/>
            <w:gridSpan w:val="6"/>
            <w:tcBorders>
              <w:top w:val="single" w:sz="4" w:space="0" w:color="auto"/>
              <w:left w:val="single" w:sz="4" w:space="0" w:color="auto"/>
              <w:bottom w:val="single" w:sz="4" w:space="0" w:color="auto"/>
              <w:right w:val="single" w:sz="4" w:space="0" w:color="auto"/>
            </w:tcBorders>
            <w:shd w:val="clear" w:color="auto" w:fill="auto"/>
            <w:noWrap/>
          </w:tcPr>
          <w:p w14:paraId="21E8AF15" w14:textId="747D57A6" w:rsidR="006F5ECC" w:rsidRPr="00B0081A" w:rsidRDefault="006F5ECC" w:rsidP="00020B14">
            <w:pPr>
              <w:tabs>
                <w:tab w:val="left" w:pos="0"/>
                <w:tab w:val="left" w:pos="4536"/>
              </w:tabs>
              <w:rPr>
                <w:rFonts w:ascii="Verdana" w:hAnsi="Verdana"/>
                <w:b/>
                <w:bCs/>
                <w:color w:val="7F7F7F" w:themeColor="text1" w:themeTint="80"/>
                <w:sz w:val="22"/>
                <w:szCs w:val="22"/>
                <w:lang w:val="en-GB" w:eastAsia="fr-FR"/>
              </w:rPr>
            </w:pPr>
            <w:r w:rsidRPr="00B0081A">
              <w:rPr>
                <w:rFonts w:ascii="Verdana" w:hAnsi="Verdana"/>
                <w:b/>
                <w:bCs/>
                <w:color w:val="7F7F7F" w:themeColor="text1" w:themeTint="80"/>
                <w:sz w:val="22"/>
                <w:szCs w:val="22"/>
                <w:lang w:val="en-GB" w:eastAsia="fr-FR"/>
              </w:rPr>
              <w:t>9.3.3 Article 214(2) of the SII Directive – Exclusion from the scope of group supervision</w:t>
            </w:r>
          </w:p>
        </w:tc>
      </w:tr>
      <w:tr w:rsidR="00FC5744" w:rsidRPr="001360A5" w14:paraId="3A64C9A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46871AC" w14:textId="69ABB47F" w:rsidR="006F5ECC" w:rsidRPr="00D629C6" w:rsidRDefault="006F5ECC" w:rsidP="00020B14">
            <w:pPr>
              <w:tabs>
                <w:tab w:val="left" w:pos="0"/>
                <w:tab w:val="left" w:pos="4536"/>
              </w:tabs>
              <w:ind w:left="-96"/>
              <w:rPr>
                <w:rFonts w:ascii="Verdana" w:hAnsi="Verdana"/>
                <w:sz w:val="22"/>
                <w:szCs w:val="22"/>
                <w:lang w:val="en-US"/>
              </w:rPr>
            </w:pPr>
            <w:r w:rsidRPr="00D629C6">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25DDAE99" w14:textId="157A3006" w:rsidR="006F5ECC" w:rsidRPr="001C20F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72</w:t>
            </w:r>
          </w:p>
        </w:tc>
        <w:tc>
          <w:tcPr>
            <w:tcW w:w="1999" w:type="pct"/>
            <w:tcBorders>
              <w:top w:val="single" w:sz="4" w:space="0" w:color="auto"/>
              <w:left w:val="single" w:sz="4" w:space="0" w:color="auto"/>
              <w:bottom w:val="single" w:sz="4" w:space="0" w:color="auto"/>
              <w:right w:val="single" w:sz="4" w:space="0" w:color="auto"/>
            </w:tcBorders>
            <w:vAlign w:val="center"/>
          </w:tcPr>
          <w:p w14:paraId="447FF8A0" w14:textId="12B5C307" w:rsidR="006F5ECC" w:rsidRPr="00D629C6" w:rsidRDefault="006F5ECC" w:rsidP="00020B14">
            <w:pPr>
              <w:tabs>
                <w:tab w:val="left" w:pos="0"/>
                <w:tab w:val="left" w:pos="4536"/>
              </w:tabs>
              <w:rPr>
                <w:rFonts w:ascii="Verdana" w:hAnsi="Verdana"/>
                <w:color w:val="7F7F7F" w:themeColor="text1" w:themeTint="80"/>
                <w:sz w:val="22"/>
                <w:szCs w:val="22"/>
                <w:lang w:val="en-GB" w:eastAsia="fr-FR"/>
              </w:rPr>
            </w:pPr>
            <w:r w:rsidRPr="00D629C6">
              <w:rPr>
                <w:rFonts w:ascii="Verdana" w:hAnsi="Verdana"/>
                <w:color w:val="7F7F7F" w:themeColor="text1" w:themeTint="80"/>
                <w:sz w:val="22"/>
                <w:szCs w:val="22"/>
                <w:lang w:val="en-US"/>
              </w:rPr>
              <w:t xml:space="preserve">Can EIOPA state in how many instances </w:t>
            </w:r>
            <w:r w:rsidRPr="0003536E">
              <w:rPr>
                <w:rFonts w:ascii="Verdana" w:eastAsia="Verdana" w:hAnsi="Verdana" w:cs="Verdana"/>
                <w:color w:val="7F7F7F" w:themeColor="text1" w:themeTint="80"/>
                <w:sz w:val="22"/>
                <w:szCs w:val="22"/>
                <w:lang w:val="en-US"/>
              </w:rPr>
              <w:t>t</w:t>
            </w:r>
            <w:r>
              <w:rPr>
                <w:rFonts w:ascii="Verdana" w:eastAsia="Verdana" w:hAnsi="Verdana" w:cs="Verdana"/>
                <w:color w:val="7F7F7F" w:themeColor="text1" w:themeTint="80"/>
                <w:sz w:val="22"/>
                <w:szCs w:val="22"/>
                <w:lang w:val="en-US"/>
              </w:rPr>
              <w:t>he</w:t>
            </w:r>
            <w:r w:rsidRPr="0003536E">
              <w:rPr>
                <w:rFonts w:ascii="Verdana" w:eastAsia="Verdana" w:hAnsi="Verdana" w:cs="Verdana"/>
                <w:color w:val="7F7F7F" w:themeColor="text1" w:themeTint="80"/>
                <w:sz w:val="22"/>
                <w:szCs w:val="22"/>
                <w:lang w:val="en-US"/>
              </w:rPr>
              <w:t xml:space="preserve"> exclu</w:t>
            </w:r>
            <w:r>
              <w:rPr>
                <w:rFonts w:ascii="Verdana" w:eastAsia="Verdana" w:hAnsi="Verdana" w:cs="Verdana"/>
                <w:color w:val="7F7F7F" w:themeColor="text1" w:themeTint="80"/>
                <w:sz w:val="22"/>
                <w:szCs w:val="22"/>
                <w:lang w:val="en-US"/>
              </w:rPr>
              <w:t>sion of</w:t>
            </w:r>
            <w:r w:rsidRPr="0003536E">
              <w:rPr>
                <w:rFonts w:ascii="Verdana" w:eastAsia="Verdana" w:hAnsi="Verdana" w:cs="Verdana"/>
                <w:color w:val="7F7F7F" w:themeColor="text1" w:themeTint="80"/>
                <w:sz w:val="22"/>
                <w:szCs w:val="22"/>
                <w:lang w:val="en-US"/>
              </w:rPr>
              <w:t xml:space="preserve"> an undertaking from the scope of the group supervision lead to a waiver of the group supervision</w:t>
            </w:r>
            <w:r>
              <w:rPr>
                <w:rFonts w:ascii="Verdana" w:hAnsi="Verdana"/>
                <w:color w:val="7F7F7F" w:themeColor="text1" w:themeTint="80"/>
                <w:sz w:val="22"/>
                <w:szCs w:val="22"/>
                <w:lang w:val="en-US"/>
              </w:rPr>
              <w:t>?</w:t>
            </w:r>
            <w:r w:rsidRPr="009F2362">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We query whether t</w:t>
            </w:r>
            <w:r w:rsidRPr="00D629C6">
              <w:rPr>
                <w:rFonts w:ascii="Verdana" w:hAnsi="Verdana"/>
                <w:color w:val="7F7F7F" w:themeColor="text1" w:themeTint="80"/>
                <w:sz w:val="22"/>
                <w:szCs w:val="22"/>
                <w:lang w:val="en-US"/>
              </w:rPr>
              <w:t>he exclusion is at the discretion of the supervisor</w:t>
            </w:r>
            <w:r>
              <w:rPr>
                <w:rFonts w:ascii="Verdana" w:hAnsi="Verdana"/>
                <w:color w:val="7F7F7F" w:themeColor="text1" w:themeTint="80"/>
                <w:sz w:val="22"/>
                <w:szCs w:val="22"/>
                <w:lang w:val="en-US"/>
              </w:rPr>
              <w:t>y authority or not.</w:t>
            </w:r>
            <w:r w:rsidRPr="00D629C6">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Moreover, i</w:t>
            </w:r>
            <w:r w:rsidRPr="00D629C6">
              <w:rPr>
                <w:rFonts w:ascii="Verdana" w:hAnsi="Verdana"/>
                <w:color w:val="7F7F7F" w:themeColor="text1" w:themeTint="80"/>
                <w:sz w:val="22"/>
                <w:szCs w:val="22"/>
                <w:lang w:val="en-US"/>
              </w:rPr>
              <w:t xml:space="preserve">f </w:t>
            </w:r>
            <w:r>
              <w:rPr>
                <w:rFonts w:ascii="Verdana" w:hAnsi="Verdana"/>
                <w:color w:val="7F7F7F" w:themeColor="text1" w:themeTint="80"/>
                <w:sz w:val="22"/>
                <w:szCs w:val="22"/>
                <w:lang w:val="en-US"/>
              </w:rPr>
              <w:t>an</w:t>
            </w:r>
            <w:r w:rsidRPr="00D629C6">
              <w:rPr>
                <w:rFonts w:ascii="Verdana" w:hAnsi="Verdana"/>
                <w:color w:val="7F7F7F" w:themeColor="text1" w:themeTint="80"/>
                <w:sz w:val="22"/>
                <w:szCs w:val="22"/>
                <w:lang w:val="en-US"/>
              </w:rPr>
              <w:t xml:space="preserve"> exclusion result</w:t>
            </w:r>
            <w:r>
              <w:rPr>
                <w:rFonts w:ascii="Verdana" w:hAnsi="Verdana"/>
                <w:color w:val="7F7F7F" w:themeColor="text1" w:themeTint="80"/>
                <w:sz w:val="22"/>
                <w:szCs w:val="22"/>
                <w:lang w:val="en-US"/>
              </w:rPr>
              <w:t>s</w:t>
            </w:r>
            <w:r w:rsidRPr="00D629C6">
              <w:rPr>
                <w:rFonts w:ascii="Verdana" w:hAnsi="Verdana"/>
                <w:color w:val="7F7F7F" w:themeColor="text1" w:themeTint="80"/>
                <w:sz w:val="22"/>
                <w:szCs w:val="22"/>
                <w:lang w:val="en-US"/>
              </w:rPr>
              <w:t xml:space="preserve"> in no group supervision and th</w:t>
            </w:r>
            <w:r>
              <w:rPr>
                <w:rFonts w:ascii="Verdana" w:hAnsi="Verdana"/>
                <w:color w:val="7F7F7F" w:themeColor="text1" w:themeTint="80"/>
                <w:sz w:val="22"/>
                <w:szCs w:val="22"/>
                <w:lang w:val="en-US"/>
              </w:rPr>
              <w:t xml:space="preserve">is </w:t>
            </w:r>
            <w:r w:rsidRPr="00D629C6">
              <w:rPr>
                <w:rFonts w:ascii="Verdana" w:hAnsi="Verdana"/>
                <w:color w:val="7F7F7F" w:themeColor="text1" w:themeTint="80"/>
                <w:sz w:val="22"/>
                <w:szCs w:val="22"/>
                <w:lang w:val="en-US"/>
              </w:rPr>
              <w:t>is an issue</w:t>
            </w:r>
            <w:r>
              <w:rPr>
                <w:rFonts w:ascii="Verdana" w:hAnsi="Verdana"/>
                <w:color w:val="7F7F7F" w:themeColor="text1" w:themeTint="80"/>
                <w:sz w:val="22"/>
                <w:szCs w:val="22"/>
                <w:lang w:val="en-US"/>
              </w:rPr>
              <w:t xml:space="preserve"> for the supervisory authority,</w:t>
            </w:r>
            <w:r w:rsidRPr="00D629C6">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 xml:space="preserve">we doubt </w:t>
            </w:r>
            <w:r w:rsidRPr="00D629C6">
              <w:rPr>
                <w:rFonts w:ascii="Verdana" w:hAnsi="Verdana"/>
                <w:color w:val="7F7F7F" w:themeColor="text1" w:themeTint="80"/>
                <w:sz w:val="22"/>
                <w:szCs w:val="22"/>
                <w:lang w:val="en-US"/>
              </w:rPr>
              <w:t>th</w:t>
            </w:r>
            <w:r>
              <w:rPr>
                <w:rFonts w:ascii="Verdana" w:hAnsi="Verdana"/>
                <w:color w:val="7F7F7F" w:themeColor="text1" w:themeTint="80"/>
                <w:sz w:val="22"/>
                <w:szCs w:val="22"/>
                <w:lang w:val="en-US"/>
              </w:rPr>
              <w:t>at</w:t>
            </w:r>
            <w:r w:rsidRPr="00D629C6">
              <w:rPr>
                <w:rFonts w:ascii="Verdana" w:hAnsi="Verdana"/>
                <w:color w:val="7F7F7F" w:themeColor="text1" w:themeTint="80"/>
                <w:sz w:val="22"/>
                <w:szCs w:val="22"/>
                <w:lang w:val="en-US"/>
              </w:rPr>
              <w:t xml:space="preserve"> supervisor </w:t>
            </w:r>
            <w:r>
              <w:rPr>
                <w:rFonts w:ascii="Verdana" w:hAnsi="Verdana"/>
                <w:color w:val="7F7F7F" w:themeColor="text1" w:themeTint="80"/>
                <w:sz w:val="22"/>
                <w:szCs w:val="22"/>
                <w:lang w:val="en-US"/>
              </w:rPr>
              <w:t xml:space="preserve">will </w:t>
            </w:r>
            <w:r w:rsidRPr="00D629C6">
              <w:rPr>
                <w:rFonts w:ascii="Verdana" w:hAnsi="Verdana"/>
                <w:color w:val="7F7F7F" w:themeColor="text1" w:themeTint="80"/>
                <w:sz w:val="22"/>
                <w:szCs w:val="22"/>
                <w:lang w:val="en-US"/>
              </w:rPr>
              <w:t>grant this exemption</w:t>
            </w:r>
            <w:r>
              <w:rPr>
                <w:rFonts w:ascii="Verdana" w:hAnsi="Verdana"/>
                <w:color w:val="7F7F7F" w:themeColor="text1" w:themeTint="80"/>
                <w:sz w:val="22"/>
                <w:szCs w:val="22"/>
                <w:lang w:val="en-US"/>
              </w:rPr>
              <w:t>.</w:t>
            </w:r>
            <w:r w:rsidRPr="00D629C6">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 xml:space="preserve">Potential conflicts between national competent authorities should be solved with the mediation of EIOPA but they should </w:t>
            </w:r>
            <w:r w:rsidRPr="00D629C6">
              <w:rPr>
                <w:rFonts w:ascii="Verdana" w:hAnsi="Verdana"/>
                <w:color w:val="7F7F7F" w:themeColor="text1" w:themeTint="80"/>
                <w:sz w:val="22"/>
                <w:szCs w:val="22"/>
                <w:lang w:val="en-US"/>
              </w:rPr>
              <w:t xml:space="preserve">not lead to changes </w:t>
            </w:r>
            <w:r>
              <w:rPr>
                <w:rFonts w:ascii="Verdana" w:hAnsi="Verdana"/>
                <w:color w:val="7F7F7F" w:themeColor="text1" w:themeTint="80"/>
                <w:sz w:val="22"/>
                <w:szCs w:val="22"/>
                <w:lang w:val="en-US"/>
              </w:rPr>
              <w:t>to the</w:t>
            </w:r>
            <w:r w:rsidRPr="00D629C6">
              <w:rPr>
                <w:rFonts w:ascii="Verdana" w:hAnsi="Verdana"/>
                <w:color w:val="7F7F7F" w:themeColor="text1" w:themeTint="80"/>
                <w:sz w:val="22"/>
                <w:szCs w:val="22"/>
                <w:lang w:val="en-US"/>
              </w:rPr>
              <w:t xml:space="preserve"> legislation.</w:t>
            </w:r>
          </w:p>
        </w:tc>
        <w:tc>
          <w:tcPr>
            <w:tcW w:w="483" w:type="pct"/>
            <w:tcBorders>
              <w:top w:val="single" w:sz="4" w:space="0" w:color="auto"/>
              <w:left w:val="single" w:sz="4" w:space="0" w:color="auto"/>
              <w:bottom w:val="single" w:sz="4" w:space="0" w:color="auto"/>
              <w:right w:val="single" w:sz="4" w:space="0" w:color="auto"/>
            </w:tcBorders>
          </w:tcPr>
          <w:p w14:paraId="7C71F22E"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3C59E78E"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79981CF" w14:textId="6B989FDB" w:rsidR="006F5ECC" w:rsidRPr="001C20F5" w:rsidRDefault="006F5ECC" w:rsidP="00020B14">
            <w:pPr>
              <w:tabs>
                <w:tab w:val="left" w:pos="0"/>
                <w:tab w:val="left" w:pos="4536"/>
              </w:tabs>
              <w:ind w:left="-96"/>
              <w:rPr>
                <w:lang w:val="en-US"/>
              </w:rPr>
            </w:pPr>
            <w:r w:rsidRPr="00673719">
              <w:rPr>
                <w:rFonts w:ascii="Verdana" w:hAnsi="Verdana"/>
                <w:color w:val="7F7F7F"/>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6715B01F" w14:textId="22C75217" w:rsidR="006F5ECC" w:rsidRPr="001C20F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78</w:t>
            </w:r>
          </w:p>
        </w:tc>
        <w:tc>
          <w:tcPr>
            <w:tcW w:w="1999" w:type="pct"/>
            <w:tcBorders>
              <w:top w:val="single" w:sz="4" w:space="0" w:color="auto"/>
              <w:left w:val="single" w:sz="4" w:space="0" w:color="auto"/>
              <w:bottom w:val="single" w:sz="4" w:space="0" w:color="auto"/>
              <w:right w:val="single" w:sz="4" w:space="0" w:color="auto"/>
            </w:tcBorders>
            <w:vAlign w:val="center"/>
          </w:tcPr>
          <w:p w14:paraId="461291DE" w14:textId="56E79F6C" w:rsidR="006F5ECC" w:rsidRPr="00D629C6" w:rsidRDefault="006F5ECC" w:rsidP="00020B14">
            <w:pPr>
              <w:tabs>
                <w:tab w:val="left" w:pos="0"/>
                <w:tab w:val="left" w:pos="4536"/>
              </w:tabs>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US"/>
              </w:rPr>
              <w:t>We query w</w:t>
            </w:r>
            <w:r w:rsidRPr="00D629C6">
              <w:rPr>
                <w:rFonts w:ascii="Verdana" w:hAnsi="Verdana"/>
                <w:color w:val="7F7F7F" w:themeColor="text1" w:themeTint="80"/>
                <w:sz w:val="22"/>
                <w:szCs w:val="22"/>
                <w:lang w:val="en-US"/>
              </w:rPr>
              <w:t xml:space="preserve">hy this </w:t>
            </w:r>
            <w:r>
              <w:rPr>
                <w:rFonts w:ascii="Verdana" w:hAnsi="Verdana"/>
                <w:color w:val="7F7F7F" w:themeColor="text1" w:themeTint="80"/>
                <w:sz w:val="22"/>
                <w:szCs w:val="22"/>
                <w:lang w:val="en-US"/>
              </w:rPr>
              <w:t xml:space="preserve">is </w:t>
            </w:r>
            <w:r w:rsidRPr="00D629C6">
              <w:rPr>
                <w:rFonts w:ascii="Verdana" w:hAnsi="Verdana"/>
                <w:color w:val="7F7F7F" w:themeColor="text1" w:themeTint="80"/>
                <w:sz w:val="22"/>
                <w:szCs w:val="22"/>
                <w:lang w:val="en-US"/>
              </w:rPr>
              <w:t>an issue</w:t>
            </w:r>
            <w:r>
              <w:rPr>
                <w:rFonts w:ascii="Verdana" w:hAnsi="Verdana"/>
                <w:color w:val="7F7F7F" w:themeColor="text1" w:themeTint="80"/>
                <w:sz w:val="22"/>
                <w:szCs w:val="22"/>
                <w:lang w:val="en-US"/>
              </w:rPr>
              <w:t xml:space="preserve"> and whether anything did not go well</w:t>
            </w:r>
            <w:r w:rsidRPr="00D629C6">
              <w:rPr>
                <w:rFonts w:ascii="Verdana" w:hAnsi="Verdana"/>
                <w:color w:val="7F7F7F" w:themeColor="text1" w:themeTint="80"/>
                <w:sz w:val="22"/>
                <w:szCs w:val="22"/>
                <w:lang w:val="en-US"/>
              </w:rPr>
              <w:t xml:space="preserve"> in practice</w:t>
            </w:r>
            <w:r>
              <w:rPr>
                <w:rFonts w:ascii="Verdana" w:hAnsi="Verdana"/>
                <w:color w:val="7F7F7F" w:themeColor="text1" w:themeTint="80"/>
                <w:sz w:val="22"/>
                <w:szCs w:val="22"/>
                <w:lang w:val="en-US"/>
              </w:rPr>
              <w:t>.</w:t>
            </w:r>
          </w:p>
        </w:tc>
        <w:tc>
          <w:tcPr>
            <w:tcW w:w="483" w:type="pct"/>
            <w:tcBorders>
              <w:top w:val="single" w:sz="4" w:space="0" w:color="auto"/>
              <w:left w:val="single" w:sz="4" w:space="0" w:color="auto"/>
              <w:bottom w:val="single" w:sz="4" w:space="0" w:color="auto"/>
              <w:right w:val="single" w:sz="4" w:space="0" w:color="auto"/>
            </w:tcBorders>
          </w:tcPr>
          <w:p w14:paraId="5172CE1C"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0D25BCD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0151531" w14:textId="1D7F3E7B" w:rsidR="006F5ECC" w:rsidRPr="001C20F5" w:rsidRDefault="006F5ECC" w:rsidP="00020B14">
            <w:pPr>
              <w:tabs>
                <w:tab w:val="left" w:pos="0"/>
                <w:tab w:val="left" w:pos="4536"/>
              </w:tabs>
              <w:ind w:left="-96"/>
              <w:rPr>
                <w:lang w:val="en-US"/>
              </w:rPr>
            </w:pPr>
            <w:r w:rsidRPr="00673719">
              <w:rPr>
                <w:rFonts w:ascii="Verdana" w:hAnsi="Verdana"/>
                <w:color w:val="7F7F7F"/>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23DAD424" w14:textId="36DFDB23" w:rsidR="006F5ECC" w:rsidRPr="001C20F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90</w:t>
            </w:r>
          </w:p>
        </w:tc>
        <w:tc>
          <w:tcPr>
            <w:tcW w:w="1999" w:type="pct"/>
            <w:tcBorders>
              <w:top w:val="single" w:sz="4" w:space="0" w:color="auto"/>
              <w:left w:val="single" w:sz="4" w:space="0" w:color="auto"/>
              <w:bottom w:val="single" w:sz="4" w:space="0" w:color="auto"/>
              <w:right w:val="single" w:sz="4" w:space="0" w:color="auto"/>
            </w:tcBorders>
            <w:vAlign w:val="center"/>
          </w:tcPr>
          <w:p w14:paraId="7B223006" w14:textId="312B1B82" w:rsidR="006F5ECC" w:rsidRPr="0003536E" w:rsidRDefault="006F5ECC" w:rsidP="00020B14">
            <w:pPr>
              <w:tabs>
                <w:tab w:val="left" w:pos="0"/>
                <w:tab w:val="left" w:pos="4536"/>
              </w:tabs>
              <w:rPr>
                <w:rFonts w:ascii="Verdana" w:hAnsi="Verdana"/>
                <w:b/>
                <w:bCs/>
                <w:color w:val="7F7F7F" w:themeColor="text1" w:themeTint="80"/>
                <w:sz w:val="22"/>
                <w:szCs w:val="22"/>
                <w:lang w:val="en-US"/>
              </w:rPr>
            </w:pPr>
            <w:r>
              <w:rPr>
                <w:rFonts w:ascii="Verdana" w:hAnsi="Verdana"/>
                <w:b/>
                <w:bCs/>
                <w:color w:val="7F7F7F" w:themeColor="text1" w:themeTint="80"/>
                <w:sz w:val="22"/>
                <w:szCs w:val="22"/>
                <w:lang w:val="en-US"/>
              </w:rPr>
              <w:t>EIOPA´s Advice on Policy Issue 1: Different practices related to the exclusion of undertakings from the scope of the group</w:t>
            </w:r>
          </w:p>
          <w:p w14:paraId="1D092CAA" w14:textId="6207A5ED" w:rsidR="006F5ECC" w:rsidRPr="00D629C6" w:rsidRDefault="006F5ECC" w:rsidP="00020B14">
            <w:pPr>
              <w:tabs>
                <w:tab w:val="left" w:pos="0"/>
                <w:tab w:val="left" w:pos="4536"/>
              </w:tabs>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US"/>
              </w:rPr>
              <w:t>We query w</w:t>
            </w:r>
            <w:r w:rsidRPr="00D629C6">
              <w:rPr>
                <w:rFonts w:ascii="Verdana" w:hAnsi="Verdana"/>
                <w:color w:val="7F7F7F" w:themeColor="text1" w:themeTint="80"/>
                <w:sz w:val="22"/>
                <w:szCs w:val="22"/>
                <w:lang w:val="en-US"/>
              </w:rPr>
              <w:t xml:space="preserve">hy </w:t>
            </w:r>
            <w:r>
              <w:rPr>
                <w:rFonts w:ascii="Verdana" w:hAnsi="Verdana"/>
                <w:color w:val="7F7F7F" w:themeColor="text1" w:themeTint="80"/>
                <w:sz w:val="22"/>
                <w:szCs w:val="22"/>
                <w:lang w:val="en-US"/>
              </w:rPr>
              <w:t xml:space="preserve">EIOPA </w:t>
            </w:r>
            <w:r w:rsidRPr="00D629C6">
              <w:rPr>
                <w:rFonts w:ascii="Verdana" w:hAnsi="Verdana"/>
                <w:color w:val="7F7F7F" w:themeColor="text1" w:themeTint="80"/>
                <w:sz w:val="22"/>
                <w:szCs w:val="22"/>
                <w:lang w:val="en-US"/>
              </w:rPr>
              <w:t>should be consulted</w:t>
            </w:r>
            <w:r>
              <w:rPr>
                <w:rFonts w:ascii="Verdana" w:hAnsi="Verdana"/>
                <w:color w:val="7F7F7F" w:themeColor="text1" w:themeTint="80"/>
                <w:sz w:val="22"/>
                <w:szCs w:val="22"/>
                <w:lang w:val="en-US"/>
              </w:rPr>
              <w:t xml:space="preserve"> on the exclusion from group supervision.</w:t>
            </w:r>
            <w:r w:rsidRPr="00D629C6">
              <w:rPr>
                <w:rFonts w:ascii="Verdana" w:hAnsi="Verdana"/>
                <w:color w:val="7F7F7F" w:themeColor="text1" w:themeTint="80"/>
                <w:sz w:val="22"/>
                <w:szCs w:val="22"/>
                <w:lang w:val="en-US"/>
              </w:rPr>
              <w:t xml:space="preserve"> It </w:t>
            </w:r>
            <w:r>
              <w:rPr>
                <w:rFonts w:ascii="Verdana" w:hAnsi="Verdana"/>
                <w:color w:val="7F7F7F" w:themeColor="text1" w:themeTint="80"/>
                <w:sz w:val="22"/>
                <w:szCs w:val="22"/>
                <w:lang w:val="en-US"/>
              </w:rPr>
              <w:t>could be</w:t>
            </w:r>
            <w:r w:rsidRPr="00D629C6">
              <w:rPr>
                <w:rFonts w:ascii="Verdana" w:hAnsi="Verdana"/>
                <w:color w:val="7F7F7F" w:themeColor="text1" w:themeTint="80"/>
                <w:sz w:val="22"/>
                <w:szCs w:val="22"/>
                <w:lang w:val="en-US"/>
              </w:rPr>
              <w:t xml:space="preserve"> a</w:t>
            </w:r>
            <w:r>
              <w:rPr>
                <w:rFonts w:ascii="Verdana" w:hAnsi="Verdana"/>
                <w:color w:val="7F7F7F" w:themeColor="text1" w:themeTint="80"/>
                <w:sz w:val="22"/>
                <w:szCs w:val="22"/>
                <w:lang w:val="en-US"/>
              </w:rPr>
              <w:t>n</w:t>
            </w:r>
            <w:r w:rsidRPr="00D629C6">
              <w:rPr>
                <w:rFonts w:ascii="Verdana" w:hAnsi="Verdana"/>
                <w:color w:val="7F7F7F" w:themeColor="text1" w:themeTint="80"/>
                <w:sz w:val="22"/>
                <w:szCs w:val="22"/>
                <w:lang w:val="en-US"/>
              </w:rPr>
              <w:t xml:space="preserve"> issue </w:t>
            </w:r>
            <w:r>
              <w:rPr>
                <w:rFonts w:ascii="Verdana" w:hAnsi="Verdana"/>
                <w:color w:val="7F7F7F" w:themeColor="text1" w:themeTint="80"/>
                <w:sz w:val="22"/>
                <w:szCs w:val="22"/>
                <w:lang w:val="en-US"/>
              </w:rPr>
              <w:t>between</w:t>
            </w:r>
            <w:r w:rsidRPr="00D629C6">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national</w:t>
            </w:r>
            <w:r w:rsidRPr="00D629C6">
              <w:rPr>
                <w:rFonts w:ascii="Verdana" w:hAnsi="Verdana"/>
                <w:color w:val="7F7F7F" w:themeColor="text1" w:themeTint="80"/>
                <w:sz w:val="22"/>
                <w:szCs w:val="22"/>
                <w:lang w:val="en-US"/>
              </w:rPr>
              <w:t xml:space="preserve"> competent authorities </w:t>
            </w:r>
            <w:r>
              <w:rPr>
                <w:rFonts w:ascii="Verdana" w:hAnsi="Verdana"/>
                <w:color w:val="7F7F7F" w:themeColor="text1" w:themeTint="80"/>
                <w:sz w:val="22"/>
                <w:szCs w:val="22"/>
                <w:lang w:val="en-US"/>
              </w:rPr>
              <w:t>and Member States regarding</w:t>
            </w:r>
            <w:r w:rsidRPr="00D629C6">
              <w:rPr>
                <w:rFonts w:ascii="Verdana" w:hAnsi="Verdana"/>
                <w:color w:val="7F7F7F" w:themeColor="text1" w:themeTint="80"/>
                <w:sz w:val="22"/>
                <w:szCs w:val="22"/>
                <w:lang w:val="en-US"/>
              </w:rPr>
              <w:t xml:space="preserve"> the structure of </w:t>
            </w:r>
            <w:r>
              <w:rPr>
                <w:rFonts w:ascii="Verdana" w:hAnsi="Verdana"/>
                <w:color w:val="7F7F7F" w:themeColor="text1" w:themeTint="80"/>
                <w:sz w:val="22"/>
                <w:szCs w:val="22"/>
                <w:lang w:val="en-US"/>
              </w:rPr>
              <w:t>a</w:t>
            </w:r>
            <w:r w:rsidRPr="00D629C6">
              <w:rPr>
                <w:rFonts w:ascii="Verdana" w:hAnsi="Verdana"/>
                <w:color w:val="7F7F7F" w:themeColor="text1" w:themeTint="80"/>
                <w:sz w:val="22"/>
                <w:szCs w:val="22"/>
                <w:lang w:val="en-US"/>
              </w:rPr>
              <w:t xml:space="preserve"> group and </w:t>
            </w:r>
            <w:r>
              <w:rPr>
                <w:rFonts w:ascii="Verdana" w:hAnsi="Verdana"/>
                <w:color w:val="7F7F7F" w:themeColor="text1" w:themeTint="80"/>
                <w:sz w:val="22"/>
                <w:szCs w:val="22"/>
                <w:lang w:val="en-US"/>
              </w:rPr>
              <w:t>jurisdiction</w:t>
            </w:r>
            <w:r w:rsidRPr="00D629C6">
              <w:rPr>
                <w:rFonts w:ascii="Verdana" w:hAnsi="Verdana"/>
                <w:color w:val="7F7F7F" w:themeColor="text1" w:themeTint="80"/>
                <w:sz w:val="22"/>
                <w:szCs w:val="22"/>
                <w:lang w:val="en-US"/>
              </w:rPr>
              <w:t xml:space="preserve"> where the group is pursuing </w:t>
            </w:r>
            <w:r>
              <w:rPr>
                <w:rFonts w:ascii="Verdana" w:hAnsi="Verdana"/>
                <w:color w:val="7F7F7F" w:themeColor="text1" w:themeTint="80"/>
                <w:sz w:val="22"/>
                <w:szCs w:val="22"/>
                <w:lang w:val="en-US"/>
              </w:rPr>
              <w:t xml:space="preserve">its </w:t>
            </w:r>
            <w:r w:rsidRPr="00D629C6">
              <w:rPr>
                <w:rFonts w:ascii="Verdana" w:hAnsi="Verdana"/>
                <w:color w:val="7F7F7F" w:themeColor="text1" w:themeTint="80"/>
                <w:sz w:val="22"/>
                <w:szCs w:val="22"/>
                <w:lang w:val="en-US"/>
              </w:rPr>
              <w:t>business.</w:t>
            </w:r>
          </w:p>
        </w:tc>
        <w:tc>
          <w:tcPr>
            <w:tcW w:w="483" w:type="pct"/>
            <w:tcBorders>
              <w:top w:val="single" w:sz="4" w:space="0" w:color="auto"/>
              <w:left w:val="single" w:sz="4" w:space="0" w:color="auto"/>
              <w:bottom w:val="single" w:sz="4" w:space="0" w:color="auto"/>
              <w:right w:val="single" w:sz="4" w:space="0" w:color="auto"/>
            </w:tcBorders>
          </w:tcPr>
          <w:p w14:paraId="04034975"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1360A5" w14:paraId="64F22403"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3084" w:type="pct"/>
            <w:gridSpan w:val="4"/>
            <w:tcBorders>
              <w:top w:val="single" w:sz="4" w:space="0" w:color="auto"/>
              <w:left w:val="single" w:sz="4" w:space="0" w:color="auto"/>
              <w:bottom w:val="single" w:sz="4" w:space="0" w:color="auto"/>
              <w:right w:val="single" w:sz="4" w:space="0" w:color="auto"/>
            </w:tcBorders>
            <w:shd w:val="clear" w:color="auto" w:fill="auto"/>
            <w:noWrap/>
          </w:tcPr>
          <w:p w14:paraId="1107EA65" w14:textId="3B4A4A85" w:rsidR="006F5ECC" w:rsidRPr="0003536E" w:rsidRDefault="006F5ECC" w:rsidP="00020B14">
            <w:pPr>
              <w:tabs>
                <w:tab w:val="left" w:pos="0"/>
                <w:tab w:val="left" w:pos="4536"/>
              </w:tabs>
              <w:rPr>
                <w:rFonts w:ascii="Verdana" w:hAnsi="Verdana"/>
                <w:b/>
                <w:bCs/>
                <w:color w:val="7F7F7F" w:themeColor="text1" w:themeTint="80"/>
                <w:sz w:val="22"/>
                <w:szCs w:val="22"/>
                <w:lang w:val="en-US"/>
              </w:rPr>
            </w:pPr>
            <w:r>
              <w:rPr>
                <w:rFonts w:ascii="Verdana" w:hAnsi="Verdana"/>
                <w:b/>
                <w:bCs/>
                <w:color w:val="7F7F7F" w:themeColor="text1" w:themeTint="80"/>
                <w:sz w:val="22"/>
                <w:szCs w:val="22"/>
                <w:lang w:val="en-US"/>
              </w:rPr>
              <w:lastRenderedPageBreak/>
              <w:t>9.3.4 Supervision of Intragroup transactions (IGTs) and Risk Concentrations (RCs)</w:t>
            </w:r>
          </w:p>
        </w:tc>
        <w:tc>
          <w:tcPr>
            <w:tcW w:w="483" w:type="pct"/>
            <w:tcBorders>
              <w:top w:val="single" w:sz="4" w:space="0" w:color="auto"/>
              <w:left w:val="single" w:sz="4" w:space="0" w:color="auto"/>
              <w:bottom w:val="single" w:sz="4" w:space="0" w:color="auto"/>
              <w:right w:val="single" w:sz="4" w:space="0" w:color="auto"/>
            </w:tcBorders>
          </w:tcPr>
          <w:p w14:paraId="77B7E5A7"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7736654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BCB15F7" w14:textId="3C1044AA" w:rsidR="006F5ECC" w:rsidRPr="001C20F5" w:rsidRDefault="006F5ECC" w:rsidP="00020B14">
            <w:pPr>
              <w:tabs>
                <w:tab w:val="left" w:pos="0"/>
                <w:tab w:val="left" w:pos="4536"/>
              </w:tabs>
              <w:ind w:left="-96"/>
              <w:rPr>
                <w:lang w:val="en-US"/>
              </w:rPr>
            </w:pPr>
            <w:r w:rsidRPr="00673719">
              <w:rPr>
                <w:rFonts w:ascii="Verdana" w:hAnsi="Verdana"/>
                <w:color w:val="7F7F7F"/>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3916A0F6" w14:textId="67F31C7F" w:rsidR="006F5ECC" w:rsidRPr="001C20F5" w:rsidRDefault="006F5ECC" w:rsidP="00020B14">
            <w:pPr>
              <w:tabs>
                <w:tab w:val="left" w:pos="0"/>
                <w:tab w:val="left" w:pos="4536"/>
              </w:tabs>
              <w:ind w:left="-96"/>
              <w:rPr>
                <w:rFonts w:ascii="Verdana" w:hAnsi="Verdana"/>
                <w:color w:val="7F7F7F"/>
                <w:sz w:val="22"/>
                <w:szCs w:val="22"/>
                <w:lang w:val="en-US"/>
              </w:rPr>
            </w:pPr>
            <w:r w:rsidRPr="00CF2245">
              <w:rPr>
                <w:rFonts w:ascii="Verdana" w:hAnsi="Verdana"/>
                <w:color w:val="7F7F7F"/>
                <w:sz w:val="22"/>
                <w:szCs w:val="22"/>
                <w:lang w:val="en-US"/>
              </w:rPr>
              <w:t>101</w:t>
            </w:r>
          </w:p>
        </w:tc>
        <w:tc>
          <w:tcPr>
            <w:tcW w:w="1999" w:type="pct"/>
            <w:tcBorders>
              <w:top w:val="single" w:sz="4" w:space="0" w:color="auto"/>
              <w:left w:val="single" w:sz="4" w:space="0" w:color="auto"/>
              <w:bottom w:val="single" w:sz="4" w:space="0" w:color="auto"/>
              <w:right w:val="single" w:sz="4" w:space="0" w:color="auto"/>
            </w:tcBorders>
            <w:vAlign w:val="center"/>
          </w:tcPr>
          <w:p w14:paraId="17152529" w14:textId="4BC4E9F5" w:rsidR="006F5ECC" w:rsidRPr="0003536E" w:rsidRDefault="006F5ECC" w:rsidP="00020B14">
            <w:pPr>
              <w:tabs>
                <w:tab w:val="left" w:pos="0"/>
                <w:tab w:val="left" w:pos="4536"/>
              </w:tabs>
              <w:rPr>
                <w:rFonts w:ascii="Verdana" w:hAnsi="Verdana"/>
                <w:b/>
                <w:bCs/>
                <w:color w:val="7F7F7F" w:themeColor="text1" w:themeTint="80"/>
                <w:sz w:val="22"/>
                <w:szCs w:val="22"/>
                <w:lang w:val="en-US"/>
              </w:rPr>
            </w:pPr>
            <w:r>
              <w:rPr>
                <w:rFonts w:ascii="Verdana" w:hAnsi="Verdana"/>
                <w:b/>
                <w:bCs/>
                <w:color w:val="7F7F7F" w:themeColor="text1" w:themeTint="80"/>
                <w:sz w:val="22"/>
                <w:szCs w:val="22"/>
                <w:lang w:val="en-US"/>
              </w:rPr>
              <w:t>Policy Issue 1 – IGTs definition</w:t>
            </w:r>
          </w:p>
          <w:p w14:paraId="3429DD80" w14:textId="4E6D3421" w:rsidR="006F5ECC" w:rsidRPr="00D629C6" w:rsidRDefault="006F5ECC" w:rsidP="00020B14">
            <w:pPr>
              <w:tabs>
                <w:tab w:val="left" w:pos="0"/>
                <w:tab w:val="left" w:pos="4536"/>
              </w:tabs>
              <w:rPr>
                <w:rFonts w:ascii="Verdana" w:hAnsi="Verdana"/>
                <w:color w:val="7F7F7F" w:themeColor="text1" w:themeTint="80"/>
                <w:sz w:val="22"/>
                <w:szCs w:val="22"/>
                <w:lang w:val="en-GB" w:eastAsia="fr-FR"/>
              </w:rPr>
            </w:pPr>
            <w:r w:rsidRPr="00D629C6">
              <w:rPr>
                <w:rFonts w:ascii="Verdana" w:hAnsi="Verdana"/>
                <w:color w:val="7F7F7F" w:themeColor="text1" w:themeTint="80"/>
                <w:sz w:val="22"/>
                <w:szCs w:val="22"/>
                <w:lang w:val="en-US"/>
              </w:rPr>
              <w:t xml:space="preserve">Can EIOPA explain in how many cases, the group supervisor was unable to retrieve the information as requested </w:t>
            </w:r>
            <w:r>
              <w:rPr>
                <w:rFonts w:ascii="Verdana" w:hAnsi="Verdana"/>
                <w:color w:val="7F7F7F" w:themeColor="text1" w:themeTint="80"/>
                <w:sz w:val="22"/>
                <w:szCs w:val="22"/>
                <w:lang w:val="en-US"/>
              </w:rPr>
              <w:t>on</w:t>
            </w:r>
            <w:r w:rsidRPr="00D629C6">
              <w:rPr>
                <w:rFonts w:ascii="Verdana" w:hAnsi="Verdana"/>
                <w:color w:val="7F7F7F" w:themeColor="text1" w:themeTint="80"/>
                <w:sz w:val="22"/>
                <w:szCs w:val="22"/>
                <w:lang w:val="en-US"/>
              </w:rPr>
              <w:t xml:space="preserve"> IGTs. In how many cases did the group deliberately excluded that IGT information considered by EIOPA as a "gap"?</w:t>
            </w:r>
          </w:p>
        </w:tc>
        <w:tc>
          <w:tcPr>
            <w:tcW w:w="483" w:type="pct"/>
            <w:tcBorders>
              <w:top w:val="single" w:sz="4" w:space="0" w:color="auto"/>
              <w:left w:val="single" w:sz="4" w:space="0" w:color="auto"/>
              <w:bottom w:val="single" w:sz="4" w:space="0" w:color="auto"/>
              <w:right w:val="single" w:sz="4" w:space="0" w:color="auto"/>
            </w:tcBorders>
          </w:tcPr>
          <w:p w14:paraId="45235310"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31B35730"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CD928AA" w14:textId="3FD1FC19" w:rsidR="006F5ECC" w:rsidRPr="001C20F5" w:rsidRDefault="006F5ECC" w:rsidP="00020B14">
            <w:pPr>
              <w:tabs>
                <w:tab w:val="left" w:pos="0"/>
                <w:tab w:val="left" w:pos="4536"/>
              </w:tabs>
              <w:ind w:left="-96"/>
              <w:rPr>
                <w:lang w:val="en-US"/>
              </w:rPr>
            </w:pPr>
            <w:r w:rsidRPr="00673719">
              <w:rPr>
                <w:rFonts w:ascii="Verdana" w:hAnsi="Verdana"/>
                <w:color w:val="7F7F7F"/>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31F9FEF7" w14:textId="09EC0D96" w:rsidR="006F5ECC" w:rsidRPr="001C20F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104</w:t>
            </w:r>
          </w:p>
        </w:tc>
        <w:tc>
          <w:tcPr>
            <w:tcW w:w="1999" w:type="pct"/>
            <w:tcBorders>
              <w:top w:val="single" w:sz="4" w:space="0" w:color="auto"/>
              <w:left w:val="single" w:sz="4" w:space="0" w:color="auto"/>
              <w:bottom w:val="single" w:sz="4" w:space="0" w:color="auto"/>
              <w:right w:val="single" w:sz="4" w:space="0" w:color="auto"/>
            </w:tcBorders>
            <w:vAlign w:val="center"/>
          </w:tcPr>
          <w:p w14:paraId="5EB71149" w14:textId="48E9FDFD" w:rsidR="006F5ECC" w:rsidRPr="00C53477" w:rsidRDefault="006F5ECC" w:rsidP="00020B14">
            <w:pPr>
              <w:tabs>
                <w:tab w:val="left" w:pos="0"/>
                <w:tab w:val="left" w:pos="4536"/>
              </w:tabs>
              <w:rPr>
                <w:rFonts w:ascii="Verdana" w:hAnsi="Verdana"/>
                <w:color w:val="7F7F7F" w:themeColor="text1" w:themeTint="80"/>
                <w:sz w:val="22"/>
                <w:szCs w:val="22"/>
                <w:lang w:val="en-GB" w:eastAsia="fr-FR"/>
              </w:rPr>
            </w:pPr>
            <w:r>
              <w:rPr>
                <w:rFonts w:ascii="Verdana" w:eastAsia="Verdana" w:hAnsi="Verdana" w:cs="Verdana"/>
                <w:color w:val="7F7F7F" w:themeColor="text1" w:themeTint="80"/>
                <w:sz w:val="22"/>
                <w:szCs w:val="22"/>
                <w:lang w:val="en-US"/>
              </w:rPr>
              <w:t>EIOPA explains that a</w:t>
            </w:r>
            <w:r w:rsidRPr="00C53477">
              <w:rPr>
                <w:rFonts w:ascii="Verdana" w:eastAsia="Verdana" w:hAnsi="Verdana" w:cs="Verdana"/>
                <w:color w:val="7F7F7F" w:themeColor="text1" w:themeTint="80"/>
                <w:sz w:val="22"/>
                <w:szCs w:val="22"/>
                <w:lang w:val="en-US"/>
              </w:rPr>
              <w:t xml:space="preserve">n additional issue relates to the case where a mixed-activity insurance holding company (MAIHC) is the head of a </w:t>
            </w:r>
            <w:r>
              <w:rPr>
                <w:rFonts w:ascii="Verdana" w:eastAsia="Verdana" w:hAnsi="Verdana" w:cs="Verdana"/>
                <w:color w:val="7F7F7F" w:themeColor="text1" w:themeTint="80"/>
                <w:sz w:val="22"/>
                <w:szCs w:val="22"/>
                <w:lang w:val="en-US"/>
              </w:rPr>
              <w:t>f</w:t>
            </w:r>
            <w:r w:rsidRPr="00C53477">
              <w:rPr>
                <w:rFonts w:ascii="Verdana" w:eastAsia="Verdana" w:hAnsi="Verdana" w:cs="Verdana"/>
                <w:color w:val="7F7F7F" w:themeColor="text1" w:themeTint="80"/>
                <w:sz w:val="22"/>
                <w:szCs w:val="22"/>
                <w:lang w:val="en-US"/>
              </w:rPr>
              <w:t xml:space="preserve">inancial </w:t>
            </w:r>
            <w:r>
              <w:rPr>
                <w:rFonts w:ascii="Verdana" w:eastAsia="Verdana" w:hAnsi="Verdana" w:cs="Verdana"/>
                <w:color w:val="7F7F7F" w:themeColor="text1" w:themeTint="80"/>
                <w:sz w:val="22"/>
                <w:szCs w:val="22"/>
                <w:lang w:val="en-US"/>
              </w:rPr>
              <w:t>c</w:t>
            </w:r>
            <w:r w:rsidRPr="00C53477">
              <w:rPr>
                <w:rFonts w:ascii="Verdana" w:eastAsia="Verdana" w:hAnsi="Verdana" w:cs="Verdana"/>
                <w:color w:val="7F7F7F" w:themeColor="text1" w:themeTint="80"/>
                <w:sz w:val="22"/>
                <w:szCs w:val="22"/>
                <w:lang w:val="en-US"/>
              </w:rPr>
              <w:t xml:space="preserve">onglomerate. In some </w:t>
            </w:r>
            <w:r>
              <w:rPr>
                <w:rFonts w:ascii="Verdana" w:eastAsia="Verdana" w:hAnsi="Verdana" w:cs="Verdana"/>
                <w:color w:val="7F7F7F" w:themeColor="text1" w:themeTint="80"/>
                <w:sz w:val="22"/>
                <w:szCs w:val="22"/>
                <w:lang w:val="en-US"/>
              </w:rPr>
              <w:t>m</w:t>
            </w:r>
            <w:r w:rsidRPr="00C53477">
              <w:rPr>
                <w:rFonts w:ascii="Verdana" w:eastAsia="Verdana" w:hAnsi="Verdana" w:cs="Verdana"/>
                <w:color w:val="7F7F7F" w:themeColor="text1" w:themeTint="80"/>
                <w:sz w:val="22"/>
                <w:szCs w:val="22"/>
                <w:lang w:val="en-US"/>
              </w:rPr>
              <w:t xml:space="preserve">ember </w:t>
            </w:r>
            <w:r>
              <w:rPr>
                <w:rFonts w:ascii="Verdana" w:eastAsia="Verdana" w:hAnsi="Verdana" w:cs="Verdana"/>
                <w:color w:val="7F7F7F" w:themeColor="text1" w:themeTint="80"/>
                <w:sz w:val="22"/>
                <w:szCs w:val="22"/>
                <w:lang w:val="en-US"/>
              </w:rPr>
              <w:t>s</w:t>
            </w:r>
            <w:r w:rsidRPr="00C53477">
              <w:rPr>
                <w:rFonts w:ascii="Verdana" w:eastAsia="Verdana" w:hAnsi="Verdana" w:cs="Verdana"/>
                <w:color w:val="7F7F7F" w:themeColor="text1" w:themeTint="80"/>
                <w:sz w:val="22"/>
                <w:szCs w:val="22"/>
                <w:lang w:val="en-US"/>
              </w:rPr>
              <w:t>tates a regulated entity other than an insurance undertaking, for example a bank, can be identified as MAIHC</w:t>
            </w:r>
            <w:r>
              <w:rPr>
                <w:rFonts w:ascii="Verdana" w:eastAsia="Verdana" w:hAnsi="Verdana" w:cs="Verdana"/>
                <w:color w:val="7F7F7F" w:themeColor="text1" w:themeTint="80"/>
                <w:sz w:val="22"/>
                <w:szCs w:val="22"/>
                <w:lang w:val="en-US"/>
              </w:rPr>
              <w:t xml:space="preserve"> (</w:t>
            </w:r>
            <w:r w:rsidRPr="00C53477">
              <w:rPr>
                <w:rFonts w:ascii="Verdana" w:eastAsia="Verdana" w:hAnsi="Verdana" w:cs="Verdana"/>
                <w:color w:val="7F7F7F" w:themeColor="text1" w:themeTint="80"/>
                <w:sz w:val="22"/>
                <w:szCs w:val="22"/>
                <w:lang w:val="en-US"/>
              </w:rPr>
              <w:t>no explicit provision prevents a regulated financial undertaking from being a MAIHC</w:t>
            </w:r>
            <w:r>
              <w:rPr>
                <w:rFonts w:ascii="Verdana" w:eastAsia="Verdana" w:hAnsi="Verdana" w:cs="Verdana"/>
                <w:color w:val="7F7F7F" w:themeColor="text1" w:themeTint="80"/>
                <w:sz w:val="22"/>
                <w:szCs w:val="22"/>
                <w:lang w:val="en-US"/>
              </w:rPr>
              <w:t>)</w:t>
            </w:r>
            <w:r w:rsidRPr="00C53477">
              <w:rPr>
                <w:rFonts w:ascii="Verdana" w:eastAsia="Verdana" w:hAnsi="Verdana" w:cs="Verdana"/>
                <w:color w:val="7F7F7F" w:themeColor="text1" w:themeTint="80"/>
                <w:sz w:val="22"/>
                <w:szCs w:val="22"/>
                <w:lang w:val="en-US"/>
              </w:rPr>
              <w:t xml:space="preserve">. In this case intra-group transactions should be monitored on the basis of Article 265 of the Solvency II Directive. </w:t>
            </w:r>
            <w:r w:rsidRPr="00E107F2">
              <w:rPr>
                <w:rFonts w:ascii="Verdana" w:eastAsia="Verdana" w:hAnsi="Verdana" w:cs="Verdana"/>
                <w:color w:val="7F7F7F" w:themeColor="text1" w:themeTint="80"/>
                <w:sz w:val="22"/>
                <w:szCs w:val="22"/>
                <w:lang w:val="en-US"/>
              </w:rPr>
              <w:t xml:space="preserve">EIOPA adds that in some jurisdictions Solvency II IGTs-reporting with a MAIHC </w:t>
            </w:r>
            <w:r>
              <w:rPr>
                <w:rFonts w:ascii="Verdana" w:eastAsia="Verdana" w:hAnsi="Verdana" w:cs="Verdana"/>
                <w:color w:val="7F7F7F" w:themeColor="text1" w:themeTint="80"/>
                <w:sz w:val="22"/>
                <w:szCs w:val="22"/>
                <w:lang w:val="en-US"/>
              </w:rPr>
              <w:t>have been</w:t>
            </w:r>
            <w:r w:rsidRPr="00E107F2">
              <w:rPr>
                <w:rFonts w:ascii="Verdana" w:eastAsia="Verdana" w:hAnsi="Verdana" w:cs="Verdana"/>
                <w:color w:val="7F7F7F" w:themeColor="text1" w:themeTint="80"/>
                <w:sz w:val="22"/>
                <w:szCs w:val="22"/>
                <w:lang w:val="en-US"/>
              </w:rPr>
              <w:t xml:space="preserve"> replaced by FICOD IGTs-reporting</w:t>
            </w:r>
            <w:r w:rsidRPr="00463CB3">
              <w:rPr>
                <w:rFonts w:ascii="Verdana" w:eastAsia="Verdana" w:hAnsi="Verdana" w:cs="Verdana"/>
                <w:color w:val="7F7F7F" w:themeColor="text1" w:themeTint="80"/>
                <w:sz w:val="22"/>
                <w:szCs w:val="22"/>
                <w:lang w:val="en-US"/>
              </w:rPr>
              <w:t xml:space="preserve"> which </w:t>
            </w:r>
            <w:r>
              <w:rPr>
                <w:rFonts w:ascii="Verdana" w:eastAsia="Verdana" w:hAnsi="Verdana" w:cs="Verdana"/>
                <w:color w:val="7F7F7F" w:themeColor="text1" w:themeTint="80"/>
                <w:sz w:val="22"/>
                <w:szCs w:val="22"/>
                <w:lang w:val="en-US"/>
              </w:rPr>
              <w:t>are</w:t>
            </w:r>
            <w:r w:rsidRPr="00463CB3">
              <w:rPr>
                <w:rFonts w:ascii="Verdana" w:eastAsia="Verdana" w:hAnsi="Verdana" w:cs="Verdana"/>
                <w:color w:val="7F7F7F" w:themeColor="text1" w:themeTint="80"/>
                <w:sz w:val="22"/>
                <w:szCs w:val="22"/>
                <w:lang w:val="en-US"/>
              </w:rPr>
              <w:t xml:space="preserve"> subject to higher thresholds</w:t>
            </w:r>
            <w:r>
              <w:rPr>
                <w:rFonts w:ascii="Verdana" w:eastAsia="Verdana" w:hAnsi="Verdana" w:cs="Verdana"/>
                <w:color w:val="7F7F7F" w:themeColor="text1" w:themeTint="80"/>
                <w:sz w:val="22"/>
                <w:szCs w:val="22"/>
                <w:lang w:val="en-US"/>
              </w:rPr>
              <w:t>;</w:t>
            </w:r>
            <w:r w:rsidRPr="00463CB3">
              <w:rPr>
                <w:rFonts w:ascii="Verdana" w:eastAsia="Verdana" w:hAnsi="Verdana" w:cs="Verdana"/>
                <w:color w:val="7F7F7F" w:themeColor="text1" w:themeTint="80"/>
                <w:sz w:val="22"/>
                <w:szCs w:val="22"/>
                <w:lang w:val="en-US"/>
              </w:rPr>
              <w:t xml:space="preserve"> </w:t>
            </w:r>
            <w:r w:rsidRPr="00E107F2">
              <w:rPr>
                <w:rFonts w:ascii="Verdana" w:eastAsia="Verdana" w:hAnsi="Verdana" w:cs="Verdana"/>
                <w:color w:val="7F7F7F" w:themeColor="text1" w:themeTint="80"/>
                <w:sz w:val="22"/>
                <w:szCs w:val="22"/>
                <w:lang w:val="en-US"/>
              </w:rPr>
              <w:t xml:space="preserve">EIOPA </w:t>
            </w:r>
            <w:r>
              <w:rPr>
                <w:rFonts w:ascii="Verdana" w:eastAsia="Verdana" w:hAnsi="Verdana" w:cs="Verdana"/>
                <w:color w:val="7F7F7F" w:themeColor="text1" w:themeTint="80"/>
                <w:sz w:val="22"/>
                <w:szCs w:val="22"/>
                <w:lang w:val="en-US"/>
              </w:rPr>
              <w:t xml:space="preserve">therefore </w:t>
            </w:r>
            <w:r w:rsidRPr="00E107F2">
              <w:rPr>
                <w:rFonts w:ascii="Verdana" w:eastAsia="Verdana" w:hAnsi="Verdana" w:cs="Verdana"/>
                <w:color w:val="7F7F7F" w:themeColor="text1" w:themeTint="80"/>
                <w:sz w:val="22"/>
                <w:szCs w:val="22"/>
                <w:lang w:val="en-US"/>
              </w:rPr>
              <w:t xml:space="preserve">proposes </w:t>
            </w:r>
            <w:r>
              <w:rPr>
                <w:rFonts w:ascii="Verdana" w:eastAsia="Verdana" w:hAnsi="Verdana" w:cs="Verdana"/>
                <w:color w:val="7F7F7F" w:themeColor="text1" w:themeTint="80"/>
                <w:sz w:val="22"/>
                <w:szCs w:val="22"/>
                <w:lang w:val="en-US"/>
              </w:rPr>
              <w:t xml:space="preserve">that the </w:t>
            </w:r>
            <w:r w:rsidRPr="00E107F2">
              <w:rPr>
                <w:rFonts w:ascii="Verdana" w:eastAsia="Verdana" w:hAnsi="Verdana" w:cs="Verdana"/>
                <w:color w:val="7F7F7F" w:themeColor="text1" w:themeTint="80"/>
                <w:sz w:val="22"/>
                <w:szCs w:val="22"/>
                <w:lang w:val="en-US"/>
              </w:rPr>
              <w:t xml:space="preserve">IGTs between the insurance undertakings and the bank </w:t>
            </w:r>
            <w:r>
              <w:rPr>
                <w:rFonts w:ascii="Verdana" w:eastAsia="Verdana" w:hAnsi="Verdana" w:cs="Verdana"/>
                <w:color w:val="7F7F7F" w:themeColor="text1" w:themeTint="80"/>
                <w:sz w:val="22"/>
                <w:szCs w:val="22"/>
                <w:lang w:val="en-US"/>
              </w:rPr>
              <w:t>to</w:t>
            </w:r>
            <w:r w:rsidRPr="00E107F2">
              <w:rPr>
                <w:rFonts w:ascii="Verdana" w:eastAsia="Verdana" w:hAnsi="Verdana" w:cs="Verdana"/>
                <w:color w:val="7F7F7F" w:themeColor="text1" w:themeTint="80"/>
                <w:sz w:val="22"/>
                <w:szCs w:val="22"/>
                <w:lang w:val="en-US"/>
              </w:rPr>
              <w:t xml:space="preserve"> be monitored</w:t>
            </w:r>
            <w:r w:rsidRPr="00463CB3">
              <w:rPr>
                <w:rFonts w:ascii="Verdana" w:eastAsia="Verdana" w:hAnsi="Verdana" w:cs="Verdana"/>
                <w:color w:val="7F7F7F" w:themeColor="text1" w:themeTint="80"/>
                <w:sz w:val="22"/>
                <w:szCs w:val="22"/>
                <w:lang w:val="en-US"/>
              </w:rPr>
              <w:t>.</w:t>
            </w:r>
            <w:r>
              <w:rPr>
                <w:rFonts w:ascii="Verdana" w:eastAsia="Verdana" w:hAnsi="Verdana" w:cs="Verdana"/>
                <w:color w:val="7F7F7F" w:themeColor="text1" w:themeTint="80"/>
                <w:sz w:val="22"/>
                <w:szCs w:val="22"/>
                <w:lang w:val="en-US"/>
              </w:rPr>
              <w:t xml:space="preserve"> </w:t>
            </w:r>
            <w:r w:rsidRPr="00C53477">
              <w:rPr>
                <w:rFonts w:ascii="Verdana" w:hAnsi="Verdana"/>
                <w:color w:val="7F7F7F" w:themeColor="text1" w:themeTint="80"/>
                <w:sz w:val="22"/>
                <w:szCs w:val="22"/>
                <w:lang w:val="en-US"/>
              </w:rPr>
              <w:t xml:space="preserve">The decision to replace </w:t>
            </w:r>
            <w:r>
              <w:rPr>
                <w:rFonts w:ascii="Verdana" w:hAnsi="Verdana"/>
                <w:color w:val="7F7F7F" w:themeColor="text1" w:themeTint="80"/>
                <w:sz w:val="22"/>
                <w:szCs w:val="22"/>
                <w:lang w:val="en-US"/>
              </w:rPr>
              <w:t>Solvency II</w:t>
            </w:r>
            <w:r w:rsidRPr="00C53477">
              <w:rPr>
                <w:rFonts w:ascii="Verdana" w:hAnsi="Verdana"/>
                <w:color w:val="7F7F7F" w:themeColor="text1" w:themeTint="80"/>
                <w:sz w:val="22"/>
                <w:szCs w:val="22"/>
                <w:lang w:val="en-US"/>
              </w:rPr>
              <w:t xml:space="preserve"> IGT</w:t>
            </w:r>
            <w:r>
              <w:rPr>
                <w:rFonts w:ascii="Verdana" w:hAnsi="Verdana"/>
                <w:color w:val="7F7F7F" w:themeColor="text1" w:themeTint="80"/>
                <w:sz w:val="22"/>
                <w:szCs w:val="22"/>
                <w:lang w:val="en-US"/>
              </w:rPr>
              <w:t>s reporting</w:t>
            </w:r>
            <w:r w:rsidRPr="00C53477">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by</w:t>
            </w:r>
            <w:r w:rsidRPr="00C53477">
              <w:rPr>
                <w:rFonts w:ascii="Verdana" w:hAnsi="Verdana"/>
                <w:color w:val="7F7F7F" w:themeColor="text1" w:themeTint="80"/>
                <w:sz w:val="22"/>
                <w:szCs w:val="22"/>
                <w:lang w:val="en-US"/>
              </w:rPr>
              <w:t xml:space="preserve"> FICOD IGT</w:t>
            </w:r>
            <w:r>
              <w:rPr>
                <w:rFonts w:ascii="Verdana" w:hAnsi="Verdana"/>
                <w:color w:val="7F7F7F" w:themeColor="text1" w:themeTint="80"/>
                <w:sz w:val="22"/>
                <w:szCs w:val="22"/>
                <w:lang w:val="en-US"/>
              </w:rPr>
              <w:t>s-reporting is agreed</w:t>
            </w:r>
            <w:r w:rsidRPr="00C53477">
              <w:rPr>
                <w:rFonts w:ascii="Verdana" w:hAnsi="Verdana"/>
                <w:color w:val="7F7F7F" w:themeColor="text1" w:themeTint="80"/>
                <w:sz w:val="22"/>
                <w:szCs w:val="22"/>
                <w:lang w:val="en-US"/>
              </w:rPr>
              <w:t xml:space="preserve"> amongst </w:t>
            </w:r>
            <w:r>
              <w:rPr>
                <w:rFonts w:ascii="Verdana" w:hAnsi="Verdana"/>
                <w:color w:val="7F7F7F" w:themeColor="text1" w:themeTint="80"/>
                <w:sz w:val="22"/>
                <w:szCs w:val="22"/>
                <w:lang w:val="en-US"/>
              </w:rPr>
              <w:t xml:space="preserve">different sectoral </w:t>
            </w:r>
            <w:r w:rsidRPr="00C53477">
              <w:rPr>
                <w:rFonts w:ascii="Verdana" w:hAnsi="Verdana"/>
                <w:color w:val="7F7F7F" w:themeColor="text1" w:themeTint="80"/>
                <w:sz w:val="22"/>
                <w:szCs w:val="22"/>
                <w:lang w:val="en-US"/>
              </w:rPr>
              <w:t>competent supervisor</w:t>
            </w:r>
            <w:r>
              <w:rPr>
                <w:rFonts w:ascii="Verdana" w:hAnsi="Verdana"/>
                <w:color w:val="7F7F7F" w:themeColor="text1" w:themeTint="80"/>
                <w:sz w:val="22"/>
                <w:szCs w:val="22"/>
                <w:lang w:val="en-US"/>
              </w:rPr>
              <w:t>y authorities</w:t>
            </w:r>
            <w:r w:rsidRPr="00C53477">
              <w:rPr>
                <w:rFonts w:ascii="Verdana" w:hAnsi="Verdana"/>
                <w:color w:val="7F7F7F" w:themeColor="text1" w:themeTint="80"/>
                <w:sz w:val="22"/>
                <w:szCs w:val="22"/>
                <w:lang w:val="en-US"/>
              </w:rPr>
              <w:t xml:space="preserve"> often within the same </w:t>
            </w:r>
            <w:r>
              <w:rPr>
                <w:rFonts w:ascii="Verdana" w:hAnsi="Verdana"/>
                <w:color w:val="7F7F7F" w:themeColor="text1" w:themeTint="80"/>
                <w:sz w:val="22"/>
                <w:szCs w:val="22"/>
                <w:lang w:val="en-US"/>
              </w:rPr>
              <w:t>financial</w:t>
            </w:r>
            <w:r w:rsidRPr="00C53477">
              <w:rPr>
                <w:rFonts w:ascii="Verdana" w:hAnsi="Verdana"/>
                <w:color w:val="7F7F7F" w:themeColor="text1" w:themeTint="80"/>
                <w:sz w:val="22"/>
                <w:szCs w:val="22"/>
                <w:lang w:val="en-US"/>
              </w:rPr>
              <w:t xml:space="preserve"> authority. </w:t>
            </w:r>
            <w:r w:rsidRPr="000C1ED6">
              <w:rPr>
                <w:rFonts w:ascii="Verdana" w:hAnsi="Verdana"/>
                <w:color w:val="7F7F7F" w:themeColor="text1" w:themeTint="80"/>
                <w:sz w:val="22"/>
                <w:szCs w:val="22"/>
                <w:lang w:val="en-US"/>
              </w:rPr>
              <w:t>NCAs should be able to deal with an issue arisin</w:t>
            </w:r>
            <w:r>
              <w:rPr>
                <w:rFonts w:ascii="Verdana" w:hAnsi="Verdana"/>
                <w:color w:val="7F7F7F" w:themeColor="text1" w:themeTint="80"/>
                <w:sz w:val="22"/>
                <w:szCs w:val="22"/>
                <w:lang w:val="en-US"/>
              </w:rPr>
              <w:t xml:space="preserve">g but we do not see the </w:t>
            </w:r>
            <w:r w:rsidRPr="00C53477">
              <w:rPr>
                <w:rFonts w:ascii="Verdana" w:hAnsi="Verdana"/>
                <w:color w:val="7F7F7F" w:themeColor="text1" w:themeTint="80"/>
                <w:sz w:val="22"/>
                <w:szCs w:val="22"/>
                <w:lang w:val="en-US"/>
              </w:rPr>
              <w:t xml:space="preserve">need to change the legislation to solve </w:t>
            </w:r>
            <w:r>
              <w:rPr>
                <w:rFonts w:ascii="Verdana" w:hAnsi="Verdana"/>
                <w:color w:val="7F7F7F" w:themeColor="text1" w:themeTint="80"/>
                <w:sz w:val="22"/>
                <w:szCs w:val="22"/>
                <w:lang w:val="en-US"/>
              </w:rPr>
              <w:t>potential conflicts</w:t>
            </w:r>
            <w:r w:rsidRPr="00C53477">
              <w:rPr>
                <w:rFonts w:ascii="Verdana" w:hAnsi="Verdana"/>
                <w:color w:val="7F7F7F" w:themeColor="text1" w:themeTint="80"/>
                <w:sz w:val="22"/>
                <w:szCs w:val="22"/>
                <w:lang w:val="en-US"/>
              </w:rPr>
              <w:t xml:space="preserve"> between </w:t>
            </w:r>
            <w:r>
              <w:rPr>
                <w:rFonts w:ascii="Verdana" w:hAnsi="Verdana"/>
                <w:color w:val="7F7F7F" w:themeColor="text1" w:themeTint="80"/>
                <w:sz w:val="22"/>
                <w:szCs w:val="22"/>
                <w:lang w:val="en-US"/>
              </w:rPr>
              <w:t>supervisory authorities</w:t>
            </w:r>
            <w:r w:rsidRPr="00C53477">
              <w:rPr>
                <w:rFonts w:ascii="Verdana" w:hAnsi="Verdana"/>
                <w:color w:val="7F7F7F" w:themeColor="text1" w:themeTint="80"/>
                <w:sz w:val="22"/>
                <w:szCs w:val="22"/>
                <w:lang w:val="en-US"/>
              </w:rPr>
              <w:t>. If appropriate, EIOPA could revise Chapter II of the</w:t>
            </w:r>
            <w:r>
              <w:rPr>
                <w:rFonts w:ascii="Verdana" w:hAnsi="Verdana"/>
                <w:color w:val="7F7F7F" w:themeColor="text1" w:themeTint="80"/>
                <w:sz w:val="22"/>
                <w:szCs w:val="22"/>
                <w:lang w:val="en-US"/>
              </w:rPr>
              <w:t>ir</w:t>
            </w:r>
            <w:r w:rsidRPr="00C53477">
              <w:rPr>
                <w:rFonts w:ascii="Verdana" w:hAnsi="Verdana"/>
                <w:color w:val="7F7F7F" w:themeColor="text1" w:themeTint="80"/>
                <w:sz w:val="22"/>
                <w:szCs w:val="22"/>
                <w:lang w:val="en-US"/>
              </w:rPr>
              <w:t xml:space="preserve"> guidelines on governance which deal with group governance aspects</w:t>
            </w:r>
            <w:r>
              <w:rPr>
                <w:rFonts w:ascii="Verdana" w:hAnsi="Verdana"/>
                <w:color w:val="7F7F7F" w:themeColor="text1" w:themeTint="80"/>
                <w:sz w:val="22"/>
                <w:szCs w:val="22"/>
                <w:lang w:val="en-US"/>
              </w:rPr>
              <w:t xml:space="preserve"> (in particular Guideline 69 on </w:t>
            </w:r>
            <w:r w:rsidRPr="00C53477">
              <w:rPr>
                <w:rFonts w:ascii="Verdana" w:hAnsi="Verdana"/>
                <w:color w:val="7F7F7F" w:themeColor="text1" w:themeTint="80"/>
                <w:sz w:val="22"/>
                <w:szCs w:val="22"/>
                <w:lang w:val="en-US"/>
              </w:rPr>
              <w:t>IGT</w:t>
            </w:r>
            <w:r>
              <w:rPr>
                <w:rFonts w:ascii="Verdana" w:hAnsi="Verdana"/>
                <w:color w:val="7F7F7F" w:themeColor="text1" w:themeTint="80"/>
                <w:sz w:val="22"/>
                <w:szCs w:val="22"/>
                <w:lang w:val="en-US"/>
              </w:rPr>
              <w:t>s</w:t>
            </w:r>
            <w:r w:rsidRPr="00C53477">
              <w:rPr>
                <w:rFonts w:ascii="Verdana" w:hAnsi="Verdana"/>
                <w:color w:val="7F7F7F" w:themeColor="text1" w:themeTint="80"/>
                <w:sz w:val="22"/>
                <w:szCs w:val="22"/>
                <w:lang w:val="en-US"/>
              </w:rPr>
              <w:t>)</w:t>
            </w:r>
            <w:r>
              <w:rPr>
                <w:rFonts w:ascii="Verdana" w:hAnsi="Verdana"/>
                <w:color w:val="7F7F7F" w:themeColor="text1" w:themeTint="80"/>
                <w:sz w:val="22"/>
                <w:szCs w:val="22"/>
                <w:lang w:val="en-US"/>
              </w:rPr>
              <w:t>.</w:t>
            </w:r>
          </w:p>
        </w:tc>
        <w:tc>
          <w:tcPr>
            <w:tcW w:w="483" w:type="pct"/>
            <w:tcBorders>
              <w:top w:val="single" w:sz="4" w:space="0" w:color="auto"/>
              <w:left w:val="single" w:sz="4" w:space="0" w:color="auto"/>
              <w:bottom w:val="single" w:sz="4" w:space="0" w:color="auto"/>
              <w:right w:val="single" w:sz="4" w:space="0" w:color="auto"/>
            </w:tcBorders>
          </w:tcPr>
          <w:p w14:paraId="301F0945"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54D553FF"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2902F45" w14:textId="0B91156C" w:rsidR="006F5ECC" w:rsidRPr="00D629C6" w:rsidRDefault="006F5ECC" w:rsidP="00020B14">
            <w:pPr>
              <w:tabs>
                <w:tab w:val="left" w:pos="0"/>
                <w:tab w:val="left" w:pos="4536"/>
              </w:tabs>
              <w:ind w:left="-96"/>
              <w:rPr>
                <w:rFonts w:ascii="Verdana" w:hAnsi="Verdana"/>
                <w:color w:val="7F7F7F" w:themeColor="text1" w:themeTint="80"/>
                <w:sz w:val="22"/>
                <w:szCs w:val="22"/>
                <w:lang w:val="en-US"/>
              </w:rPr>
            </w:pPr>
            <w:r w:rsidRPr="00D629C6">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507245B4" w14:textId="5DF556DF" w:rsidR="006F5ECC" w:rsidRPr="001C20F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108</w:t>
            </w:r>
          </w:p>
        </w:tc>
        <w:tc>
          <w:tcPr>
            <w:tcW w:w="1999" w:type="pct"/>
            <w:tcBorders>
              <w:top w:val="single" w:sz="4" w:space="0" w:color="auto"/>
              <w:left w:val="single" w:sz="4" w:space="0" w:color="auto"/>
              <w:bottom w:val="single" w:sz="4" w:space="0" w:color="auto"/>
              <w:right w:val="single" w:sz="4" w:space="0" w:color="auto"/>
            </w:tcBorders>
            <w:vAlign w:val="center"/>
          </w:tcPr>
          <w:p w14:paraId="5C4FCC84" w14:textId="2484D9BB" w:rsidR="006F5ECC" w:rsidRPr="00B0081A" w:rsidRDefault="006F5ECC" w:rsidP="00020B14">
            <w:pPr>
              <w:tabs>
                <w:tab w:val="left" w:pos="0"/>
                <w:tab w:val="left" w:pos="4536"/>
              </w:tabs>
              <w:rPr>
                <w:rFonts w:ascii="Verdana" w:eastAsia="Verdana" w:hAnsi="Verdana" w:cs="Verdana"/>
                <w:b/>
                <w:bCs/>
                <w:color w:val="7F7F7F" w:themeColor="text1" w:themeTint="80"/>
                <w:sz w:val="22"/>
                <w:szCs w:val="22"/>
                <w:lang w:val="en-US"/>
              </w:rPr>
            </w:pPr>
            <w:r w:rsidRPr="00B0081A">
              <w:rPr>
                <w:rFonts w:ascii="Verdana" w:eastAsia="Verdana" w:hAnsi="Verdana" w:cs="Verdana"/>
                <w:b/>
                <w:bCs/>
                <w:color w:val="7F7F7F" w:themeColor="text1" w:themeTint="80"/>
                <w:sz w:val="22"/>
                <w:szCs w:val="22"/>
                <w:lang w:val="en-US"/>
              </w:rPr>
              <w:t>Policy Issue 2 – IGTs and RCs Thresholds</w:t>
            </w:r>
          </w:p>
          <w:p w14:paraId="4AE8E9D9" w14:textId="46D5C76B" w:rsidR="006F5ECC" w:rsidRPr="00B0081A" w:rsidRDefault="006F5ECC" w:rsidP="00020B14">
            <w:pPr>
              <w:tabs>
                <w:tab w:val="left" w:pos="0"/>
                <w:tab w:val="left" w:pos="4536"/>
              </w:tabs>
              <w:rPr>
                <w:rFonts w:ascii="Verdana" w:hAnsi="Verdana"/>
                <w:color w:val="7F7F7F" w:themeColor="text1" w:themeTint="80"/>
                <w:sz w:val="22"/>
                <w:szCs w:val="22"/>
                <w:lang w:val="en-GB" w:eastAsia="fr-FR"/>
              </w:rPr>
            </w:pPr>
            <w:r w:rsidRPr="00B0081A">
              <w:rPr>
                <w:rFonts w:ascii="Verdana" w:eastAsia="Verdana" w:hAnsi="Verdana" w:cs="Verdana"/>
                <w:color w:val="7F7F7F" w:themeColor="text1" w:themeTint="80"/>
                <w:sz w:val="22"/>
                <w:szCs w:val="22"/>
                <w:lang w:val="en-US"/>
              </w:rPr>
              <w:t>At present there is a lack of consistency in the application of thresholds for IGTs and RCs</w:t>
            </w:r>
            <w:r w:rsidRPr="00B0081A">
              <w:rPr>
                <w:rFonts w:ascii="Verdana" w:eastAsia="Verdana" w:hAnsi="Verdana" w:cs="Verdana"/>
                <w:color w:val="7F7F7F" w:themeColor="text1" w:themeTint="80"/>
                <w:sz w:val="21"/>
                <w:szCs w:val="21"/>
                <w:lang w:val="en-US"/>
              </w:rPr>
              <w:t xml:space="preserve">. </w:t>
            </w:r>
            <w:r w:rsidRPr="00B0081A">
              <w:rPr>
                <w:rFonts w:ascii="Verdana" w:hAnsi="Verdana"/>
                <w:color w:val="7F7F7F" w:themeColor="text1" w:themeTint="80"/>
                <w:sz w:val="22"/>
                <w:szCs w:val="22"/>
                <w:lang w:val="en-US"/>
              </w:rPr>
              <w:t xml:space="preserve">In our opinion there is no need to change the legislation to ensure supervisory convergence regarding the setting of </w:t>
            </w:r>
            <w:r w:rsidRPr="00B0081A">
              <w:rPr>
                <w:rFonts w:ascii="Verdana" w:hAnsi="Verdana"/>
                <w:color w:val="7F7F7F" w:themeColor="text1" w:themeTint="80"/>
                <w:sz w:val="22"/>
                <w:szCs w:val="22"/>
                <w:lang w:val="en-US"/>
              </w:rPr>
              <w:lastRenderedPageBreak/>
              <w:t>thresholds for IGTS and RCs; It should be based on the risk profile and specific circumstances of any group concerned. If needed, additional guidance could be provided as amending the legislation will not allow dealing with all possible existing group structures and characteristics.</w:t>
            </w:r>
          </w:p>
        </w:tc>
        <w:tc>
          <w:tcPr>
            <w:tcW w:w="483" w:type="pct"/>
            <w:tcBorders>
              <w:top w:val="single" w:sz="4" w:space="0" w:color="auto"/>
              <w:left w:val="single" w:sz="4" w:space="0" w:color="auto"/>
              <w:bottom w:val="single" w:sz="4" w:space="0" w:color="auto"/>
              <w:right w:val="single" w:sz="4" w:space="0" w:color="auto"/>
            </w:tcBorders>
          </w:tcPr>
          <w:p w14:paraId="64601367"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6B90C47A"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70447F6" w14:textId="4021DA69" w:rsidR="006F5ECC" w:rsidRPr="00712107" w:rsidRDefault="006F5ECC" w:rsidP="00020B14">
            <w:pPr>
              <w:tabs>
                <w:tab w:val="left" w:pos="0"/>
                <w:tab w:val="left" w:pos="4536"/>
              </w:tabs>
              <w:ind w:left="-96"/>
              <w:rPr>
                <w:rFonts w:ascii="Verdana" w:hAnsi="Verdana"/>
                <w:sz w:val="22"/>
                <w:szCs w:val="22"/>
                <w:lang w:val="en-US"/>
              </w:rPr>
            </w:pPr>
            <w:r w:rsidRPr="00712107">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1A49788B" w14:textId="34C84D24" w:rsidR="006F5ECC" w:rsidRPr="001C20F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108</w:t>
            </w:r>
          </w:p>
        </w:tc>
        <w:tc>
          <w:tcPr>
            <w:tcW w:w="1999" w:type="pct"/>
            <w:tcBorders>
              <w:top w:val="single" w:sz="4" w:space="0" w:color="auto"/>
              <w:left w:val="single" w:sz="4" w:space="0" w:color="auto"/>
              <w:bottom w:val="single" w:sz="4" w:space="0" w:color="auto"/>
              <w:right w:val="single" w:sz="4" w:space="0" w:color="auto"/>
            </w:tcBorders>
            <w:vAlign w:val="center"/>
          </w:tcPr>
          <w:p w14:paraId="0FA22D9D" w14:textId="0EC938BF" w:rsidR="006F5ECC" w:rsidRPr="00B0081A" w:rsidRDefault="006F5ECC" w:rsidP="00020B14">
            <w:pPr>
              <w:tabs>
                <w:tab w:val="left" w:pos="0"/>
                <w:tab w:val="left" w:pos="4536"/>
              </w:tabs>
              <w:rPr>
                <w:rFonts w:ascii="Verdana" w:hAnsi="Verdana"/>
                <w:color w:val="7F7F7F" w:themeColor="text1" w:themeTint="80"/>
                <w:sz w:val="22"/>
                <w:szCs w:val="22"/>
                <w:lang w:val="en-GB" w:eastAsia="fr-FR"/>
              </w:rPr>
            </w:pPr>
            <w:r w:rsidRPr="00B0081A">
              <w:rPr>
                <w:rFonts w:ascii="Verdana" w:hAnsi="Verdana"/>
                <w:color w:val="7F7F7F" w:themeColor="text1" w:themeTint="80"/>
                <w:sz w:val="22"/>
                <w:szCs w:val="22"/>
                <w:lang w:val="en-US"/>
              </w:rPr>
              <w:t xml:space="preserve">Moreover, the QRTs on IGTs and RCs are only one tool to understand the risk concentration in an undertaking. </w:t>
            </w:r>
            <w:r w:rsidRPr="00B06B08">
              <w:rPr>
                <w:rFonts w:ascii="Verdana" w:hAnsi="Verdana"/>
                <w:color w:val="7F7F7F" w:themeColor="text1" w:themeTint="80"/>
                <w:sz w:val="22"/>
                <w:szCs w:val="22"/>
                <w:lang w:val="en-US"/>
              </w:rPr>
              <w:t xml:space="preserve">An insurer should manage its concentration risk </w:t>
            </w:r>
            <w:r w:rsidRPr="00B0081A">
              <w:rPr>
                <w:rFonts w:ascii="Verdana" w:hAnsi="Verdana"/>
                <w:color w:val="7F7F7F" w:themeColor="text1" w:themeTint="80"/>
                <w:sz w:val="22"/>
                <w:szCs w:val="22"/>
                <w:lang w:val="en-US"/>
              </w:rPr>
              <w:t>and will describe this where relevant in the RSR. The thresholds are set by the NSAs based on their understanding of the risk properties within the Member State, the interconnectedness between companies and other characteristics. An EU-wide threshold will also have many flaws as any threshold will be too high in one Member State and too low in another, whether relative or absolute</w:t>
            </w:r>
            <w:r>
              <w:rPr>
                <w:rFonts w:ascii="Verdana" w:hAnsi="Verdana"/>
                <w:color w:val="7F7F7F" w:themeColor="text1" w:themeTint="80"/>
                <w:sz w:val="22"/>
                <w:szCs w:val="22"/>
                <w:lang w:val="en-US"/>
              </w:rPr>
              <w:t xml:space="preserve"> threshold</w:t>
            </w:r>
            <w:r w:rsidRPr="00B0081A">
              <w:rPr>
                <w:rFonts w:ascii="Verdana" w:hAnsi="Verdana"/>
                <w:color w:val="7F7F7F" w:themeColor="text1" w:themeTint="80"/>
                <w:sz w:val="22"/>
                <w:szCs w:val="22"/>
                <w:lang w:val="en-US"/>
              </w:rPr>
              <w:t>. A too low threshold will see too many entries and a too high threshold too few. We query whether EIOPA is able to provide evidence as to where the set-up thresholds lead to an inadequate supervision of IGTS and RCs</w:t>
            </w:r>
            <w:r>
              <w:rPr>
                <w:rFonts w:ascii="Verdana" w:hAnsi="Verdana"/>
                <w:color w:val="7F7F7F" w:themeColor="text1" w:themeTint="80"/>
                <w:sz w:val="22"/>
                <w:szCs w:val="22"/>
                <w:lang w:val="en-US"/>
              </w:rPr>
              <w:t xml:space="preserve">. </w:t>
            </w:r>
            <w:r w:rsidRPr="00B0081A">
              <w:rPr>
                <w:rFonts w:ascii="Verdana" w:hAnsi="Verdana"/>
                <w:color w:val="7F7F7F" w:themeColor="text1" w:themeTint="80"/>
                <w:sz w:val="22"/>
                <w:szCs w:val="22"/>
                <w:lang w:val="en-US"/>
              </w:rPr>
              <w:t>In our opinion</w:t>
            </w:r>
            <w:r>
              <w:rPr>
                <w:rFonts w:ascii="Verdana" w:hAnsi="Verdana"/>
                <w:color w:val="7F7F7F" w:themeColor="text1" w:themeTint="80"/>
                <w:sz w:val="22"/>
                <w:szCs w:val="22"/>
                <w:lang w:val="en-US"/>
              </w:rPr>
              <w:t xml:space="preserve">, </w:t>
            </w:r>
            <w:r w:rsidRPr="00B0081A">
              <w:rPr>
                <w:rFonts w:ascii="Verdana" w:hAnsi="Verdana"/>
                <w:color w:val="7F7F7F" w:themeColor="text1" w:themeTint="80"/>
                <w:sz w:val="22"/>
                <w:szCs w:val="22"/>
                <w:lang w:val="en-US"/>
              </w:rPr>
              <w:t xml:space="preserve">the current status quo </w:t>
            </w:r>
            <w:r>
              <w:rPr>
                <w:rFonts w:ascii="Verdana" w:hAnsi="Verdana"/>
                <w:color w:val="7F7F7F" w:themeColor="text1" w:themeTint="80"/>
                <w:sz w:val="22"/>
                <w:szCs w:val="22"/>
                <w:lang w:val="en-US"/>
              </w:rPr>
              <w:t xml:space="preserve">should be maintained; </w:t>
            </w:r>
            <w:r w:rsidRPr="00B0081A">
              <w:rPr>
                <w:rFonts w:ascii="Verdana" w:hAnsi="Verdana"/>
                <w:color w:val="7F7F7F" w:themeColor="text1" w:themeTint="80"/>
                <w:sz w:val="22"/>
                <w:szCs w:val="22"/>
                <w:lang w:val="en-US"/>
              </w:rPr>
              <w:t xml:space="preserve">NSAs </w:t>
            </w:r>
            <w:r w:rsidRPr="00B0081A">
              <w:rPr>
                <w:rFonts w:ascii="Verdana" w:eastAsia="Verdana" w:hAnsi="Verdana" w:cs="Verdana"/>
                <w:color w:val="7F7F7F" w:themeColor="text1" w:themeTint="80"/>
                <w:sz w:val="21"/>
                <w:szCs w:val="21"/>
                <w:lang w:val="en-US"/>
              </w:rPr>
              <w:t>should be allowed to set up thresholds for each group for the identification and reporting of significant</w:t>
            </w:r>
            <w:r>
              <w:rPr>
                <w:rFonts w:ascii="Verdana" w:eastAsia="Verdana" w:hAnsi="Verdana" w:cs="Verdana"/>
                <w:color w:val="7F7F7F" w:themeColor="text1" w:themeTint="80"/>
                <w:sz w:val="21"/>
                <w:szCs w:val="21"/>
                <w:lang w:val="en-US"/>
              </w:rPr>
              <w:t xml:space="preserve"> IGTs</w:t>
            </w:r>
            <w:r w:rsidRPr="00B0081A">
              <w:rPr>
                <w:rFonts w:ascii="Verdana" w:eastAsia="Verdana" w:hAnsi="Verdana" w:cs="Verdana"/>
                <w:color w:val="7F7F7F" w:themeColor="text1" w:themeTint="80"/>
                <w:sz w:val="21"/>
                <w:szCs w:val="21"/>
                <w:lang w:val="en-US"/>
              </w:rPr>
              <w:t>, very significant IGTs or IGTs to be reported in any circumstance as well as for significant RCs or RCs to be reported in any</w:t>
            </w:r>
            <w:r>
              <w:rPr>
                <w:rFonts w:ascii="Verdana" w:eastAsia="Verdana" w:hAnsi="Verdana" w:cs="Verdana"/>
                <w:color w:val="7F7F7F" w:themeColor="text1" w:themeTint="80"/>
                <w:sz w:val="21"/>
                <w:szCs w:val="21"/>
                <w:lang w:val="en-US"/>
              </w:rPr>
              <w:t xml:space="preserve"> case</w:t>
            </w:r>
            <w:r w:rsidRPr="00B0081A">
              <w:rPr>
                <w:rFonts w:ascii="Verdana" w:eastAsia="Verdana" w:hAnsi="Verdana" w:cs="Verdana"/>
                <w:color w:val="7F7F7F" w:themeColor="text1" w:themeTint="80"/>
                <w:sz w:val="21"/>
                <w:szCs w:val="21"/>
                <w:lang w:val="en-US"/>
              </w:rPr>
              <w:t>.</w:t>
            </w:r>
            <w:r w:rsidRPr="00B0081A">
              <w:rPr>
                <w:rFonts w:ascii="Verdana" w:hAnsi="Verdana"/>
                <w:color w:val="7F7F7F" w:themeColor="text1" w:themeTint="80"/>
                <w:sz w:val="22"/>
                <w:szCs w:val="22"/>
                <w:lang w:val="en-US"/>
              </w:rPr>
              <w:t xml:space="preserve"> </w:t>
            </w:r>
          </w:p>
        </w:tc>
        <w:tc>
          <w:tcPr>
            <w:tcW w:w="483" w:type="pct"/>
            <w:tcBorders>
              <w:top w:val="single" w:sz="4" w:space="0" w:color="auto"/>
              <w:left w:val="single" w:sz="4" w:space="0" w:color="auto"/>
              <w:bottom w:val="single" w:sz="4" w:space="0" w:color="auto"/>
              <w:right w:val="single" w:sz="4" w:space="0" w:color="auto"/>
            </w:tcBorders>
          </w:tcPr>
          <w:p w14:paraId="5BBC8D97" w14:textId="5892AB76" w:rsidR="006F5ECC" w:rsidRPr="000D5250" w:rsidRDefault="006F5ECC" w:rsidP="00020B14">
            <w:pPr>
              <w:tabs>
                <w:tab w:val="left" w:pos="0"/>
                <w:tab w:val="left" w:pos="4536"/>
              </w:tabs>
              <w:ind w:left="-96"/>
              <w:rPr>
                <w:rFonts w:ascii="Verdana" w:hAnsi="Verdana"/>
                <w:color w:val="000000"/>
                <w:sz w:val="22"/>
                <w:szCs w:val="22"/>
                <w:lang w:val="en-GB" w:eastAsia="fr-FR"/>
              </w:rPr>
            </w:pPr>
          </w:p>
        </w:tc>
      </w:tr>
      <w:tr w:rsidR="00FC5744" w:rsidRPr="001360A5" w14:paraId="6B58343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BCE685E" w14:textId="03442710"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r w:rsidRPr="000D5250">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2886B54B" w14:textId="28DF0728"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118</w:t>
            </w:r>
          </w:p>
        </w:tc>
        <w:tc>
          <w:tcPr>
            <w:tcW w:w="1999" w:type="pct"/>
            <w:tcBorders>
              <w:top w:val="single" w:sz="4" w:space="0" w:color="auto"/>
              <w:left w:val="single" w:sz="4" w:space="0" w:color="auto"/>
              <w:bottom w:val="single" w:sz="4" w:space="0" w:color="auto"/>
              <w:right w:val="single" w:sz="4" w:space="0" w:color="auto"/>
            </w:tcBorders>
            <w:vAlign w:val="center"/>
          </w:tcPr>
          <w:p w14:paraId="52E5BB3D" w14:textId="21439DED" w:rsidR="006F5ECC" w:rsidRPr="00B0081A" w:rsidRDefault="006F5ECC" w:rsidP="00020B14">
            <w:pPr>
              <w:tabs>
                <w:tab w:val="left" w:pos="0"/>
                <w:tab w:val="left" w:pos="4536"/>
              </w:tabs>
              <w:rPr>
                <w:rFonts w:ascii="Verdana" w:hAnsi="Verdana"/>
                <w:color w:val="7F7F7F" w:themeColor="text1" w:themeTint="80"/>
                <w:sz w:val="22"/>
                <w:szCs w:val="22"/>
                <w:lang w:val="en-GB" w:eastAsia="fr-FR"/>
              </w:rPr>
            </w:pPr>
            <w:r w:rsidRPr="00B0081A">
              <w:rPr>
                <w:rFonts w:ascii="Verdana" w:hAnsi="Verdana"/>
                <w:color w:val="7F7F7F" w:themeColor="text1" w:themeTint="80"/>
                <w:sz w:val="22"/>
                <w:szCs w:val="22"/>
                <w:lang w:val="en-US"/>
              </w:rPr>
              <w:t>EIOPA proposes that in order to reduce the reporting burden the group supervisor in cooperation with the other supervisory authorities could eventually define separate thresholds for different types of transactions. However, having different thresholds for different entities will be very burdensome to integrate in the IT-systems and processes.</w:t>
            </w:r>
          </w:p>
        </w:tc>
        <w:tc>
          <w:tcPr>
            <w:tcW w:w="483" w:type="pct"/>
            <w:tcBorders>
              <w:top w:val="single" w:sz="4" w:space="0" w:color="auto"/>
              <w:left w:val="single" w:sz="4" w:space="0" w:color="auto"/>
              <w:bottom w:val="single" w:sz="4" w:space="0" w:color="auto"/>
              <w:right w:val="single" w:sz="4" w:space="0" w:color="auto"/>
            </w:tcBorders>
          </w:tcPr>
          <w:p w14:paraId="524CE774" w14:textId="77777777" w:rsidR="006F5ECC" w:rsidRPr="000D5250" w:rsidRDefault="006F5ECC" w:rsidP="00020B14">
            <w:pPr>
              <w:tabs>
                <w:tab w:val="left" w:pos="0"/>
                <w:tab w:val="left" w:pos="4536"/>
              </w:tabs>
              <w:ind w:left="-96"/>
              <w:rPr>
                <w:rFonts w:ascii="Verdana" w:hAnsi="Verdana"/>
                <w:color w:val="7F7F7F" w:themeColor="text1" w:themeTint="80"/>
                <w:sz w:val="22"/>
                <w:szCs w:val="22"/>
                <w:lang w:val="en-GB" w:eastAsia="fr-FR"/>
              </w:rPr>
            </w:pPr>
          </w:p>
        </w:tc>
      </w:tr>
      <w:tr w:rsidR="00FC5744" w:rsidRPr="001360A5" w14:paraId="6E712860"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48D1880" w14:textId="04D6340B" w:rsidR="006F5ECC" w:rsidRPr="000D5250"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13F1CD4E" w14:textId="0D88B7CD" w:rsidR="006F5ECC"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123&amp;124</w:t>
            </w:r>
          </w:p>
        </w:tc>
        <w:tc>
          <w:tcPr>
            <w:tcW w:w="1999" w:type="pct"/>
            <w:tcBorders>
              <w:top w:val="single" w:sz="4" w:space="0" w:color="auto"/>
              <w:left w:val="single" w:sz="4" w:space="0" w:color="auto"/>
              <w:bottom w:val="single" w:sz="4" w:space="0" w:color="auto"/>
              <w:right w:val="single" w:sz="4" w:space="0" w:color="auto"/>
            </w:tcBorders>
            <w:vAlign w:val="center"/>
          </w:tcPr>
          <w:p w14:paraId="79BD6A5E" w14:textId="2F396046" w:rsidR="006F5ECC" w:rsidRPr="00B0081A" w:rsidRDefault="006F5ECC" w:rsidP="00020B14">
            <w:pPr>
              <w:tabs>
                <w:tab w:val="left" w:pos="0"/>
                <w:tab w:val="left" w:pos="4536"/>
              </w:tabs>
              <w:rPr>
                <w:rFonts w:ascii="Verdana" w:hAnsi="Verdana"/>
                <w:b/>
                <w:bCs/>
                <w:color w:val="7F7F7F" w:themeColor="text1" w:themeTint="80"/>
                <w:sz w:val="22"/>
                <w:szCs w:val="22"/>
                <w:lang w:val="en-GB"/>
              </w:rPr>
            </w:pPr>
            <w:r w:rsidRPr="00B0081A">
              <w:rPr>
                <w:rFonts w:ascii="Verdana" w:hAnsi="Verdana"/>
                <w:b/>
                <w:bCs/>
                <w:color w:val="7F7F7F" w:themeColor="text1" w:themeTint="80"/>
                <w:sz w:val="22"/>
                <w:szCs w:val="22"/>
                <w:lang w:val="en-GB"/>
              </w:rPr>
              <w:t>EIOPA’s Advice on Policy Issue 1 – Definition of IGTs</w:t>
            </w:r>
          </w:p>
          <w:p w14:paraId="6B37A93D" w14:textId="2BB89610" w:rsidR="006F5ECC" w:rsidRPr="00B0081A" w:rsidRDefault="006F5ECC" w:rsidP="00020B14">
            <w:pPr>
              <w:tabs>
                <w:tab w:val="left" w:pos="0"/>
                <w:tab w:val="left" w:pos="4536"/>
              </w:tabs>
              <w:rPr>
                <w:rFonts w:ascii="Verdana" w:hAnsi="Verdana"/>
                <w:color w:val="7F7F7F" w:themeColor="text1" w:themeTint="80"/>
                <w:sz w:val="22"/>
                <w:szCs w:val="22"/>
                <w:lang w:val="en-GB"/>
              </w:rPr>
            </w:pPr>
            <w:r w:rsidRPr="00B0081A">
              <w:rPr>
                <w:rFonts w:ascii="Verdana" w:hAnsi="Verdana"/>
                <w:color w:val="7F7F7F" w:themeColor="text1" w:themeTint="80"/>
                <w:sz w:val="22"/>
                <w:szCs w:val="22"/>
                <w:lang w:val="en-GB"/>
              </w:rPr>
              <w:t>Reporting any transactions of this kind could lead to an unduly burden for large groups</w:t>
            </w:r>
            <w:r>
              <w:rPr>
                <w:rFonts w:ascii="Verdana" w:hAnsi="Verdana"/>
                <w:color w:val="7F7F7F" w:themeColor="text1" w:themeTint="80"/>
                <w:sz w:val="22"/>
                <w:szCs w:val="22"/>
                <w:lang w:val="en-US"/>
              </w:rPr>
              <w:t>; We doubt that the requested information would have any</w:t>
            </w:r>
            <w:r w:rsidRPr="00B0081A">
              <w:rPr>
                <w:rFonts w:ascii="Verdana" w:hAnsi="Verdana"/>
                <w:color w:val="7F7F7F" w:themeColor="text1" w:themeTint="80"/>
                <w:sz w:val="22"/>
                <w:szCs w:val="22"/>
                <w:lang w:val="en-GB"/>
              </w:rPr>
              <w:t xml:space="preserve"> meaningful relevance</w:t>
            </w:r>
            <w:r>
              <w:rPr>
                <w:rFonts w:ascii="Verdana" w:hAnsi="Verdana"/>
                <w:color w:val="7F7F7F" w:themeColor="text1" w:themeTint="80"/>
                <w:sz w:val="22"/>
                <w:szCs w:val="22"/>
                <w:lang w:val="en-GB"/>
              </w:rPr>
              <w:t xml:space="preserve"> for the supervisory authorities</w:t>
            </w:r>
            <w:r w:rsidRPr="00B0081A">
              <w:rPr>
                <w:rFonts w:ascii="Verdana" w:hAnsi="Verdana"/>
                <w:color w:val="7F7F7F" w:themeColor="text1" w:themeTint="80"/>
                <w:sz w:val="22"/>
                <w:szCs w:val="22"/>
                <w:lang w:val="en-GB"/>
              </w:rPr>
              <w:t xml:space="preserve">. It should be </w:t>
            </w:r>
            <w:r w:rsidRPr="00B0081A">
              <w:rPr>
                <w:rFonts w:ascii="Verdana" w:hAnsi="Verdana"/>
                <w:color w:val="7F7F7F" w:themeColor="text1" w:themeTint="80"/>
                <w:sz w:val="22"/>
                <w:szCs w:val="22"/>
                <w:lang w:val="en-GB"/>
              </w:rPr>
              <w:lastRenderedPageBreak/>
              <w:t xml:space="preserve">possible to exclude </w:t>
            </w:r>
            <w:r>
              <w:rPr>
                <w:rFonts w:ascii="Verdana" w:hAnsi="Verdana"/>
                <w:color w:val="7F7F7F" w:themeColor="text1" w:themeTint="80"/>
                <w:sz w:val="22"/>
                <w:szCs w:val="22"/>
                <w:lang w:val="en-GB"/>
              </w:rPr>
              <w:t xml:space="preserve">at least the </w:t>
            </w:r>
            <w:r w:rsidRPr="00B0081A">
              <w:rPr>
                <w:rFonts w:ascii="Verdana" w:hAnsi="Verdana"/>
                <w:color w:val="7F7F7F" w:themeColor="text1" w:themeTint="80"/>
                <w:sz w:val="22"/>
                <w:szCs w:val="22"/>
                <w:lang w:val="en-GB"/>
              </w:rPr>
              <w:t xml:space="preserve">defined transactions </w:t>
            </w:r>
            <w:r>
              <w:rPr>
                <w:rFonts w:ascii="Verdana" w:hAnsi="Verdana"/>
                <w:color w:val="7F7F7F" w:themeColor="text1" w:themeTint="80"/>
                <w:sz w:val="22"/>
                <w:szCs w:val="22"/>
                <w:lang w:val="en-GB"/>
              </w:rPr>
              <w:t xml:space="preserve">at </w:t>
            </w:r>
            <w:r w:rsidRPr="00B0081A">
              <w:rPr>
                <w:rFonts w:ascii="Verdana" w:hAnsi="Verdana"/>
                <w:color w:val="7F7F7F" w:themeColor="text1" w:themeTint="80"/>
                <w:sz w:val="22"/>
                <w:szCs w:val="22"/>
                <w:lang w:val="en-GB"/>
              </w:rPr>
              <w:t>the outset</w:t>
            </w:r>
            <w:r>
              <w:rPr>
                <w:rFonts w:ascii="Verdana" w:hAnsi="Verdana"/>
                <w:color w:val="7F7F7F" w:themeColor="text1" w:themeTint="80"/>
                <w:sz w:val="22"/>
                <w:szCs w:val="22"/>
                <w:lang w:val="en-GB"/>
              </w:rPr>
              <w:t xml:space="preserve"> following a consultation with the group supervisor</w:t>
            </w:r>
            <w:r w:rsidRPr="00B0081A">
              <w:rPr>
                <w:rFonts w:ascii="Verdana" w:hAnsi="Verdana"/>
                <w:color w:val="7F7F7F" w:themeColor="text1" w:themeTint="80"/>
                <w:sz w:val="22"/>
                <w:szCs w:val="22"/>
                <w:lang w:val="en-GB"/>
              </w:rPr>
              <w:t xml:space="preserve">. For example, </w:t>
            </w:r>
            <w:r>
              <w:rPr>
                <w:rFonts w:ascii="Verdana" w:hAnsi="Verdana"/>
                <w:color w:val="7F7F7F" w:themeColor="text1" w:themeTint="80"/>
                <w:sz w:val="22"/>
                <w:szCs w:val="22"/>
                <w:lang w:val="en-GB"/>
              </w:rPr>
              <w:t xml:space="preserve">a group has set up an integrated management </w:t>
            </w:r>
            <w:r w:rsidRPr="00B0081A">
              <w:rPr>
                <w:rFonts w:ascii="Verdana" w:hAnsi="Verdana"/>
                <w:color w:val="7F7F7F" w:themeColor="text1" w:themeTint="80"/>
                <w:sz w:val="22"/>
                <w:szCs w:val="22"/>
                <w:lang w:val="en-GB"/>
              </w:rPr>
              <w:t>of human resources</w:t>
            </w:r>
            <w:r>
              <w:rPr>
                <w:rFonts w:ascii="Verdana" w:hAnsi="Verdana"/>
                <w:color w:val="7F7F7F" w:themeColor="text1" w:themeTint="80"/>
                <w:sz w:val="22"/>
                <w:szCs w:val="22"/>
                <w:lang w:val="en-GB"/>
              </w:rPr>
              <w:t xml:space="preserve"> matters</w:t>
            </w:r>
            <w:r w:rsidRPr="00B0081A">
              <w:rPr>
                <w:rFonts w:ascii="Verdana" w:hAnsi="Verdana"/>
                <w:color w:val="7F7F7F" w:themeColor="text1" w:themeTint="80"/>
                <w:sz w:val="22"/>
                <w:szCs w:val="22"/>
                <w:lang w:val="en-GB"/>
              </w:rPr>
              <w:t xml:space="preserve"> for all undertakings </w:t>
            </w:r>
            <w:r>
              <w:rPr>
                <w:rFonts w:ascii="Verdana" w:hAnsi="Verdana"/>
                <w:color w:val="7F7F7F" w:themeColor="text1" w:themeTint="80"/>
                <w:sz w:val="22"/>
                <w:szCs w:val="22"/>
                <w:lang w:val="en-GB"/>
              </w:rPr>
              <w:t>which are part of</w:t>
            </w:r>
            <w:r w:rsidRPr="00B0081A">
              <w:rPr>
                <w:rFonts w:ascii="Verdana" w:hAnsi="Verdana"/>
                <w:color w:val="7F7F7F" w:themeColor="text1" w:themeTint="80"/>
                <w:sz w:val="22"/>
                <w:szCs w:val="22"/>
                <w:lang w:val="en-GB"/>
              </w:rPr>
              <w:t xml:space="preserve"> </w:t>
            </w:r>
            <w:r>
              <w:rPr>
                <w:rFonts w:ascii="Verdana" w:hAnsi="Verdana"/>
                <w:color w:val="7F7F7F" w:themeColor="text1" w:themeTint="80"/>
                <w:sz w:val="22"/>
                <w:szCs w:val="22"/>
                <w:lang w:val="en-GB"/>
              </w:rPr>
              <w:t>a</w:t>
            </w:r>
            <w:r w:rsidRPr="00B0081A">
              <w:rPr>
                <w:rFonts w:ascii="Verdana" w:hAnsi="Verdana"/>
                <w:color w:val="7F7F7F" w:themeColor="text1" w:themeTint="80"/>
                <w:sz w:val="22"/>
                <w:szCs w:val="22"/>
                <w:lang w:val="en-GB"/>
              </w:rPr>
              <w:t xml:space="preserve"> group</w:t>
            </w:r>
            <w:r>
              <w:rPr>
                <w:rFonts w:ascii="Verdana" w:hAnsi="Verdana"/>
                <w:color w:val="7F7F7F" w:themeColor="text1" w:themeTint="80"/>
                <w:sz w:val="22"/>
                <w:szCs w:val="22"/>
                <w:lang w:val="en-GB"/>
              </w:rPr>
              <w:t>; the management of those activities</w:t>
            </w:r>
            <w:r w:rsidRPr="00B0081A">
              <w:rPr>
                <w:rFonts w:ascii="Verdana" w:hAnsi="Verdana"/>
                <w:color w:val="7F7F7F" w:themeColor="text1" w:themeTint="80"/>
                <w:sz w:val="22"/>
                <w:szCs w:val="22"/>
                <w:lang w:val="en-GB"/>
              </w:rPr>
              <w:t xml:space="preserve"> should be deemed important only in rare cases.</w:t>
            </w:r>
          </w:p>
          <w:p w14:paraId="3E5DE4E8" w14:textId="77777777" w:rsidR="006F5ECC" w:rsidRPr="00B0081A" w:rsidRDefault="006F5ECC" w:rsidP="00020B14">
            <w:pPr>
              <w:tabs>
                <w:tab w:val="left" w:pos="0"/>
                <w:tab w:val="left" w:pos="4536"/>
              </w:tabs>
              <w:rPr>
                <w:rFonts w:ascii="Verdana" w:hAnsi="Verdana"/>
                <w:color w:val="7F7F7F" w:themeColor="text1" w:themeTint="80"/>
                <w:sz w:val="22"/>
                <w:szCs w:val="22"/>
                <w:lang w:val="en-GB"/>
              </w:rPr>
            </w:pPr>
          </w:p>
        </w:tc>
        <w:tc>
          <w:tcPr>
            <w:tcW w:w="483" w:type="pct"/>
            <w:tcBorders>
              <w:top w:val="single" w:sz="4" w:space="0" w:color="auto"/>
              <w:left w:val="single" w:sz="4" w:space="0" w:color="auto"/>
              <w:bottom w:val="single" w:sz="4" w:space="0" w:color="auto"/>
              <w:right w:val="single" w:sz="4" w:space="0" w:color="auto"/>
            </w:tcBorders>
          </w:tcPr>
          <w:p w14:paraId="33235B45" w14:textId="77777777" w:rsidR="006F5ECC" w:rsidRPr="000D5250" w:rsidRDefault="006F5ECC" w:rsidP="00020B14">
            <w:pPr>
              <w:tabs>
                <w:tab w:val="left" w:pos="0"/>
                <w:tab w:val="left" w:pos="4536"/>
              </w:tabs>
              <w:ind w:left="-96"/>
              <w:rPr>
                <w:rFonts w:ascii="Verdana" w:hAnsi="Verdana"/>
                <w:color w:val="7F7F7F" w:themeColor="text1" w:themeTint="80"/>
                <w:sz w:val="22"/>
                <w:szCs w:val="22"/>
                <w:lang w:val="en-GB" w:eastAsia="fr-FR"/>
              </w:rPr>
            </w:pPr>
          </w:p>
        </w:tc>
      </w:tr>
      <w:tr w:rsidR="00FC5744" w:rsidRPr="006432C9" w14:paraId="73FD70CF"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F1742E5" w14:textId="5CDDBB06" w:rsidR="006F5ECC" w:rsidRPr="00F0251A" w:rsidRDefault="006F5ECC" w:rsidP="00020B14">
            <w:pPr>
              <w:tabs>
                <w:tab w:val="left" w:pos="0"/>
                <w:tab w:val="left" w:pos="4536"/>
              </w:tabs>
              <w:ind w:left="-96"/>
              <w:rPr>
                <w:rFonts w:ascii="Verdana" w:hAnsi="Verdana"/>
                <w:color w:val="7F7F7F" w:themeColor="text1" w:themeTint="80"/>
                <w:lang w:val="en-US"/>
              </w:rPr>
            </w:pPr>
            <w:r>
              <w:rPr>
                <w:rFonts w:ascii="Verdana" w:hAnsi="Verdana"/>
                <w:color w:val="7F7F7F" w:themeColor="text1" w:themeTint="80"/>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7A6E2F5E" w14:textId="58322424" w:rsidR="006F5ECC" w:rsidRPr="00F0251A"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125</w:t>
            </w:r>
          </w:p>
        </w:tc>
        <w:tc>
          <w:tcPr>
            <w:tcW w:w="1999" w:type="pct"/>
            <w:tcBorders>
              <w:top w:val="single" w:sz="4" w:space="0" w:color="auto"/>
              <w:left w:val="single" w:sz="4" w:space="0" w:color="auto"/>
              <w:bottom w:val="single" w:sz="4" w:space="0" w:color="auto"/>
              <w:right w:val="single" w:sz="4" w:space="0" w:color="auto"/>
            </w:tcBorders>
            <w:vAlign w:val="center"/>
          </w:tcPr>
          <w:p w14:paraId="04DF2E05" w14:textId="77777777" w:rsidR="006F5ECC" w:rsidRPr="00395661" w:rsidRDefault="006F5ECC" w:rsidP="00020B14">
            <w:pPr>
              <w:tabs>
                <w:tab w:val="left" w:pos="0"/>
                <w:tab w:val="left" w:pos="4536"/>
              </w:tabs>
              <w:rPr>
                <w:rFonts w:ascii="Verdana" w:hAnsi="Verdana"/>
                <w:b/>
                <w:bCs/>
                <w:color w:val="7F7F7F" w:themeColor="text1" w:themeTint="80"/>
                <w:sz w:val="22"/>
                <w:szCs w:val="22"/>
                <w:lang w:val="en-GB"/>
              </w:rPr>
            </w:pPr>
            <w:r w:rsidRPr="00395661">
              <w:rPr>
                <w:rFonts w:ascii="Verdana" w:hAnsi="Verdana"/>
                <w:b/>
                <w:bCs/>
                <w:color w:val="7F7F7F" w:themeColor="text1" w:themeTint="80"/>
                <w:sz w:val="22"/>
                <w:szCs w:val="22"/>
                <w:lang w:val="en-GB"/>
              </w:rPr>
              <w:t>EIOPA’s Advice on Policy Issue 2 –IGTs and RCs Thresholds</w:t>
            </w:r>
          </w:p>
          <w:p w14:paraId="0EF4E8ED" w14:textId="0E72FCAA" w:rsidR="006F5ECC" w:rsidRPr="00B0081A" w:rsidRDefault="006F5ECC" w:rsidP="00020B14">
            <w:pPr>
              <w:tabs>
                <w:tab w:val="left" w:pos="0"/>
                <w:tab w:val="left" w:pos="4536"/>
              </w:tabs>
              <w:rPr>
                <w:rFonts w:ascii="Verdana" w:hAnsi="Verdana"/>
                <w:color w:val="7F7F7F" w:themeColor="text1" w:themeTint="80"/>
                <w:sz w:val="22"/>
                <w:szCs w:val="22"/>
                <w:lang w:val="en-GB"/>
              </w:rPr>
            </w:pPr>
            <w:r w:rsidRPr="00395661">
              <w:rPr>
                <w:rFonts w:ascii="Verdana" w:hAnsi="Verdana"/>
                <w:color w:val="7F7F7F" w:themeColor="text1" w:themeTint="80"/>
                <w:sz w:val="22"/>
                <w:szCs w:val="22"/>
                <w:lang w:val="en-US"/>
              </w:rPr>
              <w:t>In principle we are not against adding additional criteria, however the criteria should have a clear relationship with the risks induced by the possible risk concentration. Another question is whether EIOPA can provide information as to in how many cases did the current set thresholds lead to incorrect supervisory practices, not from a theoretical point of view but actually in practice.</w:t>
            </w:r>
            <w:r w:rsidRPr="00395661">
              <w:rPr>
                <w:rFonts w:ascii="Verdana" w:hAnsi="Verdana"/>
                <w:color w:val="7F7F7F" w:themeColor="text1" w:themeTint="80"/>
                <w:sz w:val="22"/>
                <w:szCs w:val="22"/>
                <w:lang w:val="en-GB"/>
              </w:rPr>
              <w:t xml:space="preserve"> The </w:t>
            </w:r>
            <w:r w:rsidRPr="00B0081A">
              <w:rPr>
                <w:rFonts w:ascii="Verdana" w:hAnsi="Verdana"/>
                <w:color w:val="7F7F7F" w:themeColor="text1" w:themeTint="80"/>
                <w:sz w:val="22"/>
                <w:szCs w:val="22"/>
                <w:lang w:val="en-GB"/>
              </w:rPr>
              <w:t xml:space="preserve">definitions and criteria for thresholds are sufficient. They are clear enough to allow undertakings in advance to assess the consequences of business decisions. Further, definition should be as consistent as possible with other European regulations, in this context for example with the European Accounting Directive. There is no need for further specifications. </w:t>
            </w:r>
          </w:p>
          <w:p w14:paraId="649895FA" w14:textId="77777777" w:rsidR="006F5ECC" w:rsidRPr="00B0081A" w:rsidRDefault="006F5ECC" w:rsidP="00020B14">
            <w:pPr>
              <w:tabs>
                <w:tab w:val="left" w:pos="0"/>
                <w:tab w:val="left" w:pos="4536"/>
              </w:tabs>
              <w:rPr>
                <w:rFonts w:ascii="Verdana" w:hAnsi="Verdana"/>
                <w:color w:val="7F7F7F" w:themeColor="text1" w:themeTint="80"/>
                <w:sz w:val="22"/>
                <w:szCs w:val="22"/>
                <w:lang w:val="en-GB"/>
              </w:rPr>
            </w:pPr>
            <w:r w:rsidRPr="00B0081A">
              <w:rPr>
                <w:rFonts w:ascii="Verdana" w:hAnsi="Verdana"/>
                <w:color w:val="7F7F7F" w:themeColor="text1" w:themeTint="80"/>
                <w:sz w:val="22"/>
                <w:szCs w:val="22"/>
                <w:lang w:val="en-GB"/>
              </w:rPr>
              <w:t>Any additional criteria should have a clear relationship with the risks induced by the possible risk concentration. EIOPA does not specify if the current setting of thresholds has in effect led to bad supervision.</w:t>
            </w:r>
          </w:p>
          <w:p w14:paraId="4CBE7568" w14:textId="77777777" w:rsidR="006F5ECC" w:rsidRPr="00B0081A" w:rsidRDefault="006F5ECC" w:rsidP="00020B14">
            <w:pPr>
              <w:tabs>
                <w:tab w:val="left" w:pos="0"/>
                <w:tab w:val="left" w:pos="4536"/>
              </w:tabs>
              <w:rPr>
                <w:rFonts w:ascii="Verdana" w:hAnsi="Verdana"/>
                <w:color w:val="7F7F7F" w:themeColor="text1" w:themeTint="80"/>
                <w:sz w:val="22"/>
                <w:szCs w:val="22"/>
                <w:lang w:val="en-GB"/>
              </w:rPr>
            </w:pPr>
            <w:r w:rsidRPr="00B0081A">
              <w:rPr>
                <w:rFonts w:ascii="Verdana" w:hAnsi="Verdana"/>
                <w:color w:val="7F7F7F" w:themeColor="text1" w:themeTint="80"/>
                <w:sz w:val="22"/>
                <w:szCs w:val="22"/>
                <w:lang w:val="en-GB"/>
              </w:rPr>
              <w:t>For groups operating in both sectors, banking and insurance, and are financial conglomerates as well, reporting of IGT and RC can be a burdensome process if supervisors require reporting under each framework. A harmonised reporting could be considered.</w:t>
            </w:r>
          </w:p>
          <w:p w14:paraId="701C23BA" w14:textId="77777777" w:rsidR="006F5ECC" w:rsidRPr="00B0081A" w:rsidRDefault="006F5ECC" w:rsidP="00020B14">
            <w:pPr>
              <w:tabs>
                <w:tab w:val="left" w:pos="0"/>
                <w:tab w:val="left" w:pos="4536"/>
              </w:tabs>
              <w:rPr>
                <w:rFonts w:ascii="Verdana" w:hAnsi="Verdana"/>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02939D12"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C451F5" w14:paraId="2BE9A7B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1418" w:type="pct"/>
          <w:trHeight w:val="300"/>
        </w:trPr>
        <w:tc>
          <w:tcPr>
            <w:tcW w:w="3582" w:type="pct"/>
            <w:gridSpan w:val="6"/>
            <w:tcBorders>
              <w:top w:val="single" w:sz="4" w:space="0" w:color="auto"/>
              <w:left w:val="single" w:sz="4" w:space="0" w:color="auto"/>
              <w:bottom w:val="single" w:sz="4" w:space="0" w:color="auto"/>
              <w:right w:val="single" w:sz="4" w:space="0" w:color="auto"/>
            </w:tcBorders>
            <w:shd w:val="clear" w:color="auto" w:fill="auto"/>
            <w:noWrap/>
          </w:tcPr>
          <w:p w14:paraId="06E8CC13" w14:textId="1253D935" w:rsidR="006F5ECC" w:rsidRPr="009C6F91" w:rsidRDefault="006F5ECC" w:rsidP="00020B14">
            <w:pPr>
              <w:tabs>
                <w:tab w:val="left" w:pos="0"/>
                <w:tab w:val="left" w:pos="4536"/>
              </w:tabs>
              <w:rPr>
                <w:color w:val="7F7F7F" w:themeColor="text1" w:themeTint="80"/>
                <w:sz w:val="22"/>
                <w:szCs w:val="22"/>
                <w:lang w:val="en-US"/>
              </w:rPr>
            </w:pPr>
            <w:r w:rsidRPr="00B0081A">
              <w:rPr>
                <w:rFonts w:ascii="Verdana" w:eastAsia="Verdana" w:hAnsi="Verdana" w:cs="Verdana"/>
                <w:b/>
                <w:bCs/>
                <w:color w:val="7F7F7F" w:themeColor="text1" w:themeTint="80"/>
                <w:sz w:val="22"/>
                <w:szCs w:val="22"/>
                <w:lang w:val="en-US"/>
              </w:rPr>
              <w:t>9.3.9 Partial Internal Models and Integration Techniques.</w:t>
            </w:r>
          </w:p>
        </w:tc>
      </w:tr>
      <w:tr w:rsidR="00FC5744" w:rsidRPr="001360A5" w14:paraId="660FA852"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3936740" w14:textId="3160312E" w:rsidR="006F5ECC" w:rsidRPr="00F0251A" w:rsidRDefault="006F5ECC" w:rsidP="00020B14">
            <w:pPr>
              <w:tabs>
                <w:tab w:val="left" w:pos="0"/>
                <w:tab w:val="left" w:pos="4536"/>
              </w:tabs>
              <w:ind w:left="-96"/>
              <w:rPr>
                <w:color w:val="7F7F7F" w:themeColor="text1" w:themeTint="80"/>
                <w:lang w:val="en-US"/>
              </w:rPr>
            </w:pPr>
            <w:r>
              <w:rPr>
                <w:rFonts w:ascii="Verdana" w:eastAsia="Verdana" w:hAnsi="Verdana" w:cs="Verdana"/>
                <w:b/>
                <w:bCs/>
                <w:color w:val="7F7F7F" w:themeColor="text1" w:themeTint="80"/>
                <w:sz w:val="22"/>
                <w:szCs w:val="22"/>
                <w:lang w:val="en-US"/>
              </w:rPr>
              <w:lastRenderedPageBreak/>
              <w:t>9</w:t>
            </w:r>
          </w:p>
        </w:tc>
        <w:tc>
          <w:tcPr>
            <w:tcW w:w="506" w:type="pct"/>
            <w:gridSpan w:val="2"/>
            <w:tcBorders>
              <w:top w:val="single" w:sz="4" w:space="0" w:color="auto"/>
              <w:left w:val="single" w:sz="4" w:space="0" w:color="auto"/>
              <w:bottom w:val="single" w:sz="4" w:space="0" w:color="auto"/>
              <w:right w:val="single" w:sz="4" w:space="0" w:color="auto"/>
            </w:tcBorders>
          </w:tcPr>
          <w:p w14:paraId="18ECC550" w14:textId="77777777" w:rsidR="006F5ECC" w:rsidRPr="0003536E" w:rsidRDefault="006F5ECC" w:rsidP="00020B14">
            <w:pPr>
              <w:tabs>
                <w:tab w:val="left" w:pos="0"/>
                <w:tab w:val="left" w:pos="4536"/>
              </w:tabs>
              <w:ind w:left="-96"/>
              <w:rPr>
                <w:b/>
                <w:bCs/>
                <w:color w:val="7F7F7F" w:themeColor="text1" w:themeTint="80"/>
                <w:sz w:val="22"/>
                <w:szCs w:val="22"/>
                <w:lang w:val="en-US"/>
              </w:rPr>
            </w:pPr>
            <w:r w:rsidRPr="0003536E">
              <w:rPr>
                <w:rFonts w:ascii="Verdana" w:eastAsia="Verdana" w:hAnsi="Verdana" w:cs="Verdana"/>
                <w:b/>
                <w:bCs/>
                <w:color w:val="7F7F7F" w:themeColor="text1" w:themeTint="80"/>
                <w:sz w:val="22"/>
                <w:szCs w:val="22"/>
                <w:lang w:val="en-US"/>
              </w:rPr>
              <w:t>Questions to stakeholders</w:t>
            </w:r>
          </w:p>
          <w:p w14:paraId="4E5A5758" w14:textId="77777777" w:rsidR="006F5ECC" w:rsidRPr="0003536E" w:rsidRDefault="006F5ECC" w:rsidP="00020B14">
            <w:pPr>
              <w:tabs>
                <w:tab w:val="left" w:pos="0"/>
                <w:tab w:val="left" w:pos="4536"/>
              </w:tabs>
              <w:spacing w:line="172" w:lineRule="exact"/>
              <w:ind w:left="-96"/>
              <w:rPr>
                <w:b/>
                <w:bCs/>
                <w:color w:val="7F7F7F" w:themeColor="text1" w:themeTint="80"/>
                <w:sz w:val="22"/>
                <w:szCs w:val="22"/>
                <w:lang w:val="en-US"/>
              </w:rPr>
            </w:pPr>
          </w:p>
          <w:p w14:paraId="7AD5972B" w14:textId="77777777" w:rsidR="006F5ECC" w:rsidRPr="00F0251A" w:rsidRDefault="006F5ECC" w:rsidP="00020B14">
            <w:pPr>
              <w:tabs>
                <w:tab w:val="left" w:pos="0"/>
                <w:tab w:val="left" w:pos="4536"/>
              </w:tabs>
              <w:ind w:left="-96"/>
              <w:rPr>
                <w:rFonts w:ascii="Verdana" w:hAnsi="Verdana"/>
                <w:color w:val="7F7F7F" w:themeColor="text1" w:themeTint="80"/>
                <w:sz w:val="22"/>
                <w:szCs w:val="22"/>
                <w:lang w:val="en-US"/>
              </w:rPr>
            </w:pPr>
          </w:p>
        </w:tc>
        <w:tc>
          <w:tcPr>
            <w:tcW w:w="1999" w:type="pct"/>
            <w:tcBorders>
              <w:top w:val="single" w:sz="4" w:space="0" w:color="auto"/>
              <w:left w:val="single" w:sz="4" w:space="0" w:color="auto"/>
              <w:bottom w:val="single" w:sz="4" w:space="0" w:color="auto"/>
              <w:right w:val="single" w:sz="4" w:space="0" w:color="auto"/>
            </w:tcBorders>
          </w:tcPr>
          <w:p w14:paraId="1DA17E4E" w14:textId="77777777" w:rsidR="006F5ECC" w:rsidRPr="00B0081A" w:rsidRDefault="006F5ECC" w:rsidP="00020B14">
            <w:pPr>
              <w:tabs>
                <w:tab w:val="left" w:pos="0"/>
                <w:tab w:val="left" w:pos="4536"/>
              </w:tabs>
              <w:spacing w:line="239" w:lineRule="auto"/>
              <w:ind w:right="20" w:hanging="565"/>
              <w:jc w:val="both"/>
              <w:rPr>
                <w:b/>
                <w:bCs/>
                <w:color w:val="7F7F7F" w:themeColor="text1" w:themeTint="80"/>
                <w:sz w:val="22"/>
                <w:szCs w:val="22"/>
                <w:lang w:val="en-US"/>
              </w:rPr>
            </w:pPr>
            <w:r w:rsidRPr="00B0081A">
              <w:rPr>
                <w:rFonts w:ascii="Verdana" w:eastAsia="Verdana" w:hAnsi="Verdana" w:cs="Verdana"/>
                <w:b/>
                <w:bCs/>
                <w:color w:val="7F7F7F" w:themeColor="text1" w:themeTint="80"/>
                <w:sz w:val="22"/>
                <w:szCs w:val="22"/>
                <w:lang w:val="en-US"/>
              </w:rPr>
              <w:t>Q9.1: EIOPA invites all stakeholders to share their experience on the issues discussed above regarding the interlinkages of partial internal models, and integration techniques.</w:t>
            </w:r>
          </w:p>
          <w:p w14:paraId="577726D0" w14:textId="77777777" w:rsidR="006F5ECC" w:rsidRPr="00B0081A" w:rsidRDefault="006F5ECC" w:rsidP="00020B14">
            <w:pPr>
              <w:tabs>
                <w:tab w:val="left" w:pos="0"/>
                <w:tab w:val="left" w:pos="4536"/>
              </w:tabs>
              <w:spacing w:line="122" w:lineRule="exact"/>
              <w:rPr>
                <w:b/>
                <w:bCs/>
                <w:color w:val="7F7F7F" w:themeColor="text1" w:themeTint="80"/>
                <w:sz w:val="22"/>
                <w:szCs w:val="22"/>
                <w:lang w:val="en-US"/>
              </w:rPr>
            </w:pPr>
          </w:p>
          <w:p w14:paraId="1118E769" w14:textId="77777777" w:rsidR="006F5ECC" w:rsidRPr="00B0081A" w:rsidRDefault="006F5ECC" w:rsidP="00020B14">
            <w:pPr>
              <w:tabs>
                <w:tab w:val="left" w:pos="0"/>
                <w:tab w:val="left" w:pos="4536"/>
              </w:tabs>
              <w:rPr>
                <w:b/>
                <w:bCs/>
                <w:color w:val="7F7F7F" w:themeColor="text1" w:themeTint="80"/>
                <w:sz w:val="22"/>
                <w:szCs w:val="22"/>
                <w:lang w:val="en-US"/>
              </w:rPr>
            </w:pPr>
            <w:r w:rsidRPr="00B0081A">
              <w:rPr>
                <w:rFonts w:ascii="Verdana" w:eastAsia="Verdana" w:hAnsi="Verdana" w:cs="Verdana"/>
                <w:b/>
                <w:bCs/>
                <w:color w:val="7F7F7F" w:themeColor="text1" w:themeTint="80"/>
                <w:sz w:val="22"/>
                <w:szCs w:val="22"/>
                <w:lang w:val="en-US"/>
              </w:rPr>
              <w:t>In particular to provide EIOPA with information on:</w:t>
            </w:r>
          </w:p>
          <w:p w14:paraId="03726590" w14:textId="77777777" w:rsidR="006F5ECC" w:rsidRPr="00B0081A" w:rsidRDefault="006F5ECC" w:rsidP="00020B14">
            <w:pPr>
              <w:tabs>
                <w:tab w:val="left" w:pos="0"/>
                <w:tab w:val="left" w:pos="4536"/>
              </w:tabs>
              <w:spacing w:line="3" w:lineRule="exact"/>
              <w:rPr>
                <w:b/>
                <w:bCs/>
                <w:color w:val="7F7F7F" w:themeColor="text1" w:themeTint="80"/>
                <w:sz w:val="22"/>
                <w:szCs w:val="22"/>
                <w:lang w:val="en-US"/>
              </w:rPr>
            </w:pPr>
          </w:p>
          <w:p w14:paraId="56AF048D" w14:textId="77777777" w:rsidR="006F5ECC" w:rsidRPr="00B0081A" w:rsidRDefault="006F5ECC" w:rsidP="00020B14">
            <w:pPr>
              <w:tabs>
                <w:tab w:val="left" w:pos="0"/>
                <w:tab w:val="left" w:pos="4536"/>
              </w:tabs>
              <w:spacing w:line="238" w:lineRule="auto"/>
              <w:ind w:right="180"/>
              <w:rPr>
                <w:b/>
                <w:bCs/>
                <w:color w:val="7F7F7F" w:themeColor="text1" w:themeTint="80"/>
                <w:sz w:val="22"/>
                <w:szCs w:val="22"/>
                <w:lang w:val="en-US"/>
              </w:rPr>
            </w:pPr>
            <w:r w:rsidRPr="00B0081A">
              <w:rPr>
                <w:rFonts w:ascii="Verdana" w:eastAsia="Verdana" w:hAnsi="Verdana" w:cs="Verdana"/>
                <w:b/>
                <w:bCs/>
                <w:color w:val="7F7F7F" w:themeColor="text1" w:themeTint="80"/>
                <w:sz w:val="22"/>
                <w:szCs w:val="22"/>
                <w:lang w:val="en-US"/>
              </w:rPr>
              <w:t>Are you using integration techniques 2 to 5 for groups or solo undertakings with major business units? Please provide details</w:t>
            </w:r>
          </w:p>
          <w:p w14:paraId="134E7AC1" w14:textId="77777777" w:rsidR="006F5ECC" w:rsidRPr="00B0081A" w:rsidRDefault="006F5ECC" w:rsidP="00020B14">
            <w:pPr>
              <w:tabs>
                <w:tab w:val="left" w:pos="0"/>
                <w:tab w:val="left" w:pos="4536"/>
              </w:tabs>
              <w:spacing w:line="2" w:lineRule="exact"/>
              <w:rPr>
                <w:b/>
                <w:bCs/>
                <w:color w:val="7F7F7F" w:themeColor="text1" w:themeTint="80"/>
                <w:sz w:val="22"/>
                <w:szCs w:val="22"/>
                <w:lang w:val="en-US"/>
              </w:rPr>
            </w:pPr>
          </w:p>
          <w:p w14:paraId="44C7F64F" w14:textId="3D7A678F" w:rsidR="006F5ECC" w:rsidRDefault="006F5ECC" w:rsidP="00020B14">
            <w:pPr>
              <w:tabs>
                <w:tab w:val="left" w:pos="0"/>
                <w:tab w:val="left" w:pos="4536"/>
              </w:tabs>
              <w:rPr>
                <w:rFonts w:ascii="Verdana" w:eastAsia="Verdana" w:hAnsi="Verdana" w:cs="Verdana"/>
                <w:b/>
                <w:bCs/>
                <w:color w:val="7F7F7F" w:themeColor="text1" w:themeTint="80"/>
                <w:sz w:val="22"/>
                <w:szCs w:val="22"/>
                <w:lang w:val="en-US"/>
              </w:rPr>
            </w:pPr>
            <w:r w:rsidRPr="00B0081A">
              <w:rPr>
                <w:rFonts w:ascii="Verdana" w:eastAsia="Verdana" w:hAnsi="Verdana" w:cs="Verdana"/>
                <w:b/>
                <w:bCs/>
                <w:color w:val="7F7F7F" w:themeColor="text1" w:themeTint="80"/>
                <w:sz w:val="22"/>
                <w:szCs w:val="22"/>
                <w:lang w:val="en-US"/>
              </w:rPr>
              <w:t>What is your experience in using such integration techniques?</w:t>
            </w:r>
          </w:p>
          <w:p w14:paraId="1BE39B0A" w14:textId="798247B4" w:rsidR="006F5ECC" w:rsidRPr="00395661" w:rsidRDefault="006F5ECC" w:rsidP="00020B14">
            <w:pPr>
              <w:tabs>
                <w:tab w:val="left" w:pos="0"/>
                <w:tab w:val="left" w:pos="4536"/>
              </w:tabs>
              <w:rPr>
                <w:b/>
                <w:bCs/>
                <w:color w:val="7F7F7F" w:themeColor="text1" w:themeTint="80"/>
                <w:sz w:val="22"/>
                <w:szCs w:val="22"/>
                <w:lang w:val="en-US"/>
              </w:rPr>
            </w:pPr>
            <w:r w:rsidRPr="00CF2245">
              <w:rPr>
                <w:rFonts w:ascii="Verdana" w:hAnsi="Verdana"/>
                <w:color w:val="7F7F7F" w:themeColor="text1" w:themeTint="80"/>
                <w:sz w:val="22"/>
                <w:szCs w:val="22"/>
                <w:lang w:val="en-US"/>
              </w:rPr>
              <w:t xml:space="preserve">We suggest EIOPA approaches </w:t>
            </w:r>
            <w:r>
              <w:rPr>
                <w:rFonts w:ascii="Verdana" w:hAnsi="Verdana"/>
                <w:color w:val="7F7F7F" w:themeColor="text1" w:themeTint="80"/>
                <w:sz w:val="22"/>
                <w:szCs w:val="22"/>
                <w:lang w:val="en-US"/>
              </w:rPr>
              <w:t xml:space="preserve">the </w:t>
            </w:r>
            <w:r w:rsidRPr="00CF2245">
              <w:rPr>
                <w:rFonts w:ascii="Verdana" w:hAnsi="Verdana"/>
                <w:color w:val="7F7F7F" w:themeColor="text1" w:themeTint="80"/>
                <w:sz w:val="22"/>
                <w:szCs w:val="22"/>
                <w:lang w:val="en-US"/>
              </w:rPr>
              <w:t>National Competent Authorities to obtain the requested information from internal model players.</w:t>
            </w:r>
          </w:p>
          <w:p w14:paraId="46411761" w14:textId="77777777" w:rsidR="006F5ECC" w:rsidRPr="00B0081A" w:rsidRDefault="006F5ECC" w:rsidP="00020B14">
            <w:pPr>
              <w:tabs>
                <w:tab w:val="left" w:pos="0"/>
                <w:tab w:val="left" w:pos="4536"/>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4A2AC68B" w14:textId="77777777" w:rsidR="006F5ECC" w:rsidRPr="00F0251A" w:rsidRDefault="006F5ECC" w:rsidP="00020B14">
            <w:pPr>
              <w:tabs>
                <w:tab w:val="left" w:pos="0"/>
                <w:tab w:val="left" w:pos="4536"/>
              </w:tabs>
              <w:ind w:left="-96"/>
              <w:rPr>
                <w:color w:val="7F7F7F" w:themeColor="text1" w:themeTint="80"/>
                <w:sz w:val="22"/>
                <w:szCs w:val="22"/>
                <w:lang w:val="en-GB" w:eastAsia="fr-FR"/>
              </w:rPr>
            </w:pPr>
          </w:p>
        </w:tc>
      </w:tr>
      <w:tr w:rsidR="006F5ECC" w:rsidRPr="001360A5" w14:paraId="2ABBBDFE"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1418" w:type="pct"/>
          <w:trHeight w:val="300"/>
        </w:trPr>
        <w:tc>
          <w:tcPr>
            <w:tcW w:w="3582" w:type="pct"/>
            <w:gridSpan w:val="6"/>
            <w:tcBorders>
              <w:top w:val="single" w:sz="4" w:space="0" w:color="auto"/>
              <w:left w:val="single" w:sz="4" w:space="0" w:color="auto"/>
              <w:bottom w:val="single" w:sz="4" w:space="0" w:color="auto"/>
              <w:right w:val="single" w:sz="4" w:space="0" w:color="auto"/>
            </w:tcBorders>
            <w:shd w:val="clear" w:color="auto" w:fill="auto"/>
            <w:noWrap/>
          </w:tcPr>
          <w:p w14:paraId="26C0783F" w14:textId="7DF70D4D" w:rsidR="006F5ECC" w:rsidRPr="00B0081A" w:rsidRDefault="006F5ECC" w:rsidP="00020B14">
            <w:pPr>
              <w:tabs>
                <w:tab w:val="left" w:pos="0"/>
                <w:tab w:val="left" w:pos="1060"/>
                <w:tab w:val="left" w:pos="4536"/>
              </w:tabs>
              <w:rPr>
                <w:color w:val="7F7F7F" w:themeColor="text1" w:themeTint="80"/>
                <w:sz w:val="20"/>
                <w:szCs w:val="20"/>
                <w:lang w:val="en-US"/>
              </w:rPr>
            </w:pPr>
            <w:r w:rsidRPr="00F632E4">
              <w:rPr>
                <w:rFonts w:ascii="Verdana" w:hAnsi="Verdana"/>
                <w:b/>
                <w:bCs/>
                <w:color w:val="7F7F7F" w:themeColor="text1" w:themeTint="80"/>
                <w:sz w:val="22"/>
                <w:szCs w:val="22"/>
                <w:lang w:val="en-GB"/>
              </w:rPr>
              <w:t>9.3.10 Group SCR calculation when using Combination of methods</w:t>
            </w:r>
          </w:p>
          <w:p w14:paraId="68589E3F" w14:textId="77777777" w:rsidR="006F5ECC" w:rsidRPr="00B0081A" w:rsidRDefault="006F5ECC" w:rsidP="00020B14">
            <w:pPr>
              <w:tabs>
                <w:tab w:val="left" w:pos="0"/>
                <w:tab w:val="left" w:pos="4536"/>
              </w:tabs>
              <w:rPr>
                <w:color w:val="7F7F7F" w:themeColor="text1" w:themeTint="80"/>
                <w:sz w:val="22"/>
                <w:szCs w:val="22"/>
                <w:lang w:val="en-US" w:eastAsia="fr-FR"/>
              </w:rPr>
            </w:pPr>
          </w:p>
        </w:tc>
      </w:tr>
      <w:tr w:rsidR="00FC5744" w:rsidRPr="001360A5" w14:paraId="7400D88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4C5D62C" w14:textId="66BBBEF8" w:rsidR="006F5ECC" w:rsidRDefault="006F5ECC" w:rsidP="00020B14">
            <w:pPr>
              <w:tabs>
                <w:tab w:val="left" w:pos="0"/>
                <w:tab w:val="left" w:pos="4536"/>
              </w:tabs>
              <w:ind w:left="-96"/>
              <w:rPr>
                <w:rFonts w:ascii="Verdana" w:hAnsi="Verdana"/>
                <w:color w:val="7F7F7F" w:themeColor="text1" w:themeTint="80"/>
                <w:lang w:val="en-US"/>
              </w:rPr>
            </w:pPr>
            <w:r>
              <w:rPr>
                <w:rFonts w:ascii="Verdana" w:hAnsi="Verdana"/>
                <w:color w:val="7F7F7F" w:themeColor="text1" w:themeTint="80"/>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54B6203D" w14:textId="6FE3F184" w:rsidR="006F5ECC"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261</w:t>
            </w:r>
          </w:p>
        </w:tc>
        <w:tc>
          <w:tcPr>
            <w:tcW w:w="1999" w:type="pct"/>
            <w:tcBorders>
              <w:top w:val="single" w:sz="4" w:space="0" w:color="auto"/>
              <w:left w:val="single" w:sz="4" w:space="0" w:color="auto"/>
              <w:bottom w:val="single" w:sz="4" w:space="0" w:color="auto"/>
              <w:right w:val="single" w:sz="4" w:space="0" w:color="auto"/>
            </w:tcBorders>
            <w:vAlign w:val="center"/>
          </w:tcPr>
          <w:p w14:paraId="03E47F46" w14:textId="537C804F" w:rsidR="006F5ECC" w:rsidRPr="00395661" w:rsidRDefault="006F5ECC" w:rsidP="00020B14">
            <w:pPr>
              <w:tabs>
                <w:tab w:val="left" w:pos="0"/>
                <w:tab w:val="left" w:pos="4536"/>
              </w:tabs>
              <w:rPr>
                <w:rFonts w:ascii="Verdana" w:hAnsi="Verdana"/>
                <w:color w:val="7F7F7F" w:themeColor="text1" w:themeTint="80"/>
                <w:sz w:val="22"/>
                <w:szCs w:val="22"/>
                <w:lang w:val="en-GB"/>
              </w:rPr>
            </w:pPr>
            <w:r w:rsidRPr="00B0081A">
              <w:rPr>
                <w:rFonts w:ascii="Verdana" w:hAnsi="Verdana"/>
                <w:color w:val="7F7F7F" w:themeColor="text1" w:themeTint="80"/>
                <w:sz w:val="22"/>
                <w:szCs w:val="22"/>
                <w:lang w:val="en-GB"/>
              </w:rPr>
              <w:t>The proposals seem to indicate that EIOPA is of the view that groups using other methods than method 1 are avoiding capital requirements. We disagree and consider method 2 or a combination of methods still to be an appropriate alternative for some groups, e.g. for mutual with limitations on own funds’ availability. Further, other measures than adjustments to Pillar 1 are a better way to address the issues identified and are already present, e.g. through assessments in the group ORSA.</w:t>
            </w:r>
            <w:r>
              <w:rPr>
                <w:rFonts w:ascii="Verdana" w:hAnsi="Verdana"/>
                <w:color w:val="7F7F7F" w:themeColor="text1" w:themeTint="80"/>
                <w:sz w:val="22"/>
                <w:szCs w:val="22"/>
                <w:lang w:val="en-GB"/>
              </w:rPr>
              <w:t xml:space="preserve"> </w:t>
            </w:r>
            <w:r w:rsidRPr="00395661">
              <w:rPr>
                <w:rFonts w:ascii="Verdana" w:hAnsi="Verdana"/>
                <w:color w:val="7F7F7F" w:themeColor="text1" w:themeTint="80"/>
                <w:sz w:val="22"/>
                <w:szCs w:val="22"/>
                <w:lang w:val="en-GB"/>
              </w:rPr>
              <w:t>EIOPA’s advice to introduce a measure to avoid double-counting of risks is welcome.</w:t>
            </w:r>
          </w:p>
          <w:p w14:paraId="69FF9E39" w14:textId="77777777" w:rsidR="006F5ECC" w:rsidRPr="00B0081A" w:rsidRDefault="006F5ECC" w:rsidP="00020B14">
            <w:pPr>
              <w:tabs>
                <w:tab w:val="left" w:pos="0"/>
                <w:tab w:val="left" w:pos="4536"/>
              </w:tabs>
              <w:rPr>
                <w:rFonts w:ascii="Verdana" w:hAnsi="Verdana"/>
                <w:color w:val="7F7F7F" w:themeColor="text1" w:themeTint="80"/>
                <w:sz w:val="22"/>
                <w:szCs w:val="22"/>
                <w:lang w:val="en-GB"/>
              </w:rPr>
            </w:pPr>
          </w:p>
        </w:tc>
        <w:tc>
          <w:tcPr>
            <w:tcW w:w="483" w:type="pct"/>
            <w:tcBorders>
              <w:top w:val="single" w:sz="4" w:space="0" w:color="auto"/>
              <w:left w:val="single" w:sz="4" w:space="0" w:color="auto"/>
              <w:bottom w:val="single" w:sz="4" w:space="0" w:color="auto"/>
              <w:right w:val="single" w:sz="4" w:space="0" w:color="auto"/>
            </w:tcBorders>
          </w:tcPr>
          <w:p w14:paraId="0E65D74A"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1360A5" w14:paraId="7B78F87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1418" w:type="pct"/>
          <w:trHeight w:val="300"/>
        </w:trPr>
        <w:tc>
          <w:tcPr>
            <w:tcW w:w="3582" w:type="pct"/>
            <w:gridSpan w:val="6"/>
            <w:tcBorders>
              <w:top w:val="single" w:sz="4" w:space="0" w:color="auto"/>
              <w:left w:val="single" w:sz="4" w:space="0" w:color="auto"/>
              <w:bottom w:val="single" w:sz="4" w:space="0" w:color="auto"/>
              <w:right w:val="single" w:sz="4" w:space="0" w:color="auto"/>
            </w:tcBorders>
            <w:shd w:val="clear" w:color="auto" w:fill="auto"/>
            <w:noWrap/>
          </w:tcPr>
          <w:p w14:paraId="17282DFD" w14:textId="64AE48E1" w:rsidR="006F5ECC" w:rsidRPr="00B0081A" w:rsidRDefault="006F5ECC" w:rsidP="00020B14">
            <w:pPr>
              <w:tabs>
                <w:tab w:val="left" w:pos="0"/>
                <w:tab w:val="left" w:pos="4536"/>
              </w:tabs>
              <w:rPr>
                <w:rFonts w:ascii="Verdana" w:hAnsi="Verdana"/>
                <w:b/>
                <w:bCs/>
                <w:color w:val="7F7F7F" w:themeColor="text1" w:themeTint="80"/>
                <w:sz w:val="22"/>
                <w:szCs w:val="22"/>
                <w:lang w:val="en-GB"/>
              </w:rPr>
            </w:pPr>
            <w:r w:rsidRPr="00B0081A">
              <w:rPr>
                <w:rFonts w:ascii="Verdana" w:hAnsi="Verdana"/>
                <w:b/>
                <w:bCs/>
                <w:color w:val="7F7F7F" w:themeColor="text1" w:themeTint="80"/>
                <w:sz w:val="22"/>
                <w:szCs w:val="22"/>
                <w:lang w:val="en-GB"/>
              </w:rPr>
              <w:t>9.3.11 Group Solvency – Application when using combination of methods</w:t>
            </w:r>
          </w:p>
        </w:tc>
      </w:tr>
      <w:tr w:rsidR="00FC5744" w:rsidRPr="001360A5" w14:paraId="346B9481"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E8D3814" w14:textId="212E16FC" w:rsidR="006F5ECC" w:rsidRDefault="006F5ECC" w:rsidP="00020B14">
            <w:pPr>
              <w:tabs>
                <w:tab w:val="left" w:pos="0"/>
                <w:tab w:val="left" w:pos="4536"/>
              </w:tabs>
              <w:ind w:left="-96"/>
              <w:rPr>
                <w:rFonts w:ascii="Verdana" w:hAnsi="Verdana"/>
                <w:color w:val="7F7F7F" w:themeColor="text1" w:themeTint="80"/>
                <w:lang w:val="en-US"/>
              </w:rPr>
            </w:pPr>
            <w:r>
              <w:rPr>
                <w:rFonts w:ascii="Verdana" w:hAnsi="Verdana"/>
                <w:color w:val="7F7F7F" w:themeColor="text1" w:themeTint="80"/>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6AAD3B38" w14:textId="55265775" w:rsidR="006F5ECC"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271&amp;272</w:t>
            </w:r>
          </w:p>
        </w:tc>
        <w:tc>
          <w:tcPr>
            <w:tcW w:w="1999" w:type="pct"/>
            <w:tcBorders>
              <w:top w:val="single" w:sz="4" w:space="0" w:color="auto"/>
              <w:left w:val="single" w:sz="4" w:space="0" w:color="auto"/>
              <w:bottom w:val="single" w:sz="4" w:space="0" w:color="auto"/>
              <w:right w:val="single" w:sz="4" w:space="0" w:color="auto"/>
            </w:tcBorders>
            <w:vAlign w:val="center"/>
          </w:tcPr>
          <w:p w14:paraId="3AF5F494" w14:textId="1CB5687E" w:rsidR="006F5ECC" w:rsidRPr="00B0081A" w:rsidRDefault="006F5ECC" w:rsidP="00020B14">
            <w:pPr>
              <w:tabs>
                <w:tab w:val="left" w:pos="0"/>
                <w:tab w:val="left" w:pos="4536"/>
              </w:tabs>
              <w:rPr>
                <w:rFonts w:ascii="Verdana" w:hAnsi="Verdana"/>
                <w:color w:val="7F7F7F" w:themeColor="text1" w:themeTint="80"/>
                <w:sz w:val="22"/>
                <w:szCs w:val="22"/>
                <w:lang w:val="en-GB"/>
              </w:rPr>
            </w:pPr>
            <w:r w:rsidRPr="00B0081A">
              <w:rPr>
                <w:rFonts w:ascii="Verdana" w:hAnsi="Verdana"/>
                <w:color w:val="7F7F7F" w:themeColor="text1" w:themeTint="80"/>
                <w:sz w:val="22"/>
                <w:szCs w:val="22"/>
                <w:lang w:val="en-GB"/>
              </w:rPr>
              <w:t xml:space="preserve">We oppose EIOPA’s proposal that method 2 can only be applied to legal entities one by one, not to sub-groups. If, e.g., the sub-group is managed on a unified basis but is not a subsidiary to the parent undertaking, diversification between the entities in the sub-group should be allowed for irrespective of whether the consolidation method </w:t>
            </w:r>
            <w:r w:rsidRPr="00B0081A">
              <w:rPr>
                <w:rFonts w:ascii="Verdana" w:hAnsi="Verdana"/>
                <w:color w:val="7F7F7F" w:themeColor="text1" w:themeTint="80"/>
                <w:sz w:val="22"/>
                <w:szCs w:val="22"/>
                <w:lang w:val="en-GB"/>
              </w:rPr>
              <w:lastRenderedPageBreak/>
              <w:t xml:space="preserve">could be used on the full group. It can also be noted that the same arguments apply as those that lead EIOPA to propose that group requirements are used to include capital requirements from a banking sub-group, </w:t>
            </w:r>
            <w:r>
              <w:rPr>
                <w:rFonts w:ascii="Verdana" w:hAnsi="Verdana"/>
                <w:color w:val="7F7F7F" w:themeColor="text1" w:themeTint="80"/>
                <w:sz w:val="22"/>
                <w:szCs w:val="22"/>
                <w:lang w:val="en-GB"/>
              </w:rPr>
              <w:t>i.e.</w:t>
            </w:r>
            <w:r w:rsidRPr="00B0081A">
              <w:rPr>
                <w:rFonts w:ascii="Verdana" w:hAnsi="Verdana"/>
                <w:color w:val="7F7F7F" w:themeColor="text1" w:themeTint="80"/>
                <w:sz w:val="22"/>
                <w:szCs w:val="22"/>
                <w:lang w:val="en-GB"/>
              </w:rPr>
              <w:t xml:space="preserve"> paragraph 9.445.</w:t>
            </w:r>
          </w:p>
          <w:p w14:paraId="12C5B906" w14:textId="77777777" w:rsidR="006F5ECC" w:rsidRPr="00B0081A" w:rsidRDefault="006F5ECC" w:rsidP="00020B14">
            <w:pPr>
              <w:tabs>
                <w:tab w:val="left" w:pos="0"/>
                <w:tab w:val="left" w:pos="4536"/>
              </w:tabs>
              <w:rPr>
                <w:rFonts w:ascii="Verdana" w:hAnsi="Verdana"/>
                <w:color w:val="7F7F7F" w:themeColor="text1" w:themeTint="80"/>
                <w:sz w:val="22"/>
                <w:szCs w:val="22"/>
                <w:lang w:val="en-GB"/>
              </w:rPr>
            </w:pPr>
          </w:p>
        </w:tc>
        <w:tc>
          <w:tcPr>
            <w:tcW w:w="483" w:type="pct"/>
            <w:tcBorders>
              <w:top w:val="single" w:sz="4" w:space="0" w:color="auto"/>
              <w:left w:val="single" w:sz="4" w:space="0" w:color="auto"/>
              <w:bottom w:val="single" w:sz="4" w:space="0" w:color="auto"/>
              <w:right w:val="single" w:sz="4" w:space="0" w:color="auto"/>
            </w:tcBorders>
          </w:tcPr>
          <w:p w14:paraId="4657E150"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24362BC6"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DFB3FA3" w14:textId="4D3A1196" w:rsidR="006F5ECC" w:rsidRDefault="006F5ECC" w:rsidP="00020B14">
            <w:pPr>
              <w:tabs>
                <w:tab w:val="left" w:pos="0"/>
                <w:tab w:val="left" w:pos="4536"/>
              </w:tabs>
              <w:ind w:left="-96"/>
              <w:rPr>
                <w:rFonts w:ascii="Verdana" w:hAnsi="Verdana"/>
                <w:color w:val="7F7F7F" w:themeColor="text1" w:themeTint="80"/>
                <w:lang w:val="en-US"/>
              </w:rPr>
            </w:pPr>
            <w:r>
              <w:rPr>
                <w:rFonts w:ascii="Verdana" w:hAnsi="Verdana"/>
                <w:color w:val="7F7F7F" w:themeColor="text1" w:themeTint="80"/>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6AC52375" w14:textId="0318A78B" w:rsidR="006F5ECC"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275</w:t>
            </w:r>
          </w:p>
        </w:tc>
        <w:tc>
          <w:tcPr>
            <w:tcW w:w="1999" w:type="pct"/>
            <w:tcBorders>
              <w:top w:val="single" w:sz="4" w:space="0" w:color="auto"/>
              <w:left w:val="single" w:sz="4" w:space="0" w:color="auto"/>
              <w:bottom w:val="single" w:sz="4" w:space="0" w:color="auto"/>
              <w:right w:val="single" w:sz="4" w:space="0" w:color="auto"/>
            </w:tcBorders>
            <w:vAlign w:val="center"/>
          </w:tcPr>
          <w:p w14:paraId="2BD3C357" w14:textId="76765AC6" w:rsidR="006F5ECC" w:rsidRPr="00B0081A" w:rsidRDefault="006F5ECC" w:rsidP="00020B14">
            <w:pPr>
              <w:tabs>
                <w:tab w:val="left" w:pos="0"/>
                <w:tab w:val="left" w:pos="4536"/>
              </w:tabs>
              <w:rPr>
                <w:rFonts w:ascii="Verdana" w:hAnsi="Verdana"/>
                <w:color w:val="7F7F7F" w:themeColor="text1" w:themeTint="80"/>
                <w:sz w:val="22"/>
                <w:szCs w:val="22"/>
                <w:lang w:val="en-GB"/>
              </w:rPr>
            </w:pPr>
            <w:r w:rsidRPr="00B0081A">
              <w:rPr>
                <w:rFonts w:ascii="Verdana" w:hAnsi="Verdana"/>
                <w:color w:val="7F7F7F" w:themeColor="text1" w:themeTint="80"/>
                <w:sz w:val="22"/>
                <w:szCs w:val="22"/>
                <w:lang w:val="en-GB"/>
              </w:rPr>
              <w:t xml:space="preserve">Double counting of risks and omission of risks is never acceptable. Also, when using method 2, it must not be required to include double counting in the capital requirement, e.g. by counting both a participation undertaking’s exposure to the equity of a participation and the risk in that participation’s assets and liabilities, </w:t>
            </w:r>
            <w:r>
              <w:rPr>
                <w:rFonts w:ascii="Verdana" w:hAnsi="Verdana"/>
                <w:color w:val="7F7F7F" w:themeColor="text1" w:themeTint="80"/>
                <w:sz w:val="22"/>
                <w:szCs w:val="22"/>
                <w:lang w:val="en-GB"/>
              </w:rPr>
              <w:t>i.e.</w:t>
            </w:r>
            <w:r w:rsidRPr="00B0081A">
              <w:rPr>
                <w:rFonts w:ascii="Verdana" w:hAnsi="Verdana"/>
                <w:color w:val="7F7F7F" w:themeColor="text1" w:themeTint="80"/>
                <w:sz w:val="22"/>
                <w:szCs w:val="22"/>
                <w:lang w:val="en-GB"/>
              </w:rPr>
              <w:t xml:space="preserve"> 9.261.</w:t>
            </w:r>
          </w:p>
          <w:p w14:paraId="27EE3824" w14:textId="77777777" w:rsidR="006F5ECC" w:rsidRPr="00B0081A" w:rsidRDefault="006F5ECC" w:rsidP="00020B14">
            <w:pPr>
              <w:tabs>
                <w:tab w:val="left" w:pos="0"/>
                <w:tab w:val="left" w:pos="4536"/>
              </w:tabs>
              <w:rPr>
                <w:rFonts w:ascii="Verdana" w:hAnsi="Verdana"/>
                <w:color w:val="7F7F7F" w:themeColor="text1" w:themeTint="80"/>
                <w:sz w:val="22"/>
                <w:szCs w:val="22"/>
                <w:lang w:val="en-GB"/>
              </w:rPr>
            </w:pPr>
          </w:p>
        </w:tc>
        <w:tc>
          <w:tcPr>
            <w:tcW w:w="483" w:type="pct"/>
            <w:tcBorders>
              <w:top w:val="single" w:sz="4" w:space="0" w:color="auto"/>
              <w:left w:val="single" w:sz="4" w:space="0" w:color="auto"/>
              <w:bottom w:val="single" w:sz="4" w:space="0" w:color="auto"/>
              <w:right w:val="single" w:sz="4" w:space="0" w:color="auto"/>
            </w:tcBorders>
          </w:tcPr>
          <w:p w14:paraId="78EC81A2"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60DE0A0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5D676BD" w14:textId="41332421" w:rsidR="006F5ECC" w:rsidRDefault="006F5ECC" w:rsidP="00020B14">
            <w:pPr>
              <w:tabs>
                <w:tab w:val="left" w:pos="0"/>
                <w:tab w:val="left" w:pos="4536"/>
              </w:tabs>
              <w:ind w:left="-96"/>
              <w:rPr>
                <w:rFonts w:ascii="Verdana" w:hAnsi="Verdana"/>
                <w:color w:val="7F7F7F" w:themeColor="text1" w:themeTint="80"/>
                <w:lang w:val="en-US"/>
              </w:rPr>
            </w:pPr>
            <w:r>
              <w:rPr>
                <w:rFonts w:ascii="Verdana" w:hAnsi="Verdana"/>
                <w:color w:val="7F7F7F" w:themeColor="text1" w:themeTint="80"/>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4F960840" w14:textId="0ABB8F7D" w:rsidR="006F5ECC"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276</w:t>
            </w:r>
          </w:p>
        </w:tc>
        <w:tc>
          <w:tcPr>
            <w:tcW w:w="1999" w:type="pct"/>
            <w:tcBorders>
              <w:top w:val="single" w:sz="4" w:space="0" w:color="auto"/>
              <w:left w:val="single" w:sz="4" w:space="0" w:color="auto"/>
              <w:bottom w:val="single" w:sz="4" w:space="0" w:color="auto"/>
              <w:right w:val="single" w:sz="4" w:space="0" w:color="auto"/>
            </w:tcBorders>
            <w:vAlign w:val="center"/>
          </w:tcPr>
          <w:p w14:paraId="367C365F" w14:textId="7110BB89" w:rsidR="006F5ECC" w:rsidRPr="00B0081A" w:rsidRDefault="006F5ECC" w:rsidP="00020B14">
            <w:pPr>
              <w:tabs>
                <w:tab w:val="left" w:pos="0"/>
                <w:tab w:val="left" w:pos="4536"/>
              </w:tabs>
              <w:rPr>
                <w:rFonts w:ascii="Verdana" w:hAnsi="Verdana"/>
                <w:color w:val="7F7F7F" w:themeColor="text1" w:themeTint="80"/>
                <w:sz w:val="22"/>
                <w:szCs w:val="22"/>
                <w:lang w:val="en-GB"/>
              </w:rPr>
            </w:pPr>
            <w:r w:rsidRPr="00B0081A">
              <w:rPr>
                <w:rFonts w:ascii="Verdana" w:hAnsi="Verdana"/>
                <w:color w:val="7F7F7F" w:themeColor="text1" w:themeTint="80"/>
                <w:sz w:val="22"/>
                <w:szCs w:val="22"/>
                <w:lang w:val="en-GB"/>
              </w:rPr>
              <w:t xml:space="preserve">If there are issues with equivalence in third countries as regards rules on diversification, those issues should be addressed </w:t>
            </w:r>
            <w:r>
              <w:rPr>
                <w:rFonts w:ascii="Verdana" w:hAnsi="Verdana"/>
                <w:color w:val="7F7F7F" w:themeColor="text1" w:themeTint="80"/>
                <w:sz w:val="22"/>
                <w:szCs w:val="22"/>
                <w:lang w:val="en-GB"/>
              </w:rPr>
              <w:t xml:space="preserve">by the supervisory authorities concerned </w:t>
            </w:r>
            <w:r w:rsidRPr="00B0081A">
              <w:rPr>
                <w:rFonts w:ascii="Verdana" w:hAnsi="Verdana"/>
                <w:color w:val="7F7F7F" w:themeColor="text1" w:themeTint="80"/>
                <w:sz w:val="22"/>
                <w:szCs w:val="22"/>
                <w:lang w:val="en-GB"/>
              </w:rPr>
              <w:t>rather than introduc</w:t>
            </w:r>
            <w:r>
              <w:rPr>
                <w:rFonts w:ascii="Verdana" w:hAnsi="Verdana"/>
                <w:color w:val="7F7F7F" w:themeColor="text1" w:themeTint="80"/>
                <w:sz w:val="22"/>
                <w:szCs w:val="22"/>
                <w:lang w:val="en-GB"/>
              </w:rPr>
              <w:t>e</w:t>
            </w:r>
            <w:r w:rsidRPr="00B0081A">
              <w:rPr>
                <w:rFonts w:ascii="Verdana" w:hAnsi="Verdana"/>
                <w:color w:val="7F7F7F" w:themeColor="text1" w:themeTint="80"/>
                <w:sz w:val="22"/>
                <w:szCs w:val="22"/>
                <w:lang w:val="en-GB"/>
              </w:rPr>
              <w:t xml:space="preserve"> rules that can create unfair disadvantages to groups operating only within EU/EEA.  </w:t>
            </w:r>
          </w:p>
          <w:p w14:paraId="49C7660D" w14:textId="77777777" w:rsidR="006F5ECC" w:rsidRPr="00B0081A" w:rsidRDefault="006F5ECC" w:rsidP="00020B14">
            <w:pPr>
              <w:tabs>
                <w:tab w:val="left" w:pos="0"/>
                <w:tab w:val="left" w:pos="4536"/>
              </w:tabs>
              <w:rPr>
                <w:rFonts w:ascii="Verdana" w:hAnsi="Verdana"/>
                <w:color w:val="7F7F7F" w:themeColor="text1" w:themeTint="80"/>
                <w:sz w:val="22"/>
                <w:szCs w:val="22"/>
                <w:lang w:val="en-GB"/>
              </w:rPr>
            </w:pPr>
          </w:p>
        </w:tc>
        <w:tc>
          <w:tcPr>
            <w:tcW w:w="483" w:type="pct"/>
            <w:tcBorders>
              <w:top w:val="single" w:sz="4" w:space="0" w:color="auto"/>
              <w:left w:val="single" w:sz="4" w:space="0" w:color="auto"/>
              <w:bottom w:val="single" w:sz="4" w:space="0" w:color="auto"/>
              <w:right w:val="single" w:sz="4" w:space="0" w:color="auto"/>
            </w:tcBorders>
          </w:tcPr>
          <w:p w14:paraId="01A2E2A8"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630F4E8F"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EE7796B" w14:textId="5D45A5E1" w:rsidR="006F5ECC" w:rsidRDefault="006F5ECC" w:rsidP="00020B14">
            <w:pPr>
              <w:tabs>
                <w:tab w:val="left" w:pos="0"/>
                <w:tab w:val="left" w:pos="4536"/>
              </w:tabs>
              <w:ind w:left="-96"/>
              <w:rPr>
                <w:rFonts w:ascii="Verdana" w:hAnsi="Verdana"/>
                <w:color w:val="7F7F7F" w:themeColor="text1" w:themeTint="80"/>
                <w:lang w:val="en-US"/>
              </w:rPr>
            </w:pPr>
            <w:r>
              <w:rPr>
                <w:rFonts w:ascii="Verdana" w:hAnsi="Verdana"/>
                <w:color w:val="7F7F7F" w:themeColor="text1" w:themeTint="80"/>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6129A714" w14:textId="757EF671" w:rsidR="006F5ECC"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282</w:t>
            </w:r>
          </w:p>
        </w:tc>
        <w:tc>
          <w:tcPr>
            <w:tcW w:w="1999" w:type="pct"/>
            <w:tcBorders>
              <w:top w:val="single" w:sz="4" w:space="0" w:color="auto"/>
              <w:left w:val="single" w:sz="4" w:space="0" w:color="auto"/>
              <w:bottom w:val="single" w:sz="4" w:space="0" w:color="auto"/>
              <w:right w:val="single" w:sz="4" w:space="0" w:color="auto"/>
            </w:tcBorders>
            <w:vAlign w:val="center"/>
          </w:tcPr>
          <w:p w14:paraId="6B1F9AFB" w14:textId="77777777" w:rsidR="006F5ECC" w:rsidRPr="00B0081A" w:rsidRDefault="006F5ECC" w:rsidP="00020B14">
            <w:pPr>
              <w:tabs>
                <w:tab w:val="left" w:pos="0"/>
                <w:tab w:val="left" w:pos="4536"/>
              </w:tabs>
              <w:rPr>
                <w:rFonts w:ascii="Verdana" w:hAnsi="Verdana"/>
                <w:color w:val="7F7F7F" w:themeColor="text1" w:themeTint="80"/>
                <w:sz w:val="22"/>
                <w:szCs w:val="22"/>
                <w:lang w:val="en-GB"/>
              </w:rPr>
            </w:pPr>
            <w:r w:rsidRPr="00B0081A">
              <w:rPr>
                <w:rFonts w:ascii="Verdana" w:hAnsi="Verdana"/>
                <w:color w:val="7F7F7F" w:themeColor="text1" w:themeTint="80"/>
                <w:sz w:val="22"/>
                <w:szCs w:val="22"/>
                <w:lang w:val="en-GB"/>
              </w:rPr>
              <w:t>There is no need for further clarification. If anything, it should be clarified that method 2 can be allowed to be applied to sub-groups when it has been allowed not to apply method 1 to the whole group.</w:t>
            </w:r>
          </w:p>
          <w:p w14:paraId="15FBA6B9" w14:textId="77777777" w:rsidR="006F5ECC" w:rsidRPr="00B0081A" w:rsidRDefault="006F5ECC" w:rsidP="00020B14">
            <w:pPr>
              <w:tabs>
                <w:tab w:val="left" w:pos="0"/>
                <w:tab w:val="left" w:pos="4536"/>
              </w:tabs>
              <w:rPr>
                <w:rFonts w:ascii="Verdana" w:hAnsi="Verdana"/>
                <w:color w:val="7F7F7F" w:themeColor="text1" w:themeTint="80"/>
                <w:sz w:val="22"/>
                <w:szCs w:val="22"/>
                <w:lang w:val="en-GB"/>
              </w:rPr>
            </w:pPr>
          </w:p>
        </w:tc>
        <w:tc>
          <w:tcPr>
            <w:tcW w:w="483" w:type="pct"/>
            <w:tcBorders>
              <w:top w:val="single" w:sz="4" w:space="0" w:color="auto"/>
              <w:left w:val="single" w:sz="4" w:space="0" w:color="auto"/>
              <w:bottom w:val="single" w:sz="4" w:space="0" w:color="auto"/>
              <w:right w:val="single" w:sz="4" w:space="0" w:color="auto"/>
            </w:tcBorders>
          </w:tcPr>
          <w:p w14:paraId="7237D5BB"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2B93F018"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BBD1DD4" w14:textId="656E9990" w:rsidR="006F5ECC" w:rsidRPr="00F0251A" w:rsidRDefault="006F5ECC" w:rsidP="00020B14">
            <w:pPr>
              <w:tabs>
                <w:tab w:val="left" w:pos="0"/>
                <w:tab w:val="left" w:pos="4536"/>
              </w:tabs>
              <w:ind w:left="-96"/>
              <w:rPr>
                <w:rFonts w:ascii="Verdana" w:hAnsi="Verdana"/>
                <w:color w:val="7F7F7F" w:themeColor="text1" w:themeTint="80"/>
                <w:lang w:val="en-US"/>
              </w:rPr>
            </w:pPr>
            <w:r>
              <w:rPr>
                <w:rFonts w:ascii="Verdana" w:hAnsi="Verdana"/>
                <w:color w:val="7F7F7F" w:themeColor="text1" w:themeTint="80"/>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012E3160" w14:textId="356DAF59" w:rsidR="006F5ECC" w:rsidRPr="00F0251A"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283</w:t>
            </w:r>
          </w:p>
        </w:tc>
        <w:tc>
          <w:tcPr>
            <w:tcW w:w="1999" w:type="pct"/>
            <w:tcBorders>
              <w:top w:val="single" w:sz="4" w:space="0" w:color="auto"/>
              <w:left w:val="single" w:sz="4" w:space="0" w:color="auto"/>
              <w:bottom w:val="single" w:sz="4" w:space="0" w:color="auto"/>
              <w:right w:val="single" w:sz="4" w:space="0" w:color="auto"/>
            </w:tcBorders>
            <w:vAlign w:val="center"/>
          </w:tcPr>
          <w:p w14:paraId="4BECAF3D" w14:textId="77777777" w:rsidR="006F5ECC" w:rsidRPr="00B0081A" w:rsidRDefault="006F5ECC" w:rsidP="00020B14">
            <w:pPr>
              <w:tabs>
                <w:tab w:val="left" w:pos="0"/>
                <w:tab w:val="left" w:pos="4536"/>
              </w:tabs>
              <w:rPr>
                <w:rFonts w:ascii="Verdana" w:hAnsi="Verdana"/>
                <w:color w:val="7F7F7F" w:themeColor="text1" w:themeTint="80"/>
                <w:sz w:val="22"/>
                <w:szCs w:val="22"/>
                <w:lang w:val="en-GB"/>
              </w:rPr>
            </w:pPr>
            <w:r w:rsidRPr="00B0081A">
              <w:rPr>
                <w:rFonts w:ascii="Verdana" w:hAnsi="Verdana"/>
                <w:color w:val="7F7F7F" w:themeColor="text1" w:themeTint="80"/>
                <w:sz w:val="22"/>
                <w:szCs w:val="22"/>
                <w:lang w:val="en-GB"/>
              </w:rPr>
              <w:t xml:space="preserve">We disagree with EIOPA’s view that the transferability of EPIFP needs to be proven to be eligible at group level. EPIFP should continue to be treated as an available own fund item at group level. The economic approach to Solvency II with EPIFP included in own funds cannot be broken down in pieces by requiring companies to prove the possibility to monetize the EPIFP within a certain time. Different supervisory assessments could also lead to an unlevel playing field. </w:t>
            </w:r>
          </w:p>
          <w:p w14:paraId="520BA30E" w14:textId="77777777" w:rsidR="006F5ECC" w:rsidRPr="00B0081A" w:rsidRDefault="006F5ECC" w:rsidP="00020B14">
            <w:pPr>
              <w:tabs>
                <w:tab w:val="left" w:pos="0"/>
                <w:tab w:val="left" w:pos="4536"/>
              </w:tabs>
              <w:rPr>
                <w:rFonts w:ascii="Verdana" w:hAnsi="Verdana"/>
                <w:color w:val="7F7F7F" w:themeColor="text1" w:themeTint="80"/>
                <w:sz w:val="22"/>
                <w:szCs w:val="22"/>
                <w:lang w:val="en-GB"/>
              </w:rPr>
            </w:pPr>
          </w:p>
          <w:p w14:paraId="6428DDCE" w14:textId="77777777" w:rsidR="006F5ECC" w:rsidRPr="00B0081A" w:rsidRDefault="006F5ECC" w:rsidP="00020B14">
            <w:pPr>
              <w:tabs>
                <w:tab w:val="left" w:pos="0"/>
                <w:tab w:val="left" w:pos="4536"/>
              </w:tabs>
              <w:rPr>
                <w:rFonts w:ascii="Verdana" w:hAnsi="Verdana"/>
                <w:color w:val="7F7F7F" w:themeColor="text1" w:themeTint="80"/>
                <w:sz w:val="22"/>
                <w:szCs w:val="22"/>
                <w:lang w:val="en-GB"/>
              </w:rPr>
            </w:pPr>
          </w:p>
        </w:tc>
        <w:tc>
          <w:tcPr>
            <w:tcW w:w="483" w:type="pct"/>
            <w:tcBorders>
              <w:top w:val="single" w:sz="4" w:space="0" w:color="auto"/>
              <w:left w:val="single" w:sz="4" w:space="0" w:color="auto"/>
              <w:bottom w:val="single" w:sz="4" w:space="0" w:color="auto"/>
              <w:right w:val="single" w:sz="4" w:space="0" w:color="auto"/>
            </w:tcBorders>
          </w:tcPr>
          <w:p w14:paraId="0ED20EF1"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1360A5" w14:paraId="4D64159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3084" w:type="pct"/>
            <w:gridSpan w:val="4"/>
            <w:tcBorders>
              <w:top w:val="single" w:sz="4" w:space="0" w:color="auto"/>
              <w:left w:val="single" w:sz="4" w:space="0" w:color="auto"/>
              <w:bottom w:val="single" w:sz="4" w:space="0" w:color="auto"/>
              <w:right w:val="single" w:sz="4" w:space="0" w:color="auto"/>
            </w:tcBorders>
            <w:shd w:val="clear" w:color="auto" w:fill="auto"/>
            <w:noWrap/>
          </w:tcPr>
          <w:p w14:paraId="316509AD" w14:textId="054BB1A4" w:rsidR="006F5ECC" w:rsidRDefault="006F5ECC" w:rsidP="00020B14">
            <w:pPr>
              <w:tabs>
                <w:tab w:val="left" w:pos="0"/>
                <w:tab w:val="left" w:pos="4536"/>
              </w:tabs>
              <w:rPr>
                <w:rFonts w:ascii="Verdana" w:hAnsi="Verdana"/>
                <w:b/>
                <w:bCs/>
                <w:color w:val="7F7F7F" w:themeColor="text1" w:themeTint="80"/>
                <w:sz w:val="22"/>
                <w:szCs w:val="22"/>
                <w:lang w:val="en-US"/>
              </w:rPr>
            </w:pPr>
            <w:r>
              <w:rPr>
                <w:rFonts w:ascii="Verdana" w:hAnsi="Verdana"/>
                <w:b/>
                <w:bCs/>
                <w:color w:val="7F7F7F" w:themeColor="text1" w:themeTint="80"/>
                <w:sz w:val="22"/>
                <w:szCs w:val="22"/>
                <w:lang w:val="en-US"/>
              </w:rPr>
              <w:lastRenderedPageBreak/>
              <w:t>9.3.12 Own Funds Requirements for Groups</w:t>
            </w:r>
          </w:p>
        </w:tc>
        <w:tc>
          <w:tcPr>
            <w:tcW w:w="483" w:type="pct"/>
            <w:tcBorders>
              <w:top w:val="single" w:sz="4" w:space="0" w:color="auto"/>
              <w:left w:val="single" w:sz="4" w:space="0" w:color="auto"/>
              <w:bottom w:val="single" w:sz="4" w:space="0" w:color="auto"/>
              <w:right w:val="single" w:sz="4" w:space="0" w:color="auto"/>
            </w:tcBorders>
          </w:tcPr>
          <w:p w14:paraId="0C30F643"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1440BBE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80B2D1F" w14:textId="73DEB108" w:rsidR="006F5ECC" w:rsidRPr="00F0251A" w:rsidRDefault="006F5ECC" w:rsidP="00020B14">
            <w:pPr>
              <w:tabs>
                <w:tab w:val="left" w:pos="0"/>
                <w:tab w:val="left" w:pos="4536"/>
              </w:tabs>
              <w:ind w:left="-96"/>
              <w:rPr>
                <w:rFonts w:ascii="Verdana" w:hAnsi="Verdana"/>
                <w:color w:val="7F7F7F" w:themeColor="text1" w:themeTint="80"/>
                <w:lang w:val="en-US"/>
              </w:rPr>
            </w:pPr>
            <w:r w:rsidRPr="00F0251A">
              <w:rPr>
                <w:rFonts w:ascii="Verdana" w:hAnsi="Verdana"/>
                <w:color w:val="7F7F7F" w:themeColor="text1" w:themeTint="80"/>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2FCEB197" w14:textId="78AB3FBC" w:rsidR="006F5ECC" w:rsidRPr="00F0251A" w:rsidRDefault="006F5ECC" w:rsidP="00020B14">
            <w:pPr>
              <w:tabs>
                <w:tab w:val="left" w:pos="0"/>
                <w:tab w:val="left" w:pos="4536"/>
              </w:tabs>
              <w:ind w:left="-96"/>
              <w:rPr>
                <w:rFonts w:ascii="Verdana" w:hAnsi="Verdana"/>
                <w:color w:val="7F7F7F" w:themeColor="text1" w:themeTint="80"/>
                <w:sz w:val="22"/>
                <w:szCs w:val="22"/>
                <w:lang w:val="en-US"/>
              </w:rPr>
            </w:pPr>
            <w:r w:rsidRPr="00F0251A">
              <w:rPr>
                <w:rFonts w:ascii="Verdana" w:hAnsi="Verdana"/>
                <w:color w:val="7F7F7F" w:themeColor="text1" w:themeTint="80"/>
                <w:sz w:val="22"/>
                <w:szCs w:val="22"/>
                <w:lang w:val="en-US"/>
              </w:rPr>
              <w:t>296</w:t>
            </w:r>
          </w:p>
        </w:tc>
        <w:tc>
          <w:tcPr>
            <w:tcW w:w="1999" w:type="pct"/>
            <w:tcBorders>
              <w:top w:val="single" w:sz="4" w:space="0" w:color="auto"/>
              <w:left w:val="single" w:sz="4" w:space="0" w:color="auto"/>
              <w:bottom w:val="single" w:sz="4" w:space="0" w:color="auto"/>
              <w:right w:val="single" w:sz="4" w:space="0" w:color="auto"/>
            </w:tcBorders>
            <w:vAlign w:val="center"/>
          </w:tcPr>
          <w:p w14:paraId="277FB198" w14:textId="5D0A4692" w:rsidR="006F5ECC" w:rsidRPr="00D629C6" w:rsidRDefault="006F5ECC" w:rsidP="00020B14">
            <w:pPr>
              <w:tabs>
                <w:tab w:val="left" w:pos="0"/>
                <w:tab w:val="left" w:pos="4536"/>
              </w:tabs>
              <w:rPr>
                <w:rFonts w:ascii="Verdana" w:hAnsi="Verdana"/>
                <w:color w:val="7F7F7F" w:themeColor="text1" w:themeTint="80"/>
                <w:sz w:val="22"/>
                <w:szCs w:val="22"/>
                <w:lang w:val="en-GB" w:eastAsia="fr-FR"/>
              </w:rPr>
            </w:pPr>
            <w:r w:rsidRPr="00D629C6">
              <w:rPr>
                <w:rFonts w:ascii="Verdana" w:hAnsi="Verdana"/>
                <w:color w:val="7F7F7F" w:themeColor="text1" w:themeTint="80"/>
                <w:sz w:val="22"/>
                <w:szCs w:val="22"/>
                <w:lang w:val="en-US"/>
              </w:rPr>
              <w:t>EIOPA seems to indicate a potential issue, but it is unclear whether this has really happened. Did the NSA's currently recognize this issue mentioned in practice?</w:t>
            </w:r>
          </w:p>
        </w:tc>
        <w:tc>
          <w:tcPr>
            <w:tcW w:w="483" w:type="pct"/>
            <w:tcBorders>
              <w:top w:val="single" w:sz="4" w:space="0" w:color="auto"/>
              <w:left w:val="single" w:sz="4" w:space="0" w:color="auto"/>
              <w:bottom w:val="single" w:sz="4" w:space="0" w:color="auto"/>
              <w:right w:val="single" w:sz="4" w:space="0" w:color="auto"/>
            </w:tcBorders>
          </w:tcPr>
          <w:p w14:paraId="68CCCF7C"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5C7DA37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C8B713F" w14:textId="349A55FE" w:rsidR="006F5ECC" w:rsidRPr="00F0251A" w:rsidRDefault="006F5ECC" w:rsidP="00020B14">
            <w:pPr>
              <w:tabs>
                <w:tab w:val="left" w:pos="0"/>
                <w:tab w:val="left" w:pos="4536"/>
              </w:tabs>
              <w:ind w:left="-96"/>
              <w:rPr>
                <w:rFonts w:ascii="Verdana" w:hAnsi="Verdana"/>
                <w:color w:val="7F7F7F" w:themeColor="text1" w:themeTint="80"/>
                <w:sz w:val="22"/>
                <w:szCs w:val="22"/>
                <w:lang w:val="en-US"/>
              </w:rPr>
            </w:pPr>
            <w:r w:rsidRPr="00670760">
              <w:rPr>
                <w:rFonts w:ascii="Verdana" w:hAnsi="Verdana"/>
                <w:color w:val="7F7F7F" w:themeColor="text1" w:themeTint="80"/>
                <w:sz w:val="22"/>
                <w:szCs w:val="22"/>
                <w:lang w:val="en-US"/>
              </w:rPr>
              <w:t>9</w:t>
            </w:r>
          </w:p>
        </w:tc>
        <w:tc>
          <w:tcPr>
            <w:tcW w:w="506" w:type="pct"/>
            <w:gridSpan w:val="2"/>
            <w:tcBorders>
              <w:top w:val="single" w:sz="4" w:space="0" w:color="auto"/>
              <w:left w:val="single" w:sz="4" w:space="0" w:color="auto"/>
              <w:bottom w:val="single" w:sz="4" w:space="0" w:color="auto"/>
              <w:right w:val="single" w:sz="4" w:space="0" w:color="auto"/>
            </w:tcBorders>
          </w:tcPr>
          <w:p w14:paraId="4C846403" w14:textId="0DD4BAFA" w:rsidR="006F5ECC" w:rsidRPr="00F0251A" w:rsidRDefault="006F5ECC" w:rsidP="00020B14">
            <w:pPr>
              <w:tabs>
                <w:tab w:val="left" w:pos="0"/>
                <w:tab w:val="left" w:pos="4536"/>
              </w:tabs>
              <w:ind w:left="-96"/>
              <w:rPr>
                <w:rFonts w:ascii="Verdana" w:hAnsi="Verdana"/>
                <w:color w:val="7F7F7F" w:themeColor="text1" w:themeTint="80"/>
                <w:sz w:val="22"/>
                <w:szCs w:val="22"/>
                <w:lang w:val="en-US"/>
              </w:rPr>
            </w:pPr>
            <w:r w:rsidRPr="00F0251A">
              <w:rPr>
                <w:rFonts w:ascii="Verdana" w:hAnsi="Verdana"/>
                <w:color w:val="7F7F7F" w:themeColor="text1" w:themeTint="80"/>
                <w:sz w:val="22"/>
                <w:szCs w:val="22"/>
                <w:lang w:val="en-US"/>
              </w:rPr>
              <w:t>299</w:t>
            </w:r>
          </w:p>
        </w:tc>
        <w:tc>
          <w:tcPr>
            <w:tcW w:w="1999" w:type="pct"/>
            <w:tcBorders>
              <w:top w:val="single" w:sz="4" w:space="0" w:color="auto"/>
              <w:left w:val="single" w:sz="4" w:space="0" w:color="auto"/>
              <w:bottom w:val="single" w:sz="4" w:space="0" w:color="auto"/>
              <w:right w:val="single" w:sz="4" w:space="0" w:color="auto"/>
            </w:tcBorders>
            <w:vAlign w:val="center"/>
          </w:tcPr>
          <w:p w14:paraId="0DFDB709" w14:textId="6E422DAC" w:rsidR="006F5ECC" w:rsidRPr="00D629C6" w:rsidRDefault="006F5ECC" w:rsidP="00020B14">
            <w:pPr>
              <w:tabs>
                <w:tab w:val="left" w:pos="0"/>
                <w:tab w:val="left" w:pos="4536"/>
              </w:tabs>
              <w:rPr>
                <w:rFonts w:ascii="Verdana" w:hAnsi="Verdana"/>
                <w:color w:val="7F7F7F" w:themeColor="text1" w:themeTint="80"/>
                <w:sz w:val="22"/>
                <w:szCs w:val="22"/>
                <w:lang w:val="en-GB" w:eastAsia="fr-FR"/>
              </w:rPr>
            </w:pPr>
            <w:r w:rsidRPr="00D629C6">
              <w:rPr>
                <w:rFonts w:ascii="Verdana" w:hAnsi="Verdana"/>
                <w:color w:val="7F7F7F" w:themeColor="text1" w:themeTint="80"/>
                <w:sz w:val="22"/>
                <w:szCs w:val="22"/>
                <w:lang w:val="en-US"/>
              </w:rPr>
              <w:t>The paragraph suggest</w:t>
            </w:r>
            <w:r>
              <w:rPr>
                <w:rFonts w:ascii="Verdana" w:hAnsi="Verdana"/>
                <w:color w:val="7F7F7F" w:themeColor="text1" w:themeTint="80"/>
                <w:sz w:val="22"/>
                <w:szCs w:val="22"/>
                <w:lang w:val="en-US"/>
              </w:rPr>
              <w:t>s</w:t>
            </w:r>
            <w:r w:rsidRPr="00D629C6">
              <w:rPr>
                <w:rFonts w:ascii="Verdana" w:hAnsi="Verdana"/>
                <w:color w:val="7F7F7F" w:themeColor="text1" w:themeTint="80"/>
                <w:sz w:val="22"/>
                <w:szCs w:val="22"/>
                <w:lang w:val="en-US"/>
              </w:rPr>
              <w:t xml:space="preserve"> that NSAs disregard </w:t>
            </w:r>
            <w:r>
              <w:rPr>
                <w:rFonts w:ascii="Verdana" w:hAnsi="Verdana"/>
                <w:color w:val="7F7F7F" w:themeColor="text1" w:themeTint="80"/>
                <w:sz w:val="22"/>
                <w:szCs w:val="22"/>
                <w:lang w:val="en-US"/>
              </w:rPr>
              <w:t>R</w:t>
            </w:r>
            <w:r w:rsidRPr="00D629C6">
              <w:rPr>
                <w:rFonts w:ascii="Verdana" w:hAnsi="Verdana"/>
                <w:color w:val="7F7F7F" w:themeColor="text1" w:themeTint="80"/>
                <w:sz w:val="22"/>
                <w:szCs w:val="22"/>
                <w:lang w:val="en-US"/>
              </w:rPr>
              <w:t>ecital 127</w:t>
            </w:r>
            <w:r>
              <w:rPr>
                <w:rFonts w:ascii="Verdana" w:hAnsi="Verdana"/>
                <w:color w:val="7F7F7F" w:themeColor="text1" w:themeTint="80"/>
                <w:sz w:val="22"/>
                <w:szCs w:val="22"/>
                <w:lang w:val="en-US"/>
              </w:rPr>
              <w:t xml:space="preserve"> of the Solvency II Directive</w:t>
            </w:r>
            <w:r w:rsidRPr="00D629C6">
              <w:rPr>
                <w:rFonts w:ascii="Verdana" w:hAnsi="Verdana"/>
                <w:color w:val="7F7F7F" w:themeColor="text1" w:themeTint="80"/>
                <w:sz w:val="22"/>
                <w:szCs w:val="22"/>
                <w:lang w:val="en-US"/>
              </w:rPr>
              <w:t>. Can EIOPA really indicate whether this is the case and how this endangered the interests of the policyholders?</w:t>
            </w:r>
          </w:p>
        </w:tc>
        <w:tc>
          <w:tcPr>
            <w:tcW w:w="483" w:type="pct"/>
            <w:tcBorders>
              <w:top w:val="single" w:sz="4" w:space="0" w:color="auto"/>
              <w:left w:val="single" w:sz="4" w:space="0" w:color="auto"/>
              <w:bottom w:val="single" w:sz="4" w:space="0" w:color="auto"/>
              <w:right w:val="single" w:sz="4" w:space="0" w:color="auto"/>
            </w:tcBorders>
          </w:tcPr>
          <w:p w14:paraId="596395FB" w14:textId="1510E8DB"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5878173E"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AF5BC10" w14:textId="438E93B7" w:rsidR="006F5ECC" w:rsidRPr="001C20F5" w:rsidRDefault="006F5ECC" w:rsidP="00020B14">
            <w:pPr>
              <w:tabs>
                <w:tab w:val="left" w:pos="0"/>
                <w:tab w:val="left" w:pos="4536"/>
              </w:tabs>
              <w:ind w:left="-96"/>
              <w:rPr>
                <w:lang w:val="en-US"/>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203CA0DC" w14:textId="1C761F42" w:rsidR="006F5ECC" w:rsidRPr="001C20F5"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301</w:t>
            </w:r>
          </w:p>
        </w:tc>
        <w:tc>
          <w:tcPr>
            <w:tcW w:w="1999" w:type="pct"/>
            <w:tcBorders>
              <w:top w:val="single" w:sz="4" w:space="0" w:color="auto"/>
              <w:left w:val="single" w:sz="4" w:space="0" w:color="auto"/>
              <w:bottom w:val="single" w:sz="4" w:space="0" w:color="auto"/>
              <w:right w:val="single" w:sz="4" w:space="0" w:color="auto"/>
            </w:tcBorders>
            <w:vAlign w:val="center"/>
          </w:tcPr>
          <w:p w14:paraId="50F3D2BD" w14:textId="29F77314" w:rsidR="006F5ECC" w:rsidRPr="00D629C6" w:rsidRDefault="006F5ECC" w:rsidP="00020B14">
            <w:pPr>
              <w:tabs>
                <w:tab w:val="left" w:pos="0"/>
                <w:tab w:val="left" w:pos="4536"/>
              </w:tabs>
              <w:rPr>
                <w:rFonts w:ascii="Verdana" w:hAnsi="Verdana"/>
                <w:color w:val="7F7F7F" w:themeColor="text1" w:themeTint="80"/>
                <w:sz w:val="22"/>
                <w:szCs w:val="22"/>
                <w:lang w:val="en-GB" w:eastAsia="fr-FR"/>
              </w:rPr>
            </w:pPr>
            <w:r w:rsidRPr="00D629C6">
              <w:rPr>
                <w:rFonts w:ascii="Verdana" w:hAnsi="Verdana"/>
                <w:color w:val="7F7F7F" w:themeColor="text1" w:themeTint="80"/>
                <w:sz w:val="22"/>
                <w:szCs w:val="22"/>
                <w:lang w:val="en-US"/>
              </w:rPr>
              <w:t xml:space="preserve">We do not understand </w:t>
            </w:r>
            <w:r>
              <w:rPr>
                <w:rFonts w:ascii="Verdana" w:hAnsi="Verdana"/>
                <w:color w:val="7F7F7F" w:themeColor="text1" w:themeTint="80"/>
                <w:sz w:val="22"/>
                <w:szCs w:val="22"/>
                <w:lang w:val="en-US"/>
              </w:rPr>
              <w:t>why a clarification is needed</w:t>
            </w:r>
            <w:r w:rsidRPr="00D629C6">
              <w:rPr>
                <w:rFonts w:ascii="Verdana" w:hAnsi="Verdana"/>
                <w:color w:val="7F7F7F" w:themeColor="text1" w:themeTint="80"/>
                <w:sz w:val="22"/>
                <w:szCs w:val="22"/>
                <w:lang w:val="en-US"/>
              </w:rPr>
              <w:t>. If the group has to comply with the solo requirements as laid down in the various legislative texts and the recital clarifies the solo treatment, then this is also to be included in the group assessment.</w:t>
            </w:r>
          </w:p>
        </w:tc>
        <w:tc>
          <w:tcPr>
            <w:tcW w:w="483" w:type="pct"/>
            <w:tcBorders>
              <w:top w:val="single" w:sz="4" w:space="0" w:color="auto"/>
              <w:left w:val="single" w:sz="4" w:space="0" w:color="auto"/>
              <w:bottom w:val="single" w:sz="4" w:space="0" w:color="auto"/>
              <w:right w:val="single" w:sz="4" w:space="0" w:color="auto"/>
            </w:tcBorders>
          </w:tcPr>
          <w:p w14:paraId="34E88D0E"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7EB4893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2209877" w14:textId="69A537CA"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0785D923" w14:textId="425CAD57" w:rsidR="006F5ECC" w:rsidRPr="004A1C28"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308</w:t>
            </w:r>
          </w:p>
        </w:tc>
        <w:tc>
          <w:tcPr>
            <w:tcW w:w="1999" w:type="pct"/>
            <w:tcBorders>
              <w:top w:val="single" w:sz="4" w:space="0" w:color="auto"/>
              <w:left w:val="single" w:sz="4" w:space="0" w:color="auto"/>
              <w:bottom w:val="single" w:sz="4" w:space="0" w:color="auto"/>
              <w:right w:val="single" w:sz="4" w:space="0" w:color="auto"/>
            </w:tcBorders>
            <w:vAlign w:val="center"/>
          </w:tcPr>
          <w:p w14:paraId="4B1FF29E" w14:textId="6361BA9D" w:rsidR="006F5ECC" w:rsidRPr="000C1ED6" w:rsidRDefault="006F5ECC" w:rsidP="00020B14">
            <w:pPr>
              <w:tabs>
                <w:tab w:val="left" w:pos="0"/>
                <w:tab w:val="left" w:pos="4536"/>
              </w:tabs>
              <w:rPr>
                <w:rFonts w:ascii="Verdana" w:hAnsi="Verdana"/>
                <w:b/>
                <w:bCs/>
                <w:color w:val="7F7F7F" w:themeColor="text1" w:themeTint="80"/>
                <w:sz w:val="22"/>
                <w:szCs w:val="22"/>
                <w:lang w:val="en-US"/>
              </w:rPr>
            </w:pPr>
            <w:r w:rsidRPr="000C1ED6">
              <w:rPr>
                <w:rFonts w:ascii="Verdana" w:hAnsi="Verdana"/>
                <w:b/>
                <w:bCs/>
                <w:color w:val="7F7F7F" w:themeColor="text1" w:themeTint="80"/>
                <w:sz w:val="22"/>
                <w:szCs w:val="22"/>
                <w:lang w:val="en-US"/>
              </w:rPr>
              <w:t>EIOPA´s Advice – Classification of own-fund items at group level</w:t>
            </w:r>
          </w:p>
          <w:p w14:paraId="34E7C744" w14:textId="150686EF" w:rsidR="006F5ECC" w:rsidRPr="00D629C6" w:rsidRDefault="006F5ECC" w:rsidP="00020B14">
            <w:pPr>
              <w:tabs>
                <w:tab w:val="left" w:pos="0"/>
                <w:tab w:val="left" w:pos="4536"/>
              </w:tabs>
              <w:rPr>
                <w:rFonts w:ascii="Verdana" w:hAnsi="Verdana"/>
                <w:color w:val="7F7F7F" w:themeColor="text1" w:themeTint="80"/>
                <w:sz w:val="22"/>
                <w:szCs w:val="22"/>
                <w:lang w:val="en-GB" w:eastAsia="fr-FR"/>
              </w:rPr>
            </w:pPr>
            <w:r w:rsidRPr="00D629C6">
              <w:rPr>
                <w:rFonts w:ascii="Verdana" w:hAnsi="Verdana"/>
                <w:color w:val="7F7F7F" w:themeColor="text1" w:themeTint="80"/>
                <w:sz w:val="22"/>
                <w:szCs w:val="22"/>
                <w:lang w:val="en-US"/>
              </w:rPr>
              <w:t xml:space="preserve">We are </w:t>
            </w:r>
            <w:r>
              <w:rPr>
                <w:rFonts w:ascii="Verdana" w:hAnsi="Verdana"/>
                <w:color w:val="7F7F7F" w:themeColor="text1" w:themeTint="80"/>
                <w:sz w:val="22"/>
                <w:szCs w:val="22"/>
                <w:lang w:val="en-US"/>
              </w:rPr>
              <w:t xml:space="preserve">of </w:t>
            </w:r>
            <w:r w:rsidRPr="00D629C6">
              <w:rPr>
                <w:rFonts w:ascii="Verdana" w:hAnsi="Verdana"/>
                <w:color w:val="7F7F7F" w:themeColor="text1" w:themeTint="80"/>
                <w:sz w:val="22"/>
                <w:szCs w:val="22"/>
                <w:lang w:val="en-US"/>
              </w:rPr>
              <w:t>the opinion that there is no need to add additional requirements as the sequence of requirements is clear</w:t>
            </w:r>
            <w:r>
              <w:rPr>
                <w:rFonts w:ascii="Verdana" w:hAnsi="Verdana"/>
                <w:color w:val="7F7F7F" w:themeColor="text1" w:themeTint="80"/>
                <w:sz w:val="22"/>
                <w:szCs w:val="22"/>
                <w:lang w:val="en-US"/>
              </w:rPr>
              <w:t xml:space="preserve"> already</w:t>
            </w:r>
            <w:r w:rsidRPr="00D629C6">
              <w:rPr>
                <w:rFonts w:ascii="Verdana" w:hAnsi="Verdana"/>
                <w:color w:val="7F7F7F" w:themeColor="text1" w:themeTint="80"/>
                <w:sz w:val="22"/>
                <w:szCs w:val="22"/>
                <w:lang w:val="en-US"/>
              </w:rPr>
              <w:t xml:space="preserve">. If supervisory convergence is the issue, this should be dealt with by means of </w:t>
            </w:r>
            <w:r>
              <w:rPr>
                <w:rFonts w:ascii="Verdana" w:hAnsi="Verdana"/>
                <w:color w:val="7F7F7F" w:themeColor="text1" w:themeTint="80"/>
                <w:sz w:val="22"/>
                <w:szCs w:val="22"/>
                <w:lang w:val="en-US"/>
              </w:rPr>
              <w:t xml:space="preserve">additional </w:t>
            </w:r>
            <w:r w:rsidRPr="00D629C6">
              <w:rPr>
                <w:rFonts w:ascii="Verdana" w:hAnsi="Verdana"/>
                <w:color w:val="7F7F7F" w:themeColor="text1" w:themeTint="80"/>
                <w:sz w:val="22"/>
                <w:szCs w:val="22"/>
                <w:lang w:val="en-US"/>
              </w:rPr>
              <w:t xml:space="preserve">guidelines </w:t>
            </w:r>
            <w:r>
              <w:rPr>
                <w:rFonts w:ascii="Verdana" w:hAnsi="Verdana"/>
                <w:color w:val="7F7F7F" w:themeColor="text1" w:themeTint="80"/>
                <w:sz w:val="22"/>
                <w:szCs w:val="22"/>
                <w:lang w:val="en-US"/>
              </w:rPr>
              <w:t>and not by amending the existing legislation.</w:t>
            </w:r>
          </w:p>
        </w:tc>
        <w:tc>
          <w:tcPr>
            <w:tcW w:w="483" w:type="pct"/>
            <w:tcBorders>
              <w:top w:val="single" w:sz="4" w:space="0" w:color="auto"/>
              <w:left w:val="single" w:sz="4" w:space="0" w:color="auto"/>
              <w:bottom w:val="single" w:sz="4" w:space="0" w:color="auto"/>
              <w:right w:val="single" w:sz="4" w:space="0" w:color="auto"/>
            </w:tcBorders>
          </w:tcPr>
          <w:p w14:paraId="3AD45458"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D53D4E" w14:paraId="6DC1DFEA"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EAFF68B" w14:textId="5AA73C4E"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4F920B5D" w14:textId="1785AEA9" w:rsidR="006F5ECC" w:rsidRPr="004A1C28"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311</w:t>
            </w:r>
          </w:p>
        </w:tc>
        <w:tc>
          <w:tcPr>
            <w:tcW w:w="1999" w:type="pct"/>
            <w:tcBorders>
              <w:top w:val="single" w:sz="4" w:space="0" w:color="auto"/>
              <w:left w:val="single" w:sz="4" w:space="0" w:color="auto"/>
              <w:bottom w:val="single" w:sz="4" w:space="0" w:color="auto"/>
              <w:right w:val="single" w:sz="4" w:space="0" w:color="auto"/>
            </w:tcBorders>
            <w:vAlign w:val="center"/>
          </w:tcPr>
          <w:p w14:paraId="30CABE0F" w14:textId="2458CEB3" w:rsidR="006F5ECC" w:rsidRPr="00D629C6" w:rsidRDefault="006F5ECC" w:rsidP="00020B14">
            <w:pPr>
              <w:tabs>
                <w:tab w:val="left" w:pos="0"/>
                <w:tab w:val="left" w:pos="4536"/>
              </w:tabs>
              <w:rPr>
                <w:rFonts w:ascii="Verdana" w:hAnsi="Verdana"/>
                <w:color w:val="7F7F7F" w:themeColor="text1" w:themeTint="80"/>
                <w:sz w:val="22"/>
                <w:szCs w:val="22"/>
                <w:lang w:val="en-GB" w:eastAsia="fr-FR"/>
              </w:rPr>
            </w:pPr>
            <w:r w:rsidRPr="00D629C6">
              <w:rPr>
                <w:rFonts w:ascii="Verdana" w:hAnsi="Verdana"/>
                <w:color w:val="7F7F7F" w:themeColor="text1" w:themeTint="80"/>
                <w:sz w:val="22"/>
                <w:szCs w:val="22"/>
                <w:lang w:val="en-US"/>
              </w:rPr>
              <w:t xml:space="preserve">Normally, any winding-up situation exists when there is a breach of the SCR. In that case there is an automatic suspension of any payments. If the 75% of the SCR is breached, there is even a conversion into highest quality of capital. </w:t>
            </w:r>
            <w:r w:rsidRPr="00D629C6">
              <w:rPr>
                <w:rFonts w:ascii="Verdana" w:hAnsi="Verdana"/>
                <w:color w:val="7F7F7F" w:themeColor="text1" w:themeTint="80"/>
                <w:sz w:val="22"/>
                <w:szCs w:val="22"/>
              </w:rPr>
              <w:t>In our opinion, the</w:t>
            </w:r>
            <w:r w:rsidRPr="003720A2">
              <w:rPr>
                <w:rFonts w:ascii="Verdana" w:hAnsi="Verdana"/>
                <w:color w:val="7F7F7F" w:themeColor="text1" w:themeTint="80"/>
                <w:sz w:val="22"/>
                <w:szCs w:val="22"/>
                <w:lang w:val="en-GB"/>
              </w:rPr>
              <w:t xml:space="preserve"> proposed</w:t>
            </w:r>
            <w:r>
              <w:rPr>
                <w:rFonts w:ascii="Verdana" w:hAnsi="Verdana"/>
                <w:color w:val="7F7F7F" w:themeColor="text1" w:themeTint="80"/>
                <w:sz w:val="22"/>
                <w:szCs w:val="22"/>
              </w:rPr>
              <w:t xml:space="preserve"> </w:t>
            </w:r>
            <w:r w:rsidRPr="00D629C6">
              <w:rPr>
                <w:rFonts w:ascii="Verdana" w:hAnsi="Verdana"/>
                <w:color w:val="7F7F7F" w:themeColor="text1" w:themeTint="80"/>
                <w:sz w:val="22"/>
                <w:szCs w:val="22"/>
              </w:rPr>
              <w:t>clarification</w:t>
            </w:r>
            <w:r w:rsidRPr="003720A2">
              <w:rPr>
                <w:rFonts w:ascii="Verdana" w:hAnsi="Verdana"/>
                <w:color w:val="7F7F7F" w:themeColor="text1" w:themeTint="80"/>
                <w:sz w:val="22"/>
                <w:szCs w:val="22"/>
                <w:lang w:val="en-GB"/>
              </w:rPr>
              <w:t xml:space="preserve"> is</w:t>
            </w:r>
            <w:r w:rsidRPr="00D629C6">
              <w:rPr>
                <w:rFonts w:ascii="Verdana" w:hAnsi="Verdana"/>
                <w:color w:val="7F7F7F" w:themeColor="text1" w:themeTint="80"/>
                <w:sz w:val="22"/>
                <w:szCs w:val="22"/>
              </w:rPr>
              <w:t xml:space="preserve"> not needed.</w:t>
            </w:r>
          </w:p>
        </w:tc>
        <w:tc>
          <w:tcPr>
            <w:tcW w:w="483" w:type="pct"/>
            <w:tcBorders>
              <w:top w:val="single" w:sz="4" w:space="0" w:color="auto"/>
              <w:left w:val="single" w:sz="4" w:space="0" w:color="auto"/>
              <w:bottom w:val="single" w:sz="4" w:space="0" w:color="auto"/>
              <w:right w:val="single" w:sz="4" w:space="0" w:color="auto"/>
            </w:tcBorders>
          </w:tcPr>
          <w:p w14:paraId="6CEA2608"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6BE8AEE6"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17E0272" w14:textId="0DA517D0"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2A307EC5" w14:textId="7180314B" w:rsidR="006F5ECC" w:rsidRPr="003519E3" w:rsidRDefault="006F5ECC" w:rsidP="00020B14">
            <w:pPr>
              <w:tabs>
                <w:tab w:val="left" w:pos="0"/>
                <w:tab w:val="left" w:pos="4536"/>
              </w:tabs>
              <w:ind w:left="-96"/>
              <w:rPr>
                <w:rFonts w:ascii="Verdana" w:hAnsi="Verdana"/>
                <w:b/>
                <w:bCs/>
                <w:color w:val="7F7F7F"/>
                <w:sz w:val="22"/>
                <w:szCs w:val="22"/>
                <w:lang w:val="en-US"/>
              </w:rPr>
            </w:pPr>
            <w:r>
              <w:rPr>
                <w:rFonts w:ascii="Verdana" w:hAnsi="Verdana"/>
                <w:b/>
                <w:bCs/>
                <w:color w:val="7F7F7F"/>
                <w:sz w:val="22"/>
                <w:szCs w:val="22"/>
                <w:lang w:val="en-US"/>
              </w:rPr>
              <w:t>Question to stakeholders</w:t>
            </w:r>
          </w:p>
        </w:tc>
        <w:tc>
          <w:tcPr>
            <w:tcW w:w="1999" w:type="pct"/>
            <w:tcBorders>
              <w:top w:val="single" w:sz="4" w:space="0" w:color="auto"/>
              <w:left w:val="single" w:sz="4" w:space="0" w:color="auto"/>
              <w:bottom w:val="single" w:sz="4" w:space="0" w:color="auto"/>
              <w:right w:val="single" w:sz="4" w:space="0" w:color="auto"/>
            </w:tcBorders>
            <w:vAlign w:val="center"/>
          </w:tcPr>
          <w:p w14:paraId="1D826941" w14:textId="57404A7C" w:rsidR="006F5ECC" w:rsidRDefault="006F5ECC" w:rsidP="00020B14">
            <w:pPr>
              <w:tabs>
                <w:tab w:val="left" w:pos="0"/>
                <w:tab w:val="left" w:pos="4536"/>
              </w:tabs>
              <w:spacing w:line="239" w:lineRule="auto"/>
              <w:ind w:hanging="565"/>
              <w:jc w:val="both"/>
              <w:rPr>
                <w:rFonts w:ascii="Verdana" w:eastAsia="Verdana" w:hAnsi="Verdana" w:cs="Verdana"/>
                <w:b/>
                <w:bCs/>
                <w:color w:val="7F7F7F" w:themeColor="text1" w:themeTint="80"/>
                <w:sz w:val="22"/>
                <w:szCs w:val="22"/>
                <w:lang w:val="en-US"/>
              </w:rPr>
            </w:pPr>
            <w:r w:rsidRPr="003519E3">
              <w:rPr>
                <w:rFonts w:ascii="Verdana" w:eastAsia="Verdana" w:hAnsi="Verdana" w:cs="Verdana"/>
                <w:b/>
                <w:bCs/>
                <w:color w:val="7F7F7F" w:themeColor="text1" w:themeTint="80"/>
                <w:sz w:val="22"/>
                <w:szCs w:val="22"/>
                <w:lang w:val="en-US"/>
              </w:rPr>
              <w:t xml:space="preserve">Q9.3: In light of option 2, stakeholders are invited to share their view on how this option contributes to a consistent policyholders’ protection of related EEA (re)insurance undertakings regardless of the nature of the parent company of the group (group headed </w:t>
            </w:r>
            <w:r w:rsidRPr="003519E3">
              <w:rPr>
                <w:rFonts w:ascii="Verdana" w:eastAsia="Verdana" w:hAnsi="Verdana" w:cs="Verdana"/>
                <w:b/>
                <w:bCs/>
                <w:color w:val="7F7F7F" w:themeColor="text1" w:themeTint="80"/>
                <w:sz w:val="22"/>
                <w:szCs w:val="22"/>
                <w:lang w:val="en-US"/>
              </w:rPr>
              <w:lastRenderedPageBreak/>
              <w:t>by a holding company vs group headed by an insurance or reinsurance company).</w:t>
            </w:r>
          </w:p>
          <w:p w14:paraId="587652D5" w14:textId="466D078D" w:rsidR="006F5ECC" w:rsidRPr="003720A2" w:rsidRDefault="006F5ECC" w:rsidP="00020B14">
            <w:pPr>
              <w:tabs>
                <w:tab w:val="left" w:pos="0"/>
                <w:tab w:val="left" w:pos="4536"/>
              </w:tabs>
              <w:spacing w:line="239" w:lineRule="auto"/>
              <w:ind w:hanging="565"/>
              <w:jc w:val="both"/>
              <w:rPr>
                <w:color w:val="7F7F7F" w:themeColor="text1" w:themeTint="80"/>
                <w:sz w:val="22"/>
                <w:szCs w:val="22"/>
                <w:lang w:val="en-US"/>
              </w:rPr>
            </w:pPr>
            <w:r>
              <w:rPr>
                <w:rFonts w:ascii="Verdana" w:eastAsia="Verdana" w:hAnsi="Verdana" w:cs="Verdana"/>
                <w:color w:val="7F7F7F" w:themeColor="text1" w:themeTint="80"/>
                <w:sz w:val="22"/>
                <w:szCs w:val="22"/>
                <w:lang w:val="en-US"/>
              </w:rPr>
              <w:t>We do not have any issue with Recital 127.</w:t>
            </w:r>
          </w:p>
          <w:p w14:paraId="217C1D9D" w14:textId="77777777" w:rsidR="006F5ECC" w:rsidRPr="00D629C6" w:rsidRDefault="006F5ECC" w:rsidP="00020B14">
            <w:pPr>
              <w:tabs>
                <w:tab w:val="left" w:pos="0"/>
                <w:tab w:val="left" w:pos="4536"/>
              </w:tabs>
              <w:rPr>
                <w:rFonts w:ascii="Verdana" w:hAnsi="Verdana"/>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3188E5E7"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38546382"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25D97E6" w14:textId="15B69683"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2B990F8C" w14:textId="43F825EF" w:rsidR="006F5ECC" w:rsidRDefault="006F5ECC" w:rsidP="00020B14">
            <w:pPr>
              <w:tabs>
                <w:tab w:val="left" w:pos="0"/>
                <w:tab w:val="left" w:pos="4536"/>
              </w:tabs>
              <w:ind w:left="-96"/>
              <w:rPr>
                <w:rFonts w:ascii="Verdana" w:hAnsi="Verdana"/>
                <w:b/>
                <w:bCs/>
                <w:color w:val="7F7F7F"/>
                <w:sz w:val="22"/>
                <w:szCs w:val="22"/>
                <w:lang w:val="en-US"/>
              </w:rPr>
            </w:pPr>
            <w:r>
              <w:rPr>
                <w:rFonts w:ascii="Verdana" w:hAnsi="Verdana"/>
                <w:b/>
                <w:bCs/>
                <w:color w:val="7F7F7F"/>
                <w:sz w:val="22"/>
                <w:szCs w:val="22"/>
                <w:lang w:val="en-US"/>
              </w:rPr>
              <w:t>Question to stakeholders</w:t>
            </w:r>
          </w:p>
        </w:tc>
        <w:tc>
          <w:tcPr>
            <w:tcW w:w="1999" w:type="pct"/>
            <w:tcBorders>
              <w:top w:val="single" w:sz="4" w:space="0" w:color="auto"/>
              <w:left w:val="single" w:sz="4" w:space="0" w:color="auto"/>
              <w:bottom w:val="single" w:sz="4" w:space="0" w:color="auto"/>
              <w:right w:val="single" w:sz="4" w:space="0" w:color="auto"/>
            </w:tcBorders>
            <w:vAlign w:val="center"/>
          </w:tcPr>
          <w:p w14:paraId="4532390F" w14:textId="77777777" w:rsidR="006F5ECC" w:rsidRDefault="006F5ECC" w:rsidP="00020B14">
            <w:pPr>
              <w:tabs>
                <w:tab w:val="left" w:pos="0"/>
                <w:tab w:val="left" w:pos="4536"/>
              </w:tabs>
              <w:rPr>
                <w:rFonts w:ascii="Verdana" w:eastAsia="Verdana" w:hAnsi="Verdana" w:cs="Verdana"/>
                <w:b/>
                <w:bCs/>
                <w:color w:val="7F7F7F" w:themeColor="text1" w:themeTint="80"/>
                <w:sz w:val="22"/>
                <w:szCs w:val="22"/>
                <w:lang w:val="en-US"/>
              </w:rPr>
            </w:pPr>
            <w:r w:rsidRPr="003519E3">
              <w:rPr>
                <w:rFonts w:ascii="Verdana" w:eastAsia="Verdana" w:hAnsi="Verdana" w:cs="Verdana"/>
                <w:b/>
                <w:bCs/>
                <w:color w:val="7F7F7F" w:themeColor="text1" w:themeTint="80"/>
                <w:sz w:val="22"/>
                <w:szCs w:val="22"/>
                <w:lang w:val="en-US"/>
              </w:rPr>
              <w:t>Q9.4: In light of option 3, stakeholders are invited to provide their view on the potential challenges that groups may face to implement this princip</w:t>
            </w:r>
            <w:r>
              <w:rPr>
                <w:rFonts w:ascii="Verdana" w:eastAsia="Verdana" w:hAnsi="Verdana" w:cs="Verdana"/>
                <w:b/>
                <w:bCs/>
                <w:color w:val="7F7F7F" w:themeColor="text1" w:themeTint="80"/>
                <w:sz w:val="22"/>
                <w:szCs w:val="22"/>
                <w:lang w:val="en-US"/>
              </w:rPr>
              <w:t>le</w:t>
            </w:r>
          </w:p>
          <w:p w14:paraId="32C3C812" w14:textId="77777777" w:rsidR="006F5ECC" w:rsidRPr="00740523" w:rsidRDefault="006F5ECC" w:rsidP="00020B14">
            <w:pPr>
              <w:tabs>
                <w:tab w:val="left" w:pos="0"/>
                <w:tab w:val="left" w:pos="4536"/>
              </w:tabs>
              <w:spacing w:line="239" w:lineRule="auto"/>
              <w:ind w:hanging="565"/>
              <w:jc w:val="both"/>
              <w:rPr>
                <w:color w:val="7F7F7F" w:themeColor="text1" w:themeTint="80"/>
                <w:sz w:val="22"/>
                <w:szCs w:val="22"/>
                <w:lang w:val="en-US"/>
              </w:rPr>
            </w:pPr>
            <w:r>
              <w:rPr>
                <w:rFonts w:ascii="Verdana" w:eastAsia="Verdana" w:hAnsi="Verdana" w:cs="Verdana"/>
                <w:color w:val="7F7F7F" w:themeColor="text1" w:themeTint="80"/>
                <w:sz w:val="22"/>
                <w:szCs w:val="22"/>
                <w:lang w:val="en-US"/>
              </w:rPr>
              <w:t>We do not have any issue with Recital 127.</w:t>
            </w:r>
          </w:p>
          <w:p w14:paraId="29F64228" w14:textId="0371F0DE" w:rsidR="006F5ECC" w:rsidRPr="003519E3" w:rsidRDefault="006F5ECC" w:rsidP="00020B14">
            <w:pPr>
              <w:tabs>
                <w:tab w:val="left" w:pos="0"/>
                <w:tab w:val="left" w:pos="4536"/>
              </w:tabs>
              <w:rPr>
                <w:rFonts w:ascii="Verdana" w:eastAsia="Verdana" w:hAnsi="Verdana" w:cs="Verdana"/>
                <w:b/>
                <w:bCs/>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6754B944"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1360A5" w14:paraId="211586F0"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1418" w:type="pct"/>
          <w:trHeight w:val="300"/>
        </w:trPr>
        <w:tc>
          <w:tcPr>
            <w:tcW w:w="3582" w:type="pct"/>
            <w:gridSpan w:val="6"/>
            <w:tcBorders>
              <w:top w:val="single" w:sz="4" w:space="0" w:color="auto"/>
              <w:left w:val="single" w:sz="4" w:space="0" w:color="auto"/>
              <w:bottom w:val="single" w:sz="4" w:space="0" w:color="auto"/>
              <w:right w:val="single" w:sz="4" w:space="0" w:color="auto"/>
            </w:tcBorders>
            <w:shd w:val="clear" w:color="auto" w:fill="auto"/>
            <w:noWrap/>
          </w:tcPr>
          <w:p w14:paraId="12B411A4" w14:textId="662BBAD2" w:rsidR="006F5ECC" w:rsidRPr="0003536E" w:rsidRDefault="006F5ECC" w:rsidP="00020B14">
            <w:pPr>
              <w:tabs>
                <w:tab w:val="left" w:pos="0"/>
                <w:tab w:val="left" w:pos="4536"/>
              </w:tabs>
              <w:rPr>
                <w:rFonts w:ascii="Verdana" w:hAnsi="Verdana"/>
                <w:b/>
                <w:bCs/>
                <w:color w:val="7F7F7F" w:themeColor="text1" w:themeTint="80"/>
                <w:sz w:val="22"/>
                <w:szCs w:val="22"/>
                <w:lang w:val="en-US"/>
              </w:rPr>
            </w:pPr>
            <w:r>
              <w:rPr>
                <w:rFonts w:ascii="Verdana" w:hAnsi="Verdana"/>
                <w:b/>
                <w:bCs/>
                <w:color w:val="7F7F7F" w:themeColor="text1" w:themeTint="80"/>
                <w:sz w:val="22"/>
                <w:szCs w:val="22"/>
                <w:lang w:val="en-US"/>
              </w:rPr>
              <w:t>9.3.13 Availability Assessment of Own Funds</w:t>
            </w:r>
          </w:p>
        </w:tc>
      </w:tr>
      <w:tr w:rsidR="00FC5744" w:rsidRPr="00CE72D2" w14:paraId="51701568"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A261494" w14:textId="1A0F34A4"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71F036EC" w14:textId="5F674160" w:rsidR="006F5ECC" w:rsidRPr="004A1C28"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324</w:t>
            </w:r>
          </w:p>
        </w:tc>
        <w:tc>
          <w:tcPr>
            <w:tcW w:w="1999" w:type="pct"/>
            <w:tcBorders>
              <w:top w:val="single" w:sz="4" w:space="0" w:color="auto"/>
              <w:left w:val="single" w:sz="4" w:space="0" w:color="auto"/>
              <w:bottom w:val="single" w:sz="4" w:space="0" w:color="auto"/>
              <w:right w:val="single" w:sz="4" w:space="0" w:color="auto"/>
            </w:tcBorders>
            <w:vAlign w:val="center"/>
          </w:tcPr>
          <w:p w14:paraId="2777EEAD" w14:textId="425966FC" w:rsidR="006F5ECC" w:rsidRPr="00D629C6" w:rsidRDefault="006F5ECC" w:rsidP="00020B14">
            <w:pPr>
              <w:tabs>
                <w:tab w:val="left" w:pos="0"/>
                <w:tab w:val="left" w:pos="4536"/>
              </w:tabs>
              <w:rPr>
                <w:rFonts w:ascii="Verdana" w:hAnsi="Verdana"/>
                <w:color w:val="7F7F7F" w:themeColor="text1" w:themeTint="80"/>
                <w:sz w:val="22"/>
                <w:szCs w:val="22"/>
                <w:lang w:val="en-GB" w:eastAsia="fr-FR"/>
              </w:rPr>
            </w:pPr>
            <w:r w:rsidRPr="00D629C6">
              <w:rPr>
                <w:rFonts w:ascii="Verdana" w:hAnsi="Verdana"/>
                <w:color w:val="7F7F7F" w:themeColor="text1" w:themeTint="80"/>
                <w:sz w:val="22"/>
                <w:szCs w:val="22"/>
                <w:lang w:val="en-US"/>
              </w:rPr>
              <w:t xml:space="preserve">The group has to calculate the </w:t>
            </w:r>
            <w:r>
              <w:rPr>
                <w:rFonts w:ascii="Verdana" w:hAnsi="Verdana"/>
                <w:color w:val="7F7F7F" w:themeColor="text1" w:themeTint="80"/>
                <w:sz w:val="22"/>
                <w:szCs w:val="22"/>
                <w:lang w:val="en-US"/>
              </w:rPr>
              <w:t>s</w:t>
            </w:r>
            <w:r w:rsidRPr="00D629C6">
              <w:rPr>
                <w:rFonts w:ascii="Verdana" w:hAnsi="Verdana"/>
                <w:color w:val="7F7F7F" w:themeColor="text1" w:themeTint="80"/>
                <w:sz w:val="22"/>
                <w:szCs w:val="22"/>
                <w:lang w:val="en-US"/>
              </w:rPr>
              <w:t xml:space="preserve">olvency ratio as </w:t>
            </w:r>
            <w:r>
              <w:rPr>
                <w:rFonts w:ascii="Verdana" w:hAnsi="Verdana"/>
                <w:color w:val="7F7F7F" w:themeColor="text1" w:themeTint="80"/>
                <w:sz w:val="22"/>
                <w:szCs w:val="22"/>
                <w:lang w:val="en-US"/>
              </w:rPr>
              <w:t>if it were</w:t>
            </w:r>
            <w:r w:rsidRPr="00D629C6">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a single</w:t>
            </w:r>
            <w:r w:rsidRPr="00D629C6">
              <w:rPr>
                <w:rFonts w:ascii="Verdana" w:hAnsi="Verdana"/>
                <w:color w:val="7F7F7F" w:themeColor="text1" w:themeTint="80"/>
                <w:sz w:val="22"/>
                <w:szCs w:val="22"/>
                <w:lang w:val="en-US"/>
              </w:rPr>
              <w:t xml:space="preserve"> economic entity. </w:t>
            </w:r>
            <w:r>
              <w:rPr>
                <w:rFonts w:ascii="Verdana" w:hAnsi="Verdana"/>
                <w:color w:val="7F7F7F" w:themeColor="text1" w:themeTint="80"/>
                <w:sz w:val="22"/>
                <w:szCs w:val="22"/>
                <w:lang w:val="en-US"/>
              </w:rPr>
              <w:t>Following this principle,</w:t>
            </w:r>
            <w:r w:rsidRPr="00D629C6">
              <w:rPr>
                <w:rFonts w:ascii="Verdana" w:hAnsi="Verdana"/>
                <w:color w:val="7F7F7F" w:themeColor="text1" w:themeTint="80"/>
                <w:sz w:val="22"/>
                <w:szCs w:val="22"/>
                <w:lang w:val="en-US"/>
              </w:rPr>
              <w:t xml:space="preserve"> the </w:t>
            </w:r>
            <w:r>
              <w:rPr>
                <w:rFonts w:ascii="Verdana" w:hAnsi="Verdana"/>
                <w:color w:val="7F7F7F" w:themeColor="text1" w:themeTint="80"/>
                <w:sz w:val="22"/>
                <w:szCs w:val="22"/>
                <w:lang w:val="en-US"/>
              </w:rPr>
              <w:t>group e</w:t>
            </w:r>
            <w:r w:rsidRPr="00D629C6">
              <w:rPr>
                <w:rFonts w:ascii="Verdana" w:hAnsi="Verdana"/>
                <w:color w:val="7F7F7F" w:themeColor="text1" w:themeTint="80"/>
                <w:sz w:val="22"/>
                <w:szCs w:val="22"/>
                <w:lang w:val="en-US"/>
              </w:rPr>
              <w:t xml:space="preserve">conomic balance sheet is determined. Subsequently the SCR is calculated based on this consolidated data. The next step is </w:t>
            </w:r>
            <w:r>
              <w:rPr>
                <w:rFonts w:ascii="Verdana" w:hAnsi="Verdana"/>
                <w:color w:val="7F7F7F" w:themeColor="text1" w:themeTint="80"/>
                <w:sz w:val="22"/>
                <w:szCs w:val="22"/>
                <w:lang w:val="en-US"/>
              </w:rPr>
              <w:t xml:space="preserve">to </w:t>
            </w:r>
            <w:r w:rsidRPr="00D629C6">
              <w:rPr>
                <w:rFonts w:ascii="Verdana" w:hAnsi="Verdana"/>
                <w:color w:val="7F7F7F" w:themeColor="text1" w:themeTint="80"/>
                <w:sz w:val="22"/>
                <w:szCs w:val="22"/>
                <w:lang w:val="en-US"/>
              </w:rPr>
              <w:t>determin</w:t>
            </w:r>
            <w:r>
              <w:rPr>
                <w:rFonts w:ascii="Verdana" w:hAnsi="Verdana"/>
                <w:color w:val="7F7F7F" w:themeColor="text1" w:themeTint="80"/>
                <w:sz w:val="22"/>
                <w:szCs w:val="22"/>
                <w:lang w:val="en-US"/>
              </w:rPr>
              <w:t>e</w:t>
            </w:r>
            <w:r w:rsidRPr="00D629C6">
              <w:rPr>
                <w:rFonts w:ascii="Verdana" w:hAnsi="Verdana"/>
                <w:color w:val="7F7F7F" w:themeColor="text1" w:themeTint="80"/>
                <w:sz w:val="22"/>
                <w:szCs w:val="22"/>
                <w:lang w:val="en-US"/>
              </w:rPr>
              <w:t xml:space="preserve"> the </w:t>
            </w:r>
            <w:r>
              <w:rPr>
                <w:rFonts w:ascii="Verdana" w:hAnsi="Verdana"/>
                <w:color w:val="7F7F7F" w:themeColor="text1" w:themeTint="80"/>
                <w:sz w:val="22"/>
                <w:szCs w:val="22"/>
                <w:lang w:val="en-US"/>
              </w:rPr>
              <w:t xml:space="preserve">undertaking´s </w:t>
            </w:r>
            <w:r w:rsidRPr="00D629C6">
              <w:rPr>
                <w:rFonts w:ascii="Verdana" w:hAnsi="Verdana"/>
                <w:color w:val="7F7F7F" w:themeColor="text1" w:themeTint="80"/>
                <w:sz w:val="22"/>
                <w:szCs w:val="22"/>
                <w:lang w:val="en-US"/>
              </w:rPr>
              <w:t xml:space="preserve">available own funds and the eligible own funds. In this latest step, the availability and fungibility </w:t>
            </w:r>
            <w:r>
              <w:rPr>
                <w:rFonts w:ascii="Verdana" w:hAnsi="Verdana"/>
                <w:color w:val="7F7F7F" w:themeColor="text1" w:themeTint="80"/>
                <w:sz w:val="22"/>
                <w:szCs w:val="22"/>
                <w:lang w:val="en-US"/>
              </w:rPr>
              <w:t xml:space="preserve">of </w:t>
            </w:r>
            <w:r w:rsidRPr="00D629C6">
              <w:rPr>
                <w:rFonts w:ascii="Verdana" w:hAnsi="Verdana"/>
                <w:color w:val="7F7F7F" w:themeColor="text1" w:themeTint="80"/>
                <w:sz w:val="22"/>
                <w:szCs w:val="22"/>
                <w:lang w:val="en-US"/>
              </w:rPr>
              <w:t xml:space="preserve">all components of the own funds is assessed. Restricted own funds of underlying entities are only taken into consideration </w:t>
            </w:r>
            <w:r>
              <w:rPr>
                <w:rFonts w:ascii="Verdana" w:hAnsi="Verdana"/>
                <w:color w:val="7F7F7F" w:themeColor="text1" w:themeTint="80"/>
                <w:sz w:val="22"/>
                <w:szCs w:val="22"/>
                <w:lang w:val="en-US"/>
              </w:rPr>
              <w:t>provided there</w:t>
            </w:r>
            <w:r w:rsidRPr="00D629C6">
              <w:rPr>
                <w:rFonts w:ascii="Verdana" w:hAnsi="Verdana"/>
                <w:color w:val="7F7F7F" w:themeColor="text1" w:themeTint="80"/>
                <w:sz w:val="22"/>
                <w:szCs w:val="22"/>
                <w:lang w:val="en-US"/>
              </w:rPr>
              <w:t xml:space="preserve"> is a surplus above the diversified contribution to the group SCR. Th</w:t>
            </w:r>
            <w:r>
              <w:rPr>
                <w:rFonts w:ascii="Verdana" w:hAnsi="Verdana"/>
                <w:color w:val="7F7F7F" w:themeColor="text1" w:themeTint="80"/>
                <w:sz w:val="22"/>
                <w:szCs w:val="22"/>
                <w:lang w:val="en-US"/>
              </w:rPr>
              <w:t>e whole</w:t>
            </w:r>
            <w:r w:rsidRPr="00D629C6">
              <w:rPr>
                <w:rFonts w:ascii="Verdana" w:hAnsi="Verdana"/>
                <w:color w:val="7F7F7F" w:themeColor="text1" w:themeTint="80"/>
                <w:sz w:val="22"/>
                <w:szCs w:val="22"/>
                <w:lang w:val="en-US"/>
              </w:rPr>
              <w:t xml:space="preserve"> process ensures </w:t>
            </w:r>
            <w:r>
              <w:rPr>
                <w:rFonts w:ascii="Verdana" w:hAnsi="Verdana"/>
                <w:color w:val="7F7F7F" w:themeColor="text1" w:themeTint="80"/>
                <w:sz w:val="22"/>
                <w:szCs w:val="22"/>
                <w:lang w:val="en-US"/>
              </w:rPr>
              <w:t xml:space="preserve">that </w:t>
            </w:r>
            <w:r w:rsidRPr="00D629C6">
              <w:rPr>
                <w:rFonts w:ascii="Verdana" w:hAnsi="Verdana"/>
                <w:color w:val="7F7F7F" w:themeColor="text1" w:themeTint="80"/>
                <w:sz w:val="22"/>
                <w:szCs w:val="22"/>
                <w:lang w:val="en-US"/>
              </w:rPr>
              <w:t>components which cannot be used to absorb losses elsewhere in the group are included. This should be sufficient and no change is needed.</w:t>
            </w:r>
          </w:p>
        </w:tc>
        <w:tc>
          <w:tcPr>
            <w:tcW w:w="483" w:type="pct"/>
            <w:tcBorders>
              <w:top w:val="single" w:sz="4" w:space="0" w:color="auto"/>
              <w:left w:val="single" w:sz="4" w:space="0" w:color="auto"/>
              <w:bottom w:val="single" w:sz="4" w:space="0" w:color="auto"/>
              <w:right w:val="single" w:sz="4" w:space="0" w:color="auto"/>
            </w:tcBorders>
          </w:tcPr>
          <w:p w14:paraId="3F0C2EE6"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0B8E0D71"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9578A99" w14:textId="0F6F8E56"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1E6CC6F5" w14:textId="163EB2D4"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325</w:t>
            </w:r>
          </w:p>
        </w:tc>
        <w:tc>
          <w:tcPr>
            <w:tcW w:w="1999" w:type="pct"/>
            <w:tcBorders>
              <w:top w:val="single" w:sz="4" w:space="0" w:color="auto"/>
              <w:left w:val="single" w:sz="4" w:space="0" w:color="auto"/>
              <w:bottom w:val="single" w:sz="4" w:space="0" w:color="auto"/>
              <w:right w:val="single" w:sz="4" w:space="0" w:color="auto"/>
            </w:tcBorders>
            <w:vAlign w:val="center"/>
          </w:tcPr>
          <w:p w14:paraId="4E196165" w14:textId="7AD0AE74" w:rsidR="006F5ECC" w:rsidRPr="00D629C6" w:rsidRDefault="006F5ECC" w:rsidP="00020B14">
            <w:pPr>
              <w:tabs>
                <w:tab w:val="left" w:pos="0"/>
                <w:tab w:val="left" w:pos="4536"/>
              </w:tabs>
              <w:rPr>
                <w:rFonts w:ascii="Verdana" w:hAnsi="Verdana"/>
                <w:color w:val="7F7F7F" w:themeColor="text1" w:themeTint="80"/>
                <w:sz w:val="22"/>
                <w:szCs w:val="22"/>
                <w:lang w:val="en-US"/>
              </w:rPr>
            </w:pPr>
            <w:r w:rsidRPr="00673719">
              <w:rPr>
                <w:rFonts w:ascii="Verdana" w:hAnsi="Verdana"/>
                <w:color w:val="7F7F7F" w:themeColor="text1" w:themeTint="80"/>
                <w:sz w:val="22"/>
                <w:szCs w:val="22"/>
                <w:lang w:val="en-US"/>
              </w:rPr>
              <w:t>The example provided is very far</w:t>
            </w:r>
            <w:r>
              <w:rPr>
                <w:rFonts w:ascii="Verdana" w:hAnsi="Verdana"/>
                <w:color w:val="7F7F7F" w:themeColor="text1" w:themeTint="80"/>
                <w:sz w:val="22"/>
                <w:szCs w:val="22"/>
                <w:lang w:val="en-US"/>
              </w:rPr>
              <w:t>-</w:t>
            </w:r>
            <w:r w:rsidRPr="00673719">
              <w:rPr>
                <w:rFonts w:ascii="Verdana" w:hAnsi="Verdana"/>
                <w:color w:val="7F7F7F" w:themeColor="text1" w:themeTint="80"/>
                <w:sz w:val="22"/>
                <w:szCs w:val="22"/>
                <w:lang w:val="en-US"/>
              </w:rPr>
              <w:t xml:space="preserve">fetched. </w:t>
            </w:r>
            <w:r>
              <w:rPr>
                <w:rFonts w:ascii="Verdana" w:hAnsi="Verdana"/>
                <w:color w:val="7F7F7F" w:themeColor="text1" w:themeTint="80"/>
                <w:sz w:val="22"/>
                <w:szCs w:val="22"/>
                <w:lang w:val="en-US"/>
              </w:rPr>
              <w:t xml:space="preserve">We query to which extent </w:t>
            </w:r>
            <w:r w:rsidRPr="00673719">
              <w:rPr>
                <w:rFonts w:ascii="Verdana" w:hAnsi="Verdana"/>
                <w:color w:val="7F7F7F" w:themeColor="text1" w:themeTint="80"/>
                <w:sz w:val="22"/>
                <w:szCs w:val="22"/>
                <w:lang w:val="en-US"/>
              </w:rPr>
              <w:t>it address</w:t>
            </w:r>
            <w:r>
              <w:rPr>
                <w:rFonts w:ascii="Verdana" w:hAnsi="Verdana"/>
                <w:color w:val="7F7F7F" w:themeColor="text1" w:themeTint="80"/>
                <w:sz w:val="22"/>
                <w:szCs w:val="22"/>
                <w:lang w:val="en-US"/>
              </w:rPr>
              <w:t>es</w:t>
            </w:r>
            <w:r w:rsidRPr="00673719">
              <w:rPr>
                <w:rFonts w:ascii="Verdana" w:hAnsi="Verdana"/>
                <w:color w:val="7F7F7F" w:themeColor="text1" w:themeTint="80"/>
                <w:sz w:val="22"/>
                <w:szCs w:val="22"/>
                <w:lang w:val="en-US"/>
              </w:rPr>
              <w:t xml:space="preserve"> a real and current issue within a group</w:t>
            </w:r>
            <w:r>
              <w:rPr>
                <w:rFonts w:ascii="Verdana" w:hAnsi="Verdana"/>
                <w:color w:val="7F7F7F" w:themeColor="text1" w:themeTint="80"/>
                <w:sz w:val="22"/>
                <w:szCs w:val="22"/>
                <w:lang w:val="en-US"/>
              </w:rPr>
              <w:t>.</w:t>
            </w:r>
            <w:r w:rsidRPr="00673719">
              <w:rPr>
                <w:rFonts w:ascii="Verdana" w:hAnsi="Verdana"/>
                <w:color w:val="7F7F7F" w:themeColor="text1" w:themeTint="80"/>
                <w:sz w:val="22"/>
                <w:szCs w:val="22"/>
                <w:lang w:val="en-US"/>
              </w:rPr>
              <w:t xml:space="preserve"> </w:t>
            </w:r>
            <w:r>
              <w:rPr>
                <w:rFonts w:ascii="Verdana" w:hAnsi="Verdana"/>
                <w:color w:val="7F7F7F" w:themeColor="text1" w:themeTint="80"/>
                <w:sz w:val="22"/>
                <w:szCs w:val="22"/>
                <w:lang w:val="en-US"/>
              </w:rPr>
              <w:t>Can EIOPA indicate h</w:t>
            </w:r>
            <w:r w:rsidRPr="00673719">
              <w:rPr>
                <w:rFonts w:ascii="Verdana" w:hAnsi="Verdana"/>
                <w:color w:val="7F7F7F" w:themeColor="text1" w:themeTint="80"/>
                <w:sz w:val="22"/>
                <w:szCs w:val="22"/>
                <w:lang w:val="en-US"/>
              </w:rPr>
              <w:t xml:space="preserve">ow many underlying entities </w:t>
            </w:r>
            <w:r>
              <w:rPr>
                <w:rFonts w:ascii="Verdana" w:hAnsi="Verdana"/>
                <w:color w:val="7F7F7F" w:themeColor="text1" w:themeTint="80"/>
                <w:sz w:val="22"/>
                <w:szCs w:val="22"/>
                <w:lang w:val="en-US"/>
              </w:rPr>
              <w:t xml:space="preserve">which </w:t>
            </w:r>
            <w:r w:rsidRPr="00673719">
              <w:rPr>
                <w:rFonts w:ascii="Verdana" w:hAnsi="Verdana"/>
                <w:color w:val="7F7F7F" w:themeColor="text1" w:themeTint="80"/>
                <w:sz w:val="22"/>
                <w:szCs w:val="22"/>
                <w:lang w:val="en-US"/>
              </w:rPr>
              <w:t>have issued subordinated liabilities, have a low diversified SCR in order for the restricted own funds to be eligible for group purposes?</w:t>
            </w:r>
          </w:p>
        </w:tc>
        <w:tc>
          <w:tcPr>
            <w:tcW w:w="483" w:type="pct"/>
            <w:tcBorders>
              <w:top w:val="single" w:sz="4" w:space="0" w:color="auto"/>
              <w:left w:val="single" w:sz="4" w:space="0" w:color="auto"/>
              <w:bottom w:val="single" w:sz="4" w:space="0" w:color="auto"/>
              <w:right w:val="single" w:sz="4" w:space="0" w:color="auto"/>
            </w:tcBorders>
          </w:tcPr>
          <w:p w14:paraId="3EBA48F7"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47204DB8"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E7B8285" w14:textId="31E81C74"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lastRenderedPageBreak/>
              <w:t>9</w:t>
            </w:r>
          </w:p>
        </w:tc>
        <w:tc>
          <w:tcPr>
            <w:tcW w:w="506" w:type="pct"/>
            <w:gridSpan w:val="2"/>
            <w:tcBorders>
              <w:top w:val="single" w:sz="4" w:space="0" w:color="auto"/>
              <w:left w:val="single" w:sz="4" w:space="0" w:color="auto"/>
              <w:bottom w:val="single" w:sz="4" w:space="0" w:color="auto"/>
              <w:right w:val="single" w:sz="4" w:space="0" w:color="auto"/>
            </w:tcBorders>
          </w:tcPr>
          <w:p w14:paraId="234B10B2" w14:textId="5684C5D0"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330</w:t>
            </w:r>
          </w:p>
        </w:tc>
        <w:tc>
          <w:tcPr>
            <w:tcW w:w="1999" w:type="pct"/>
            <w:tcBorders>
              <w:top w:val="single" w:sz="4" w:space="0" w:color="auto"/>
              <w:left w:val="single" w:sz="4" w:space="0" w:color="auto"/>
              <w:bottom w:val="single" w:sz="4" w:space="0" w:color="auto"/>
              <w:right w:val="single" w:sz="4" w:space="0" w:color="auto"/>
            </w:tcBorders>
            <w:vAlign w:val="bottom"/>
          </w:tcPr>
          <w:p w14:paraId="5C133010" w14:textId="77777777" w:rsidR="006F5ECC" w:rsidRPr="00D46B4C" w:rsidRDefault="006F5ECC" w:rsidP="00020B14">
            <w:pPr>
              <w:tabs>
                <w:tab w:val="left" w:pos="0"/>
                <w:tab w:val="left" w:pos="4536"/>
              </w:tabs>
              <w:rPr>
                <w:rFonts w:ascii="Verdana" w:hAnsi="Verdana"/>
                <w:color w:val="7F7F7F"/>
                <w:sz w:val="22"/>
                <w:szCs w:val="22"/>
                <w:lang w:val="en-GB" w:eastAsia="fr-FR"/>
              </w:rPr>
            </w:pPr>
            <w:r w:rsidRPr="00D46B4C">
              <w:rPr>
                <w:rFonts w:ascii="Verdana" w:hAnsi="Verdana"/>
                <w:color w:val="7F7F7F"/>
                <w:sz w:val="22"/>
                <w:szCs w:val="22"/>
                <w:lang w:val="en-GB" w:eastAsia="fr-FR"/>
              </w:rPr>
              <w:t>The inclusion of a notional MCR for MFHC or IHC without adjusting for intragroup transactions will result in onerous outcomes and could even result in the group MCR to be above the group SCR.</w:t>
            </w:r>
          </w:p>
          <w:p w14:paraId="6727B5F2"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The notional SCR / MCR of a MFHC or IHC is calculated based on the “company economic balance sheet”. In this balance sheet the intragroup transactions are not eliminated. Subsidiaries are included based on their adjusted net equity value.</w:t>
            </w:r>
          </w:p>
          <w:p w14:paraId="797BE079" w14:textId="77777777" w:rsidR="006F5ECC" w:rsidRPr="00D46B4C" w:rsidRDefault="006F5ECC" w:rsidP="00020B14">
            <w:pPr>
              <w:tabs>
                <w:tab w:val="left" w:pos="0"/>
                <w:tab w:val="left" w:pos="4536"/>
              </w:tabs>
              <w:spacing w:before="120" w:after="120"/>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Consider the following group: An IHC has as only as assets participations in the insurers A and B. Assume the following Solvency information:</w:t>
            </w:r>
          </w:p>
          <w:tbl>
            <w:tblPr>
              <w:tblStyle w:val="TableGrid"/>
              <w:tblW w:w="0" w:type="auto"/>
              <w:tblLayout w:type="fixed"/>
              <w:tblLook w:val="04A0" w:firstRow="1" w:lastRow="0" w:firstColumn="1" w:lastColumn="0" w:noHBand="0" w:noVBand="1"/>
            </w:tblPr>
            <w:tblGrid>
              <w:gridCol w:w="1342"/>
              <w:gridCol w:w="1579"/>
              <w:gridCol w:w="1554"/>
              <w:gridCol w:w="1565"/>
              <w:gridCol w:w="1511"/>
              <w:gridCol w:w="1511"/>
            </w:tblGrid>
            <w:tr w:rsidR="006F5ECC" w:rsidRPr="001360A5" w14:paraId="496F1823" w14:textId="77777777" w:rsidTr="008A4E09">
              <w:tc>
                <w:tcPr>
                  <w:tcW w:w="1342" w:type="dxa"/>
                </w:tcPr>
                <w:p w14:paraId="205F80D0"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p>
              </w:tc>
              <w:tc>
                <w:tcPr>
                  <w:tcW w:w="1579" w:type="dxa"/>
                </w:tcPr>
                <w:p w14:paraId="0ADD72F9"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Own Funds</w:t>
                  </w:r>
                </w:p>
              </w:tc>
              <w:tc>
                <w:tcPr>
                  <w:tcW w:w="1554" w:type="dxa"/>
                </w:tcPr>
                <w:p w14:paraId="6C9071E7"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SCR</w:t>
                  </w:r>
                </w:p>
              </w:tc>
              <w:tc>
                <w:tcPr>
                  <w:tcW w:w="1565" w:type="dxa"/>
                </w:tcPr>
                <w:p w14:paraId="7C6E94A3"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MCR</w:t>
                  </w:r>
                </w:p>
              </w:tc>
              <w:tc>
                <w:tcPr>
                  <w:tcW w:w="1511" w:type="dxa"/>
                </w:tcPr>
                <w:p w14:paraId="39493CCF"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Ratio</w:t>
                  </w:r>
                </w:p>
              </w:tc>
              <w:tc>
                <w:tcPr>
                  <w:tcW w:w="1511" w:type="dxa"/>
                </w:tcPr>
                <w:p w14:paraId="49AE93F6"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MCR/SCR</w:t>
                  </w:r>
                </w:p>
              </w:tc>
            </w:tr>
            <w:tr w:rsidR="006F5ECC" w:rsidRPr="001360A5" w14:paraId="5E771FC3" w14:textId="77777777" w:rsidTr="008A4E09">
              <w:tc>
                <w:tcPr>
                  <w:tcW w:w="1342" w:type="dxa"/>
                </w:tcPr>
                <w:p w14:paraId="45FDD367"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Insurer A</w:t>
                  </w:r>
                </w:p>
              </w:tc>
              <w:tc>
                <w:tcPr>
                  <w:tcW w:w="1579" w:type="dxa"/>
                </w:tcPr>
                <w:p w14:paraId="35A3E458"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150</w:t>
                  </w:r>
                </w:p>
              </w:tc>
              <w:tc>
                <w:tcPr>
                  <w:tcW w:w="1554" w:type="dxa"/>
                </w:tcPr>
                <w:p w14:paraId="6B7BDA35"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100</w:t>
                  </w:r>
                </w:p>
              </w:tc>
              <w:tc>
                <w:tcPr>
                  <w:tcW w:w="1565" w:type="dxa"/>
                </w:tcPr>
                <w:p w14:paraId="096F2615"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35</w:t>
                  </w:r>
                </w:p>
              </w:tc>
              <w:tc>
                <w:tcPr>
                  <w:tcW w:w="1511" w:type="dxa"/>
                </w:tcPr>
                <w:p w14:paraId="0814ACCE"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150%</w:t>
                  </w:r>
                </w:p>
              </w:tc>
              <w:tc>
                <w:tcPr>
                  <w:tcW w:w="1511" w:type="dxa"/>
                </w:tcPr>
                <w:p w14:paraId="1C35FEA7"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35%</w:t>
                  </w:r>
                </w:p>
              </w:tc>
            </w:tr>
            <w:tr w:rsidR="006F5ECC" w:rsidRPr="001360A5" w14:paraId="02F4B34A" w14:textId="77777777" w:rsidTr="008A4E09">
              <w:tc>
                <w:tcPr>
                  <w:tcW w:w="1342" w:type="dxa"/>
                </w:tcPr>
                <w:p w14:paraId="1B0A668A"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Insurer B</w:t>
                  </w:r>
                </w:p>
              </w:tc>
              <w:tc>
                <w:tcPr>
                  <w:tcW w:w="1579" w:type="dxa"/>
                </w:tcPr>
                <w:p w14:paraId="790C88C8"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250</w:t>
                  </w:r>
                </w:p>
              </w:tc>
              <w:tc>
                <w:tcPr>
                  <w:tcW w:w="1554" w:type="dxa"/>
                </w:tcPr>
                <w:p w14:paraId="70E859E3"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200</w:t>
                  </w:r>
                </w:p>
              </w:tc>
              <w:tc>
                <w:tcPr>
                  <w:tcW w:w="1565" w:type="dxa"/>
                </w:tcPr>
                <w:p w14:paraId="1CCD55C6"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90</w:t>
                  </w:r>
                </w:p>
              </w:tc>
              <w:tc>
                <w:tcPr>
                  <w:tcW w:w="1511" w:type="dxa"/>
                </w:tcPr>
                <w:p w14:paraId="0C604D99"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125%</w:t>
                  </w:r>
                </w:p>
              </w:tc>
              <w:tc>
                <w:tcPr>
                  <w:tcW w:w="1511" w:type="dxa"/>
                </w:tcPr>
                <w:p w14:paraId="658D90B1"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45%</w:t>
                  </w:r>
                </w:p>
              </w:tc>
            </w:tr>
            <w:tr w:rsidR="006F5ECC" w:rsidRPr="001360A5" w14:paraId="4CEC9C50" w14:textId="77777777" w:rsidTr="008A4E09">
              <w:tc>
                <w:tcPr>
                  <w:tcW w:w="1342" w:type="dxa"/>
                </w:tcPr>
                <w:p w14:paraId="008EE153"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Group</w:t>
                  </w:r>
                </w:p>
              </w:tc>
              <w:tc>
                <w:tcPr>
                  <w:tcW w:w="1579" w:type="dxa"/>
                </w:tcPr>
                <w:p w14:paraId="0466CC8E"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400</w:t>
                  </w:r>
                </w:p>
              </w:tc>
              <w:tc>
                <w:tcPr>
                  <w:tcW w:w="1554" w:type="dxa"/>
                </w:tcPr>
                <w:p w14:paraId="76C20BD0"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250</w:t>
                  </w:r>
                </w:p>
              </w:tc>
              <w:tc>
                <w:tcPr>
                  <w:tcW w:w="1565" w:type="dxa"/>
                </w:tcPr>
                <w:p w14:paraId="0D4C2C66"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125</w:t>
                  </w:r>
                </w:p>
              </w:tc>
              <w:tc>
                <w:tcPr>
                  <w:tcW w:w="1511" w:type="dxa"/>
                </w:tcPr>
                <w:p w14:paraId="3E4FF815"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160%</w:t>
                  </w:r>
                </w:p>
              </w:tc>
              <w:tc>
                <w:tcPr>
                  <w:tcW w:w="1511" w:type="dxa"/>
                </w:tcPr>
                <w:p w14:paraId="1CED0BDB" w14:textId="77777777"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50%</w:t>
                  </w:r>
                </w:p>
              </w:tc>
            </w:tr>
          </w:tbl>
          <w:p w14:paraId="2C35750B" w14:textId="77777777" w:rsidR="006F5ECC" w:rsidRDefault="006F5ECC" w:rsidP="00020B14">
            <w:pPr>
              <w:tabs>
                <w:tab w:val="left" w:pos="0"/>
                <w:tab w:val="left" w:pos="4536"/>
              </w:tabs>
              <w:rPr>
                <w:lang w:val="en-US"/>
              </w:rPr>
            </w:pPr>
          </w:p>
          <w:p w14:paraId="19D7E185" w14:textId="77777777" w:rsidR="006F5ECC" w:rsidRPr="00673719" w:rsidRDefault="006F5ECC" w:rsidP="00020B14">
            <w:pPr>
              <w:tabs>
                <w:tab w:val="left" w:pos="0"/>
                <w:tab w:val="left" w:pos="4536"/>
              </w:tabs>
              <w:rPr>
                <w:rFonts w:ascii="Verdana" w:hAnsi="Verdana"/>
                <w:color w:val="7F7F7F" w:themeColor="text1" w:themeTint="80"/>
                <w:sz w:val="22"/>
                <w:szCs w:val="22"/>
                <w:lang w:val="en-US"/>
              </w:rPr>
            </w:pPr>
            <w:r w:rsidRPr="00673719">
              <w:rPr>
                <w:rFonts w:ascii="Verdana" w:hAnsi="Verdana"/>
                <w:color w:val="7F7F7F" w:themeColor="text1" w:themeTint="80"/>
                <w:sz w:val="22"/>
                <w:szCs w:val="22"/>
                <w:lang w:val="en-US"/>
              </w:rPr>
              <w:t>The IHC has a total of own funds of 400. The group MCR is based on the sum of the solo MCR. As there is no corridor at the group, the ratio MCR/SCR increases as the diversification benefits is only allowed at SCR level and not MCR.</w:t>
            </w:r>
          </w:p>
          <w:p w14:paraId="09F3597A" w14:textId="77777777" w:rsidR="006F5ECC" w:rsidRPr="00673719" w:rsidRDefault="006F5ECC" w:rsidP="00020B14">
            <w:pPr>
              <w:tabs>
                <w:tab w:val="left" w:pos="0"/>
                <w:tab w:val="left" w:pos="4536"/>
              </w:tabs>
              <w:spacing w:before="120" w:after="120"/>
              <w:rPr>
                <w:rFonts w:ascii="Verdana" w:hAnsi="Verdana"/>
                <w:color w:val="7F7F7F" w:themeColor="text1" w:themeTint="80"/>
                <w:sz w:val="22"/>
                <w:szCs w:val="22"/>
                <w:lang w:val="en-US"/>
              </w:rPr>
            </w:pPr>
            <w:r w:rsidRPr="00673719">
              <w:rPr>
                <w:rFonts w:ascii="Verdana" w:hAnsi="Verdana"/>
                <w:color w:val="7F7F7F" w:themeColor="text1" w:themeTint="80"/>
                <w:sz w:val="22"/>
                <w:szCs w:val="22"/>
                <w:lang w:val="en-US"/>
              </w:rPr>
              <w:t>Consider the impact of the introduction of the notional MCR on the level of the IHC. EIOPA proposed as proxy 35% of the notional SCR.</w:t>
            </w:r>
          </w:p>
          <w:p w14:paraId="32935A43" w14:textId="0DFB71EB" w:rsidR="006F5ECC" w:rsidRDefault="006F5ECC" w:rsidP="00020B14">
            <w:pPr>
              <w:tabs>
                <w:tab w:val="left" w:pos="0"/>
                <w:tab w:val="left" w:pos="4536"/>
              </w:tabs>
              <w:spacing w:before="120" w:after="120"/>
              <w:rPr>
                <w:rFonts w:ascii="Verdana" w:hAnsi="Verdana"/>
                <w:sz w:val="22"/>
                <w:szCs w:val="22"/>
                <w:lang w:val="en-US"/>
              </w:rPr>
            </w:pPr>
            <w:r w:rsidRPr="00673719">
              <w:rPr>
                <w:rFonts w:ascii="Verdana" w:hAnsi="Verdana"/>
                <w:color w:val="7F7F7F" w:themeColor="text1" w:themeTint="80"/>
                <w:sz w:val="22"/>
                <w:szCs w:val="22"/>
                <w:lang w:val="en-US"/>
              </w:rPr>
              <w:t>The notional SCR is based on the company balance sheet of the IHC. In this example, the IHC has only participations as assets. The capital requirement is then based on the equity risk module. As the participations are not listed, the capital requirement is based on the 49% drop in equity prices. I</w:t>
            </w:r>
            <w:r>
              <w:rPr>
                <w:rFonts w:ascii="Verdana" w:hAnsi="Verdana"/>
                <w:color w:val="7F7F7F" w:themeColor="text1" w:themeTint="80"/>
                <w:sz w:val="22"/>
                <w:szCs w:val="22"/>
                <w:lang w:val="en-US"/>
              </w:rPr>
              <w:t>n</w:t>
            </w:r>
            <w:r w:rsidRPr="00673719">
              <w:rPr>
                <w:rFonts w:ascii="Verdana" w:hAnsi="Verdana"/>
                <w:color w:val="7F7F7F" w:themeColor="text1" w:themeTint="80"/>
                <w:sz w:val="22"/>
                <w:szCs w:val="22"/>
                <w:lang w:val="en-US"/>
              </w:rPr>
              <w:t xml:space="preserve"> this example that would result in a </w:t>
            </w:r>
            <w:r w:rsidRPr="00673719">
              <w:rPr>
                <w:rFonts w:ascii="Verdana" w:hAnsi="Verdana"/>
                <w:color w:val="7F7F7F" w:themeColor="text1" w:themeTint="80"/>
                <w:sz w:val="22"/>
                <w:szCs w:val="22"/>
                <w:lang w:val="en-US"/>
              </w:rPr>
              <w:lastRenderedPageBreak/>
              <w:t xml:space="preserve">notional SCR of 196. The resulting notional MCR is 68.6. The total group </w:t>
            </w:r>
            <w:r w:rsidRPr="00D46B4C">
              <w:rPr>
                <w:rFonts w:ascii="Verdana" w:hAnsi="Verdana"/>
                <w:color w:val="7F7F7F" w:themeColor="text1" w:themeTint="80"/>
                <w:sz w:val="22"/>
                <w:szCs w:val="22"/>
                <w:lang w:val="en-US"/>
              </w:rPr>
              <w:t xml:space="preserve">MCR has become 193.6. The ratio MCR/SCR is now 77.4%. </w:t>
            </w:r>
          </w:p>
          <w:p w14:paraId="6DD37B05" w14:textId="60268730" w:rsidR="006F5ECC" w:rsidRPr="00D46B4C" w:rsidRDefault="006F5ECC" w:rsidP="00020B14">
            <w:pPr>
              <w:tabs>
                <w:tab w:val="left" w:pos="0"/>
                <w:tab w:val="left" w:pos="4536"/>
              </w:tabs>
              <w:rPr>
                <w:rFonts w:ascii="Verdana" w:hAnsi="Verdana"/>
                <w:color w:val="7F7F7F" w:themeColor="text1" w:themeTint="80"/>
                <w:sz w:val="22"/>
                <w:szCs w:val="22"/>
                <w:lang w:val="en-US"/>
              </w:rPr>
            </w:pPr>
            <w:r w:rsidRPr="00D46B4C">
              <w:rPr>
                <w:rFonts w:ascii="Verdana" w:hAnsi="Verdana"/>
                <w:color w:val="7F7F7F" w:themeColor="text1" w:themeTint="80"/>
                <w:sz w:val="22"/>
                <w:szCs w:val="22"/>
                <w:lang w:val="en-US"/>
              </w:rPr>
              <w:t xml:space="preserve">The ladder of intervention is now very small. The increase of the group MCR based on the notional MCR is solely the result of a double counting because intragroup transactions between the IHC and the remainder of the group where an MCR is calculated is not eliminated. If the </w:t>
            </w:r>
            <w:r>
              <w:rPr>
                <w:rFonts w:ascii="Verdana" w:hAnsi="Verdana"/>
                <w:color w:val="7F7F7F" w:themeColor="text1" w:themeTint="80"/>
                <w:sz w:val="22"/>
                <w:szCs w:val="22"/>
                <w:lang w:val="en-US"/>
              </w:rPr>
              <w:t>o</w:t>
            </w:r>
            <w:r w:rsidRPr="00D46B4C">
              <w:rPr>
                <w:rFonts w:ascii="Verdana" w:hAnsi="Verdana"/>
                <w:color w:val="7F7F7F" w:themeColor="text1" w:themeTint="80"/>
                <w:sz w:val="22"/>
                <w:szCs w:val="22"/>
                <w:lang w:val="en-US"/>
              </w:rPr>
              <w:t xml:space="preserve">wn funds of the solo undertakings would be higher, there could be a situation in which the group MCR becomes higher than the group SCR. EIOPA should eliminate the intragroup transactions from the calculations as is normally done for the calculations of the group SCR. </w:t>
            </w:r>
          </w:p>
          <w:p w14:paraId="11CC311E" w14:textId="77777777" w:rsidR="006F5ECC" w:rsidRDefault="006F5ECC" w:rsidP="00020B14">
            <w:pPr>
              <w:tabs>
                <w:tab w:val="left" w:pos="0"/>
                <w:tab w:val="left" w:pos="4536"/>
              </w:tabs>
              <w:rPr>
                <w:rFonts w:ascii="Verdana" w:hAnsi="Verdana"/>
                <w:color w:val="7F7F7F"/>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61850511"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09390057"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D4F1670" w14:textId="6918C92F"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1E1C9870" w14:textId="195A6B68"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330</w:t>
            </w:r>
          </w:p>
        </w:tc>
        <w:tc>
          <w:tcPr>
            <w:tcW w:w="1999" w:type="pct"/>
            <w:tcBorders>
              <w:top w:val="single" w:sz="4" w:space="0" w:color="auto"/>
              <w:left w:val="single" w:sz="4" w:space="0" w:color="auto"/>
              <w:bottom w:val="single" w:sz="4" w:space="0" w:color="auto"/>
              <w:right w:val="single" w:sz="4" w:space="0" w:color="auto"/>
            </w:tcBorders>
            <w:vAlign w:val="bottom"/>
          </w:tcPr>
          <w:p w14:paraId="27A7DD1D" w14:textId="77777777" w:rsidR="006F5ECC" w:rsidRPr="009C6F91" w:rsidRDefault="006F5ECC" w:rsidP="00020B14">
            <w:pPr>
              <w:tabs>
                <w:tab w:val="left" w:pos="0"/>
                <w:tab w:val="left" w:pos="4536"/>
              </w:tabs>
              <w:rPr>
                <w:color w:val="7F7F7F" w:themeColor="text1" w:themeTint="80"/>
                <w:sz w:val="22"/>
                <w:szCs w:val="22"/>
                <w:lang w:val="en-US"/>
              </w:rPr>
            </w:pPr>
            <w:r w:rsidRPr="009C6F91">
              <w:rPr>
                <w:rFonts w:ascii="Verdana" w:eastAsia="Verdana" w:hAnsi="Verdana" w:cs="Verdana"/>
                <w:b/>
                <w:bCs/>
                <w:color w:val="7F7F7F" w:themeColor="text1" w:themeTint="80"/>
                <w:sz w:val="22"/>
                <w:szCs w:val="22"/>
                <w:lang w:val="en-US"/>
              </w:rPr>
              <w:t>Policy Issue 2: The formula for calculating the contribution to group SCR</w:t>
            </w:r>
          </w:p>
          <w:p w14:paraId="4A10BAAF" w14:textId="32C1A156" w:rsidR="006F5ECC" w:rsidRPr="000D5250" w:rsidRDefault="006F5ECC" w:rsidP="00020B14">
            <w:pPr>
              <w:tabs>
                <w:tab w:val="left" w:pos="0"/>
                <w:tab w:val="left" w:pos="4536"/>
              </w:tabs>
              <w:rPr>
                <w:rFonts w:ascii="Verdana" w:hAnsi="Verdana"/>
                <w:b/>
                <w:bCs/>
                <w:color w:val="7F7F7F"/>
                <w:sz w:val="22"/>
                <w:szCs w:val="22"/>
                <w:lang w:val="en-US" w:eastAsia="fr-FR"/>
              </w:rPr>
            </w:pPr>
            <w:r w:rsidRPr="000D5250">
              <w:rPr>
                <w:rFonts w:ascii="Verdana" w:hAnsi="Verdana"/>
                <w:color w:val="7F7F7F"/>
                <w:sz w:val="22"/>
                <w:szCs w:val="22"/>
                <w:lang w:val="en-US" w:eastAsia="fr-FR"/>
              </w:rPr>
              <w:t xml:space="preserve">There is an issue if the notional SCR is included in the calculation, </w:t>
            </w:r>
            <w:r w:rsidRPr="00CB0212">
              <w:rPr>
                <w:rFonts w:ascii="Verdana" w:hAnsi="Verdana"/>
                <w:color w:val="7F7F7F"/>
                <w:sz w:val="22"/>
                <w:szCs w:val="22"/>
                <w:lang w:val="en-US" w:eastAsia="fr-FR"/>
              </w:rPr>
              <w:t>the treatment of IGT</w:t>
            </w:r>
            <w:r w:rsidRPr="000D5250">
              <w:rPr>
                <w:rFonts w:ascii="Verdana" w:hAnsi="Verdana"/>
                <w:color w:val="7F7F7F"/>
                <w:sz w:val="22"/>
                <w:szCs w:val="22"/>
                <w:lang w:val="en-US" w:eastAsia="fr-FR"/>
              </w:rPr>
              <w:t xml:space="preserve">. EIOPA has stated </w:t>
            </w:r>
            <w:r>
              <w:rPr>
                <w:rFonts w:ascii="Verdana" w:hAnsi="Verdana"/>
                <w:color w:val="7F7F7F"/>
                <w:sz w:val="22"/>
                <w:szCs w:val="22"/>
                <w:lang w:val="en-US" w:eastAsia="fr-FR"/>
              </w:rPr>
              <w:t xml:space="preserve">through the Q&amp;A </w:t>
            </w:r>
            <w:r w:rsidRPr="000D5250">
              <w:rPr>
                <w:rFonts w:ascii="Verdana" w:hAnsi="Verdana"/>
                <w:color w:val="7F7F7F"/>
                <w:sz w:val="22"/>
                <w:szCs w:val="22"/>
                <w:lang w:val="en-US" w:eastAsia="fr-FR"/>
              </w:rPr>
              <w:t>that IGTs are to be considered as part of the diversification effects. This</w:t>
            </w:r>
            <w:r>
              <w:rPr>
                <w:rFonts w:ascii="Verdana" w:hAnsi="Verdana"/>
                <w:color w:val="7F7F7F"/>
                <w:sz w:val="22"/>
                <w:szCs w:val="22"/>
                <w:lang w:val="en-US" w:eastAsia="fr-FR"/>
              </w:rPr>
              <w:t xml:space="preserve"> </w:t>
            </w:r>
            <w:r w:rsidRPr="000D5250">
              <w:rPr>
                <w:rFonts w:ascii="Verdana" w:hAnsi="Verdana"/>
                <w:color w:val="7F7F7F"/>
                <w:sz w:val="22"/>
                <w:szCs w:val="22"/>
                <w:lang w:val="en-US" w:eastAsia="fr-FR"/>
              </w:rPr>
              <w:t>result</w:t>
            </w:r>
            <w:r>
              <w:rPr>
                <w:rFonts w:ascii="Verdana" w:hAnsi="Verdana"/>
                <w:color w:val="7F7F7F"/>
                <w:sz w:val="22"/>
                <w:szCs w:val="22"/>
                <w:lang w:val="en-US" w:eastAsia="fr-FR"/>
              </w:rPr>
              <w:t>s</w:t>
            </w:r>
            <w:r w:rsidRPr="000D5250">
              <w:rPr>
                <w:rFonts w:ascii="Verdana" w:hAnsi="Verdana"/>
                <w:color w:val="7F7F7F"/>
                <w:sz w:val="22"/>
                <w:szCs w:val="22"/>
                <w:lang w:val="en-US" w:eastAsia="fr-FR"/>
              </w:rPr>
              <w:t xml:space="preserve"> in an overestimation of the diversification </w:t>
            </w:r>
            <w:r>
              <w:rPr>
                <w:rFonts w:ascii="Verdana" w:hAnsi="Verdana"/>
                <w:color w:val="7F7F7F"/>
                <w:sz w:val="22"/>
                <w:szCs w:val="22"/>
                <w:lang w:val="en-US" w:eastAsia="fr-FR"/>
              </w:rPr>
              <w:t>benefits</w:t>
            </w:r>
            <w:r w:rsidRPr="000D5250">
              <w:rPr>
                <w:rFonts w:ascii="Verdana" w:hAnsi="Verdana"/>
                <w:color w:val="7F7F7F"/>
                <w:sz w:val="22"/>
                <w:szCs w:val="22"/>
                <w:lang w:val="en-US" w:eastAsia="fr-FR"/>
              </w:rPr>
              <w:t xml:space="preserve"> and therefore </w:t>
            </w:r>
            <w:r>
              <w:rPr>
                <w:rFonts w:ascii="Verdana" w:hAnsi="Verdana"/>
                <w:color w:val="7F7F7F"/>
                <w:sz w:val="22"/>
                <w:szCs w:val="22"/>
                <w:lang w:val="en-US" w:eastAsia="fr-FR"/>
              </w:rPr>
              <w:t>a lower</w:t>
            </w:r>
            <w:r w:rsidRPr="000D5250">
              <w:rPr>
                <w:rFonts w:ascii="Verdana" w:hAnsi="Verdana"/>
                <w:color w:val="7F7F7F"/>
                <w:sz w:val="22"/>
                <w:szCs w:val="22"/>
                <w:lang w:val="en-US" w:eastAsia="fr-FR"/>
              </w:rPr>
              <w:t xml:space="preserve"> amount of non-available own funds </w:t>
            </w:r>
            <w:r>
              <w:rPr>
                <w:rFonts w:ascii="Verdana" w:hAnsi="Verdana"/>
                <w:color w:val="7F7F7F"/>
                <w:sz w:val="22"/>
                <w:szCs w:val="22"/>
                <w:lang w:val="en-US" w:eastAsia="fr-FR"/>
              </w:rPr>
              <w:t xml:space="preserve">is included </w:t>
            </w:r>
            <w:r w:rsidRPr="000D5250">
              <w:rPr>
                <w:rFonts w:ascii="Verdana" w:hAnsi="Verdana"/>
                <w:color w:val="7F7F7F"/>
                <w:sz w:val="22"/>
                <w:szCs w:val="22"/>
                <w:lang w:val="en-US" w:eastAsia="fr-FR"/>
              </w:rPr>
              <w:t>in the eligible own funds at group</w:t>
            </w:r>
            <w:r>
              <w:rPr>
                <w:rFonts w:ascii="Verdana" w:hAnsi="Verdana"/>
                <w:color w:val="7F7F7F"/>
                <w:sz w:val="22"/>
                <w:szCs w:val="22"/>
                <w:lang w:val="en-US" w:eastAsia="fr-FR"/>
              </w:rPr>
              <w:t xml:space="preserve"> </w:t>
            </w:r>
            <w:r w:rsidRPr="000D5250">
              <w:rPr>
                <w:rFonts w:ascii="Verdana" w:hAnsi="Verdana"/>
                <w:color w:val="7F7F7F"/>
                <w:sz w:val="22"/>
                <w:szCs w:val="22"/>
                <w:lang w:val="en-US" w:eastAsia="fr-FR"/>
              </w:rPr>
              <w:t>level. When including a notional of holding companies this will be increased significantly</w:t>
            </w:r>
            <w:r w:rsidRPr="00673719">
              <w:rPr>
                <w:rFonts w:ascii="Verdana" w:hAnsi="Verdana"/>
                <w:b/>
                <w:bCs/>
                <w:color w:val="7F7F7F"/>
                <w:sz w:val="22"/>
                <w:szCs w:val="22"/>
                <w:lang w:val="en-US" w:eastAsia="fr-FR"/>
              </w:rPr>
              <w:t>.</w:t>
            </w:r>
          </w:p>
        </w:tc>
        <w:tc>
          <w:tcPr>
            <w:tcW w:w="483" w:type="pct"/>
            <w:tcBorders>
              <w:top w:val="single" w:sz="4" w:space="0" w:color="auto"/>
              <w:left w:val="single" w:sz="4" w:space="0" w:color="auto"/>
              <w:bottom w:val="single" w:sz="4" w:space="0" w:color="auto"/>
              <w:right w:val="single" w:sz="4" w:space="0" w:color="auto"/>
            </w:tcBorders>
          </w:tcPr>
          <w:p w14:paraId="7ED695AD"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42C88318"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ACED20F" w14:textId="04277CED"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1B5D7C18" w14:textId="4CB7B622"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336</w:t>
            </w:r>
          </w:p>
        </w:tc>
        <w:tc>
          <w:tcPr>
            <w:tcW w:w="1999" w:type="pct"/>
            <w:tcBorders>
              <w:top w:val="single" w:sz="4" w:space="0" w:color="auto"/>
              <w:left w:val="single" w:sz="4" w:space="0" w:color="auto"/>
              <w:bottom w:val="single" w:sz="4" w:space="0" w:color="auto"/>
              <w:right w:val="single" w:sz="4" w:space="0" w:color="auto"/>
            </w:tcBorders>
            <w:vAlign w:val="bottom"/>
          </w:tcPr>
          <w:p w14:paraId="4F84671A" w14:textId="4FD8BA19" w:rsidR="006F5ECC" w:rsidRPr="009C6F91" w:rsidRDefault="006F5ECC" w:rsidP="00020B14">
            <w:pPr>
              <w:tabs>
                <w:tab w:val="left" w:pos="0"/>
                <w:tab w:val="left" w:pos="4536"/>
              </w:tabs>
              <w:rPr>
                <w:color w:val="7F7F7F" w:themeColor="text1" w:themeTint="80"/>
                <w:sz w:val="20"/>
                <w:szCs w:val="20"/>
                <w:lang w:val="en-US"/>
              </w:rPr>
            </w:pPr>
            <w:r w:rsidRPr="009C6F91">
              <w:rPr>
                <w:rFonts w:ascii="Verdana" w:eastAsia="Verdana" w:hAnsi="Verdana" w:cs="Verdana"/>
                <w:b/>
                <w:bCs/>
                <w:color w:val="7F7F7F" w:themeColor="text1" w:themeTint="80"/>
                <w:sz w:val="22"/>
                <w:szCs w:val="22"/>
                <w:lang w:val="en-US"/>
              </w:rPr>
              <w:t>Policy Issue 4: Availability assessment of specific items of the reconciliation</w:t>
            </w:r>
            <w:r>
              <w:rPr>
                <w:rFonts w:ascii="Verdana" w:eastAsia="Verdana" w:hAnsi="Verdana" w:cs="Verdana"/>
                <w:b/>
                <w:bCs/>
                <w:color w:val="7F7F7F" w:themeColor="text1" w:themeTint="80"/>
                <w:sz w:val="22"/>
                <w:szCs w:val="22"/>
                <w:lang w:val="en-US"/>
              </w:rPr>
              <w:t xml:space="preserve"> </w:t>
            </w:r>
            <w:r w:rsidRPr="009C6F91">
              <w:rPr>
                <w:rFonts w:ascii="Verdana" w:eastAsia="Verdana" w:hAnsi="Verdana" w:cs="Verdana"/>
                <w:b/>
                <w:bCs/>
                <w:color w:val="7F7F7F" w:themeColor="text1" w:themeTint="80"/>
                <w:sz w:val="22"/>
                <w:szCs w:val="22"/>
                <w:lang w:val="en-US"/>
              </w:rPr>
              <w:t>reserve: EPIFP</w:t>
            </w:r>
          </w:p>
          <w:p w14:paraId="6C6E54E5" w14:textId="191A2C20" w:rsidR="006F5ECC" w:rsidRDefault="006F5ECC" w:rsidP="00020B14">
            <w:pPr>
              <w:tabs>
                <w:tab w:val="left" w:pos="0"/>
                <w:tab w:val="left" w:pos="4536"/>
              </w:tabs>
              <w:rPr>
                <w:rFonts w:ascii="Verdana" w:hAnsi="Verdana"/>
                <w:color w:val="7F7F7F"/>
                <w:sz w:val="22"/>
                <w:szCs w:val="22"/>
                <w:lang w:val="en-US" w:eastAsia="fr-FR"/>
              </w:rPr>
            </w:pPr>
            <w:r w:rsidRPr="006F69A6">
              <w:rPr>
                <w:rFonts w:ascii="Verdana" w:hAnsi="Verdana"/>
                <w:color w:val="7F7F7F"/>
                <w:sz w:val="22"/>
                <w:szCs w:val="22"/>
                <w:lang w:val="en-US" w:eastAsia="fr-FR"/>
              </w:rPr>
              <w:t>EPIFP</w:t>
            </w:r>
            <w:r>
              <w:rPr>
                <w:rFonts w:ascii="Verdana" w:hAnsi="Verdana"/>
                <w:color w:val="7F7F7F"/>
                <w:sz w:val="22"/>
                <w:szCs w:val="22"/>
                <w:lang w:val="en-US" w:eastAsia="fr-FR"/>
              </w:rPr>
              <w:t>s</w:t>
            </w:r>
            <w:r w:rsidRPr="006F69A6">
              <w:rPr>
                <w:rFonts w:ascii="Verdana" w:hAnsi="Verdana"/>
                <w:color w:val="7F7F7F"/>
                <w:sz w:val="22"/>
                <w:szCs w:val="22"/>
                <w:lang w:val="en-US" w:eastAsia="fr-FR"/>
              </w:rPr>
              <w:t xml:space="preserve"> are the result of a valuation based on economic principles. The best estimate is calculated based on an exit value notion. This suggest</w:t>
            </w:r>
            <w:r>
              <w:rPr>
                <w:rFonts w:ascii="Verdana" w:hAnsi="Verdana"/>
                <w:color w:val="7F7F7F"/>
                <w:sz w:val="22"/>
                <w:szCs w:val="22"/>
                <w:lang w:val="en-US" w:eastAsia="fr-FR"/>
              </w:rPr>
              <w:t>s</w:t>
            </w:r>
            <w:r w:rsidRPr="006F69A6">
              <w:rPr>
                <w:rFonts w:ascii="Verdana" w:hAnsi="Verdana"/>
                <w:color w:val="7F7F7F"/>
                <w:sz w:val="22"/>
                <w:szCs w:val="22"/>
                <w:lang w:val="en-US" w:eastAsia="fr-FR"/>
              </w:rPr>
              <w:t xml:space="preserve"> that the insurance contracts are transferred to a willing third party. The transfer includes all rights and </w:t>
            </w:r>
            <w:r>
              <w:rPr>
                <w:rFonts w:ascii="Verdana" w:hAnsi="Verdana"/>
                <w:color w:val="7F7F7F"/>
                <w:sz w:val="22"/>
                <w:szCs w:val="22"/>
                <w:lang w:val="en-US" w:eastAsia="fr-FR"/>
              </w:rPr>
              <w:t>obligations</w:t>
            </w:r>
            <w:r w:rsidRPr="006F69A6">
              <w:rPr>
                <w:rFonts w:ascii="Verdana" w:hAnsi="Verdana"/>
                <w:color w:val="7F7F7F"/>
                <w:sz w:val="22"/>
                <w:szCs w:val="22"/>
                <w:lang w:val="en-US" w:eastAsia="fr-FR"/>
              </w:rPr>
              <w:t xml:space="preserve"> between </w:t>
            </w:r>
            <w:r>
              <w:rPr>
                <w:rFonts w:ascii="Verdana" w:hAnsi="Verdana"/>
                <w:color w:val="7F7F7F"/>
                <w:sz w:val="22"/>
                <w:szCs w:val="22"/>
                <w:lang w:val="en-US" w:eastAsia="fr-FR"/>
              </w:rPr>
              <w:t xml:space="preserve">the </w:t>
            </w:r>
            <w:r w:rsidRPr="006F69A6">
              <w:rPr>
                <w:rFonts w:ascii="Verdana" w:hAnsi="Verdana"/>
                <w:color w:val="7F7F7F"/>
                <w:sz w:val="22"/>
                <w:szCs w:val="22"/>
                <w:lang w:val="en-US" w:eastAsia="fr-FR"/>
              </w:rPr>
              <w:t xml:space="preserve">policyholder and </w:t>
            </w:r>
            <w:r>
              <w:rPr>
                <w:rFonts w:ascii="Verdana" w:hAnsi="Verdana"/>
                <w:color w:val="7F7F7F"/>
                <w:sz w:val="22"/>
                <w:szCs w:val="22"/>
                <w:lang w:val="en-US" w:eastAsia="fr-FR"/>
              </w:rPr>
              <w:t xml:space="preserve">the </w:t>
            </w:r>
            <w:r w:rsidRPr="006F69A6">
              <w:rPr>
                <w:rFonts w:ascii="Verdana" w:hAnsi="Verdana"/>
                <w:color w:val="7F7F7F"/>
                <w:sz w:val="22"/>
                <w:szCs w:val="22"/>
                <w:lang w:val="en-US" w:eastAsia="fr-FR"/>
              </w:rPr>
              <w:t xml:space="preserve">insurer. </w:t>
            </w:r>
            <w:r>
              <w:rPr>
                <w:rFonts w:ascii="Verdana" w:hAnsi="Verdana"/>
                <w:color w:val="7F7F7F"/>
                <w:sz w:val="22"/>
                <w:szCs w:val="22"/>
                <w:lang w:val="en-US" w:eastAsia="fr-FR"/>
              </w:rPr>
              <w:t>As a result of the transfer, t</w:t>
            </w:r>
            <w:r w:rsidRPr="006F69A6">
              <w:rPr>
                <w:rFonts w:ascii="Verdana" w:hAnsi="Verdana"/>
                <w:color w:val="7F7F7F"/>
                <w:sz w:val="22"/>
                <w:szCs w:val="22"/>
                <w:lang w:val="en-US" w:eastAsia="fr-FR"/>
              </w:rPr>
              <w:t xml:space="preserve">he third party will also assume the future premiums </w:t>
            </w:r>
            <w:r>
              <w:rPr>
                <w:rFonts w:ascii="Verdana" w:hAnsi="Verdana"/>
                <w:color w:val="7F7F7F"/>
                <w:sz w:val="22"/>
                <w:szCs w:val="22"/>
                <w:lang w:val="en-US" w:eastAsia="fr-FR"/>
              </w:rPr>
              <w:t>included</w:t>
            </w:r>
            <w:r w:rsidRPr="006F69A6">
              <w:rPr>
                <w:rFonts w:ascii="Verdana" w:hAnsi="Verdana"/>
                <w:color w:val="7F7F7F"/>
                <w:sz w:val="22"/>
                <w:szCs w:val="22"/>
                <w:lang w:val="en-US" w:eastAsia="fr-FR"/>
              </w:rPr>
              <w:t xml:space="preserve"> cash flows transferred</w:t>
            </w:r>
            <w:r>
              <w:rPr>
                <w:rFonts w:ascii="Verdana" w:hAnsi="Verdana"/>
                <w:color w:val="7F7F7F"/>
                <w:sz w:val="22"/>
                <w:szCs w:val="22"/>
                <w:lang w:val="en-US" w:eastAsia="fr-FR"/>
              </w:rPr>
              <w:t xml:space="preserve">; </w:t>
            </w:r>
            <w:r w:rsidRPr="006F69A6">
              <w:rPr>
                <w:rFonts w:ascii="Verdana" w:hAnsi="Verdana"/>
                <w:color w:val="7F7F7F"/>
                <w:sz w:val="22"/>
                <w:szCs w:val="22"/>
                <w:lang w:val="en-US" w:eastAsia="fr-FR"/>
              </w:rPr>
              <w:t xml:space="preserve">By a possible sale </w:t>
            </w:r>
            <w:r w:rsidRPr="003F3DB5">
              <w:rPr>
                <w:rFonts w:ascii="Verdana" w:hAnsi="Verdana"/>
                <w:color w:val="7F7F7F"/>
                <w:sz w:val="22"/>
                <w:szCs w:val="22"/>
                <w:lang w:val="en-US" w:eastAsia="fr-FR"/>
              </w:rPr>
              <w:lastRenderedPageBreak/>
              <w:t>of an insurer´s portfolio</w:t>
            </w:r>
            <w:r>
              <w:rPr>
                <w:rFonts w:ascii="Verdana" w:hAnsi="Verdana"/>
                <w:color w:val="7F7F7F"/>
                <w:sz w:val="22"/>
                <w:szCs w:val="22"/>
                <w:lang w:val="en-US" w:eastAsia="fr-FR"/>
              </w:rPr>
              <w:t xml:space="preserve"> the acquirer will receive the EPIFP included in the future cashflows</w:t>
            </w:r>
            <w:r w:rsidRPr="006F69A6">
              <w:rPr>
                <w:rFonts w:ascii="Verdana" w:hAnsi="Verdana"/>
                <w:color w:val="7F7F7F"/>
                <w:sz w:val="22"/>
                <w:szCs w:val="22"/>
                <w:lang w:val="en-US" w:eastAsia="fr-FR"/>
              </w:rPr>
              <w:t>.</w:t>
            </w:r>
          </w:p>
        </w:tc>
        <w:tc>
          <w:tcPr>
            <w:tcW w:w="483" w:type="pct"/>
            <w:tcBorders>
              <w:top w:val="single" w:sz="4" w:space="0" w:color="auto"/>
              <w:left w:val="single" w:sz="4" w:space="0" w:color="auto"/>
              <w:bottom w:val="single" w:sz="4" w:space="0" w:color="auto"/>
              <w:right w:val="single" w:sz="4" w:space="0" w:color="auto"/>
            </w:tcBorders>
          </w:tcPr>
          <w:p w14:paraId="5FBBCD86"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FC5744" w14:paraId="270DEA8F"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0A0C453" w14:textId="2535D2CA" w:rsidR="006F5ECC" w:rsidRPr="009C6F91" w:rsidRDefault="006F5ECC" w:rsidP="00020B14">
            <w:pPr>
              <w:tabs>
                <w:tab w:val="left" w:pos="0"/>
                <w:tab w:val="left" w:pos="4536"/>
              </w:tabs>
              <w:ind w:left="-96"/>
              <w:rPr>
                <w:rFonts w:ascii="Verdana" w:hAnsi="Verdana"/>
                <w:bCs/>
                <w:color w:val="7F7F7F"/>
                <w:sz w:val="22"/>
                <w:szCs w:val="22"/>
                <w:lang w:val="en-GB"/>
              </w:rPr>
            </w:pPr>
            <w:r w:rsidRPr="009C6F91">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1298814B" w14:textId="570F04F0" w:rsidR="006F5ECC" w:rsidRPr="009C6F91" w:rsidRDefault="006F5ECC" w:rsidP="00020B14">
            <w:pPr>
              <w:tabs>
                <w:tab w:val="left" w:pos="0"/>
                <w:tab w:val="left" w:pos="4536"/>
              </w:tabs>
              <w:ind w:left="-96"/>
              <w:rPr>
                <w:rFonts w:ascii="Verdana" w:hAnsi="Verdana"/>
                <w:b/>
                <w:color w:val="7F7F7F" w:themeColor="text1" w:themeTint="80"/>
                <w:sz w:val="22"/>
                <w:szCs w:val="22"/>
                <w:lang w:val="en-US"/>
              </w:rPr>
            </w:pPr>
            <w:r>
              <w:rPr>
                <w:rFonts w:ascii="Verdana" w:hAnsi="Verdana"/>
                <w:b/>
                <w:color w:val="7F7F7F" w:themeColor="text1" w:themeTint="80"/>
                <w:sz w:val="22"/>
                <w:szCs w:val="22"/>
                <w:lang w:val="en-US"/>
              </w:rPr>
              <w:t>Question to stakeholders</w:t>
            </w:r>
          </w:p>
        </w:tc>
        <w:tc>
          <w:tcPr>
            <w:tcW w:w="1999" w:type="pct"/>
            <w:tcBorders>
              <w:top w:val="single" w:sz="4" w:space="0" w:color="auto"/>
              <w:left w:val="single" w:sz="4" w:space="0" w:color="auto"/>
              <w:bottom w:val="single" w:sz="4" w:space="0" w:color="auto"/>
              <w:right w:val="single" w:sz="4" w:space="0" w:color="auto"/>
            </w:tcBorders>
            <w:vAlign w:val="bottom"/>
          </w:tcPr>
          <w:p w14:paraId="6A2730E9" w14:textId="77777777" w:rsidR="006F5ECC" w:rsidRPr="00CB0212" w:rsidRDefault="006F5ECC" w:rsidP="00020B14">
            <w:pPr>
              <w:tabs>
                <w:tab w:val="left" w:pos="0"/>
                <w:tab w:val="left" w:pos="4536"/>
              </w:tabs>
              <w:spacing w:line="238" w:lineRule="auto"/>
              <w:ind w:hanging="565"/>
              <w:jc w:val="both"/>
              <w:rPr>
                <w:rFonts w:ascii="Verdana" w:eastAsia="Verdana" w:hAnsi="Verdana" w:cs="Verdana"/>
                <w:b/>
                <w:bCs/>
                <w:color w:val="7F7F7F" w:themeColor="text1" w:themeTint="80"/>
                <w:sz w:val="22"/>
                <w:szCs w:val="22"/>
                <w:lang w:val="en-US"/>
              </w:rPr>
            </w:pPr>
            <w:r w:rsidRPr="00CB0212">
              <w:rPr>
                <w:rFonts w:ascii="Verdana" w:eastAsia="Verdana" w:hAnsi="Verdana" w:cs="Verdana"/>
                <w:b/>
                <w:bCs/>
                <w:color w:val="7F7F7F" w:themeColor="text1" w:themeTint="80"/>
                <w:sz w:val="22"/>
                <w:szCs w:val="22"/>
                <w:lang w:val="en-US"/>
              </w:rPr>
              <w:t xml:space="preserve">Inclusion of own fund items to cover the contribution of the solo to group SCR </w:t>
            </w:r>
            <w:r w:rsidRPr="0003536E">
              <w:rPr>
                <w:rFonts w:ascii="Verdana" w:eastAsia="Verdana" w:hAnsi="Verdana" w:cs="Verdana"/>
                <w:b/>
                <w:bCs/>
                <w:color w:val="7F7F7F" w:themeColor="text1" w:themeTint="80"/>
                <w:sz w:val="22"/>
                <w:szCs w:val="22"/>
                <w:lang w:val="en-US"/>
              </w:rPr>
              <w:t>(Policy Issue 1)</w:t>
            </w:r>
          </w:p>
          <w:p w14:paraId="7C8C4078" w14:textId="77777777" w:rsidR="006F5ECC" w:rsidRPr="0003536E" w:rsidRDefault="006F5ECC" w:rsidP="00020B14">
            <w:pPr>
              <w:tabs>
                <w:tab w:val="left" w:pos="0"/>
                <w:tab w:val="left" w:pos="4536"/>
              </w:tabs>
              <w:spacing w:line="125" w:lineRule="exact"/>
              <w:rPr>
                <w:color w:val="7F7F7F" w:themeColor="text1" w:themeTint="80"/>
                <w:sz w:val="22"/>
                <w:szCs w:val="22"/>
                <w:lang w:val="en-US"/>
              </w:rPr>
            </w:pPr>
          </w:p>
          <w:p w14:paraId="2B923607" w14:textId="77777777" w:rsidR="006F5ECC" w:rsidRPr="0003536E" w:rsidRDefault="006F5ECC" w:rsidP="00020B14">
            <w:pPr>
              <w:tabs>
                <w:tab w:val="left" w:pos="0"/>
                <w:tab w:val="left" w:pos="4536"/>
              </w:tabs>
              <w:spacing w:line="239" w:lineRule="auto"/>
              <w:ind w:hanging="565"/>
              <w:jc w:val="both"/>
              <w:rPr>
                <w:color w:val="7F7F7F" w:themeColor="text1" w:themeTint="80"/>
                <w:sz w:val="22"/>
                <w:szCs w:val="22"/>
                <w:lang w:val="en-US"/>
              </w:rPr>
            </w:pPr>
            <w:r w:rsidRPr="0003536E">
              <w:rPr>
                <w:rFonts w:ascii="Verdana" w:eastAsia="Verdana" w:hAnsi="Verdana" w:cs="Verdana"/>
                <w:b/>
                <w:bCs/>
                <w:color w:val="7F7F7F" w:themeColor="text1" w:themeTint="80"/>
                <w:sz w:val="22"/>
                <w:szCs w:val="22"/>
                <w:lang w:val="en-US"/>
              </w:rPr>
              <w:t xml:space="preserve">Q9.5: </w:t>
            </w:r>
            <w:r w:rsidRPr="009C6F91">
              <w:rPr>
                <w:rFonts w:ascii="Verdana" w:eastAsia="Verdana" w:hAnsi="Verdana" w:cs="Verdana"/>
                <w:b/>
                <w:bCs/>
                <w:color w:val="7F7F7F" w:themeColor="text1" w:themeTint="80"/>
                <w:sz w:val="22"/>
                <w:szCs w:val="22"/>
                <w:lang w:val="en-US"/>
              </w:rPr>
              <w:t>Taking into account that the availability assessment of own fund at group level is a complex issue, EIOPA would like to request feedback from stakeholders on which possible principle-based rules could be considered to reflect more appropriately the effective amount of available own funds at group level.</w:t>
            </w:r>
          </w:p>
          <w:p w14:paraId="232F7CE4" w14:textId="77777777" w:rsidR="006F5ECC" w:rsidRPr="0003536E" w:rsidRDefault="006F5ECC" w:rsidP="00020B14">
            <w:pPr>
              <w:tabs>
                <w:tab w:val="left" w:pos="0"/>
                <w:tab w:val="left" w:pos="4536"/>
              </w:tabs>
              <w:spacing w:line="123" w:lineRule="exact"/>
              <w:rPr>
                <w:color w:val="7F7F7F" w:themeColor="text1" w:themeTint="80"/>
                <w:sz w:val="22"/>
                <w:szCs w:val="22"/>
                <w:lang w:val="en-US"/>
              </w:rPr>
            </w:pPr>
          </w:p>
          <w:p w14:paraId="6FD70234" w14:textId="77777777" w:rsidR="006F5ECC" w:rsidRPr="0003536E" w:rsidRDefault="006F5ECC" w:rsidP="00020B14">
            <w:pPr>
              <w:tabs>
                <w:tab w:val="left" w:pos="0"/>
                <w:tab w:val="left" w:pos="4536"/>
              </w:tabs>
              <w:spacing w:line="239" w:lineRule="auto"/>
              <w:ind w:hanging="25"/>
              <w:jc w:val="both"/>
              <w:rPr>
                <w:b/>
                <w:bCs/>
                <w:color w:val="7F7F7F" w:themeColor="text1" w:themeTint="80"/>
                <w:sz w:val="22"/>
                <w:szCs w:val="22"/>
                <w:lang w:val="en-US"/>
              </w:rPr>
            </w:pPr>
            <w:r w:rsidRPr="0003536E">
              <w:rPr>
                <w:rFonts w:ascii="Verdana" w:eastAsia="Verdana" w:hAnsi="Verdana" w:cs="Verdana"/>
                <w:b/>
                <w:bCs/>
                <w:color w:val="7F7F7F" w:themeColor="text1" w:themeTint="80"/>
                <w:sz w:val="22"/>
                <w:szCs w:val="22"/>
                <w:lang w:val="en-US"/>
              </w:rPr>
              <w:t>In particular, how could the minimum required quality of own funds, which solo insurers must comply with at all times, be reflected in the availability assessment at group level? (i.e. the question is not querying on the quality of the solo own funds at a given point in time, but how the availability assessment by the group supervisor can take into account the impact of a (potential) transfer of own funds within a group on the composition of solo own funds and on ongoing compliance with solo tiering limits – A</w:t>
            </w:r>
            <w:r w:rsidRPr="0003536E">
              <w:rPr>
                <w:rFonts w:ascii="Verdana" w:eastAsia="Verdana" w:hAnsi="Verdana" w:cs="Verdana"/>
                <w:b/>
                <w:bCs/>
                <w:i/>
                <w:iCs/>
                <w:color w:val="7F7F7F" w:themeColor="text1" w:themeTint="80"/>
                <w:sz w:val="22"/>
                <w:szCs w:val="22"/>
                <w:lang w:val="en-US"/>
              </w:rPr>
              <w:t>s an illustration, please refer to the case presented on</w:t>
            </w:r>
            <w:r w:rsidRPr="0003536E">
              <w:rPr>
                <w:rFonts w:ascii="Verdana" w:eastAsia="Verdana" w:hAnsi="Verdana" w:cs="Verdana"/>
                <w:b/>
                <w:bCs/>
                <w:color w:val="7F7F7F" w:themeColor="text1" w:themeTint="80"/>
                <w:sz w:val="22"/>
                <w:szCs w:val="22"/>
                <w:lang w:val="en-US"/>
              </w:rPr>
              <w:t xml:space="preserve"> </w:t>
            </w:r>
            <w:r w:rsidRPr="0003536E">
              <w:rPr>
                <w:rFonts w:ascii="Verdana" w:eastAsia="Verdana" w:hAnsi="Verdana" w:cs="Verdana"/>
                <w:b/>
                <w:bCs/>
                <w:i/>
                <w:iCs/>
                <w:color w:val="7F7F7F" w:themeColor="text1" w:themeTint="80"/>
                <w:sz w:val="22"/>
                <w:szCs w:val="22"/>
                <w:lang w:val="en-US"/>
              </w:rPr>
              <w:t>the identification of the policy issue, paragraphs 9.325 to 9.327</w:t>
            </w:r>
            <w:r w:rsidRPr="0003536E">
              <w:rPr>
                <w:rFonts w:ascii="Verdana" w:eastAsia="Verdana" w:hAnsi="Verdana" w:cs="Verdana"/>
                <w:b/>
                <w:bCs/>
                <w:color w:val="7F7F7F" w:themeColor="text1" w:themeTint="80"/>
                <w:sz w:val="22"/>
                <w:szCs w:val="22"/>
                <w:lang w:val="en-US"/>
              </w:rPr>
              <w:t>).</w:t>
            </w:r>
          </w:p>
          <w:p w14:paraId="267C7AC1" w14:textId="4D39DBA3" w:rsidR="006F5ECC" w:rsidRPr="00F6309C" w:rsidRDefault="00F6309C" w:rsidP="00020B14">
            <w:pPr>
              <w:tabs>
                <w:tab w:val="left" w:pos="0"/>
                <w:tab w:val="left" w:pos="4536"/>
              </w:tabs>
              <w:spacing w:line="200" w:lineRule="exact"/>
              <w:rPr>
                <w:rFonts w:ascii="Verdana" w:hAnsi="Verdana"/>
                <w:color w:val="7F7F7F" w:themeColor="text1" w:themeTint="80"/>
                <w:sz w:val="22"/>
                <w:szCs w:val="22"/>
                <w:lang w:val="en-US"/>
              </w:rPr>
            </w:pPr>
            <w:r>
              <w:rPr>
                <w:rFonts w:ascii="Verdana" w:hAnsi="Verdana"/>
                <w:color w:val="7F7F7F" w:themeColor="text1" w:themeTint="80"/>
                <w:sz w:val="22"/>
                <w:szCs w:val="22"/>
                <w:lang w:val="en-US"/>
              </w:rPr>
              <w:t>N/A</w:t>
            </w:r>
          </w:p>
          <w:p w14:paraId="7FA4C540" w14:textId="77777777" w:rsidR="006F5ECC" w:rsidRPr="0003536E" w:rsidRDefault="006F5ECC" w:rsidP="00020B14">
            <w:pPr>
              <w:tabs>
                <w:tab w:val="left" w:pos="0"/>
                <w:tab w:val="left" w:pos="4536"/>
              </w:tabs>
              <w:rPr>
                <w:rFonts w:ascii="Verdana" w:eastAsia="Verdana" w:hAnsi="Verdana" w:cs="Verdana"/>
                <w:b/>
                <w:bCs/>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6F30327D" w14:textId="77777777" w:rsidR="006F5ECC" w:rsidRPr="0003536E" w:rsidRDefault="006F5ECC" w:rsidP="00020B14">
            <w:pPr>
              <w:tabs>
                <w:tab w:val="left" w:pos="0"/>
                <w:tab w:val="left" w:pos="4536"/>
              </w:tabs>
              <w:ind w:left="-96"/>
              <w:rPr>
                <w:color w:val="7F7F7F" w:themeColor="text1" w:themeTint="80"/>
                <w:sz w:val="22"/>
                <w:szCs w:val="22"/>
                <w:lang w:val="en-GB" w:eastAsia="fr-FR"/>
              </w:rPr>
            </w:pPr>
          </w:p>
        </w:tc>
      </w:tr>
      <w:tr w:rsidR="00FC5744" w:rsidRPr="001360A5" w14:paraId="5BA2807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76E789D" w14:textId="39736BFA"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2415F61B" w14:textId="6C53C226" w:rsidR="006F5ECC" w:rsidRDefault="006F5ECC" w:rsidP="00020B14">
            <w:pPr>
              <w:tabs>
                <w:tab w:val="left" w:pos="0"/>
                <w:tab w:val="left" w:pos="4536"/>
              </w:tabs>
              <w:ind w:left="-96"/>
              <w:rPr>
                <w:rFonts w:ascii="Verdana" w:hAnsi="Verdana"/>
                <w:color w:val="7F7F7F"/>
                <w:sz w:val="22"/>
                <w:szCs w:val="22"/>
                <w:lang w:val="en-US"/>
              </w:rPr>
            </w:pPr>
            <w:r w:rsidRPr="000D5250">
              <w:rPr>
                <w:rFonts w:ascii="Verdana" w:hAnsi="Verdana"/>
                <w:b/>
                <w:color w:val="7F7F7F"/>
                <w:sz w:val="22"/>
                <w:szCs w:val="22"/>
                <w:lang w:val="en-US"/>
              </w:rPr>
              <w:t>Question to stakeholders</w:t>
            </w:r>
          </w:p>
        </w:tc>
        <w:tc>
          <w:tcPr>
            <w:tcW w:w="1999" w:type="pct"/>
            <w:tcBorders>
              <w:top w:val="single" w:sz="4" w:space="0" w:color="auto"/>
              <w:left w:val="single" w:sz="4" w:space="0" w:color="auto"/>
              <w:bottom w:val="single" w:sz="4" w:space="0" w:color="auto"/>
              <w:right w:val="single" w:sz="4" w:space="0" w:color="auto"/>
            </w:tcBorders>
            <w:vAlign w:val="bottom"/>
          </w:tcPr>
          <w:p w14:paraId="782254AD" w14:textId="77777777" w:rsidR="006F5ECC" w:rsidRPr="00F0251A" w:rsidRDefault="006F5ECC" w:rsidP="00020B14">
            <w:pPr>
              <w:tabs>
                <w:tab w:val="left" w:pos="0"/>
                <w:tab w:val="left" w:pos="4536"/>
              </w:tabs>
              <w:rPr>
                <w:color w:val="7F7F7F" w:themeColor="text1" w:themeTint="80"/>
                <w:sz w:val="22"/>
                <w:szCs w:val="22"/>
                <w:lang w:val="en-US"/>
              </w:rPr>
            </w:pPr>
            <w:r w:rsidRPr="00F0251A">
              <w:rPr>
                <w:rFonts w:ascii="Verdana" w:eastAsia="Verdana" w:hAnsi="Verdana" w:cs="Verdana"/>
                <w:b/>
                <w:bCs/>
                <w:color w:val="7F7F7F" w:themeColor="text1" w:themeTint="80"/>
                <w:sz w:val="22"/>
                <w:szCs w:val="22"/>
                <w:lang w:val="en-US"/>
              </w:rPr>
              <w:t>Availability assessment at group level and EPIFPs (Policy Issue 4)</w:t>
            </w:r>
          </w:p>
          <w:p w14:paraId="58175D6B" w14:textId="77777777" w:rsidR="006F5ECC" w:rsidRPr="00F0251A" w:rsidRDefault="006F5ECC" w:rsidP="00020B14">
            <w:pPr>
              <w:tabs>
                <w:tab w:val="left" w:pos="0"/>
                <w:tab w:val="left" w:pos="4536"/>
              </w:tabs>
              <w:spacing w:line="120" w:lineRule="exact"/>
              <w:rPr>
                <w:color w:val="7F7F7F" w:themeColor="text1" w:themeTint="80"/>
                <w:sz w:val="22"/>
                <w:szCs w:val="22"/>
                <w:lang w:val="en-US"/>
              </w:rPr>
            </w:pPr>
          </w:p>
          <w:p w14:paraId="1367B35B" w14:textId="77777777" w:rsidR="006F5ECC" w:rsidRPr="008F70F8" w:rsidRDefault="006F5ECC" w:rsidP="00020B14">
            <w:pPr>
              <w:tabs>
                <w:tab w:val="left" w:pos="0"/>
                <w:tab w:val="left" w:pos="4536"/>
              </w:tabs>
              <w:rPr>
                <w:b/>
                <w:bCs/>
                <w:color w:val="7F7F7F" w:themeColor="text1" w:themeTint="80"/>
                <w:sz w:val="22"/>
                <w:szCs w:val="22"/>
                <w:lang w:val="en-US"/>
              </w:rPr>
            </w:pPr>
            <w:r w:rsidRPr="00F0251A">
              <w:rPr>
                <w:rFonts w:ascii="Verdana" w:eastAsia="Verdana" w:hAnsi="Verdana" w:cs="Verdana"/>
                <w:b/>
                <w:bCs/>
                <w:color w:val="7F7F7F" w:themeColor="text1" w:themeTint="80"/>
                <w:sz w:val="22"/>
                <w:szCs w:val="22"/>
                <w:lang w:val="en-US"/>
              </w:rPr>
              <w:t xml:space="preserve">Q9.6: </w:t>
            </w:r>
            <w:r w:rsidRPr="008F70F8">
              <w:rPr>
                <w:rFonts w:ascii="Verdana" w:eastAsia="Verdana" w:hAnsi="Verdana" w:cs="Verdana"/>
                <w:b/>
                <w:bCs/>
                <w:color w:val="7F7F7F" w:themeColor="text1" w:themeTint="80"/>
                <w:sz w:val="22"/>
                <w:szCs w:val="22"/>
                <w:lang w:val="en-US"/>
              </w:rPr>
              <w:t>Which methods/tools would be possibly used to make own funds available within</w:t>
            </w:r>
          </w:p>
          <w:p w14:paraId="0C58699A" w14:textId="77777777" w:rsidR="006F5ECC" w:rsidRPr="008F70F8" w:rsidRDefault="006F5ECC" w:rsidP="00020B14">
            <w:pPr>
              <w:tabs>
                <w:tab w:val="left" w:pos="0"/>
                <w:tab w:val="left" w:pos="4536"/>
              </w:tabs>
              <w:spacing w:line="12" w:lineRule="exact"/>
              <w:rPr>
                <w:b/>
                <w:bCs/>
                <w:color w:val="7F7F7F" w:themeColor="text1" w:themeTint="80"/>
                <w:sz w:val="22"/>
                <w:szCs w:val="22"/>
                <w:lang w:val="en-US"/>
              </w:rPr>
            </w:pPr>
          </w:p>
          <w:p w14:paraId="36D7ED9F" w14:textId="77777777" w:rsidR="006F5ECC" w:rsidRPr="008F70F8" w:rsidRDefault="006F5ECC" w:rsidP="00020B14">
            <w:pPr>
              <w:tabs>
                <w:tab w:val="left" w:pos="0"/>
                <w:tab w:val="left" w:pos="4536"/>
              </w:tabs>
              <w:spacing w:before="120" w:after="120"/>
              <w:rPr>
                <w:b/>
                <w:bCs/>
                <w:color w:val="7F7F7F" w:themeColor="text1" w:themeTint="80"/>
                <w:sz w:val="22"/>
                <w:szCs w:val="22"/>
                <w:lang w:val="en-US"/>
              </w:rPr>
            </w:pPr>
            <w:r w:rsidRPr="008F70F8">
              <w:rPr>
                <w:rFonts w:ascii="Verdana" w:eastAsia="Verdana" w:hAnsi="Verdana" w:cs="Verdana"/>
                <w:b/>
                <w:bCs/>
                <w:color w:val="7F7F7F" w:themeColor="text1" w:themeTint="80"/>
                <w:sz w:val="22"/>
                <w:szCs w:val="22"/>
                <w:lang w:val="en-US"/>
              </w:rPr>
              <w:t>9 months from one undertaking to another when large amounts of EPIFP exist?</w:t>
            </w:r>
          </w:p>
          <w:p w14:paraId="6F1F12D6" w14:textId="56DE47EC" w:rsidR="006F5ECC" w:rsidRPr="00F0251A" w:rsidRDefault="006F5ECC" w:rsidP="00020B14">
            <w:pPr>
              <w:tabs>
                <w:tab w:val="left" w:pos="0"/>
                <w:tab w:val="left" w:pos="4536"/>
              </w:tabs>
              <w:spacing w:after="120"/>
              <w:jc w:val="both"/>
              <w:rPr>
                <w:color w:val="7F7F7F" w:themeColor="text1" w:themeTint="80"/>
                <w:sz w:val="22"/>
                <w:szCs w:val="22"/>
                <w:lang w:val="en-US"/>
              </w:rPr>
            </w:pPr>
            <w:r w:rsidRPr="00F0251A">
              <w:rPr>
                <w:rFonts w:ascii="Verdana" w:eastAsia="Verdana" w:hAnsi="Verdana" w:cs="Verdana"/>
                <w:color w:val="7F7F7F" w:themeColor="text1" w:themeTint="80"/>
                <w:sz w:val="22"/>
                <w:szCs w:val="22"/>
                <w:lang w:val="en-US"/>
              </w:rPr>
              <w:lastRenderedPageBreak/>
              <w:t>EIOPA considers that certain elements of the reconciliation reserve can be considered as available to cover future losses but that it is neither obvious nor easily proved that they can be transferred within 9 months to absorb losses in another undertaking belonging to the group.</w:t>
            </w:r>
          </w:p>
          <w:p w14:paraId="798F1FD4" w14:textId="6E63D98D" w:rsidR="006F5ECC" w:rsidRDefault="006F5ECC" w:rsidP="00020B14">
            <w:pPr>
              <w:tabs>
                <w:tab w:val="left" w:pos="0"/>
                <w:tab w:val="left" w:pos="4536"/>
              </w:tabs>
              <w:rPr>
                <w:rFonts w:ascii="Verdana" w:hAnsi="Verdana"/>
                <w:color w:val="7F7F7F"/>
                <w:sz w:val="22"/>
                <w:szCs w:val="22"/>
                <w:lang w:val="en-US" w:eastAsia="fr-FR"/>
              </w:rPr>
            </w:pPr>
            <w:r w:rsidRPr="00A240EA">
              <w:rPr>
                <w:rFonts w:ascii="Verdana" w:hAnsi="Verdana"/>
                <w:color w:val="7F7F7F"/>
                <w:sz w:val="22"/>
                <w:szCs w:val="22"/>
                <w:lang w:val="en-US" w:eastAsia="fr-FR"/>
              </w:rPr>
              <w:t xml:space="preserve">The issue mentioned by EIOPA does not only </w:t>
            </w:r>
            <w:r>
              <w:rPr>
                <w:rFonts w:ascii="Verdana" w:hAnsi="Verdana"/>
                <w:color w:val="7F7F7F"/>
                <w:sz w:val="22"/>
                <w:szCs w:val="22"/>
                <w:lang w:val="en-US" w:eastAsia="fr-FR"/>
              </w:rPr>
              <w:t xml:space="preserve">not </w:t>
            </w:r>
            <w:r w:rsidRPr="00A240EA">
              <w:rPr>
                <w:rFonts w:ascii="Verdana" w:hAnsi="Verdana"/>
                <w:color w:val="7F7F7F"/>
                <w:sz w:val="22"/>
                <w:szCs w:val="22"/>
                <w:lang w:val="en-US" w:eastAsia="fr-FR"/>
              </w:rPr>
              <w:t xml:space="preserve">exist for the assumption of the EPIFP but also for all other elements when determining the best estimate of the insurance liabilities. The calculation of the </w:t>
            </w:r>
            <w:r>
              <w:rPr>
                <w:rFonts w:ascii="Verdana" w:hAnsi="Verdana"/>
                <w:color w:val="7F7F7F"/>
                <w:sz w:val="22"/>
                <w:szCs w:val="22"/>
                <w:lang w:val="en-US" w:eastAsia="fr-FR"/>
              </w:rPr>
              <w:t>r</w:t>
            </w:r>
            <w:r w:rsidRPr="00A240EA">
              <w:rPr>
                <w:rFonts w:ascii="Verdana" w:hAnsi="Verdana"/>
                <w:color w:val="7F7F7F"/>
                <w:sz w:val="22"/>
                <w:szCs w:val="22"/>
                <w:lang w:val="en-US" w:eastAsia="fr-FR"/>
              </w:rPr>
              <w:t xml:space="preserve">isk </w:t>
            </w:r>
            <w:r>
              <w:rPr>
                <w:rFonts w:ascii="Verdana" w:hAnsi="Verdana"/>
                <w:color w:val="7F7F7F"/>
                <w:sz w:val="22"/>
                <w:szCs w:val="22"/>
                <w:lang w:val="en-US" w:eastAsia="fr-FR"/>
              </w:rPr>
              <w:t>m</w:t>
            </w:r>
            <w:r w:rsidRPr="00A240EA">
              <w:rPr>
                <w:rFonts w:ascii="Verdana" w:hAnsi="Verdana"/>
                <w:color w:val="7F7F7F"/>
                <w:sz w:val="22"/>
                <w:szCs w:val="22"/>
                <w:lang w:val="en-US" w:eastAsia="fr-FR"/>
              </w:rPr>
              <w:t xml:space="preserve">argin is also based on the direct </w:t>
            </w:r>
            <w:r>
              <w:rPr>
                <w:rFonts w:ascii="Verdana" w:hAnsi="Verdana"/>
                <w:color w:val="7F7F7F"/>
                <w:sz w:val="22"/>
                <w:szCs w:val="22"/>
                <w:lang w:val="en-US" w:eastAsia="fr-FR"/>
              </w:rPr>
              <w:t>transfer</w:t>
            </w:r>
            <w:r w:rsidRPr="00A240EA">
              <w:rPr>
                <w:rFonts w:ascii="Verdana" w:hAnsi="Verdana"/>
                <w:color w:val="7F7F7F"/>
                <w:sz w:val="22"/>
                <w:szCs w:val="22"/>
                <w:lang w:val="en-US" w:eastAsia="fr-FR"/>
              </w:rPr>
              <w:t xml:space="preserve"> to a reference undertaking.</w:t>
            </w:r>
          </w:p>
        </w:tc>
        <w:tc>
          <w:tcPr>
            <w:tcW w:w="483" w:type="pct"/>
            <w:tcBorders>
              <w:top w:val="single" w:sz="4" w:space="0" w:color="auto"/>
              <w:left w:val="single" w:sz="4" w:space="0" w:color="auto"/>
              <w:bottom w:val="single" w:sz="4" w:space="0" w:color="auto"/>
              <w:right w:val="single" w:sz="4" w:space="0" w:color="auto"/>
            </w:tcBorders>
          </w:tcPr>
          <w:p w14:paraId="02C506CC"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1049706A"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0CED864" w14:textId="67B6B18C"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1A502E53" w14:textId="78F0B26B"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347</w:t>
            </w:r>
          </w:p>
        </w:tc>
        <w:tc>
          <w:tcPr>
            <w:tcW w:w="1999" w:type="pct"/>
            <w:tcBorders>
              <w:top w:val="single" w:sz="4" w:space="0" w:color="auto"/>
              <w:left w:val="single" w:sz="4" w:space="0" w:color="auto"/>
              <w:bottom w:val="single" w:sz="4" w:space="0" w:color="auto"/>
              <w:right w:val="single" w:sz="4" w:space="0" w:color="auto"/>
            </w:tcBorders>
            <w:vAlign w:val="center"/>
          </w:tcPr>
          <w:p w14:paraId="4E99C806" w14:textId="77777777" w:rsidR="006F5ECC" w:rsidRPr="00B73806" w:rsidRDefault="006F5ECC" w:rsidP="00020B14">
            <w:pPr>
              <w:tabs>
                <w:tab w:val="left" w:pos="0"/>
                <w:tab w:val="left" w:pos="4536"/>
              </w:tabs>
              <w:spacing w:line="239" w:lineRule="auto"/>
              <w:rPr>
                <w:b/>
                <w:bCs/>
                <w:color w:val="7F7F7F" w:themeColor="text1" w:themeTint="80"/>
                <w:sz w:val="22"/>
                <w:szCs w:val="22"/>
                <w:lang w:val="en-US"/>
              </w:rPr>
            </w:pPr>
            <w:r w:rsidRPr="00B73806">
              <w:rPr>
                <w:rFonts w:ascii="Verdana" w:eastAsia="Verdana" w:hAnsi="Verdana" w:cs="Verdana"/>
                <w:b/>
                <w:bCs/>
                <w:color w:val="7F7F7F" w:themeColor="text1" w:themeTint="80"/>
                <w:sz w:val="22"/>
                <w:szCs w:val="22"/>
                <w:u w:val="single"/>
                <w:lang w:val="en-US"/>
              </w:rPr>
              <w:t>Inconsistency between Article 330(5) of the Delegated Regulation and Article 222(4) of the Solvency II Directive</w:t>
            </w:r>
          </w:p>
          <w:p w14:paraId="110DF043" w14:textId="7C875F1A" w:rsidR="006F5ECC" w:rsidRPr="00121735" w:rsidRDefault="006F5ECC" w:rsidP="00020B14">
            <w:pPr>
              <w:tabs>
                <w:tab w:val="left" w:pos="0"/>
                <w:tab w:val="left" w:pos="4536"/>
              </w:tabs>
              <w:rPr>
                <w:rFonts w:ascii="Verdana" w:hAnsi="Verdana"/>
                <w:color w:val="7F7F7F" w:themeColor="text1" w:themeTint="80"/>
                <w:sz w:val="22"/>
                <w:szCs w:val="22"/>
                <w:lang w:val="en-US" w:eastAsia="fr-FR"/>
              </w:rPr>
            </w:pPr>
            <w:r w:rsidRPr="00121735">
              <w:rPr>
                <w:rFonts w:ascii="Verdana" w:hAnsi="Verdana"/>
                <w:color w:val="7F7F7F" w:themeColor="text1" w:themeTint="80"/>
                <w:sz w:val="22"/>
                <w:szCs w:val="22"/>
                <w:lang w:val="en-US"/>
              </w:rPr>
              <w:t xml:space="preserve">EIOPA should ask </w:t>
            </w:r>
            <w:r>
              <w:rPr>
                <w:rFonts w:ascii="Verdana" w:hAnsi="Verdana"/>
                <w:color w:val="7F7F7F" w:themeColor="text1" w:themeTint="80"/>
                <w:sz w:val="22"/>
                <w:szCs w:val="22"/>
                <w:lang w:val="en-US"/>
              </w:rPr>
              <w:t xml:space="preserve">first </w:t>
            </w:r>
            <w:r w:rsidRPr="00121735">
              <w:rPr>
                <w:rFonts w:ascii="Verdana" w:hAnsi="Verdana"/>
                <w:color w:val="7F7F7F" w:themeColor="text1" w:themeTint="80"/>
                <w:sz w:val="22"/>
                <w:szCs w:val="22"/>
                <w:lang w:val="en-US"/>
              </w:rPr>
              <w:t xml:space="preserve">the NSAs how this is </w:t>
            </w:r>
            <w:r>
              <w:rPr>
                <w:rFonts w:ascii="Verdana" w:hAnsi="Verdana"/>
                <w:color w:val="7F7F7F" w:themeColor="text1" w:themeTint="80"/>
                <w:sz w:val="22"/>
                <w:szCs w:val="22"/>
                <w:lang w:val="en-US"/>
              </w:rPr>
              <w:t xml:space="preserve">being </w:t>
            </w:r>
            <w:r w:rsidRPr="00121735">
              <w:rPr>
                <w:rFonts w:ascii="Verdana" w:hAnsi="Verdana"/>
                <w:color w:val="7F7F7F" w:themeColor="text1" w:themeTint="80"/>
                <w:sz w:val="22"/>
                <w:szCs w:val="22"/>
                <w:lang w:val="en-US"/>
              </w:rPr>
              <w:t>done in practice</w:t>
            </w:r>
            <w:r>
              <w:rPr>
                <w:rFonts w:ascii="Verdana" w:hAnsi="Verdana"/>
                <w:color w:val="7F7F7F" w:themeColor="text1" w:themeTint="80"/>
                <w:sz w:val="22"/>
                <w:szCs w:val="22"/>
                <w:lang w:val="en-US"/>
              </w:rPr>
              <w:t xml:space="preserve">. Only then it can be concluded </w:t>
            </w:r>
            <w:r w:rsidRPr="00121735">
              <w:rPr>
                <w:rFonts w:ascii="Verdana" w:hAnsi="Verdana"/>
                <w:color w:val="7F7F7F" w:themeColor="text1" w:themeTint="80"/>
                <w:sz w:val="22"/>
                <w:szCs w:val="22"/>
                <w:lang w:val="en-US"/>
              </w:rPr>
              <w:t>whether this as an issue</w:t>
            </w:r>
            <w:r>
              <w:rPr>
                <w:rFonts w:ascii="Verdana" w:hAnsi="Verdana"/>
                <w:color w:val="7F7F7F" w:themeColor="text1" w:themeTint="80"/>
                <w:sz w:val="22"/>
                <w:szCs w:val="22"/>
                <w:lang w:val="en-US"/>
              </w:rPr>
              <w:t xml:space="preserve"> or not</w:t>
            </w:r>
            <w:r w:rsidRPr="00121735">
              <w:rPr>
                <w:rFonts w:ascii="Verdana" w:hAnsi="Verdana"/>
                <w:color w:val="7F7F7F" w:themeColor="text1" w:themeTint="80"/>
                <w:sz w:val="22"/>
                <w:szCs w:val="22"/>
                <w:lang w:val="en-US"/>
              </w:rPr>
              <w:t>.</w:t>
            </w:r>
          </w:p>
        </w:tc>
        <w:tc>
          <w:tcPr>
            <w:tcW w:w="483" w:type="pct"/>
            <w:tcBorders>
              <w:top w:val="single" w:sz="4" w:space="0" w:color="auto"/>
              <w:left w:val="single" w:sz="4" w:space="0" w:color="auto"/>
              <w:bottom w:val="single" w:sz="4" w:space="0" w:color="auto"/>
              <w:right w:val="single" w:sz="4" w:space="0" w:color="auto"/>
            </w:tcBorders>
          </w:tcPr>
          <w:p w14:paraId="5EC6EB9B"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6AC1C2A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C6A5F3B" w14:textId="66C648BC"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47D45AA3" w14:textId="68F0AA4E"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357</w:t>
            </w:r>
          </w:p>
        </w:tc>
        <w:tc>
          <w:tcPr>
            <w:tcW w:w="1999" w:type="pct"/>
            <w:tcBorders>
              <w:top w:val="single" w:sz="4" w:space="0" w:color="auto"/>
              <w:left w:val="single" w:sz="4" w:space="0" w:color="auto"/>
              <w:bottom w:val="single" w:sz="4" w:space="0" w:color="auto"/>
              <w:right w:val="single" w:sz="4" w:space="0" w:color="auto"/>
            </w:tcBorders>
            <w:vAlign w:val="center"/>
          </w:tcPr>
          <w:p w14:paraId="697790A4" w14:textId="42E39AA2" w:rsidR="006F5ECC" w:rsidRPr="00B0081A" w:rsidRDefault="006F5ECC" w:rsidP="00020B14">
            <w:pPr>
              <w:tabs>
                <w:tab w:val="left" w:pos="0"/>
                <w:tab w:val="left" w:pos="4536"/>
              </w:tabs>
              <w:spacing w:line="238" w:lineRule="auto"/>
              <w:jc w:val="both"/>
              <w:rPr>
                <w:color w:val="7F7F7F" w:themeColor="text1" w:themeTint="80"/>
                <w:sz w:val="22"/>
                <w:szCs w:val="22"/>
                <w:lang w:val="en-US"/>
              </w:rPr>
            </w:pPr>
            <w:r w:rsidRPr="00B06B08">
              <w:rPr>
                <w:rFonts w:ascii="Verdana" w:eastAsia="Verdana" w:hAnsi="Verdana" w:cs="Verdana"/>
                <w:b/>
                <w:bCs/>
                <w:color w:val="7F7F7F" w:themeColor="text1" w:themeTint="80"/>
                <w:sz w:val="22"/>
                <w:szCs w:val="22"/>
                <w:lang w:val="en-US"/>
              </w:rPr>
              <w:t>EIOPA’s Advice on Policy Issue 1- Inclusion of own fund items to cover the solo contribution to</w:t>
            </w:r>
            <w:r w:rsidRPr="00B0081A">
              <w:rPr>
                <w:rFonts w:ascii="Verdana" w:eastAsia="Verdana" w:hAnsi="Verdana" w:cs="Verdana"/>
                <w:b/>
                <w:bCs/>
                <w:color w:val="7F7F7F" w:themeColor="text1" w:themeTint="80"/>
                <w:sz w:val="22"/>
                <w:szCs w:val="22"/>
                <w:shd w:val="clear" w:color="auto" w:fill="D0E7F6"/>
                <w:lang w:val="en-US"/>
              </w:rPr>
              <w:t xml:space="preserve"> </w:t>
            </w:r>
            <w:r w:rsidRPr="00B0081A">
              <w:rPr>
                <w:rFonts w:ascii="Verdana" w:eastAsia="Verdana" w:hAnsi="Verdana" w:cs="Verdana"/>
                <w:b/>
                <w:bCs/>
                <w:color w:val="7F7F7F" w:themeColor="text1" w:themeTint="80"/>
                <w:sz w:val="22"/>
                <w:szCs w:val="22"/>
                <w:lang w:val="en-US"/>
              </w:rPr>
              <w:t>group SCR (Article 330(5) of the Delegated Regulation)</w:t>
            </w:r>
          </w:p>
          <w:p w14:paraId="38A5F0F6" w14:textId="05F27978" w:rsidR="006F5ECC" w:rsidRPr="00B0081A" w:rsidRDefault="006F5ECC" w:rsidP="00020B14">
            <w:pPr>
              <w:tabs>
                <w:tab w:val="left" w:pos="0"/>
                <w:tab w:val="left" w:pos="4536"/>
              </w:tabs>
              <w:spacing w:line="238" w:lineRule="auto"/>
              <w:jc w:val="both"/>
              <w:rPr>
                <w:rFonts w:ascii="Verdana" w:hAnsi="Verdana"/>
                <w:color w:val="7F7F7F" w:themeColor="text1" w:themeTint="80"/>
                <w:sz w:val="22"/>
                <w:szCs w:val="22"/>
                <w:lang w:val="en-US" w:eastAsia="fr-FR"/>
              </w:rPr>
            </w:pPr>
            <w:r w:rsidRPr="00B0081A">
              <w:rPr>
                <w:rFonts w:ascii="Verdana" w:hAnsi="Verdana"/>
                <w:color w:val="7F7F7F" w:themeColor="text1" w:themeTint="80"/>
                <w:sz w:val="22"/>
                <w:szCs w:val="22"/>
                <w:lang w:val="en-US"/>
              </w:rPr>
              <w:t>We agree with the proposal made by EIOPA not to include any change to the availability assessment under article 330(5) of the Delegated Regulation.</w:t>
            </w:r>
          </w:p>
        </w:tc>
        <w:tc>
          <w:tcPr>
            <w:tcW w:w="483" w:type="pct"/>
            <w:tcBorders>
              <w:top w:val="single" w:sz="4" w:space="0" w:color="auto"/>
              <w:left w:val="single" w:sz="4" w:space="0" w:color="auto"/>
              <w:bottom w:val="single" w:sz="4" w:space="0" w:color="auto"/>
              <w:right w:val="single" w:sz="4" w:space="0" w:color="auto"/>
            </w:tcBorders>
          </w:tcPr>
          <w:p w14:paraId="5119EDB9"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51CBF9EF"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65632FA" w14:textId="5FE13E52" w:rsidR="006F5ECC" w:rsidRPr="00B0081A" w:rsidRDefault="006F5ECC" w:rsidP="00020B14">
            <w:pPr>
              <w:tabs>
                <w:tab w:val="left" w:pos="0"/>
                <w:tab w:val="left" w:pos="4536"/>
              </w:tabs>
              <w:ind w:left="-96"/>
              <w:rPr>
                <w:rFonts w:ascii="Verdana" w:hAnsi="Verdana"/>
                <w:bCs/>
                <w:color w:val="7F7F7F" w:themeColor="text1" w:themeTint="80"/>
                <w:sz w:val="22"/>
                <w:szCs w:val="22"/>
                <w:lang w:val="en-GB"/>
              </w:rPr>
            </w:pPr>
            <w:r w:rsidRPr="00B0081A">
              <w:rPr>
                <w:rFonts w:ascii="Verdana" w:hAnsi="Verdana"/>
                <w:bCs/>
                <w:color w:val="7F7F7F" w:themeColor="text1" w:themeTint="80"/>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53EE6946" w14:textId="20C2AEC0"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358</w:t>
            </w:r>
          </w:p>
        </w:tc>
        <w:tc>
          <w:tcPr>
            <w:tcW w:w="1999" w:type="pct"/>
            <w:tcBorders>
              <w:top w:val="single" w:sz="4" w:space="0" w:color="auto"/>
              <w:left w:val="single" w:sz="4" w:space="0" w:color="auto"/>
              <w:bottom w:val="single" w:sz="4" w:space="0" w:color="auto"/>
              <w:right w:val="single" w:sz="4" w:space="0" w:color="auto"/>
            </w:tcBorders>
            <w:vAlign w:val="center"/>
          </w:tcPr>
          <w:p w14:paraId="24861A17" w14:textId="01C5FCD9" w:rsidR="006F5ECC" w:rsidRPr="00B0081A" w:rsidRDefault="006F5ECC" w:rsidP="00020B14">
            <w:pPr>
              <w:tabs>
                <w:tab w:val="left" w:pos="0"/>
                <w:tab w:val="left" w:pos="4536"/>
              </w:tabs>
              <w:rPr>
                <w:color w:val="7F7F7F" w:themeColor="text1" w:themeTint="80"/>
                <w:sz w:val="22"/>
                <w:szCs w:val="22"/>
                <w:lang w:val="en-US"/>
              </w:rPr>
            </w:pPr>
            <w:r w:rsidRPr="00B0081A">
              <w:rPr>
                <w:rFonts w:ascii="Verdana" w:eastAsia="Verdana" w:hAnsi="Verdana" w:cs="Verdana"/>
                <w:b/>
                <w:bCs/>
                <w:color w:val="7F7F7F" w:themeColor="text1" w:themeTint="80"/>
                <w:sz w:val="22"/>
                <w:szCs w:val="22"/>
                <w:lang w:val="en-US"/>
              </w:rPr>
              <w:t xml:space="preserve">EIOPA’s Advice: Policy Issue 2 </w:t>
            </w:r>
            <w:r w:rsidRPr="00B0081A">
              <w:rPr>
                <w:rFonts w:ascii="Calibri" w:eastAsia="Calibri" w:hAnsi="Calibri" w:cs="Calibri"/>
                <w:color w:val="7F7F7F" w:themeColor="text1" w:themeTint="80"/>
                <w:sz w:val="22"/>
                <w:szCs w:val="22"/>
                <w:lang w:val="en-US"/>
              </w:rPr>
              <w:t>-</w:t>
            </w:r>
            <w:r w:rsidRPr="00B0081A">
              <w:rPr>
                <w:rFonts w:ascii="Verdana" w:eastAsia="Verdana" w:hAnsi="Verdana" w:cs="Verdana"/>
                <w:b/>
                <w:bCs/>
                <w:color w:val="7F7F7F" w:themeColor="text1" w:themeTint="80"/>
                <w:sz w:val="22"/>
                <w:szCs w:val="22"/>
                <w:lang w:val="en-US"/>
              </w:rPr>
              <w:t>The formula for calculating of the contribution to group SCR</w:t>
            </w:r>
          </w:p>
          <w:p w14:paraId="6BF24926" w14:textId="2B1E61DD" w:rsidR="006F5ECC" w:rsidRPr="00B0081A" w:rsidRDefault="006F5ECC" w:rsidP="00020B14">
            <w:pPr>
              <w:tabs>
                <w:tab w:val="left" w:pos="0"/>
                <w:tab w:val="left" w:pos="4536"/>
              </w:tabs>
              <w:jc w:val="both"/>
              <w:rPr>
                <w:rFonts w:ascii="Verdana" w:hAnsi="Verdana"/>
                <w:color w:val="7F7F7F" w:themeColor="text1" w:themeTint="80"/>
                <w:sz w:val="22"/>
                <w:szCs w:val="22"/>
                <w:lang w:val="en-US"/>
              </w:rPr>
            </w:pPr>
            <w:r w:rsidRPr="00B0081A">
              <w:rPr>
                <w:rFonts w:ascii="Verdana" w:hAnsi="Verdana"/>
                <w:color w:val="7F7F7F" w:themeColor="text1" w:themeTint="80"/>
                <w:sz w:val="22"/>
                <w:szCs w:val="22"/>
                <w:lang w:val="en-US"/>
              </w:rPr>
              <w:t>EIOPA advices to clarify the inclusion of the undertakings to be taken into account in the calculation of the contribution to the group SCR for the purpose of the availability assessment according to Article 330 of the Delegated Regulation.</w:t>
            </w:r>
          </w:p>
          <w:p w14:paraId="7C499511" w14:textId="49572A32" w:rsidR="006F5ECC" w:rsidRPr="00B0081A" w:rsidRDefault="006F5ECC" w:rsidP="00020B14">
            <w:pPr>
              <w:tabs>
                <w:tab w:val="left" w:pos="0"/>
                <w:tab w:val="left" w:pos="4536"/>
              </w:tabs>
              <w:rPr>
                <w:rFonts w:ascii="Verdana" w:hAnsi="Verdana"/>
                <w:color w:val="7F7F7F" w:themeColor="text1" w:themeTint="80"/>
                <w:sz w:val="22"/>
                <w:szCs w:val="22"/>
                <w:lang w:val="en-US" w:eastAsia="fr-FR"/>
              </w:rPr>
            </w:pPr>
            <w:r w:rsidRPr="00B0081A">
              <w:rPr>
                <w:rFonts w:ascii="Verdana" w:hAnsi="Verdana"/>
                <w:color w:val="7F7F7F" w:themeColor="text1" w:themeTint="80"/>
                <w:sz w:val="22"/>
                <w:szCs w:val="22"/>
                <w:lang w:val="en-US"/>
              </w:rPr>
              <w:t>In our view, EIOPA should also revisit the treatment of IGTs in this calculation esp</w:t>
            </w:r>
            <w:r>
              <w:rPr>
                <w:rFonts w:ascii="Verdana" w:hAnsi="Verdana"/>
                <w:color w:val="7F7F7F" w:themeColor="text1" w:themeTint="80"/>
                <w:sz w:val="22"/>
                <w:szCs w:val="22"/>
                <w:lang w:val="en-US"/>
              </w:rPr>
              <w:t xml:space="preserve">ecially </w:t>
            </w:r>
            <w:r w:rsidRPr="00B0081A">
              <w:rPr>
                <w:rFonts w:ascii="Verdana" w:hAnsi="Verdana"/>
                <w:color w:val="7F7F7F" w:themeColor="text1" w:themeTint="80"/>
                <w:sz w:val="22"/>
                <w:szCs w:val="22"/>
                <w:lang w:val="en-US"/>
              </w:rPr>
              <w:t xml:space="preserve">if the IHC or MFHC are included based on their notional SCR or not; The notional SCR includes the capital to cover IGT </w:t>
            </w:r>
            <w:r w:rsidRPr="00B0081A">
              <w:rPr>
                <w:rFonts w:ascii="Verdana" w:hAnsi="Verdana"/>
                <w:color w:val="7F7F7F" w:themeColor="text1" w:themeTint="80"/>
                <w:sz w:val="22"/>
                <w:szCs w:val="22"/>
                <w:lang w:val="en-US"/>
              </w:rPr>
              <w:lastRenderedPageBreak/>
              <w:t>positions which will lead to a serious duplication of the capital required to cover the risks.</w:t>
            </w:r>
          </w:p>
        </w:tc>
        <w:tc>
          <w:tcPr>
            <w:tcW w:w="483" w:type="pct"/>
            <w:tcBorders>
              <w:top w:val="single" w:sz="4" w:space="0" w:color="auto"/>
              <w:left w:val="single" w:sz="4" w:space="0" w:color="auto"/>
              <w:bottom w:val="single" w:sz="4" w:space="0" w:color="auto"/>
              <w:right w:val="single" w:sz="4" w:space="0" w:color="auto"/>
            </w:tcBorders>
          </w:tcPr>
          <w:p w14:paraId="2DE8A9EF"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4F19EA" w14:paraId="1C5C90D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1418" w:type="pct"/>
          <w:trHeight w:val="300"/>
        </w:trPr>
        <w:tc>
          <w:tcPr>
            <w:tcW w:w="3582" w:type="pct"/>
            <w:gridSpan w:val="6"/>
            <w:tcBorders>
              <w:top w:val="single" w:sz="4" w:space="0" w:color="auto"/>
              <w:left w:val="single" w:sz="4" w:space="0" w:color="auto"/>
              <w:bottom w:val="single" w:sz="4" w:space="0" w:color="auto"/>
              <w:right w:val="single" w:sz="4" w:space="0" w:color="auto"/>
            </w:tcBorders>
            <w:shd w:val="clear" w:color="auto" w:fill="auto"/>
            <w:noWrap/>
          </w:tcPr>
          <w:p w14:paraId="7985C828" w14:textId="5D6D8785" w:rsidR="006F5ECC" w:rsidRPr="00B0081A" w:rsidRDefault="006F5ECC" w:rsidP="00020B14">
            <w:pPr>
              <w:tabs>
                <w:tab w:val="left" w:pos="0"/>
                <w:tab w:val="left" w:pos="4536"/>
              </w:tabs>
              <w:rPr>
                <w:rFonts w:ascii="Verdana" w:hAnsi="Verdana"/>
                <w:b/>
                <w:bCs/>
                <w:color w:val="7F7F7F" w:themeColor="text1" w:themeTint="80"/>
                <w:sz w:val="22"/>
                <w:szCs w:val="22"/>
                <w:lang w:val="en-GB" w:eastAsia="fr-FR"/>
              </w:rPr>
            </w:pPr>
            <w:r w:rsidRPr="00B0081A">
              <w:rPr>
                <w:rFonts w:ascii="Verdana" w:hAnsi="Verdana"/>
                <w:b/>
                <w:bCs/>
                <w:color w:val="7F7F7F" w:themeColor="text1" w:themeTint="80"/>
                <w:sz w:val="22"/>
                <w:szCs w:val="22"/>
                <w:lang w:val="en-GB" w:eastAsia="fr-FR"/>
              </w:rPr>
              <w:t>9.3.14 Minority Interest</w:t>
            </w:r>
          </w:p>
        </w:tc>
      </w:tr>
      <w:tr w:rsidR="00FC5744" w:rsidRPr="001360A5" w14:paraId="1D32EB76"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44DF17C" w14:textId="13AD4A0C"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3D35D12D" w14:textId="17302097"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381</w:t>
            </w:r>
          </w:p>
        </w:tc>
        <w:tc>
          <w:tcPr>
            <w:tcW w:w="1999" w:type="pct"/>
            <w:tcBorders>
              <w:top w:val="single" w:sz="4" w:space="0" w:color="auto"/>
              <w:left w:val="single" w:sz="4" w:space="0" w:color="auto"/>
              <w:bottom w:val="single" w:sz="4" w:space="0" w:color="auto"/>
              <w:right w:val="single" w:sz="4" w:space="0" w:color="auto"/>
            </w:tcBorders>
            <w:vAlign w:val="bottom"/>
          </w:tcPr>
          <w:p w14:paraId="418BFC72" w14:textId="4DA5BC64" w:rsidR="006F5ECC" w:rsidRPr="0003536E" w:rsidRDefault="006F5ECC" w:rsidP="00020B14">
            <w:pPr>
              <w:tabs>
                <w:tab w:val="left" w:pos="0"/>
                <w:tab w:val="left" w:pos="4536"/>
              </w:tabs>
              <w:rPr>
                <w:rFonts w:ascii="Verdana" w:hAnsi="Verdana"/>
                <w:b/>
                <w:bCs/>
                <w:color w:val="7F7F7F"/>
                <w:sz w:val="22"/>
                <w:szCs w:val="22"/>
                <w:lang w:val="en-US" w:eastAsia="fr-FR"/>
              </w:rPr>
            </w:pPr>
            <w:r>
              <w:rPr>
                <w:rFonts w:ascii="Verdana" w:hAnsi="Verdana"/>
                <w:b/>
                <w:bCs/>
                <w:color w:val="7F7F7F"/>
                <w:sz w:val="22"/>
                <w:szCs w:val="22"/>
                <w:lang w:val="en-US" w:eastAsia="fr-FR"/>
              </w:rPr>
              <w:t>EIOPA’s Advice on Minority Interest</w:t>
            </w:r>
          </w:p>
          <w:p w14:paraId="54A68EDA" w14:textId="73261426" w:rsidR="006F5ECC" w:rsidRDefault="006F5ECC" w:rsidP="00020B14">
            <w:pPr>
              <w:tabs>
                <w:tab w:val="left" w:pos="0"/>
                <w:tab w:val="left" w:pos="4536"/>
              </w:tabs>
              <w:rPr>
                <w:rFonts w:ascii="Verdana" w:hAnsi="Verdana"/>
                <w:color w:val="7F7F7F"/>
                <w:sz w:val="22"/>
                <w:szCs w:val="22"/>
                <w:lang w:val="en-US" w:eastAsia="fr-FR"/>
              </w:rPr>
            </w:pPr>
            <w:r w:rsidRPr="006F69A6">
              <w:rPr>
                <w:rFonts w:ascii="Verdana" w:hAnsi="Verdana"/>
                <w:color w:val="7F7F7F"/>
                <w:sz w:val="22"/>
                <w:szCs w:val="22"/>
                <w:lang w:val="en-US" w:eastAsia="fr-FR"/>
              </w:rPr>
              <w:t xml:space="preserve">We agree that the </w:t>
            </w:r>
            <w:r>
              <w:rPr>
                <w:rFonts w:ascii="Verdana" w:hAnsi="Verdana"/>
                <w:color w:val="7F7F7F"/>
                <w:sz w:val="22"/>
                <w:szCs w:val="22"/>
                <w:lang w:val="en-US" w:eastAsia="fr-FR"/>
              </w:rPr>
              <w:t>m</w:t>
            </w:r>
            <w:r w:rsidRPr="006F69A6">
              <w:rPr>
                <w:rFonts w:ascii="Verdana" w:hAnsi="Verdana"/>
                <w:color w:val="7F7F7F"/>
                <w:sz w:val="22"/>
                <w:szCs w:val="22"/>
                <w:lang w:val="en-US" w:eastAsia="fr-FR"/>
              </w:rPr>
              <w:t xml:space="preserve">inority interest is also to be based on the economic perspective. Whether external debts </w:t>
            </w:r>
            <w:r>
              <w:rPr>
                <w:rFonts w:ascii="Verdana" w:hAnsi="Verdana"/>
                <w:color w:val="7F7F7F"/>
                <w:sz w:val="22"/>
                <w:szCs w:val="22"/>
                <w:lang w:val="en-US" w:eastAsia="fr-FR"/>
              </w:rPr>
              <w:t>are</w:t>
            </w:r>
            <w:r w:rsidRPr="006F69A6">
              <w:rPr>
                <w:rFonts w:ascii="Verdana" w:hAnsi="Verdana"/>
                <w:color w:val="7F7F7F"/>
                <w:sz w:val="22"/>
                <w:szCs w:val="22"/>
                <w:lang w:val="en-US" w:eastAsia="fr-FR"/>
              </w:rPr>
              <w:t xml:space="preserve"> to be included </w:t>
            </w:r>
            <w:r>
              <w:rPr>
                <w:rFonts w:ascii="Verdana" w:hAnsi="Verdana"/>
                <w:color w:val="7F7F7F"/>
                <w:sz w:val="22"/>
                <w:szCs w:val="22"/>
                <w:lang w:val="en-US" w:eastAsia="fr-FR"/>
              </w:rPr>
              <w:t>or</w:t>
            </w:r>
            <w:r w:rsidRPr="006F69A6">
              <w:rPr>
                <w:rFonts w:ascii="Verdana" w:hAnsi="Verdana"/>
                <w:color w:val="7F7F7F"/>
                <w:sz w:val="22"/>
                <w:szCs w:val="22"/>
                <w:lang w:val="en-US" w:eastAsia="fr-FR"/>
              </w:rPr>
              <w:t xml:space="preserve"> not depend on the legal construct</w:t>
            </w:r>
            <w:r>
              <w:rPr>
                <w:rFonts w:ascii="Verdana" w:hAnsi="Verdana"/>
                <w:color w:val="7F7F7F"/>
                <w:sz w:val="22"/>
                <w:szCs w:val="22"/>
                <w:lang w:val="en-US" w:eastAsia="fr-FR"/>
              </w:rPr>
              <w:t>ion</w:t>
            </w:r>
            <w:r w:rsidRPr="006F69A6">
              <w:rPr>
                <w:rFonts w:ascii="Verdana" w:hAnsi="Verdana"/>
                <w:color w:val="7F7F7F"/>
                <w:sz w:val="22"/>
                <w:szCs w:val="22"/>
                <w:lang w:val="en-US" w:eastAsia="fr-FR"/>
              </w:rPr>
              <w:t xml:space="preserve"> with the minority interest </w:t>
            </w:r>
            <w:r>
              <w:rPr>
                <w:rFonts w:ascii="Verdana" w:hAnsi="Verdana"/>
                <w:color w:val="7F7F7F"/>
                <w:sz w:val="22"/>
                <w:szCs w:val="22"/>
                <w:lang w:val="en-US" w:eastAsia="fr-FR"/>
              </w:rPr>
              <w:t>i.e.</w:t>
            </w:r>
            <w:r w:rsidRPr="006F69A6">
              <w:rPr>
                <w:rFonts w:ascii="Verdana" w:hAnsi="Verdana"/>
                <w:color w:val="7F7F7F"/>
                <w:sz w:val="22"/>
                <w:szCs w:val="22"/>
                <w:lang w:val="en-US" w:eastAsia="fr-FR"/>
              </w:rPr>
              <w:t xml:space="preserve"> </w:t>
            </w:r>
            <w:r>
              <w:rPr>
                <w:rFonts w:ascii="Verdana" w:hAnsi="Verdana"/>
                <w:color w:val="7F7F7F"/>
                <w:sz w:val="22"/>
                <w:szCs w:val="22"/>
                <w:lang w:val="en-US" w:eastAsia="fr-FR"/>
              </w:rPr>
              <w:t>i</w:t>
            </w:r>
            <w:r w:rsidRPr="006F69A6">
              <w:rPr>
                <w:rFonts w:ascii="Verdana" w:hAnsi="Verdana"/>
                <w:color w:val="7F7F7F"/>
                <w:sz w:val="22"/>
                <w:szCs w:val="22"/>
                <w:lang w:val="en-US" w:eastAsia="fr-FR"/>
              </w:rPr>
              <w:t>f they are equal (to their proportio</w:t>
            </w:r>
            <w:r>
              <w:rPr>
                <w:rFonts w:ascii="Verdana" w:hAnsi="Verdana"/>
                <w:color w:val="7F7F7F"/>
                <w:sz w:val="22"/>
                <w:szCs w:val="22"/>
                <w:lang w:val="en-US" w:eastAsia="fr-FR"/>
              </w:rPr>
              <w:t>n</w:t>
            </w:r>
            <w:r w:rsidRPr="006F69A6">
              <w:rPr>
                <w:rFonts w:ascii="Verdana" w:hAnsi="Verdana"/>
                <w:color w:val="7F7F7F"/>
                <w:sz w:val="22"/>
                <w:szCs w:val="22"/>
                <w:lang w:val="en-US" w:eastAsia="fr-FR"/>
              </w:rPr>
              <w:t>) liable for the subordinated debt in a winding up sit</w:t>
            </w:r>
            <w:r>
              <w:rPr>
                <w:rFonts w:ascii="Verdana" w:hAnsi="Verdana"/>
                <w:color w:val="7F7F7F"/>
                <w:sz w:val="22"/>
                <w:szCs w:val="22"/>
                <w:lang w:val="en-US" w:eastAsia="fr-FR"/>
              </w:rPr>
              <w:t>u</w:t>
            </w:r>
            <w:r w:rsidRPr="006F69A6">
              <w:rPr>
                <w:rFonts w:ascii="Verdana" w:hAnsi="Verdana"/>
                <w:color w:val="7F7F7F"/>
                <w:sz w:val="22"/>
                <w:szCs w:val="22"/>
                <w:lang w:val="en-US" w:eastAsia="fr-FR"/>
              </w:rPr>
              <w:t>ation the external subordinated</w:t>
            </w:r>
            <w:r>
              <w:rPr>
                <w:rFonts w:ascii="Verdana" w:hAnsi="Verdana"/>
                <w:color w:val="7F7F7F"/>
                <w:sz w:val="22"/>
                <w:szCs w:val="22"/>
                <w:lang w:val="en-US" w:eastAsia="fr-FR"/>
              </w:rPr>
              <w:t xml:space="preserve"> </w:t>
            </w:r>
            <w:r w:rsidRPr="006F69A6">
              <w:rPr>
                <w:rFonts w:ascii="Verdana" w:hAnsi="Verdana"/>
                <w:color w:val="7F7F7F"/>
                <w:sz w:val="22"/>
                <w:szCs w:val="22"/>
                <w:lang w:val="en-US" w:eastAsia="fr-FR"/>
              </w:rPr>
              <w:t>debt should be considered (situation 1c) otherwise 1a should apply.</w:t>
            </w:r>
          </w:p>
        </w:tc>
        <w:tc>
          <w:tcPr>
            <w:tcW w:w="483" w:type="pct"/>
            <w:tcBorders>
              <w:top w:val="single" w:sz="4" w:space="0" w:color="auto"/>
              <w:left w:val="single" w:sz="4" w:space="0" w:color="auto"/>
              <w:bottom w:val="single" w:sz="4" w:space="0" w:color="auto"/>
              <w:right w:val="single" w:sz="4" w:space="0" w:color="auto"/>
            </w:tcBorders>
          </w:tcPr>
          <w:p w14:paraId="14C3236E"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1A7BD8C2"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8D04D54" w14:textId="29BF52F6"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02CEEB91" w14:textId="77777777" w:rsidR="006F5ECC" w:rsidRPr="00F0251A" w:rsidRDefault="006F5ECC" w:rsidP="00020B14">
            <w:pPr>
              <w:tabs>
                <w:tab w:val="left" w:pos="0"/>
                <w:tab w:val="left" w:pos="4536"/>
              </w:tabs>
              <w:ind w:left="-96"/>
              <w:rPr>
                <w:color w:val="7F7F7F" w:themeColor="text1" w:themeTint="80"/>
                <w:sz w:val="22"/>
                <w:szCs w:val="22"/>
                <w:lang w:val="en-US"/>
              </w:rPr>
            </w:pPr>
            <w:r w:rsidRPr="00F0251A">
              <w:rPr>
                <w:rFonts w:ascii="Verdana" w:eastAsia="Verdana" w:hAnsi="Verdana" w:cs="Verdana"/>
                <w:b/>
                <w:bCs/>
                <w:color w:val="7F7F7F" w:themeColor="text1" w:themeTint="80"/>
                <w:sz w:val="22"/>
                <w:szCs w:val="22"/>
                <w:lang w:val="en-US"/>
              </w:rPr>
              <w:t>Questions to Stakeholders</w:t>
            </w:r>
          </w:p>
          <w:p w14:paraId="572FCA3B" w14:textId="77777777" w:rsidR="006F5ECC" w:rsidRPr="00F0251A" w:rsidRDefault="006F5ECC" w:rsidP="00020B14">
            <w:pPr>
              <w:tabs>
                <w:tab w:val="left" w:pos="0"/>
                <w:tab w:val="left" w:pos="4536"/>
              </w:tabs>
              <w:spacing w:line="171" w:lineRule="exact"/>
              <w:ind w:left="-96"/>
              <w:rPr>
                <w:color w:val="7F7F7F" w:themeColor="text1" w:themeTint="80"/>
                <w:sz w:val="22"/>
                <w:szCs w:val="22"/>
                <w:lang w:val="en-US"/>
              </w:rPr>
            </w:pPr>
          </w:p>
          <w:p w14:paraId="1A338947" w14:textId="305FF00A" w:rsidR="006F5ECC" w:rsidRDefault="006F5ECC" w:rsidP="00020B14">
            <w:pPr>
              <w:tabs>
                <w:tab w:val="left" w:pos="0"/>
                <w:tab w:val="left" w:pos="4536"/>
              </w:tabs>
              <w:ind w:left="-96"/>
              <w:rPr>
                <w:rFonts w:ascii="Verdana" w:hAnsi="Verdana"/>
                <w:color w:val="7F7F7F"/>
                <w:sz w:val="22"/>
                <w:szCs w:val="22"/>
                <w:lang w:val="en-US"/>
              </w:rPr>
            </w:pPr>
          </w:p>
        </w:tc>
        <w:tc>
          <w:tcPr>
            <w:tcW w:w="1999" w:type="pct"/>
            <w:tcBorders>
              <w:top w:val="single" w:sz="4" w:space="0" w:color="auto"/>
              <w:left w:val="single" w:sz="4" w:space="0" w:color="auto"/>
              <w:bottom w:val="single" w:sz="4" w:space="0" w:color="auto"/>
              <w:right w:val="single" w:sz="4" w:space="0" w:color="auto"/>
            </w:tcBorders>
            <w:vAlign w:val="bottom"/>
          </w:tcPr>
          <w:p w14:paraId="3D1B8129" w14:textId="77777777" w:rsidR="006F5ECC" w:rsidRPr="00F0251A" w:rsidRDefault="006F5ECC" w:rsidP="00020B14">
            <w:pPr>
              <w:tabs>
                <w:tab w:val="left" w:pos="0"/>
                <w:tab w:val="left" w:pos="4536"/>
              </w:tabs>
              <w:rPr>
                <w:color w:val="7F7F7F" w:themeColor="text1" w:themeTint="80"/>
                <w:sz w:val="22"/>
                <w:szCs w:val="22"/>
                <w:lang w:val="en-US"/>
              </w:rPr>
            </w:pPr>
            <w:r w:rsidRPr="00F0251A">
              <w:rPr>
                <w:rFonts w:ascii="Verdana" w:eastAsia="Verdana" w:hAnsi="Verdana" w:cs="Verdana"/>
                <w:b/>
                <w:bCs/>
                <w:color w:val="7F7F7F" w:themeColor="text1" w:themeTint="80"/>
                <w:sz w:val="22"/>
                <w:szCs w:val="22"/>
                <w:lang w:val="en-US"/>
              </w:rPr>
              <w:t>Minority Interest</w:t>
            </w:r>
          </w:p>
          <w:p w14:paraId="6336D2D1" w14:textId="77777777" w:rsidR="006F5ECC" w:rsidRPr="00F0251A" w:rsidRDefault="006F5ECC" w:rsidP="00020B14">
            <w:pPr>
              <w:tabs>
                <w:tab w:val="left" w:pos="0"/>
                <w:tab w:val="left" w:pos="4536"/>
              </w:tabs>
              <w:spacing w:line="123" w:lineRule="exact"/>
              <w:rPr>
                <w:color w:val="7F7F7F" w:themeColor="text1" w:themeTint="80"/>
                <w:sz w:val="22"/>
                <w:szCs w:val="22"/>
                <w:lang w:val="en-US"/>
              </w:rPr>
            </w:pPr>
          </w:p>
          <w:p w14:paraId="49427C5C" w14:textId="77777777" w:rsidR="006F5ECC" w:rsidRPr="00F0251A" w:rsidRDefault="006F5ECC" w:rsidP="00020B14">
            <w:pPr>
              <w:tabs>
                <w:tab w:val="left" w:pos="0"/>
                <w:tab w:val="left" w:pos="4536"/>
              </w:tabs>
              <w:spacing w:line="239" w:lineRule="auto"/>
              <w:ind w:hanging="565"/>
              <w:jc w:val="both"/>
              <w:rPr>
                <w:b/>
                <w:bCs/>
                <w:color w:val="7F7F7F" w:themeColor="text1" w:themeTint="80"/>
                <w:sz w:val="22"/>
                <w:szCs w:val="22"/>
                <w:lang w:val="en-US"/>
              </w:rPr>
            </w:pPr>
            <w:r w:rsidRPr="00F0251A">
              <w:rPr>
                <w:rFonts w:ascii="Verdana" w:eastAsia="Verdana" w:hAnsi="Verdana" w:cs="Verdana"/>
                <w:b/>
                <w:bCs/>
                <w:color w:val="7F7F7F" w:themeColor="text1" w:themeTint="80"/>
                <w:sz w:val="22"/>
                <w:szCs w:val="22"/>
                <w:lang w:val="en-US"/>
              </w:rPr>
              <w:t>Q9.7: EIOPA invites all stakeholders to share their experience on the issues discussed above regarding the clarification of the definition of the item Minority interest in Solvency II and the approach to be followed for its calculation. In particular, EIOPA is interested in input from stakeholders to assess if the calculation of the minority interest should include of external subordinated debts.</w:t>
            </w:r>
          </w:p>
          <w:p w14:paraId="063F09EA" w14:textId="77777777" w:rsidR="006F5ECC" w:rsidRDefault="006F5ECC" w:rsidP="00020B14">
            <w:pPr>
              <w:tabs>
                <w:tab w:val="left" w:pos="0"/>
                <w:tab w:val="left" w:pos="4536"/>
              </w:tabs>
              <w:rPr>
                <w:rFonts w:ascii="Verdana" w:hAnsi="Verdana"/>
                <w:color w:val="7F7F7F" w:themeColor="text1" w:themeTint="80"/>
                <w:sz w:val="22"/>
                <w:szCs w:val="22"/>
                <w:lang w:val="en-US" w:eastAsia="fr-FR"/>
              </w:rPr>
            </w:pPr>
            <w:r>
              <w:rPr>
                <w:rFonts w:ascii="Verdana" w:hAnsi="Verdana"/>
                <w:color w:val="7F7F7F" w:themeColor="text1" w:themeTint="80"/>
                <w:sz w:val="22"/>
                <w:szCs w:val="22"/>
                <w:lang w:val="en-US" w:eastAsia="fr-FR"/>
              </w:rPr>
              <w:t>See our comments to paragraph 9.381</w:t>
            </w:r>
          </w:p>
          <w:p w14:paraId="462622A3" w14:textId="5087D68F" w:rsidR="006F5ECC" w:rsidRPr="00F0251A" w:rsidRDefault="006F5ECC" w:rsidP="00020B14">
            <w:pPr>
              <w:tabs>
                <w:tab w:val="left" w:pos="0"/>
                <w:tab w:val="left" w:pos="4536"/>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400BA9BF"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03536E" w14:paraId="38664E58"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1418" w:type="pct"/>
          <w:trHeight w:val="300"/>
        </w:trPr>
        <w:tc>
          <w:tcPr>
            <w:tcW w:w="3582" w:type="pct"/>
            <w:gridSpan w:val="6"/>
            <w:tcBorders>
              <w:top w:val="single" w:sz="4" w:space="0" w:color="auto"/>
              <w:left w:val="single" w:sz="4" w:space="0" w:color="auto"/>
              <w:bottom w:val="single" w:sz="4" w:space="0" w:color="auto"/>
              <w:right w:val="single" w:sz="4" w:space="0" w:color="auto"/>
            </w:tcBorders>
            <w:shd w:val="clear" w:color="auto" w:fill="auto"/>
            <w:noWrap/>
          </w:tcPr>
          <w:p w14:paraId="47C05414" w14:textId="13401084" w:rsidR="006F5ECC" w:rsidRPr="00B0081A" w:rsidRDefault="006F5ECC" w:rsidP="00020B14">
            <w:pPr>
              <w:tabs>
                <w:tab w:val="left" w:pos="0"/>
                <w:tab w:val="left" w:pos="4536"/>
              </w:tabs>
              <w:rPr>
                <w:rFonts w:ascii="Verdana" w:hAnsi="Verdana"/>
                <w:color w:val="7F7F7F" w:themeColor="text1" w:themeTint="80"/>
                <w:sz w:val="22"/>
                <w:szCs w:val="22"/>
                <w:lang w:val="en-GB" w:eastAsia="fr-FR"/>
              </w:rPr>
            </w:pPr>
            <w:r w:rsidRPr="00B0081A">
              <w:rPr>
                <w:rFonts w:ascii="Verdana" w:hAnsi="Verdana"/>
                <w:b/>
                <w:bCs/>
                <w:color w:val="7F7F7F" w:themeColor="text1" w:themeTint="80"/>
                <w:sz w:val="22"/>
                <w:szCs w:val="22"/>
                <w:lang w:val="en-GB" w:eastAsia="fr-FR"/>
              </w:rPr>
              <w:t>9.3.15</w:t>
            </w:r>
            <w:r w:rsidRPr="00B0081A">
              <w:rPr>
                <w:rFonts w:ascii="Verdana" w:hAnsi="Verdana"/>
                <w:color w:val="7F7F7F" w:themeColor="text1" w:themeTint="80"/>
                <w:sz w:val="22"/>
                <w:szCs w:val="22"/>
                <w:lang w:val="en-GB" w:eastAsia="fr-FR"/>
              </w:rPr>
              <w:t xml:space="preserve"> </w:t>
            </w:r>
            <w:r w:rsidRPr="00B0081A">
              <w:rPr>
                <w:rFonts w:ascii="Verdana" w:eastAsia="Verdana" w:hAnsi="Verdana" w:cs="Verdana"/>
                <w:b/>
                <w:bCs/>
                <w:color w:val="7F7F7F" w:themeColor="text1" w:themeTint="80"/>
                <w:sz w:val="22"/>
                <w:szCs w:val="22"/>
                <w:lang w:val="en-US"/>
              </w:rPr>
              <w:t>Minimum Consolidated Group SCR</w:t>
            </w:r>
          </w:p>
        </w:tc>
      </w:tr>
      <w:tr w:rsidR="00FC5744" w:rsidRPr="001360A5" w14:paraId="21B0678F"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AFFC5CF" w14:textId="07819F9C" w:rsidR="006F5ECC" w:rsidRPr="00B0081A" w:rsidRDefault="006F5ECC" w:rsidP="00020B14">
            <w:pPr>
              <w:tabs>
                <w:tab w:val="left" w:pos="0"/>
                <w:tab w:val="left" w:pos="4536"/>
              </w:tabs>
              <w:ind w:left="-96"/>
              <w:rPr>
                <w:rFonts w:ascii="Verdana" w:hAnsi="Verdana"/>
                <w:bCs/>
                <w:color w:val="7F7F7F" w:themeColor="text1" w:themeTint="80"/>
                <w:sz w:val="22"/>
                <w:szCs w:val="22"/>
                <w:lang w:val="en-GB"/>
              </w:rPr>
            </w:pPr>
            <w:r w:rsidRPr="00B0081A">
              <w:rPr>
                <w:rFonts w:ascii="Verdana" w:hAnsi="Verdana"/>
                <w:bCs/>
                <w:color w:val="7F7F7F" w:themeColor="text1" w:themeTint="80"/>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11545CB6" w14:textId="579155A3" w:rsidR="006F5ECC" w:rsidRPr="00B0081A" w:rsidRDefault="006F5ECC" w:rsidP="00020B14">
            <w:pPr>
              <w:tabs>
                <w:tab w:val="left" w:pos="0"/>
                <w:tab w:val="left" w:pos="4536"/>
              </w:tabs>
              <w:ind w:left="-96"/>
              <w:rPr>
                <w:rFonts w:ascii="Verdana" w:hAnsi="Verdana"/>
                <w:color w:val="7F7F7F" w:themeColor="text1" w:themeTint="80"/>
                <w:sz w:val="22"/>
                <w:szCs w:val="22"/>
                <w:lang w:val="en-US"/>
              </w:rPr>
            </w:pPr>
            <w:r w:rsidRPr="00B0081A">
              <w:rPr>
                <w:rFonts w:ascii="Verdana" w:hAnsi="Verdana"/>
                <w:color w:val="7F7F7F" w:themeColor="text1" w:themeTint="80"/>
                <w:sz w:val="22"/>
                <w:szCs w:val="22"/>
                <w:lang w:val="en-US"/>
              </w:rPr>
              <w:t>388</w:t>
            </w:r>
          </w:p>
        </w:tc>
        <w:tc>
          <w:tcPr>
            <w:tcW w:w="1999" w:type="pct"/>
            <w:tcBorders>
              <w:top w:val="single" w:sz="4" w:space="0" w:color="auto"/>
              <w:left w:val="single" w:sz="4" w:space="0" w:color="auto"/>
              <w:bottom w:val="single" w:sz="4" w:space="0" w:color="auto"/>
              <w:right w:val="single" w:sz="4" w:space="0" w:color="auto"/>
            </w:tcBorders>
            <w:vAlign w:val="bottom"/>
          </w:tcPr>
          <w:p w14:paraId="3A37704B" w14:textId="1E1B728B" w:rsidR="006F5ECC" w:rsidRPr="000C1ED6" w:rsidRDefault="006F5ECC" w:rsidP="00020B14">
            <w:pPr>
              <w:tabs>
                <w:tab w:val="left" w:pos="0"/>
                <w:tab w:val="left" w:pos="4536"/>
              </w:tabs>
              <w:spacing w:line="238" w:lineRule="auto"/>
              <w:ind w:right="220"/>
              <w:rPr>
                <w:color w:val="7F7F7F" w:themeColor="text1" w:themeTint="80"/>
                <w:sz w:val="22"/>
                <w:szCs w:val="22"/>
                <w:lang w:val="en-US"/>
              </w:rPr>
            </w:pPr>
            <w:r w:rsidRPr="000C1ED6">
              <w:rPr>
                <w:rFonts w:ascii="Verdana" w:eastAsia="Verdana" w:hAnsi="Verdana" w:cs="Verdana"/>
                <w:b/>
                <w:bCs/>
                <w:color w:val="7F7F7F" w:themeColor="text1" w:themeTint="80"/>
                <w:sz w:val="22"/>
                <w:szCs w:val="22"/>
                <w:lang w:val="en-US"/>
              </w:rPr>
              <w:t>Policy issue 1 -Lack of clarity and alignment of the scope of undertakings included in the minimum consolidated group SCR</w:t>
            </w:r>
          </w:p>
          <w:p w14:paraId="6C7562AB" w14:textId="644C1514" w:rsidR="006F5ECC" w:rsidRPr="00B0081A" w:rsidRDefault="006F5ECC" w:rsidP="00020B14">
            <w:pPr>
              <w:tabs>
                <w:tab w:val="left" w:pos="0"/>
                <w:tab w:val="left" w:pos="4536"/>
              </w:tabs>
              <w:rPr>
                <w:rFonts w:ascii="Verdana" w:hAnsi="Verdana"/>
                <w:color w:val="7F7F7F" w:themeColor="text1" w:themeTint="80"/>
                <w:sz w:val="22"/>
                <w:szCs w:val="22"/>
                <w:lang w:val="en-US" w:eastAsia="fr-FR"/>
              </w:rPr>
            </w:pPr>
            <w:r w:rsidRPr="00B0081A">
              <w:rPr>
                <w:rFonts w:ascii="Verdana" w:hAnsi="Verdana"/>
                <w:color w:val="7F7F7F" w:themeColor="text1" w:themeTint="80"/>
                <w:sz w:val="22"/>
                <w:szCs w:val="22"/>
                <w:lang w:val="en-US" w:eastAsia="fr-FR"/>
              </w:rPr>
              <w:t xml:space="preserve">EIOPA states that </w:t>
            </w:r>
            <w:r>
              <w:rPr>
                <w:rFonts w:ascii="Verdana" w:hAnsi="Verdana"/>
                <w:color w:val="7F7F7F" w:themeColor="text1" w:themeTint="80"/>
                <w:sz w:val="22"/>
                <w:szCs w:val="22"/>
                <w:lang w:val="en-US" w:eastAsia="fr-FR"/>
              </w:rPr>
              <w:t>t</w:t>
            </w:r>
            <w:r w:rsidRPr="00B0081A">
              <w:rPr>
                <w:rFonts w:ascii="Verdana" w:hAnsi="Verdana"/>
                <w:color w:val="7F7F7F" w:themeColor="text1" w:themeTint="80"/>
                <w:sz w:val="22"/>
                <w:szCs w:val="22"/>
                <w:lang w:val="en-US" w:eastAsia="fr-FR"/>
              </w:rPr>
              <w:t xml:space="preserve">hird country (re-)insurers are an important feature, however the guidance on how to include a non-equivalent third country (re-)insurer in the group consolidation is not assessed. More guidance is needed as to how the Solvency II rules should apply to all balance sheet </w:t>
            </w:r>
            <w:r w:rsidRPr="00B0081A">
              <w:rPr>
                <w:rFonts w:ascii="Verdana" w:hAnsi="Verdana"/>
                <w:color w:val="7F7F7F" w:themeColor="text1" w:themeTint="80"/>
                <w:sz w:val="22"/>
                <w:szCs w:val="22"/>
                <w:lang w:val="en-US" w:eastAsia="fr-FR"/>
              </w:rPr>
              <w:lastRenderedPageBreak/>
              <w:t>items of the third country (re-)insurer and whether it is appropriate everywhere.</w:t>
            </w:r>
          </w:p>
        </w:tc>
        <w:tc>
          <w:tcPr>
            <w:tcW w:w="483" w:type="pct"/>
            <w:tcBorders>
              <w:top w:val="single" w:sz="4" w:space="0" w:color="auto"/>
              <w:left w:val="single" w:sz="4" w:space="0" w:color="auto"/>
              <w:bottom w:val="single" w:sz="4" w:space="0" w:color="auto"/>
              <w:right w:val="single" w:sz="4" w:space="0" w:color="auto"/>
            </w:tcBorders>
          </w:tcPr>
          <w:p w14:paraId="6E572EEF"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731A1F7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C31DCAC" w14:textId="4C36D135" w:rsidR="006F5ECC" w:rsidRPr="00B0081A" w:rsidRDefault="006F5ECC" w:rsidP="00020B14">
            <w:pPr>
              <w:tabs>
                <w:tab w:val="left" w:pos="0"/>
                <w:tab w:val="left" w:pos="4536"/>
              </w:tabs>
              <w:ind w:left="-96"/>
              <w:rPr>
                <w:rFonts w:ascii="Verdana" w:hAnsi="Verdana"/>
                <w:bCs/>
                <w:color w:val="7F7F7F" w:themeColor="text1" w:themeTint="80"/>
                <w:sz w:val="22"/>
                <w:szCs w:val="22"/>
                <w:lang w:val="en-GB"/>
              </w:rPr>
            </w:pPr>
            <w:r w:rsidRPr="00B0081A">
              <w:rPr>
                <w:rFonts w:ascii="Verdana" w:hAnsi="Verdana"/>
                <w:bCs/>
                <w:color w:val="7F7F7F" w:themeColor="text1" w:themeTint="80"/>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6FEB7A0A" w14:textId="21326BAF" w:rsidR="006F5ECC" w:rsidRPr="00B0081A" w:rsidRDefault="006F5ECC" w:rsidP="00020B14">
            <w:pPr>
              <w:tabs>
                <w:tab w:val="left" w:pos="0"/>
                <w:tab w:val="left" w:pos="4536"/>
              </w:tabs>
              <w:ind w:left="-96"/>
              <w:rPr>
                <w:rFonts w:ascii="Verdana" w:hAnsi="Verdana"/>
                <w:color w:val="7F7F7F" w:themeColor="text1" w:themeTint="80"/>
                <w:sz w:val="22"/>
                <w:szCs w:val="22"/>
                <w:lang w:val="en-US"/>
              </w:rPr>
            </w:pPr>
            <w:r w:rsidRPr="00B0081A">
              <w:rPr>
                <w:rFonts w:ascii="Verdana" w:hAnsi="Verdana"/>
                <w:color w:val="7F7F7F" w:themeColor="text1" w:themeTint="80"/>
                <w:sz w:val="22"/>
                <w:szCs w:val="22"/>
                <w:lang w:val="en-US"/>
              </w:rPr>
              <w:t>388</w:t>
            </w:r>
          </w:p>
        </w:tc>
        <w:tc>
          <w:tcPr>
            <w:tcW w:w="1999" w:type="pct"/>
            <w:tcBorders>
              <w:top w:val="single" w:sz="4" w:space="0" w:color="auto"/>
              <w:left w:val="single" w:sz="4" w:space="0" w:color="auto"/>
              <w:bottom w:val="single" w:sz="4" w:space="0" w:color="auto"/>
              <w:right w:val="single" w:sz="4" w:space="0" w:color="auto"/>
            </w:tcBorders>
            <w:vAlign w:val="bottom"/>
          </w:tcPr>
          <w:p w14:paraId="405E5B11" w14:textId="37411694" w:rsidR="006F5ECC" w:rsidRPr="00B0081A" w:rsidRDefault="006F5ECC" w:rsidP="00020B14">
            <w:pPr>
              <w:tabs>
                <w:tab w:val="left" w:pos="0"/>
                <w:tab w:val="left" w:pos="4536"/>
              </w:tabs>
              <w:rPr>
                <w:rFonts w:ascii="Verdana" w:hAnsi="Verdana"/>
                <w:color w:val="7F7F7F" w:themeColor="text1" w:themeTint="80"/>
                <w:sz w:val="22"/>
                <w:szCs w:val="22"/>
                <w:lang w:val="en-US" w:eastAsia="fr-FR"/>
              </w:rPr>
            </w:pPr>
            <w:r w:rsidRPr="00B0081A">
              <w:rPr>
                <w:rFonts w:ascii="Verdana" w:hAnsi="Verdana"/>
                <w:color w:val="7F7F7F" w:themeColor="text1" w:themeTint="80"/>
                <w:sz w:val="22"/>
                <w:szCs w:val="22"/>
                <w:lang w:val="en-US" w:eastAsia="fr-FR"/>
              </w:rPr>
              <w:t xml:space="preserve">The Solvency II legislation is applicable to any insurance company with a seat in the European Union or any insurance entity </w:t>
            </w:r>
            <w:r w:rsidRPr="00CB0212">
              <w:rPr>
                <w:rFonts w:ascii="Verdana" w:hAnsi="Verdana"/>
                <w:color w:val="7F7F7F" w:themeColor="text1" w:themeTint="80"/>
                <w:sz w:val="22"/>
                <w:szCs w:val="22"/>
                <w:lang w:val="en-US" w:eastAsia="fr-FR"/>
              </w:rPr>
              <w:t>will</w:t>
            </w:r>
            <w:r>
              <w:rPr>
                <w:rFonts w:ascii="Verdana" w:hAnsi="Verdana"/>
                <w:color w:val="7F7F7F" w:themeColor="text1" w:themeTint="80"/>
                <w:sz w:val="22"/>
                <w:szCs w:val="22"/>
                <w:lang w:val="en-US" w:eastAsia="fr-FR"/>
              </w:rPr>
              <w:t>ing</w:t>
            </w:r>
            <w:r w:rsidRPr="00B0081A">
              <w:rPr>
                <w:rFonts w:ascii="Verdana" w:hAnsi="Verdana"/>
                <w:color w:val="7F7F7F" w:themeColor="text1" w:themeTint="80"/>
                <w:sz w:val="22"/>
                <w:szCs w:val="22"/>
                <w:lang w:val="en-US" w:eastAsia="fr-FR"/>
              </w:rPr>
              <w:t xml:space="preserve"> to sell insurance products to consumers in the European Union. In addition, the Solvency II </w:t>
            </w:r>
            <w:r>
              <w:rPr>
                <w:rFonts w:ascii="Verdana" w:hAnsi="Verdana"/>
                <w:color w:val="7F7F7F" w:themeColor="text1" w:themeTint="80"/>
                <w:sz w:val="22"/>
                <w:szCs w:val="22"/>
                <w:lang w:val="en-US" w:eastAsia="fr-FR"/>
              </w:rPr>
              <w:t>framework</w:t>
            </w:r>
            <w:r w:rsidRPr="00B0081A">
              <w:rPr>
                <w:rFonts w:ascii="Verdana" w:hAnsi="Verdana"/>
                <w:color w:val="7F7F7F" w:themeColor="text1" w:themeTint="80"/>
                <w:sz w:val="22"/>
                <w:szCs w:val="22"/>
                <w:lang w:val="en-US" w:eastAsia="fr-FR"/>
              </w:rPr>
              <w:t xml:space="preserve"> presents requirements </w:t>
            </w:r>
            <w:r>
              <w:rPr>
                <w:rFonts w:ascii="Verdana" w:hAnsi="Verdana"/>
                <w:color w:val="7F7F7F" w:themeColor="text1" w:themeTint="80"/>
                <w:sz w:val="22"/>
                <w:szCs w:val="22"/>
                <w:lang w:val="en-US" w:eastAsia="fr-FR"/>
              </w:rPr>
              <w:t>for</w:t>
            </w:r>
            <w:r w:rsidRPr="00B0081A">
              <w:rPr>
                <w:rFonts w:ascii="Verdana" w:hAnsi="Verdana"/>
                <w:color w:val="7F7F7F" w:themeColor="text1" w:themeTint="80"/>
                <w:sz w:val="22"/>
                <w:szCs w:val="22"/>
                <w:lang w:val="en-US" w:eastAsia="fr-FR"/>
              </w:rPr>
              <w:t xml:space="preserve"> insurers in </w:t>
            </w:r>
            <w:r>
              <w:rPr>
                <w:rFonts w:ascii="Verdana" w:hAnsi="Verdana"/>
                <w:color w:val="7F7F7F" w:themeColor="text1" w:themeTint="80"/>
                <w:sz w:val="22"/>
                <w:szCs w:val="22"/>
                <w:lang w:val="en-US" w:eastAsia="fr-FR"/>
              </w:rPr>
              <w:t>e</w:t>
            </w:r>
            <w:r w:rsidRPr="00B0081A">
              <w:rPr>
                <w:rFonts w:ascii="Verdana" w:hAnsi="Verdana"/>
                <w:color w:val="7F7F7F" w:themeColor="text1" w:themeTint="80"/>
                <w:sz w:val="22"/>
                <w:szCs w:val="22"/>
                <w:lang w:val="en-US" w:eastAsia="fr-FR"/>
              </w:rPr>
              <w:t xml:space="preserve">quivalent and non-equivalent </w:t>
            </w:r>
            <w:r>
              <w:rPr>
                <w:rFonts w:ascii="Verdana" w:hAnsi="Verdana"/>
                <w:color w:val="7F7F7F" w:themeColor="text1" w:themeTint="80"/>
                <w:sz w:val="22"/>
                <w:szCs w:val="22"/>
                <w:lang w:val="en-US" w:eastAsia="fr-FR"/>
              </w:rPr>
              <w:t>t</w:t>
            </w:r>
            <w:r w:rsidRPr="00B0081A">
              <w:rPr>
                <w:rFonts w:ascii="Verdana" w:hAnsi="Verdana"/>
                <w:color w:val="7F7F7F" w:themeColor="text1" w:themeTint="80"/>
                <w:sz w:val="22"/>
                <w:szCs w:val="22"/>
                <w:lang w:val="en-US" w:eastAsia="fr-FR"/>
              </w:rPr>
              <w:t xml:space="preserve">hird countries within a </w:t>
            </w:r>
            <w:r>
              <w:rPr>
                <w:rFonts w:ascii="Verdana" w:hAnsi="Verdana"/>
                <w:color w:val="7F7F7F" w:themeColor="text1" w:themeTint="80"/>
                <w:sz w:val="22"/>
                <w:szCs w:val="22"/>
                <w:lang w:val="en-US" w:eastAsia="fr-FR"/>
              </w:rPr>
              <w:t>g</w:t>
            </w:r>
            <w:r w:rsidRPr="00B0081A">
              <w:rPr>
                <w:rFonts w:ascii="Verdana" w:hAnsi="Verdana"/>
                <w:color w:val="7F7F7F" w:themeColor="text1" w:themeTint="80"/>
                <w:sz w:val="22"/>
                <w:szCs w:val="22"/>
                <w:lang w:val="en-US" w:eastAsia="fr-FR"/>
              </w:rPr>
              <w:t>roup. If equivalence is granted, the local rules may apply and be included in the Solvency position of the group. However, if a third country is deemed to be non-equivalent, the group has to apply the Solvency II legislation towards that non-equivalent third country. For some risk types, appropriate changes are included to accommodate the different non-EU situation</w:t>
            </w:r>
            <w:r>
              <w:rPr>
                <w:rFonts w:ascii="Verdana" w:hAnsi="Verdana"/>
                <w:color w:val="7F7F7F" w:themeColor="text1" w:themeTint="80"/>
                <w:sz w:val="22"/>
                <w:szCs w:val="22"/>
                <w:lang w:val="en-US" w:eastAsia="fr-FR"/>
              </w:rPr>
              <w:t>s (i.e. n</w:t>
            </w:r>
            <w:r w:rsidRPr="00B0081A">
              <w:rPr>
                <w:rFonts w:ascii="Verdana" w:hAnsi="Verdana"/>
                <w:color w:val="7F7F7F" w:themeColor="text1" w:themeTint="80"/>
                <w:sz w:val="22"/>
                <w:szCs w:val="22"/>
                <w:lang w:val="en-US" w:eastAsia="fr-FR"/>
              </w:rPr>
              <w:t>atural catastrophe risk</w:t>
            </w:r>
            <w:r>
              <w:rPr>
                <w:rFonts w:ascii="Verdana" w:hAnsi="Verdana"/>
                <w:color w:val="7F7F7F" w:themeColor="text1" w:themeTint="80"/>
                <w:sz w:val="22"/>
                <w:szCs w:val="22"/>
                <w:lang w:val="en-US" w:eastAsia="fr-FR"/>
              </w:rPr>
              <w:t xml:space="preserve"> sub-modules)</w:t>
            </w:r>
            <w:r w:rsidRPr="00B0081A">
              <w:rPr>
                <w:rFonts w:ascii="Verdana" w:hAnsi="Verdana"/>
                <w:color w:val="7F7F7F" w:themeColor="text1" w:themeTint="80"/>
                <w:sz w:val="22"/>
                <w:szCs w:val="22"/>
                <w:lang w:val="en-US" w:eastAsia="fr-FR"/>
              </w:rPr>
              <w:t xml:space="preserve">. Some risk types are calibrated </w:t>
            </w:r>
            <w:r>
              <w:rPr>
                <w:rFonts w:ascii="Verdana" w:hAnsi="Verdana"/>
                <w:color w:val="7F7F7F" w:themeColor="text1" w:themeTint="80"/>
                <w:sz w:val="22"/>
                <w:szCs w:val="22"/>
                <w:lang w:val="en-US" w:eastAsia="fr-FR"/>
              </w:rPr>
              <w:t>with</w:t>
            </w:r>
            <w:r w:rsidRPr="00B0081A">
              <w:rPr>
                <w:rFonts w:ascii="Verdana" w:hAnsi="Verdana"/>
                <w:color w:val="7F7F7F" w:themeColor="text1" w:themeTint="80"/>
                <w:sz w:val="22"/>
                <w:szCs w:val="22"/>
                <w:lang w:val="en-US" w:eastAsia="fr-FR"/>
              </w:rPr>
              <w:t xml:space="preserve"> general market data, such as interest rate risk, spread risk, FX risk. However, for certain elements the inclusion of non-equivalent third country subsidiaries in the group can result in </w:t>
            </w:r>
            <w:r>
              <w:rPr>
                <w:rFonts w:ascii="Verdana" w:hAnsi="Verdana"/>
                <w:color w:val="7F7F7F" w:themeColor="text1" w:themeTint="80"/>
                <w:sz w:val="22"/>
                <w:szCs w:val="22"/>
                <w:lang w:val="en-US" w:eastAsia="fr-FR"/>
              </w:rPr>
              <w:t xml:space="preserve">an </w:t>
            </w:r>
            <w:r w:rsidRPr="00B0081A">
              <w:rPr>
                <w:rFonts w:ascii="Verdana" w:hAnsi="Verdana"/>
                <w:color w:val="7F7F7F" w:themeColor="text1" w:themeTint="80"/>
                <w:sz w:val="22"/>
                <w:szCs w:val="22"/>
                <w:lang w:val="en-US" w:eastAsia="fr-FR"/>
              </w:rPr>
              <w:t xml:space="preserve">onerous and inappropriate treatment. </w:t>
            </w:r>
          </w:p>
          <w:p w14:paraId="50C8EF3A" w14:textId="67120BCF" w:rsidR="006F5ECC" w:rsidRPr="00B0081A" w:rsidRDefault="006F5ECC" w:rsidP="00020B14">
            <w:pPr>
              <w:tabs>
                <w:tab w:val="left" w:pos="0"/>
                <w:tab w:val="left" w:pos="4536"/>
              </w:tabs>
              <w:rPr>
                <w:rFonts w:ascii="Verdana" w:hAnsi="Verdana"/>
                <w:color w:val="7F7F7F" w:themeColor="text1" w:themeTint="80"/>
                <w:sz w:val="22"/>
                <w:szCs w:val="22"/>
                <w:lang w:val="en-US" w:eastAsia="fr-FR"/>
              </w:rPr>
            </w:pPr>
            <w:r w:rsidRPr="00B0081A">
              <w:rPr>
                <w:rFonts w:ascii="Verdana" w:hAnsi="Verdana"/>
                <w:color w:val="7F7F7F" w:themeColor="text1" w:themeTint="80"/>
                <w:sz w:val="22"/>
                <w:szCs w:val="22"/>
                <w:lang w:val="en-US" w:eastAsia="fr-FR"/>
              </w:rPr>
              <w:t>For example</w:t>
            </w:r>
            <w:r>
              <w:rPr>
                <w:rFonts w:ascii="Verdana" w:hAnsi="Verdana"/>
                <w:color w:val="7F7F7F" w:themeColor="text1" w:themeTint="80"/>
                <w:sz w:val="22"/>
                <w:szCs w:val="22"/>
                <w:lang w:val="en-US" w:eastAsia="fr-FR"/>
              </w:rPr>
              <w:t>, c</w:t>
            </w:r>
            <w:r w:rsidRPr="00B0081A">
              <w:rPr>
                <w:rFonts w:ascii="Verdana" w:hAnsi="Verdana"/>
                <w:color w:val="7F7F7F" w:themeColor="text1" w:themeTint="80"/>
                <w:sz w:val="22"/>
                <w:szCs w:val="22"/>
                <w:lang w:val="en-US" w:eastAsia="fr-FR"/>
              </w:rPr>
              <w:t xml:space="preserve">onsider a non-equivalent third country with a credit quality step (CQS) below 3. An insurance entity in that </w:t>
            </w:r>
            <w:r>
              <w:rPr>
                <w:rFonts w:ascii="Verdana" w:hAnsi="Verdana"/>
                <w:color w:val="7F7F7F" w:themeColor="text1" w:themeTint="80"/>
                <w:sz w:val="22"/>
                <w:szCs w:val="22"/>
                <w:lang w:val="en-US" w:eastAsia="fr-FR"/>
              </w:rPr>
              <w:t>t</w:t>
            </w:r>
            <w:r w:rsidRPr="00B0081A">
              <w:rPr>
                <w:rFonts w:ascii="Verdana" w:hAnsi="Verdana"/>
                <w:color w:val="7F7F7F" w:themeColor="text1" w:themeTint="80"/>
                <w:sz w:val="22"/>
                <w:szCs w:val="22"/>
                <w:lang w:val="en-US" w:eastAsia="fr-FR"/>
              </w:rPr>
              <w:t xml:space="preserve">hird country has a reinsurance contract </w:t>
            </w:r>
            <w:r>
              <w:rPr>
                <w:rFonts w:ascii="Verdana" w:hAnsi="Verdana"/>
                <w:color w:val="7F7F7F" w:themeColor="text1" w:themeTint="80"/>
                <w:sz w:val="22"/>
                <w:szCs w:val="22"/>
                <w:lang w:val="en-US" w:eastAsia="fr-FR"/>
              </w:rPr>
              <w:t>with a local reinsurer located in</w:t>
            </w:r>
            <w:r w:rsidRPr="00B0081A">
              <w:rPr>
                <w:rFonts w:ascii="Verdana" w:hAnsi="Verdana"/>
                <w:color w:val="7F7F7F" w:themeColor="text1" w:themeTint="80"/>
                <w:sz w:val="22"/>
                <w:szCs w:val="22"/>
                <w:lang w:val="en-US" w:eastAsia="fr-FR"/>
              </w:rPr>
              <w:t xml:space="preserve"> the same </w:t>
            </w:r>
            <w:r>
              <w:rPr>
                <w:rFonts w:ascii="Verdana" w:hAnsi="Verdana"/>
                <w:color w:val="7F7F7F" w:themeColor="text1" w:themeTint="80"/>
                <w:sz w:val="22"/>
                <w:szCs w:val="22"/>
                <w:lang w:val="en-US" w:eastAsia="fr-FR"/>
              </w:rPr>
              <w:t>t</w:t>
            </w:r>
            <w:r w:rsidRPr="00B0081A">
              <w:rPr>
                <w:rFonts w:ascii="Verdana" w:hAnsi="Verdana"/>
                <w:color w:val="7F7F7F" w:themeColor="text1" w:themeTint="80"/>
                <w:sz w:val="22"/>
                <w:szCs w:val="22"/>
                <w:lang w:val="en-US" w:eastAsia="fr-FR"/>
              </w:rPr>
              <w:t xml:space="preserve">hird country. The local prudential legislation is applied and the insurer is solvent based on the local legislation, but which is not deemed to be equivalent. </w:t>
            </w:r>
            <w:r>
              <w:rPr>
                <w:rFonts w:ascii="Verdana" w:hAnsi="Verdana"/>
                <w:color w:val="7F7F7F" w:themeColor="text1" w:themeTint="80"/>
                <w:sz w:val="22"/>
                <w:szCs w:val="22"/>
                <w:lang w:val="en-US" w:eastAsia="fr-FR"/>
              </w:rPr>
              <w:t>The issues arise once</w:t>
            </w:r>
            <w:r w:rsidRPr="00B0081A">
              <w:rPr>
                <w:rFonts w:ascii="Verdana" w:hAnsi="Verdana"/>
                <w:color w:val="7F7F7F" w:themeColor="text1" w:themeTint="80"/>
                <w:sz w:val="22"/>
                <w:szCs w:val="22"/>
                <w:lang w:val="en-US" w:eastAsia="fr-FR"/>
              </w:rPr>
              <w:t xml:space="preserve"> this </w:t>
            </w:r>
            <w:r>
              <w:rPr>
                <w:rFonts w:ascii="Verdana" w:hAnsi="Verdana"/>
                <w:color w:val="7F7F7F" w:themeColor="text1" w:themeTint="80"/>
                <w:sz w:val="22"/>
                <w:szCs w:val="22"/>
                <w:lang w:val="en-US" w:eastAsia="fr-FR"/>
              </w:rPr>
              <w:t xml:space="preserve">non-equivalent third country </w:t>
            </w:r>
            <w:r w:rsidRPr="00B0081A">
              <w:rPr>
                <w:rFonts w:ascii="Verdana" w:hAnsi="Verdana"/>
                <w:color w:val="7F7F7F" w:themeColor="text1" w:themeTint="80"/>
                <w:sz w:val="22"/>
                <w:szCs w:val="22"/>
                <w:lang w:val="en-US" w:eastAsia="fr-FR"/>
              </w:rPr>
              <w:t>entity is consolidated.</w:t>
            </w:r>
          </w:p>
          <w:p w14:paraId="478E73CA" w14:textId="0B64B21A" w:rsidR="006F5ECC" w:rsidRPr="00B0081A" w:rsidRDefault="006F5ECC" w:rsidP="00020B14">
            <w:pPr>
              <w:tabs>
                <w:tab w:val="left" w:pos="0"/>
                <w:tab w:val="left" w:pos="4536"/>
              </w:tabs>
              <w:rPr>
                <w:rFonts w:ascii="Verdana" w:hAnsi="Verdana"/>
                <w:color w:val="7F7F7F" w:themeColor="text1" w:themeTint="80"/>
                <w:sz w:val="22"/>
                <w:szCs w:val="22"/>
                <w:lang w:val="en-US" w:eastAsia="fr-FR"/>
              </w:rPr>
            </w:pPr>
            <w:r>
              <w:rPr>
                <w:rFonts w:ascii="Verdana" w:hAnsi="Verdana"/>
                <w:color w:val="7F7F7F" w:themeColor="text1" w:themeTint="80"/>
                <w:sz w:val="22"/>
                <w:szCs w:val="22"/>
                <w:lang w:val="en-US" w:eastAsia="fr-FR"/>
              </w:rPr>
              <w:t xml:space="preserve">According to </w:t>
            </w:r>
            <w:r w:rsidRPr="00B0081A">
              <w:rPr>
                <w:rFonts w:ascii="Verdana" w:hAnsi="Verdana"/>
                <w:color w:val="7F7F7F" w:themeColor="text1" w:themeTint="80"/>
                <w:sz w:val="22"/>
                <w:szCs w:val="22"/>
                <w:lang w:val="en-US" w:eastAsia="fr-FR"/>
              </w:rPr>
              <w:t xml:space="preserve">Article 211 (2)(c), an insurer </w:t>
            </w:r>
            <w:r>
              <w:rPr>
                <w:rFonts w:ascii="Verdana" w:hAnsi="Verdana"/>
                <w:color w:val="7F7F7F" w:themeColor="text1" w:themeTint="80"/>
                <w:sz w:val="22"/>
                <w:szCs w:val="22"/>
                <w:lang w:val="en-US" w:eastAsia="fr-FR"/>
              </w:rPr>
              <w:t>located</w:t>
            </w:r>
            <w:r w:rsidRPr="00B0081A">
              <w:rPr>
                <w:rFonts w:ascii="Verdana" w:hAnsi="Verdana"/>
                <w:color w:val="7F7F7F" w:themeColor="text1" w:themeTint="80"/>
                <w:sz w:val="22"/>
                <w:szCs w:val="22"/>
                <w:lang w:val="en-US" w:eastAsia="fr-FR"/>
              </w:rPr>
              <w:t xml:space="preserve"> in the European Union </w:t>
            </w:r>
            <w:r>
              <w:rPr>
                <w:rFonts w:ascii="Verdana" w:hAnsi="Verdana"/>
                <w:color w:val="7F7F7F" w:themeColor="text1" w:themeTint="80"/>
                <w:sz w:val="22"/>
                <w:szCs w:val="22"/>
                <w:lang w:val="en-US" w:eastAsia="fr-FR"/>
              </w:rPr>
              <w:t>should ensure</w:t>
            </w:r>
            <w:r w:rsidRPr="00B0081A">
              <w:rPr>
                <w:rFonts w:ascii="Verdana" w:hAnsi="Verdana"/>
                <w:color w:val="7F7F7F" w:themeColor="text1" w:themeTint="80"/>
                <w:sz w:val="22"/>
                <w:szCs w:val="22"/>
                <w:lang w:val="en-US" w:eastAsia="fr-FR"/>
              </w:rPr>
              <w:t xml:space="preserve"> that the risk mitigation is effective. </w:t>
            </w:r>
            <w:r>
              <w:rPr>
                <w:rFonts w:ascii="Verdana" w:hAnsi="Verdana"/>
                <w:color w:val="7F7F7F" w:themeColor="text1" w:themeTint="80"/>
                <w:sz w:val="22"/>
                <w:szCs w:val="22"/>
                <w:lang w:val="en-US" w:eastAsia="fr-FR"/>
              </w:rPr>
              <w:t>However,</w:t>
            </w:r>
            <w:r w:rsidRPr="00B0081A">
              <w:rPr>
                <w:rFonts w:ascii="Verdana" w:hAnsi="Verdana"/>
                <w:color w:val="7F7F7F" w:themeColor="text1" w:themeTint="80"/>
                <w:sz w:val="22"/>
                <w:szCs w:val="22"/>
                <w:lang w:val="en-US" w:eastAsia="fr-FR"/>
              </w:rPr>
              <w:t xml:space="preserve"> this is not fully the case </w:t>
            </w:r>
            <w:r>
              <w:rPr>
                <w:rFonts w:ascii="Verdana" w:hAnsi="Verdana"/>
                <w:color w:val="7F7F7F" w:themeColor="text1" w:themeTint="80"/>
                <w:sz w:val="22"/>
                <w:szCs w:val="22"/>
                <w:lang w:val="en-US" w:eastAsia="fr-FR"/>
              </w:rPr>
              <w:t>when</w:t>
            </w:r>
            <w:r w:rsidRPr="00B0081A">
              <w:rPr>
                <w:rFonts w:ascii="Verdana" w:hAnsi="Verdana"/>
                <w:color w:val="7F7F7F" w:themeColor="text1" w:themeTint="80"/>
                <w:sz w:val="22"/>
                <w:szCs w:val="22"/>
                <w:lang w:val="en-US" w:eastAsia="fr-FR"/>
              </w:rPr>
              <w:t xml:space="preserve"> the </w:t>
            </w:r>
            <w:r>
              <w:rPr>
                <w:rFonts w:ascii="Verdana" w:hAnsi="Verdana"/>
                <w:color w:val="7F7F7F" w:themeColor="text1" w:themeTint="80"/>
                <w:sz w:val="22"/>
                <w:szCs w:val="22"/>
                <w:lang w:val="en-US" w:eastAsia="fr-FR"/>
              </w:rPr>
              <w:t>rating/</w:t>
            </w:r>
            <w:r w:rsidRPr="00B0081A">
              <w:rPr>
                <w:rFonts w:ascii="Verdana" w:hAnsi="Verdana"/>
                <w:color w:val="7F7F7F" w:themeColor="text1" w:themeTint="80"/>
                <w:sz w:val="22"/>
                <w:szCs w:val="22"/>
                <w:lang w:val="en-US" w:eastAsia="fr-FR"/>
              </w:rPr>
              <w:t>CQS is below 3. From this perspective this can be justified.</w:t>
            </w:r>
          </w:p>
          <w:p w14:paraId="3EFCDF8E" w14:textId="33EFF62C" w:rsidR="006F5ECC" w:rsidRPr="00B0081A" w:rsidRDefault="006F5ECC" w:rsidP="00020B14">
            <w:pPr>
              <w:tabs>
                <w:tab w:val="left" w:pos="0"/>
                <w:tab w:val="left" w:pos="4536"/>
              </w:tabs>
              <w:rPr>
                <w:rFonts w:ascii="Verdana" w:hAnsi="Verdana"/>
                <w:color w:val="7F7F7F" w:themeColor="text1" w:themeTint="80"/>
                <w:sz w:val="22"/>
                <w:szCs w:val="22"/>
                <w:lang w:val="en-US" w:eastAsia="fr-FR"/>
              </w:rPr>
            </w:pPr>
            <w:r>
              <w:rPr>
                <w:rFonts w:ascii="Verdana" w:hAnsi="Verdana"/>
                <w:color w:val="7F7F7F" w:themeColor="text1" w:themeTint="80"/>
                <w:sz w:val="22"/>
                <w:szCs w:val="22"/>
                <w:lang w:val="en-US" w:eastAsia="fr-FR"/>
              </w:rPr>
              <w:lastRenderedPageBreak/>
              <w:t>If we</w:t>
            </w:r>
            <w:r w:rsidRPr="00B0081A">
              <w:rPr>
                <w:rFonts w:ascii="Verdana" w:hAnsi="Verdana"/>
                <w:color w:val="7F7F7F" w:themeColor="text1" w:themeTint="80"/>
                <w:sz w:val="22"/>
                <w:szCs w:val="22"/>
                <w:lang w:val="en-US" w:eastAsia="fr-FR"/>
              </w:rPr>
              <w:t xml:space="preserve"> consider again the above example</w:t>
            </w:r>
            <w:r>
              <w:rPr>
                <w:rFonts w:ascii="Verdana" w:hAnsi="Verdana"/>
                <w:color w:val="7F7F7F" w:themeColor="text1" w:themeTint="80"/>
                <w:sz w:val="22"/>
                <w:szCs w:val="22"/>
                <w:lang w:val="en-US" w:eastAsia="fr-FR"/>
              </w:rPr>
              <w:t>,</w:t>
            </w:r>
            <w:r w:rsidRPr="00B0081A">
              <w:rPr>
                <w:rFonts w:ascii="Verdana" w:hAnsi="Verdana"/>
                <w:color w:val="7F7F7F" w:themeColor="text1" w:themeTint="80"/>
                <w:sz w:val="22"/>
                <w:szCs w:val="22"/>
                <w:lang w:val="en-US" w:eastAsia="fr-FR"/>
              </w:rPr>
              <w:t xml:space="preserve"> If the non-equivalent third country insurer is aggregated as part of the group, the group has to apply all the Solvency II requirements to this subsidiary including </w:t>
            </w:r>
            <w:r>
              <w:rPr>
                <w:rFonts w:ascii="Verdana" w:hAnsi="Verdana"/>
                <w:color w:val="7F7F7F" w:themeColor="text1" w:themeTint="80"/>
                <w:sz w:val="22"/>
                <w:szCs w:val="22"/>
                <w:lang w:val="en-US" w:eastAsia="fr-FR"/>
              </w:rPr>
              <w:t>A</w:t>
            </w:r>
            <w:r w:rsidRPr="00B0081A">
              <w:rPr>
                <w:rFonts w:ascii="Verdana" w:hAnsi="Verdana"/>
                <w:color w:val="7F7F7F" w:themeColor="text1" w:themeTint="80"/>
                <w:sz w:val="22"/>
                <w:szCs w:val="22"/>
                <w:lang w:val="en-US" w:eastAsia="fr-FR"/>
              </w:rPr>
              <w:t>rticle 211. Suddenly, the risk mitigation</w:t>
            </w:r>
            <w:r>
              <w:rPr>
                <w:rFonts w:ascii="Verdana" w:hAnsi="Verdana"/>
                <w:color w:val="7F7F7F" w:themeColor="text1" w:themeTint="80"/>
                <w:sz w:val="22"/>
                <w:szCs w:val="22"/>
                <w:lang w:val="en-US" w:eastAsia="fr-FR"/>
              </w:rPr>
              <w:t xml:space="preserve"> instrument</w:t>
            </w:r>
            <w:r w:rsidRPr="00B0081A">
              <w:rPr>
                <w:rFonts w:ascii="Verdana" w:hAnsi="Verdana"/>
                <w:color w:val="7F7F7F" w:themeColor="text1" w:themeTint="80"/>
                <w:sz w:val="22"/>
                <w:szCs w:val="22"/>
                <w:lang w:val="en-US" w:eastAsia="fr-FR"/>
              </w:rPr>
              <w:t xml:space="preserve"> which is locally deemed to be effective and working</w:t>
            </w:r>
            <w:r>
              <w:rPr>
                <w:rFonts w:ascii="Verdana" w:hAnsi="Verdana"/>
                <w:color w:val="7F7F7F" w:themeColor="text1" w:themeTint="80"/>
                <w:sz w:val="22"/>
                <w:szCs w:val="22"/>
                <w:lang w:val="en-US" w:eastAsia="fr-FR"/>
              </w:rPr>
              <w:t xml:space="preserve"> in practice,</w:t>
            </w:r>
            <w:r w:rsidRPr="00B0081A">
              <w:rPr>
                <w:rFonts w:ascii="Verdana" w:hAnsi="Verdana"/>
                <w:color w:val="7F7F7F" w:themeColor="text1" w:themeTint="80"/>
                <w:sz w:val="22"/>
                <w:szCs w:val="22"/>
                <w:lang w:val="en-US" w:eastAsia="fr-FR"/>
              </w:rPr>
              <w:t xml:space="preserve"> is not effective anymore. This fact has an enormous impact on the </w:t>
            </w:r>
            <w:r>
              <w:rPr>
                <w:rFonts w:ascii="Verdana" w:hAnsi="Verdana"/>
                <w:color w:val="7F7F7F" w:themeColor="text1" w:themeTint="80"/>
                <w:sz w:val="22"/>
                <w:szCs w:val="22"/>
                <w:lang w:val="en-US" w:eastAsia="fr-FR"/>
              </w:rPr>
              <w:t xml:space="preserve">group </w:t>
            </w:r>
            <w:r w:rsidRPr="00B0081A">
              <w:rPr>
                <w:rFonts w:ascii="Verdana" w:hAnsi="Verdana"/>
                <w:color w:val="7F7F7F" w:themeColor="text1" w:themeTint="80"/>
                <w:sz w:val="22"/>
                <w:szCs w:val="22"/>
                <w:lang w:val="en-US" w:eastAsia="fr-FR"/>
              </w:rPr>
              <w:t>economic balance sheet and the capital requirements.</w:t>
            </w:r>
          </w:p>
          <w:p w14:paraId="37B5BD61" w14:textId="061915E5" w:rsidR="006F5ECC" w:rsidRPr="00B0081A" w:rsidRDefault="006F5ECC" w:rsidP="00020B14">
            <w:pPr>
              <w:tabs>
                <w:tab w:val="left" w:pos="0"/>
                <w:tab w:val="left" w:pos="4536"/>
              </w:tabs>
              <w:rPr>
                <w:rFonts w:ascii="Verdana" w:hAnsi="Verdana"/>
                <w:color w:val="7F7F7F" w:themeColor="text1" w:themeTint="80"/>
                <w:sz w:val="22"/>
                <w:szCs w:val="22"/>
                <w:lang w:val="en-US" w:eastAsia="fr-FR"/>
              </w:rPr>
            </w:pPr>
            <w:r w:rsidRPr="00B0081A">
              <w:rPr>
                <w:rFonts w:ascii="Verdana" w:hAnsi="Verdana"/>
                <w:color w:val="7F7F7F" w:themeColor="text1" w:themeTint="80"/>
                <w:sz w:val="22"/>
                <w:szCs w:val="22"/>
                <w:lang w:val="en-US" w:eastAsia="fr-FR"/>
              </w:rPr>
              <w:t>The resulting impact is very negative, is not intuitive, provide incorrect management incentives and has also a very negative impact on the willingness of groups investing outside the European Union in non-equivalent third countries and/or countries which have a temporary equivalence.</w:t>
            </w:r>
          </w:p>
        </w:tc>
        <w:tc>
          <w:tcPr>
            <w:tcW w:w="483" w:type="pct"/>
            <w:tcBorders>
              <w:top w:val="single" w:sz="4" w:space="0" w:color="auto"/>
              <w:left w:val="single" w:sz="4" w:space="0" w:color="auto"/>
              <w:bottom w:val="single" w:sz="4" w:space="0" w:color="auto"/>
              <w:right w:val="single" w:sz="4" w:space="0" w:color="auto"/>
            </w:tcBorders>
          </w:tcPr>
          <w:p w14:paraId="522F13DE"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196B6A7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B544DB9" w14:textId="7FD1026F"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4C368D05" w14:textId="041F0BA4"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389</w:t>
            </w:r>
          </w:p>
        </w:tc>
        <w:tc>
          <w:tcPr>
            <w:tcW w:w="1999" w:type="pct"/>
            <w:tcBorders>
              <w:top w:val="single" w:sz="4" w:space="0" w:color="auto"/>
              <w:left w:val="single" w:sz="4" w:space="0" w:color="auto"/>
              <w:bottom w:val="single" w:sz="4" w:space="0" w:color="auto"/>
              <w:right w:val="single" w:sz="4" w:space="0" w:color="auto"/>
            </w:tcBorders>
            <w:vAlign w:val="bottom"/>
          </w:tcPr>
          <w:p w14:paraId="7EBDC350" w14:textId="77777777" w:rsidR="006F5ECC" w:rsidRPr="00F0251A" w:rsidRDefault="006F5ECC" w:rsidP="00020B14">
            <w:pPr>
              <w:tabs>
                <w:tab w:val="left" w:pos="0"/>
                <w:tab w:val="left" w:pos="4536"/>
              </w:tabs>
              <w:spacing w:line="238" w:lineRule="auto"/>
              <w:ind w:right="220"/>
              <w:rPr>
                <w:rFonts w:ascii="Verdana" w:eastAsia="Verdana" w:hAnsi="Verdana" w:cs="Verdana"/>
                <w:b/>
                <w:bCs/>
                <w:color w:val="7F7F7F" w:themeColor="text1" w:themeTint="80"/>
                <w:sz w:val="22"/>
                <w:szCs w:val="22"/>
                <w:lang w:val="en-US"/>
              </w:rPr>
            </w:pPr>
            <w:r w:rsidRPr="007A2B57">
              <w:rPr>
                <w:rFonts w:ascii="Verdana" w:eastAsia="Verdana" w:hAnsi="Verdana" w:cs="Verdana"/>
                <w:b/>
                <w:bCs/>
                <w:color w:val="7F7F7F" w:themeColor="text1" w:themeTint="80"/>
                <w:sz w:val="22"/>
                <w:szCs w:val="22"/>
                <w:lang w:val="en-US"/>
              </w:rPr>
              <w:t xml:space="preserve">Policy issue 2: Change of calculation method for minimum consolidated </w:t>
            </w:r>
            <w:r w:rsidRPr="00F0251A">
              <w:rPr>
                <w:rFonts w:ascii="Verdana" w:eastAsia="Verdana" w:hAnsi="Verdana" w:cs="Verdana"/>
                <w:b/>
                <w:bCs/>
                <w:color w:val="7F7F7F" w:themeColor="text1" w:themeTint="80"/>
                <w:sz w:val="22"/>
                <w:szCs w:val="22"/>
                <w:lang w:val="en-US"/>
              </w:rPr>
              <w:t>group SCR</w:t>
            </w:r>
          </w:p>
          <w:p w14:paraId="50FAD217" w14:textId="7D7B7668" w:rsidR="006F5ECC" w:rsidRPr="00F0251A" w:rsidRDefault="006F5ECC" w:rsidP="00020B14">
            <w:pPr>
              <w:tabs>
                <w:tab w:val="left" w:pos="0"/>
                <w:tab w:val="left" w:pos="4536"/>
              </w:tabs>
              <w:rPr>
                <w:rFonts w:ascii="Verdana" w:hAnsi="Verdana" w:cs="Helvetica"/>
                <w:color w:val="7F7F7F" w:themeColor="text1" w:themeTint="80"/>
                <w:sz w:val="22"/>
                <w:szCs w:val="22"/>
                <w:lang w:val="en-US"/>
              </w:rPr>
            </w:pPr>
            <w:r w:rsidRPr="00F0251A">
              <w:rPr>
                <w:rFonts w:ascii="Verdana" w:hAnsi="Verdana" w:cs="Helvetica"/>
                <w:color w:val="7F7F7F" w:themeColor="text1" w:themeTint="80"/>
                <w:sz w:val="22"/>
                <w:szCs w:val="22"/>
                <w:lang w:val="en-US"/>
              </w:rPr>
              <w:t xml:space="preserve">The European Commission had echoed the industry concerns regarding the approach to calculate the minimum consolidated group SCR (i.e. </w:t>
            </w:r>
            <w:r>
              <w:rPr>
                <w:rFonts w:ascii="Verdana" w:hAnsi="Verdana" w:cs="Helvetica"/>
                <w:color w:val="7F7F7F" w:themeColor="text1" w:themeTint="80"/>
                <w:sz w:val="22"/>
                <w:szCs w:val="22"/>
                <w:lang w:val="en-US"/>
              </w:rPr>
              <w:t>“</w:t>
            </w:r>
            <w:r w:rsidRPr="00F0251A">
              <w:rPr>
                <w:rFonts w:ascii="Verdana" w:hAnsi="Verdana" w:cs="Helvetica"/>
                <w:color w:val="7F7F7F" w:themeColor="text1" w:themeTint="80"/>
                <w:sz w:val="22"/>
                <w:szCs w:val="22"/>
                <w:lang w:val="en-US"/>
              </w:rPr>
              <w:t>group MCR</w:t>
            </w:r>
            <w:r>
              <w:rPr>
                <w:rFonts w:ascii="Verdana" w:hAnsi="Verdana" w:cs="Helvetica"/>
                <w:color w:val="7F7F7F" w:themeColor="text1" w:themeTint="80"/>
                <w:sz w:val="22"/>
                <w:szCs w:val="22"/>
                <w:lang w:val="en-US"/>
              </w:rPr>
              <w:t>”</w:t>
            </w:r>
            <w:r w:rsidRPr="00F0251A">
              <w:rPr>
                <w:rFonts w:ascii="Verdana" w:hAnsi="Verdana" w:cs="Helvetica"/>
                <w:color w:val="7F7F7F" w:themeColor="text1" w:themeTint="80"/>
                <w:sz w:val="22"/>
                <w:szCs w:val="22"/>
                <w:lang w:val="en-US"/>
              </w:rPr>
              <w:t>) given that for the MCR at group level there is not a corridor. As a result, for some groups</w:t>
            </w:r>
            <w:r>
              <w:rPr>
                <w:rFonts w:ascii="Verdana" w:hAnsi="Verdana" w:cs="Helvetica"/>
                <w:color w:val="7F7F7F" w:themeColor="text1" w:themeTint="80"/>
                <w:sz w:val="22"/>
                <w:szCs w:val="22"/>
                <w:lang w:val="en-US"/>
              </w:rPr>
              <w:t xml:space="preserve"> </w:t>
            </w:r>
            <w:r w:rsidRPr="00F0251A">
              <w:rPr>
                <w:rFonts w:ascii="Verdana" w:hAnsi="Verdana" w:cs="Helvetica"/>
                <w:color w:val="7F7F7F" w:themeColor="text1" w:themeTint="80"/>
                <w:sz w:val="22"/>
                <w:szCs w:val="22"/>
                <w:lang w:val="en-US"/>
              </w:rPr>
              <w:t>the group MCR is close (or even equal) to the group SCR, and the group MCR ratio can be lower than or very close to the group SCR ratio. Therefore, there may be cases where a group breaches its group MCR before its group SCR. In such cases, the group MCR limits the diversification benefits that groups may</w:t>
            </w:r>
            <w:r>
              <w:rPr>
                <w:rFonts w:ascii="Verdana" w:hAnsi="Verdana" w:cs="Helvetica"/>
                <w:color w:val="7F7F7F" w:themeColor="text1" w:themeTint="80"/>
                <w:sz w:val="22"/>
                <w:szCs w:val="22"/>
                <w:lang w:val="en-US"/>
              </w:rPr>
              <w:t xml:space="preserve"> recognize</w:t>
            </w:r>
            <w:r w:rsidRPr="00F0251A">
              <w:rPr>
                <w:rFonts w:ascii="Verdana" w:hAnsi="Verdana" w:cs="Helvetica"/>
                <w:color w:val="7F7F7F" w:themeColor="text1" w:themeTint="80"/>
                <w:sz w:val="22"/>
                <w:szCs w:val="22"/>
                <w:lang w:val="en-US"/>
              </w:rPr>
              <w:t xml:space="preserve"> in their capital requirements.</w:t>
            </w:r>
          </w:p>
          <w:p w14:paraId="63CCD859" w14:textId="77777777" w:rsidR="006F5ECC" w:rsidRPr="00E346BC" w:rsidRDefault="006F5ECC" w:rsidP="00020B14">
            <w:pPr>
              <w:tabs>
                <w:tab w:val="left" w:pos="0"/>
                <w:tab w:val="left" w:pos="4536"/>
              </w:tabs>
              <w:rPr>
                <w:rFonts w:ascii="Verdana" w:hAnsi="Verdana"/>
                <w:color w:val="7F7F7F"/>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4494BEE0"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79B273CA"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9D70BBD" w14:textId="210A5024"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19EA0D75" w14:textId="2679FB79"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390</w:t>
            </w:r>
          </w:p>
        </w:tc>
        <w:tc>
          <w:tcPr>
            <w:tcW w:w="1999" w:type="pct"/>
            <w:tcBorders>
              <w:top w:val="single" w:sz="4" w:space="0" w:color="auto"/>
              <w:left w:val="single" w:sz="4" w:space="0" w:color="auto"/>
              <w:bottom w:val="single" w:sz="4" w:space="0" w:color="auto"/>
              <w:right w:val="single" w:sz="4" w:space="0" w:color="auto"/>
            </w:tcBorders>
            <w:vAlign w:val="bottom"/>
          </w:tcPr>
          <w:p w14:paraId="4312F308" w14:textId="3B51DF72" w:rsidR="006F5ECC" w:rsidRDefault="006F5ECC" w:rsidP="00020B14">
            <w:pPr>
              <w:tabs>
                <w:tab w:val="left" w:pos="0"/>
                <w:tab w:val="left" w:pos="4536"/>
              </w:tabs>
              <w:rPr>
                <w:rFonts w:ascii="Verdana" w:hAnsi="Verdana"/>
                <w:color w:val="7F7F7F"/>
                <w:sz w:val="22"/>
                <w:szCs w:val="22"/>
                <w:lang w:val="en-US" w:eastAsia="fr-FR"/>
              </w:rPr>
            </w:pPr>
            <w:r w:rsidRPr="00E346BC">
              <w:rPr>
                <w:rFonts w:ascii="Verdana" w:hAnsi="Verdana"/>
                <w:color w:val="7F7F7F"/>
                <w:sz w:val="22"/>
                <w:szCs w:val="22"/>
                <w:lang w:val="en-US" w:eastAsia="fr-FR"/>
              </w:rPr>
              <w:t xml:space="preserve">When considering the underestimation, EIOPA should also consider the impact of not having </w:t>
            </w:r>
            <w:r>
              <w:rPr>
                <w:rFonts w:ascii="Verdana" w:hAnsi="Verdana"/>
                <w:color w:val="7F7F7F"/>
                <w:sz w:val="22"/>
                <w:szCs w:val="22"/>
                <w:lang w:val="en-US" w:eastAsia="fr-FR"/>
              </w:rPr>
              <w:t>a</w:t>
            </w:r>
            <w:r w:rsidRPr="00E346BC">
              <w:rPr>
                <w:rFonts w:ascii="Verdana" w:hAnsi="Verdana"/>
                <w:color w:val="7F7F7F"/>
                <w:sz w:val="22"/>
                <w:szCs w:val="22"/>
                <w:lang w:val="en-US" w:eastAsia="fr-FR"/>
              </w:rPr>
              <w:t xml:space="preserve"> corridor at group level. This results in many cases </w:t>
            </w:r>
            <w:r>
              <w:rPr>
                <w:rFonts w:ascii="Verdana" w:hAnsi="Verdana"/>
                <w:color w:val="7F7F7F"/>
                <w:sz w:val="22"/>
                <w:szCs w:val="22"/>
                <w:lang w:val="en-US" w:eastAsia="fr-FR"/>
              </w:rPr>
              <w:t>in</w:t>
            </w:r>
            <w:r w:rsidRPr="00E346BC">
              <w:rPr>
                <w:rFonts w:ascii="Verdana" w:hAnsi="Verdana"/>
                <w:color w:val="7F7F7F"/>
                <w:sz w:val="22"/>
                <w:szCs w:val="22"/>
                <w:lang w:val="en-US" w:eastAsia="fr-FR"/>
              </w:rPr>
              <w:t xml:space="preserve"> a higher MCR/SCR ratio than 45%.</w:t>
            </w:r>
          </w:p>
        </w:tc>
        <w:tc>
          <w:tcPr>
            <w:tcW w:w="483" w:type="pct"/>
            <w:tcBorders>
              <w:top w:val="single" w:sz="4" w:space="0" w:color="auto"/>
              <w:left w:val="single" w:sz="4" w:space="0" w:color="auto"/>
              <w:bottom w:val="single" w:sz="4" w:space="0" w:color="auto"/>
              <w:right w:val="single" w:sz="4" w:space="0" w:color="auto"/>
            </w:tcBorders>
          </w:tcPr>
          <w:p w14:paraId="49025638"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C87076" w14:paraId="4B9E8B2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E10F73B" w14:textId="5AD2D1FE"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7BE96D2B" w14:textId="2CEF445D"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391</w:t>
            </w:r>
          </w:p>
        </w:tc>
        <w:tc>
          <w:tcPr>
            <w:tcW w:w="1999" w:type="pct"/>
            <w:tcBorders>
              <w:top w:val="single" w:sz="4" w:space="0" w:color="auto"/>
              <w:left w:val="single" w:sz="4" w:space="0" w:color="auto"/>
              <w:bottom w:val="single" w:sz="4" w:space="0" w:color="auto"/>
              <w:right w:val="single" w:sz="4" w:space="0" w:color="auto"/>
            </w:tcBorders>
            <w:vAlign w:val="bottom"/>
          </w:tcPr>
          <w:p w14:paraId="450E098D" w14:textId="4A25A045" w:rsidR="006F5ECC" w:rsidRDefault="006F5ECC" w:rsidP="00020B14">
            <w:pPr>
              <w:tabs>
                <w:tab w:val="left" w:pos="0"/>
                <w:tab w:val="left" w:pos="4536"/>
              </w:tabs>
              <w:rPr>
                <w:rFonts w:ascii="Verdana" w:hAnsi="Verdana"/>
                <w:color w:val="7F7F7F"/>
                <w:sz w:val="22"/>
                <w:szCs w:val="22"/>
                <w:lang w:val="en-US" w:eastAsia="fr-FR"/>
              </w:rPr>
            </w:pPr>
            <w:r w:rsidRPr="0066714C">
              <w:rPr>
                <w:rFonts w:ascii="Verdana" w:hAnsi="Verdana"/>
                <w:color w:val="7F7F7F"/>
                <w:sz w:val="22"/>
                <w:szCs w:val="22"/>
                <w:lang w:val="en-US" w:eastAsia="fr-FR"/>
              </w:rPr>
              <w:t>If the notional SCR is to be taken into consideration, the issue of including IGT</w:t>
            </w:r>
            <w:r>
              <w:rPr>
                <w:rFonts w:ascii="Verdana" w:hAnsi="Verdana"/>
                <w:color w:val="7F7F7F"/>
                <w:sz w:val="22"/>
                <w:szCs w:val="22"/>
                <w:lang w:val="en-US" w:eastAsia="fr-FR"/>
              </w:rPr>
              <w:t>s</w:t>
            </w:r>
            <w:r w:rsidRPr="0066714C">
              <w:rPr>
                <w:rFonts w:ascii="Verdana" w:hAnsi="Verdana"/>
                <w:color w:val="7F7F7F"/>
                <w:sz w:val="22"/>
                <w:szCs w:val="22"/>
                <w:lang w:val="en-US" w:eastAsia="fr-FR"/>
              </w:rPr>
              <w:t xml:space="preserve"> in the calculation rather than deleting </w:t>
            </w:r>
            <w:r>
              <w:rPr>
                <w:rFonts w:ascii="Verdana" w:hAnsi="Verdana"/>
                <w:color w:val="7F7F7F"/>
                <w:sz w:val="22"/>
                <w:szCs w:val="22"/>
                <w:lang w:val="en-US" w:eastAsia="fr-FR"/>
              </w:rPr>
              <w:t xml:space="preserve">them </w:t>
            </w:r>
            <w:r w:rsidRPr="0066714C">
              <w:rPr>
                <w:rFonts w:ascii="Verdana" w:hAnsi="Verdana"/>
                <w:color w:val="7F7F7F"/>
                <w:sz w:val="22"/>
                <w:szCs w:val="22"/>
                <w:lang w:val="en-US" w:eastAsia="fr-FR"/>
              </w:rPr>
              <w:t xml:space="preserve">for group </w:t>
            </w:r>
            <w:r w:rsidRPr="0066714C">
              <w:rPr>
                <w:rFonts w:ascii="Verdana" w:hAnsi="Verdana"/>
                <w:color w:val="7F7F7F"/>
                <w:sz w:val="22"/>
                <w:szCs w:val="22"/>
                <w:lang w:val="en-US" w:eastAsia="fr-FR"/>
              </w:rPr>
              <w:lastRenderedPageBreak/>
              <w:t>calculation purposes will overestimate the calculation for groups sig</w:t>
            </w:r>
            <w:r>
              <w:rPr>
                <w:rFonts w:ascii="Verdana" w:hAnsi="Verdana"/>
                <w:color w:val="7F7F7F"/>
                <w:sz w:val="22"/>
                <w:szCs w:val="22"/>
                <w:lang w:val="en-US" w:eastAsia="fr-FR"/>
              </w:rPr>
              <w:t>n</w:t>
            </w:r>
            <w:r w:rsidRPr="0066714C">
              <w:rPr>
                <w:rFonts w:ascii="Verdana" w:hAnsi="Verdana"/>
                <w:color w:val="7F7F7F"/>
                <w:sz w:val="22"/>
                <w:szCs w:val="22"/>
                <w:lang w:val="en-US" w:eastAsia="fr-FR"/>
              </w:rPr>
              <w:t xml:space="preserve">ificantly. The notional SCR determined for IHC or MFHC will include </w:t>
            </w:r>
            <w:r>
              <w:rPr>
                <w:rFonts w:ascii="Verdana" w:hAnsi="Verdana"/>
                <w:color w:val="7F7F7F"/>
                <w:sz w:val="22"/>
                <w:szCs w:val="22"/>
                <w:lang w:val="en-US" w:eastAsia="fr-FR"/>
              </w:rPr>
              <w:t>a lot</w:t>
            </w:r>
            <w:r w:rsidRPr="0066714C">
              <w:rPr>
                <w:rFonts w:ascii="Verdana" w:hAnsi="Verdana"/>
                <w:color w:val="7F7F7F"/>
                <w:sz w:val="22"/>
                <w:szCs w:val="22"/>
                <w:lang w:val="en-US" w:eastAsia="fr-FR"/>
              </w:rPr>
              <w:t xml:space="preserve"> of IGT esp</w:t>
            </w:r>
            <w:r>
              <w:rPr>
                <w:rFonts w:ascii="Verdana" w:hAnsi="Verdana"/>
                <w:color w:val="7F7F7F"/>
                <w:sz w:val="22"/>
                <w:szCs w:val="22"/>
                <w:lang w:val="en-US" w:eastAsia="fr-FR"/>
              </w:rPr>
              <w:t>ecially</w:t>
            </w:r>
            <w:r w:rsidRPr="0066714C">
              <w:rPr>
                <w:rFonts w:ascii="Verdana" w:hAnsi="Verdana"/>
                <w:color w:val="7F7F7F"/>
                <w:sz w:val="22"/>
                <w:szCs w:val="22"/>
                <w:lang w:val="en-US" w:eastAsia="fr-FR"/>
              </w:rPr>
              <w:t xml:space="preserve"> with respect to the subsidiaries. The subsequent group SCR will encompass duplications.</w:t>
            </w:r>
          </w:p>
        </w:tc>
        <w:tc>
          <w:tcPr>
            <w:tcW w:w="483" w:type="pct"/>
            <w:tcBorders>
              <w:top w:val="single" w:sz="4" w:space="0" w:color="auto"/>
              <w:left w:val="single" w:sz="4" w:space="0" w:color="auto"/>
              <w:bottom w:val="single" w:sz="4" w:space="0" w:color="auto"/>
              <w:right w:val="single" w:sz="4" w:space="0" w:color="auto"/>
            </w:tcBorders>
          </w:tcPr>
          <w:p w14:paraId="469134AC" w14:textId="0A08D568" w:rsidR="006F5ECC" w:rsidRPr="00E346BC" w:rsidRDefault="006F5ECC" w:rsidP="00020B14">
            <w:pPr>
              <w:tabs>
                <w:tab w:val="left" w:pos="0"/>
                <w:tab w:val="left" w:pos="4536"/>
              </w:tabs>
              <w:ind w:left="-96"/>
              <w:rPr>
                <w:rFonts w:ascii="Verdana" w:hAnsi="Verdana"/>
                <w:color w:val="FF0000"/>
                <w:sz w:val="22"/>
                <w:szCs w:val="22"/>
                <w:lang w:val="en-GB" w:eastAsia="fr-FR"/>
              </w:rPr>
            </w:pPr>
          </w:p>
        </w:tc>
      </w:tr>
      <w:tr w:rsidR="00FC5744" w:rsidRPr="001360A5" w14:paraId="65315FD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F3F8856" w14:textId="77777777"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335E0A7C" w14:textId="77777777"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400</w:t>
            </w:r>
          </w:p>
        </w:tc>
        <w:tc>
          <w:tcPr>
            <w:tcW w:w="1999" w:type="pct"/>
            <w:tcBorders>
              <w:top w:val="single" w:sz="4" w:space="0" w:color="auto"/>
              <w:left w:val="single" w:sz="4" w:space="0" w:color="auto"/>
              <w:bottom w:val="single" w:sz="4" w:space="0" w:color="auto"/>
              <w:right w:val="single" w:sz="4" w:space="0" w:color="auto"/>
            </w:tcBorders>
            <w:vAlign w:val="bottom"/>
          </w:tcPr>
          <w:p w14:paraId="39C4F636" w14:textId="77777777" w:rsidR="006F5ECC" w:rsidRPr="00237FC0" w:rsidRDefault="006F5ECC" w:rsidP="00020B14">
            <w:pPr>
              <w:tabs>
                <w:tab w:val="left" w:pos="0"/>
                <w:tab w:val="left" w:pos="4536"/>
              </w:tabs>
              <w:rPr>
                <w:rFonts w:ascii="Verdana" w:hAnsi="Verdana"/>
                <w:b/>
                <w:bCs/>
                <w:color w:val="7F7F7F" w:themeColor="text1" w:themeTint="80"/>
                <w:sz w:val="22"/>
                <w:szCs w:val="22"/>
                <w:lang w:val="en-US" w:eastAsia="fr-FR"/>
              </w:rPr>
            </w:pPr>
            <w:r>
              <w:rPr>
                <w:rFonts w:ascii="Verdana" w:hAnsi="Verdana"/>
                <w:b/>
                <w:bCs/>
                <w:color w:val="7F7F7F" w:themeColor="text1" w:themeTint="80"/>
                <w:sz w:val="22"/>
                <w:szCs w:val="22"/>
                <w:lang w:val="en-US" w:eastAsia="fr-FR"/>
              </w:rPr>
              <w:t>EIOPA´s Advice</w:t>
            </w:r>
          </w:p>
          <w:p w14:paraId="5426542D" w14:textId="05751925" w:rsidR="006F5ECC" w:rsidRPr="004F4574" w:rsidRDefault="006F5ECC" w:rsidP="00020B14">
            <w:pPr>
              <w:tabs>
                <w:tab w:val="left" w:pos="0"/>
                <w:tab w:val="left" w:pos="4536"/>
              </w:tabs>
              <w:rPr>
                <w:rFonts w:ascii="Verdana" w:hAnsi="Verdana"/>
                <w:color w:val="7F7F7F"/>
                <w:sz w:val="22"/>
                <w:szCs w:val="22"/>
                <w:lang w:val="en-US" w:eastAsia="fr-FR"/>
              </w:rPr>
            </w:pPr>
            <w:r>
              <w:rPr>
                <w:rFonts w:ascii="Verdana" w:hAnsi="Verdana"/>
                <w:color w:val="7F7F7F"/>
                <w:sz w:val="22"/>
                <w:szCs w:val="22"/>
                <w:lang w:val="en-US" w:eastAsia="fr-FR"/>
              </w:rPr>
              <w:t>We</w:t>
            </w:r>
            <w:r w:rsidRPr="00237FC0">
              <w:rPr>
                <w:rFonts w:ascii="Verdana" w:hAnsi="Verdana"/>
                <w:color w:val="7F7F7F"/>
                <w:sz w:val="22"/>
                <w:szCs w:val="22"/>
                <w:lang w:val="en-US" w:eastAsia="fr-FR"/>
              </w:rPr>
              <w:t xml:space="preserve"> do not agree with EIOPA’s advice to maintain the current methodology for the calculation</w:t>
            </w:r>
            <w:r>
              <w:rPr>
                <w:rFonts w:ascii="Verdana" w:hAnsi="Verdana"/>
                <w:color w:val="7F7F7F"/>
                <w:sz w:val="22"/>
                <w:szCs w:val="22"/>
                <w:lang w:val="en-US" w:eastAsia="fr-FR"/>
              </w:rPr>
              <w:t xml:space="preserve"> </w:t>
            </w:r>
            <w:r w:rsidRPr="00F0251A">
              <w:rPr>
                <w:rFonts w:ascii="Verdana" w:hAnsi="Verdana" w:cs="Helvetica"/>
                <w:color w:val="7F7F7F" w:themeColor="text1" w:themeTint="80"/>
                <w:sz w:val="22"/>
                <w:szCs w:val="22"/>
                <w:lang w:val="en-US"/>
              </w:rPr>
              <w:t xml:space="preserve">the minimum consolidated group SCR (i.e. </w:t>
            </w:r>
            <w:r>
              <w:rPr>
                <w:rFonts w:ascii="Verdana" w:hAnsi="Verdana" w:cs="Helvetica"/>
                <w:color w:val="7F7F7F" w:themeColor="text1" w:themeTint="80"/>
                <w:sz w:val="22"/>
                <w:szCs w:val="22"/>
                <w:lang w:val="en-US"/>
              </w:rPr>
              <w:t>“</w:t>
            </w:r>
            <w:r w:rsidRPr="00F0251A">
              <w:rPr>
                <w:rFonts w:ascii="Verdana" w:hAnsi="Verdana" w:cs="Helvetica"/>
                <w:color w:val="7F7F7F" w:themeColor="text1" w:themeTint="80"/>
                <w:sz w:val="22"/>
                <w:szCs w:val="22"/>
                <w:lang w:val="en-US"/>
              </w:rPr>
              <w:t>group MCR</w:t>
            </w:r>
            <w:r>
              <w:rPr>
                <w:rFonts w:ascii="Verdana" w:hAnsi="Verdana" w:cs="Helvetica"/>
                <w:color w:val="7F7F7F" w:themeColor="text1" w:themeTint="80"/>
                <w:sz w:val="22"/>
                <w:szCs w:val="22"/>
                <w:lang w:val="en-US"/>
              </w:rPr>
              <w:t>”</w:t>
            </w:r>
            <w:r w:rsidRPr="00F0251A">
              <w:rPr>
                <w:rFonts w:ascii="Verdana" w:hAnsi="Verdana" w:cs="Helvetica"/>
                <w:color w:val="7F7F7F" w:themeColor="text1" w:themeTint="80"/>
                <w:sz w:val="22"/>
                <w:szCs w:val="22"/>
                <w:lang w:val="en-US"/>
              </w:rPr>
              <w:t>)</w:t>
            </w:r>
            <w:r w:rsidRPr="00237FC0">
              <w:rPr>
                <w:rFonts w:ascii="Verdana" w:hAnsi="Verdana"/>
                <w:color w:val="7F7F7F"/>
                <w:sz w:val="22"/>
                <w:szCs w:val="22"/>
                <w:lang w:val="en-US" w:eastAsia="fr-FR"/>
              </w:rPr>
              <w:t>.</w:t>
            </w:r>
          </w:p>
        </w:tc>
        <w:tc>
          <w:tcPr>
            <w:tcW w:w="483" w:type="pct"/>
            <w:tcBorders>
              <w:top w:val="single" w:sz="4" w:space="0" w:color="auto"/>
              <w:left w:val="single" w:sz="4" w:space="0" w:color="auto"/>
              <w:bottom w:val="single" w:sz="4" w:space="0" w:color="auto"/>
              <w:right w:val="single" w:sz="4" w:space="0" w:color="auto"/>
            </w:tcBorders>
          </w:tcPr>
          <w:p w14:paraId="5D782507"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0A3A2188"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AA8FFF4" w14:textId="71AE310C"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20700B75" w14:textId="7ADBA346"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AMICE’s Proposal</w:t>
            </w:r>
          </w:p>
        </w:tc>
        <w:tc>
          <w:tcPr>
            <w:tcW w:w="1999" w:type="pct"/>
            <w:tcBorders>
              <w:top w:val="single" w:sz="4" w:space="0" w:color="auto"/>
              <w:left w:val="single" w:sz="4" w:space="0" w:color="auto"/>
              <w:bottom w:val="single" w:sz="4" w:space="0" w:color="auto"/>
              <w:right w:val="single" w:sz="4" w:space="0" w:color="auto"/>
            </w:tcBorders>
          </w:tcPr>
          <w:p w14:paraId="7C704279" w14:textId="528FA7E3" w:rsidR="006F5ECC" w:rsidRPr="00D631AE" w:rsidRDefault="006F5ECC" w:rsidP="00020B14">
            <w:pPr>
              <w:pStyle w:val="Heading2"/>
              <w:numPr>
                <w:ilvl w:val="0"/>
                <w:numId w:val="0"/>
              </w:numPr>
              <w:tabs>
                <w:tab w:val="left" w:pos="0"/>
                <w:tab w:val="left" w:pos="4536"/>
              </w:tabs>
              <w:spacing w:before="0" w:after="0" w:line="276" w:lineRule="auto"/>
              <w:rPr>
                <w:rFonts w:ascii="Verdana" w:hAnsi="Verdana"/>
                <w:i w:val="0"/>
                <w:iCs w:val="0"/>
                <w:color w:val="7F7F7F" w:themeColor="text1" w:themeTint="80"/>
                <w:sz w:val="22"/>
                <w:szCs w:val="22"/>
                <w:lang w:val="en-US"/>
              </w:rPr>
            </w:pPr>
            <w:r w:rsidRPr="00D631AE">
              <w:rPr>
                <w:rFonts w:ascii="Verdana" w:hAnsi="Verdana"/>
                <w:i w:val="0"/>
                <w:iCs w:val="0"/>
                <w:color w:val="7F7F7F" w:themeColor="text1" w:themeTint="80"/>
                <w:sz w:val="22"/>
                <w:szCs w:val="22"/>
                <w:lang w:val="en-US"/>
              </w:rPr>
              <w:t xml:space="preserve">Observable difference in requirements not based on risk exposure </w:t>
            </w:r>
          </w:p>
          <w:p w14:paraId="79B324D9" w14:textId="77777777" w:rsidR="006F5ECC" w:rsidRPr="004C2B1F" w:rsidRDefault="006F5ECC" w:rsidP="00020B14">
            <w:pPr>
              <w:pStyle w:val="Lieudate"/>
              <w:widowControl w:val="0"/>
              <w:tabs>
                <w:tab w:val="left" w:pos="0"/>
                <w:tab w:val="left" w:pos="4536"/>
              </w:tabs>
              <w:spacing w:line="240" w:lineRule="auto"/>
              <w:jc w:val="both"/>
              <w:rPr>
                <w:rFonts w:cs="Helvetica"/>
                <w:b w:val="0"/>
                <w:color w:val="7F7F7F" w:themeColor="text1" w:themeTint="80"/>
                <w:lang w:val="en-US"/>
              </w:rPr>
            </w:pPr>
            <w:r w:rsidRPr="004C2B1F">
              <w:rPr>
                <w:rFonts w:cs="Helvetica"/>
                <w:b w:val="0"/>
                <w:color w:val="7F7F7F" w:themeColor="text1" w:themeTint="80"/>
                <w:lang w:val="en-US"/>
              </w:rPr>
              <w:t>The strict application of the Regulation may lead to the existence of different capital requirements which depend on the structure of the insurance group without being the result of different risk exposures.</w:t>
            </w:r>
          </w:p>
          <w:p w14:paraId="689993A3" w14:textId="77777777" w:rsidR="006F5ECC" w:rsidRPr="004C2B1F" w:rsidRDefault="006F5ECC" w:rsidP="00020B14">
            <w:pPr>
              <w:pStyle w:val="Lieudate"/>
              <w:widowControl w:val="0"/>
              <w:tabs>
                <w:tab w:val="left" w:pos="0"/>
                <w:tab w:val="left" w:pos="4536"/>
              </w:tabs>
              <w:spacing w:after="120" w:line="240" w:lineRule="auto"/>
              <w:jc w:val="both"/>
              <w:rPr>
                <w:rFonts w:cs="Helvetica"/>
                <w:b w:val="0"/>
                <w:color w:val="7F7F7F" w:themeColor="text1" w:themeTint="80"/>
                <w:lang w:val="en-US"/>
              </w:rPr>
            </w:pPr>
            <w:r w:rsidRPr="004C2B1F">
              <w:rPr>
                <w:rFonts w:cs="Helvetica"/>
                <w:b w:val="0"/>
                <w:color w:val="7F7F7F" w:themeColor="text1" w:themeTint="80"/>
                <w:lang w:val="en-US"/>
              </w:rPr>
              <w:t>To illustrate this point, we provide a simplistic example</w:t>
            </w:r>
            <w:r w:rsidRPr="004C2B1F">
              <w:rPr>
                <w:rFonts w:cs="Helvetica"/>
                <w:b w:val="0"/>
                <w:color w:val="7F7F7F" w:themeColor="text1" w:themeTint="80"/>
                <w:vertAlign w:val="superscript"/>
              </w:rPr>
              <w:footnoteReference w:id="3"/>
            </w:r>
            <w:r w:rsidRPr="004C2B1F">
              <w:rPr>
                <w:rFonts w:cs="Helvetica"/>
                <w:b w:val="0"/>
                <w:color w:val="7F7F7F" w:themeColor="text1" w:themeTint="80"/>
                <w:lang w:val="en-US"/>
              </w:rPr>
              <w:t> :</w:t>
            </w:r>
          </w:p>
          <w:p w14:paraId="66C1C953" w14:textId="77777777" w:rsidR="006F5ECC" w:rsidRPr="004C2B1F" w:rsidRDefault="006F5ECC" w:rsidP="00020B14">
            <w:pPr>
              <w:pStyle w:val="Lieudate"/>
              <w:widowControl w:val="0"/>
              <w:tabs>
                <w:tab w:val="left" w:pos="0"/>
                <w:tab w:val="left" w:pos="4536"/>
              </w:tabs>
              <w:spacing w:line="240" w:lineRule="auto"/>
              <w:jc w:val="both"/>
              <w:rPr>
                <w:rFonts w:cs="Helvetica"/>
                <w:b w:val="0"/>
                <w:color w:val="7F7F7F" w:themeColor="text1" w:themeTint="80"/>
                <w:lang w:val="en-US"/>
              </w:rPr>
            </w:pPr>
            <w:r w:rsidRPr="004C2B1F">
              <w:rPr>
                <w:rFonts w:cs="Helvetica"/>
                <w:b w:val="0"/>
                <w:color w:val="7F7F7F" w:themeColor="text1" w:themeTint="80"/>
                <w:lang w:val="en-US"/>
              </w:rPr>
              <w:t>Let us consider 2 scenarios for the same insurance group G with a relatively close risk exposure in both cases.</w:t>
            </w:r>
          </w:p>
          <w:p w14:paraId="335571AF" w14:textId="77777777" w:rsidR="006F5ECC" w:rsidRPr="004C2B1F" w:rsidRDefault="006F5ECC" w:rsidP="00020B14">
            <w:pPr>
              <w:pStyle w:val="Lieudate"/>
              <w:widowControl w:val="0"/>
              <w:tabs>
                <w:tab w:val="left" w:pos="0"/>
                <w:tab w:val="left" w:pos="4536"/>
              </w:tabs>
              <w:spacing w:line="276" w:lineRule="auto"/>
              <w:jc w:val="both"/>
              <w:rPr>
                <w:b w:val="0"/>
                <w:color w:val="7F7F7F" w:themeColor="text1" w:themeTint="80"/>
                <w:lang w:val="en-US"/>
              </w:rPr>
            </w:pPr>
          </w:p>
          <w:p w14:paraId="6FF71C11" w14:textId="77777777" w:rsidR="006F5ECC" w:rsidRPr="004C2B1F" w:rsidRDefault="006F5ECC" w:rsidP="00020B14">
            <w:pPr>
              <w:pStyle w:val="Lieudate"/>
              <w:widowControl w:val="0"/>
              <w:tabs>
                <w:tab w:val="left" w:pos="0"/>
                <w:tab w:val="left" w:pos="4536"/>
              </w:tabs>
              <w:spacing w:after="120" w:line="276" w:lineRule="auto"/>
              <w:jc w:val="both"/>
              <w:rPr>
                <w:rFonts w:cs="Helvetica"/>
                <w:b w:val="0"/>
                <w:color w:val="7F7F7F" w:themeColor="text1" w:themeTint="80"/>
                <w:lang w:val="en-US"/>
              </w:rPr>
            </w:pPr>
            <w:r w:rsidRPr="004C2B1F">
              <w:rPr>
                <w:rFonts w:cs="Helvetica"/>
                <w:b w:val="0"/>
                <w:color w:val="7F7F7F" w:themeColor="text1" w:themeTint="80"/>
                <w:u w:val="single"/>
                <w:lang w:val="en-US"/>
              </w:rPr>
              <w:t>Case N°1</w:t>
            </w:r>
            <w:r w:rsidRPr="004C2B1F">
              <w:rPr>
                <w:rFonts w:cs="Helvetica"/>
                <w:b w:val="0"/>
                <w:color w:val="7F7F7F" w:themeColor="text1" w:themeTint="80"/>
                <w:lang w:val="en-US"/>
              </w:rPr>
              <w:t>:</w:t>
            </w:r>
          </w:p>
          <w:p w14:paraId="75FC9BAD" w14:textId="77777777" w:rsidR="006F5ECC" w:rsidRPr="004C2B1F" w:rsidRDefault="006F5ECC" w:rsidP="00020B14">
            <w:pPr>
              <w:pStyle w:val="Lieudate"/>
              <w:widowControl w:val="0"/>
              <w:tabs>
                <w:tab w:val="left" w:pos="0"/>
                <w:tab w:val="left" w:pos="4536"/>
              </w:tabs>
              <w:spacing w:line="240" w:lineRule="auto"/>
              <w:jc w:val="both"/>
              <w:rPr>
                <w:rFonts w:cs="Helvetica"/>
                <w:b w:val="0"/>
                <w:color w:val="7F7F7F" w:themeColor="text1" w:themeTint="80"/>
                <w:lang w:val="en-US"/>
              </w:rPr>
            </w:pPr>
            <w:r w:rsidRPr="004C2B1F">
              <w:rPr>
                <w:rFonts w:cs="Helvetica"/>
                <w:b w:val="0"/>
                <w:color w:val="7F7F7F" w:themeColor="text1" w:themeTint="80"/>
                <w:lang w:val="en-US"/>
              </w:rPr>
              <w:t xml:space="preserve">The participating undertaking (A) </w:t>
            </w:r>
            <w:r w:rsidRPr="004C2B1F">
              <w:rPr>
                <w:rFonts w:cs="Helvetica"/>
                <w:color w:val="7F7F7F" w:themeColor="text1" w:themeTint="80"/>
                <w:lang w:val="en-US"/>
              </w:rPr>
              <w:t>does not carry on any insurance business</w:t>
            </w:r>
            <w:r w:rsidRPr="004C2B1F">
              <w:rPr>
                <w:rFonts w:cs="Helvetica"/>
                <w:b w:val="0"/>
                <w:color w:val="7F7F7F" w:themeColor="text1" w:themeTint="80"/>
                <w:lang w:val="en-US"/>
              </w:rPr>
              <w:t xml:space="preserve"> and owns 100% of two insurance companies A</w:t>
            </w:r>
            <w:r w:rsidRPr="004C2B1F">
              <w:rPr>
                <w:rFonts w:cs="Helvetica"/>
                <w:b w:val="0"/>
                <w:color w:val="7F7F7F" w:themeColor="text1" w:themeTint="80"/>
                <w:vertAlign w:val="subscript"/>
                <w:lang w:val="en-US"/>
              </w:rPr>
              <w:t>1</w:t>
            </w:r>
            <w:r w:rsidRPr="004C2B1F">
              <w:rPr>
                <w:rFonts w:cs="Helvetica"/>
                <w:b w:val="0"/>
                <w:color w:val="7F7F7F" w:themeColor="text1" w:themeTint="80"/>
                <w:lang w:val="en-US"/>
              </w:rPr>
              <w:t xml:space="preserve"> and A</w:t>
            </w:r>
            <w:r w:rsidRPr="004C2B1F">
              <w:rPr>
                <w:rFonts w:cs="Helvetica"/>
                <w:b w:val="0"/>
                <w:color w:val="7F7F7F" w:themeColor="text1" w:themeTint="80"/>
                <w:vertAlign w:val="subscript"/>
                <w:lang w:val="en-US"/>
              </w:rPr>
              <w:t>2</w:t>
            </w:r>
            <w:r w:rsidRPr="004C2B1F">
              <w:rPr>
                <w:rFonts w:cs="Helvetica"/>
                <w:b w:val="0"/>
                <w:color w:val="7F7F7F" w:themeColor="text1" w:themeTint="80"/>
                <w:lang w:val="en-US"/>
              </w:rPr>
              <w:t xml:space="preserve"> which have the following characteristics:</w:t>
            </w:r>
          </w:p>
          <w:p w14:paraId="76ED4470" w14:textId="77777777" w:rsidR="006F5ECC" w:rsidRPr="004C2B1F" w:rsidRDefault="006F5ECC" w:rsidP="00020B14">
            <w:pPr>
              <w:pStyle w:val="Lieudate"/>
              <w:widowControl w:val="0"/>
              <w:tabs>
                <w:tab w:val="left" w:pos="0"/>
                <w:tab w:val="left" w:pos="4536"/>
              </w:tabs>
              <w:spacing w:line="240" w:lineRule="auto"/>
              <w:jc w:val="both"/>
              <w:rPr>
                <w:rFonts w:cs="Helvetica"/>
                <w:b w:val="0"/>
                <w:color w:val="7F7F7F" w:themeColor="text1" w:themeTint="80"/>
                <w:lang w:val="en-US"/>
              </w:rPr>
            </w:pPr>
          </w:p>
          <w:p w14:paraId="076781FD" w14:textId="77777777" w:rsidR="006F5ECC" w:rsidRPr="004C2B1F" w:rsidRDefault="006F5ECC" w:rsidP="00020B14">
            <w:pPr>
              <w:pStyle w:val="Lieudate"/>
              <w:widowControl w:val="0"/>
              <w:tabs>
                <w:tab w:val="left" w:pos="0"/>
                <w:tab w:val="left" w:pos="4536"/>
              </w:tabs>
              <w:spacing w:line="276" w:lineRule="auto"/>
              <w:jc w:val="both"/>
              <w:rPr>
                <w:rFonts w:cs="Helvetica"/>
                <w:b w:val="0"/>
                <w:color w:val="7F7F7F" w:themeColor="text1" w:themeTint="80"/>
                <w:lang w:val="es-ES"/>
              </w:rPr>
            </w:pPr>
            <w:r w:rsidRPr="004C2B1F">
              <w:rPr>
                <w:rFonts w:cs="Helvetica"/>
                <w:b w:val="0"/>
                <w:color w:val="7F7F7F" w:themeColor="text1" w:themeTint="80"/>
                <w:lang w:val="es-ES"/>
              </w:rPr>
              <w:t>SCR</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(A</w:t>
            </w:r>
            <w:r w:rsidRPr="004C2B1F">
              <w:rPr>
                <w:rFonts w:cs="Helvetica"/>
                <w:b w:val="0"/>
                <w:color w:val="7F7F7F" w:themeColor="text1" w:themeTint="80"/>
                <w:vertAlign w:val="subscript"/>
                <w:lang w:val="es-ES"/>
              </w:rPr>
              <w:t>1</w:t>
            </w:r>
            <w:r w:rsidRPr="004C2B1F">
              <w:rPr>
                <w:rFonts w:cs="Helvetica"/>
                <w:b w:val="0"/>
                <w:color w:val="7F7F7F" w:themeColor="text1" w:themeTint="80"/>
                <w:lang w:val="es-ES"/>
              </w:rPr>
              <w:t>)=250</w:t>
            </w:r>
            <w:r w:rsidRPr="004C2B1F">
              <w:rPr>
                <w:rFonts w:cs="Helvetica"/>
                <w:b w:val="0"/>
                <w:color w:val="7F7F7F" w:themeColor="text1" w:themeTint="80"/>
                <w:lang w:val="es-ES"/>
              </w:rPr>
              <w:tab/>
            </w:r>
            <w:r w:rsidRPr="004C2B1F">
              <w:rPr>
                <w:rFonts w:cs="Helvetica"/>
                <w:b w:val="0"/>
                <w:color w:val="7F7F7F" w:themeColor="text1" w:themeTint="80"/>
                <w:lang w:val="es-ES"/>
              </w:rPr>
              <w:tab/>
            </w:r>
            <w:r w:rsidRPr="004C2B1F">
              <w:rPr>
                <w:rFonts w:cs="Helvetica"/>
                <w:b w:val="0"/>
                <w:color w:val="7F7F7F" w:themeColor="text1" w:themeTint="80"/>
                <w:lang w:val="es-ES"/>
              </w:rPr>
              <w:tab/>
              <w:t>SCR</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(A</w:t>
            </w:r>
            <w:r w:rsidRPr="004C2B1F">
              <w:rPr>
                <w:rFonts w:cs="Helvetica"/>
                <w:b w:val="0"/>
                <w:color w:val="7F7F7F" w:themeColor="text1" w:themeTint="80"/>
                <w:vertAlign w:val="subscript"/>
                <w:lang w:val="es-ES"/>
              </w:rPr>
              <w:t>2</w:t>
            </w:r>
            <w:r w:rsidRPr="004C2B1F">
              <w:rPr>
                <w:rFonts w:cs="Helvetica"/>
                <w:b w:val="0"/>
                <w:color w:val="7F7F7F" w:themeColor="text1" w:themeTint="80"/>
                <w:lang w:val="es-ES"/>
              </w:rPr>
              <w:t>)=320</w:t>
            </w:r>
          </w:p>
          <w:p w14:paraId="28F27FC8" w14:textId="77777777" w:rsidR="006F5ECC" w:rsidRPr="004C2B1F" w:rsidRDefault="006F5ECC" w:rsidP="00020B14">
            <w:pPr>
              <w:pStyle w:val="Lieudate"/>
              <w:widowControl w:val="0"/>
              <w:tabs>
                <w:tab w:val="left" w:pos="0"/>
                <w:tab w:val="left" w:pos="4536"/>
              </w:tabs>
              <w:spacing w:line="276" w:lineRule="auto"/>
              <w:jc w:val="both"/>
              <w:rPr>
                <w:rFonts w:cs="Helvetica"/>
                <w:b w:val="0"/>
                <w:color w:val="7F7F7F" w:themeColor="text1" w:themeTint="80"/>
                <w:lang w:val="es-ES"/>
              </w:rPr>
            </w:pPr>
            <w:r w:rsidRPr="004C2B1F">
              <w:rPr>
                <w:rFonts w:cs="Helvetica"/>
                <w:b w:val="0"/>
                <w:color w:val="7F7F7F" w:themeColor="text1" w:themeTint="80"/>
                <w:lang w:val="es-ES"/>
              </w:rPr>
              <w:t>MCR</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 xml:space="preserve"> (A</w:t>
            </w:r>
            <w:r w:rsidRPr="004C2B1F">
              <w:rPr>
                <w:rFonts w:cs="Helvetica"/>
                <w:b w:val="0"/>
                <w:color w:val="7F7F7F" w:themeColor="text1" w:themeTint="80"/>
                <w:vertAlign w:val="subscript"/>
                <w:lang w:val="es-ES"/>
              </w:rPr>
              <w:t>1</w:t>
            </w:r>
            <w:r w:rsidRPr="004C2B1F">
              <w:rPr>
                <w:rFonts w:cs="Helvetica"/>
                <w:b w:val="0"/>
                <w:color w:val="7F7F7F" w:themeColor="text1" w:themeTint="80"/>
                <w:lang w:val="es-ES"/>
              </w:rPr>
              <w:t>)=100</w:t>
            </w:r>
            <w:r w:rsidRPr="004C2B1F">
              <w:rPr>
                <w:rFonts w:cs="Helvetica"/>
                <w:b w:val="0"/>
                <w:color w:val="7F7F7F" w:themeColor="text1" w:themeTint="80"/>
                <w:lang w:val="es-ES"/>
              </w:rPr>
              <w:tab/>
            </w:r>
            <w:r w:rsidRPr="004C2B1F">
              <w:rPr>
                <w:rFonts w:cs="Helvetica"/>
                <w:b w:val="0"/>
                <w:color w:val="7F7F7F" w:themeColor="text1" w:themeTint="80"/>
                <w:lang w:val="es-ES"/>
              </w:rPr>
              <w:tab/>
            </w:r>
            <w:r w:rsidRPr="004C2B1F">
              <w:rPr>
                <w:rFonts w:cs="Helvetica"/>
                <w:b w:val="0"/>
                <w:color w:val="7F7F7F" w:themeColor="text1" w:themeTint="80"/>
                <w:lang w:val="es-ES"/>
              </w:rPr>
              <w:tab/>
              <w:t>MCR</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(A</w:t>
            </w:r>
            <w:r w:rsidRPr="004C2B1F">
              <w:rPr>
                <w:rFonts w:cs="Helvetica"/>
                <w:b w:val="0"/>
                <w:color w:val="7F7F7F" w:themeColor="text1" w:themeTint="80"/>
                <w:vertAlign w:val="subscript"/>
                <w:lang w:val="es-ES"/>
              </w:rPr>
              <w:t>2</w:t>
            </w:r>
            <w:r w:rsidRPr="004C2B1F">
              <w:rPr>
                <w:rFonts w:cs="Helvetica"/>
                <w:b w:val="0"/>
                <w:color w:val="7F7F7F" w:themeColor="text1" w:themeTint="80"/>
                <w:lang w:val="es-ES"/>
              </w:rPr>
              <w:t>)=110</w:t>
            </w:r>
          </w:p>
          <w:p w14:paraId="7A1CF052" w14:textId="77777777" w:rsidR="006F5ECC" w:rsidRPr="004C2B1F" w:rsidRDefault="006F5ECC" w:rsidP="00020B14">
            <w:pPr>
              <w:pStyle w:val="Lieudate"/>
              <w:widowControl w:val="0"/>
              <w:tabs>
                <w:tab w:val="left" w:pos="0"/>
                <w:tab w:val="left" w:pos="4536"/>
              </w:tabs>
              <w:spacing w:line="276" w:lineRule="auto"/>
              <w:jc w:val="both"/>
              <w:rPr>
                <w:rFonts w:cs="Helvetica"/>
                <w:b w:val="0"/>
                <w:color w:val="7F7F7F" w:themeColor="text1" w:themeTint="80"/>
                <w:lang w:val="en-US"/>
              </w:rPr>
            </w:pPr>
            <w:r w:rsidRPr="004C2B1F">
              <w:rPr>
                <w:rFonts w:cs="Helvetica"/>
                <w:b w:val="0"/>
                <w:color w:val="7F7F7F" w:themeColor="text1" w:themeTint="80"/>
              </w:rPr>
              <w:lastRenderedPageBreak/>
              <w:t>Ratio(A</w:t>
            </w:r>
            <w:r w:rsidRPr="004C2B1F">
              <w:rPr>
                <w:rFonts w:cs="Helvetica"/>
                <w:b w:val="0"/>
                <w:color w:val="7F7F7F" w:themeColor="text1" w:themeTint="80"/>
                <w:vertAlign w:val="subscript"/>
              </w:rPr>
              <w:t>1</w:t>
            </w:r>
            <w:r w:rsidRPr="004C2B1F">
              <w:rPr>
                <w:rFonts w:cs="Helvetica"/>
                <w:b w:val="0"/>
                <w:color w:val="7F7F7F" w:themeColor="text1" w:themeTint="80"/>
              </w:rPr>
              <w:t>) MCR/SCR = 40%          Ratio(A</w:t>
            </w:r>
            <w:r w:rsidRPr="004C2B1F">
              <w:rPr>
                <w:rFonts w:cs="Helvetica"/>
                <w:b w:val="0"/>
                <w:color w:val="7F7F7F" w:themeColor="text1" w:themeTint="80"/>
                <w:vertAlign w:val="subscript"/>
              </w:rPr>
              <w:t>2</w:t>
            </w:r>
            <w:r w:rsidRPr="004C2B1F">
              <w:rPr>
                <w:rFonts w:cs="Helvetica"/>
                <w:b w:val="0"/>
                <w:color w:val="7F7F7F" w:themeColor="text1" w:themeTint="80"/>
              </w:rPr>
              <w:t>) MCR/SCR = 34%</w:t>
            </w:r>
            <w:r w:rsidRPr="004C2B1F">
              <w:rPr>
                <w:rFonts w:cs="Helvetica"/>
                <w:b w:val="0"/>
                <w:color w:val="7F7F7F" w:themeColor="text1" w:themeTint="80"/>
              </w:rPr>
              <w:tab/>
            </w:r>
          </w:p>
          <w:p w14:paraId="433C83BB" w14:textId="77777777" w:rsidR="006F5ECC" w:rsidRPr="004C2B1F" w:rsidRDefault="006F5ECC" w:rsidP="00020B14">
            <w:pPr>
              <w:pStyle w:val="Lieudate"/>
              <w:widowControl w:val="0"/>
              <w:tabs>
                <w:tab w:val="left" w:pos="0"/>
                <w:tab w:val="left" w:pos="4536"/>
              </w:tabs>
              <w:spacing w:line="276" w:lineRule="auto"/>
              <w:jc w:val="both"/>
              <w:rPr>
                <w:rFonts w:cs="Helvetica"/>
                <w:b w:val="0"/>
                <w:color w:val="7F7F7F" w:themeColor="text1" w:themeTint="80"/>
                <w:lang w:val="en-US"/>
              </w:rPr>
            </w:pPr>
          </w:p>
          <w:p w14:paraId="03968636" w14:textId="77777777" w:rsidR="006F5ECC" w:rsidRPr="004C2B1F" w:rsidRDefault="006F5ECC" w:rsidP="00020B14">
            <w:pPr>
              <w:pStyle w:val="Lieudate"/>
              <w:widowControl w:val="0"/>
              <w:numPr>
                <w:ilvl w:val="0"/>
                <w:numId w:val="10"/>
              </w:numPr>
              <w:tabs>
                <w:tab w:val="left" w:pos="0"/>
                <w:tab w:val="left" w:pos="4536"/>
              </w:tabs>
              <w:spacing w:after="120" w:line="276" w:lineRule="auto"/>
              <w:ind w:left="0"/>
              <w:jc w:val="both"/>
              <w:rPr>
                <w:rFonts w:cs="Helvetica"/>
                <w:b w:val="0"/>
                <w:color w:val="7F7F7F" w:themeColor="text1" w:themeTint="80"/>
                <w:lang w:val="en-US"/>
              </w:rPr>
            </w:pPr>
            <w:r w:rsidRPr="004C2B1F">
              <w:rPr>
                <w:rFonts w:cs="Helvetica"/>
                <w:b w:val="0"/>
                <w:color w:val="7F7F7F" w:themeColor="text1" w:themeTint="80"/>
                <w:lang w:val="en-US"/>
              </w:rPr>
              <w:t>Minimum capital requirement for legal entity A at solo level:</w:t>
            </w:r>
          </w:p>
          <w:p w14:paraId="40A780F6" w14:textId="77777777" w:rsidR="006F5ECC" w:rsidRPr="004C2B1F" w:rsidRDefault="006F5ECC" w:rsidP="00020B14">
            <w:pPr>
              <w:pStyle w:val="Lieudate"/>
              <w:widowControl w:val="0"/>
              <w:numPr>
                <w:ilvl w:val="1"/>
                <w:numId w:val="10"/>
              </w:numPr>
              <w:tabs>
                <w:tab w:val="left" w:pos="0"/>
                <w:tab w:val="left" w:pos="4536"/>
              </w:tabs>
              <w:spacing w:after="120" w:line="276" w:lineRule="auto"/>
              <w:ind w:left="0"/>
              <w:jc w:val="both"/>
              <w:rPr>
                <w:rFonts w:cs="Helvetica"/>
                <w:b w:val="0"/>
                <w:color w:val="7F7F7F" w:themeColor="text1" w:themeTint="80"/>
                <w:lang w:val="en-US"/>
              </w:rPr>
            </w:pPr>
            <w:r w:rsidRPr="004C2B1F">
              <w:rPr>
                <w:rFonts w:cs="Helvetica"/>
                <w:b w:val="0"/>
                <w:color w:val="7F7F7F" w:themeColor="text1" w:themeTint="80"/>
                <w:lang w:val="en-US"/>
              </w:rPr>
              <w:t>MCR</w:t>
            </w:r>
            <w:r w:rsidRPr="004C2B1F">
              <w:rPr>
                <w:rFonts w:cs="Helvetica"/>
                <w:b w:val="0"/>
                <w:color w:val="7F7F7F" w:themeColor="text1" w:themeTint="80"/>
                <w:vertAlign w:val="superscript"/>
                <w:lang w:val="en-US"/>
              </w:rPr>
              <w:t>solo</w:t>
            </w:r>
            <w:r w:rsidRPr="004C2B1F">
              <w:rPr>
                <w:rFonts w:cs="Helvetica"/>
                <w:b w:val="0"/>
                <w:color w:val="7F7F7F" w:themeColor="text1" w:themeTint="80"/>
                <w:lang w:val="en-US"/>
              </w:rPr>
              <w:t xml:space="preserve">(A) = </w:t>
            </w:r>
            <w:r w:rsidRPr="004C2B1F">
              <w:rPr>
                <w:rFonts w:cs="Helvetica"/>
                <w:color w:val="7F7F7F" w:themeColor="text1" w:themeTint="80"/>
                <w:lang w:val="en-US"/>
              </w:rPr>
              <w:t>0</w:t>
            </w:r>
            <w:r w:rsidRPr="004C2B1F">
              <w:rPr>
                <w:rFonts w:cs="Helvetica"/>
                <w:b w:val="0"/>
                <w:color w:val="7F7F7F" w:themeColor="text1" w:themeTint="80"/>
                <w:lang w:val="en-US"/>
              </w:rPr>
              <w:t xml:space="preserve"> (A not being considered as an insurance undertaking)</w:t>
            </w:r>
          </w:p>
          <w:p w14:paraId="750B31CF" w14:textId="77777777" w:rsidR="006F5ECC" w:rsidRPr="004C2B1F" w:rsidRDefault="006F5ECC" w:rsidP="00020B14">
            <w:pPr>
              <w:pStyle w:val="Lieudate"/>
              <w:widowControl w:val="0"/>
              <w:numPr>
                <w:ilvl w:val="0"/>
                <w:numId w:val="10"/>
              </w:numPr>
              <w:tabs>
                <w:tab w:val="left" w:pos="0"/>
                <w:tab w:val="left" w:pos="4536"/>
              </w:tabs>
              <w:spacing w:after="120" w:line="276" w:lineRule="auto"/>
              <w:ind w:left="0"/>
              <w:jc w:val="both"/>
              <w:rPr>
                <w:rFonts w:cs="Helvetica"/>
                <w:b w:val="0"/>
                <w:color w:val="7F7F7F" w:themeColor="text1" w:themeTint="80"/>
                <w:lang w:val="en-US"/>
              </w:rPr>
            </w:pPr>
            <w:r w:rsidRPr="004C2B1F">
              <w:rPr>
                <w:rFonts w:cs="Helvetica"/>
                <w:b w:val="0"/>
                <w:color w:val="7F7F7F" w:themeColor="text1" w:themeTint="80"/>
                <w:lang w:val="en-US"/>
              </w:rPr>
              <w:t>Minimum capital requirement at Group G level consolidated with A as the consolidating undertaking:</w:t>
            </w:r>
          </w:p>
          <w:p w14:paraId="4982C73D" w14:textId="77777777" w:rsidR="006F5ECC" w:rsidRPr="004C2B1F" w:rsidRDefault="006F5ECC" w:rsidP="00020B14">
            <w:pPr>
              <w:pStyle w:val="Lieudate"/>
              <w:widowControl w:val="0"/>
              <w:numPr>
                <w:ilvl w:val="1"/>
                <w:numId w:val="10"/>
              </w:numPr>
              <w:tabs>
                <w:tab w:val="left" w:pos="0"/>
                <w:tab w:val="left" w:pos="4536"/>
              </w:tabs>
              <w:spacing w:after="120" w:line="276" w:lineRule="auto"/>
              <w:ind w:left="0" w:hanging="357"/>
              <w:jc w:val="both"/>
              <w:rPr>
                <w:rFonts w:cs="Helvetica"/>
                <w:b w:val="0"/>
                <w:color w:val="7F7F7F" w:themeColor="text1" w:themeTint="80"/>
                <w:lang w:val="es-ES"/>
              </w:rPr>
            </w:pPr>
            <w:r w:rsidRPr="004C2B1F">
              <w:rPr>
                <w:rFonts w:cs="Helvetica"/>
                <w:b w:val="0"/>
                <w:color w:val="7F7F7F" w:themeColor="text1" w:themeTint="80"/>
                <w:lang w:val="es-ES"/>
              </w:rPr>
              <w:t>MCR</w:t>
            </w:r>
            <w:r w:rsidRPr="004C2B1F">
              <w:rPr>
                <w:rFonts w:cs="Helvetica"/>
                <w:b w:val="0"/>
                <w:color w:val="7F7F7F" w:themeColor="text1" w:themeTint="80"/>
                <w:vertAlign w:val="superscript"/>
                <w:lang w:val="es-ES"/>
              </w:rPr>
              <w:t>conso</w:t>
            </w:r>
            <w:r w:rsidRPr="004C2B1F">
              <w:rPr>
                <w:rFonts w:cs="Helvetica"/>
                <w:b w:val="0"/>
                <w:color w:val="7F7F7F" w:themeColor="text1" w:themeTint="80"/>
                <w:lang w:val="es-ES"/>
              </w:rPr>
              <w:t xml:space="preserve">(A) = </w:t>
            </w:r>
            <w:r w:rsidRPr="004C2B1F">
              <w:rPr>
                <w:rFonts w:cs="Helvetica"/>
                <w:color w:val="7F7F7F" w:themeColor="text1" w:themeTint="80"/>
                <w:lang w:val="es-ES"/>
              </w:rPr>
              <w:t>210</w:t>
            </w:r>
            <w:r w:rsidRPr="004C2B1F">
              <w:rPr>
                <w:rFonts w:cs="Helvetica"/>
                <w:b w:val="0"/>
                <w:color w:val="7F7F7F" w:themeColor="text1" w:themeTint="80"/>
                <w:lang w:val="es-ES"/>
              </w:rPr>
              <w:t xml:space="preserve"> (100%xMCR</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(A</w:t>
            </w:r>
            <w:r w:rsidRPr="004C2B1F">
              <w:rPr>
                <w:rFonts w:cs="Helvetica"/>
                <w:b w:val="0"/>
                <w:color w:val="7F7F7F" w:themeColor="text1" w:themeTint="80"/>
                <w:vertAlign w:val="subscript"/>
                <w:lang w:val="es-ES"/>
              </w:rPr>
              <w:t>1</w:t>
            </w:r>
            <w:r w:rsidRPr="004C2B1F">
              <w:rPr>
                <w:rFonts w:cs="Helvetica"/>
                <w:b w:val="0"/>
                <w:color w:val="7F7F7F" w:themeColor="text1" w:themeTint="80"/>
                <w:lang w:val="es-ES"/>
              </w:rPr>
              <w:t>) + 100%xMCR</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(A</w:t>
            </w:r>
            <w:r w:rsidRPr="004C2B1F">
              <w:rPr>
                <w:rFonts w:cs="Helvetica"/>
                <w:b w:val="0"/>
                <w:color w:val="7F7F7F" w:themeColor="text1" w:themeTint="80"/>
                <w:vertAlign w:val="subscript"/>
                <w:lang w:val="es-ES"/>
              </w:rPr>
              <w:t>2</w:t>
            </w:r>
            <w:r w:rsidRPr="004C2B1F">
              <w:rPr>
                <w:rFonts w:cs="Helvetica"/>
                <w:b w:val="0"/>
                <w:color w:val="7F7F7F" w:themeColor="text1" w:themeTint="80"/>
                <w:lang w:val="es-ES"/>
              </w:rPr>
              <w:t>))</w:t>
            </w:r>
          </w:p>
          <w:p w14:paraId="39223E83" w14:textId="77777777" w:rsidR="006F5ECC" w:rsidRPr="004C2B1F" w:rsidRDefault="006F5ECC" w:rsidP="00020B14">
            <w:pPr>
              <w:pStyle w:val="Lieudate"/>
              <w:widowControl w:val="0"/>
              <w:tabs>
                <w:tab w:val="left" w:pos="0"/>
                <w:tab w:val="left" w:pos="4536"/>
              </w:tabs>
              <w:spacing w:after="120" w:line="276" w:lineRule="auto"/>
              <w:jc w:val="both"/>
              <w:rPr>
                <w:rFonts w:cs="Helvetica"/>
                <w:b w:val="0"/>
                <w:color w:val="7F7F7F" w:themeColor="text1" w:themeTint="80"/>
                <w:lang w:val="en-US"/>
              </w:rPr>
            </w:pPr>
            <w:r w:rsidRPr="004C2B1F">
              <w:rPr>
                <w:rFonts w:cs="Helvetica"/>
                <w:b w:val="0"/>
                <w:color w:val="7F7F7F" w:themeColor="text1" w:themeTint="80"/>
                <w:lang w:val="en-US"/>
              </w:rPr>
              <w:t>The MCR/SCR ratio at Group level G is thus around 37%</w:t>
            </w:r>
            <w:r w:rsidRPr="004C2B1F">
              <w:rPr>
                <w:rStyle w:val="FootnoteReference"/>
                <w:rFonts w:cs="Helvetica"/>
                <w:b w:val="0"/>
                <w:color w:val="7F7F7F" w:themeColor="text1" w:themeTint="80"/>
              </w:rPr>
              <w:footnoteReference w:id="4"/>
            </w:r>
          </w:p>
          <w:p w14:paraId="2A22F52F" w14:textId="77777777" w:rsidR="006F5ECC" w:rsidRPr="004C2B1F" w:rsidRDefault="006F5ECC" w:rsidP="00020B14">
            <w:pPr>
              <w:pStyle w:val="Lieudate"/>
              <w:widowControl w:val="0"/>
              <w:tabs>
                <w:tab w:val="left" w:pos="0"/>
                <w:tab w:val="left" w:pos="4536"/>
              </w:tabs>
              <w:spacing w:after="120" w:line="276" w:lineRule="auto"/>
              <w:jc w:val="both"/>
              <w:rPr>
                <w:rFonts w:cs="Helvetica"/>
                <w:b w:val="0"/>
                <w:color w:val="7F7F7F" w:themeColor="text1" w:themeTint="80"/>
                <w:lang w:val="en-US"/>
              </w:rPr>
            </w:pPr>
            <w:r w:rsidRPr="004C2B1F">
              <w:rPr>
                <w:rFonts w:cs="Helvetica"/>
                <w:b w:val="0"/>
                <w:color w:val="7F7F7F" w:themeColor="text1" w:themeTint="80"/>
                <w:u w:val="single"/>
                <w:lang w:val="en-US"/>
              </w:rPr>
              <w:t>Case N°2</w:t>
            </w:r>
            <w:r w:rsidRPr="004C2B1F">
              <w:rPr>
                <w:rFonts w:cs="Helvetica"/>
                <w:b w:val="0"/>
                <w:color w:val="7F7F7F" w:themeColor="text1" w:themeTint="80"/>
                <w:lang w:val="en-US"/>
              </w:rPr>
              <w:t>:</w:t>
            </w:r>
          </w:p>
          <w:p w14:paraId="1A24CC4A" w14:textId="77777777" w:rsidR="006F5ECC" w:rsidRPr="004C2B1F" w:rsidRDefault="006F5ECC" w:rsidP="00020B14">
            <w:pPr>
              <w:pStyle w:val="Lieudate"/>
              <w:widowControl w:val="0"/>
              <w:tabs>
                <w:tab w:val="left" w:pos="0"/>
                <w:tab w:val="left" w:pos="4536"/>
              </w:tabs>
              <w:spacing w:line="240" w:lineRule="auto"/>
              <w:jc w:val="both"/>
              <w:rPr>
                <w:rFonts w:cs="Helvetica"/>
                <w:b w:val="0"/>
                <w:color w:val="7F7F7F" w:themeColor="text1" w:themeTint="80"/>
                <w:lang w:val="en-US"/>
              </w:rPr>
            </w:pPr>
            <w:r w:rsidRPr="004C2B1F">
              <w:rPr>
                <w:rFonts w:cs="Helvetica"/>
                <w:b w:val="0"/>
                <w:color w:val="7F7F7F" w:themeColor="text1" w:themeTint="80"/>
                <w:lang w:val="en-US"/>
              </w:rPr>
              <w:t xml:space="preserve">The participating undertaking (A) </w:t>
            </w:r>
            <w:r w:rsidRPr="004C2B1F">
              <w:rPr>
                <w:rFonts w:cs="Helvetica"/>
                <w:color w:val="7F7F7F" w:themeColor="text1" w:themeTint="80"/>
                <w:lang w:val="en-US"/>
              </w:rPr>
              <w:t>has a relatively low insurance activity</w:t>
            </w:r>
            <w:r w:rsidRPr="004C2B1F">
              <w:rPr>
                <w:rFonts w:cs="Helvetica"/>
                <w:b w:val="0"/>
                <w:color w:val="7F7F7F" w:themeColor="text1" w:themeTint="80"/>
                <w:lang w:val="en-US"/>
              </w:rPr>
              <w:t xml:space="preserve"> and owns 100% of two insurance companies A</w:t>
            </w:r>
            <w:r w:rsidRPr="004C2B1F">
              <w:rPr>
                <w:rFonts w:cs="Helvetica"/>
                <w:b w:val="0"/>
                <w:color w:val="7F7F7F" w:themeColor="text1" w:themeTint="80"/>
                <w:vertAlign w:val="subscript"/>
                <w:lang w:val="en-US"/>
              </w:rPr>
              <w:t xml:space="preserve">1 </w:t>
            </w:r>
            <w:r w:rsidRPr="004C2B1F">
              <w:rPr>
                <w:rFonts w:cs="Helvetica"/>
                <w:b w:val="0"/>
                <w:color w:val="7F7F7F" w:themeColor="text1" w:themeTint="80"/>
                <w:lang w:val="en-US"/>
              </w:rPr>
              <w:t>and A</w:t>
            </w:r>
            <w:r w:rsidRPr="004C2B1F">
              <w:rPr>
                <w:rFonts w:cs="Helvetica"/>
                <w:b w:val="0"/>
                <w:color w:val="7F7F7F" w:themeColor="text1" w:themeTint="80"/>
                <w:vertAlign w:val="subscript"/>
                <w:lang w:val="en-US"/>
              </w:rPr>
              <w:t>2</w:t>
            </w:r>
            <w:r w:rsidRPr="004C2B1F">
              <w:rPr>
                <w:rFonts w:cs="Helvetica"/>
                <w:b w:val="0"/>
                <w:color w:val="7F7F7F" w:themeColor="text1" w:themeTint="80"/>
                <w:lang w:val="en-US"/>
              </w:rPr>
              <w:t xml:space="preserve"> which have the following characteristics:</w:t>
            </w:r>
          </w:p>
          <w:p w14:paraId="10BDFFEA" w14:textId="77777777" w:rsidR="006F5ECC" w:rsidRPr="004C2B1F" w:rsidRDefault="006F5ECC" w:rsidP="00020B14">
            <w:pPr>
              <w:pStyle w:val="Lieudate"/>
              <w:widowControl w:val="0"/>
              <w:tabs>
                <w:tab w:val="left" w:pos="0"/>
                <w:tab w:val="left" w:pos="4536"/>
              </w:tabs>
              <w:spacing w:line="276" w:lineRule="auto"/>
              <w:jc w:val="both"/>
              <w:rPr>
                <w:rFonts w:cs="Helvetica"/>
                <w:b w:val="0"/>
                <w:color w:val="7F7F7F" w:themeColor="text1" w:themeTint="80"/>
                <w:lang w:val="en-US"/>
              </w:rPr>
            </w:pPr>
          </w:p>
          <w:p w14:paraId="640F5CFE" w14:textId="77777777" w:rsidR="006F5ECC" w:rsidRPr="004C2B1F" w:rsidRDefault="006F5ECC" w:rsidP="00020B14">
            <w:pPr>
              <w:pStyle w:val="Lieudate"/>
              <w:widowControl w:val="0"/>
              <w:tabs>
                <w:tab w:val="left" w:pos="0"/>
                <w:tab w:val="left" w:pos="4536"/>
              </w:tabs>
              <w:spacing w:line="276" w:lineRule="auto"/>
              <w:jc w:val="both"/>
              <w:rPr>
                <w:rFonts w:cs="Helvetica"/>
                <w:b w:val="0"/>
                <w:color w:val="7F7F7F" w:themeColor="text1" w:themeTint="80"/>
                <w:lang w:val="es-ES"/>
              </w:rPr>
            </w:pPr>
            <w:r w:rsidRPr="004C2B1F">
              <w:rPr>
                <w:rFonts w:cs="Helvetica"/>
                <w:b w:val="0"/>
                <w:color w:val="7F7F7F" w:themeColor="text1" w:themeTint="80"/>
                <w:lang w:val="es-ES"/>
              </w:rPr>
              <w:t>SCR</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(A</w:t>
            </w:r>
            <w:r w:rsidRPr="004C2B1F">
              <w:rPr>
                <w:rFonts w:cs="Helvetica"/>
                <w:b w:val="0"/>
                <w:color w:val="7F7F7F" w:themeColor="text1" w:themeTint="80"/>
                <w:vertAlign w:val="subscript"/>
                <w:lang w:val="es-ES"/>
              </w:rPr>
              <w:t>1</w:t>
            </w:r>
            <w:r w:rsidRPr="004C2B1F">
              <w:rPr>
                <w:rFonts w:cs="Helvetica"/>
                <w:b w:val="0"/>
                <w:color w:val="7F7F7F" w:themeColor="text1" w:themeTint="80"/>
                <w:lang w:val="es-ES"/>
              </w:rPr>
              <w:t>)=250</w:t>
            </w:r>
            <w:r w:rsidRPr="004C2B1F">
              <w:rPr>
                <w:rFonts w:cs="Helvetica"/>
                <w:b w:val="0"/>
                <w:color w:val="7F7F7F" w:themeColor="text1" w:themeTint="80"/>
                <w:lang w:val="es-ES"/>
              </w:rPr>
              <w:tab/>
            </w:r>
            <w:r w:rsidRPr="004C2B1F">
              <w:rPr>
                <w:rFonts w:cs="Helvetica"/>
                <w:b w:val="0"/>
                <w:color w:val="7F7F7F" w:themeColor="text1" w:themeTint="80"/>
                <w:lang w:val="es-ES"/>
              </w:rPr>
              <w:tab/>
            </w:r>
            <w:r w:rsidRPr="004C2B1F">
              <w:rPr>
                <w:rFonts w:cs="Helvetica"/>
                <w:b w:val="0"/>
                <w:color w:val="7F7F7F" w:themeColor="text1" w:themeTint="80"/>
                <w:lang w:val="es-ES"/>
              </w:rPr>
              <w:tab/>
              <w:t>SCR</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(A</w:t>
            </w:r>
            <w:r w:rsidRPr="004C2B1F">
              <w:rPr>
                <w:rFonts w:cs="Helvetica"/>
                <w:b w:val="0"/>
                <w:color w:val="7F7F7F" w:themeColor="text1" w:themeTint="80"/>
                <w:vertAlign w:val="subscript"/>
                <w:lang w:val="es-ES"/>
              </w:rPr>
              <w:t>2</w:t>
            </w:r>
            <w:r w:rsidRPr="004C2B1F">
              <w:rPr>
                <w:rFonts w:cs="Helvetica"/>
                <w:b w:val="0"/>
                <w:color w:val="7F7F7F" w:themeColor="text1" w:themeTint="80"/>
                <w:lang w:val="es-ES"/>
              </w:rPr>
              <w:t>)=320</w:t>
            </w:r>
          </w:p>
          <w:p w14:paraId="3C6F63D3" w14:textId="77777777" w:rsidR="006F5ECC" w:rsidRPr="004C2B1F" w:rsidRDefault="006F5ECC" w:rsidP="00020B14">
            <w:pPr>
              <w:pStyle w:val="Lieudate"/>
              <w:widowControl w:val="0"/>
              <w:tabs>
                <w:tab w:val="left" w:pos="0"/>
                <w:tab w:val="left" w:pos="4536"/>
              </w:tabs>
              <w:spacing w:line="276" w:lineRule="auto"/>
              <w:jc w:val="both"/>
              <w:rPr>
                <w:rFonts w:cs="Helvetica"/>
                <w:b w:val="0"/>
                <w:color w:val="7F7F7F" w:themeColor="text1" w:themeTint="80"/>
                <w:lang w:val="es-ES"/>
              </w:rPr>
            </w:pPr>
            <w:r w:rsidRPr="004C2B1F">
              <w:rPr>
                <w:rFonts w:cs="Helvetica"/>
                <w:b w:val="0"/>
                <w:color w:val="7F7F7F" w:themeColor="text1" w:themeTint="80"/>
                <w:lang w:val="es-ES"/>
              </w:rPr>
              <w:t>MCR</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 xml:space="preserve"> (A</w:t>
            </w:r>
            <w:r w:rsidRPr="004C2B1F">
              <w:rPr>
                <w:rFonts w:cs="Helvetica"/>
                <w:b w:val="0"/>
                <w:color w:val="7F7F7F" w:themeColor="text1" w:themeTint="80"/>
                <w:vertAlign w:val="subscript"/>
                <w:lang w:val="es-ES"/>
              </w:rPr>
              <w:t>1</w:t>
            </w:r>
            <w:r w:rsidRPr="004C2B1F">
              <w:rPr>
                <w:rFonts w:cs="Helvetica"/>
                <w:b w:val="0"/>
                <w:color w:val="7F7F7F" w:themeColor="text1" w:themeTint="80"/>
                <w:lang w:val="es-ES"/>
              </w:rPr>
              <w:t>)=100</w:t>
            </w:r>
            <w:r w:rsidRPr="004C2B1F">
              <w:rPr>
                <w:rFonts w:cs="Helvetica"/>
                <w:b w:val="0"/>
                <w:color w:val="7F7F7F" w:themeColor="text1" w:themeTint="80"/>
                <w:lang w:val="es-ES"/>
              </w:rPr>
              <w:tab/>
            </w:r>
            <w:r w:rsidRPr="004C2B1F">
              <w:rPr>
                <w:rFonts w:cs="Helvetica"/>
                <w:b w:val="0"/>
                <w:color w:val="7F7F7F" w:themeColor="text1" w:themeTint="80"/>
                <w:lang w:val="es-ES"/>
              </w:rPr>
              <w:tab/>
            </w:r>
            <w:r w:rsidRPr="004C2B1F">
              <w:rPr>
                <w:rFonts w:cs="Helvetica"/>
                <w:b w:val="0"/>
                <w:color w:val="7F7F7F" w:themeColor="text1" w:themeTint="80"/>
                <w:lang w:val="es-ES"/>
              </w:rPr>
              <w:tab/>
              <w:t>MCR</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(A</w:t>
            </w:r>
            <w:r w:rsidRPr="004C2B1F">
              <w:rPr>
                <w:rFonts w:cs="Helvetica"/>
                <w:b w:val="0"/>
                <w:color w:val="7F7F7F" w:themeColor="text1" w:themeTint="80"/>
                <w:vertAlign w:val="subscript"/>
                <w:lang w:val="es-ES"/>
              </w:rPr>
              <w:t>2</w:t>
            </w:r>
            <w:r w:rsidRPr="004C2B1F">
              <w:rPr>
                <w:rFonts w:cs="Helvetica"/>
                <w:b w:val="0"/>
                <w:color w:val="7F7F7F" w:themeColor="text1" w:themeTint="80"/>
                <w:lang w:val="es-ES"/>
              </w:rPr>
              <w:t>)=110</w:t>
            </w:r>
          </w:p>
          <w:p w14:paraId="1855708B" w14:textId="77777777" w:rsidR="006F5ECC" w:rsidRPr="004C2B1F" w:rsidRDefault="006F5ECC" w:rsidP="00020B14">
            <w:pPr>
              <w:pStyle w:val="Lieudate"/>
              <w:widowControl w:val="0"/>
              <w:tabs>
                <w:tab w:val="left" w:pos="0"/>
                <w:tab w:val="left" w:pos="4536"/>
              </w:tabs>
              <w:spacing w:line="276" w:lineRule="auto"/>
              <w:jc w:val="both"/>
              <w:rPr>
                <w:rFonts w:cs="Helvetica"/>
                <w:b w:val="0"/>
                <w:color w:val="7F7F7F" w:themeColor="text1" w:themeTint="80"/>
                <w:lang w:val="es-ES"/>
              </w:rPr>
            </w:pPr>
            <w:r w:rsidRPr="004C2B1F">
              <w:rPr>
                <w:rFonts w:cs="Helvetica"/>
                <w:b w:val="0"/>
                <w:color w:val="7F7F7F" w:themeColor="text1" w:themeTint="80"/>
                <w:lang w:val="es-ES"/>
              </w:rPr>
              <w:t>FP</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(A</w:t>
            </w:r>
            <w:r w:rsidRPr="004C2B1F">
              <w:rPr>
                <w:rFonts w:cs="Helvetica"/>
                <w:b w:val="0"/>
                <w:color w:val="7F7F7F" w:themeColor="text1" w:themeTint="80"/>
                <w:vertAlign w:val="subscript"/>
                <w:lang w:val="es-ES"/>
              </w:rPr>
              <w:t>1</w:t>
            </w:r>
            <w:r w:rsidRPr="004C2B1F">
              <w:rPr>
                <w:rFonts w:cs="Helvetica"/>
                <w:b w:val="0"/>
                <w:color w:val="7F7F7F" w:themeColor="text1" w:themeTint="80"/>
                <w:lang w:val="es-ES"/>
              </w:rPr>
              <w:t>)=500</w:t>
            </w:r>
            <w:r w:rsidRPr="004C2B1F">
              <w:rPr>
                <w:rFonts w:cs="Helvetica"/>
                <w:b w:val="0"/>
                <w:color w:val="7F7F7F" w:themeColor="text1" w:themeTint="80"/>
                <w:lang w:val="es-ES"/>
              </w:rPr>
              <w:tab/>
            </w:r>
            <w:r w:rsidRPr="004C2B1F">
              <w:rPr>
                <w:rFonts w:cs="Helvetica"/>
                <w:b w:val="0"/>
                <w:color w:val="7F7F7F" w:themeColor="text1" w:themeTint="80"/>
                <w:lang w:val="es-ES"/>
              </w:rPr>
              <w:tab/>
            </w:r>
            <w:r w:rsidRPr="004C2B1F">
              <w:rPr>
                <w:rFonts w:cs="Helvetica"/>
                <w:b w:val="0"/>
                <w:color w:val="7F7F7F" w:themeColor="text1" w:themeTint="80"/>
                <w:lang w:val="es-ES"/>
              </w:rPr>
              <w:tab/>
              <w:t>FP</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(A</w:t>
            </w:r>
            <w:r w:rsidRPr="004C2B1F">
              <w:rPr>
                <w:rFonts w:cs="Helvetica"/>
                <w:b w:val="0"/>
                <w:color w:val="7F7F7F" w:themeColor="text1" w:themeTint="80"/>
                <w:vertAlign w:val="subscript"/>
                <w:lang w:val="es-ES"/>
              </w:rPr>
              <w:t>2</w:t>
            </w:r>
            <w:r w:rsidRPr="004C2B1F">
              <w:rPr>
                <w:rFonts w:cs="Helvetica"/>
                <w:b w:val="0"/>
                <w:color w:val="7F7F7F" w:themeColor="text1" w:themeTint="80"/>
                <w:lang w:val="es-ES"/>
              </w:rPr>
              <w:t>) 640</w:t>
            </w:r>
            <w:r w:rsidRPr="004C2B1F">
              <w:rPr>
                <w:rFonts w:cs="Helvetica"/>
                <w:b w:val="0"/>
                <w:color w:val="7F7F7F" w:themeColor="text1" w:themeTint="80"/>
                <w:lang w:val="es-ES"/>
              </w:rPr>
              <w:tab/>
            </w:r>
          </w:p>
          <w:p w14:paraId="20CB44A3" w14:textId="77777777" w:rsidR="006F5ECC" w:rsidRPr="004C2B1F" w:rsidRDefault="006F5ECC" w:rsidP="00020B14">
            <w:pPr>
              <w:pStyle w:val="Lieudate"/>
              <w:widowControl w:val="0"/>
              <w:tabs>
                <w:tab w:val="left" w:pos="0"/>
                <w:tab w:val="left" w:pos="4536"/>
              </w:tabs>
              <w:spacing w:line="276" w:lineRule="auto"/>
              <w:jc w:val="both"/>
              <w:rPr>
                <w:rFonts w:cs="Helvetica"/>
                <w:b w:val="0"/>
                <w:color w:val="7F7F7F" w:themeColor="text1" w:themeTint="80"/>
                <w:lang w:val="es-ES"/>
              </w:rPr>
            </w:pPr>
            <w:r w:rsidRPr="004C2B1F">
              <w:rPr>
                <w:rFonts w:cs="Helvetica"/>
                <w:b w:val="0"/>
                <w:color w:val="7F7F7F" w:themeColor="text1" w:themeTint="80"/>
                <w:lang w:val="es-ES"/>
              </w:rPr>
              <w:t>Ratio(A</w:t>
            </w:r>
            <w:r w:rsidRPr="004C2B1F">
              <w:rPr>
                <w:rFonts w:cs="Helvetica"/>
                <w:b w:val="0"/>
                <w:color w:val="7F7F7F" w:themeColor="text1" w:themeTint="80"/>
                <w:vertAlign w:val="subscript"/>
                <w:lang w:val="es-ES"/>
              </w:rPr>
              <w:t>1</w:t>
            </w:r>
            <w:r w:rsidRPr="004C2B1F">
              <w:rPr>
                <w:rFonts w:cs="Helvetica"/>
                <w:b w:val="0"/>
                <w:color w:val="7F7F7F" w:themeColor="text1" w:themeTint="80"/>
                <w:lang w:val="es-ES"/>
              </w:rPr>
              <w:t>) MCR/SCR = 40%</w:t>
            </w:r>
            <w:r w:rsidRPr="004C2B1F">
              <w:rPr>
                <w:rFonts w:cs="Helvetica"/>
                <w:b w:val="0"/>
                <w:color w:val="7F7F7F" w:themeColor="text1" w:themeTint="80"/>
                <w:lang w:val="es-ES"/>
              </w:rPr>
              <w:tab/>
              <w:t>Ratio(A</w:t>
            </w:r>
            <w:r w:rsidRPr="004C2B1F">
              <w:rPr>
                <w:rFonts w:cs="Helvetica"/>
                <w:b w:val="0"/>
                <w:color w:val="7F7F7F" w:themeColor="text1" w:themeTint="80"/>
                <w:vertAlign w:val="subscript"/>
                <w:lang w:val="es-ES"/>
              </w:rPr>
              <w:t>2</w:t>
            </w:r>
            <w:r w:rsidRPr="004C2B1F">
              <w:rPr>
                <w:rFonts w:cs="Helvetica"/>
                <w:b w:val="0"/>
                <w:color w:val="7F7F7F" w:themeColor="text1" w:themeTint="80"/>
                <w:lang w:val="es-ES"/>
              </w:rPr>
              <w:t>) MCR/SCR= 34%</w:t>
            </w:r>
          </w:p>
          <w:p w14:paraId="09F93BE7" w14:textId="77777777" w:rsidR="006F5ECC" w:rsidRPr="004C2B1F" w:rsidRDefault="006F5ECC" w:rsidP="00020B14">
            <w:pPr>
              <w:pStyle w:val="Lieudate"/>
              <w:widowControl w:val="0"/>
              <w:tabs>
                <w:tab w:val="left" w:pos="0"/>
                <w:tab w:val="left" w:pos="4536"/>
              </w:tabs>
              <w:spacing w:line="276" w:lineRule="auto"/>
              <w:jc w:val="both"/>
              <w:rPr>
                <w:rFonts w:cs="Helvetica"/>
                <w:b w:val="0"/>
                <w:color w:val="7F7F7F" w:themeColor="text1" w:themeTint="80"/>
                <w:lang w:val="es-ES"/>
              </w:rPr>
            </w:pPr>
          </w:p>
          <w:p w14:paraId="397BCDBB" w14:textId="17C6CC65" w:rsidR="006F5ECC" w:rsidRPr="004C2B1F" w:rsidRDefault="006F5ECC" w:rsidP="00020B14">
            <w:pPr>
              <w:pStyle w:val="Lieudate"/>
              <w:widowControl w:val="0"/>
              <w:tabs>
                <w:tab w:val="left" w:pos="0"/>
                <w:tab w:val="left" w:pos="4536"/>
              </w:tabs>
              <w:spacing w:line="276" w:lineRule="auto"/>
              <w:jc w:val="both"/>
              <w:rPr>
                <w:rFonts w:cs="Helvetica"/>
                <w:b w:val="0"/>
                <w:color w:val="7F7F7F" w:themeColor="text1" w:themeTint="80"/>
                <w:lang w:val="en-US"/>
              </w:rPr>
            </w:pPr>
            <w:r w:rsidRPr="004C2B1F">
              <w:rPr>
                <w:rFonts w:cs="Helvetica"/>
                <w:b w:val="0"/>
                <w:color w:val="7F7F7F" w:themeColor="text1" w:themeTint="80"/>
                <w:lang w:val="en-US"/>
              </w:rPr>
              <w:t>NB: the eligible own funds (OF) of A</w:t>
            </w:r>
            <w:r w:rsidRPr="004C2B1F">
              <w:rPr>
                <w:rFonts w:cs="Helvetica"/>
                <w:b w:val="0"/>
                <w:color w:val="7F7F7F" w:themeColor="text1" w:themeTint="80"/>
                <w:vertAlign w:val="subscript"/>
                <w:lang w:val="en-US"/>
              </w:rPr>
              <w:t>1</w:t>
            </w:r>
            <w:r w:rsidRPr="004C2B1F">
              <w:rPr>
                <w:rFonts w:cs="Helvetica"/>
                <w:b w:val="0"/>
                <w:color w:val="7F7F7F" w:themeColor="text1" w:themeTint="80"/>
                <w:lang w:val="en-US"/>
              </w:rPr>
              <w:t xml:space="preserve"> and A</w:t>
            </w:r>
            <w:r w:rsidRPr="004C2B1F">
              <w:rPr>
                <w:rFonts w:cs="Helvetica"/>
                <w:b w:val="0"/>
                <w:color w:val="7F7F7F" w:themeColor="text1" w:themeTint="80"/>
                <w:vertAlign w:val="subscript"/>
                <w:lang w:val="en-US"/>
              </w:rPr>
              <w:t>2</w:t>
            </w:r>
            <w:r w:rsidRPr="004C2B1F">
              <w:rPr>
                <w:rFonts w:cs="Helvetica"/>
                <w:b w:val="0"/>
                <w:color w:val="7F7F7F" w:themeColor="text1" w:themeTint="80"/>
                <w:lang w:val="en-US"/>
              </w:rPr>
              <w:t xml:space="preserve"> have been set on the assumption of a solvency ratio of 200%</w:t>
            </w:r>
            <w:r>
              <w:rPr>
                <w:rFonts w:cs="Helvetica"/>
                <w:b w:val="0"/>
                <w:color w:val="7F7F7F" w:themeColor="text1" w:themeTint="80"/>
                <w:lang w:val="en-US"/>
              </w:rPr>
              <w:t>.</w:t>
            </w:r>
          </w:p>
          <w:p w14:paraId="0659CDB7" w14:textId="70E92BC6" w:rsidR="006F5ECC" w:rsidRPr="004C2B1F" w:rsidRDefault="006F5ECC" w:rsidP="00020B14">
            <w:pPr>
              <w:pStyle w:val="Lieudate"/>
              <w:widowControl w:val="0"/>
              <w:tabs>
                <w:tab w:val="left" w:pos="0"/>
                <w:tab w:val="left" w:pos="4536"/>
              </w:tabs>
              <w:spacing w:line="240" w:lineRule="auto"/>
              <w:jc w:val="both"/>
              <w:rPr>
                <w:rFonts w:cs="Helvetica"/>
                <w:b w:val="0"/>
                <w:color w:val="7F7F7F" w:themeColor="text1" w:themeTint="80"/>
                <w:lang w:val="en-US"/>
              </w:rPr>
            </w:pPr>
            <w:r w:rsidRPr="004C2B1F">
              <w:rPr>
                <w:rFonts w:cs="Helvetica"/>
                <w:b w:val="0"/>
                <w:color w:val="7F7F7F" w:themeColor="text1" w:themeTint="80"/>
                <w:lang w:val="en-US"/>
              </w:rPr>
              <w:lastRenderedPageBreak/>
              <w:t xml:space="preserve">In this case, undertaking A is considered to be an insurance undertaking and is subject to the Solvency </w:t>
            </w:r>
            <w:r>
              <w:rPr>
                <w:rFonts w:cs="Helvetica"/>
                <w:b w:val="0"/>
                <w:color w:val="7F7F7F" w:themeColor="text1" w:themeTint="80"/>
                <w:lang w:val="en-US"/>
              </w:rPr>
              <w:t>II</w:t>
            </w:r>
            <w:r w:rsidRPr="004C2B1F">
              <w:rPr>
                <w:rFonts w:cs="Helvetica"/>
                <w:b w:val="0"/>
                <w:color w:val="7F7F7F" w:themeColor="text1" w:themeTint="80"/>
                <w:lang w:val="en-US"/>
              </w:rPr>
              <w:t xml:space="preserve"> regime. </w:t>
            </w:r>
          </w:p>
          <w:p w14:paraId="3E35A9AA" w14:textId="77777777" w:rsidR="006F5ECC" w:rsidRPr="004C2B1F" w:rsidRDefault="006F5ECC" w:rsidP="00020B14">
            <w:pPr>
              <w:pStyle w:val="Lieudate"/>
              <w:widowControl w:val="0"/>
              <w:tabs>
                <w:tab w:val="left" w:pos="0"/>
                <w:tab w:val="left" w:pos="4536"/>
              </w:tabs>
              <w:spacing w:line="240" w:lineRule="auto"/>
              <w:jc w:val="both"/>
              <w:rPr>
                <w:rFonts w:cs="Helvetica"/>
                <w:b w:val="0"/>
                <w:color w:val="7F7F7F" w:themeColor="text1" w:themeTint="80"/>
                <w:lang w:val="en-US"/>
              </w:rPr>
            </w:pPr>
          </w:p>
          <w:p w14:paraId="2BBAC3D6" w14:textId="77777777" w:rsidR="006F5ECC" w:rsidRPr="004C2B1F" w:rsidRDefault="006F5ECC" w:rsidP="00020B14">
            <w:pPr>
              <w:pStyle w:val="Lieudate"/>
              <w:widowControl w:val="0"/>
              <w:numPr>
                <w:ilvl w:val="0"/>
                <w:numId w:val="10"/>
              </w:numPr>
              <w:tabs>
                <w:tab w:val="left" w:pos="0"/>
                <w:tab w:val="left" w:pos="4536"/>
              </w:tabs>
              <w:spacing w:after="120" w:line="240" w:lineRule="auto"/>
              <w:ind w:left="0"/>
              <w:jc w:val="both"/>
              <w:rPr>
                <w:rFonts w:cs="Helvetica"/>
                <w:b w:val="0"/>
                <w:color w:val="7F7F7F" w:themeColor="text1" w:themeTint="80"/>
                <w:lang w:val="en-US"/>
              </w:rPr>
            </w:pPr>
            <w:r w:rsidRPr="004C2B1F">
              <w:rPr>
                <w:rFonts w:cs="Helvetica"/>
                <w:b w:val="0"/>
                <w:color w:val="7F7F7F" w:themeColor="text1" w:themeTint="80"/>
                <w:lang w:val="en-US"/>
              </w:rPr>
              <w:t>Solvency Capital Requirement of insurance legal entity A at solo level:</w:t>
            </w:r>
          </w:p>
          <w:p w14:paraId="36F7C3DB" w14:textId="77777777" w:rsidR="006F5ECC" w:rsidRPr="004C2B1F" w:rsidRDefault="006F5ECC" w:rsidP="00020B14">
            <w:pPr>
              <w:pStyle w:val="Lieudate"/>
              <w:widowControl w:val="0"/>
              <w:numPr>
                <w:ilvl w:val="1"/>
                <w:numId w:val="10"/>
              </w:numPr>
              <w:tabs>
                <w:tab w:val="left" w:pos="0"/>
                <w:tab w:val="left" w:pos="4536"/>
              </w:tabs>
              <w:spacing w:after="120" w:line="240" w:lineRule="auto"/>
              <w:ind w:left="0"/>
              <w:jc w:val="both"/>
              <w:rPr>
                <w:rFonts w:cs="Helvetica"/>
                <w:b w:val="0"/>
                <w:color w:val="7F7F7F" w:themeColor="text1" w:themeTint="80"/>
                <w:lang w:val="en-US"/>
              </w:rPr>
            </w:pPr>
            <w:r w:rsidRPr="004C2B1F">
              <w:rPr>
                <w:rFonts w:cs="Helvetica"/>
                <w:b w:val="0"/>
                <w:color w:val="7F7F7F" w:themeColor="text1" w:themeTint="80"/>
                <w:lang w:val="en-US"/>
              </w:rPr>
              <w:t>SCR</w:t>
            </w:r>
            <w:r w:rsidRPr="004C2B1F">
              <w:rPr>
                <w:rFonts w:cs="Helvetica"/>
                <w:b w:val="0"/>
                <w:color w:val="7F7F7F" w:themeColor="text1" w:themeTint="80"/>
                <w:vertAlign w:val="superscript"/>
                <w:lang w:val="en-US"/>
              </w:rPr>
              <w:t>solo</w:t>
            </w:r>
            <w:r w:rsidRPr="004C2B1F">
              <w:rPr>
                <w:rFonts w:cs="Helvetica"/>
                <w:b w:val="0"/>
                <w:color w:val="7F7F7F" w:themeColor="text1" w:themeTint="80"/>
                <w:lang w:val="en-US"/>
              </w:rPr>
              <w:t xml:space="preserve">(A)= </w:t>
            </w:r>
            <w:r w:rsidRPr="004C2B1F">
              <w:rPr>
                <w:rFonts w:cs="Helvetica"/>
                <w:color w:val="7F7F7F" w:themeColor="text1" w:themeTint="80"/>
                <w:lang w:val="en-US"/>
              </w:rPr>
              <w:t>266</w:t>
            </w:r>
            <w:r w:rsidRPr="004C2B1F">
              <w:rPr>
                <w:rFonts w:cs="Helvetica"/>
                <w:b w:val="0"/>
                <w:color w:val="7F7F7F" w:themeColor="text1" w:themeTint="80"/>
                <w:lang w:val="en-US"/>
              </w:rPr>
              <w:t xml:space="preserve"> (corresponding approximately to the sum of an SCR equal to 15 on its own insurance activities and 251 on the type 2 equity risk related to the holding of these two participations where 251</w:t>
            </w:r>
            <w:r w:rsidRPr="004C2B1F">
              <w:rPr>
                <w:b w:val="0"/>
                <w:color w:val="7F7F7F" w:themeColor="text1" w:themeTint="80"/>
                <w:lang w:val="en-US"/>
              </w:rPr>
              <w:t xml:space="preserve"> </w:t>
            </w:r>
            <w:r w:rsidRPr="004C2B1F">
              <w:rPr>
                <w:rFonts w:cs="Helvetica"/>
                <w:b w:val="0"/>
                <w:color w:val="7F7F7F" w:themeColor="text1" w:themeTint="80"/>
                <w:lang w:val="en-US"/>
              </w:rPr>
              <w:t>=22%x(500+640)). For simplicity, no</w:t>
            </w:r>
            <w:r w:rsidRPr="004C2B1F">
              <w:rPr>
                <w:b w:val="0"/>
                <w:color w:val="7F7F7F" w:themeColor="text1" w:themeTint="80"/>
                <w:lang w:val="en-US"/>
              </w:rPr>
              <w:t xml:space="preserve"> </w:t>
            </w:r>
            <w:r w:rsidRPr="004C2B1F">
              <w:rPr>
                <w:rFonts w:cs="Helvetica"/>
                <w:b w:val="0"/>
                <w:color w:val="7F7F7F" w:themeColor="text1" w:themeTint="80"/>
                <w:lang w:val="en-US"/>
              </w:rPr>
              <w:t xml:space="preserve">diversification effects are taken into account in the example for the SCR calculation of undertaking A. </w:t>
            </w:r>
          </w:p>
          <w:p w14:paraId="5A217D9A" w14:textId="77777777" w:rsidR="006F5ECC" w:rsidRPr="004C2B1F" w:rsidRDefault="006F5ECC" w:rsidP="00020B14">
            <w:pPr>
              <w:pStyle w:val="Lieudate"/>
              <w:widowControl w:val="0"/>
              <w:numPr>
                <w:ilvl w:val="0"/>
                <w:numId w:val="10"/>
              </w:numPr>
              <w:tabs>
                <w:tab w:val="left" w:pos="0"/>
                <w:tab w:val="left" w:pos="4536"/>
              </w:tabs>
              <w:spacing w:after="120" w:line="240" w:lineRule="auto"/>
              <w:ind w:left="0"/>
              <w:jc w:val="both"/>
              <w:rPr>
                <w:rFonts w:cs="Helvetica"/>
                <w:b w:val="0"/>
                <w:color w:val="7F7F7F" w:themeColor="text1" w:themeTint="80"/>
                <w:lang w:val="en-US"/>
              </w:rPr>
            </w:pPr>
            <w:r w:rsidRPr="004C2B1F">
              <w:rPr>
                <w:rFonts w:cs="Helvetica"/>
                <w:b w:val="0"/>
                <w:color w:val="7F7F7F" w:themeColor="text1" w:themeTint="80"/>
                <w:lang w:val="en-US"/>
              </w:rPr>
              <w:t>Minimum capital requirement for insurance legal entity A at solo level:</w:t>
            </w:r>
          </w:p>
          <w:p w14:paraId="51DC5D01" w14:textId="77777777" w:rsidR="006F5ECC" w:rsidRPr="004C2B1F" w:rsidRDefault="006F5ECC" w:rsidP="00020B14">
            <w:pPr>
              <w:pStyle w:val="Lieudate"/>
              <w:widowControl w:val="0"/>
              <w:numPr>
                <w:ilvl w:val="1"/>
                <w:numId w:val="10"/>
              </w:numPr>
              <w:tabs>
                <w:tab w:val="left" w:pos="0"/>
                <w:tab w:val="left" w:pos="4536"/>
              </w:tabs>
              <w:spacing w:after="120" w:line="240" w:lineRule="auto"/>
              <w:ind w:left="0"/>
              <w:jc w:val="both"/>
              <w:rPr>
                <w:rFonts w:cs="Helvetica"/>
                <w:b w:val="0"/>
                <w:color w:val="7F7F7F" w:themeColor="text1" w:themeTint="80"/>
                <w:lang w:val="en-US"/>
              </w:rPr>
            </w:pPr>
            <w:r w:rsidRPr="004C2B1F">
              <w:rPr>
                <w:rFonts w:cs="Helvetica"/>
                <w:b w:val="0"/>
                <w:color w:val="7F7F7F" w:themeColor="text1" w:themeTint="80"/>
                <w:lang w:val="en-US"/>
              </w:rPr>
              <w:t>MCR</w:t>
            </w:r>
            <w:r w:rsidRPr="004C2B1F">
              <w:rPr>
                <w:rFonts w:cs="Helvetica"/>
                <w:b w:val="0"/>
                <w:color w:val="7F7F7F" w:themeColor="text1" w:themeTint="80"/>
                <w:vertAlign w:val="superscript"/>
                <w:lang w:val="en-US"/>
              </w:rPr>
              <w:t>solo</w:t>
            </w:r>
            <w:r w:rsidRPr="004C2B1F">
              <w:rPr>
                <w:rFonts w:cs="Helvetica"/>
                <w:b w:val="0"/>
                <w:color w:val="7F7F7F" w:themeColor="text1" w:themeTint="80"/>
                <w:lang w:val="en-US"/>
              </w:rPr>
              <w:t xml:space="preserve">(A)= </w:t>
            </w:r>
            <w:r w:rsidRPr="004C2B1F">
              <w:rPr>
                <w:rFonts w:cs="Helvetica"/>
                <w:color w:val="7F7F7F" w:themeColor="text1" w:themeTint="80"/>
                <w:lang w:val="en-US"/>
              </w:rPr>
              <w:t xml:space="preserve">66 </w:t>
            </w:r>
            <w:r w:rsidRPr="004C2B1F">
              <w:rPr>
                <w:rFonts w:cs="Helvetica"/>
                <w:b w:val="0"/>
                <w:color w:val="7F7F7F" w:themeColor="text1" w:themeTint="80"/>
                <w:lang w:val="en-US"/>
              </w:rPr>
              <w:t>(for simplicity equals to the floor of 25% of the solo SCR, also due to the preponderance of the type 2 equity SCR)</w:t>
            </w:r>
          </w:p>
          <w:p w14:paraId="0DE8C3F6" w14:textId="77777777" w:rsidR="006F5ECC" w:rsidRPr="004C2B1F" w:rsidRDefault="006F5ECC" w:rsidP="00020B14">
            <w:pPr>
              <w:pStyle w:val="Lieudate"/>
              <w:widowControl w:val="0"/>
              <w:numPr>
                <w:ilvl w:val="0"/>
                <w:numId w:val="10"/>
              </w:numPr>
              <w:tabs>
                <w:tab w:val="left" w:pos="0"/>
                <w:tab w:val="left" w:pos="4536"/>
              </w:tabs>
              <w:spacing w:after="120" w:line="240" w:lineRule="auto"/>
              <w:ind w:left="0"/>
              <w:jc w:val="both"/>
              <w:rPr>
                <w:rFonts w:cs="Helvetica"/>
                <w:b w:val="0"/>
                <w:color w:val="7F7F7F" w:themeColor="text1" w:themeTint="80"/>
                <w:lang w:val="en-US"/>
              </w:rPr>
            </w:pPr>
            <w:r w:rsidRPr="004C2B1F">
              <w:rPr>
                <w:rFonts w:cs="Helvetica"/>
                <w:b w:val="0"/>
                <w:color w:val="7F7F7F" w:themeColor="text1" w:themeTint="80"/>
                <w:lang w:val="en-US"/>
              </w:rPr>
              <w:t>Minimum capital requirement at the level of the consolidated G group:</w:t>
            </w:r>
          </w:p>
          <w:p w14:paraId="35B26A9E" w14:textId="77777777" w:rsidR="006F5ECC" w:rsidRPr="004C2B1F" w:rsidRDefault="006F5ECC" w:rsidP="00020B14">
            <w:pPr>
              <w:pStyle w:val="Lieudate"/>
              <w:widowControl w:val="0"/>
              <w:numPr>
                <w:ilvl w:val="1"/>
                <w:numId w:val="10"/>
              </w:numPr>
              <w:tabs>
                <w:tab w:val="left" w:pos="0"/>
                <w:tab w:val="left" w:pos="4536"/>
              </w:tabs>
              <w:spacing w:after="120" w:line="240" w:lineRule="auto"/>
              <w:ind w:left="0"/>
              <w:jc w:val="both"/>
              <w:rPr>
                <w:rFonts w:cs="Helvetica"/>
                <w:b w:val="0"/>
                <w:color w:val="7F7F7F" w:themeColor="text1" w:themeTint="80"/>
                <w:lang w:val="es-ES"/>
              </w:rPr>
            </w:pPr>
            <w:r w:rsidRPr="004C2B1F">
              <w:rPr>
                <w:rFonts w:cs="Helvetica"/>
                <w:b w:val="0"/>
                <w:color w:val="7F7F7F" w:themeColor="text1" w:themeTint="80"/>
                <w:lang w:val="es-ES"/>
              </w:rPr>
              <w:t>MCR</w:t>
            </w:r>
            <w:r w:rsidRPr="004C2B1F">
              <w:rPr>
                <w:rFonts w:cs="Helvetica"/>
                <w:b w:val="0"/>
                <w:color w:val="7F7F7F" w:themeColor="text1" w:themeTint="80"/>
                <w:vertAlign w:val="superscript"/>
                <w:lang w:val="es-ES"/>
              </w:rPr>
              <w:t>conso</w:t>
            </w:r>
            <w:r w:rsidRPr="004C2B1F">
              <w:rPr>
                <w:rFonts w:cs="Helvetica"/>
                <w:b w:val="0"/>
                <w:color w:val="7F7F7F" w:themeColor="text1" w:themeTint="80"/>
                <w:lang w:val="es-ES"/>
              </w:rPr>
              <w:t xml:space="preserve">(A)= </w:t>
            </w:r>
            <w:r w:rsidRPr="004C2B1F">
              <w:rPr>
                <w:rFonts w:cs="Helvetica"/>
                <w:color w:val="7F7F7F" w:themeColor="text1" w:themeTint="80"/>
                <w:lang w:val="es-ES"/>
              </w:rPr>
              <w:t xml:space="preserve">276 </w:t>
            </w:r>
            <w:r w:rsidRPr="004C2B1F">
              <w:rPr>
                <w:rFonts w:cs="Helvetica"/>
                <w:b w:val="0"/>
                <w:color w:val="7F7F7F" w:themeColor="text1" w:themeTint="80"/>
                <w:lang w:val="es-ES"/>
              </w:rPr>
              <w:t>(MCR</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(A) + 100%xMCR</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(A</w:t>
            </w:r>
            <w:r w:rsidRPr="004C2B1F">
              <w:rPr>
                <w:rFonts w:cs="Helvetica"/>
                <w:b w:val="0"/>
                <w:color w:val="7F7F7F" w:themeColor="text1" w:themeTint="80"/>
                <w:vertAlign w:val="subscript"/>
                <w:lang w:val="es-ES"/>
              </w:rPr>
              <w:t>1</w:t>
            </w:r>
            <w:r w:rsidRPr="004C2B1F">
              <w:rPr>
                <w:rFonts w:cs="Helvetica"/>
                <w:b w:val="0"/>
                <w:color w:val="7F7F7F" w:themeColor="text1" w:themeTint="80"/>
                <w:lang w:val="es-ES"/>
              </w:rPr>
              <w:t>) + 100%xMCR</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(A</w:t>
            </w:r>
            <w:r w:rsidRPr="004C2B1F">
              <w:rPr>
                <w:rFonts w:cs="Helvetica"/>
                <w:b w:val="0"/>
                <w:color w:val="7F7F7F" w:themeColor="text1" w:themeTint="80"/>
                <w:vertAlign w:val="subscript"/>
                <w:lang w:val="es-ES"/>
              </w:rPr>
              <w:t>2</w:t>
            </w:r>
            <w:r w:rsidRPr="004C2B1F">
              <w:rPr>
                <w:rFonts w:cs="Helvetica"/>
                <w:b w:val="0"/>
                <w:color w:val="7F7F7F" w:themeColor="text1" w:themeTint="80"/>
                <w:lang w:val="es-ES"/>
              </w:rPr>
              <w:t>))</w:t>
            </w:r>
          </w:p>
          <w:p w14:paraId="18B0F65C" w14:textId="77777777" w:rsidR="006F5ECC" w:rsidRPr="004C2B1F" w:rsidRDefault="006F5ECC" w:rsidP="00020B14">
            <w:pPr>
              <w:pStyle w:val="Lieudate"/>
              <w:widowControl w:val="0"/>
              <w:tabs>
                <w:tab w:val="left" w:pos="0"/>
                <w:tab w:val="left" w:pos="4536"/>
              </w:tabs>
              <w:spacing w:after="120" w:line="240" w:lineRule="auto"/>
              <w:jc w:val="both"/>
              <w:rPr>
                <w:rFonts w:cs="Helvetica"/>
                <w:b w:val="0"/>
                <w:color w:val="7F7F7F" w:themeColor="text1" w:themeTint="80"/>
                <w:lang w:val="en-US"/>
              </w:rPr>
            </w:pPr>
            <w:r w:rsidRPr="004C2B1F">
              <w:rPr>
                <w:rFonts w:cs="Helvetica"/>
                <w:b w:val="0"/>
                <w:color w:val="7F7F7F" w:themeColor="text1" w:themeTint="80"/>
                <w:lang w:val="en-US"/>
              </w:rPr>
              <w:t>The MCR/SCR ratio at Group level G is thus around 47%.</w:t>
            </w:r>
          </w:p>
          <w:p w14:paraId="57E7DB6C" w14:textId="77777777" w:rsidR="006F5ECC" w:rsidRPr="004C2B1F" w:rsidRDefault="006F5ECC" w:rsidP="00020B14">
            <w:pPr>
              <w:pStyle w:val="Lieudate"/>
              <w:widowControl w:val="0"/>
              <w:tabs>
                <w:tab w:val="left" w:pos="0"/>
                <w:tab w:val="left" w:pos="4536"/>
              </w:tabs>
              <w:spacing w:after="120" w:line="240" w:lineRule="auto"/>
              <w:jc w:val="both"/>
              <w:rPr>
                <w:rFonts w:cs="Helvetica"/>
                <w:b w:val="0"/>
                <w:color w:val="7F7F7F" w:themeColor="text1" w:themeTint="80"/>
                <w:lang w:val="en-US"/>
              </w:rPr>
            </w:pPr>
            <w:r w:rsidRPr="004C2B1F">
              <w:rPr>
                <w:rFonts w:cs="Helvetica"/>
                <w:b w:val="0"/>
                <w:color w:val="7F7F7F" w:themeColor="text1" w:themeTint="80"/>
                <w:lang w:val="en-US"/>
              </w:rPr>
              <w:t>The difference between the two scenarios is 66, which corresponds to the MCR of A. However, the main part of this MCR is composed of the market SCRs of both entities A</w:t>
            </w:r>
            <w:r w:rsidRPr="004C2B1F">
              <w:rPr>
                <w:rFonts w:cs="Helvetica"/>
                <w:b w:val="0"/>
                <w:color w:val="7F7F7F" w:themeColor="text1" w:themeTint="80"/>
                <w:vertAlign w:val="subscript"/>
                <w:lang w:val="en-US"/>
              </w:rPr>
              <w:t>1</w:t>
            </w:r>
            <w:r w:rsidRPr="004C2B1F">
              <w:rPr>
                <w:rFonts w:cs="Helvetica"/>
                <w:b w:val="0"/>
                <w:color w:val="7F7F7F" w:themeColor="text1" w:themeTint="80"/>
                <w:lang w:val="en-US"/>
              </w:rPr>
              <w:t xml:space="preserve"> and A</w:t>
            </w:r>
            <w:r w:rsidRPr="004C2B1F">
              <w:rPr>
                <w:rFonts w:cs="Helvetica"/>
                <w:b w:val="0"/>
                <w:color w:val="7F7F7F" w:themeColor="text1" w:themeTint="80"/>
                <w:vertAlign w:val="subscript"/>
                <w:lang w:val="en-US"/>
              </w:rPr>
              <w:t>2</w:t>
            </w:r>
            <w:r w:rsidRPr="004C2B1F">
              <w:rPr>
                <w:rFonts w:cs="Helvetica"/>
                <w:b w:val="0"/>
                <w:color w:val="7F7F7F" w:themeColor="text1" w:themeTint="80"/>
                <w:lang w:val="en-US"/>
              </w:rPr>
              <w:t xml:space="preserve">. </w:t>
            </w:r>
            <w:r w:rsidRPr="004C2B1F">
              <w:rPr>
                <w:rFonts w:cs="Helvetica"/>
                <w:color w:val="7F7F7F" w:themeColor="text1" w:themeTint="80"/>
                <w:lang w:val="en-US"/>
              </w:rPr>
              <w:t>This means that the requirements relating to the ownership of these two related undertakings are taken into account more than once at group level</w:t>
            </w:r>
            <w:r w:rsidRPr="004C2B1F">
              <w:rPr>
                <w:rFonts w:cs="Helvetica"/>
                <w:b w:val="0"/>
                <w:color w:val="7F7F7F" w:themeColor="text1" w:themeTint="80"/>
                <w:lang w:val="en-US"/>
              </w:rPr>
              <w:t xml:space="preserve">. </w:t>
            </w:r>
            <w:r w:rsidRPr="004C2B1F">
              <w:rPr>
                <w:rFonts w:cs="Helvetica"/>
                <w:color w:val="7F7F7F" w:themeColor="text1" w:themeTint="80"/>
                <w:lang w:val="en-US"/>
              </w:rPr>
              <w:t>The MCR</w:t>
            </w:r>
            <w:r w:rsidRPr="004C2B1F">
              <w:rPr>
                <w:rFonts w:cs="Helvetica"/>
                <w:color w:val="7F7F7F" w:themeColor="text1" w:themeTint="80"/>
                <w:vertAlign w:val="superscript"/>
                <w:lang w:val="en-US"/>
              </w:rPr>
              <w:t>conso</w:t>
            </w:r>
            <w:r w:rsidRPr="004C2B1F">
              <w:rPr>
                <w:rFonts w:cs="Helvetica"/>
                <w:color w:val="7F7F7F" w:themeColor="text1" w:themeTint="80"/>
                <w:lang w:val="en-US"/>
              </w:rPr>
              <w:t>(A) thus appears overestimated.</w:t>
            </w:r>
          </w:p>
          <w:p w14:paraId="5B021EB1" w14:textId="77777777" w:rsidR="006F5ECC" w:rsidRPr="004C2B1F" w:rsidRDefault="006F5ECC" w:rsidP="00020B14">
            <w:pPr>
              <w:pStyle w:val="Lieudate"/>
              <w:widowControl w:val="0"/>
              <w:tabs>
                <w:tab w:val="left" w:pos="0"/>
                <w:tab w:val="left" w:pos="4536"/>
              </w:tabs>
              <w:spacing w:line="240" w:lineRule="auto"/>
              <w:jc w:val="both"/>
              <w:rPr>
                <w:rFonts w:cs="Helvetica"/>
                <w:b w:val="0"/>
                <w:color w:val="7F7F7F" w:themeColor="text1" w:themeTint="80"/>
                <w:lang w:val="en-US"/>
              </w:rPr>
            </w:pPr>
            <w:r w:rsidRPr="004C2B1F">
              <w:rPr>
                <w:rFonts w:cs="Helvetica"/>
                <w:b w:val="0"/>
                <w:color w:val="7F7F7F" w:themeColor="text1" w:themeTint="80"/>
                <w:lang w:val="en-US"/>
              </w:rPr>
              <w:t>In summary, the two tables below clearly show that:</w:t>
            </w:r>
          </w:p>
          <w:p w14:paraId="7B606382" w14:textId="77777777" w:rsidR="006F5ECC" w:rsidRPr="004C2B1F" w:rsidRDefault="006F5ECC" w:rsidP="00020B14">
            <w:pPr>
              <w:pStyle w:val="Lieudate"/>
              <w:widowControl w:val="0"/>
              <w:tabs>
                <w:tab w:val="left" w:pos="0"/>
                <w:tab w:val="left" w:pos="4536"/>
              </w:tabs>
              <w:spacing w:line="240" w:lineRule="auto"/>
              <w:jc w:val="both"/>
              <w:rPr>
                <w:rFonts w:cs="Helvetica"/>
                <w:b w:val="0"/>
                <w:color w:val="7F7F7F" w:themeColor="text1" w:themeTint="80"/>
                <w:lang w:val="en-US"/>
              </w:rPr>
            </w:pPr>
            <w:r w:rsidRPr="004C2B1F">
              <w:rPr>
                <w:rFonts w:cs="Helvetica"/>
                <w:b w:val="0"/>
                <w:color w:val="7F7F7F" w:themeColor="text1" w:themeTint="80"/>
                <w:lang w:val="en-US"/>
              </w:rPr>
              <w:t xml:space="preserve">- In Case 1, the Group's vision is </w:t>
            </w:r>
            <w:r w:rsidRPr="004C2B1F">
              <w:rPr>
                <w:rFonts w:cs="Helvetica"/>
                <w:color w:val="7F7F7F" w:themeColor="text1" w:themeTint="80"/>
                <w:lang w:val="en-US"/>
              </w:rPr>
              <w:t>aligned</w:t>
            </w:r>
            <w:r w:rsidRPr="004C2B1F">
              <w:rPr>
                <w:rFonts w:cs="Helvetica"/>
                <w:b w:val="0"/>
                <w:color w:val="7F7F7F" w:themeColor="text1" w:themeTint="80"/>
                <w:lang w:val="en-US"/>
              </w:rPr>
              <w:t xml:space="preserve"> with those of the solo companies. The level of the MCR/SCR ratio corresponds to the weighted average ratio of solos</w:t>
            </w:r>
          </w:p>
          <w:p w14:paraId="2CE2586E" w14:textId="77777777" w:rsidR="006F5ECC" w:rsidRPr="004C2B1F" w:rsidRDefault="006F5ECC" w:rsidP="00020B14">
            <w:pPr>
              <w:pStyle w:val="Lieudate"/>
              <w:widowControl w:val="0"/>
              <w:tabs>
                <w:tab w:val="left" w:pos="0"/>
                <w:tab w:val="left" w:pos="4536"/>
              </w:tabs>
              <w:spacing w:line="240" w:lineRule="auto"/>
              <w:jc w:val="both"/>
              <w:rPr>
                <w:rFonts w:cs="Helvetica"/>
                <w:b w:val="0"/>
                <w:color w:val="7F7F7F" w:themeColor="text1" w:themeTint="80"/>
                <w:lang w:val="en-US"/>
              </w:rPr>
            </w:pPr>
            <w:r w:rsidRPr="004C2B1F">
              <w:rPr>
                <w:rFonts w:cs="Helvetica"/>
                <w:b w:val="0"/>
                <w:color w:val="7F7F7F" w:themeColor="text1" w:themeTint="80"/>
                <w:lang w:val="en-US"/>
              </w:rPr>
              <w:lastRenderedPageBreak/>
              <w:t xml:space="preserve">- In Case 2, the Group's vision is </w:t>
            </w:r>
            <w:r w:rsidRPr="004C2B1F">
              <w:rPr>
                <w:rFonts w:cs="Helvetica"/>
                <w:color w:val="7F7F7F" w:themeColor="text1" w:themeTint="80"/>
                <w:lang w:val="en-US"/>
              </w:rPr>
              <w:t>misaligned</w:t>
            </w:r>
            <w:r w:rsidRPr="004C2B1F">
              <w:rPr>
                <w:rFonts w:cs="Helvetica"/>
                <w:b w:val="0"/>
                <w:color w:val="7F7F7F" w:themeColor="text1" w:themeTint="80"/>
                <w:lang w:val="en-US"/>
              </w:rPr>
              <w:t xml:space="preserve"> with that of solo companies. The level of the MCR/SCR ratio is this time higher than the ratios of each of the solo companies.</w:t>
            </w:r>
          </w:p>
          <w:p w14:paraId="02674988" w14:textId="77777777" w:rsidR="006F5ECC" w:rsidRPr="004C2B1F" w:rsidRDefault="006F5ECC" w:rsidP="00020B14">
            <w:pPr>
              <w:pStyle w:val="Lieudate"/>
              <w:widowControl w:val="0"/>
              <w:tabs>
                <w:tab w:val="left" w:pos="0"/>
                <w:tab w:val="left" w:pos="4536"/>
              </w:tabs>
              <w:spacing w:line="240" w:lineRule="auto"/>
              <w:jc w:val="both"/>
              <w:rPr>
                <w:b w:val="0"/>
                <w:color w:val="7F7F7F" w:themeColor="text1" w:themeTint="80"/>
                <w:lang w:val="en-US"/>
              </w:rPr>
            </w:pPr>
          </w:p>
          <w:p w14:paraId="4F7CAA84" w14:textId="77777777" w:rsidR="006F5ECC" w:rsidRPr="004C2B1F" w:rsidRDefault="006F5ECC" w:rsidP="00020B14">
            <w:pPr>
              <w:pStyle w:val="Lieudate"/>
              <w:widowControl w:val="0"/>
              <w:tabs>
                <w:tab w:val="left" w:pos="0"/>
                <w:tab w:val="left" w:pos="4536"/>
              </w:tabs>
              <w:spacing w:line="240" w:lineRule="auto"/>
              <w:jc w:val="center"/>
              <w:rPr>
                <w:b w:val="0"/>
                <w:color w:val="7F7F7F" w:themeColor="text1" w:themeTint="80"/>
                <w:lang w:val="en-US"/>
              </w:rPr>
            </w:pPr>
            <w:r w:rsidRPr="004C2B1F">
              <w:rPr>
                <w:noProof/>
                <w:color w:val="7F7F7F" w:themeColor="text1" w:themeTint="80"/>
                <w:lang w:val="en-GB" w:eastAsia="en-GB"/>
              </w:rPr>
              <w:drawing>
                <wp:inline distT="0" distB="0" distL="0" distR="0" wp14:anchorId="3797657F" wp14:editId="461D9779">
                  <wp:extent cx="3213100" cy="96520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13100" cy="965200"/>
                          </a:xfrm>
                          <a:prstGeom prst="rect">
                            <a:avLst/>
                          </a:prstGeom>
                          <a:noFill/>
                          <a:ln>
                            <a:noFill/>
                          </a:ln>
                        </pic:spPr>
                      </pic:pic>
                    </a:graphicData>
                  </a:graphic>
                </wp:inline>
              </w:drawing>
            </w:r>
          </w:p>
          <w:p w14:paraId="7CA66810" w14:textId="77777777" w:rsidR="006F5ECC" w:rsidRPr="004C2B1F" w:rsidRDefault="006F5ECC" w:rsidP="00020B14">
            <w:pPr>
              <w:pStyle w:val="Lieudate"/>
              <w:widowControl w:val="0"/>
              <w:tabs>
                <w:tab w:val="left" w:pos="0"/>
                <w:tab w:val="left" w:pos="4536"/>
              </w:tabs>
              <w:spacing w:line="240" w:lineRule="auto"/>
              <w:jc w:val="center"/>
              <w:rPr>
                <w:b w:val="0"/>
                <w:color w:val="7F7F7F" w:themeColor="text1" w:themeTint="80"/>
                <w:lang w:val="en-US"/>
              </w:rPr>
            </w:pPr>
          </w:p>
          <w:p w14:paraId="16F3240D" w14:textId="77777777" w:rsidR="006F5ECC" w:rsidRPr="004C2B1F" w:rsidRDefault="006F5ECC" w:rsidP="00020B14">
            <w:pPr>
              <w:pStyle w:val="Lieudate"/>
              <w:widowControl w:val="0"/>
              <w:tabs>
                <w:tab w:val="left" w:pos="0"/>
                <w:tab w:val="left" w:pos="4536"/>
              </w:tabs>
              <w:spacing w:line="240" w:lineRule="auto"/>
              <w:jc w:val="center"/>
              <w:rPr>
                <w:b w:val="0"/>
                <w:color w:val="7F7F7F" w:themeColor="text1" w:themeTint="80"/>
                <w:lang w:val="en-US"/>
              </w:rPr>
            </w:pPr>
            <w:r w:rsidRPr="004C2B1F">
              <w:rPr>
                <w:noProof/>
                <w:color w:val="7F7F7F" w:themeColor="text1" w:themeTint="80"/>
                <w:lang w:val="en-GB" w:eastAsia="en-GB"/>
              </w:rPr>
              <w:drawing>
                <wp:inline distT="0" distB="0" distL="0" distR="0" wp14:anchorId="7848CABB" wp14:editId="1B96569B">
                  <wp:extent cx="3213100" cy="96520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13100" cy="965200"/>
                          </a:xfrm>
                          <a:prstGeom prst="rect">
                            <a:avLst/>
                          </a:prstGeom>
                          <a:noFill/>
                          <a:ln>
                            <a:noFill/>
                          </a:ln>
                        </pic:spPr>
                      </pic:pic>
                    </a:graphicData>
                  </a:graphic>
                </wp:inline>
              </w:drawing>
            </w:r>
          </w:p>
          <w:p w14:paraId="08BAD27B" w14:textId="77777777" w:rsidR="006F5ECC" w:rsidRPr="004C2B1F" w:rsidRDefault="006F5ECC" w:rsidP="00020B14">
            <w:pPr>
              <w:pStyle w:val="Lieudate"/>
              <w:widowControl w:val="0"/>
              <w:tabs>
                <w:tab w:val="left" w:pos="0"/>
                <w:tab w:val="left" w:pos="4536"/>
              </w:tabs>
              <w:spacing w:line="240" w:lineRule="auto"/>
              <w:jc w:val="both"/>
              <w:rPr>
                <w:b w:val="0"/>
                <w:color w:val="7F7F7F" w:themeColor="text1" w:themeTint="80"/>
                <w:lang w:val="en-US"/>
              </w:rPr>
            </w:pPr>
          </w:p>
          <w:p w14:paraId="02295E4D" w14:textId="2EDC1A05" w:rsidR="006F5ECC" w:rsidRPr="004C2B1F" w:rsidRDefault="006F5ECC" w:rsidP="00020B14">
            <w:pPr>
              <w:pStyle w:val="Heading2"/>
              <w:numPr>
                <w:ilvl w:val="0"/>
                <w:numId w:val="0"/>
              </w:numPr>
              <w:tabs>
                <w:tab w:val="left" w:pos="0"/>
                <w:tab w:val="left" w:pos="4536"/>
              </w:tabs>
              <w:spacing w:after="120" w:line="276" w:lineRule="auto"/>
              <w:rPr>
                <w:rFonts w:ascii="Verdana" w:hAnsi="Verdana"/>
                <w:color w:val="7F7F7F" w:themeColor="text1" w:themeTint="80"/>
                <w:sz w:val="22"/>
                <w:szCs w:val="22"/>
                <w:lang w:val="en-US"/>
              </w:rPr>
            </w:pPr>
            <w:r w:rsidRPr="004C2B1F">
              <w:rPr>
                <w:rFonts w:ascii="Verdana" w:hAnsi="Verdana"/>
                <w:color w:val="7F7F7F" w:themeColor="text1" w:themeTint="80"/>
                <w:sz w:val="22"/>
                <w:szCs w:val="22"/>
                <w:lang w:val="en-US"/>
              </w:rPr>
              <w:t xml:space="preserve">Proposed Amendment to Article 230(2) </w:t>
            </w:r>
            <w:r>
              <w:rPr>
                <w:rFonts w:ascii="Verdana" w:hAnsi="Verdana"/>
                <w:color w:val="7F7F7F" w:themeColor="text1" w:themeTint="80"/>
                <w:sz w:val="22"/>
                <w:szCs w:val="22"/>
                <w:lang w:val="en-US"/>
              </w:rPr>
              <w:t>Solvency II</w:t>
            </w:r>
            <w:r w:rsidRPr="004C2B1F">
              <w:rPr>
                <w:rFonts w:ascii="Verdana" w:hAnsi="Verdana"/>
                <w:color w:val="7F7F7F" w:themeColor="text1" w:themeTint="80"/>
                <w:sz w:val="22"/>
                <w:szCs w:val="22"/>
                <w:lang w:val="en-US"/>
              </w:rPr>
              <w:t xml:space="preserve"> Directive | </w:t>
            </w:r>
          </w:p>
          <w:p w14:paraId="08136A7F" w14:textId="2F86B310" w:rsidR="006F5ECC" w:rsidRPr="004C2B1F" w:rsidRDefault="006F5ECC" w:rsidP="00020B14">
            <w:pPr>
              <w:pStyle w:val="Lieudate"/>
              <w:widowControl w:val="0"/>
              <w:tabs>
                <w:tab w:val="left" w:pos="0"/>
                <w:tab w:val="left" w:pos="4536"/>
              </w:tabs>
              <w:spacing w:line="240" w:lineRule="auto"/>
              <w:jc w:val="both"/>
              <w:rPr>
                <w:rFonts w:cs="Helvetica"/>
                <w:b w:val="0"/>
                <w:color w:val="7F7F7F" w:themeColor="text1" w:themeTint="80"/>
                <w:lang w:val="en-US"/>
              </w:rPr>
            </w:pPr>
            <w:r w:rsidRPr="004C2B1F">
              <w:rPr>
                <w:rFonts w:cs="Helvetica"/>
                <w:b w:val="0"/>
                <w:color w:val="7F7F7F" w:themeColor="text1" w:themeTint="80"/>
                <w:lang w:val="en-US"/>
              </w:rPr>
              <w:t>In order to correct this bias, the participating entity's solo MCR could be recalculated as part of the group MCR calculation without taking into account its SCR equity type 2 resulting from its holdings in insurance undertakings A</w:t>
            </w:r>
            <w:r w:rsidRPr="004C2B1F">
              <w:rPr>
                <w:rFonts w:cs="Helvetica"/>
                <w:b w:val="0"/>
                <w:color w:val="7F7F7F" w:themeColor="text1" w:themeTint="80"/>
                <w:vertAlign w:val="subscript"/>
                <w:lang w:val="en-US"/>
              </w:rPr>
              <w:t>1</w:t>
            </w:r>
            <w:r w:rsidRPr="004C2B1F">
              <w:rPr>
                <w:rFonts w:cs="Helvetica"/>
                <w:b w:val="0"/>
                <w:color w:val="7F7F7F" w:themeColor="text1" w:themeTint="80"/>
                <w:lang w:val="en-US"/>
              </w:rPr>
              <w:t xml:space="preserve"> and A</w:t>
            </w:r>
            <w:r w:rsidRPr="004C2B1F">
              <w:rPr>
                <w:rFonts w:cs="Helvetica"/>
                <w:b w:val="0"/>
                <w:color w:val="7F7F7F" w:themeColor="text1" w:themeTint="80"/>
                <w:vertAlign w:val="subscript"/>
                <w:lang w:val="en-US"/>
              </w:rPr>
              <w:t>2</w:t>
            </w:r>
            <w:r w:rsidRPr="004C2B1F">
              <w:rPr>
                <w:rFonts w:cs="Helvetica"/>
                <w:b w:val="0"/>
                <w:color w:val="7F7F7F" w:themeColor="text1" w:themeTint="80"/>
                <w:lang w:val="en-US"/>
              </w:rPr>
              <w:t xml:space="preserve">. </w:t>
            </w:r>
          </w:p>
          <w:p w14:paraId="6BE9384B" w14:textId="77777777" w:rsidR="006F5ECC" w:rsidRPr="004C2B1F" w:rsidRDefault="006F5ECC" w:rsidP="00020B14">
            <w:pPr>
              <w:pStyle w:val="Lieudate"/>
              <w:widowControl w:val="0"/>
              <w:tabs>
                <w:tab w:val="left" w:pos="0"/>
                <w:tab w:val="left" w:pos="4536"/>
              </w:tabs>
              <w:spacing w:line="240" w:lineRule="auto"/>
              <w:jc w:val="both"/>
              <w:rPr>
                <w:rFonts w:cs="Helvetica"/>
                <w:b w:val="0"/>
                <w:color w:val="7F7F7F" w:themeColor="text1" w:themeTint="80"/>
                <w:lang w:val="en-US"/>
              </w:rPr>
            </w:pPr>
          </w:p>
          <w:p w14:paraId="6D2181E1" w14:textId="77777777" w:rsidR="006F5ECC" w:rsidRPr="004C2B1F" w:rsidRDefault="006F5ECC" w:rsidP="00020B14">
            <w:pPr>
              <w:pStyle w:val="Lieudate"/>
              <w:widowControl w:val="0"/>
              <w:tabs>
                <w:tab w:val="left" w:pos="0"/>
                <w:tab w:val="left" w:pos="4536"/>
              </w:tabs>
              <w:spacing w:line="240" w:lineRule="auto"/>
              <w:jc w:val="both"/>
              <w:rPr>
                <w:rFonts w:cs="Helvetica"/>
                <w:b w:val="0"/>
                <w:color w:val="7F7F7F" w:themeColor="text1" w:themeTint="80"/>
                <w:lang w:val="en-US"/>
              </w:rPr>
            </w:pPr>
            <w:r w:rsidRPr="004C2B1F">
              <w:rPr>
                <w:rFonts w:cs="Helvetica"/>
                <w:b w:val="0"/>
                <w:color w:val="7F7F7F" w:themeColor="text1" w:themeTint="80"/>
                <w:lang w:val="en-US"/>
              </w:rPr>
              <w:t xml:space="preserve">In our example, the proposed approach would result in the following calculation: </w:t>
            </w:r>
          </w:p>
          <w:p w14:paraId="39809458" w14:textId="77777777" w:rsidR="006F5ECC" w:rsidRPr="004C2B1F" w:rsidRDefault="006F5ECC" w:rsidP="00020B14">
            <w:pPr>
              <w:pStyle w:val="Lieudate"/>
              <w:widowControl w:val="0"/>
              <w:tabs>
                <w:tab w:val="left" w:pos="0"/>
                <w:tab w:val="left" w:pos="4536"/>
              </w:tabs>
              <w:spacing w:line="240" w:lineRule="auto"/>
              <w:jc w:val="both"/>
              <w:rPr>
                <w:rFonts w:cs="Helvetica"/>
                <w:b w:val="0"/>
                <w:color w:val="7F7F7F" w:themeColor="text1" w:themeTint="80"/>
                <w:lang w:val="en-US"/>
              </w:rPr>
            </w:pPr>
          </w:p>
          <w:p w14:paraId="14C7B456" w14:textId="77777777" w:rsidR="006F5ECC" w:rsidRPr="004C2B1F" w:rsidRDefault="006F5ECC" w:rsidP="00020B14">
            <w:pPr>
              <w:pStyle w:val="Lieudate"/>
              <w:widowControl w:val="0"/>
              <w:numPr>
                <w:ilvl w:val="0"/>
                <w:numId w:val="10"/>
              </w:numPr>
              <w:tabs>
                <w:tab w:val="left" w:pos="0"/>
                <w:tab w:val="left" w:pos="4536"/>
              </w:tabs>
              <w:spacing w:after="120" w:line="240" w:lineRule="auto"/>
              <w:ind w:left="0"/>
              <w:jc w:val="both"/>
              <w:rPr>
                <w:rFonts w:cs="Helvetica"/>
                <w:b w:val="0"/>
                <w:color w:val="7F7F7F" w:themeColor="text1" w:themeTint="80"/>
                <w:lang w:val="en-US"/>
              </w:rPr>
            </w:pPr>
            <w:r w:rsidRPr="004C2B1F">
              <w:rPr>
                <w:rFonts w:cs="Helvetica"/>
                <w:b w:val="0"/>
                <w:color w:val="7F7F7F" w:themeColor="text1" w:themeTint="80"/>
                <w:lang w:val="en-US"/>
              </w:rPr>
              <w:lastRenderedPageBreak/>
              <w:t xml:space="preserve">Minimum capital requirement for insurance legal entity A at solo level: </w:t>
            </w:r>
          </w:p>
          <w:p w14:paraId="4C5DFBD7" w14:textId="77777777" w:rsidR="006F5ECC" w:rsidRPr="004C2B1F" w:rsidRDefault="006F5ECC" w:rsidP="00020B14">
            <w:pPr>
              <w:pStyle w:val="Lieudate"/>
              <w:widowControl w:val="0"/>
              <w:numPr>
                <w:ilvl w:val="1"/>
                <w:numId w:val="10"/>
              </w:numPr>
              <w:tabs>
                <w:tab w:val="left" w:pos="0"/>
                <w:tab w:val="left" w:pos="4536"/>
              </w:tabs>
              <w:spacing w:after="120" w:line="240" w:lineRule="auto"/>
              <w:ind w:left="0"/>
              <w:jc w:val="both"/>
              <w:rPr>
                <w:rFonts w:cs="Helvetica"/>
                <w:b w:val="0"/>
                <w:color w:val="7F7F7F" w:themeColor="text1" w:themeTint="80"/>
                <w:lang w:val="en-US"/>
              </w:rPr>
            </w:pPr>
            <w:r w:rsidRPr="004C2B1F">
              <w:rPr>
                <w:rFonts w:cs="Helvetica"/>
                <w:b w:val="0"/>
                <w:color w:val="7F7F7F" w:themeColor="text1" w:themeTint="80"/>
                <w:lang w:val="en-US"/>
              </w:rPr>
              <w:t>MCR</w:t>
            </w:r>
            <w:r w:rsidRPr="004C2B1F">
              <w:rPr>
                <w:rFonts w:cs="Helvetica"/>
                <w:b w:val="0"/>
                <w:color w:val="7F7F7F" w:themeColor="text1" w:themeTint="80"/>
                <w:vertAlign w:val="superscript"/>
                <w:lang w:val="en-US"/>
              </w:rPr>
              <w:t>solo</w:t>
            </w:r>
            <w:r w:rsidRPr="004C2B1F">
              <w:rPr>
                <w:rFonts w:cs="Helvetica"/>
                <w:b w:val="0"/>
                <w:color w:val="7F7F7F" w:themeColor="text1" w:themeTint="80"/>
                <w:lang w:val="en-US"/>
              </w:rPr>
              <w:t xml:space="preserve">(A)= </w:t>
            </w:r>
            <w:r w:rsidRPr="004C2B1F">
              <w:rPr>
                <w:rFonts w:cs="Helvetica"/>
                <w:color w:val="7F7F7F" w:themeColor="text1" w:themeTint="80"/>
                <w:lang w:val="en-US"/>
              </w:rPr>
              <w:t xml:space="preserve">5 </w:t>
            </w:r>
            <w:r w:rsidRPr="004C2B1F">
              <w:rPr>
                <w:rFonts w:cs="Helvetica"/>
                <w:b w:val="0"/>
                <w:color w:val="7F7F7F" w:themeColor="text1" w:themeTint="80"/>
                <w:lang w:val="en-US"/>
              </w:rPr>
              <w:t>(taking into account the removal of SCR type 2 equities and assuming that the solo MCR represents 35% of the Solo SCR, i. e. 35% x 15)</w:t>
            </w:r>
          </w:p>
          <w:p w14:paraId="4C935493" w14:textId="025147B8" w:rsidR="006F5ECC" w:rsidRPr="004C2B1F" w:rsidRDefault="006F5ECC" w:rsidP="00020B14">
            <w:pPr>
              <w:pStyle w:val="Lieudate"/>
              <w:widowControl w:val="0"/>
              <w:tabs>
                <w:tab w:val="left" w:pos="0"/>
                <w:tab w:val="left" w:pos="4536"/>
              </w:tabs>
              <w:spacing w:after="120" w:line="240" w:lineRule="auto"/>
              <w:jc w:val="both"/>
              <w:rPr>
                <w:rFonts w:cs="Helvetica"/>
                <w:b w:val="0"/>
                <w:color w:val="7F7F7F" w:themeColor="text1" w:themeTint="80"/>
                <w:lang w:val="en-US"/>
              </w:rPr>
            </w:pPr>
            <w:r w:rsidRPr="004C2B1F">
              <w:rPr>
                <w:rFonts w:cs="Helvetica"/>
                <w:b w:val="0"/>
                <w:color w:val="7F7F7F" w:themeColor="text1" w:themeTint="80"/>
                <w:u w:val="single"/>
                <w:lang w:val="en-US"/>
              </w:rPr>
              <w:t>NB</w:t>
            </w:r>
            <w:r w:rsidRPr="004C2B1F">
              <w:rPr>
                <w:rFonts w:cs="Helvetica"/>
                <w:b w:val="0"/>
                <w:color w:val="7F7F7F" w:themeColor="text1" w:themeTint="80"/>
                <w:lang w:val="en-US"/>
              </w:rPr>
              <w:t>: This adjustment is only used for the purpose of calculating the Group MCR</w:t>
            </w:r>
          </w:p>
          <w:p w14:paraId="4B2073B4" w14:textId="77777777" w:rsidR="006F5ECC" w:rsidRPr="004C2B1F" w:rsidRDefault="006F5ECC" w:rsidP="00020B14">
            <w:pPr>
              <w:pStyle w:val="Lieudate"/>
              <w:widowControl w:val="0"/>
              <w:numPr>
                <w:ilvl w:val="0"/>
                <w:numId w:val="10"/>
              </w:numPr>
              <w:tabs>
                <w:tab w:val="left" w:pos="0"/>
                <w:tab w:val="left" w:pos="4536"/>
              </w:tabs>
              <w:spacing w:after="120" w:line="240" w:lineRule="auto"/>
              <w:ind w:left="0"/>
              <w:jc w:val="both"/>
              <w:rPr>
                <w:rFonts w:cs="Helvetica"/>
                <w:b w:val="0"/>
                <w:color w:val="7F7F7F" w:themeColor="text1" w:themeTint="80"/>
                <w:lang w:val="en-US"/>
              </w:rPr>
            </w:pPr>
            <w:r w:rsidRPr="004C2B1F">
              <w:rPr>
                <w:rFonts w:cs="Helvetica"/>
                <w:b w:val="0"/>
                <w:color w:val="7F7F7F" w:themeColor="text1" w:themeTint="80"/>
                <w:lang w:val="en-US"/>
              </w:rPr>
              <w:t>Minimum capital requirement at consolidated group level with A as consolidating company:</w:t>
            </w:r>
          </w:p>
          <w:p w14:paraId="3703943C" w14:textId="77777777" w:rsidR="006F5ECC" w:rsidRPr="004C2B1F" w:rsidRDefault="006F5ECC" w:rsidP="00020B14">
            <w:pPr>
              <w:pStyle w:val="Lieudate"/>
              <w:widowControl w:val="0"/>
              <w:numPr>
                <w:ilvl w:val="1"/>
                <w:numId w:val="10"/>
              </w:numPr>
              <w:tabs>
                <w:tab w:val="left" w:pos="0"/>
                <w:tab w:val="left" w:pos="4536"/>
              </w:tabs>
              <w:spacing w:after="120" w:line="240" w:lineRule="auto"/>
              <w:ind w:left="0"/>
              <w:jc w:val="both"/>
              <w:rPr>
                <w:rFonts w:cs="Helvetica"/>
                <w:b w:val="0"/>
                <w:color w:val="7F7F7F" w:themeColor="text1" w:themeTint="80"/>
                <w:lang w:val="es-ES"/>
              </w:rPr>
            </w:pPr>
            <w:r w:rsidRPr="004C2B1F">
              <w:rPr>
                <w:rFonts w:cs="Helvetica"/>
                <w:b w:val="0"/>
                <w:color w:val="7F7F7F" w:themeColor="text1" w:themeTint="80"/>
                <w:lang w:val="es-ES"/>
              </w:rPr>
              <w:t>MCR</w:t>
            </w:r>
            <w:r w:rsidRPr="004C2B1F">
              <w:rPr>
                <w:rFonts w:cs="Helvetica"/>
                <w:b w:val="0"/>
                <w:color w:val="7F7F7F" w:themeColor="text1" w:themeTint="80"/>
                <w:vertAlign w:val="superscript"/>
                <w:lang w:val="es-ES"/>
              </w:rPr>
              <w:t>conso</w:t>
            </w:r>
            <w:r w:rsidRPr="004C2B1F">
              <w:rPr>
                <w:rFonts w:cs="Helvetica"/>
                <w:b w:val="0"/>
                <w:color w:val="7F7F7F" w:themeColor="text1" w:themeTint="80"/>
                <w:lang w:val="es-ES"/>
              </w:rPr>
              <w:t xml:space="preserve">(A) = </w:t>
            </w:r>
            <w:r w:rsidRPr="004C2B1F">
              <w:rPr>
                <w:rFonts w:cs="Helvetica"/>
                <w:color w:val="7F7F7F" w:themeColor="text1" w:themeTint="80"/>
                <w:lang w:val="es-ES"/>
              </w:rPr>
              <w:t xml:space="preserve">215 </w:t>
            </w:r>
            <w:r w:rsidRPr="004C2B1F">
              <w:rPr>
                <w:rFonts w:cs="Helvetica"/>
                <w:b w:val="0"/>
                <w:color w:val="7F7F7F" w:themeColor="text1" w:themeTint="80"/>
                <w:lang w:val="es-ES"/>
              </w:rPr>
              <w:t>(MCR</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(A) + 100% MCR</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(A1) + 100%MCR</w:t>
            </w:r>
            <w:r w:rsidRPr="004C2B1F">
              <w:rPr>
                <w:rFonts w:cs="Helvetica"/>
                <w:b w:val="0"/>
                <w:color w:val="7F7F7F" w:themeColor="text1" w:themeTint="80"/>
                <w:vertAlign w:val="superscript"/>
                <w:lang w:val="es-ES"/>
              </w:rPr>
              <w:t>solo</w:t>
            </w:r>
            <w:r w:rsidRPr="004C2B1F">
              <w:rPr>
                <w:rFonts w:cs="Helvetica"/>
                <w:b w:val="0"/>
                <w:color w:val="7F7F7F" w:themeColor="text1" w:themeTint="80"/>
                <w:lang w:val="es-ES"/>
              </w:rPr>
              <w:t xml:space="preserve"> (A2))</w:t>
            </w:r>
          </w:p>
          <w:p w14:paraId="1F5AA574" w14:textId="77777777" w:rsidR="006F5ECC" w:rsidRPr="004C2B1F" w:rsidRDefault="006F5ECC" w:rsidP="00020B14">
            <w:pPr>
              <w:pStyle w:val="Lieudate"/>
              <w:widowControl w:val="0"/>
              <w:tabs>
                <w:tab w:val="left" w:pos="0"/>
                <w:tab w:val="left" w:pos="4536"/>
              </w:tabs>
              <w:spacing w:line="240" w:lineRule="auto"/>
              <w:jc w:val="both"/>
              <w:rPr>
                <w:rFonts w:cs="Helvetica"/>
                <w:b w:val="0"/>
                <w:color w:val="7F7F7F" w:themeColor="text1" w:themeTint="80"/>
                <w:lang w:val="en-US"/>
              </w:rPr>
            </w:pPr>
            <w:r w:rsidRPr="004C2B1F">
              <w:rPr>
                <w:rFonts w:cs="Helvetica"/>
                <w:b w:val="0"/>
                <w:color w:val="7F7F7F" w:themeColor="text1" w:themeTint="80"/>
                <w:lang w:val="en-US"/>
              </w:rPr>
              <w:t xml:space="preserve">This proposal would simply amend Article 230(2)(a) of the Solvency II Directive by clarifying that the </w:t>
            </w:r>
            <w:r w:rsidRPr="004C2B1F">
              <w:rPr>
                <w:rFonts w:cs="Helvetica"/>
                <w:color w:val="7F7F7F" w:themeColor="text1" w:themeTint="80"/>
                <w:lang w:val="en-US"/>
              </w:rPr>
              <w:t>minimum capital requirement for calculating the group Solvency Capital Requirement of the participating insurance or reinsurance undertaking as set out in Article 129 of the Solvency II Directive should not take into account the market risk relating to holdings in related insurance and reinsurance undertakings</w:t>
            </w:r>
            <w:r w:rsidRPr="004C2B1F">
              <w:rPr>
                <w:rFonts w:cs="Helvetica"/>
                <w:b w:val="0"/>
                <w:color w:val="7F7F7F" w:themeColor="text1" w:themeTint="80"/>
                <w:lang w:val="en-US"/>
              </w:rPr>
              <w:t>.</w:t>
            </w:r>
          </w:p>
          <w:p w14:paraId="738A1CF1" w14:textId="77777777" w:rsidR="006F5ECC" w:rsidRPr="004C2B1F" w:rsidRDefault="006F5ECC" w:rsidP="00020B14">
            <w:pPr>
              <w:pStyle w:val="Lieudate"/>
              <w:widowControl w:val="0"/>
              <w:tabs>
                <w:tab w:val="left" w:pos="0"/>
                <w:tab w:val="left" w:pos="4536"/>
              </w:tabs>
              <w:spacing w:line="240" w:lineRule="auto"/>
              <w:jc w:val="both"/>
              <w:rPr>
                <w:rFonts w:cs="Helvetica"/>
                <w:b w:val="0"/>
                <w:color w:val="7F7F7F" w:themeColor="text1" w:themeTint="80"/>
                <w:lang w:val="en-US"/>
              </w:rPr>
            </w:pPr>
          </w:p>
          <w:p w14:paraId="14854689" w14:textId="77777777" w:rsidR="006F5ECC" w:rsidRPr="004C2B1F" w:rsidRDefault="006F5ECC" w:rsidP="00020B14">
            <w:pPr>
              <w:pStyle w:val="Lieudate"/>
              <w:widowControl w:val="0"/>
              <w:tabs>
                <w:tab w:val="left" w:pos="0"/>
                <w:tab w:val="left" w:pos="4536"/>
              </w:tabs>
              <w:spacing w:after="120" w:line="240" w:lineRule="auto"/>
              <w:jc w:val="both"/>
              <w:rPr>
                <w:rFonts w:cs="Helvetica"/>
                <w:b w:val="0"/>
                <w:color w:val="7F7F7F" w:themeColor="text1" w:themeTint="80"/>
                <w:lang w:val="en-US"/>
              </w:rPr>
            </w:pPr>
            <w:r w:rsidRPr="004C2B1F">
              <w:rPr>
                <w:rFonts w:cs="Helvetica"/>
                <w:b w:val="0"/>
                <w:color w:val="7F7F7F" w:themeColor="text1" w:themeTint="80"/>
                <w:lang w:val="en-US"/>
              </w:rPr>
              <w:t xml:space="preserve">Finally, the bias identified in this paper can also lead to an additional disadvantage. Indeed, the two previous cases showed that the MCR/SCR ratio at group level was higher when the participating company carries out a low level of insurance activity without the exposure to risk being significantly different (47% versus 36%). This situation is in fact amplified for insurance groups that benefit from a more comfortable solvency ratio thus limiting, at least in appearance, the scale of intervention of these groups when the SCR is breached at group level. </w:t>
            </w:r>
          </w:p>
          <w:p w14:paraId="57EFA858" w14:textId="77777777" w:rsidR="006F5ECC" w:rsidRPr="004C2B1F" w:rsidRDefault="006F5ECC" w:rsidP="00020B14">
            <w:pPr>
              <w:pStyle w:val="Lieudate"/>
              <w:widowControl w:val="0"/>
              <w:tabs>
                <w:tab w:val="left" w:pos="0"/>
                <w:tab w:val="left" w:pos="4536"/>
              </w:tabs>
              <w:spacing w:after="120" w:line="240" w:lineRule="auto"/>
              <w:jc w:val="both"/>
              <w:rPr>
                <w:rFonts w:cs="Helvetica"/>
                <w:b w:val="0"/>
                <w:color w:val="7F7F7F" w:themeColor="text1" w:themeTint="80"/>
                <w:lang w:val="en-US"/>
              </w:rPr>
            </w:pPr>
            <w:r w:rsidRPr="004C2B1F">
              <w:rPr>
                <w:rFonts w:cs="Helvetica"/>
                <w:b w:val="0"/>
                <w:color w:val="7F7F7F" w:themeColor="text1" w:themeTint="80"/>
                <w:lang w:val="en-US"/>
              </w:rPr>
              <w:t xml:space="preserve">This result appears counter-intuitive and rather unjustified because a </w:t>
            </w:r>
            <w:r w:rsidRPr="004C2B1F">
              <w:rPr>
                <w:rFonts w:cs="Helvetica"/>
                <w:b w:val="0"/>
                <w:color w:val="7F7F7F" w:themeColor="text1" w:themeTint="80"/>
                <w:lang w:val="en-US"/>
              </w:rPr>
              <w:lastRenderedPageBreak/>
              <w:t xml:space="preserve">group with a higher solvency ratio should benefit from a broader scale of supervisory intervention. </w:t>
            </w:r>
          </w:p>
          <w:p w14:paraId="201A291D" w14:textId="77777777" w:rsidR="006F5ECC" w:rsidRPr="004C2B1F" w:rsidRDefault="006F5ECC" w:rsidP="00020B14">
            <w:pPr>
              <w:pStyle w:val="Lieudate"/>
              <w:widowControl w:val="0"/>
              <w:tabs>
                <w:tab w:val="left" w:pos="0"/>
                <w:tab w:val="left" w:pos="4536"/>
              </w:tabs>
              <w:spacing w:after="120" w:line="240" w:lineRule="auto"/>
              <w:jc w:val="both"/>
              <w:rPr>
                <w:rFonts w:cs="Helvetica"/>
                <w:b w:val="0"/>
                <w:color w:val="7F7F7F" w:themeColor="text1" w:themeTint="80"/>
                <w:lang w:val="en-US"/>
              </w:rPr>
            </w:pPr>
            <w:r w:rsidRPr="004C2B1F">
              <w:rPr>
                <w:rFonts w:cs="Helvetica"/>
                <w:b w:val="0"/>
                <w:color w:val="7F7F7F" w:themeColor="text1" w:themeTint="80"/>
                <w:lang w:val="en-US"/>
              </w:rPr>
              <w:t>This increase in the MCR/SCR ratio according to the solvency ratio is illustrated in the graph below (blue line). This also illustrates that the proposed solution would have the advantage of correcting this second bias (red line)</w:t>
            </w:r>
          </w:p>
          <w:p w14:paraId="37EBBBB4" w14:textId="77777777" w:rsidR="006F5ECC" w:rsidRPr="004C2B1F" w:rsidRDefault="006F5ECC" w:rsidP="00020B14">
            <w:pPr>
              <w:pStyle w:val="Lieudate"/>
              <w:widowControl w:val="0"/>
              <w:tabs>
                <w:tab w:val="left" w:pos="0"/>
                <w:tab w:val="left" w:pos="4536"/>
              </w:tabs>
              <w:spacing w:after="120" w:line="240" w:lineRule="auto"/>
              <w:jc w:val="center"/>
              <w:rPr>
                <w:b w:val="0"/>
                <w:color w:val="7F7F7F" w:themeColor="text1" w:themeTint="80"/>
              </w:rPr>
            </w:pPr>
            <w:r w:rsidRPr="004C2B1F">
              <w:rPr>
                <w:noProof/>
                <w:color w:val="7F7F7F" w:themeColor="text1" w:themeTint="80"/>
                <w:lang w:val="en-GB" w:eastAsia="en-GB"/>
              </w:rPr>
              <w:drawing>
                <wp:inline distT="0" distB="0" distL="0" distR="0" wp14:anchorId="718536B9" wp14:editId="1E913CD0">
                  <wp:extent cx="3775710" cy="2266315"/>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775710" cy="2266315"/>
                          </a:xfrm>
                          <a:prstGeom prst="rect">
                            <a:avLst/>
                          </a:prstGeom>
                          <a:noFill/>
                          <a:ln>
                            <a:noFill/>
                          </a:ln>
                        </pic:spPr>
                      </pic:pic>
                    </a:graphicData>
                  </a:graphic>
                </wp:inline>
              </w:drawing>
            </w:r>
          </w:p>
          <w:p w14:paraId="698CC573" w14:textId="77777777" w:rsidR="006F5ECC" w:rsidRPr="004C2B1F" w:rsidRDefault="006F5ECC" w:rsidP="00020B14">
            <w:pPr>
              <w:pStyle w:val="Lieudate"/>
              <w:widowControl w:val="0"/>
              <w:tabs>
                <w:tab w:val="left" w:pos="0"/>
                <w:tab w:val="left" w:pos="4536"/>
              </w:tabs>
              <w:spacing w:after="120" w:line="240" w:lineRule="auto"/>
              <w:jc w:val="both"/>
              <w:rPr>
                <w:b w:val="0"/>
                <w:color w:val="7F7F7F" w:themeColor="text1" w:themeTint="80"/>
              </w:rPr>
            </w:pPr>
          </w:p>
          <w:p w14:paraId="587FBD8B" w14:textId="77777777" w:rsidR="006F5ECC" w:rsidRPr="004C2B1F" w:rsidRDefault="006F5ECC" w:rsidP="00020B14">
            <w:pPr>
              <w:pStyle w:val="Lieudate"/>
              <w:widowControl w:val="0"/>
              <w:tabs>
                <w:tab w:val="left" w:pos="0"/>
                <w:tab w:val="left" w:pos="4536"/>
              </w:tabs>
              <w:spacing w:line="240" w:lineRule="auto"/>
              <w:ind w:right="708"/>
              <w:jc w:val="both"/>
              <w:rPr>
                <w:rFonts w:cs="Helvetica"/>
                <w:b w:val="0"/>
                <w:color w:val="7F7F7F" w:themeColor="text1" w:themeTint="80"/>
                <w:lang w:val="en-US"/>
              </w:rPr>
            </w:pPr>
            <w:r w:rsidRPr="004C2B1F">
              <w:rPr>
                <w:rFonts w:cs="Helvetica"/>
                <w:b w:val="0"/>
                <w:color w:val="7F7F7F" w:themeColor="text1" w:themeTint="80"/>
                <w:u w:val="single"/>
                <w:lang w:val="en-US"/>
              </w:rPr>
              <w:t>Graph 1</w:t>
            </w:r>
            <w:r w:rsidRPr="004C2B1F">
              <w:rPr>
                <w:rFonts w:cs="Helvetica"/>
                <w:b w:val="0"/>
                <w:color w:val="7F7F7F" w:themeColor="text1" w:themeTint="80"/>
                <w:lang w:val="en-US"/>
              </w:rPr>
              <w:t> : description of the evolution of the MCR/SCR ratio at group level according to the current regulatory approach (blue line) and the proposed approach (red line).</w:t>
            </w:r>
          </w:p>
          <w:p w14:paraId="05745CDA" w14:textId="77777777" w:rsidR="006F5ECC" w:rsidRDefault="006F5ECC" w:rsidP="00020B14">
            <w:pPr>
              <w:tabs>
                <w:tab w:val="left" w:pos="0"/>
                <w:tab w:val="left" w:pos="4536"/>
              </w:tabs>
              <w:rPr>
                <w:rFonts w:ascii="Verdana" w:hAnsi="Verdana"/>
                <w:color w:val="7F7F7F"/>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5C1AC666"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1360A5" w14:paraId="025FD2B3"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1418" w:type="pct"/>
          <w:trHeight w:val="300"/>
        </w:trPr>
        <w:tc>
          <w:tcPr>
            <w:tcW w:w="3582" w:type="pct"/>
            <w:gridSpan w:val="6"/>
            <w:tcBorders>
              <w:top w:val="single" w:sz="4" w:space="0" w:color="auto"/>
              <w:left w:val="single" w:sz="4" w:space="0" w:color="auto"/>
              <w:bottom w:val="single" w:sz="4" w:space="0" w:color="auto"/>
              <w:right w:val="single" w:sz="4" w:space="0" w:color="auto"/>
            </w:tcBorders>
            <w:shd w:val="clear" w:color="auto" w:fill="auto"/>
            <w:noWrap/>
          </w:tcPr>
          <w:p w14:paraId="31256350" w14:textId="4B85755E" w:rsidR="006F5ECC" w:rsidRPr="00FE3045" w:rsidRDefault="006F5ECC" w:rsidP="00020B14">
            <w:pPr>
              <w:tabs>
                <w:tab w:val="left" w:pos="0"/>
                <w:tab w:val="left" w:pos="4536"/>
              </w:tabs>
              <w:rPr>
                <w:color w:val="000000"/>
                <w:sz w:val="22"/>
                <w:szCs w:val="22"/>
                <w:lang w:val="en-GB" w:eastAsia="fr-FR"/>
              </w:rPr>
            </w:pPr>
            <w:r>
              <w:rPr>
                <w:rFonts w:ascii="Verdana" w:hAnsi="Verdana"/>
                <w:b/>
                <w:color w:val="7F7F7F"/>
                <w:sz w:val="22"/>
                <w:szCs w:val="22"/>
                <w:lang w:val="en-GB"/>
              </w:rPr>
              <w:lastRenderedPageBreak/>
              <w:t>9.3.16 Inclusion of Other Financial Sectors (OFS)</w:t>
            </w:r>
          </w:p>
        </w:tc>
      </w:tr>
      <w:tr w:rsidR="00FC5744" w:rsidRPr="001360A5" w14:paraId="135F27CF"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D90F97B" w14:textId="74AAFBCB"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lastRenderedPageBreak/>
              <w:t>9</w:t>
            </w:r>
          </w:p>
        </w:tc>
        <w:tc>
          <w:tcPr>
            <w:tcW w:w="506" w:type="pct"/>
            <w:gridSpan w:val="2"/>
            <w:tcBorders>
              <w:top w:val="single" w:sz="4" w:space="0" w:color="auto"/>
              <w:left w:val="single" w:sz="4" w:space="0" w:color="auto"/>
              <w:bottom w:val="single" w:sz="4" w:space="0" w:color="auto"/>
              <w:right w:val="single" w:sz="4" w:space="0" w:color="auto"/>
            </w:tcBorders>
          </w:tcPr>
          <w:p w14:paraId="7DBFA924" w14:textId="688554F2"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441</w:t>
            </w:r>
          </w:p>
        </w:tc>
        <w:tc>
          <w:tcPr>
            <w:tcW w:w="1999" w:type="pct"/>
            <w:tcBorders>
              <w:top w:val="single" w:sz="4" w:space="0" w:color="auto"/>
              <w:left w:val="single" w:sz="4" w:space="0" w:color="auto"/>
              <w:bottom w:val="single" w:sz="4" w:space="0" w:color="auto"/>
              <w:right w:val="single" w:sz="4" w:space="0" w:color="auto"/>
            </w:tcBorders>
            <w:vAlign w:val="bottom"/>
          </w:tcPr>
          <w:p w14:paraId="469F5F18" w14:textId="77777777" w:rsidR="006F5ECC" w:rsidRPr="00035437" w:rsidRDefault="006F5ECC" w:rsidP="00020B14">
            <w:pPr>
              <w:tabs>
                <w:tab w:val="left" w:pos="0"/>
                <w:tab w:val="left" w:pos="4536"/>
              </w:tabs>
              <w:rPr>
                <w:sz w:val="22"/>
                <w:szCs w:val="22"/>
                <w:lang w:val="en-US"/>
              </w:rPr>
            </w:pPr>
            <w:r w:rsidRPr="000C1ED6">
              <w:rPr>
                <w:rFonts w:ascii="Verdana" w:eastAsia="Verdana" w:hAnsi="Verdana" w:cs="Verdana"/>
                <w:b/>
                <w:bCs/>
                <w:color w:val="7F7F7F" w:themeColor="text1" w:themeTint="80"/>
                <w:sz w:val="22"/>
                <w:szCs w:val="22"/>
                <w:lang w:val="en-US"/>
              </w:rPr>
              <w:t xml:space="preserve">Solvency II and the interactions with Directive 2002/87/EC (FICOD) and any other issues identified with Other Financial Sectors (OFS) – EIOPA’s Advice: </w:t>
            </w:r>
            <w:r w:rsidRPr="00035437">
              <w:rPr>
                <w:rFonts w:ascii="Verdana" w:eastAsia="Verdana" w:hAnsi="Verdana" w:cs="Verdana"/>
                <w:b/>
                <w:bCs/>
                <w:color w:val="7F7F7F" w:themeColor="text1" w:themeTint="80"/>
                <w:sz w:val="22"/>
                <w:szCs w:val="22"/>
                <w:lang w:val="en-US"/>
              </w:rPr>
              <w:t>Policy Issue 1: Inclusion of related undertakings in OFS</w:t>
            </w:r>
            <w:r w:rsidRPr="00035437">
              <w:rPr>
                <w:rFonts w:ascii="Verdana" w:eastAsia="Verdana" w:hAnsi="Verdana" w:cs="Verdana"/>
                <w:b/>
                <w:bCs/>
                <w:sz w:val="22"/>
                <w:szCs w:val="22"/>
                <w:lang w:val="en-US"/>
              </w:rPr>
              <w:t>.</w:t>
            </w:r>
          </w:p>
          <w:p w14:paraId="3CC8B287" w14:textId="18122A07" w:rsidR="006F5ECC" w:rsidRDefault="006F5ECC" w:rsidP="00020B14">
            <w:pPr>
              <w:tabs>
                <w:tab w:val="left" w:pos="0"/>
                <w:tab w:val="left" w:pos="4536"/>
              </w:tabs>
              <w:rPr>
                <w:rFonts w:ascii="Verdana" w:hAnsi="Verdana"/>
                <w:color w:val="7F7F7F"/>
                <w:sz w:val="22"/>
                <w:szCs w:val="22"/>
                <w:lang w:val="en-US" w:eastAsia="fr-FR"/>
              </w:rPr>
            </w:pPr>
            <w:r w:rsidRPr="0066714C">
              <w:rPr>
                <w:rFonts w:ascii="Verdana" w:hAnsi="Verdana"/>
                <w:color w:val="7F7F7F"/>
                <w:sz w:val="22"/>
                <w:szCs w:val="22"/>
                <w:lang w:val="en-US" w:eastAsia="fr-FR"/>
              </w:rPr>
              <w:t xml:space="preserve">In our opinion there is no need to change the </w:t>
            </w:r>
            <w:r>
              <w:rPr>
                <w:rFonts w:ascii="Verdana" w:hAnsi="Verdana"/>
                <w:color w:val="7F7F7F"/>
                <w:sz w:val="22"/>
                <w:szCs w:val="22"/>
                <w:lang w:val="en-US" w:eastAsia="fr-FR"/>
              </w:rPr>
              <w:t>Solvency II Directive as there is no doubt</w:t>
            </w:r>
            <w:r w:rsidRPr="0066714C">
              <w:rPr>
                <w:rFonts w:ascii="Verdana" w:hAnsi="Verdana"/>
                <w:color w:val="7F7F7F"/>
                <w:sz w:val="22"/>
                <w:szCs w:val="22"/>
                <w:lang w:val="en-US" w:eastAsia="fr-FR"/>
              </w:rPr>
              <w:t xml:space="preserve"> that </w:t>
            </w:r>
            <w:r>
              <w:rPr>
                <w:rFonts w:ascii="Verdana" w:hAnsi="Verdana"/>
                <w:color w:val="7F7F7F"/>
                <w:sz w:val="22"/>
                <w:szCs w:val="22"/>
                <w:lang w:val="en-US" w:eastAsia="fr-FR"/>
              </w:rPr>
              <w:t>A</w:t>
            </w:r>
            <w:r w:rsidRPr="0066714C">
              <w:rPr>
                <w:rFonts w:ascii="Verdana" w:hAnsi="Verdana"/>
                <w:color w:val="7F7F7F"/>
                <w:sz w:val="22"/>
                <w:szCs w:val="22"/>
                <w:lang w:val="en-US" w:eastAsia="fr-FR"/>
              </w:rPr>
              <w:t xml:space="preserve">rticle </w:t>
            </w:r>
            <w:r>
              <w:rPr>
                <w:rFonts w:ascii="Verdana" w:hAnsi="Verdana"/>
                <w:color w:val="7F7F7F"/>
                <w:sz w:val="22"/>
                <w:szCs w:val="22"/>
                <w:lang w:val="en-US" w:eastAsia="fr-FR"/>
              </w:rPr>
              <w:t xml:space="preserve">329 </w:t>
            </w:r>
            <w:r w:rsidRPr="0066714C">
              <w:rPr>
                <w:rFonts w:ascii="Verdana" w:hAnsi="Verdana"/>
                <w:color w:val="7F7F7F"/>
                <w:sz w:val="22"/>
                <w:szCs w:val="22"/>
                <w:lang w:val="en-US" w:eastAsia="fr-FR"/>
              </w:rPr>
              <w:t xml:space="preserve">applies regardless of which method is used. </w:t>
            </w:r>
            <w:r>
              <w:rPr>
                <w:rFonts w:ascii="Verdana" w:hAnsi="Verdana"/>
                <w:color w:val="7F7F7F"/>
                <w:sz w:val="22"/>
                <w:szCs w:val="22"/>
                <w:lang w:val="en-US" w:eastAsia="fr-FR"/>
              </w:rPr>
              <w:t>We query whether this</w:t>
            </w:r>
            <w:r w:rsidRPr="0066714C">
              <w:rPr>
                <w:rFonts w:ascii="Verdana" w:hAnsi="Verdana"/>
                <w:color w:val="7F7F7F"/>
                <w:sz w:val="22"/>
                <w:szCs w:val="22"/>
                <w:lang w:val="en-US" w:eastAsia="fr-FR"/>
              </w:rPr>
              <w:t xml:space="preserve"> issue mentioned by EIOPA </w:t>
            </w:r>
            <w:r>
              <w:rPr>
                <w:rFonts w:ascii="Verdana" w:hAnsi="Verdana"/>
                <w:color w:val="7F7F7F"/>
                <w:sz w:val="22"/>
                <w:szCs w:val="22"/>
                <w:lang w:val="en-US" w:eastAsia="fr-FR"/>
              </w:rPr>
              <w:t xml:space="preserve">has </w:t>
            </w:r>
            <w:r w:rsidRPr="0066714C">
              <w:rPr>
                <w:rFonts w:ascii="Verdana" w:hAnsi="Verdana"/>
                <w:color w:val="7F7F7F"/>
                <w:sz w:val="22"/>
                <w:szCs w:val="22"/>
                <w:lang w:val="en-US" w:eastAsia="fr-FR"/>
              </w:rPr>
              <w:t>also seen in practice</w:t>
            </w:r>
            <w:r>
              <w:rPr>
                <w:rFonts w:ascii="Verdana" w:hAnsi="Verdana"/>
                <w:color w:val="7F7F7F"/>
                <w:sz w:val="22"/>
                <w:szCs w:val="22"/>
                <w:lang w:val="en-US" w:eastAsia="fr-FR"/>
              </w:rPr>
              <w:t>.</w:t>
            </w:r>
          </w:p>
        </w:tc>
        <w:tc>
          <w:tcPr>
            <w:tcW w:w="483" w:type="pct"/>
            <w:tcBorders>
              <w:top w:val="single" w:sz="4" w:space="0" w:color="auto"/>
              <w:left w:val="single" w:sz="4" w:space="0" w:color="auto"/>
              <w:bottom w:val="single" w:sz="4" w:space="0" w:color="auto"/>
              <w:right w:val="single" w:sz="4" w:space="0" w:color="auto"/>
            </w:tcBorders>
          </w:tcPr>
          <w:p w14:paraId="7A75C6F9"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3E7EB69E"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1EED791" w14:textId="7E663D7D"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52D0C638" w14:textId="5A05299A"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442</w:t>
            </w:r>
          </w:p>
        </w:tc>
        <w:tc>
          <w:tcPr>
            <w:tcW w:w="1999" w:type="pct"/>
            <w:tcBorders>
              <w:top w:val="single" w:sz="4" w:space="0" w:color="auto"/>
              <w:left w:val="single" w:sz="4" w:space="0" w:color="auto"/>
              <w:bottom w:val="single" w:sz="4" w:space="0" w:color="auto"/>
              <w:right w:val="single" w:sz="4" w:space="0" w:color="auto"/>
            </w:tcBorders>
            <w:vAlign w:val="bottom"/>
          </w:tcPr>
          <w:p w14:paraId="2E512571" w14:textId="0C2F96D0" w:rsidR="006F5ECC" w:rsidRDefault="006F5ECC" w:rsidP="00020B14">
            <w:pPr>
              <w:tabs>
                <w:tab w:val="left" w:pos="0"/>
                <w:tab w:val="left" w:pos="4536"/>
              </w:tabs>
              <w:rPr>
                <w:rFonts w:ascii="Verdana" w:hAnsi="Verdana"/>
                <w:color w:val="7F7F7F"/>
                <w:sz w:val="22"/>
                <w:szCs w:val="22"/>
                <w:lang w:val="en-US" w:eastAsia="fr-FR"/>
              </w:rPr>
            </w:pPr>
            <w:r w:rsidRPr="00F22DFD">
              <w:rPr>
                <w:rFonts w:ascii="Verdana" w:hAnsi="Verdana"/>
                <w:color w:val="7F7F7F"/>
                <w:sz w:val="22"/>
                <w:szCs w:val="22"/>
                <w:lang w:val="en-US" w:eastAsia="fr-FR"/>
              </w:rPr>
              <w:t>We agree with the proposal</w:t>
            </w:r>
            <w:r>
              <w:rPr>
                <w:rFonts w:ascii="Verdana" w:hAnsi="Verdana"/>
                <w:color w:val="7F7F7F"/>
                <w:sz w:val="22"/>
                <w:szCs w:val="22"/>
                <w:lang w:val="en-US" w:eastAsia="fr-FR"/>
              </w:rPr>
              <w:t xml:space="preserve"> to require </w:t>
            </w:r>
            <w:r w:rsidRPr="00AF7FDC">
              <w:rPr>
                <w:rFonts w:ascii="Verdana" w:eastAsia="Verdana" w:hAnsi="Verdana" w:cs="Verdana"/>
                <w:color w:val="7F7F7F" w:themeColor="text1" w:themeTint="80"/>
                <w:sz w:val="22"/>
                <w:szCs w:val="22"/>
                <w:lang w:val="en-US"/>
              </w:rPr>
              <w:t>groups to allocate into the relevant Solvency II tiers, on a high-level and only for specific, clearly identified own-fund items of undertakings in OFS such as subordinated debt and similar, when it is practicable and the own-fund items materially affect the amount of group own funds.</w:t>
            </w:r>
            <w:r>
              <w:rPr>
                <w:rFonts w:ascii="Verdana" w:eastAsia="Verdana" w:hAnsi="Verdana" w:cs="Verdana"/>
                <w:color w:val="7F7F7F" w:themeColor="text1" w:themeTint="80"/>
                <w:sz w:val="22"/>
                <w:szCs w:val="22"/>
                <w:lang w:val="en-US"/>
              </w:rPr>
              <w:t xml:space="preserve"> </w:t>
            </w:r>
            <w:r w:rsidRPr="00F22DFD">
              <w:rPr>
                <w:rFonts w:ascii="Verdana" w:hAnsi="Verdana"/>
                <w:color w:val="7F7F7F"/>
                <w:sz w:val="22"/>
                <w:szCs w:val="22"/>
                <w:lang w:val="en-US" w:eastAsia="fr-FR"/>
              </w:rPr>
              <w:t>However, it is unclear whether the el</w:t>
            </w:r>
            <w:r>
              <w:rPr>
                <w:rFonts w:ascii="Verdana" w:hAnsi="Verdana"/>
                <w:color w:val="7F7F7F"/>
                <w:sz w:val="22"/>
                <w:szCs w:val="22"/>
                <w:lang w:val="en-US" w:eastAsia="fr-FR"/>
              </w:rPr>
              <w:t>e</w:t>
            </w:r>
            <w:r w:rsidRPr="00F22DFD">
              <w:rPr>
                <w:rFonts w:ascii="Verdana" w:hAnsi="Verdana"/>
                <w:color w:val="7F7F7F"/>
                <w:sz w:val="22"/>
                <w:szCs w:val="22"/>
                <w:lang w:val="en-US" w:eastAsia="fr-FR"/>
              </w:rPr>
              <w:t>ments mentioned by EIOPA are restricted to the subordinated liabilities</w:t>
            </w:r>
            <w:r>
              <w:rPr>
                <w:rFonts w:ascii="Verdana" w:hAnsi="Verdana"/>
                <w:color w:val="7F7F7F"/>
                <w:sz w:val="22"/>
                <w:szCs w:val="22"/>
                <w:lang w:val="en-US" w:eastAsia="fr-FR"/>
              </w:rPr>
              <w:t xml:space="preserve"> or not.</w:t>
            </w:r>
            <w:r w:rsidRPr="00F22DFD">
              <w:rPr>
                <w:rFonts w:ascii="Verdana" w:hAnsi="Verdana"/>
                <w:color w:val="7F7F7F"/>
                <w:sz w:val="22"/>
                <w:szCs w:val="22"/>
                <w:lang w:val="en-US" w:eastAsia="fr-FR"/>
              </w:rPr>
              <w:t xml:space="preserve"> If more elements are </w:t>
            </w:r>
            <w:r>
              <w:rPr>
                <w:rFonts w:ascii="Verdana" w:hAnsi="Verdana"/>
                <w:color w:val="7F7F7F"/>
                <w:sz w:val="22"/>
                <w:szCs w:val="22"/>
                <w:lang w:val="en-US" w:eastAsia="fr-FR"/>
              </w:rPr>
              <w:t>recognized</w:t>
            </w:r>
            <w:r w:rsidRPr="00F22DFD">
              <w:rPr>
                <w:rFonts w:ascii="Verdana" w:hAnsi="Verdana"/>
                <w:color w:val="7F7F7F"/>
                <w:sz w:val="22"/>
                <w:szCs w:val="22"/>
                <w:lang w:val="en-US" w:eastAsia="fr-FR"/>
              </w:rPr>
              <w:t>, there should be a consideration of the differences in the balance sheet according to sectoral rules and the econ</w:t>
            </w:r>
            <w:r>
              <w:rPr>
                <w:rFonts w:ascii="Verdana" w:hAnsi="Verdana"/>
                <w:color w:val="7F7F7F"/>
                <w:sz w:val="22"/>
                <w:szCs w:val="22"/>
                <w:lang w:val="en-US" w:eastAsia="fr-FR"/>
              </w:rPr>
              <w:t>o</w:t>
            </w:r>
            <w:r w:rsidRPr="00F22DFD">
              <w:rPr>
                <w:rFonts w:ascii="Verdana" w:hAnsi="Verdana"/>
                <w:color w:val="7F7F7F"/>
                <w:sz w:val="22"/>
                <w:szCs w:val="22"/>
                <w:lang w:val="en-US" w:eastAsia="fr-FR"/>
              </w:rPr>
              <w:t>mic perspective of Solvency II.</w:t>
            </w:r>
          </w:p>
        </w:tc>
        <w:tc>
          <w:tcPr>
            <w:tcW w:w="483" w:type="pct"/>
            <w:tcBorders>
              <w:top w:val="single" w:sz="4" w:space="0" w:color="auto"/>
              <w:left w:val="single" w:sz="4" w:space="0" w:color="auto"/>
              <w:bottom w:val="single" w:sz="4" w:space="0" w:color="auto"/>
              <w:right w:val="single" w:sz="4" w:space="0" w:color="auto"/>
            </w:tcBorders>
          </w:tcPr>
          <w:p w14:paraId="7A162462"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1FF3A6A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F82679C" w14:textId="41F91BC6"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38CDA25D" w14:textId="40393F70"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444</w:t>
            </w:r>
          </w:p>
        </w:tc>
        <w:tc>
          <w:tcPr>
            <w:tcW w:w="1999" w:type="pct"/>
            <w:tcBorders>
              <w:top w:val="single" w:sz="4" w:space="0" w:color="auto"/>
              <w:left w:val="single" w:sz="4" w:space="0" w:color="auto"/>
              <w:bottom w:val="single" w:sz="4" w:space="0" w:color="auto"/>
              <w:right w:val="single" w:sz="4" w:space="0" w:color="auto"/>
            </w:tcBorders>
            <w:vAlign w:val="bottom"/>
          </w:tcPr>
          <w:p w14:paraId="73FA73A5" w14:textId="2F309388" w:rsidR="006F5ECC" w:rsidRDefault="006F5ECC" w:rsidP="00020B14">
            <w:pPr>
              <w:tabs>
                <w:tab w:val="left" w:pos="0"/>
                <w:tab w:val="left" w:pos="4536"/>
              </w:tabs>
              <w:rPr>
                <w:rFonts w:ascii="Verdana" w:hAnsi="Verdana"/>
                <w:color w:val="7F7F7F"/>
                <w:sz w:val="22"/>
                <w:szCs w:val="22"/>
                <w:lang w:val="en-US" w:eastAsia="fr-FR"/>
              </w:rPr>
            </w:pPr>
            <w:r>
              <w:rPr>
                <w:rFonts w:ascii="Verdana" w:hAnsi="Verdana"/>
                <w:color w:val="7F7F7F"/>
                <w:sz w:val="22"/>
                <w:szCs w:val="22"/>
                <w:lang w:val="en-US" w:eastAsia="fr-FR"/>
              </w:rPr>
              <w:t>EIOPA indicates that subordinated debt instruments, deferred tax assets which are included in sectoral own funds and any non-distributable reserve in excess of sectoral capital requirements are by default not included in the group solvency; “</w:t>
            </w:r>
            <w:r w:rsidRPr="00F80735">
              <w:rPr>
                <w:rFonts w:ascii="Verdana" w:hAnsi="Verdana"/>
                <w:color w:val="7F7F7F"/>
                <w:sz w:val="22"/>
                <w:szCs w:val="22"/>
                <w:lang w:val="en-US" w:eastAsia="fr-FR"/>
              </w:rPr>
              <w:t>In excess</w:t>
            </w:r>
            <w:r>
              <w:rPr>
                <w:rFonts w:ascii="Verdana" w:hAnsi="Verdana"/>
                <w:color w:val="7F7F7F"/>
                <w:sz w:val="22"/>
                <w:szCs w:val="22"/>
                <w:lang w:val="en-US" w:eastAsia="fr-FR"/>
              </w:rPr>
              <w:t>”</w:t>
            </w:r>
            <w:r w:rsidRPr="00F80735">
              <w:rPr>
                <w:rFonts w:ascii="Verdana" w:hAnsi="Verdana"/>
                <w:color w:val="7F7F7F"/>
                <w:sz w:val="22"/>
                <w:szCs w:val="22"/>
                <w:lang w:val="en-US" w:eastAsia="fr-FR"/>
              </w:rPr>
              <w:t xml:space="preserve"> </w:t>
            </w:r>
            <w:r>
              <w:rPr>
                <w:rFonts w:ascii="Verdana" w:hAnsi="Verdana"/>
                <w:color w:val="7F7F7F"/>
                <w:sz w:val="22"/>
                <w:szCs w:val="22"/>
                <w:lang w:val="en-US" w:eastAsia="fr-FR"/>
              </w:rPr>
              <w:t>should mean</w:t>
            </w:r>
            <w:r w:rsidRPr="00F80735">
              <w:rPr>
                <w:rFonts w:ascii="Verdana" w:hAnsi="Verdana"/>
                <w:color w:val="7F7F7F"/>
                <w:sz w:val="22"/>
                <w:szCs w:val="22"/>
                <w:lang w:val="en-US" w:eastAsia="fr-FR"/>
              </w:rPr>
              <w:t xml:space="preserve"> that these elements can cover the existing sectoral capital requirements and only if </w:t>
            </w:r>
            <w:r>
              <w:rPr>
                <w:rFonts w:ascii="Verdana" w:hAnsi="Verdana"/>
                <w:color w:val="7F7F7F"/>
                <w:sz w:val="22"/>
                <w:szCs w:val="22"/>
                <w:lang w:val="en-US" w:eastAsia="fr-FR"/>
              </w:rPr>
              <w:t>they</w:t>
            </w:r>
            <w:r w:rsidRPr="00F80735">
              <w:rPr>
                <w:rFonts w:ascii="Verdana" w:hAnsi="Verdana"/>
                <w:color w:val="7F7F7F"/>
                <w:sz w:val="22"/>
                <w:szCs w:val="22"/>
                <w:lang w:val="en-US" w:eastAsia="fr-FR"/>
              </w:rPr>
              <w:t xml:space="preserve"> have a surplus, </w:t>
            </w:r>
            <w:r>
              <w:rPr>
                <w:rFonts w:ascii="Verdana" w:hAnsi="Verdana"/>
                <w:color w:val="7F7F7F"/>
                <w:sz w:val="22"/>
                <w:szCs w:val="22"/>
                <w:lang w:val="en-US" w:eastAsia="fr-FR"/>
              </w:rPr>
              <w:t>this cannot</w:t>
            </w:r>
            <w:r w:rsidRPr="00F80735">
              <w:rPr>
                <w:rFonts w:ascii="Verdana" w:hAnsi="Verdana"/>
                <w:color w:val="7F7F7F"/>
                <w:sz w:val="22"/>
                <w:szCs w:val="22"/>
                <w:lang w:val="en-US" w:eastAsia="fr-FR"/>
              </w:rPr>
              <w:t xml:space="preserve"> be used.</w:t>
            </w:r>
          </w:p>
          <w:p w14:paraId="43DAA9B2" w14:textId="6EDECA0E" w:rsidR="006F5ECC" w:rsidRDefault="006F5ECC" w:rsidP="00020B14">
            <w:pPr>
              <w:tabs>
                <w:tab w:val="left" w:pos="0"/>
                <w:tab w:val="left" w:pos="4536"/>
              </w:tabs>
              <w:rPr>
                <w:rFonts w:ascii="Verdana" w:hAnsi="Verdana"/>
                <w:color w:val="7F7F7F"/>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36ACD853"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16D3D096"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60B2850" w14:textId="78F4DDA7"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35166BA4" w14:textId="1DDED3E3"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445</w:t>
            </w:r>
          </w:p>
        </w:tc>
        <w:tc>
          <w:tcPr>
            <w:tcW w:w="1999" w:type="pct"/>
            <w:tcBorders>
              <w:top w:val="single" w:sz="4" w:space="0" w:color="auto"/>
              <w:left w:val="single" w:sz="4" w:space="0" w:color="auto"/>
              <w:bottom w:val="single" w:sz="4" w:space="0" w:color="auto"/>
              <w:right w:val="single" w:sz="4" w:space="0" w:color="auto"/>
            </w:tcBorders>
            <w:vAlign w:val="bottom"/>
          </w:tcPr>
          <w:p w14:paraId="6179F287" w14:textId="11F4913A" w:rsidR="006F5ECC" w:rsidRPr="00035437" w:rsidRDefault="006F5ECC" w:rsidP="00020B14">
            <w:pPr>
              <w:tabs>
                <w:tab w:val="left" w:pos="0"/>
                <w:tab w:val="left" w:pos="4536"/>
              </w:tabs>
              <w:spacing w:line="238" w:lineRule="auto"/>
              <w:jc w:val="both"/>
              <w:rPr>
                <w:rFonts w:ascii="Verdana" w:eastAsia="Verdana" w:hAnsi="Verdana" w:cs="Verdana"/>
                <w:b/>
                <w:bCs/>
                <w:color w:val="7F7F7F" w:themeColor="text1" w:themeTint="80"/>
                <w:sz w:val="22"/>
                <w:szCs w:val="22"/>
                <w:lang w:val="en-US"/>
              </w:rPr>
            </w:pPr>
            <w:r w:rsidRPr="00035437">
              <w:rPr>
                <w:rFonts w:ascii="Verdana" w:eastAsia="Verdana" w:hAnsi="Verdana" w:cs="Verdana"/>
                <w:b/>
                <w:bCs/>
                <w:color w:val="7F7F7F" w:themeColor="text1" w:themeTint="80"/>
                <w:sz w:val="22"/>
                <w:szCs w:val="22"/>
                <w:lang w:val="en-US"/>
              </w:rPr>
              <w:t xml:space="preserve">EIOPA’s Advice on Policy Issue 4: Inclusion of own funds and capital requirements subject to </w:t>
            </w:r>
            <w:r w:rsidRPr="0003536E">
              <w:rPr>
                <w:rFonts w:ascii="Verdana" w:eastAsia="Verdana" w:hAnsi="Verdana" w:cs="Verdana"/>
                <w:b/>
                <w:bCs/>
                <w:color w:val="7F7F7F" w:themeColor="text1" w:themeTint="80"/>
                <w:sz w:val="22"/>
                <w:szCs w:val="22"/>
                <w:lang w:val="en-US"/>
              </w:rPr>
              <w:t>sectoral rules when OFS entities form a group</w:t>
            </w:r>
          </w:p>
          <w:p w14:paraId="1E5A1A62" w14:textId="77777777" w:rsidR="006F5ECC" w:rsidRPr="00035437" w:rsidRDefault="006F5ECC" w:rsidP="00020B14">
            <w:pPr>
              <w:tabs>
                <w:tab w:val="left" w:pos="0"/>
                <w:tab w:val="left" w:pos="4536"/>
              </w:tabs>
              <w:spacing w:line="123" w:lineRule="exact"/>
              <w:rPr>
                <w:rFonts w:ascii="Verdana" w:eastAsia="Verdana" w:hAnsi="Verdana" w:cs="Verdana"/>
                <w:b/>
                <w:bCs/>
                <w:color w:val="7F7F7F" w:themeColor="text1" w:themeTint="80"/>
                <w:sz w:val="22"/>
                <w:szCs w:val="22"/>
                <w:lang w:val="en-US"/>
              </w:rPr>
            </w:pPr>
          </w:p>
          <w:p w14:paraId="382C3F9B" w14:textId="18AC6EDE" w:rsidR="006F5ECC" w:rsidRPr="00403A93" w:rsidRDefault="006F5ECC" w:rsidP="00020B14">
            <w:pPr>
              <w:tabs>
                <w:tab w:val="left" w:pos="0"/>
                <w:tab w:val="left" w:pos="4536"/>
              </w:tabs>
              <w:jc w:val="both"/>
              <w:rPr>
                <w:rFonts w:ascii="Verdana" w:hAnsi="Verdana"/>
                <w:color w:val="7F7F7F"/>
                <w:sz w:val="22"/>
                <w:szCs w:val="22"/>
                <w:lang w:val="en-US" w:eastAsia="fr-FR"/>
              </w:rPr>
            </w:pPr>
            <w:r w:rsidRPr="00403A93">
              <w:rPr>
                <w:rFonts w:ascii="Verdana" w:eastAsia="Verdana" w:hAnsi="Verdana" w:cs="Verdana"/>
                <w:color w:val="7F7F7F" w:themeColor="text1" w:themeTint="80"/>
                <w:sz w:val="22"/>
                <w:szCs w:val="22"/>
                <w:lang w:val="en-US"/>
              </w:rPr>
              <w:lastRenderedPageBreak/>
              <w:t xml:space="preserve">We agree with EIOPA’s proposal to clarify in Articles 329, 335 and 336 of the Delegated Regulation </w:t>
            </w:r>
            <w:r>
              <w:rPr>
                <w:rFonts w:ascii="Verdana" w:eastAsia="Verdana" w:hAnsi="Verdana" w:cs="Verdana"/>
                <w:color w:val="7F7F7F" w:themeColor="text1" w:themeTint="80"/>
                <w:sz w:val="22"/>
                <w:szCs w:val="22"/>
                <w:lang w:val="en-US"/>
              </w:rPr>
              <w:t xml:space="preserve">so </w:t>
            </w:r>
            <w:r w:rsidRPr="00403A93">
              <w:rPr>
                <w:rFonts w:ascii="Verdana" w:eastAsia="Verdana" w:hAnsi="Verdana" w:cs="Verdana"/>
                <w:color w:val="7F7F7F" w:themeColor="text1" w:themeTint="80"/>
                <w:sz w:val="22"/>
                <w:szCs w:val="22"/>
                <w:lang w:val="en-US"/>
              </w:rPr>
              <w:t>that when related undertakings in OFS form a group subject to sectoral group supervision, group own funds and group capital requirements that are calculated according to sectoral rules should contribute to the group solvency calculation instead of the sum of the capital requirement and own funds of each individual undertaking.</w:t>
            </w:r>
          </w:p>
        </w:tc>
        <w:tc>
          <w:tcPr>
            <w:tcW w:w="483" w:type="pct"/>
            <w:tcBorders>
              <w:top w:val="single" w:sz="4" w:space="0" w:color="auto"/>
              <w:left w:val="single" w:sz="4" w:space="0" w:color="auto"/>
              <w:bottom w:val="single" w:sz="4" w:space="0" w:color="auto"/>
              <w:right w:val="single" w:sz="4" w:space="0" w:color="auto"/>
            </w:tcBorders>
          </w:tcPr>
          <w:p w14:paraId="1490ECA9"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22F883CD"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3ADDB65" w14:textId="0873664A"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2FC67F2B" w14:textId="7274122D"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446</w:t>
            </w:r>
          </w:p>
        </w:tc>
        <w:tc>
          <w:tcPr>
            <w:tcW w:w="1999" w:type="pct"/>
            <w:tcBorders>
              <w:top w:val="single" w:sz="4" w:space="0" w:color="auto"/>
              <w:left w:val="single" w:sz="4" w:space="0" w:color="auto"/>
              <w:bottom w:val="single" w:sz="4" w:space="0" w:color="auto"/>
              <w:right w:val="single" w:sz="4" w:space="0" w:color="auto"/>
            </w:tcBorders>
            <w:vAlign w:val="bottom"/>
          </w:tcPr>
          <w:p w14:paraId="388F55F2" w14:textId="60FB08E4" w:rsidR="006F5ECC" w:rsidRPr="00035437" w:rsidRDefault="006F5ECC" w:rsidP="00020B14">
            <w:pPr>
              <w:tabs>
                <w:tab w:val="left" w:pos="0"/>
                <w:tab w:val="left" w:pos="4536"/>
              </w:tabs>
              <w:spacing w:line="238" w:lineRule="auto"/>
              <w:jc w:val="both"/>
              <w:rPr>
                <w:rFonts w:ascii="Verdana" w:eastAsia="Verdana" w:hAnsi="Verdana" w:cs="Verdana"/>
                <w:b/>
                <w:bCs/>
                <w:color w:val="7F7F7F" w:themeColor="text1" w:themeTint="80"/>
                <w:sz w:val="22"/>
                <w:szCs w:val="22"/>
                <w:lang w:val="en-US"/>
              </w:rPr>
            </w:pPr>
            <w:r w:rsidRPr="00035437">
              <w:rPr>
                <w:rFonts w:ascii="Verdana" w:eastAsia="Verdana" w:hAnsi="Verdana" w:cs="Verdana"/>
                <w:b/>
                <w:bCs/>
                <w:color w:val="7F7F7F" w:themeColor="text1" w:themeTint="80"/>
                <w:sz w:val="22"/>
                <w:szCs w:val="22"/>
                <w:lang w:val="en-US"/>
              </w:rPr>
              <w:t xml:space="preserve">EIOPA’s Advice on Policy Issue 5: Inclusion of capital requirements from credit institutions, </w:t>
            </w:r>
            <w:r w:rsidRPr="0003536E">
              <w:rPr>
                <w:rFonts w:ascii="Verdana" w:eastAsia="Verdana" w:hAnsi="Verdana" w:cs="Verdana"/>
                <w:b/>
                <w:bCs/>
                <w:color w:val="7F7F7F" w:themeColor="text1" w:themeTint="80"/>
                <w:sz w:val="22"/>
                <w:szCs w:val="22"/>
                <w:lang w:val="en-US"/>
              </w:rPr>
              <w:t>investment firms and financial institutions</w:t>
            </w:r>
          </w:p>
          <w:p w14:paraId="6DE0EA85" w14:textId="77777777" w:rsidR="006F5ECC" w:rsidRPr="00211776" w:rsidRDefault="006F5ECC" w:rsidP="00020B14">
            <w:pPr>
              <w:tabs>
                <w:tab w:val="left" w:pos="0"/>
                <w:tab w:val="left" w:pos="4536"/>
              </w:tabs>
              <w:spacing w:line="123" w:lineRule="exact"/>
              <w:rPr>
                <w:sz w:val="20"/>
                <w:szCs w:val="20"/>
                <w:lang w:val="en-US"/>
              </w:rPr>
            </w:pPr>
          </w:p>
          <w:p w14:paraId="404C60EE" w14:textId="58306EBB" w:rsidR="006F5ECC" w:rsidRPr="00403A93" w:rsidRDefault="006F5ECC" w:rsidP="00020B14">
            <w:pPr>
              <w:tabs>
                <w:tab w:val="left" w:pos="0"/>
                <w:tab w:val="left" w:pos="4536"/>
              </w:tabs>
              <w:rPr>
                <w:sz w:val="22"/>
                <w:szCs w:val="22"/>
                <w:lang w:val="en-US"/>
              </w:rPr>
            </w:pPr>
            <w:r w:rsidRPr="000D5250">
              <w:rPr>
                <w:rFonts w:ascii="Verdana" w:eastAsia="Verdana" w:hAnsi="Verdana" w:cs="Verdana"/>
                <w:color w:val="7F7F7F" w:themeColor="text1" w:themeTint="80"/>
                <w:sz w:val="22"/>
                <w:szCs w:val="22"/>
                <w:lang w:val="en-US"/>
              </w:rPr>
              <w:t>We agree with</w:t>
            </w:r>
            <w:r w:rsidRPr="00403A93">
              <w:rPr>
                <w:rFonts w:ascii="Verdana" w:eastAsia="Verdana" w:hAnsi="Verdana" w:cs="Verdana"/>
                <w:color w:val="7F7F7F" w:themeColor="text1" w:themeTint="80"/>
                <w:lang w:val="en-US"/>
              </w:rPr>
              <w:t xml:space="preserve"> </w:t>
            </w:r>
            <w:r w:rsidRPr="00403A93">
              <w:rPr>
                <w:rFonts w:ascii="Verdana" w:eastAsia="Verdana" w:hAnsi="Verdana" w:cs="Verdana"/>
                <w:color w:val="7F7F7F" w:themeColor="text1" w:themeTint="80"/>
                <w:sz w:val="21"/>
                <w:szCs w:val="21"/>
                <w:lang w:val="en-US"/>
              </w:rPr>
              <w:t>EIOPA advice to include the answer to Q&amp;A 1344 in the S</w:t>
            </w:r>
            <w:r>
              <w:rPr>
                <w:rFonts w:ascii="Verdana" w:eastAsia="Verdana" w:hAnsi="Verdana" w:cs="Verdana"/>
                <w:color w:val="7F7F7F" w:themeColor="text1" w:themeTint="80"/>
                <w:sz w:val="21"/>
                <w:szCs w:val="21"/>
                <w:lang w:val="en-US"/>
              </w:rPr>
              <w:t xml:space="preserve">olvency </w:t>
            </w:r>
            <w:r w:rsidRPr="00403A93">
              <w:rPr>
                <w:rFonts w:ascii="Verdana" w:eastAsia="Verdana" w:hAnsi="Verdana" w:cs="Verdana"/>
                <w:color w:val="7F7F7F" w:themeColor="text1" w:themeTint="80"/>
                <w:sz w:val="21"/>
                <w:szCs w:val="21"/>
                <w:lang w:val="en-US"/>
              </w:rPr>
              <w:t xml:space="preserve">II regulation. This Q&amp;A clarifies that </w:t>
            </w:r>
            <w:r w:rsidRPr="00403A93">
              <w:rPr>
                <w:rFonts w:ascii="Verdana" w:eastAsia="Verdana" w:hAnsi="Verdana" w:cs="Verdana"/>
                <w:color w:val="7F7F7F" w:themeColor="text1" w:themeTint="80"/>
                <w:sz w:val="22"/>
                <w:szCs w:val="22"/>
                <w:lang w:val="en-US"/>
              </w:rPr>
              <w:t>the same capital requirements for related credit institutions, investment firms and financial institutions, i.e. including buffers and add-ons, should be used in the Solvency II calculation as in the supplementary</w:t>
            </w:r>
            <w:r w:rsidRPr="00403A93">
              <w:rPr>
                <w:color w:val="7F7F7F" w:themeColor="text1" w:themeTint="80"/>
                <w:sz w:val="22"/>
                <w:szCs w:val="22"/>
                <w:lang w:val="en-US"/>
              </w:rPr>
              <w:t xml:space="preserve"> </w:t>
            </w:r>
            <w:r w:rsidRPr="00403A93">
              <w:rPr>
                <w:rFonts w:ascii="Verdana" w:eastAsia="Verdana" w:hAnsi="Verdana" w:cs="Verdana"/>
                <w:color w:val="7F7F7F" w:themeColor="text1" w:themeTint="80"/>
                <w:sz w:val="22"/>
                <w:szCs w:val="22"/>
                <w:lang w:val="en-US"/>
              </w:rPr>
              <w:t>capital adequacy calculation for a financial conglomerate.</w:t>
            </w:r>
          </w:p>
          <w:p w14:paraId="6D09676A" w14:textId="1B21BD5F" w:rsidR="006F5ECC" w:rsidRPr="00A26B2D" w:rsidRDefault="006F5ECC" w:rsidP="00020B14">
            <w:pPr>
              <w:tabs>
                <w:tab w:val="left" w:pos="0"/>
                <w:tab w:val="left" w:pos="4536"/>
              </w:tabs>
              <w:rPr>
                <w:rFonts w:ascii="Verdana" w:hAnsi="Verdana"/>
                <w:color w:val="7F7F7F"/>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1CD142B3"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1360A5" w14:paraId="1B7EA89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1418" w:type="pct"/>
          <w:trHeight w:val="300"/>
        </w:trPr>
        <w:tc>
          <w:tcPr>
            <w:tcW w:w="3582" w:type="pct"/>
            <w:gridSpan w:val="6"/>
            <w:tcBorders>
              <w:top w:val="single" w:sz="4" w:space="0" w:color="auto"/>
              <w:left w:val="single" w:sz="4" w:space="0" w:color="auto"/>
              <w:bottom w:val="single" w:sz="4" w:space="0" w:color="auto"/>
              <w:right w:val="single" w:sz="4" w:space="0" w:color="auto"/>
            </w:tcBorders>
            <w:shd w:val="clear" w:color="auto" w:fill="auto"/>
            <w:noWrap/>
          </w:tcPr>
          <w:p w14:paraId="0850B6BA" w14:textId="6DB5528D" w:rsidR="006F5ECC" w:rsidRPr="0003536E" w:rsidRDefault="006F5ECC" w:rsidP="00020B14">
            <w:pPr>
              <w:tabs>
                <w:tab w:val="left" w:pos="0"/>
                <w:tab w:val="left" w:pos="1060"/>
                <w:tab w:val="left" w:pos="4536"/>
              </w:tabs>
              <w:rPr>
                <w:color w:val="7F7F7F" w:themeColor="text1" w:themeTint="80"/>
                <w:sz w:val="22"/>
                <w:szCs w:val="22"/>
                <w:lang w:val="en-US"/>
              </w:rPr>
            </w:pPr>
            <w:r>
              <w:rPr>
                <w:rFonts w:ascii="Verdana" w:eastAsia="Verdana" w:hAnsi="Verdana" w:cs="Verdana"/>
                <w:b/>
                <w:bCs/>
                <w:color w:val="7F7F7F" w:themeColor="text1" w:themeTint="80"/>
                <w:sz w:val="22"/>
                <w:szCs w:val="22"/>
                <w:lang w:val="en-US"/>
              </w:rPr>
              <w:t xml:space="preserve">9.3.17 </w:t>
            </w:r>
            <w:r w:rsidRPr="00A23FBA">
              <w:rPr>
                <w:rFonts w:ascii="Verdana" w:eastAsia="Verdana" w:hAnsi="Verdana" w:cs="Verdana"/>
                <w:b/>
                <w:bCs/>
                <w:color w:val="7F7F7F" w:themeColor="text1" w:themeTint="80"/>
                <w:sz w:val="22"/>
                <w:szCs w:val="22"/>
                <w:lang w:val="en-US"/>
              </w:rPr>
              <w:t>Application of Article 228 of the Solvency II Directive</w:t>
            </w:r>
          </w:p>
        </w:tc>
      </w:tr>
      <w:tr w:rsidR="00FC5744" w:rsidRPr="001360A5" w14:paraId="1F9AB89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117B727" w14:textId="2B760D72"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35DA3999" w14:textId="2610090E"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466</w:t>
            </w:r>
          </w:p>
        </w:tc>
        <w:tc>
          <w:tcPr>
            <w:tcW w:w="1999" w:type="pct"/>
            <w:tcBorders>
              <w:top w:val="single" w:sz="4" w:space="0" w:color="auto"/>
              <w:left w:val="single" w:sz="4" w:space="0" w:color="auto"/>
              <w:bottom w:val="single" w:sz="4" w:space="0" w:color="auto"/>
              <w:right w:val="single" w:sz="4" w:space="0" w:color="auto"/>
            </w:tcBorders>
            <w:vAlign w:val="bottom"/>
          </w:tcPr>
          <w:p w14:paraId="41125415" w14:textId="425286DC" w:rsidR="006F5ECC" w:rsidRPr="00403A93" w:rsidRDefault="006F5ECC" w:rsidP="00020B14">
            <w:pPr>
              <w:tabs>
                <w:tab w:val="left" w:pos="0"/>
                <w:tab w:val="left" w:pos="4536"/>
              </w:tabs>
              <w:rPr>
                <w:rFonts w:ascii="Verdana" w:eastAsia="Verdana" w:hAnsi="Verdana" w:cs="Verdana"/>
                <w:color w:val="7F7F7F" w:themeColor="text1" w:themeTint="80"/>
                <w:sz w:val="22"/>
                <w:szCs w:val="22"/>
                <w:lang w:val="en-US"/>
              </w:rPr>
            </w:pPr>
            <w:r>
              <w:rPr>
                <w:rFonts w:ascii="Verdana" w:eastAsia="Verdana" w:hAnsi="Verdana" w:cs="Verdana"/>
                <w:color w:val="7F7F7F" w:themeColor="text1" w:themeTint="80"/>
                <w:sz w:val="22"/>
                <w:szCs w:val="22"/>
                <w:lang w:val="en-US"/>
              </w:rPr>
              <w:t xml:space="preserve">As a result of </w:t>
            </w:r>
            <w:r w:rsidRPr="00403A93">
              <w:rPr>
                <w:rFonts w:ascii="Verdana" w:eastAsia="Verdana" w:hAnsi="Verdana" w:cs="Verdana"/>
                <w:color w:val="7F7F7F" w:themeColor="text1" w:themeTint="80"/>
                <w:sz w:val="22"/>
                <w:szCs w:val="22"/>
                <w:lang w:val="en-US"/>
              </w:rPr>
              <w:t>EIOPA</w:t>
            </w:r>
            <w:r>
              <w:rPr>
                <w:rFonts w:ascii="Verdana" w:eastAsia="Verdana" w:hAnsi="Verdana" w:cs="Verdana"/>
                <w:color w:val="7F7F7F" w:themeColor="text1" w:themeTint="80"/>
                <w:sz w:val="22"/>
                <w:szCs w:val="22"/>
                <w:lang w:val="en-US"/>
              </w:rPr>
              <w:t>´s</w:t>
            </w:r>
            <w:r w:rsidRPr="00403A93">
              <w:rPr>
                <w:rFonts w:ascii="Verdana" w:eastAsia="Verdana" w:hAnsi="Verdana" w:cs="Verdana"/>
                <w:color w:val="7F7F7F" w:themeColor="text1" w:themeTint="80"/>
                <w:sz w:val="22"/>
                <w:szCs w:val="22"/>
                <w:lang w:val="en-US"/>
              </w:rPr>
              <w:t xml:space="preserve"> advice to delete Article 228 of Solvency II Directive, a related credit institution, investment firm and financial institution could only be included using method 1 or method 2 </w:t>
            </w:r>
            <w:r>
              <w:rPr>
                <w:rFonts w:ascii="Verdana" w:eastAsia="Verdana" w:hAnsi="Verdana" w:cs="Verdana"/>
                <w:color w:val="7F7F7F" w:themeColor="text1" w:themeTint="80"/>
                <w:sz w:val="22"/>
                <w:szCs w:val="22"/>
                <w:lang w:val="en-US"/>
              </w:rPr>
              <w:t xml:space="preserve">of </w:t>
            </w:r>
            <w:r w:rsidRPr="00403A93">
              <w:rPr>
                <w:rFonts w:ascii="Verdana" w:eastAsia="Verdana" w:hAnsi="Verdana" w:cs="Verdana"/>
                <w:color w:val="7F7F7F" w:themeColor="text1" w:themeTint="80"/>
                <w:sz w:val="22"/>
                <w:szCs w:val="22"/>
                <w:lang w:val="en-US"/>
              </w:rPr>
              <w:t xml:space="preserve">Solvency II. Such treatment would result in a harmonised treatment of such participations. Article 68(3) of the Delegated Regulation should be amended accordingly. </w:t>
            </w:r>
          </w:p>
          <w:p w14:paraId="6F0284BD" w14:textId="338697B6" w:rsidR="006F5ECC" w:rsidRPr="00A26B2D" w:rsidRDefault="006F5ECC" w:rsidP="00020B14">
            <w:pPr>
              <w:tabs>
                <w:tab w:val="left" w:pos="0"/>
                <w:tab w:val="left" w:pos="4536"/>
              </w:tabs>
              <w:spacing w:before="120" w:after="120"/>
              <w:rPr>
                <w:rFonts w:ascii="Verdana" w:hAnsi="Verdana"/>
                <w:color w:val="7F7F7F"/>
                <w:sz w:val="22"/>
                <w:szCs w:val="22"/>
                <w:lang w:val="en-GB" w:eastAsia="fr-FR"/>
              </w:rPr>
            </w:pPr>
            <w:r w:rsidRPr="00A26B2D">
              <w:rPr>
                <w:rFonts w:ascii="Verdana" w:hAnsi="Verdana"/>
                <w:color w:val="7F7F7F"/>
                <w:sz w:val="22"/>
                <w:szCs w:val="22"/>
                <w:lang w:val="en-GB" w:eastAsia="fr-FR"/>
              </w:rPr>
              <w:t xml:space="preserve">By deleting the </w:t>
            </w:r>
            <w:r>
              <w:rPr>
                <w:rFonts w:ascii="Verdana" w:hAnsi="Verdana"/>
                <w:color w:val="7F7F7F"/>
                <w:sz w:val="22"/>
                <w:szCs w:val="22"/>
                <w:lang w:val="en-GB" w:eastAsia="fr-FR"/>
              </w:rPr>
              <w:t>A</w:t>
            </w:r>
            <w:r w:rsidRPr="00A26B2D">
              <w:rPr>
                <w:rFonts w:ascii="Verdana" w:hAnsi="Verdana"/>
                <w:color w:val="7F7F7F"/>
                <w:sz w:val="22"/>
                <w:szCs w:val="22"/>
                <w:lang w:val="en-GB" w:eastAsia="fr-FR"/>
              </w:rPr>
              <w:t>rticle</w:t>
            </w:r>
            <w:r>
              <w:rPr>
                <w:rFonts w:ascii="Verdana" w:hAnsi="Verdana"/>
                <w:color w:val="7F7F7F"/>
                <w:sz w:val="22"/>
                <w:szCs w:val="22"/>
                <w:lang w:val="en-GB" w:eastAsia="fr-FR"/>
              </w:rPr>
              <w:t xml:space="preserve"> 228 of the Solvency II Directive</w:t>
            </w:r>
            <w:r w:rsidRPr="00A26B2D">
              <w:rPr>
                <w:rFonts w:ascii="Verdana" w:hAnsi="Verdana"/>
                <w:color w:val="7F7F7F"/>
                <w:sz w:val="22"/>
                <w:szCs w:val="22"/>
                <w:lang w:val="en-GB" w:eastAsia="fr-FR"/>
              </w:rPr>
              <w:t xml:space="preserve">, </w:t>
            </w:r>
            <w:r>
              <w:rPr>
                <w:rFonts w:ascii="Verdana" w:hAnsi="Verdana"/>
                <w:color w:val="7F7F7F"/>
                <w:sz w:val="22"/>
                <w:szCs w:val="22"/>
                <w:lang w:val="en-GB" w:eastAsia="fr-FR"/>
              </w:rPr>
              <w:t xml:space="preserve">the </w:t>
            </w:r>
            <w:r w:rsidRPr="00A26B2D">
              <w:rPr>
                <w:rFonts w:ascii="Verdana" w:hAnsi="Verdana"/>
                <w:color w:val="7F7F7F"/>
                <w:sz w:val="22"/>
                <w:szCs w:val="22"/>
                <w:lang w:val="en-GB" w:eastAsia="fr-FR"/>
              </w:rPr>
              <w:t xml:space="preserve">FICOD </w:t>
            </w:r>
            <w:r>
              <w:rPr>
                <w:rFonts w:ascii="Verdana" w:hAnsi="Verdana"/>
                <w:color w:val="7F7F7F"/>
                <w:sz w:val="22"/>
                <w:szCs w:val="22"/>
                <w:lang w:val="en-GB" w:eastAsia="fr-FR"/>
              </w:rPr>
              <w:t xml:space="preserve">Directive would </w:t>
            </w:r>
            <w:r w:rsidRPr="00A26B2D">
              <w:rPr>
                <w:rFonts w:ascii="Verdana" w:hAnsi="Verdana"/>
                <w:color w:val="7F7F7F"/>
                <w:sz w:val="22"/>
                <w:szCs w:val="22"/>
                <w:lang w:val="en-GB" w:eastAsia="fr-FR"/>
              </w:rPr>
              <w:t xml:space="preserve">require </w:t>
            </w:r>
            <w:r>
              <w:rPr>
                <w:rFonts w:ascii="Verdana" w:hAnsi="Verdana"/>
                <w:color w:val="7F7F7F"/>
                <w:sz w:val="22"/>
                <w:szCs w:val="22"/>
                <w:lang w:val="en-GB" w:eastAsia="fr-FR"/>
              </w:rPr>
              <w:t xml:space="preserve">undertakings </w:t>
            </w:r>
            <w:r w:rsidRPr="00A26B2D">
              <w:rPr>
                <w:rFonts w:ascii="Verdana" w:hAnsi="Verdana"/>
                <w:color w:val="7F7F7F"/>
                <w:sz w:val="22"/>
                <w:szCs w:val="22"/>
                <w:lang w:val="en-GB" w:eastAsia="fr-FR"/>
              </w:rPr>
              <w:t xml:space="preserve">to calculate their group capital </w:t>
            </w:r>
            <w:r>
              <w:rPr>
                <w:rFonts w:ascii="Verdana" w:hAnsi="Verdana"/>
                <w:color w:val="7F7F7F"/>
                <w:sz w:val="22"/>
                <w:szCs w:val="22"/>
                <w:lang w:val="en-GB" w:eastAsia="fr-FR"/>
              </w:rPr>
              <w:t xml:space="preserve">requirements </w:t>
            </w:r>
            <w:r w:rsidRPr="00A26B2D">
              <w:rPr>
                <w:rFonts w:ascii="Verdana" w:hAnsi="Verdana"/>
                <w:color w:val="7F7F7F"/>
                <w:sz w:val="22"/>
                <w:szCs w:val="22"/>
                <w:lang w:val="en-GB" w:eastAsia="fr-FR"/>
              </w:rPr>
              <w:t xml:space="preserve">according to </w:t>
            </w:r>
            <w:r>
              <w:rPr>
                <w:rFonts w:ascii="Verdana" w:hAnsi="Verdana"/>
                <w:color w:val="7F7F7F"/>
                <w:sz w:val="22"/>
                <w:szCs w:val="22"/>
                <w:lang w:val="en-GB" w:eastAsia="fr-FR"/>
              </w:rPr>
              <w:t xml:space="preserve">both </w:t>
            </w:r>
            <w:r w:rsidRPr="00A26B2D">
              <w:rPr>
                <w:rFonts w:ascii="Verdana" w:hAnsi="Verdana"/>
                <w:color w:val="7F7F7F"/>
                <w:sz w:val="22"/>
                <w:szCs w:val="22"/>
                <w:lang w:val="en-GB" w:eastAsia="fr-FR"/>
              </w:rPr>
              <w:t xml:space="preserve">the FICOD and </w:t>
            </w:r>
            <w:r>
              <w:rPr>
                <w:rFonts w:ascii="Verdana" w:hAnsi="Verdana"/>
                <w:color w:val="7F7F7F"/>
                <w:sz w:val="22"/>
                <w:szCs w:val="22"/>
                <w:lang w:val="en-GB" w:eastAsia="fr-FR"/>
              </w:rPr>
              <w:t xml:space="preserve">the </w:t>
            </w:r>
            <w:r w:rsidRPr="00A26B2D">
              <w:rPr>
                <w:rFonts w:ascii="Verdana" w:hAnsi="Verdana"/>
                <w:color w:val="7F7F7F"/>
                <w:sz w:val="22"/>
                <w:szCs w:val="22"/>
                <w:lang w:val="en-GB" w:eastAsia="fr-FR"/>
              </w:rPr>
              <w:t xml:space="preserve">Solvency II Directive </w:t>
            </w:r>
            <w:r>
              <w:rPr>
                <w:rFonts w:ascii="Verdana" w:hAnsi="Verdana"/>
                <w:color w:val="7F7F7F"/>
                <w:sz w:val="22"/>
                <w:szCs w:val="22"/>
                <w:lang w:val="en-GB" w:eastAsia="fr-FR"/>
              </w:rPr>
              <w:t xml:space="preserve">provided </w:t>
            </w:r>
            <w:r w:rsidRPr="00A26B2D">
              <w:rPr>
                <w:rFonts w:ascii="Verdana" w:hAnsi="Verdana"/>
                <w:color w:val="7F7F7F"/>
                <w:sz w:val="22"/>
                <w:szCs w:val="22"/>
                <w:lang w:val="en-GB" w:eastAsia="fr-FR"/>
              </w:rPr>
              <w:t>the results of the calculations vary.</w:t>
            </w:r>
            <w:r>
              <w:rPr>
                <w:rFonts w:ascii="Verdana" w:hAnsi="Verdana"/>
                <w:color w:val="7F7F7F"/>
                <w:sz w:val="22"/>
                <w:szCs w:val="22"/>
                <w:lang w:val="en-GB" w:eastAsia="fr-FR"/>
              </w:rPr>
              <w:t xml:space="preserve"> </w:t>
            </w:r>
            <w:r w:rsidRPr="00A26B2D">
              <w:rPr>
                <w:rFonts w:ascii="Verdana" w:hAnsi="Verdana"/>
                <w:color w:val="7F7F7F"/>
                <w:sz w:val="22"/>
                <w:szCs w:val="22"/>
                <w:lang w:val="en-GB" w:eastAsia="fr-FR"/>
              </w:rPr>
              <w:t xml:space="preserve">EIOPA has presented the issue </w:t>
            </w:r>
            <w:r w:rsidRPr="004C664A">
              <w:rPr>
                <w:rFonts w:ascii="Verdana" w:hAnsi="Verdana"/>
                <w:color w:val="7F7F7F"/>
                <w:sz w:val="22"/>
                <w:szCs w:val="22"/>
                <w:lang w:val="en-GB" w:eastAsia="fr-FR"/>
              </w:rPr>
              <w:t>in a very minimal manner</w:t>
            </w:r>
            <w:r>
              <w:rPr>
                <w:rFonts w:ascii="Verdana" w:hAnsi="Verdana"/>
                <w:color w:val="7F7F7F"/>
                <w:sz w:val="22"/>
                <w:szCs w:val="22"/>
                <w:lang w:val="en-GB" w:eastAsia="fr-FR"/>
              </w:rPr>
              <w:t xml:space="preserve"> and</w:t>
            </w:r>
            <w:r w:rsidRPr="00A26B2D">
              <w:rPr>
                <w:rFonts w:ascii="Verdana" w:hAnsi="Verdana"/>
                <w:color w:val="7F7F7F"/>
                <w:sz w:val="22"/>
                <w:szCs w:val="22"/>
                <w:lang w:val="en-GB" w:eastAsia="fr-FR"/>
              </w:rPr>
              <w:t xml:space="preserve"> </w:t>
            </w:r>
            <w:r>
              <w:rPr>
                <w:rFonts w:ascii="Verdana" w:hAnsi="Verdana"/>
                <w:color w:val="7F7F7F"/>
                <w:sz w:val="22"/>
                <w:szCs w:val="22"/>
                <w:lang w:val="en-GB" w:eastAsia="fr-FR"/>
              </w:rPr>
              <w:t>i</w:t>
            </w:r>
            <w:r w:rsidRPr="00A26B2D">
              <w:rPr>
                <w:rFonts w:ascii="Verdana" w:hAnsi="Verdana"/>
                <w:color w:val="7F7F7F"/>
                <w:sz w:val="22"/>
                <w:szCs w:val="22"/>
                <w:lang w:val="en-GB" w:eastAsia="fr-FR"/>
              </w:rPr>
              <w:t xml:space="preserve">t is unclear whether the issue </w:t>
            </w:r>
            <w:r w:rsidRPr="00A26B2D">
              <w:rPr>
                <w:rFonts w:ascii="Verdana" w:hAnsi="Verdana"/>
                <w:color w:val="7F7F7F"/>
                <w:sz w:val="22"/>
                <w:szCs w:val="22"/>
                <w:lang w:val="en-GB" w:eastAsia="fr-FR"/>
              </w:rPr>
              <w:lastRenderedPageBreak/>
              <w:t xml:space="preserve">described has a real negative impact in practice. </w:t>
            </w:r>
            <w:r>
              <w:rPr>
                <w:rFonts w:ascii="Verdana" w:hAnsi="Verdana"/>
                <w:color w:val="7F7F7F"/>
                <w:sz w:val="22"/>
                <w:szCs w:val="22"/>
                <w:lang w:val="en-GB" w:eastAsia="fr-FR"/>
              </w:rPr>
              <w:t xml:space="preserve">We would ask EIOPA to provide clarification on which issues have arisen </w:t>
            </w:r>
            <w:r w:rsidRPr="004C664A">
              <w:rPr>
                <w:rFonts w:ascii="Verdana" w:hAnsi="Verdana"/>
                <w:color w:val="7F7F7F"/>
                <w:sz w:val="22"/>
                <w:szCs w:val="22"/>
                <w:lang w:val="en-GB" w:eastAsia="fr-FR"/>
              </w:rPr>
              <w:t>because of the ambiguity.</w:t>
            </w:r>
          </w:p>
          <w:p w14:paraId="0FE061C0" w14:textId="6DCE167E" w:rsidR="006F5ECC" w:rsidRPr="00A26B2D" w:rsidRDefault="006F5ECC" w:rsidP="00020B14">
            <w:pPr>
              <w:tabs>
                <w:tab w:val="left" w:pos="0"/>
                <w:tab w:val="left" w:pos="4536"/>
              </w:tabs>
              <w:rPr>
                <w:rFonts w:ascii="Verdana" w:hAnsi="Verdana"/>
                <w:color w:val="7F7F7F"/>
                <w:sz w:val="22"/>
                <w:szCs w:val="22"/>
                <w:lang w:val="en-GB" w:eastAsia="fr-FR"/>
              </w:rPr>
            </w:pPr>
            <w:r w:rsidRPr="00A26B2D">
              <w:rPr>
                <w:rFonts w:ascii="Verdana" w:hAnsi="Verdana"/>
                <w:color w:val="7F7F7F"/>
                <w:sz w:val="22"/>
                <w:szCs w:val="22"/>
                <w:lang w:val="en-GB" w:eastAsia="fr-FR"/>
              </w:rPr>
              <w:t xml:space="preserve">We do not feel that </w:t>
            </w:r>
            <w:r>
              <w:rPr>
                <w:rFonts w:ascii="Verdana" w:hAnsi="Verdana"/>
                <w:color w:val="7F7F7F"/>
                <w:sz w:val="22"/>
                <w:szCs w:val="22"/>
                <w:lang w:val="en-GB" w:eastAsia="fr-FR"/>
              </w:rPr>
              <w:t>supervisor</w:t>
            </w:r>
            <w:r w:rsidRPr="00A26B2D">
              <w:rPr>
                <w:rFonts w:ascii="Verdana" w:hAnsi="Verdana"/>
                <w:color w:val="7F7F7F"/>
                <w:sz w:val="22"/>
                <w:szCs w:val="22"/>
                <w:lang w:val="en-GB" w:eastAsia="fr-FR"/>
              </w:rPr>
              <w:t xml:space="preserve">y convergence issues should be solved by </w:t>
            </w:r>
            <w:r>
              <w:rPr>
                <w:rFonts w:ascii="Verdana" w:hAnsi="Verdana"/>
                <w:color w:val="7F7F7F"/>
                <w:sz w:val="22"/>
                <w:szCs w:val="22"/>
                <w:lang w:val="en-GB" w:eastAsia="fr-FR"/>
              </w:rPr>
              <w:t xml:space="preserve">amending the </w:t>
            </w:r>
            <w:r w:rsidRPr="00A26B2D">
              <w:rPr>
                <w:rFonts w:ascii="Verdana" w:hAnsi="Verdana"/>
                <w:color w:val="7F7F7F"/>
                <w:sz w:val="22"/>
                <w:szCs w:val="22"/>
                <w:lang w:val="en-GB" w:eastAsia="fr-FR"/>
              </w:rPr>
              <w:t xml:space="preserve">legislation. </w:t>
            </w:r>
            <w:r>
              <w:rPr>
                <w:rFonts w:ascii="Verdana" w:hAnsi="Verdana"/>
                <w:color w:val="7F7F7F"/>
                <w:sz w:val="22"/>
                <w:szCs w:val="22"/>
                <w:lang w:val="en-GB" w:eastAsia="fr-FR"/>
              </w:rPr>
              <w:t>Each g</w:t>
            </w:r>
            <w:r w:rsidRPr="00A26B2D">
              <w:rPr>
                <w:rFonts w:ascii="Verdana" w:hAnsi="Verdana"/>
                <w:color w:val="7F7F7F"/>
                <w:sz w:val="22"/>
                <w:szCs w:val="22"/>
                <w:lang w:val="en-GB" w:eastAsia="fr-FR"/>
              </w:rPr>
              <w:t xml:space="preserve">roup </w:t>
            </w:r>
            <w:r>
              <w:rPr>
                <w:rFonts w:ascii="Verdana" w:hAnsi="Verdana"/>
                <w:color w:val="7F7F7F"/>
                <w:sz w:val="22"/>
                <w:szCs w:val="22"/>
                <w:lang w:val="en-GB" w:eastAsia="fr-FR"/>
              </w:rPr>
              <w:t>is</w:t>
            </w:r>
            <w:r w:rsidRPr="00A26B2D">
              <w:rPr>
                <w:rFonts w:ascii="Verdana" w:hAnsi="Verdana"/>
                <w:color w:val="7F7F7F"/>
                <w:sz w:val="22"/>
                <w:szCs w:val="22"/>
                <w:lang w:val="en-GB" w:eastAsia="fr-FR"/>
              </w:rPr>
              <w:t xml:space="preserve"> unique</w:t>
            </w:r>
            <w:r>
              <w:rPr>
                <w:rFonts w:ascii="Verdana" w:hAnsi="Verdana"/>
                <w:color w:val="7F7F7F"/>
                <w:sz w:val="22"/>
                <w:szCs w:val="22"/>
                <w:lang w:val="en-GB" w:eastAsia="fr-FR"/>
              </w:rPr>
              <w:t xml:space="preserve"> and</w:t>
            </w:r>
            <w:r w:rsidRPr="00A26B2D">
              <w:rPr>
                <w:rFonts w:ascii="Verdana" w:hAnsi="Verdana"/>
                <w:color w:val="7F7F7F"/>
                <w:sz w:val="22"/>
                <w:szCs w:val="22"/>
                <w:lang w:val="en-GB" w:eastAsia="fr-FR"/>
              </w:rPr>
              <w:t xml:space="preserve"> therefore the </w:t>
            </w:r>
            <w:r>
              <w:rPr>
                <w:rFonts w:ascii="Verdana" w:hAnsi="Verdana"/>
                <w:color w:val="7F7F7F"/>
                <w:sz w:val="22"/>
                <w:szCs w:val="22"/>
                <w:lang w:val="en-GB" w:eastAsia="fr-FR"/>
              </w:rPr>
              <w:t>G</w:t>
            </w:r>
            <w:r w:rsidRPr="00A26B2D">
              <w:rPr>
                <w:rFonts w:ascii="Verdana" w:hAnsi="Verdana"/>
                <w:color w:val="7F7F7F"/>
                <w:sz w:val="22"/>
                <w:szCs w:val="22"/>
                <w:lang w:val="en-GB" w:eastAsia="fr-FR"/>
              </w:rPr>
              <w:t xml:space="preserve">roup </w:t>
            </w:r>
            <w:r>
              <w:rPr>
                <w:rFonts w:ascii="Verdana" w:hAnsi="Verdana"/>
                <w:color w:val="7F7F7F"/>
                <w:sz w:val="22"/>
                <w:szCs w:val="22"/>
                <w:lang w:val="en-GB" w:eastAsia="fr-FR"/>
              </w:rPr>
              <w:t>S</w:t>
            </w:r>
            <w:r w:rsidRPr="00A26B2D">
              <w:rPr>
                <w:rFonts w:ascii="Verdana" w:hAnsi="Verdana"/>
                <w:color w:val="7F7F7F"/>
                <w:sz w:val="22"/>
                <w:szCs w:val="22"/>
                <w:lang w:val="en-GB" w:eastAsia="fr-FR"/>
              </w:rPr>
              <w:t>upervision should be tailor</w:t>
            </w:r>
            <w:r>
              <w:rPr>
                <w:rFonts w:ascii="Verdana" w:hAnsi="Verdana"/>
                <w:color w:val="7F7F7F"/>
                <w:sz w:val="22"/>
                <w:szCs w:val="22"/>
                <w:lang w:val="en-GB" w:eastAsia="fr-FR"/>
              </w:rPr>
              <w:t>ed-</w:t>
            </w:r>
            <w:r w:rsidRPr="00A26B2D">
              <w:rPr>
                <w:rFonts w:ascii="Verdana" w:hAnsi="Verdana"/>
                <w:color w:val="7F7F7F"/>
                <w:sz w:val="22"/>
                <w:szCs w:val="22"/>
                <w:lang w:val="en-GB" w:eastAsia="fr-FR"/>
              </w:rPr>
              <w:t xml:space="preserve"> made to </w:t>
            </w:r>
            <w:r>
              <w:rPr>
                <w:rFonts w:ascii="Verdana" w:hAnsi="Verdana"/>
                <w:color w:val="7F7F7F"/>
                <w:sz w:val="22"/>
                <w:szCs w:val="22"/>
                <w:lang w:val="en-GB" w:eastAsia="fr-FR"/>
              </w:rPr>
              <w:t>its</w:t>
            </w:r>
            <w:r w:rsidRPr="00A26B2D">
              <w:rPr>
                <w:rFonts w:ascii="Verdana" w:hAnsi="Verdana"/>
                <w:color w:val="7F7F7F"/>
                <w:sz w:val="22"/>
                <w:szCs w:val="22"/>
                <w:lang w:val="en-GB" w:eastAsia="fr-FR"/>
              </w:rPr>
              <w:t xml:space="preserve"> </w:t>
            </w:r>
            <w:r>
              <w:rPr>
                <w:rFonts w:ascii="Verdana" w:hAnsi="Verdana"/>
                <w:color w:val="7F7F7F"/>
                <w:sz w:val="22"/>
                <w:szCs w:val="22"/>
                <w:lang w:val="en-GB" w:eastAsia="fr-FR"/>
              </w:rPr>
              <w:t>unique</w:t>
            </w:r>
            <w:r w:rsidRPr="00A26B2D">
              <w:rPr>
                <w:rFonts w:ascii="Verdana" w:hAnsi="Verdana"/>
                <w:color w:val="7F7F7F"/>
                <w:sz w:val="22"/>
                <w:szCs w:val="22"/>
                <w:lang w:val="en-GB" w:eastAsia="fr-FR"/>
              </w:rPr>
              <w:t xml:space="preserve"> characteristics. Whether all the criteria are satisfied </w:t>
            </w:r>
            <w:r>
              <w:rPr>
                <w:rFonts w:ascii="Verdana" w:hAnsi="Verdana"/>
                <w:color w:val="7F7F7F"/>
                <w:sz w:val="22"/>
                <w:szCs w:val="22"/>
                <w:lang w:val="en-GB" w:eastAsia="fr-FR"/>
              </w:rPr>
              <w:t>or not can be assessed in</w:t>
            </w:r>
            <w:r w:rsidRPr="00A26B2D">
              <w:rPr>
                <w:rFonts w:ascii="Verdana" w:hAnsi="Verdana"/>
                <w:color w:val="7F7F7F"/>
                <w:sz w:val="22"/>
                <w:szCs w:val="22"/>
                <w:lang w:val="en-GB" w:eastAsia="fr-FR"/>
              </w:rPr>
              <w:t xml:space="preserve"> the dialogue between the group supervisor and the group</w:t>
            </w:r>
            <w:r>
              <w:rPr>
                <w:rFonts w:ascii="Verdana" w:hAnsi="Verdana"/>
                <w:color w:val="7F7F7F"/>
                <w:sz w:val="22"/>
                <w:szCs w:val="22"/>
                <w:lang w:val="en-GB" w:eastAsia="fr-FR"/>
              </w:rPr>
              <w:t xml:space="preserve"> itself</w:t>
            </w:r>
            <w:r w:rsidRPr="00A26B2D">
              <w:rPr>
                <w:rFonts w:ascii="Verdana" w:hAnsi="Verdana"/>
                <w:color w:val="7F7F7F"/>
                <w:sz w:val="22"/>
                <w:szCs w:val="22"/>
                <w:lang w:val="en-GB" w:eastAsia="fr-FR"/>
              </w:rPr>
              <w:t>.</w:t>
            </w:r>
          </w:p>
        </w:tc>
        <w:tc>
          <w:tcPr>
            <w:tcW w:w="483" w:type="pct"/>
            <w:tcBorders>
              <w:top w:val="single" w:sz="4" w:space="0" w:color="auto"/>
              <w:left w:val="single" w:sz="4" w:space="0" w:color="auto"/>
              <w:bottom w:val="single" w:sz="4" w:space="0" w:color="auto"/>
              <w:right w:val="single" w:sz="4" w:space="0" w:color="auto"/>
            </w:tcBorders>
          </w:tcPr>
          <w:p w14:paraId="2E12BAF3"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1360A5" w14:paraId="6406A9E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1418" w:type="pct"/>
          <w:trHeight w:val="300"/>
        </w:trPr>
        <w:tc>
          <w:tcPr>
            <w:tcW w:w="3582" w:type="pct"/>
            <w:gridSpan w:val="6"/>
            <w:tcBorders>
              <w:top w:val="single" w:sz="4" w:space="0" w:color="auto"/>
              <w:left w:val="single" w:sz="4" w:space="0" w:color="auto"/>
              <w:bottom w:val="single" w:sz="4" w:space="0" w:color="auto"/>
              <w:right w:val="single" w:sz="4" w:space="0" w:color="auto"/>
            </w:tcBorders>
            <w:shd w:val="clear" w:color="auto" w:fill="auto"/>
            <w:noWrap/>
          </w:tcPr>
          <w:p w14:paraId="689CD790" w14:textId="076DED07" w:rsidR="006F5ECC" w:rsidRPr="0003536E" w:rsidRDefault="006F5ECC" w:rsidP="00020B14">
            <w:pPr>
              <w:tabs>
                <w:tab w:val="left" w:pos="0"/>
                <w:tab w:val="left" w:pos="4536"/>
              </w:tabs>
              <w:spacing w:line="239" w:lineRule="auto"/>
              <w:ind w:right="20"/>
              <w:rPr>
                <w:color w:val="7F7F7F" w:themeColor="text1" w:themeTint="80"/>
                <w:sz w:val="22"/>
                <w:szCs w:val="22"/>
                <w:lang w:val="en-US"/>
              </w:rPr>
            </w:pPr>
            <w:r>
              <w:rPr>
                <w:rFonts w:ascii="Verdana" w:eastAsia="Verdana" w:hAnsi="Verdana" w:cs="Verdana"/>
                <w:b/>
                <w:bCs/>
                <w:color w:val="7F7F7F" w:themeColor="text1" w:themeTint="80"/>
                <w:sz w:val="22"/>
                <w:szCs w:val="22"/>
                <w:lang w:val="en-US"/>
              </w:rPr>
              <w:t xml:space="preserve">9.3.18 </w:t>
            </w:r>
            <w:r w:rsidRPr="00A23FBA">
              <w:rPr>
                <w:rFonts w:ascii="Verdana" w:eastAsia="Verdana" w:hAnsi="Verdana" w:cs="Verdana"/>
                <w:b/>
                <w:bCs/>
                <w:color w:val="7F7F7F" w:themeColor="text1" w:themeTint="80"/>
                <w:sz w:val="22"/>
                <w:szCs w:val="22"/>
                <w:lang w:val="en-US"/>
              </w:rPr>
              <w:t>Application of Article 40 of the Solvency II Directive (definition of the AMSB for groups); and Mutatis Mutandis under Article 246 of Solvency II Directive</w:t>
            </w:r>
          </w:p>
        </w:tc>
      </w:tr>
      <w:tr w:rsidR="00FC5744" w:rsidRPr="001360A5" w14:paraId="2D0B629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F88F310" w14:textId="72E413CC"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33E179FD" w14:textId="6A314DCF"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469</w:t>
            </w:r>
          </w:p>
        </w:tc>
        <w:tc>
          <w:tcPr>
            <w:tcW w:w="1999" w:type="pct"/>
            <w:tcBorders>
              <w:top w:val="single" w:sz="4" w:space="0" w:color="auto"/>
              <w:left w:val="single" w:sz="4" w:space="0" w:color="auto"/>
              <w:bottom w:val="single" w:sz="4" w:space="0" w:color="auto"/>
              <w:right w:val="single" w:sz="4" w:space="0" w:color="auto"/>
            </w:tcBorders>
            <w:vAlign w:val="bottom"/>
          </w:tcPr>
          <w:p w14:paraId="5A47439D" w14:textId="20EA78EB" w:rsidR="006F5ECC" w:rsidRPr="000D5250" w:rsidRDefault="006F5ECC" w:rsidP="00020B14">
            <w:pPr>
              <w:tabs>
                <w:tab w:val="left" w:pos="0"/>
                <w:tab w:val="left" w:pos="4536"/>
              </w:tabs>
              <w:ind w:right="20"/>
              <w:jc w:val="both"/>
              <w:rPr>
                <w:color w:val="7F7F7F" w:themeColor="text1" w:themeTint="80"/>
                <w:sz w:val="22"/>
                <w:szCs w:val="22"/>
                <w:lang w:val="en-US"/>
              </w:rPr>
            </w:pPr>
            <w:r w:rsidRPr="00F0251A">
              <w:rPr>
                <w:rFonts w:ascii="Verdana" w:eastAsia="Verdana" w:hAnsi="Verdana" w:cs="Verdana"/>
                <w:color w:val="7F7F7F" w:themeColor="text1" w:themeTint="80"/>
                <w:sz w:val="22"/>
                <w:szCs w:val="22"/>
                <w:lang w:val="en-US"/>
              </w:rPr>
              <w:t xml:space="preserve">EIOPA points out that </w:t>
            </w:r>
            <w:r w:rsidRPr="000D5250">
              <w:rPr>
                <w:rFonts w:ascii="Verdana" w:eastAsia="Verdana" w:hAnsi="Verdana" w:cs="Verdana"/>
                <w:color w:val="7F7F7F" w:themeColor="text1" w:themeTint="80"/>
                <w:sz w:val="22"/>
                <w:szCs w:val="22"/>
                <w:lang w:val="en-US"/>
              </w:rPr>
              <w:t xml:space="preserve">Article 246 of the Solvency II Directive imposes the mutatis mutandis application by insurance groups of the requirements laid down in Articles 41 to 50 of the Directive (which are applicable to solo entities), but it </w:t>
            </w:r>
            <w:r>
              <w:rPr>
                <w:rFonts w:ascii="Verdana" w:eastAsia="Verdana" w:hAnsi="Verdana" w:cs="Verdana"/>
                <w:color w:val="7F7F7F" w:themeColor="text1" w:themeTint="80"/>
                <w:sz w:val="22"/>
                <w:szCs w:val="22"/>
                <w:lang w:val="en-US"/>
              </w:rPr>
              <w:t xml:space="preserve">does not </w:t>
            </w:r>
            <w:r w:rsidRPr="000D5250">
              <w:rPr>
                <w:rFonts w:ascii="Verdana" w:eastAsia="Verdana" w:hAnsi="Verdana" w:cs="Verdana"/>
                <w:color w:val="7F7F7F" w:themeColor="text1" w:themeTint="80"/>
                <w:sz w:val="22"/>
                <w:szCs w:val="22"/>
                <w:lang w:val="en-US"/>
              </w:rPr>
              <w:t>explicitly refer to Article 40 (responsibility of the AMSB of insurance and reinsurance undertakings).</w:t>
            </w:r>
          </w:p>
          <w:p w14:paraId="7AF9D17F" w14:textId="77777777" w:rsidR="006F5ECC" w:rsidRPr="00211776" w:rsidRDefault="006F5ECC" w:rsidP="00020B14">
            <w:pPr>
              <w:tabs>
                <w:tab w:val="left" w:pos="0"/>
                <w:tab w:val="left" w:pos="4536"/>
              </w:tabs>
              <w:spacing w:line="124" w:lineRule="exact"/>
              <w:rPr>
                <w:sz w:val="20"/>
                <w:szCs w:val="20"/>
                <w:lang w:val="en-US"/>
              </w:rPr>
            </w:pPr>
          </w:p>
          <w:p w14:paraId="6C11BC32" w14:textId="0B838A70" w:rsidR="006F5ECC" w:rsidRPr="00A26B2D" w:rsidRDefault="006F5ECC" w:rsidP="00020B14">
            <w:pPr>
              <w:tabs>
                <w:tab w:val="left" w:pos="0"/>
                <w:tab w:val="left" w:pos="4536"/>
              </w:tabs>
              <w:rPr>
                <w:rFonts w:ascii="Verdana" w:hAnsi="Verdana"/>
                <w:color w:val="7F7F7F"/>
                <w:sz w:val="22"/>
                <w:szCs w:val="22"/>
                <w:lang w:val="en-GB" w:eastAsia="fr-FR"/>
              </w:rPr>
            </w:pPr>
            <w:r w:rsidRPr="00A26B2D">
              <w:rPr>
                <w:rFonts w:ascii="Verdana" w:hAnsi="Verdana"/>
                <w:color w:val="7F7F7F"/>
                <w:sz w:val="22"/>
                <w:szCs w:val="22"/>
                <w:lang w:val="en-GB" w:eastAsia="fr-FR"/>
              </w:rPr>
              <w:t>In order to have an adequate system of governance in place, the AMSB is involved. Implic</w:t>
            </w:r>
            <w:r>
              <w:rPr>
                <w:rFonts w:ascii="Verdana" w:hAnsi="Verdana"/>
                <w:color w:val="7F7F7F"/>
                <w:sz w:val="22"/>
                <w:szCs w:val="22"/>
                <w:lang w:val="en-GB" w:eastAsia="fr-FR"/>
              </w:rPr>
              <w:t>i</w:t>
            </w:r>
            <w:r w:rsidRPr="00A26B2D">
              <w:rPr>
                <w:rFonts w:ascii="Verdana" w:hAnsi="Verdana"/>
                <w:color w:val="7F7F7F"/>
                <w:sz w:val="22"/>
                <w:szCs w:val="22"/>
                <w:lang w:val="en-GB" w:eastAsia="fr-FR"/>
              </w:rPr>
              <w:t>tly</w:t>
            </w:r>
            <w:r>
              <w:rPr>
                <w:rFonts w:ascii="Verdana" w:hAnsi="Verdana"/>
                <w:color w:val="7F7F7F"/>
                <w:sz w:val="22"/>
                <w:szCs w:val="22"/>
                <w:lang w:val="en-GB" w:eastAsia="fr-FR"/>
              </w:rPr>
              <w:t xml:space="preserve">, Article </w:t>
            </w:r>
            <w:r w:rsidRPr="00A26B2D">
              <w:rPr>
                <w:rFonts w:ascii="Verdana" w:hAnsi="Verdana"/>
                <w:color w:val="7F7F7F"/>
                <w:sz w:val="22"/>
                <w:szCs w:val="22"/>
                <w:lang w:val="en-GB" w:eastAsia="fr-FR"/>
              </w:rPr>
              <w:t xml:space="preserve">40 </w:t>
            </w:r>
            <w:r>
              <w:rPr>
                <w:rFonts w:ascii="Verdana" w:hAnsi="Verdana"/>
                <w:color w:val="7F7F7F"/>
                <w:sz w:val="22"/>
                <w:szCs w:val="22"/>
                <w:lang w:val="en-GB" w:eastAsia="fr-FR"/>
              </w:rPr>
              <w:t xml:space="preserve">of the Solvency II Directive </w:t>
            </w:r>
            <w:r w:rsidRPr="00A26B2D">
              <w:rPr>
                <w:rFonts w:ascii="Verdana" w:hAnsi="Verdana"/>
                <w:color w:val="7F7F7F"/>
                <w:sz w:val="22"/>
                <w:szCs w:val="22"/>
                <w:lang w:val="en-GB" w:eastAsia="fr-FR"/>
              </w:rPr>
              <w:t xml:space="preserve">has to be complied with in order to be able to meet the requirements of </w:t>
            </w:r>
            <w:r>
              <w:rPr>
                <w:rFonts w:ascii="Verdana" w:hAnsi="Verdana"/>
                <w:color w:val="7F7F7F"/>
                <w:sz w:val="22"/>
                <w:szCs w:val="22"/>
                <w:lang w:val="en-GB" w:eastAsia="fr-FR"/>
              </w:rPr>
              <w:t>A</w:t>
            </w:r>
            <w:r w:rsidRPr="00A26B2D">
              <w:rPr>
                <w:rFonts w:ascii="Verdana" w:hAnsi="Verdana"/>
                <w:color w:val="7F7F7F"/>
                <w:sz w:val="22"/>
                <w:szCs w:val="22"/>
                <w:lang w:val="en-GB" w:eastAsia="fr-FR"/>
              </w:rPr>
              <w:t>rticle</w:t>
            </w:r>
            <w:r>
              <w:rPr>
                <w:rFonts w:ascii="Verdana" w:hAnsi="Verdana"/>
                <w:color w:val="7F7F7F"/>
                <w:sz w:val="22"/>
                <w:szCs w:val="22"/>
                <w:lang w:val="en-GB" w:eastAsia="fr-FR"/>
              </w:rPr>
              <w:t>s</w:t>
            </w:r>
            <w:r w:rsidRPr="00A26B2D">
              <w:rPr>
                <w:rFonts w:ascii="Verdana" w:hAnsi="Verdana"/>
                <w:color w:val="7F7F7F"/>
                <w:sz w:val="22"/>
                <w:szCs w:val="22"/>
                <w:lang w:val="en-GB" w:eastAsia="fr-FR"/>
              </w:rPr>
              <w:t xml:space="preserve"> 41-50</w:t>
            </w:r>
            <w:r>
              <w:rPr>
                <w:rFonts w:ascii="Verdana" w:hAnsi="Verdana"/>
                <w:color w:val="7F7F7F"/>
                <w:sz w:val="22"/>
                <w:szCs w:val="22"/>
                <w:lang w:val="en-GB" w:eastAsia="fr-FR"/>
              </w:rPr>
              <w:t xml:space="preserve"> of the Directive</w:t>
            </w:r>
            <w:r w:rsidRPr="00A26B2D">
              <w:rPr>
                <w:rFonts w:ascii="Verdana" w:hAnsi="Verdana"/>
                <w:color w:val="7F7F7F"/>
                <w:sz w:val="22"/>
                <w:szCs w:val="22"/>
                <w:lang w:val="en-GB" w:eastAsia="fr-FR"/>
              </w:rPr>
              <w:t>.</w:t>
            </w:r>
          </w:p>
        </w:tc>
        <w:tc>
          <w:tcPr>
            <w:tcW w:w="483" w:type="pct"/>
            <w:tcBorders>
              <w:top w:val="single" w:sz="4" w:space="0" w:color="auto"/>
              <w:left w:val="single" w:sz="4" w:space="0" w:color="auto"/>
              <w:bottom w:val="single" w:sz="4" w:space="0" w:color="auto"/>
              <w:right w:val="single" w:sz="4" w:space="0" w:color="auto"/>
            </w:tcBorders>
          </w:tcPr>
          <w:p w14:paraId="7F6DA978"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AF7FDC" w14:paraId="49684E8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8FEB1D4" w14:textId="24ACBDAD"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0DF90363" w14:textId="1742B8A1" w:rsidR="006F5ECC" w:rsidRDefault="006F5ECC" w:rsidP="00020B14">
            <w:pPr>
              <w:tabs>
                <w:tab w:val="left" w:pos="0"/>
                <w:tab w:val="left" w:pos="4536"/>
              </w:tabs>
              <w:ind w:left="-96"/>
              <w:rPr>
                <w:rFonts w:ascii="Verdana" w:hAnsi="Verdana"/>
                <w:color w:val="7F7F7F"/>
                <w:sz w:val="22"/>
                <w:szCs w:val="22"/>
                <w:lang w:val="en-US"/>
              </w:rPr>
            </w:pPr>
            <w:r>
              <w:rPr>
                <w:rFonts w:ascii="Verdana" w:hAnsi="Verdana"/>
                <w:color w:val="7F7F7F"/>
                <w:sz w:val="22"/>
                <w:szCs w:val="22"/>
                <w:lang w:val="en-US"/>
              </w:rPr>
              <w:t>500</w:t>
            </w:r>
          </w:p>
        </w:tc>
        <w:tc>
          <w:tcPr>
            <w:tcW w:w="1999" w:type="pct"/>
            <w:tcBorders>
              <w:top w:val="single" w:sz="4" w:space="0" w:color="auto"/>
              <w:left w:val="single" w:sz="4" w:space="0" w:color="auto"/>
              <w:bottom w:val="single" w:sz="4" w:space="0" w:color="auto"/>
              <w:right w:val="single" w:sz="4" w:space="0" w:color="auto"/>
            </w:tcBorders>
            <w:vAlign w:val="bottom"/>
          </w:tcPr>
          <w:p w14:paraId="250399A0" w14:textId="1B68A605" w:rsidR="006F5ECC" w:rsidRPr="00CF4370" w:rsidRDefault="006F5ECC" w:rsidP="00020B14">
            <w:pPr>
              <w:tabs>
                <w:tab w:val="left" w:pos="0"/>
                <w:tab w:val="left" w:pos="4536"/>
              </w:tabs>
              <w:rPr>
                <w:rFonts w:ascii="Verdana" w:hAnsi="Verdana"/>
                <w:color w:val="7F7F7F"/>
                <w:sz w:val="22"/>
                <w:szCs w:val="22"/>
                <w:lang w:val="en-GB" w:eastAsia="fr-FR"/>
              </w:rPr>
            </w:pPr>
            <w:r w:rsidRPr="00A26B2D">
              <w:rPr>
                <w:rFonts w:ascii="Verdana" w:hAnsi="Verdana"/>
                <w:color w:val="7F7F7F"/>
                <w:sz w:val="22"/>
                <w:szCs w:val="22"/>
                <w:lang w:val="en-GB" w:eastAsia="fr-FR"/>
              </w:rPr>
              <w:t xml:space="preserve">We do not agree with the </w:t>
            </w:r>
            <w:r>
              <w:rPr>
                <w:rFonts w:ascii="Verdana" w:hAnsi="Verdana"/>
                <w:color w:val="7F7F7F"/>
                <w:sz w:val="22"/>
                <w:szCs w:val="22"/>
                <w:lang w:val="en-GB" w:eastAsia="fr-FR"/>
              </w:rPr>
              <w:t>need to amend Article 40 of the Solvency II Directive to ensure that it applies to insurance groups;</w:t>
            </w:r>
            <w:r w:rsidRPr="00A26B2D">
              <w:rPr>
                <w:rFonts w:ascii="Verdana" w:hAnsi="Verdana"/>
                <w:color w:val="7F7F7F"/>
                <w:sz w:val="22"/>
                <w:szCs w:val="22"/>
                <w:lang w:val="en-GB" w:eastAsia="fr-FR"/>
              </w:rPr>
              <w:t xml:space="preserve"> </w:t>
            </w:r>
            <w:r>
              <w:rPr>
                <w:rFonts w:ascii="Verdana" w:hAnsi="Verdana"/>
                <w:color w:val="7F7F7F"/>
                <w:sz w:val="22"/>
                <w:szCs w:val="22"/>
                <w:lang w:val="en-GB" w:eastAsia="fr-FR"/>
              </w:rPr>
              <w:t>A statement indicating that the AMSB of the parent (re)insurance undertaking at top of the group would be responsible for the compliance with all group requirements</w:t>
            </w:r>
            <w:r w:rsidRPr="00A26B2D">
              <w:rPr>
                <w:rFonts w:ascii="Verdana" w:hAnsi="Verdana"/>
                <w:color w:val="7F7F7F"/>
                <w:sz w:val="22"/>
                <w:szCs w:val="22"/>
                <w:lang w:val="en-GB" w:eastAsia="fr-FR"/>
              </w:rPr>
              <w:t xml:space="preserve"> would </w:t>
            </w:r>
            <w:r>
              <w:rPr>
                <w:rFonts w:ascii="Verdana" w:hAnsi="Verdana"/>
                <w:color w:val="7F7F7F"/>
                <w:sz w:val="22"/>
                <w:szCs w:val="22"/>
                <w:lang w:val="en-GB" w:eastAsia="fr-FR"/>
              </w:rPr>
              <w:t>not be an issue</w:t>
            </w:r>
            <w:r w:rsidRPr="00A26B2D">
              <w:rPr>
                <w:rFonts w:ascii="Verdana" w:hAnsi="Verdana"/>
                <w:color w:val="7F7F7F"/>
                <w:sz w:val="22"/>
                <w:szCs w:val="22"/>
                <w:lang w:val="en-GB" w:eastAsia="fr-FR"/>
              </w:rPr>
              <w:t xml:space="preserve">. However, if the group supervisor is granted with the power to designate a different company of the group or a specific company in the case of </w:t>
            </w:r>
            <w:r>
              <w:rPr>
                <w:rFonts w:ascii="Verdana" w:hAnsi="Verdana"/>
                <w:color w:val="7F7F7F"/>
                <w:sz w:val="22"/>
                <w:szCs w:val="22"/>
                <w:lang w:val="en-GB" w:eastAsia="fr-FR"/>
              </w:rPr>
              <w:t xml:space="preserve">a </w:t>
            </w:r>
            <w:r w:rsidRPr="00A26B2D">
              <w:rPr>
                <w:rFonts w:ascii="Verdana" w:hAnsi="Verdana"/>
                <w:color w:val="7F7F7F"/>
                <w:sz w:val="22"/>
                <w:szCs w:val="22"/>
                <w:lang w:val="en-GB" w:eastAsia="fr-FR"/>
              </w:rPr>
              <w:t xml:space="preserve">horizontal group (where the parent company is not clearly identifiable), this should explicitly do in </w:t>
            </w:r>
            <w:r>
              <w:rPr>
                <w:rFonts w:ascii="Verdana" w:hAnsi="Verdana"/>
                <w:color w:val="7F7F7F"/>
                <w:sz w:val="22"/>
                <w:szCs w:val="22"/>
                <w:lang w:val="en-GB" w:eastAsia="fr-FR"/>
              </w:rPr>
              <w:lastRenderedPageBreak/>
              <w:t xml:space="preserve">cooperation </w:t>
            </w:r>
            <w:r w:rsidRPr="00A26B2D">
              <w:rPr>
                <w:rFonts w:ascii="Verdana" w:hAnsi="Verdana"/>
                <w:color w:val="7F7F7F"/>
                <w:sz w:val="22"/>
                <w:szCs w:val="22"/>
                <w:lang w:val="en-GB" w:eastAsia="fr-FR"/>
              </w:rPr>
              <w:t xml:space="preserve">with the group itself. The outcome should be to </w:t>
            </w:r>
            <w:r>
              <w:rPr>
                <w:rFonts w:ascii="Verdana" w:hAnsi="Verdana"/>
                <w:color w:val="7F7F7F"/>
                <w:sz w:val="22"/>
                <w:szCs w:val="22"/>
                <w:lang w:val="en-GB" w:eastAsia="fr-FR"/>
              </w:rPr>
              <w:t>mutual</w:t>
            </w:r>
            <w:r w:rsidRPr="00A26B2D">
              <w:rPr>
                <w:rFonts w:ascii="Verdana" w:hAnsi="Verdana"/>
                <w:color w:val="7F7F7F"/>
                <w:sz w:val="22"/>
                <w:szCs w:val="22"/>
                <w:lang w:val="en-GB" w:eastAsia="fr-FR"/>
              </w:rPr>
              <w:t xml:space="preserve"> consent.</w:t>
            </w:r>
          </w:p>
        </w:tc>
        <w:tc>
          <w:tcPr>
            <w:tcW w:w="483" w:type="pct"/>
            <w:tcBorders>
              <w:top w:val="single" w:sz="4" w:space="0" w:color="auto"/>
              <w:left w:val="single" w:sz="4" w:space="0" w:color="auto"/>
              <w:bottom w:val="single" w:sz="4" w:space="0" w:color="auto"/>
              <w:right w:val="single" w:sz="4" w:space="0" w:color="auto"/>
            </w:tcBorders>
          </w:tcPr>
          <w:p w14:paraId="16294C7F"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5415366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1672DFE" w14:textId="7C92EF19"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9</w:t>
            </w:r>
          </w:p>
        </w:tc>
        <w:tc>
          <w:tcPr>
            <w:tcW w:w="506" w:type="pct"/>
            <w:gridSpan w:val="2"/>
            <w:tcBorders>
              <w:top w:val="single" w:sz="4" w:space="0" w:color="auto"/>
              <w:left w:val="single" w:sz="4" w:space="0" w:color="auto"/>
              <w:bottom w:val="single" w:sz="4" w:space="0" w:color="auto"/>
              <w:right w:val="single" w:sz="4" w:space="0" w:color="auto"/>
            </w:tcBorders>
          </w:tcPr>
          <w:p w14:paraId="4E5C4450" w14:textId="143DB00E" w:rsidR="006F5ECC" w:rsidRPr="00234875" w:rsidRDefault="006F5ECC" w:rsidP="00020B14">
            <w:pPr>
              <w:tabs>
                <w:tab w:val="left" w:pos="0"/>
                <w:tab w:val="left" w:pos="4536"/>
              </w:tabs>
              <w:ind w:left="-96"/>
              <w:rPr>
                <w:rFonts w:ascii="Verdana" w:hAnsi="Verdana"/>
                <w:color w:val="7F7F7F"/>
                <w:sz w:val="22"/>
                <w:szCs w:val="22"/>
                <w:lang w:val="es-ES"/>
              </w:rPr>
            </w:pPr>
            <w:r>
              <w:rPr>
                <w:rFonts w:ascii="Verdana" w:hAnsi="Verdana"/>
                <w:color w:val="7F7F7F"/>
                <w:sz w:val="22"/>
                <w:szCs w:val="22"/>
                <w:lang w:val="en-US"/>
              </w:rPr>
              <w:t>501</w:t>
            </w:r>
          </w:p>
        </w:tc>
        <w:tc>
          <w:tcPr>
            <w:tcW w:w="1999" w:type="pct"/>
            <w:tcBorders>
              <w:top w:val="single" w:sz="4" w:space="0" w:color="auto"/>
              <w:left w:val="single" w:sz="4" w:space="0" w:color="auto"/>
              <w:bottom w:val="single" w:sz="4" w:space="0" w:color="auto"/>
              <w:right w:val="single" w:sz="4" w:space="0" w:color="auto"/>
            </w:tcBorders>
            <w:vAlign w:val="bottom"/>
          </w:tcPr>
          <w:p w14:paraId="225B8052" w14:textId="77777777" w:rsidR="006F5ECC" w:rsidRDefault="006F5ECC" w:rsidP="00020B14">
            <w:pPr>
              <w:tabs>
                <w:tab w:val="left" w:pos="0"/>
                <w:tab w:val="left" w:pos="4536"/>
              </w:tabs>
              <w:ind w:left="28"/>
              <w:rPr>
                <w:rFonts w:ascii="Verdana" w:hAnsi="Verdana"/>
                <w:color w:val="7F7F7F"/>
                <w:sz w:val="22"/>
                <w:szCs w:val="22"/>
                <w:lang w:val="en-GB" w:eastAsia="fr-FR"/>
              </w:rPr>
            </w:pPr>
            <w:r w:rsidRPr="00CF4370">
              <w:rPr>
                <w:rFonts w:ascii="Verdana" w:hAnsi="Verdana"/>
                <w:color w:val="7F7F7F"/>
                <w:sz w:val="22"/>
                <w:szCs w:val="22"/>
                <w:lang w:val="en-GB" w:eastAsia="fr-FR"/>
              </w:rPr>
              <w:t xml:space="preserve">We think it is not necessary to define </w:t>
            </w:r>
            <w:r>
              <w:rPr>
                <w:rFonts w:ascii="Verdana" w:hAnsi="Verdana"/>
                <w:color w:val="7F7F7F"/>
                <w:sz w:val="22"/>
                <w:szCs w:val="22"/>
                <w:lang w:val="en-GB" w:eastAsia="fr-FR"/>
              </w:rPr>
              <w:t>a</w:t>
            </w:r>
            <w:r w:rsidRPr="00CF4370">
              <w:rPr>
                <w:rFonts w:ascii="Verdana" w:hAnsi="Verdana"/>
                <w:color w:val="7F7F7F"/>
                <w:sz w:val="22"/>
                <w:szCs w:val="22"/>
                <w:lang w:val="en-GB" w:eastAsia="fr-FR"/>
              </w:rPr>
              <w:t xml:space="preserve"> system </w:t>
            </w:r>
            <w:r>
              <w:rPr>
                <w:rFonts w:ascii="Verdana" w:hAnsi="Verdana"/>
                <w:color w:val="7F7F7F"/>
                <w:sz w:val="22"/>
                <w:szCs w:val="22"/>
                <w:lang w:val="en-GB" w:eastAsia="fr-FR"/>
              </w:rPr>
              <w:t xml:space="preserve">of governance. </w:t>
            </w:r>
            <w:r w:rsidRPr="00CF4370">
              <w:rPr>
                <w:rFonts w:ascii="Verdana" w:hAnsi="Verdana"/>
                <w:color w:val="7F7F7F"/>
                <w:sz w:val="22"/>
                <w:szCs w:val="22"/>
                <w:lang w:val="en-GB" w:eastAsia="fr-FR"/>
              </w:rPr>
              <w:t xml:space="preserve">If there are any issues in practice, the group supervisor should deal with the issue </w:t>
            </w:r>
            <w:r>
              <w:rPr>
                <w:rFonts w:ascii="Verdana" w:hAnsi="Verdana"/>
                <w:color w:val="7F7F7F"/>
                <w:sz w:val="22"/>
                <w:szCs w:val="22"/>
                <w:lang w:val="en-GB" w:eastAsia="fr-FR"/>
              </w:rPr>
              <w:t xml:space="preserve">as part of </w:t>
            </w:r>
            <w:r w:rsidRPr="00CF4370">
              <w:rPr>
                <w:rFonts w:ascii="Verdana" w:hAnsi="Verdana"/>
                <w:color w:val="7F7F7F"/>
                <w:sz w:val="22"/>
                <w:szCs w:val="22"/>
                <w:lang w:val="en-GB" w:eastAsia="fr-FR"/>
              </w:rPr>
              <w:t>the supervisory dialogue. Any solution can be tailor-made to the unique characteristics and the risk profile of the group.</w:t>
            </w:r>
          </w:p>
          <w:p w14:paraId="44B57F23" w14:textId="2B568FB3" w:rsidR="006F5ECC" w:rsidRPr="004174EA" w:rsidRDefault="006F5ECC" w:rsidP="00020B14">
            <w:pPr>
              <w:tabs>
                <w:tab w:val="left" w:pos="0"/>
                <w:tab w:val="left" w:pos="4536"/>
              </w:tabs>
              <w:ind w:left="28"/>
              <w:rPr>
                <w:rFonts w:ascii="Verdana" w:hAnsi="Verdana"/>
                <w:color w:val="7F7F7F"/>
                <w:sz w:val="22"/>
                <w:szCs w:val="22"/>
                <w:lang w:val="en-GB" w:eastAsia="fr-FR"/>
              </w:rPr>
            </w:pPr>
            <w:r>
              <w:rPr>
                <w:rFonts w:ascii="Verdana" w:hAnsi="Verdana"/>
                <w:color w:val="7F7F7F"/>
                <w:sz w:val="22"/>
                <w:szCs w:val="22"/>
                <w:lang w:val="en-GB" w:eastAsia="fr-FR"/>
              </w:rPr>
              <w:t xml:space="preserve">In particular, extending the proposed obligations (such as fit &amp; proper requirements, data reporting, enactment of policies) to all entities within the group seems unduly especially with reference to non-supervised entities, which would be then burdened with additional compliance costs </w:t>
            </w:r>
            <w:r w:rsidRPr="008E193F">
              <w:rPr>
                <w:rFonts w:ascii="Verdana" w:hAnsi="Verdana"/>
                <w:color w:val="7F7F7F"/>
                <w:sz w:val="22"/>
                <w:szCs w:val="22"/>
                <w:lang w:val="en-GB" w:eastAsia="fr-FR"/>
              </w:rPr>
              <w:t>compared to their direct competitors that are not controlled</w:t>
            </w:r>
            <w:r>
              <w:rPr>
                <w:rFonts w:ascii="Verdana" w:hAnsi="Verdana"/>
                <w:color w:val="7F7F7F"/>
                <w:sz w:val="22"/>
                <w:szCs w:val="22"/>
                <w:lang w:val="en-GB" w:eastAsia="fr-FR"/>
              </w:rPr>
              <w:t xml:space="preserve"> or </w:t>
            </w:r>
            <w:r w:rsidRPr="008E193F">
              <w:rPr>
                <w:rFonts w:ascii="Verdana" w:hAnsi="Verdana"/>
                <w:color w:val="7F7F7F"/>
                <w:sz w:val="22"/>
                <w:szCs w:val="22"/>
                <w:lang w:val="en-GB" w:eastAsia="fr-FR"/>
              </w:rPr>
              <w:t>participated by a supervised entity.</w:t>
            </w:r>
          </w:p>
        </w:tc>
        <w:tc>
          <w:tcPr>
            <w:tcW w:w="483" w:type="pct"/>
            <w:tcBorders>
              <w:top w:val="single" w:sz="4" w:space="0" w:color="auto"/>
              <w:left w:val="single" w:sz="4" w:space="0" w:color="auto"/>
              <w:bottom w:val="single" w:sz="4" w:space="0" w:color="auto"/>
              <w:right w:val="single" w:sz="4" w:space="0" w:color="auto"/>
            </w:tcBorders>
          </w:tcPr>
          <w:p w14:paraId="01DB45E6"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3913A0" w14:paraId="0B646CEF"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48BCBB26" w14:textId="060FD83C" w:rsidR="006F5ECC" w:rsidRPr="00DC77FA" w:rsidRDefault="006F5ECC" w:rsidP="00020B14">
            <w:pPr>
              <w:tabs>
                <w:tab w:val="left" w:pos="0"/>
                <w:tab w:val="left" w:pos="4536"/>
              </w:tabs>
              <w:ind w:left="28"/>
              <w:rPr>
                <w:rFonts w:ascii="Verdana" w:hAnsi="Verdana"/>
                <w:color w:val="000000"/>
                <w:sz w:val="22"/>
                <w:szCs w:val="22"/>
                <w:lang w:val="en-GB" w:eastAsia="fr-FR"/>
              </w:rPr>
            </w:pPr>
            <w:r w:rsidRPr="00F0251A">
              <w:rPr>
                <w:rFonts w:ascii="Verdana" w:eastAsia="Verdana" w:hAnsi="Verdana" w:cs="Verdana"/>
                <w:b/>
                <w:bCs/>
                <w:color w:val="7F7F7F" w:themeColor="text1" w:themeTint="80"/>
                <w:sz w:val="22"/>
                <w:szCs w:val="22"/>
                <w:lang w:val="en-US"/>
              </w:rPr>
              <w:t>11. Macroprudential policy</w:t>
            </w:r>
          </w:p>
        </w:tc>
      </w:tr>
      <w:tr w:rsidR="00FC5744" w:rsidRPr="001360A5" w14:paraId="337ED7E2"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6B3D548" w14:textId="3B78D153" w:rsidR="006F5ECC" w:rsidRPr="00D24216"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11</w:t>
            </w:r>
          </w:p>
        </w:tc>
        <w:tc>
          <w:tcPr>
            <w:tcW w:w="506" w:type="pct"/>
            <w:gridSpan w:val="2"/>
            <w:tcBorders>
              <w:top w:val="single" w:sz="4" w:space="0" w:color="auto"/>
              <w:left w:val="single" w:sz="4" w:space="0" w:color="auto"/>
              <w:bottom w:val="single" w:sz="4" w:space="0" w:color="auto"/>
              <w:right w:val="single" w:sz="4" w:space="0" w:color="auto"/>
            </w:tcBorders>
          </w:tcPr>
          <w:p w14:paraId="5C09F76F" w14:textId="07FF98D6" w:rsidR="006F5ECC" w:rsidRPr="00D24216" w:rsidRDefault="006F5ECC" w:rsidP="00020B14">
            <w:pPr>
              <w:tabs>
                <w:tab w:val="left" w:pos="0"/>
                <w:tab w:val="left" w:pos="4536"/>
              </w:tabs>
              <w:ind w:left="-96"/>
              <w:rPr>
                <w:sz w:val="22"/>
                <w:szCs w:val="22"/>
                <w:lang w:val="en-US"/>
              </w:rPr>
            </w:pPr>
            <w:r w:rsidRPr="00D24216">
              <w:rPr>
                <w:rFonts w:ascii="Verdana" w:hAnsi="Verdana"/>
                <w:color w:val="7F7F7F"/>
                <w:sz w:val="22"/>
                <w:szCs w:val="22"/>
                <w:lang w:val="en-US"/>
              </w:rPr>
              <w:t>31 – 33</w:t>
            </w:r>
          </w:p>
        </w:tc>
        <w:tc>
          <w:tcPr>
            <w:tcW w:w="1999" w:type="pct"/>
            <w:tcBorders>
              <w:top w:val="single" w:sz="4" w:space="0" w:color="auto"/>
              <w:left w:val="single" w:sz="4" w:space="0" w:color="auto"/>
              <w:bottom w:val="single" w:sz="4" w:space="0" w:color="auto"/>
              <w:right w:val="single" w:sz="4" w:space="0" w:color="auto"/>
            </w:tcBorders>
          </w:tcPr>
          <w:p w14:paraId="4CD7BF98" w14:textId="39A0D19D" w:rsidR="006F5ECC" w:rsidRPr="00020B14" w:rsidRDefault="00020B14" w:rsidP="00020B14">
            <w:pPr>
              <w:tabs>
                <w:tab w:val="left" w:pos="0"/>
                <w:tab w:val="left" w:pos="4536"/>
              </w:tabs>
              <w:spacing w:after="120"/>
              <w:ind w:left="28"/>
              <w:rPr>
                <w:rFonts w:ascii="Verdana" w:hAnsi="Verdana"/>
                <w:color w:val="7F7F7F"/>
                <w:sz w:val="22"/>
                <w:szCs w:val="22"/>
                <w:u w:val="single"/>
                <w:lang w:val="en-GB" w:eastAsia="fr-FR"/>
              </w:rPr>
            </w:pPr>
            <w:r w:rsidRPr="00020B14">
              <w:rPr>
                <w:rFonts w:ascii="Verdana" w:hAnsi="Verdana"/>
                <w:color w:val="7F7F7F" w:themeColor="text1" w:themeTint="80"/>
                <w:sz w:val="22"/>
                <w:szCs w:val="22"/>
                <w:u w:val="single"/>
                <w:lang w:val="en-GB" w:eastAsia="fr-FR"/>
              </w:rPr>
              <w:t xml:space="preserve">General </w:t>
            </w:r>
            <w:r w:rsidR="006F5ECC" w:rsidRPr="00020B14">
              <w:rPr>
                <w:rFonts w:ascii="Verdana" w:hAnsi="Verdana"/>
                <w:color w:val="7F7F7F" w:themeColor="text1" w:themeTint="80"/>
                <w:sz w:val="22"/>
                <w:szCs w:val="22"/>
                <w:u w:val="single"/>
                <w:lang w:val="en-GB" w:eastAsia="fr-FR"/>
              </w:rPr>
              <w:t>messages</w:t>
            </w:r>
          </w:p>
          <w:p w14:paraId="4D5AC4FA" w14:textId="4438A9D2" w:rsidR="006F5ECC" w:rsidRPr="00D24216" w:rsidRDefault="006F5ECC" w:rsidP="00020B14">
            <w:pPr>
              <w:tabs>
                <w:tab w:val="left" w:pos="0"/>
                <w:tab w:val="left" w:pos="4536"/>
              </w:tabs>
              <w:spacing w:after="120"/>
              <w:ind w:left="28"/>
              <w:rPr>
                <w:rFonts w:ascii="Verdana" w:hAnsi="Verdana"/>
                <w:color w:val="7F7F7F"/>
                <w:sz w:val="22"/>
                <w:szCs w:val="22"/>
                <w:lang w:val="en-GB" w:eastAsia="fr-FR"/>
              </w:rPr>
            </w:pPr>
            <w:r>
              <w:rPr>
                <w:rFonts w:ascii="Verdana" w:hAnsi="Verdana"/>
                <w:color w:val="7F7F7F"/>
                <w:sz w:val="22"/>
                <w:szCs w:val="22"/>
                <w:lang w:val="en-GB" w:eastAsia="fr-FR"/>
              </w:rPr>
              <w:t>1.</w:t>
            </w:r>
            <w:r w:rsidRPr="00F0251A">
              <w:rPr>
                <w:rFonts w:ascii="Verdana" w:hAnsi="Verdana"/>
                <w:b/>
                <w:bCs/>
                <w:color w:val="7F7F7F"/>
                <w:sz w:val="22"/>
                <w:szCs w:val="22"/>
                <w:lang w:val="en-GB" w:eastAsia="fr-FR"/>
              </w:rPr>
              <w:t>Traditional insurance carries very limited systemic risk,</w:t>
            </w:r>
            <w:r w:rsidRPr="00D24216">
              <w:rPr>
                <w:rFonts w:ascii="Verdana" w:hAnsi="Verdana"/>
                <w:color w:val="7F7F7F"/>
                <w:sz w:val="22"/>
                <w:szCs w:val="22"/>
                <w:lang w:val="en-GB" w:eastAsia="fr-FR"/>
              </w:rPr>
              <w:t xml:space="preserve"> therefore the need for macroprudential regulation is low. Insurers with a traditional risk profile and SMEs should be exempted from additional macroprudential supervision. </w:t>
            </w:r>
          </w:p>
          <w:p w14:paraId="2E437F1E" w14:textId="77777777" w:rsidR="006F5ECC" w:rsidRPr="00D24216" w:rsidRDefault="006F5ECC" w:rsidP="00020B14">
            <w:pPr>
              <w:tabs>
                <w:tab w:val="left" w:pos="0"/>
                <w:tab w:val="left" w:pos="4536"/>
              </w:tabs>
              <w:spacing w:after="120"/>
              <w:ind w:left="28"/>
              <w:rPr>
                <w:rFonts w:ascii="Verdana" w:hAnsi="Verdana"/>
                <w:color w:val="7F7F7F"/>
                <w:sz w:val="22"/>
                <w:szCs w:val="22"/>
                <w:lang w:val="en-GB" w:eastAsia="fr-FR"/>
              </w:rPr>
            </w:pPr>
            <w:r w:rsidRPr="00D24216">
              <w:rPr>
                <w:rFonts w:ascii="Verdana" w:hAnsi="Verdana"/>
                <w:color w:val="7F7F7F"/>
                <w:sz w:val="22"/>
                <w:szCs w:val="22"/>
                <w:lang w:val="en-GB" w:eastAsia="fr-FR"/>
              </w:rPr>
              <w:t xml:space="preserve">2. </w:t>
            </w:r>
            <w:r w:rsidRPr="00F0251A">
              <w:rPr>
                <w:rFonts w:ascii="Verdana" w:hAnsi="Verdana"/>
                <w:b/>
                <w:bCs/>
                <w:color w:val="7F7F7F"/>
                <w:sz w:val="22"/>
                <w:szCs w:val="22"/>
                <w:lang w:val="en-GB" w:eastAsia="fr-FR"/>
              </w:rPr>
              <w:t>Solvency II is a balanced framework</w:t>
            </w:r>
            <w:r w:rsidRPr="00D24216">
              <w:rPr>
                <w:rFonts w:ascii="Verdana" w:hAnsi="Verdana"/>
                <w:color w:val="7F7F7F"/>
                <w:sz w:val="22"/>
                <w:szCs w:val="22"/>
                <w:lang w:val="en-GB" w:eastAsia="fr-FR"/>
              </w:rPr>
              <w:t xml:space="preserve"> for prudential supervision </w:t>
            </w:r>
            <w:r w:rsidRPr="00F0251A">
              <w:rPr>
                <w:rFonts w:ascii="Verdana" w:hAnsi="Verdana"/>
                <w:b/>
                <w:bCs/>
                <w:color w:val="7F7F7F"/>
                <w:sz w:val="22"/>
                <w:szCs w:val="22"/>
                <w:lang w:val="en-GB" w:eastAsia="fr-FR"/>
              </w:rPr>
              <w:t>enhancing good risk management and disclosure</w:t>
            </w:r>
            <w:r w:rsidRPr="00D24216">
              <w:rPr>
                <w:rFonts w:ascii="Verdana" w:hAnsi="Verdana"/>
                <w:color w:val="7F7F7F"/>
                <w:sz w:val="22"/>
                <w:szCs w:val="22"/>
                <w:lang w:val="en-GB" w:eastAsia="fr-FR"/>
              </w:rPr>
              <w:t xml:space="preserve">. The existing Solvency II micro prudential regulation is an excellent framework for a prudent risk management and covers many macroprudential issues as well. Current instruments should be used as much as possible. Moreover, some of the symptoms of a systemic risk crisis, i.e. lapse risk, spread risk or interest rate risk, are already taken into account in Solvency II and the Solvency II LTGA measures are temporary measures that provide more time to recover from stress events. </w:t>
            </w:r>
            <w:r w:rsidRPr="00D24216">
              <w:rPr>
                <w:rFonts w:ascii="Verdana" w:hAnsi="Verdana"/>
                <w:color w:val="7F7F7F"/>
                <w:sz w:val="22"/>
                <w:szCs w:val="22"/>
                <w:lang w:val="en-GB" w:eastAsia="fr-FR"/>
              </w:rPr>
              <w:lastRenderedPageBreak/>
              <w:t xml:space="preserve">Systemic risk supervision should not be exercised with excessive short-term biases. </w:t>
            </w:r>
          </w:p>
          <w:p w14:paraId="6E7062A2" w14:textId="77777777" w:rsidR="006F5ECC" w:rsidRPr="00D24216" w:rsidRDefault="006F5ECC" w:rsidP="00020B14">
            <w:pPr>
              <w:tabs>
                <w:tab w:val="left" w:pos="0"/>
                <w:tab w:val="left" w:pos="4536"/>
              </w:tabs>
              <w:spacing w:after="120"/>
              <w:ind w:left="28"/>
              <w:rPr>
                <w:rFonts w:ascii="Verdana" w:hAnsi="Verdana"/>
                <w:color w:val="7F7F7F"/>
                <w:sz w:val="22"/>
                <w:szCs w:val="22"/>
                <w:lang w:val="en-GB" w:eastAsia="fr-FR"/>
              </w:rPr>
            </w:pPr>
            <w:r w:rsidRPr="00D24216">
              <w:rPr>
                <w:rFonts w:ascii="Verdana" w:hAnsi="Verdana"/>
                <w:color w:val="7F7F7F"/>
                <w:sz w:val="22"/>
                <w:szCs w:val="22"/>
                <w:lang w:val="en-GB" w:eastAsia="fr-FR"/>
              </w:rPr>
              <w:t xml:space="preserve">3. </w:t>
            </w:r>
            <w:r w:rsidRPr="00F0251A">
              <w:rPr>
                <w:rFonts w:ascii="Verdana" w:hAnsi="Verdana"/>
                <w:b/>
                <w:bCs/>
                <w:color w:val="7F7F7F"/>
                <w:sz w:val="22"/>
                <w:szCs w:val="22"/>
                <w:lang w:val="en-GB" w:eastAsia="fr-FR"/>
              </w:rPr>
              <w:t>EIOPA should account for the various analysis on macro-prudential supervision carried out by ESRB</w:t>
            </w:r>
            <w:r w:rsidRPr="00D24216">
              <w:rPr>
                <w:rFonts w:ascii="Verdana" w:hAnsi="Verdana"/>
                <w:color w:val="7F7F7F"/>
                <w:sz w:val="22"/>
                <w:szCs w:val="22"/>
                <w:lang w:val="en-GB" w:eastAsia="fr-FR"/>
              </w:rPr>
              <w:t xml:space="preserve"> and IAIS and the costs associated by maintaining different standards.  </w:t>
            </w:r>
          </w:p>
          <w:p w14:paraId="4C5EABF9" w14:textId="508E1DC1" w:rsidR="006F5ECC" w:rsidRPr="00D24216" w:rsidRDefault="006F5ECC" w:rsidP="00020B14">
            <w:pPr>
              <w:tabs>
                <w:tab w:val="left" w:pos="0"/>
                <w:tab w:val="left" w:pos="4536"/>
              </w:tabs>
              <w:spacing w:before="120" w:after="120"/>
              <w:ind w:left="28"/>
              <w:rPr>
                <w:rFonts w:ascii="Verdana" w:hAnsi="Verdana"/>
                <w:color w:val="7F7F7F"/>
                <w:sz w:val="22"/>
                <w:szCs w:val="22"/>
                <w:lang w:val="en-GB" w:eastAsia="fr-FR"/>
              </w:rPr>
            </w:pPr>
            <w:r w:rsidRPr="00D24216">
              <w:rPr>
                <w:rFonts w:ascii="Verdana" w:hAnsi="Verdana"/>
                <w:color w:val="7F7F7F"/>
                <w:sz w:val="22"/>
                <w:szCs w:val="22"/>
                <w:lang w:val="en-GB" w:eastAsia="fr-FR"/>
              </w:rPr>
              <w:t xml:space="preserve">4. </w:t>
            </w:r>
            <w:r w:rsidRPr="00A25736">
              <w:rPr>
                <w:rFonts w:ascii="Verdana" w:hAnsi="Verdana"/>
                <w:b/>
                <w:bCs/>
                <w:color w:val="7F7F7F"/>
                <w:sz w:val="22"/>
                <w:szCs w:val="22"/>
                <w:lang w:val="en-GB" w:eastAsia="fr-FR"/>
              </w:rPr>
              <w:t>Areas for improvement are the management and reporting of liquidity risk</w:t>
            </w:r>
            <w:r w:rsidRPr="00D24216">
              <w:rPr>
                <w:rFonts w:ascii="Verdana" w:hAnsi="Verdana"/>
                <w:color w:val="7F7F7F"/>
                <w:sz w:val="22"/>
                <w:szCs w:val="22"/>
                <w:lang w:val="en-GB" w:eastAsia="fr-FR"/>
              </w:rPr>
              <w:t xml:space="preserve">. However, this should not lead to new requirements in the reporting area. The information already available in the existing QRTs should be analysed thoroughly before considering any additional information collection. </w:t>
            </w:r>
          </w:p>
          <w:p w14:paraId="66F83A3C" w14:textId="77777777" w:rsidR="006F5ECC" w:rsidRPr="00D24216" w:rsidRDefault="006F5ECC" w:rsidP="00020B14">
            <w:pPr>
              <w:tabs>
                <w:tab w:val="left" w:pos="0"/>
                <w:tab w:val="left" w:pos="4536"/>
              </w:tabs>
              <w:spacing w:after="120"/>
              <w:ind w:left="28"/>
              <w:rPr>
                <w:rFonts w:ascii="Verdana" w:hAnsi="Verdana"/>
                <w:color w:val="7F7F7F"/>
                <w:sz w:val="22"/>
                <w:szCs w:val="22"/>
                <w:lang w:val="en-GB" w:eastAsia="fr-FR"/>
              </w:rPr>
            </w:pPr>
            <w:r w:rsidRPr="00D24216">
              <w:rPr>
                <w:rFonts w:ascii="Verdana" w:hAnsi="Verdana"/>
                <w:color w:val="7F7F7F"/>
                <w:sz w:val="22"/>
                <w:szCs w:val="22"/>
                <w:lang w:val="en-GB" w:eastAsia="fr-FR"/>
              </w:rPr>
              <w:t xml:space="preserve">5. The </w:t>
            </w:r>
            <w:r w:rsidRPr="00A25736">
              <w:rPr>
                <w:rFonts w:ascii="Verdana" w:hAnsi="Verdana"/>
                <w:b/>
                <w:bCs/>
                <w:color w:val="7F7F7F"/>
                <w:sz w:val="22"/>
                <w:szCs w:val="22"/>
                <w:lang w:val="en-GB" w:eastAsia="fr-FR"/>
              </w:rPr>
              <w:t>ORSA should remain an own risk and solvency assessment</w:t>
            </w:r>
            <w:r w:rsidRPr="00D24216">
              <w:rPr>
                <w:rFonts w:ascii="Verdana" w:hAnsi="Verdana"/>
                <w:color w:val="7F7F7F"/>
                <w:sz w:val="22"/>
                <w:szCs w:val="22"/>
                <w:lang w:val="en-GB" w:eastAsia="fr-FR"/>
              </w:rPr>
              <w:t xml:space="preserve"> and should remain governed by companies, the supervisory review process already allows discussion about macroprudential perspectives. </w:t>
            </w:r>
          </w:p>
          <w:p w14:paraId="5BDEF446" w14:textId="77777777" w:rsidR="006F5ECC" w:rsidRPr="00D24216" w:rsidRDefault="006F5ECC" w:rsidP="00020B14">
            <w:pPr>
              <w:tabs>
                <w:tab w:val="left" w:pos="0"/>
                <w:tab w:val="left" w:pos="4536"/>
              </w:tabs>
              <w:spacing w:after="120"/>
              <w:ind w:left="28"/>
              <w:rPr>
                <w:rFonts w:ascii="Verdana" w:hAnsi="Verdana"/>
                <w:color w:val="7F7F7F"/>
                <w:sz w:val="22"/>
                <w:szCs w:val="22"/>
                <w:lang w:val="en-GB" w:eastAsia="fr-FR"/>
              </w:rPr>
            </w:pPr>
            <w:r w:rsidRPr="00D24216">
              <w:rPr>
                <w:rFonts w:ascii="Verdana" w:hAnsi="Verdana"/>
                <w:color w:val="7F7F7F"/>
                <w:sz w:val="22"/>
                <w:szCs w:val="22"/>
                <w:lang w:val="en-GB" w:eastAsia="fr-FR"/>
              </w:rPr>
              <w:t xml:space="preserve">6. </w:t>
            </w:r>
            <w:r w:rsidRPr="00A25736">
              <w:rPr>
                <w:rFonts w:ascii="Verdana" w:hAnsi="Verdana"/>
                <w:b/>
                <w:bCs/>
                <w:color w:val="7F7F7F"/>
                <w:sz w:val="22"/>
                <w:szCs w:val="22"/>
                <w:lang w:val="en-GB" w:eastAsia="fr-FR"/>
              </w:rPr>
              <w:t>Additional macroprudential regulation should be in place to prevent situations of major crisis only</w:t>
            </w:r>
            <w:r w:rsidRPr="00D24216">
              <w:rPr>
                <w:rFonts w:ascii="Verdana" w:hAnsi="Verdana"/>
                <w:color w:val="7F7F7F"/>
                <w:sz w:val="22"/>
                <w:szCs w:val="22"/>
                <w:lang w:val="en-GB" w:eastAsia="fr-FR"/>
              </w:rPr>
              <w:t xml:space="preserve">. Moreover, macroprudential regulation tools should be dormant when no crisis is developing. A functional financial market needs to be volatile, and Solvency II has been designed to cope with that volatility.  </w:t>
            </w:r>
          </w:p>
          <w:p w14:paraId="134E1187" w14:textId="77777777" w:rsidR="006F5ECC" w:rsidRPr="00D24216" w:rsidRDefault="006F5ECC" w:rsidP="00020B14">
            <w:pPr>
              <w:tabs>
                <w:tab w:val="left" w:pos="0"/>
                <w:tab w:val="left" w:pos="4536"/>
              </w:tabs>
              <w:spacing w:after="120"/>
              <w:ind w:left="28"/>
              <w:rPr>
                <w:rFonts w:ascii="Verdana" w:hAnsi="Verdana"/>
                <w:color w:val="7F7F7F"/>
                <w:sz w:val="22"/>
                <w:szCs w:val="22"/>
                <w:lang w:val="en-GB" w:eastAsia="fr-FR"/>
              </w:rPr>
            </w:pPr>
            <w:r w:rsidRPr="00D24216">
              <w:rPr>
                <w:rFonts w:ascii="Verdana" w:hAnsi="Verdana"/>
                <w:color w:val="7F7F7F"/>
                <w:sz w:val="22"/>
                <w:szCs w:val="22"/>
                <w:lang w:val="en-GB" w:eastAsia="fr-FR"/>
              </w:rPr>
              <w:t xml:space="preserve">7. </w:t>
            </w:r>
            <w:r w:rsidRPr="00A25736">
              <w:rPr>
                <w:rFonts w:ascii="Verdana" w:hAnsi="Verdana"/>
                <w:b/>
                <w:bCs/>
                <w:color w:val="7F7F7F"/>
                <w:sz w:val="22"/>
                <w:szCs w:val="22"/>
                <w:lang w:val="en-GB" w:eastAsia="fr-FR"/>
              </w:rPr>
              <w:t>EIOPA Supervisory convergence plan needs to be taken further before introducing new requirements</w:t>
            </w:r>
            <w:r w:rsidRPr="00D24216">
              <w:rPr>
                <w:rFonts w:ascii="Verdana" w:hAnsi="Verdana"/>
                <w:color w:val="7F7F7F"/>
                <w:sz w:val="22"/>
                <w:szCs w:val="22"/>
                <w:lang w:val="en-GB" w:eastAsia="fr-FR"/>
              </w:rPr>
              <w:t xml:space="preserve">. Most NCAs can prevent any macro-economic like crisis provided they have up to date tools and knowledge. </w:t>
            </w:r>
          </w:p>
          <w:p w14:paraId="056633B8" w14:textId="2E11E29F" w:rsidR="006F5ECC" w:rsidRPr="00D24216" w:rsidRDefault="006F5ECC" w:rsidP="00020B14">
            <w:pPr>
              <w:tabs>
                <w:tab w:val="left" w:pos="0"/>
                <w:tab w:val="left" w:pos="4536"/>
              </w:tabs>
              <w:ind w:left="28"/>
              <w:rPr>
                <w:rFonts w:ascii="Verdana" w:hAnsi="Verdana"/>
                <w:color w:val="7F7F7F"/>
                <w:sz w:val="22"/>
                <w:szCs w:val="22"/>
                <w:lang w:val="en-GB" w:eastAsia="fr-FR"/>
              </w:rPr>
            </w:pPr>
            <w:r w:rsidRPr="00D24216">
              <w:rPr>
                <w:rFonts w:ascii="Verdana" w:hAnsi="Verdana"/>
                <w:color w:val="7F7F7F"/>
                <w:sz w:val="22"/>
                <w:szCs w:val="22"/>
                <w:lang w:val="en-GB" w:eastAsia="fr-FR"/>
              </w:rPr>
              <w:t xml:space="preserve">8. </w:t>
            </w:r>
            <w:r w:rsidRPr="00A25736">
              <w:rPr>
                <w:rFonts w:ascii="Verdana" w:hAnsi="Verdana"/>
                <w:b/>
                <w:bCs/>
                <w:color w:val="7F7F7F"/>
                <w:sz w:val="22"/>
                <w:szCs w:val="22"/>
                <w:lang w:val="en-GB" w:eastAsia="fr-FR"/>
              </w:rPr>
              <w:t>Any macroprudential tools should be applied in a proportionate manner</w:t>
            </w:r>
            <w:r w:rsidRPr="00D24216">
              <w:rPr>
                <w:rFonts w:ascii="Verdana" w:hAnsi="Verdana"/>
                <w:color w:val="7F7F7F"/>
                <w:sz w:val="22"/>
                <w:szCs w:val="22"/>
                <w:lang w:val="en-GB" w:eastAsia="fr-FR"/>
              </w:rPr>
              <w:t xml:space="preserve"> and taking into account the risk the tool intends to mitigate and its probability of occurrence</w:t>
            </w:r>
          </w:p>
        </w:tc>
        <w:tc>
          <w:tcPr>
            <w:tcW w:w="483" w:type="pct"/>
            <w:tcBorders>
              <w:top w:val="single" w:sz="4" w:space="0" w:color="auto"/>
              <w:left w:val="single" w:sz="4" w:space="0" w:color="auto"/>
              <w:bottom w:val="single" w:sz="4" w:space="0" w:color="auto"/>
              <w:right w:val="single" w:sz="4" w:space="0" w:color="auto"/>
            </w:tcBorders>
          </w:tcPr>
          <w:p w14:paraId="3CDADDE1" w14:textId="77777777" w:rsidR="006F5ECC" w:rsidRPr="00D24216" w:rsidRDefault="006F5ECC" w:rsidP="00020B14">
            <w:pPr>
              <w:tabs>
                <w:tab w:val="left" w:pos="0"/>
                <w:tab w:val="left" w:pos="4536"/>
              </w:tabs>
              <w:ind w:left="-96"/>
              <w:rPr>
                <w:color w:val="000000"/>
                <w:sz w:val="22"/>
                <w:szCs w:val="22"/>
                <w:lang w:val="en-GB" w:eastAsia="fr-FR"/>
              </w:rPr>
            </w:pPr>
          </w:p>
        </w:tc>
      </w:tr>
      <w:tr w:rsidR="006F5ECC" w:rsidRPr="001360A5" w14:paraId="6481FE7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tcPr>
          <w:p w14:paraId="06D2EAAF" w14:textId="1D7AC9BF" w:rsidR="006F5ECC" w:rsidRPr="00F0251A" w:rsidRDefault="006F5ECC" w:rsidP="00020B14">
            <w:pPr>
              <w:tabs>
                <w:tab w:val="left" w:pos="0"/>
                <w:tab w:val="left" w:pos="4536"/>
              </w:tabs>
              <w:ind w:left="28"/>
              <w:rPr>
                <w:rFonts w:ascii="Verdana" w:hAnsi="Verdana"/>
                <w:b/>
                <w:bCs/>
                <w:color w:val="7F7F7F" w:themeColor="text1" w:themeTint="80"/>
                <w:sz w:val="22"/>
                <w:szCs w:val="22"/>
                <w:lang w:val="en-GB" w:eastAsia="fr-FR"/>
              </w:rPr>
            </w:pPr>
            <w:r w:rsidRPr="00F0251A">
              <w:rPr>
                <w:rFonts w:ascii="Verdana" w:hAnsi="Verdana"/>
                <w:b/>
                <w:bCs/>
                <w:color w:val="7F7F7F" w:themeColor="text1" w:themeTint="80"/>
                <w:sz w:val="22"/>
                <w:szCs w:val="22"/>
                <w:lang w:val="en-GB" w:eastAsia="fr-FR"/>
              </w:rPr>
              <w:lastRenderedPageBreak/>
              <w:t>Capital surcharge for systemic risk</w:t>
            </w:r>
          </w:p>
        </w:tc>
      </w:tr>
      <w:tr w:rsidR="00FC5744" w:rsidRPr="001360A5" w14:paraId="2887976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42CB618" w14:textId="02F2F9B8" w:rsidR="006F5ECC" w:rsidRPr="00BA2FBD" w:rsidRDefault="006F5ECC" w:rsidP="00020B14">
            <w:pPr>
              <w:tabs>
                <w:tab w:val="left" w:pos="0"/>
                <w:tab w:val="left" w:pos="4536"/>
              </w:tabs>
              <w:ind w:left="-96"/>
              <w:rPr>
                <w:rFonts w:ascii="Verdana" w:hAnsi="Verdana"/>
                <w:color w:val="7F7F7F"/>
                <w:sz w:val="22"/>
                <w:szCs w:val="22"/>
                <w:lang w:val="en-GB" w:eastAsia="fr-FR"/>
              </w:rPr>
            </w:pPr>
            <w:r>
              <w:rPr>
                <w:rFonts w:ascii="Verdana" w:hAnsi="Verdana"/>
                <w:color w:val="7F7F7F"/>
                <w:sz w:val="22"/>
                <w:szCs w:val="22"/>
                <w:lang w:val="en-GB" w:eastAsia="fr-FR"/>
              </w:rPr>
              <w:t>11</w:t>
            </w:r>
          </w:p>
        </w:tc>
        <w:tc>
          <w:tcPr>
            <w:tcW w:w="506" w:type="pct"/>
            <w:gridSpan w:val="2"/>
            <w:tcBorders>
              <w:top w:val="single" w:sz="4" w:space="0" w:color="auto"/>
              <w:left w:val="single" w:sz="4" w:space="0" w:color="auto"/>
              <w:bottom w:val="single" w:sz="4" w:space="0" w:color="auto"/>
              <w:right w:val="single" w:sz="4" w:space="0" w:color="auto"/>
            </w:tcBorders>
          </w:tcPr>
          <w:p w14:paraId="62528B03" w14:textId="436B3C04" w:rsidR="006F5ECC" w:rsidRPr="00BA2FBD" w:rsidRDefault="006F5ECC" w:rsidP="00020B14">
            <w:pPr>
              <w:tabs>
                <w:tab w:val="left" w:pos="0"/>
                <w:tab w:val="left" w:pos="4536"/>
              </w:tabs>
              <w:ind w:left="-96"/>
              <w:rPr>
                <w:rFonts w:ascii="Verdana" w:hAnsi="Verdana"/>
                <w:color w:val="7F7F7F"/>
                <w:sz w:val="22"/>
                <w:szCs w:val="22"/>
                <w:lang w:val="en-GB" w:eastAsia="fr-FR"/>
              </w:rPr>
            </w:pPr>
            <w:r>
              <w:rPr>
                <w:rFonts w:ascii="Verdana" w:hAnsi="Verdana"/>
                <w:color w:val="7F7F7F"/>
                <w:sz w:val="22"/>
                <w:szCs w:val="22"/>
                <w:lang w:val="en-GB" w:eastAsia="fr-FR"/>
              </w:rPr>
              <w:t>56</w:t>
            </w:r>
          </w:p>
        </w:tc>
        <w:tc>
          <w:tcPr>
            <w:tcW w:w="1999" w:type="pct"/>
            <w:tcBorders>
              <w:top w:val="single" w:sz="4" w:space="0" w:color="auto"/>
              <w:left w:val="single" w:sz="4" w:space="0" w:color="auto"/>
              <w:bottom w:val="single" w:sz="4" w:space="0" w:color="auto"/>
              <w:right w:val="single" w:sz="4" w:space="0" w:color="auto"/>
            </w:tcBorders>
            <w:vAlign w:val="bottom"/>
          </w:tcPr>
          <w:p w14:paraId="13ABD932" w14:textId="3D354512" w:rsidR="006F5ECC" w:rsidRPr="003D528C" w:rsidRDefault="006F5ECC" w:rsidP="00020B14">
            <w:pPr>
              <w:tabs>
                <w:tab w:val="left" w:pos="0"/>
                <w:tab w:val="left" w:pos="4536"/>
              </w:tabs>
              <w:ind w:left="28"/>
              <w:rPr>
                <w:rFonts w:ascii="Verdana" w:hAnsi="Verdana"/>
                <w:color w:val="7F7F7F"/>
                <w:sz w:val="22"/>
                <w:szCs w:val="22"/>
                <w:lang w:val="en-US" w:eastAsia="fr-FR"/>
              </w:rPr>
            </w:pPr>
            <w:r w:rsidRPr="00BA2FBD">
              <w:rPr>
                <w:rFonts w:ascii="Verdana" w:hAnsi="Verdana"/>
                <w:color w:val="7F7F7F"/>
                <w:sz w:val="22"/>
                <w:szCs w:val="22"/>
                <w:lang w:val="en-US" w:eastAsia="fr-FR"/>
              </w:rPr>
              <w:t>Capital surcharge for systemic risk is not needed because Solvency II is already targeting a 1</w:t>
            </w:r>
            <w:r>
              <w:rPr>
                <w:rFonts w:ascii="Verdana" w:hAnsi="Verdana"/>
                <w:color w:val="7F7F7F"/>
                <w:sz w:val="22"/>
                <w:szCs w:val="22"/>
                <w:lang w:val="en-US" w:eastAsia="fr-FR"/>
              </w:rPr>
              <w:t>-in-</w:t>
            </w:r>
            <w:r w:rsidRPr="00BA2FBD">
              <w:rPr>
                <w:rFonts w:ascii="Verdana" w:hAnsi="Verdana"/>
                <w:color w:val="7F7F7F"/>
                <w:sz w:val="22"/>
                <w:szCs w:val="22"/>
                <w:lang w:val="en-US" w:eastAsia="fr-FR"/>
              </w:rPr>
              <w:t xml:space="preserve">200 capital regime. This target is already enhanced by additional capital buffers following the risk appetites of groups/insurers. This is again part </w:t>
            </w:r>
            <w:r>
              <w:rPr>
                <w:rFonts w:ascii="Verdana" w:hAnsi="Verdana"/>
                <w:color w:val="7F7F7F"/>
                <w:sz w:val="22"/>
                <w:szCs w:val="22"/>
                <w:lang w:val="en-US" w:eastAsia="fr-FR"/>
              </w:rPr>
              <w:t xml:space="preserve">of </w:t>
            </w:r>
            <w:r w:rsidRPr="00BA2FBD">
              <w:rPr>
                <w:rFonts w:ascii="Verdana" w:hAnsi="Verdana"/>
                <w:color w:val="7F7F7F"/>
                <w:sz w:val="22"/>
                <w:szCs w:val="22"/>
                <w:lang w:val="en-US" w:eastAsia="fr-FR"/>
              </w:rPr>
              <w:t xml:space="preserve">the dialogue with </w:t>
            </w:r>
            <w:r>
              <w:rPr>
                <w:rFonts w:ascii="Verdana" w:hAnsi="Verdana"/>
                <w:color w:val="7F7F7F"/>
                <w:sz w:val="22"/>
                <w:szCs w:val="22"/>
                <w:lang w:val="en-US" w:eastAsia="fr-FR"/>
              </w:rPr>
              <w:t xml:space="preserve">the </w:t>
            </w:r>
            <w:r w:rsidRPr="00BA2FBD">
              <w:rPr>
                <w:rFonts w:ascii="Verdana" w:hAnsi="Verdana"/>
                <w:color w:val="7F7F7F"/>
                <w:sz w:val="22"/>
                <w:szCs w:val="22"/>
                <w:lang w:val="en-US" w:eastAsia="fr-FR"/>
              </w:rPr>
              <w:t>supervisory authorities</w:t>
            </w:r>
            <w:r>
              <w:rPr>
                <w:rFonts w:ascii="Verdana" w:hAnsi="Verdana"/>
                <w:color w:val="7F7F7F"/>
                <w:sz w:val="22"/>
                <w:szCs w:val="22"/>
                <w:lang w:val="en-US" w:eastAsia="fr-FR"/>
              </w:rPr>
              <w:t>.</w:t>
            </w:r>
          </w:p>
        </w:tc>
        <w:tc>
          <w:tcPr>
            <w:tcW w:w="483" w:type="pct"/>
            <w:tcBorders>
              <w:top w:val="single" w:sz="4" w:space="0" w:color="auto"/>
              <w:left w:val="single" w:sz="4" w:space="0" w:color="auto"/>
              <w:bottom w:val="single" w:sz="4" w:space="0" w:color="auto"/>
              <w:right w:val="single" w:sz="4" w:space="0" w:color="auto"/>
            </w:tcBorders>
          </w:tcPr>
          <w:p w14:paraId="42B8043E"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75CCE951"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4C79B23" w14:textId="4CCBDCD9"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color w:val="7F7F7F"/>
                <w:sz w:val="22"/>
                <w:szCs w:val="22"/>
                <w:lang w:val="en-GB" w:eastAsia="fr-FR"/>
              </w:rPr>
              <w:t>11</w:t>
            </w:r>
          </w:p>
        </w:tc>
        <w:tc>
          <w:tcPr>
            <w:tcW w:w="506" w:type="pct"/>
            <w:gridSpan w:val="2"/>
            <w:tcBorders>
              <w:top w:val="single" w:sz="4" w:space="0" w:color="auto"/>
              <w:left w:val="single" w:sz="4" w:space="0" w:color="auto"/>
              <w:bottom w:val="single" w:sz="4" w:space="0" w:color="auto"/>
              <w:right w:val="single" w:sz="4" w:space="0" w:color="auto"/>
            </w:tcBorders>
          </w:tcPr>
          <w:p w14:paraId="28977651" w14:textId="03EA3BA0" w:rsidR="006F5ECC" w:rsidRPr="00A62697" w:rsidRDefault="006F5ECC" w:rsidP="00020B14">
            <w:pPr>
              <w:tabs>
                <w:tab w:val="left" w:pos="0"/>
                <w:tab w:val="left" w:pos="4536"/>
              </w:tabs>
              <w:ind w:left="-96"/>
              <w:rPr>
                <w:rFonts w:ascii="Verdana" w:hAnsi="Verdana"/>
                <w:b/>
                <w:bCs/>
                <w:color w:val="7F7F7F"/>
                <w:sz w:val="22"/>
                <w:szCs w:val="22"/>
                <w:lang w:val="en-US"/>
              </w:rPr>
            </w:pPr>
            <w:r>
              <w:rPr>
                <w:rFonts w:ascii="Verdana" w:hAnsi="Verdana"/>
                <w:color w:val="7F7F7F"/>
                <w:sz w:val="22"/>
                <w:szCs w:val="22"/>
                <w:lang w:val="en-GB" w:eastAsia="fr-FR"/>
              </w:rPr>
              <w:t>57</w:t>
            </w:r>
          </w:p>
        </w:tc>
        <w:tc>
          <w:tcPr>
            <w:tcW w:w="1999" w:type="pct"/>
            <w:tcBorders>
              <w:top w:val="single" w:sz="4" w:space="0" w:color="auto"/>
              <w:left w:val="single" w:sz="4" w:space="0" w:color="auto"/>
              <w:bottom w:val="single" w:sz="4" w:space="0" w:color="auto"/>
              <w:right w:val="single" w:sz="4" w:space="0" w:color="auto"/>
            </w:tcBorders>
            <w:vAlign w:val="bottom"/>
          </w:tcPr>
          <w:p w14:paraId="3DE95639" w14:textId="3C413FE5" w:rsidR="006F5ECC" w:rsidRPr="00BA2FBD" w:rsidRDefault="006F5ECC" w:rsidP="00020B14">
            <w:pPr>
              <w:tabs>
                <w:tab w:val="left" w:pos="0"/>
                <w:tab w:val="left" w:pos="4536"/>
              </w:tabs>
              <w:ind w:left="28"/>
              <w:rPr>
                <w:rFonts w:ascii="Verdana" w:hAnsi="Verdana"/>
                <w:color w:val="7F7F7F"/>
                <w:sz w:val="22"/>
                <w:szCs w:val="22"/>
                <w:lang w:val="en-GB" w:eastAsia="fr-FR"/>
              </w:rPr>
            </w:pPr>
            <w:r w:rsidRPr="00BA2FBD">
              <w:rPr>
                <w:rFonts w:ascii="Verdana" w:hAnsi="Verdana"/>
                <w:color w:val="7F7F7F"/>
                <w:sz w:val="22"/>
                <w:szCs w:val="22"/>
                <w:lang w:val="en-GB" w:eastAsia="fr-FR"/>
              </w:rPr>
              <w:t>EIOPA already mentioned the fact that insurers are not generating systemic risk in general. The calibration of the SCR standard formula is already based on a 1</w:t>
            </w:r>
            <w:r>
              <w:rPr>
                <w:rFonts w:ascii="Verdana" w:hAnsi="Verdana"/>
                <w:color w:val="7F7F7F"/>
                <w:sz w:val="22"/>
                <w:szCs w:val="22"/>
                <w:lang w:val="en-GB" w:eastAsia="fr-FR"/>
              </w:rPr>
              <w:t>-in-</w:t>
            </w:r>
            <w:r w:rsidRPr="00BA2FBD">
              <w:rPr>
                <w:rFonts w:ascii="Verdana" w:hAnsi="Verdana"/>
                <w:color w:val="7F7F7F"/>
                <w:sz w:val="22"/>
                <w:szCs w:val="22"/>
                <w:lang w:val="en-GB" w:eastAsia="fr-FR"/>
              </w:rPr>
              <w:t xml:space="preserve">200-year event. There is no need for an increased level of prudence. </w:t>
            </w:r>
          </w:p>
          <w:p w14:paraId="55A2CAC8" w14:textId="28C0337C" w:rsidR="006F5ECC" w:rsidRDefault="006F5ECC" w:rsidP="00020B14">
            <w:pPr>
              <w:tabs>
                <w:tab w:val="left" w:pos="0"/>
                <w:tab w:val="left" w:pos="4536"/>
              </w:tabs>
              <w:ind w:left="28"/>
              <w:rPr>
                <w:rFonts w:ascii="Verdana" w:hAnsi="Verdana"/>
                <w:color w:val="7F7F7F"/>
                <w:sz w:val="22"/>
                <w:szCs w:val="22"/>
                <w:lang w:val="en-GB" w:eastAsia="fr-FR"/>
              </w:rPr>
            </w:pPr>
            <w:r w:rsidRPr="00BA2FBD">
              <w:rPr>
                <w:rFonts w:ascii="Verdana" w:hAnsi="Verdana"/>
                <w:color w:val="7F7F7F"/>
                <w:sz w:val="22"/>
                <w:szCs w:val="22"/>
                <w:lang w:val="en-GB" w:eastAsia="fr-FR"/>
              </w:rPr>
              <w:t xml:space="preserve">The Solvency II calculations are based on an economic valuation and economic perspective. This already implies, that in worsening the market environment, the valuation is negatively affected. This would already have an impact on the own funds and on the need to address it by insurers. Basically, the economic perspective implicitly increases the need for additional loss absorbency. Economic parameters influence the valuation while this does not necessarily imply a cash outflow. An increased spread result in lower valuation of a bond, but the cash flows remains the same. This negative impact on the own funds </w:t>
            </w:r>
            <w:r>
              <w:rPr>
                <w:rFonts w:ascii="Verdana" w:hAnsi="Verdana"/>
                <w:color w:val="7F7F7F"/>
                <w:sz w:val="22"/>
                <w:szCs w:val="22"/>
                <w:lang w:val="en-GB" w:eastAsia="fr-FR"/>
              </w:rPr>
              <w:t>has</w:t>
            </w:r>
            <w:r w:rsidRPr="00BA2FBD">
              <w:rPr>
                <w:rFonts w:ascii="Verdana" w:hAnsi="Verdana"/>
                <w:color w:val="7F7F7F"/>
                <w:sz w:val="22"/>
                <w:szCs w:val="22"/>
                <w:lang w:val="en-GB" w:eastAsia="fr-FR"/>
              </w:rPr>
              <w:t xml:space="preserve"> to be absorbed by the (re-)insurer, because the (re-)insurer has to maintain their ratio above their internal limits. Therefore, in an economic down turn, (re-)insurers increase their own funds to absorb the impact of unrealized losses on these exposures regardless whether these will be recycled as unrealized gains, because of the maturing of these exposures</w:t>
            </w:r>
          </w:p>
        </w:tc>
        <w:tc>
          <w:tcPr>
            <w:tcW w:w="483" w:type="pct"/>
            <w:tcBorders>
              <w:top w:val="single" w:sz="4" w:space="0" w:color="auto"/>
              <w:left w:val="single" w:sz="4" w:space="0" w:color="auto"/>
              <w:bottom w:val="single" w:sz="4" w:space="0" w:color="auto"/>
              <w:right w:val="single" w:sz="4" w:space="0" w:color="auto"/>
            </w:tcBorders>
          </w:tcPr>
          <w:p w14:paraId="614A2DD3"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267D8AE7"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11FB752" w14:textId="72A5E545"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color w:val="7F7F7F"/>
                <w:sz w:val="22"/>
                <w:szCs w:val="22"/>
                <w:lang w:val="en-GB" w:eastAsia="fr-FR"/>
              </w:rPr>
              <w:t>11</w:t>
            </w:r>
          </w:p>
        </w:tc>
        <w:tc>
          <w:tcPr>
            <w:tcW w:w="506" w:type="pct"/>
            <w:gridSpan w:val="2"/>
            <w:tcBorders>
              <w:top w:val="single" w:sz="4" w:space="0" w:color="auto"/>
              <w:left w:val="single" w:sz="4" w:space="0" w:color="auto"/>
              <w:bottom w:val="single" w:sz="4" w:space="0" w:color="auto"/>
              <w:right w:val="single" w:sz="4" w:space="0" w:color="auto"/>
            </w:tcBorders>
          </w:tcPr>
          <w:p w14:paraId="48C89809" w14:textId="4BFE1841" w:rsidR="006F5ECC" w:rsidRPr="00047EE7" w:rsidRDefault="006F5ECC" w:rsidP="00020B14">
            <w:pPr>
              <w:tabs>
                <w:tab w:val="left" w:pos="0"/>
                <w:tab w:val="left" w:pos="4536"/>
              </w:tabs>
              <w:ind w:left="-96"/>
              <w:rPr>
                <w:sz w:val="20"/>
                <w:szCs w:val="20"/>
                <w:lang w:val="en-US"/>
              </w:rPr>
            </w:pPr>
            <w:r>
              <w:rPr>
                <w:rFonts w:ascii="Verdana" w:hAnsi="Verdana"/>
                <w:color w:val="7F7F7F"/>
                <w:sz w:val="22"/>
                <w:szCs w:val="22"/>
                <w:lang w:val="en-GB" w:eastAsia="fr-FR"/>
              </w:rPr>
              <w:t>59</w:t>
            </w:r>
          </w:p>
        </w:tc>
        <w:tc>
          <w:tcPr>
            <w:tcW w:w="1999" w:type="pct"/>
            <w:tcBorders>
              <w:top w:val="single" w:sz="4" w:space="0" w:color="auto"/>
              <w:left w:val="single" w:sz="4" w:space="0" w:color="auto"/>
              <w:bottom w:val="single" w:sz="4" w:space="0" w:color="auto"/>
              <w:right w:val="single" w:sz="4" w:space="0" w:color="auto"/>
            </w:tcBorders>
            <w:vAlign w:val="bottom"/>
          </w:tcPr>
          <w:p w14:paraId="7562C0EE" w14:textId="1AB01498" w:rsidR="006F5ECC" w:rsidRPr="00BA2FBD" w:rsidRDefault="006F5ECC" w:rsidP="00020B14">
            <w:pPr>
              <w:tabs>
                <w:tab w:val="left" w:pos="0"/>
                <w:tab w:val="left" w:pos="4536"/>
              </w:tabs>
              <w:rPr>
                <w:rFonts w:ascii="Verdana" w:hAnsi="Verdana"/>
                <w:color w:val="7F7F7F"/>
                <w:sz w:val="22"/>
                <w:szCs w:val="22"/>
                <w:lang w:val="en-GB" w:eastAsia="fr-FR"/>
              </w:rPr>
            </w:pPr>
            <w:r w:rsidRPr="00BA2FBD">
              <w:rPr>
                <w:rFonts w:ascii="Verdana" w:hAnsi="Verdana"/>
                <w:color w:val="7F7F7F"/>
                <w:sz w:val="22"/>
                <w:szCs w:val="22"/>
                <w:lang w:val="en-GB" w:eastAsia="fr-FR"/>
              </w:rPr>
              <w:t>Capital is not an appropriate safeguard for systemic risk.</w:t>
            </w:r>
            <w:r>
              <w:rPr>
                <w:rFonts w:ascii="Verdana" w:hAnsi="Verdana"/>
                <w:color w:val="7F7F7F"/>
                <w:sz w:val="22"/>
                <w:szCs w:val="22"/>
                <w:lang w:val="en-GB" w:eastAsia="fr-FR"/>
              </w:rPr>
              <w:t xml:space="preserve"> </w:t>
            </w:r>
            <w:r w:rsidRPr="00BA2FBD">
              <w:rPr>
                <w:rFonts w:ascii="Verdana" w:hAnsi="Verdana"/>
                <w:color w:val="7F7F7F"/>
                <w:sz w:val="22"/>
                <w:szCs w:val="22"/>
                <w:lang w:val="en-GB" w:eastAsia="fr-FR"/>
              </w:rPr>
              <w:t>The surcharge would increase the cost for insurers. Depending how these costs are absorbed by the insurers, the policyholders would be negatively affected. The process of setting a surcharge would be very intense</w:t>
            </w:r>
            <w:r>
              <w:rPr>
                <w:rFonts w:ascii="Verdana" w:hAnsi="Verdana"/>
                <w:color w:val="7F7F7F"/>
                <w:sz w:val="22"/>
                <w:szCs w:val="22"/>
                <w:lang w:val="en-GB" w:eastAsia="fr-FR"/>
              </w:rPr>
              <w:t>;</w:t>
            </w:r>
            <w:r w:rsidRPr="00BA2FBD">
              <w:rPr>
                <w:rFonts w:ascii="Verdana" w:hAnsi="Verdana"/>
                <w:color w:val="7F7F7F"/>
                <w:sz w:val="22"/>
                <w:szCs w:val="22"/>
                <w:lang w:val="en-GB" w:eastAsia="fr-FR"/>
              </w:rPr>
              <w:t xml:space="preserve"> </w:t>
            </w:r>
            <w:r w:rsidRPr="00BA2FBD">
              <w:rPr>
                <w:rFonts w:ascii="Verdana" w:hAnsi="Verdana"/>
                <w:color w:val="7F7F7F"/>
                <w:sz w:val="22"/>
                <w:szCs w:val="22"/>
                <w:lang w:val="en-GB" w:eastAsia="fr-FR"/>
              </w:rPr>
              <w:lastRenderedPageBreak/>
              <w:t xml:space="preserve">Supervisors and insurers would be engaged in many (legal) discussions, because the setting of a surcharge would provide an indication of emerging risks, whether justified or not. This would have a profound effect on the market in general, including investors having interests in insurers. It would also have an impact on the ability of insurers to access the capital market and issuing subordinated debt instruments. </w:t>
            </w:r>
          </w:p>
          <w:p w14:paraId="6890590E" w14:textId="7051BB51" w:rsidR="006F5ECC" w:rsidRPr="00BA2FBD" w:rsidRDefault="006F5ECC" w:rsidP="00020B14">
            <w:pPr>
              <w:tabs>
                <w:tab w:val="left" w:pos="0"/>
                <w:tab w:val="left" w:pos="4536"/>
              </w:tabs>
              <w:rPr>
                <w:rFonts w:ascii="Verdana" w:hAnsi="Verdana"/>
                <w:color w:val="7F7F7F"/>
                <w:sz w:val="22"/>
                <w:szCs w:val="22"/>
                <w:lang w:val="en-GB" w:eastAsia="fr-FR"/>
              </w:rPr>
            </w:pPr>
            <w:r w:rsidRPr="00BA2FBD">
              <w:rPr>
                <w:rFonts w:ascii="Verdana" w:hAnsi="Verdana"/>
                <w:color w:val="7F7F7F"/>
                <w:sz w:val="22"/>
                <w:szCs w:val="22"/>
                <w:lang w:val="en-GB" w:eastAsia="fr-FR"/>
              </w:rPr>
              <w:t xml:space="preserve">Unlike the banking sector, the additional safeguards would not lead to significant effects in lowering funding costs as insurers typically have very limited subordinated loans and/or other debt instruments. Higher capital requirements may even decrease financial stability, as the notional solvency ratios of all companies decrease and the threshold for a crisis with spill over effects is triggered earlier </w:t>
            </w:r>
          </w:p>
          <w:p w14:paraId="527D638A" w14:textId="77777777" w:rsidR="006F5ECC" w:rsidRDefault="006F5ECC" w:rsidP="00020B14">
            <w:pPr>
              <w:tabs>
                <w:tab w:val="left" w:pos="0"/>
                <w:tab w:val="left" w:pos="4536"/>
              </w:tabs>
              <w:rPr>
                <w:rFonts w:ascii="Verdana" w:hAnsi="Verdana"/>
                <w:color w:val="7F7F7F"/>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2F608FE8"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AE081A" w14:paraId="01AB851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3A845487" w14:textId="1F841EF5" w:rsidR="006F5ECC" w:rsidRPr="00AE081A" w:rsidRDefault="006F5ECC" w:rsidP="00020B14">
            <w:pPr>
              <w:tabs>
                <w:tab w:val="left" w:pos="0"/>
                <w:tab w:val="left" w:pos="4536"/>
              </w:tabs>
              <w:rPr>
                <w:color w:val="7F7F7F" w:themeColor="text1" w:themeTint="80"/>
                <w:sz w:val="22"/>
                <w:szCs w:val="22"/>
                <w:lang w:val="en-US"/>
              </w:rPr>
            </w:pPr>
            <w:r w:rsidRPr="00AE081A">
              <w:rPr>
                <w:rFonts w:ascii="Verdana" w:eastAsia="Verdana" w:hAnsi="Verdana" w:cs="Verdana"/>
                <w:b/>
                <w:bCs/>
                <w:color w:val="7F7F7F" w:themeColor="text1" w:themeTint="80"/>
                <w:sz w:val="22"/>
                <w:szCs w:val="22"/>
                <w:lang w:val="en-US"/>
              </w:rPr>
              <w:t>11.4.2. Concentration thresholds</w:t>
            </w:r>
          </w:p>
        </w:tc>
      </w:tr>
      <w:tr w:rsidR="00FC5744" w:rsidRPr="001360A5" w14:paraId="1B700151"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94F5EB8" w14:textId="0252D639"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11</w:t>
            </w:r>
          </w:p>
        </w:tc>
        <w:tc>
          <w:tcPr>
            <w:tcW w:w="506" w:type="pct"/>
            <w:gridSpan w:val="2"/>
            <w:tcBorders>
              <w:top w:val="single" w:sz="4" w:space="0" w:color="auto"/>
              <w:left w:val="single" w:sz="4" w:space="0" w:color="auto"/>
              <w:bottom w:val="single" w:sz="4" w:space="0" w:color="auto"/>
              <w:right w:val="single" w:sz="4" w:space="0" w:color="auto"/>
            </w:tcBorders>
          </w:tcPr>
          <w:p w14:paraId="74F1C21C" w14:textId="6DF5591E" w:rsidR="006F5ECC" w:rsidRPr="00D24216" w:rsidRDefault="006F5ECC"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79-89</w:t>
            </w:r>
          </w:p>
        </w:tc>
        <w:tc>
          <w:tcPr>
            <w:tcW w:w="1999" w:type="pct"/>
            <w:tcBorders>
              <w:top w:val="single" w:sz="4" w:space="0" w:color="auto"/>
              <w:left w:val="single" w:sz="4" w:space="0" w:color="auto"/>
              <w:bottom w:val="single" w:sz="4" w:space="0" w:color="auto"/>
              <w:right w:val="single" w:sz="4" w:space="0" w:color="auto"/>
            </w:tcBorders>
            <w:vAlign w:val="bottom"/>
          </w:tcPr>
          <w:p w14:paraId="2FB83113" w14:textId="77777777" w:rsidR="006F5ECC" w:rsidRPr="008B44EF" w:rsidRDefault="006F5ECC" w:rsidP="00020B14">
            <w:pPr>
              <w:tabs>
                <w:tab w:val="left" w:pos="0"/>
                <w:tab w:val="left" w:pos="4536"/>
              </w:tabs>
              <w:rPr>
                <w:rFonts w:ascii="Verdana" w:hAnsi="Verdana"/>
                <w:color w:val="7F7F7F"/>
                <w:sz w:val="22"/>
                <w:szCs w:val="22"/>
                <w:lang w:val="en-GB" w:eastAsia="fr-FR"/>
              </w:rPr>
            </w:pPr>
            <w:r w:rsidRPr="00BA2FBD">
              <w:rPr>
                <w:rFonts w:ascii="Verdana" w:hAnsi="Verdana"/>
                <w:color w:val="7F7F7F"/>
                <w:sz w:val="22"/>
                <w:szCs w:val="22"/>
                <w:lang w:val="en-GB" w:eastAsia="fr-FR"/>
              </w:rPr>
              <w:t xml:space="preserve">This tool should not be considered further as it goes against the principles of the Solvency II Directive where no localization requirements exist; </w:t>
            </w:r>
            <w:r w:rsidRPr="008B44EF">
              <w:rPr>
                <w:rFonts w:ascii="Verdana" w:hAnsi="Verdana"/>
                <w:color w:val="7F7F7F"/>
                <w:sz w:val="22"/>
                <w:szCs w:val="22"/>
                <w:lang w:val="en-GB" w:eastAsia="fr-FR"/>
              </w:rPr>
              <w:t xml:space="preserve">If thresholds were to be considered, this would be applicable to any additional exposures. </w:t>
            </w:r>
          </w:p>
          <w:p w14:paraId="483F65BE" w14:textId="3DEEAE7D" w:rsidR="006F5ECC" w:rsidRPr="00BA2FBD" w:rsidRDefault="006F5ECC" w:rsidP="00020B14">
            <w:pPr>
              <w:tabs>
                <w:tab w:val="left" w:pos="0"/>
                <w:tab w:val="left" w:pos="4536"/>
              </w:tabs>
              <w:rPr>
                <w:rFonts w:ascii="Verdana" w:hAnsi="Verdana"/>
                <w:color w:val="7F7F7F"/>
                <w:sz w:val="22"/>
                <w:szCs w:val="22"/>
                <w:lang w:val="en-GB" w:eastAsia="fr-FR"/>
              </w:rPr>
            </w:pPr>
          </w:p>
          <w:p w14:paraId="432EFA92" w14:textId="5D2B7262" w:rsidR="006F5ECC" w:rsidRPr="00CE72D2" w:rsidRDefault="006F5ECC" w:rsidP="00020B14">
            <w:pPr>
              <w:tabs>
                <w:tab w:val="left" w:pos="0"/>
                <w:tab w:val="left" w:pos="4536"/>
              </w:tabs>
              <w:rPr>
                <w:rFonts w:ascii="Verdana" w:hAnsi="Verdana"/>
                <w:b/>
                <w:bCs/>
                <w:color w:val="7F7F7F"/>
                <w:sz w:val="22"/>
                <w:szCs w:val="22"/>
                <w:lang w:val="en-GB" w:eastAsia="fr-FR"/>
              </w:rPr>
            </w:pPr>
            <w:r w:rsidRPr="00BA2FBD">
              <w:rPr>
                <w:rFonts w:ascii="Verdana" w:hAnsi="Verdana"/>
                <w:color w:val="7F7F7F"/>
                <w:sz w:val="22"/>
                <w:szCs w:val="22"/>
                <w:lang w:val="en-GB" w:eastAsia="fr-FR"/>
              </w:rPr>
              <w:t xml:space="preserve">Solvency II already includes market concentration risk as part of the SCR calculations. Thus, if there is concentration on a single name exposure, this </w:t>
            </w:r>
            <w:r>
              <w:rPr>
                <w:rFonts w:ascii="Verdana" w:hAnsi="Verdana"/>
                <w:color w:val="7F7F7F"/>
                <w:sz w:val="22"/>
                <w:szCs w:val="22"/>
                <w:lang w:val="en-GB" w:eastAsia="fr-FR"/>
              </w:rPr>
              <w:t>will</w:t>
            </w:r>
            <w:r w:rsidRPr="00BA2FBD">
              <w:rPr>
                <w:rFonts w:ascii="Verdana" w:hAnsi="Verdana"/>
                <w:color w:val="7F7F7F"/>
                <w:sz w:val="22"/>
                <w:szCs w:val="22"/>
                <w:lang w:val="en-GB" w:eastAsia="fr-FR"/>
              </w:rPr>
              <w:t xml:space="preserve"> result in higher capital requirements. Additionally, insurer</w:t>
            </w:r>
            <w:r>
              <w:rPr>
                <w:rFonts w:ascii="Verdana" w:hAnsi="Verdana"/>
                <w:color w:val="7F7F7F"/>
                <w:sz w:val="22"/>
                <w:szCs w:val="22"/>
                <w:lang w:val="en-GB" w:eastAsia="fr-FR"/>
              </w:rPr>
              <w:t>s</w:t>
            </w:r>
            <w:r w:rsidRPr="00BA2FBD">
              <w:rPr>
                <w:rFonts w:ascii="Verdana" w:hAnsi="Verdana"/>
                <w:color w:val="7F7F7F"/>
                <w:sz w:val="22"/>
                <w:szCs w:val="22"/>
                <w:lang w:val="en-GB" w:eastAsia="fr-FR"/>
              </w:rPr>
              <w:t xml:space="preserve"> </w:t>
            </w:r>
            <w:r>
              <w:rPr>
                <w:rFonts w:ascii="Verdana" w:hAnsi="Verdana"/>
                <w:color w:val="7F7F7F"/>
                <w:sz w:val="22"/>
                <w:szCs w:val="22"/>
                <w:lang w:val="en-GB" w:eastAsia="fr-FR"/>
              </w:rPr>
              <w:t>are</w:t>
            </w:r>
            <w:r w:rsidRPr="00BA2FBD">
              <w:rPr>
                <w:rFonts w:ascii="Verdana" w:hAnsi="Verdana"/>
                <w:color w:val="7F7F7F"/>
                <w:sz w:val="22"/>
                <w:szCs w:val="22"/>
                <w:lang w:val="en-GB" w:eastAsia="fr-FR"/>
              </w:rPr>
              <w:t xml:space="preserve"> required to diversify </w:t>
            </w:r>
            <w:r>
              <w:rPr>
                <w:rFonts w:ascii="Verdana" w:hAnsi="Verdana"/>
                <w:color w:val="7F7F7F"/>
                <w:sz w:val="22"/>
                <w:szCs w:val="22"/>
                <w:lang w:val="en-GB" w:eastAsia="fr-FR"/>
              </w:rPr>
              <w:t>their</w:t>
            </w:r>
            <w:r w:rsidRPr="00BA2FBD">
              <w:rPr>
                <w:rFonts w:ascii="Verdana" w:hAnsi="Verdana"/>
                <w:color w:val="7F7F7F"/>
                <w:sz w:val="22"/>
                <w:szCs w:val="22"/>
                <w:lang w:val="en-GB" w:eastAsia="fr-FR"/>
              </w:rPr>
              <w:t xml:space="preserve"> exposures according to the prudent person principle and this is being assessed by the supervisory authorities as part of the supervisory review process. </w:t>
            </w:r>
            <w:r w:rsidRPr="00CE72D2">
              <w:rPr>
                <w:rFonts w:ascii="Verdana" w:hAnsi="Verdana"/>
                <w:b/>
                <w:bCs/>
                <w:color w:val="7F7F7F"/>
                <w:sz w:val="22"/>
                <w:szCs w:val="22"/>
                <w:lang w:val="en-GB" w:eastAsia="fr-FR"/>
              </w:rPr>
              <w:t xml:space="preserve">There is no need for additional thresholds. </w:t>
            </w:r>
          </w:p>
          <w:p w14:paraId="7C4F96FD" w14:textId="77777777" w:rsidR="006F5ECC" w:rsidRPr="00BA2FBD" w:rsidRDefault="006F5ECC" w:rsidP="00020B14">
            <w:pPr>
              <w:tabs>
                <w:tab w:val="left" w:pos="0"/>
                <w:tab w:val="left" w:pos="4536"/>
              </w:tabs>
              <w:rPr>
                <w:rFonts w:ascii="Verdana" w:hAnsi="Verdana"/>
                <w:color w:val="7F7F7F"/>
                <w:sz w:val="22"/>
                <w:szCs w:val="22"/>
                <w:lang w:val="en-GB" w:eastAsia="fr-FR"/>
              </w:rPr>
            </w:pPr>
            <w:r w:rsidRPr="00BA2FBD">
              <w:rPr>
                <w:rFonts w:ascii="Verdana" w:hAnsi="Verdana"/>
                <w:color w:val="7F7F7F"/>
                <w:sz w:val="22"/>
                <w:szCs w:val="22"/>
                <w:lang w:val="en-GB" w:eastAsia="fr-FR"/>
              </w:rPr>
              <w:t xml:space="preserve"> </w:t>
            </w:r>
          </w:p>
          <w:p w14:paraId="146073F4" w14:textId="77777777" w:rsidR="006F5ECC" w:rsidRPr="00BA2FBD" w:rsidRDefault="006F5ECC" w:rsidP="00020B14">
            <w:pPr>
              <w:tabs>
                <w:tab w:val="left" w:pos="0"/>
                <w:tab w:val="left" w:pos="4536"/>
              </w:tabs>
              <w:rPr>
                <w:rFonts w:ascii="Verdana" w:hAnsi="Verdana"/>
                <w:color w:val="7F7F7F"/>
                <w:sz w:val="22"/>
                <w:szCs w:val="22"/>
                <w:lang w:val="en-GB" w:eastAsia="fr-FR"/>
              </w:rPr>
            </w:pPr>
            <w:r w:rsidRPr="00A76E01">
              <w:rPr>
                <w:rFonts w:ascii="Verdana" w:hAnsi="Verdana"/>
                <w:b/>
                <w:bCs/>
                <w:color w:val="7F7F7F"/>
                <w:sz w:val="22"/>
                <w:szCs w:val="22"/>
                <w:lang w:val="en-GB" w:eastAsia="fr-FR"/>
              </w:rPr>
              <w:lastRenderedPageBreak/>
              <w:t>Thresholds on derivatives</w:t>
            </w:r>
            <w:r w:rsidRPr="00BA2FBD">
              <w:rPr>
                <w:rFonts w:ascii="Verdana" w:hAnsi="Verdana"/>
                <w:color w:val="7F7F7F"/>
                <w:sz w:val="22"/>
                <w:szCs w:val="22"/>
                <w:lang w:val="en-GB" w:eastAsia="fr-FR"/>
              </w:rPr>
              <w:t xml:space="preserve"> will impede the insurers’ availability to mitigate market risk. Moreover, the requirement for central clearing makes this assumed threshold unnecessary. </w:t>
            </w:r>
          </w:p>
          <w:p w14:paraId="534D1DD9" w14:textId="77777777" w:rsidR="006F5ECC" w:rsidRPr="00BA2FBD" w:rsidRDefault="006F5ECC" w:rsidP="00020B14">
            <w:pPr>
              <w:tabs>
                <w:tab w:val="left" w:pos="0"/>
                <w:tab w:val="left" w:pos="4536"/>
              </w:tabs>
              <w:rPr>
                <w:rFonts w:ascii="Verdana" w:hAnsi="Verdana"/>
                <w:color w:val="7F7F7F"/>
                <w:sz w:val="22"/>
                <w:szCs w:val="22"/>
                <w:lang w:val="en-GB" w:eastAsia="fr-FR"/>
              </w:rPr>
            </w:pPr>
            <w:r w:rsidRPr="00BA2FBD">
              <w:rPr>
                <w:rFonts w:ascii="Verdana" w:hAnsi="Verdana"/>
                <w:color w:val="7F7F7F"/>
                <w:sz w:val="22"/>
                <w:szCs w:val="22"/>
                <w:lang w:val="en-GB" w:eastAsia="fr-FR"/>
              </w:rPr>
              <w:t xml:space="preserve"> </w:t>
            </w:r>
          </w:p>
          <w:p w14:paraId="4D010DFE" w14:textId="77777777" w:rsidR="006F5ECC" w:rsidRDefault="006F5ECC" w:rsidP="00020B14">
            <w:pPr>
              <w:tabs>
                <w:tab w:val="left" w:pos="0"/>
                <w:tab w:val="left" w:pos="4536"/>
              </w:tabs>
              <w:rPr>
                <w:rFonts w:ascii="Verdana" w:hAnsi="Verdana"/>
                <w:color w:val="7F7F7F"/>
                <w:sz w:val="22"/>
                <w:szCs w:val="22"/>
                <w:lang w:val="en-GB" w:eastAsia="fr-FR"/>
              </w:rPr>
            </w:pPr>
            <w:r w:rsidRPr="00BA2FBD">
              <w:rPr>
                <w:rFonts w:ascii="Verdana" w:hAnsi="Verdana"/>
                <w:color w:val="7F7F7F"/>
                <w:sz w:val="22"/>
                <w:szCs w:val="22"/>
                <w:lang w:val="en-GB" w:eastAsia="fr-FR"/>
              </w:rPr>
              <w:t xml:space="preserve">Defining </w:t>
            </w:r>
            <w:r w:rsidRPr="00A76E01">
              <w:rPr>
                <w:rFonts w:ascii="Verdana" w:hAnsi="Verdana"/>
                <w:b/>
                <w:bCs/>
                <w:color w:val="7F7F7F"/>
                <w:sz w:val="22"/>
                <w:szCs w:val="22"/>
                <w:lang w:val="en-GB" w:eastAsia="fr-FR"/>
              </w:rPr>
              <w:t>soft or hard thresholds</w:t>
            </w:r>
            <w:r w:rsidRPr="00BA2FBD">
              <w:rPr>
                <w:rFonts w:ascii="Verdana" w:hAnsi="Verdana"/>
                <w:color w:val="7F7F7F"/>
                <w:sz w:val="22"/>
                <w:szCs w:val="22"/>
                <w:lang w:val="en-GB" w:eastAsia="fr-FR"/>
              </w:rPr>
              <w:t xml:space="preserve"> for government bond and related exposures would impede the ALM process of many insurers. Historically and due to legal reasons, insurers have invested in government exposures of the country were the insurance obligations are located. Governmental exposures are an ideal investment as they are normally very liquid and have a very low risk of default, therefore it protects the interest of policyholders.</w:t>
            </w:r>
          </w:p>
          <w:p w14:paraId="79B0A361" w14:textId="77C14856" w:rsidR="006F5ECC" w:rsidRPr="00BA2FBD" w:rsidRDefault="006F5ECC" w:rsidP="00020B14">
            <w:pPr>
              <w:tabs>
                <w:tab w:val="left" w:pos="0"/>
                <w:tab w:val="left" w:pos="4536"/>
              </w:tabs>
              <w:rPr>
                <w:rFonts w:ascii="Verdana" w:hAnsi="Verdana"/>
                <w:color w:val="7F7F7F"/>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0878C025"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D631AE" w14:paraId="2828ECA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612701A" w14:textId="0405876F"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11</w:t>
            </w:r>
          </w:p>
        </w:tc>
        <w:tc>
          <w:tcPr>
            <w:tcW w:w="506" w:type="pct"/>
            <w:gridSpan w:val="2"/>
            <w:tcBorders>
              <w:top w:val="single" w:sz="4" w:space="0" w:color="auto"/>
              <w:left w:val="single" w:sz="4" w:space="0" w:color="auto"/>
              <w:bottom w:val="single" w:sz="4" w:space="0" w:color="auto"/>
              <w:right w:val="single" w:sz="4" w:space="0" w:color="auto"/>
            </w:tcBorders>
          </w:tcPr>
          <w:p w14:paraId="5C634A91" w14:textId="6E3BF232" w:rsidR="006F5ECC" w:rsidRPr="00A76E01" w:rsidRDefault="006F5ECC" w:rsidP="00020B14">
            <w:pPr>
              <w:tabs>
                <w:tab w:val="left" w:pos="0"/>
                <w:tab w:val="left" w:pos="4536"/>
              </w:tabs>
              <w:ind w:left="-96"/>
              <w:rPr>
                <w:rFonts w:ascii="Verdana" w:hAnsi="Verdana"/>
                <w:b/>
                <w:bCs/>
                <w:color w:val="7F7F7F" w:themeColor="text1" w:themeTint="80"/>
                <w:sz w:val="22"/>
                <w:szCs w:val="22"/>
                <w:lang w:val="en-US"/>
              </w:rPr>
            </w:pPr>
            <w:r>
              <w:rPr>
                <w:rFonts w:ascii="Verdana" w:hAnsi="Verdana"/>
                <w:b/>
                <w:bCs/>
                <w:color w:val="7F7F7F" w:themeColor="text1" w:themeTint="80"/>
                <w:sz w:val="22"/>
                <w:szCs w:val="22"/>
                <w:lang w:val="en-US"/>
              </w:rPr>
              <w:t>Question to stakeholders</w:t>
            </w:r>
          </w:p>
        </w:tc>
        <w:tc>
          <w:tcPr>
            <w:tcW w:w="1999" w:type="pct"/>
            <w:tcBorders>
              <w:top w:val="single" w:sz="4" w:space="0" w:color="auto"/>
              <w:left w:val="single" w:sz="4" w:space="0" w:color="auto"/>
              <w:bottom w:val="single" w:sz="4" w:space="0" w:color="auto"/>
              <w:right w:val="single" w:sz="4" w:space="0" w:color="auto"/>
            </w:tcBorders>
            <w:vAlign w:val="bottom"/>
          </w:tcPr>
          <w:p w14:paraId="16E2A49D" w14:textId="77777777" w:rsidR="006F5ECC" w:rsidRPr="00CE72D2" w:rsidRDefault="006F5ECC" w:rsidP="00020B14">
            <w:pPr>
              <w:tabs>
                <w:tab w:val="left" w:pos="0"/>
                <w:tab w:val="left" w:pos="4536"/>
              </w:tabs>
              <w:spacing w:line="238" w:lineRule="auto"/>
              <w:ind w:hanging="565"/>
              <w:rPr>
                <w:rFonts w:ascii="Verdana" w:hAnsi="Verdana"/>
                <w:b/>
                <w:bCs/>
                <w:color w:val="7F7F7F"/>
                <w:sz w:val="22"/>
                <w:szCs w:val="22"/>
                <w:lang w:val="en-GB" w:eastAsia="fr-FR"/>
              </w:rPr>
            </w:pPr>
            <w:r w:rsidRPr="00CE72D2">
              <w:rPr>
                <w:rFonts w:ascii="Verdana" w:hAnsi="Verdana"/>
                <w:b/>
                <w:bCs/>
                <w:color w:val="7F7F7F"/>
                <w:sz w:val="22"/>
                <w:szCs w:val="22"/>
                <w:lang w:val="en-GB" w:eastAsia="fr-FR"/>
              </w:rPr>
              <w:t>Q11.2</w:t>
            </w:r>
            <w:r w:rsidRPr="00CE72D2">
              <w:rPr>
                <w:rFonts w:ascii="Verdana" w:hAnsi="Verdana"/>
                <w:color w:val="7F7F7F"/>
                <w:sz w:val="22"/>
                <w:szCs w:val="22"/>
                <w:lang w:val="en-GB" w:eastAsia="fr-FR"/>
              </w:rPr>
              <w:t xml:space="preserve">: </w:t>
            </w:r>
            <w:r w:rsidRPr="00CE72D2">
              <w:rPr>
                <w:rFonts w:ascii="Verdana" w:hAnsi="Verdana"/>
                <w:b/>
                <w:bCs/>
                <w:color w:val="7F7F7F"/>
                <w:sz w:val="22"/>
                <w:szCs w:val="22"/>
                <w:lang w:val="en-GB" w:eastAsia="fr-FR"/>
              </w:rPr>
              <w:t>What factors should be taken into account by NSAs when setting soft thresholds at market-wide level?</w:t>
            </w:r>
          </w:p>
          <w:p w14:paraId="6F04537F" w14:textId="57485DCE" w:rsidR="006F5ECC" w:rsidRDefault="006F5ECC" w:rsidP="00020B14">
            <w:pPr>
              <w:tabs>
                <w:tab w:val="left" w:pos="0"/>
                <w:tab w:val="left" w:pos="4536"/>
              </w:tabs>
              <w:rPr>
                <w:rFonts w:ascii="Verdana" w:hAnsi="Verdana"/>
                <w:color w:val="7F7F7F"/>
                <w:sz w:val="22"/>
                <w:szCs w:val="22"/>
                <w:lang w:val="en-GB" w:eastAsia="fr-FR"/>
              </w:rPr>
            </w:pPr>
            <w:r w:rsidRPr="00C04A7D">
              <w:rPr>
                <w:rFonts w:ascii="Verdana" w:hAnsi="Verdana"/>
                <w:color w:val="7F7F7F"/>
                <w:sz w:val="22"/>
                <w:szCs w:val="22"/>
                <w:lang w:val="en-GB" w:eastAsia="fr-FR"/>
              </w:rPr>
              <w:t xml:space="preserve">EIOPA should refrain from defining soft thresholds. This tool impedes on one of the principles of the Solvency II Directive which indicates in its </w:t>
            </w:r>
            <w:r>
              <w:rPr>
                <w:rFonts w:ascii="Verdana" w:hAnsi="Verdana"/>
                <w:color w:val="7F7F7F"/>
                <w:sz w:val="22"/>
                <w:szCs w:val="22"/>
                <w:lang w:val="en-GB" w:eastAsia="fr-FR"/>
              </w:rPr>
              <w:t>R</w:t>
            </w:r>
            <w:r w:rsidRPr="00C04A7D">
              <w:rPr>
                <w:rFonts w:ascii="Verdana" w:hAnsi="Verdana"/>
                <w:color w:val="7F7F7F"/>
                <w:sz w:val="22"/>
                <w:szCs w:val="22"/>
                <w:lang w:val="en-GB" w:eastAsia="fr-FR"/>
              </w:rPr>
              <w:t>ecital 72 that “</w:t>
            </w:r>
            <w:r w:rsidRPr="00CE72D2">
              <w:rPr>
                <w:rFonts w:ascii="Verdana" w:hAnsi="Verdana"/>
                <w:i/>
                <w:iCs/>
                <w:color w:val="7F7F7F"/>
                <w:sz w:val="22"/>
                <w:szCs w:val="22"/>
                <w:lang w:val="en-GB" w:eastAsia="fr-FR"/>
              </w:rPr>
              <w:t>Member States should not require insurance or reinsurance undertakings to invest their assets in particular categories of assets, as such a requirement could be incompatible with the liberalisation of capital movements provided for in Article 56 of the Treaty</w:t>
            </w:r>
            <w:r w:rsidRPr="00C04A7D">
              <w:rPr>
                <w:rFonts w:ascii="Verdana" w:hAnsi="Verdana"/>
                <w:color w:val="7F7F7F"/>
                <w:sz w:val="22"/>
                <w:szCs w:val="22"/>
                <w:lang w:val="en-GB" w:eastAsia="fr-FR"/>
              </w:rPr>
              <w:t>”. Thresholds would impede on this principl</w:t>
            </w:r>
            <w:r>
              <w:rPr>
                <w:rFonts w:ascii="Verdana" w:hAnsi="Verdana"/>
                <w:color w:val="7F7F7F"/>
                <w:sz w:val="22"/>
                <w:szCs w:val="22"/>
                <w:lang w:val="en-GB" w:eastAsia="fr-FR"/>
              </w:rPr>
              <w:t>e.</w:t>
            </w:r>
          </w:p>
          <w:p w14:paraId="6830948F" w14:textId="63E1F86D" w:rsidR="006F5ECC" w:rsidRPr="00BA2FBD" w:rsidRDefault="006F5ECC" w:rsidP="00020B14">
            <w:pPr>
              <w:tabs>
                <w:tab w:val="left" w:pos="0"/>
                <w:tab w:val="left" w:pos="4536"/>
              </w:tabs>
              <w:rPr>
                <w:rFonts w:ascii="Verdana" w:hAnsi="Verdana"/>
                <w:color w:val="7F7F7F"/>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2AC023C4"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1360A5" w14:paraId="11680D2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0F99D7AA" w14:textId="77777777" w:rsidR="006F5ECC" w:rsidRPr="008368F9" w:rsidRDefault="006F5ECC" w:rsidP="00020B14">
            <w:pPr>
              <w:tabs>
                <w:tab w:val="left" w:pos="0"/>
                <w:tab w:val="left" w:pos="4536"/>
              </w:tabs>
              <w:spacing w:line="274" w:lineRule="auto"/>
              <w:ind w:hanging="851"/>
              <w:rPr>
                <w:color w:val="7F7F7F" w:themeColor="text1" w:themeTint="80"/>
                <w:sz w:val="22"/>
                <w:szCs w:val="22"/>
                <w:lang w:val="en-US"/>
              </w:rPr>
            </w:pPr>
            <w:r w:rsidRPr="008368F9">
              <w:rPr>
                <w:rFonts w:ascii="Verdana" w:eastAsia="Verdana" w:hAnsi="Verdana" w:cs="Verdana"/>
                <w:b/>
                <w:bCs/>
                <w:color w:val="7F7F7F" w:themeColor="text1" w:themeTint="80"/>
                <w:sz w:val="22"/>
                <w:szCs w:val="22"/>
                <w:lang w:val="en-US"/>
              </w:rPr>
              <w:t>11.4.3. Expand the use of the ORSA to include the macroprudential perspective</w:t>
            </w:r>
          </w:p>
          <w:p w14:paraId="69A24619" w14:textId="77777777" w:rsidR="006F5ECC" w:rsidRPr="008368F9" w:rsidRDefault="006F5ECC" w:rsidP="00020B14">
            <w:pPr>
              <w:tabs>
                <w:tab w:val="left" w:pos="0"/>
                <w:tab w:val="left" w:pos="4536"/>
              </w:tabs>
              <w:rPr>
                <w:color w:val="7F7F7F" w:themeColor="text1" w:themeTint="80"/>
                <w:sz w:val="22"/>
                <w:szCs w:val="22"/>
                <w:lang w:val="en-US" w:eastAsia="fr-FR"/>
              </w:rPr>
            </w:pPr>
          </w:p>
        </w:tc>
      </w:tr>
      <w:tr w:rsidR="00FC5744" w:rsidRPr="001360A5" w14:paraId="74452E6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EC1E591" w14:textId="1998F159" w:rsidR="006F5ECC" w:rsidRPr="008368F9"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11</w:t>
            </w:r>
          </w:p>
        </w:tc>
        <w:tc>
          <w:tcPr>
            <w:tcW w:w="506" w:type="pct"/>
            <w:gridSpan w:val="2"/>
            <w:tcBorders>
              <w:top w:val="single" w:sz="4" w:space="0" w:color="auto"/>
              <w:left w:val="single" w:sz="4" w:space="0" w:color="auto"/>
              <w:bottom w:val="single" w:sz="4" w:space="0" w:color="auto"/>
              <w:right w:val="single" w:sz="4" w:space="0" w:color="auto"/>
            </w:tcBorders>
          </w:tcPr>
          <w:p w14:paraId="6F90E223" w14:textId="702E3768" w:rsidR="006F5ECC" w:rsidRPr="008368F9" w:rsidRDefault="006F5ECC" w:rsidP="00020B14">
            <w:pPr>
              <w:tabs>
                <w:tab w:val="left" w:pos="0"/>
                <w:tab w:val="left" w:pos="4536"/>
              </w:tabs>
              <w:ind w:left="-96"/>
              <w:rPr>
                <w:bCs/>
                <w:sz w:val="20"/>
                <w:szCs w:val="20"/>
                <w:lang w:val="en-US"/>
              </w:rPr>
            </w:pPr>
            <w:r>
              <w:rPr>
                <w:rFonts w:ascii="Verdana" w:hAnsi="Verdana"/>
                <w:bCs/>
                <w:color w:val="7F7F7F" w:themeColor="text1" w:themeTint="80"/>
                <w:sz w:val="22"/>
                <w:szCs w:val="22"/>
                <w:lang w:val="en-GB"/>
              </w:rPr>
              <w:t>96-99</w:t>
            </w:r>
          </w:p>
        </w:tc>
        <w:tc>
          <w:tcPr>
            <w:tcW w:w="1999" w:type="pct"/>
            <w:tcBorders>
              <w:top w:val="single" w:sz="4" w:space="0" w:color="auto"/>
              <w:left w:val="single" w:sz="4" w:space="0" w:color="auto"/>
              <w:bottom w:val="single" w:sz="4" w:space="0" w:color="auto"/>
              <w:right w:val="single" w:sz="4" w:space="0" w:color="auto"/>
            </w:tcBorders>
          </w:tcPr>
          <w:p w14:paraId="5C49ABD4" w14:textId="4854D324" w:rsidR="006F5ECC" w:rsidRPr="00A76E01" w:rsidRDefault="006F5ECC" w:rsidP="00020B14">
            <w:pPr>
              <w:tabs>
                <w:tab w:val="left" w:pos="0"/>
                <w:tab w:val="left" w:pos="4536"/>
              </w:tabs>
              <w:rPr>
                <w:rFonts w:ascii="Verdana" w:hAnsi="Verdana"/>
                <w:b/>
                <w:bCs/>
                <w:color w:val="7F7F7F"/>
                <w:sz w:val="22"/>
                <w:szCs w:val="22"/>
                <w:lang w:val="en-GB" w:eastAsia="fr-FR"/>
              </w:rPr>
            </w:pPr>
            <w:r>
              <w:rPr>
                <w:rFonts w:ascii="Verdana" w:hAnsi="Verdana"/>
                <w:b/>
                <w:bCs/>
                <w:color w:val="7F7F7F"/>
                <w:sz w:val="22"/>
                <w:szCs w:val="22"/>
                <w:lang w:val="en-GB" w:eastAsia="fr-FR"/>
              </w:rPr>
              <w:t>EIOPA’s Advice</w:t>
            </w:r>
          </w:p>
          <w:p w14:paraId="7EAFEEE3" w14:textId="102A5445" w:rsidR="006F5ECC" w:rsidRPr="002E43DC" w:rsidRDefault="006F5ECC" w:rsidP="00020B14">
            <w:pPr>
              <w:tabs>
                <w:tab w:val="left" w:pos="0"/>
                <w:tab w:val="left" w:pos="4536"/>
              </w:tabs>
              <w:rPr>
                <w:rFonts w:ascii="Verdana" w:hAnsi="Verdana"/>
                <w:color w:val="7F7F7F"/>
                <w:sz w:val="22"/>
                <w:szCs w:val="22"/>
                <w:lang w:val="en-GB" w:eastAsia="fr-FR"/>
              </w:rPr>
            </w:pPr>
            <w:r w:rsidRPr="002E43DC">
              <w:rPr>
                <w:rFonts w:ascii="Verdana" w:hAnsi="Verdana"/>
                <w:color w:val="7F7F7F"/>
                <w:sz w:val="22"/>
                <w:szCs w:val="22"/>
                <w:lang w:val="en-GB" w:eastAsia="fr-FR"/>
              </w:rPr>
              <w:t xml:space="preserve">EIOPA </w:t>
            </w:r>
            <w:r>
              <w:rPr>
                <w:rFonts w:ascii="Verdana" w:hAnsi="Verdana"/>
                <w:color w:val="7F7F7F"/>
                <w:sz w:val="22"/>
                <w:szCs w:val="22"/>
                <w:lang w:val="en-GB" w:eastAsia="fr-FR"/>
              </w:rPr>
              <w:t xml:space="preserve">proposes to modify Article 45 of the Solvency II Directive to explicitly refer to the need to take the macroprudential perspective into account. However, EIOPA </w:t>
            </w:r>
            <w:r w:rsidRPr="002E43DC">
              <w:rPr>
                <w:rFonts w:ascii="Verdana" w:hAnsi="Verdana"/>
                <w:color w:val="7F7F7F"/>
                <w:sz w:val="22"/>
                <w:szCs w:val="22"/>
                <w:lang w:val="en-GB" w:eastAsia="fr-FR"/>
              </w:rPr>
              <w:t xml:space="preserve">has </w:t>
            </w:r>
            <w:r>
              <w:rPr>
                <w:rFonts w:ascii="Verdana" w:hAnsi="Verdana"/>
                <w:color w:val="7F7F7F"/>
                <w:sz w:val="22"/>
                <w:szCs w:val="22"/>
                <w:lang w:val="en-GB" w:eastAsia="fr-FR"/>
              </w:rPr>
              <w:t xml:space="preserve">already </w:t>
            </w:r>
            <w:r w:rsidRPr="002E43DC">
              <w:rPr>
                <w:rFonts w:ascii="Verdana" w:hAnsi="Verdana"/>
                <w:color w:val="7F7F7F"/>
                <w:sz w:val="22"/>
                <w:szCs w:val="22"/>
                <w:lang w:val="en-GB" w:eastAsia="fr-FR"/>
              </w:rPr>
              <w:t xml:space="preserve">at its disposal the Stress Test exercises. This tool appears </w:t>
            </w:r>
            <w:r>
              <w:rPr>
                <w:rFonts w:ascii="Verdana" w:hAnsi="Verdana"/>
                <w:color w:val="7F7F7F"/>
                <w:sz w:val="22"/>
                <w:szCs w:val="22"/>
                <w:lang w:val="en-GB" w:eastAsia="fr-FR"/>
              </w:rPr>
              <w:t xml:space="preserve">to be </w:t>
            </w:r>
            <w:r w:rsidRPr="002E43DC">
              <w:rPr>
                <w:rFonts w:ascii="Verdana" w:hAnsi="Verdana"/>
                <w:color w:val="7F7F7F"/>
                <w:sz w:val="22"/>
                <w:szCs w:val="22"/>
                <w:lang w:val="en-GB" w:eastAsia="fr-FR"/>
              </w:rPr>
              <w:t xml:space="preserve">more efficient than an “enhanced </w:t>
            </w:r>
            <w:r w:rsidRPr="002E43DC">
              <w:rPr>
                <w:rFonts w:ascii="Verdana" w:hAnsi="Verdana"/>
                <w:color w:val="7F7F7F"/>
                <w:sz w:val="22"/>
                <w:szCs w:val="22"/>
                <w:lang w:val="en-GB" w:eastAsia="fr-FR"/>
              </w:rPr>
              <w:lastRenderedPageBreak/>
              <w:t xml:space="preserve">ORSA” </w:t>
            </w:r>
            <w:r>
              <w:rPr>
                <w:rFonts w:ascii="Verdana" w:hAnsi="Verdana"/>
                <w:color w:val="7F7F7F"/>
                <w:sz w:val="22"/>
                <w:szCs w:val="22"/>
                <w:lang w:val="en-GB" w:eastAsia="fr-FR"/>
              </w:rPr>
              <w:t xml:space="preserve">as they assess the </w:t>
            </w:r>
            <w:r w:rsidRPr="00C53F8A">
              <w:rPr>
                <w:rFonts w:ascii="Verdana" w:hAnsi="Verdana"/>
                <w:color w:val="7F7F7F"/>
                <w:sz w:val="22"/>
                <w:szCs w:val="22"/>
                <w:lang w:val="en-GB" w:eastAsia="fr-FR"/>
              </w:rPr>
              <w:t xml:space="preserve">resilience </w:t>
            </w:r>
            <w:r>
              <w:rPr>
                <w:rFonts w:ascii="Verdana" w:hAnsi="Verdana"/>
                <w:color w:val="7F7F7F"/>
                <w:sz w:val="22"/>
                <w:szCs w:val="22"/>
                <w:lang w:val="en-GB" w:eastAsia="fr-FR"/>
              </w:rPr>
              <w:t xml:space="preserve">of large groups </w:t>
            </w:r>
            <w:r w:rsidRPr="00C53F8A">
              <w:rPr>
                <w:rFonts w:ascii="Verdana" w:hAnsi="Verdana"/>
                <w:color w:val="7F7F7F"/>
                <w:sz w:val="22"/>
                <w:szCs w:val="22"/>
                <w:lang w:val="en-GB" w:eastAsia="fr-FR"/>
              </w:rPr>
              <w:t>to adverse market development</w:t>
            </w:r>
            <w:r>
              <w:rPr>
                <w:rFonts w:ascii="Verdana" w:hAnsi="Verdana"/>
                <w:color w:val="7F7F7F"/>
                <w:sz w:val="22"/>
                <w:szCs w:val="22"/>
                <w:lang w:val="en-GB" w:eastAsia="fr-FR"/>
              </w:rPr>
              <w:t>s</w:t>
            </w:r>
            <w:r w:rsidRPr="002E43DC">
              <w:rPr>
                <w:rFonts w:ascii="Verdana" w:hAnsi="Verdana"/>
                <w:color w:val="7F7F7F"/>
                <w:sz w:val="22"/>
                <w:szCs w:val="22"/>
                <w:lang w:val="en-GB" w:eastAsia="fr-FR"/>
              </w:rPr>
              <w:t>.</w:t>
            </w:r>
            <w:r>
              <w:rPr>
                <w:rFonts w:ascii="Verdana" w:hAnsi="Verdana"/>
                <w:color w:val="7F7F7F"/>
                <w:sz w:val="22"/>
                <w:szCs w:val="22"/>
                <w:lang w:val="en-GB" w:eastAsia="fr-FR"/>
              </w:rPr>
              <w:t xml:space="preserve"> </w:t>
            </w:r>
            <w:r w:rsidRPr="002E43DC">
              <w:rPr>
                <w:rFonts w:ascii="Verdana" w:hAnsi="Verdana"/>
                <w:color w:val="7F7F7F"/>
                <w:sz w:val="22"/>
                <w:szCs w:val="22"/>
                <w:lang w:val="en-GB" w:eastAsia="fr-FR"/>
              </w:rPr>
              <w:t>Nevertheless, we think that an extension of stress tests to the entire market is not relevant. Only companies that have a potential systemic risk activity should be concerned</w:t>
            </w:r>
            <w:r>
              <w:rPr>
                <w:rFonts w:ascii="Verdana" w:hAnsi="Verdana"/>
                <w:color w:val="7F7F7F"/>
                <w:sz w:val="22"/>
                <w:szCs w:val="22"/>
                <w:lang w:val="en-GB" w:eastAsia="fr-FR"/>
              </w:rPr>
              <w:t>.</w:t>
            </w:r>
          </w:p>
          <w:p w14:paraId="3E6C8126" w14:textId="4803D4E5" w:rsidR="006F5ECC" w:rsidRPr="002E43DC" w:rsidRDefault="006F5ECC" w:rsidP="00020B14">
            <w:pPr>
              <w:tabs>
                <w:tab w:val="left" w:pos="0"/>
                <w:tab w:val="left" w:pos="4536"/>
              </w:tabs>
              <w:rPr>
                <w:rFonts w:ascii="Verdana" w:hAnsi="Verdana"/>
                <w:color w:val="7F7F7F"/>
                <w:sz w:val="22"/>
                <w:szCs w:val="22"/>
                <w:lang w:val="en-GB" w:eastAsia="fr-FR"/>
              </w:rPr>
            </w:pPr>
          </w:p>
          <w:p w14:paraId="017E876E" w14:textId="7CDA298B" w:rsidR="006F5ECC" w:rsidRPr="002E43DC" w:rsidRDefault="006F5ECC" w:rsidP="00020B14">
            <w:pPr>
              <w:tabs>
                <w:tab w:val="left" w:pos="0"/>
                <w:tab w:val="left" w:pos="4536"/>
              </w:tabs>
              <w:rPr>
                <w:rFonts w:ascii="Verdana" w:hAnsi="Verdana"/>
                <w:color w:val="7F7F7F"/>
                <w:sz w:val="22"/>
                <w:szCs w:val="22"/>
                <w:lang w:val="en-GB" w:eastAsia="fr-FR"/>
              </w:rPr>
            </w:pPr>
            <w:r w:rsidRPr="002E43DC">
              <w:rPr>
                <w:rFonts w:ascii="Verdana" w:hAnsi="Verdana"/>
                <w:color w:val="7F7F7F"/>
                <w:sz w:val="22"/>
                <w:szCs w:val="22"/>
                <w:lang w:val="en-GB" w:eastAsia="fr-FR"/>
              </w:rPr>
              <w:t xml:space="preserve">The ORSA should remain the tool of the insurer and not a tool of the macroprudential supervisory authorities. </w:t>
            </w:r>
            <w:r>
              <w:rPr>
                <w:rFonts w:ascii="Verdana" w:hAnsi="Verdana"/>
                <w:color w:val="7F7F7F"/>
                <w:sz w:val="22"/>
                <w:szCs w:val="22"/>
                <w:lang w:val="en-GB" w:eastAsia="fr-FR"/>
              </w:rPr>
              <w:t>T</w:t>
            </w:r>
            <w:r w:rsidRPr="002E43DC">
              <w:rPr>
                <w:rFonts w:ascii="Verdana" w:hAnsi="Verdana"/>
                <w:color w:val="7F7F7F"/>
                <w:sz w:val="22"/>
                <w:szCs w:val="22"/>
                <w:lang w:val="en-GB" w:eastAsia="fr-FR"/>
              </w:rPr>
              <w:t>he relationship between the insurer and the supervisor as part of the supervisory review process is crucial. If from different sources</w:t>
            </w:r>
            <w:r>
              <w:rPr>
                <w:rFonts w:ascii="Verdana" w:hAnsi="Verdana"/>
                <w:color w:val="7F7F7F"/>
                <w:sz w:val="22"/>
                <w:szCs w:val="22"/>
                <w:lang w:val="en-GB" w:eastAsia="fr-FR"/>
              </w:rPr>
              <w:t xml:space="preserve"> </w:t>
            </w:r>
            <w:r w:rsidRPr="002E43DC">
              <w:rPr>
                <w:rFonts w:ascii="Verdana" w:hAnsi="Verdana"/>
                <w:color w:val="7F7F7F"/>
                <w:sz w:val="22"/>
                <w:szCs w:val="22"/>
                <w:lang w:val="en-GB" w:eastAsia="fr-FR"/>
              </w:rPr>
              <w:t>a macroprudential issue emerges for the distinct insurer, the competent supervisor</w:t>
            </w:r>
            <w:r>
              <w:rPr>
                <w:rFonts w:ascii="Verdana" w:hAnsi="Verdana"/>
                <w:color w:val="7F7F7F"/>
                <w:sz w:val="22"/>
                <w:szCs w:val="22"/>
                <w:lang w:val="en-GB" w:eastAsia="fr-FR"/>
              </w:rPr>
              <w:t>y authority</w:t>
            </w:r>
            <w:r w:rsidRPr="002E43DC">
              <w:rPr>
                <w:rFonts w:ascii="Verdana" w:hAnsi="Verdana"/>
                <w:color w:val="7F7F7F"/>
                <w:sz w:val="22"/>
                <w:szCs w:val="22"/>
                <w:lang w:val="en-GB" w:eastAsia="fr-FR"/>
              </w:rPr>
              <w:t xml:space="preserve"> will discuss </w:t>
            </w:r>
            <w:r>
              <w:rPr>
                <w:rFonts w:ascii="Verdana" w:hAnsi="Verdana"/>
                <w:color w:val="7F7F7F"/>
                <w:sz w:val="22"/>
                <w:szCs w:val="22"/>
                <w:lang w:val="en-GB" w:eastAsia="fr-FR"/>
              </w:rPr>
              <w:t xml:space="preserve">it </w:t>
            </w:r>
            <w:r w:rsidRPr="002E43DC">
              <w:rPr>
                <w:rFonts w:ascii="Verdana" w:hAnsi="Verdana"/>
                <w:color w:val="7F7F7F"/>
                <w:sz w:val="22"/>
                <w:szCs w:val="22"/>
                <w:lang w:val="en-GB" w:eastAsia="fr-FR"/>
              </w:rPr>
              <w:t>with the (re-)insurer. If needed, the supervisory authority will assess whether the risk exist</w:t>
            </w:r>
            <w:r>
              <w:rPr>
                <w:rFonts w:ascii="Verdana" w:hAnsi="Verdana"/>
                <w:color w:val="7F7F7F"/>
                <w:sz w:val="22"/>
                <w:szCs w:val="22"/>
                <w:lang w:val="en-GB" w:eastAsia="fr-FR"/>
              </w:rPr>
              <w:t>ed</w:t>
            </w:r>
            <w:r w:rsidRPr="002E43DC">
              <w:rPr>
                <w:rFonts w:ascii="Verdana" w:hAnsi="Verdana"/>
                <w:color w:val="7F7F7F"/>
                <w:sz w:val="22"/>
                <w:szCs w:val="22"/>
                <w:lang w:val="en-GB" w:eastAsia="fr-FR"/>
              </w:rPr>
              <w:t xml:space="preserve"> or would be very remote and would communicate this towards the macroprudential supervisory authorities. </w:t>
            </w:r>
          </w:p>
          <w:p w14:paraId="6E1E2ED2" w14:textId="77777777" w:rsidR="006F5ECC" w:rsidRPr="002E43DC" w:rsidRDefault="006F5ECC" w:rsidP="00020B14">
            <w:pPr>
              <w:tabs>
                <w:tab w:val="left" w:pos="0"/>
                <w:tab w:val="left" w:pos="4536"/>
              </w:tabs>
              <w:rPr>
                <w:rFonts w:ascii="Verdana" w:hAnsi="Verdana"/>
                <w:color w:val="7F7F7F"/>
                <w:sz w:val="22"/>
                <w:szCs w:val="22"/>
                <w:lang w:val="en-GB" w:eastAsia="fr-FR"/>
              </w:rPr>
            </w:pPr>
            <w:r w:rsidRPr="002E43DC">
              <w:rPr>
                <w:rFonts w:ascii="Verdana" w:hAnsi="Verdana"/>
                <w:color w:val="7F7F7F"/>
                <w:sz w:val="22"/>
                <w:szCs w:val="22"/>
                <w:lang w:val="en-GB" w:eastAsia="fr-FR"/>
              </w:rPr>
              <w:t xml:space="preserve"> </w:t>
            </w:r>
          </w:p>
          <w:p w14:paraId="2440394D" w14:textId="5B3CA1A7" w:rsidR="006F5ECC" w:rsidRPr="00BA2FBD" w:rsidRDefault="006F5ECC" w:rsidP="00020B14">
            <w:pPr>
              <w:tabs>
                <w:tab w:val="left" w:pos="0"/>
                <w:tab w:val="left" w:pos="4536"/>
              </w:tabs>
              <w:rPr>
                <w:rFonts w:ascii="Verdana" w:hAnsi="Verdana"/>
                <w:color w:val="7F7F7F"/>
                <w:sz w:val="22"/>
                <w:szCs w:val="22"/>
                <w:lang w:val="en-GB" w:eastAsia="fr-FR"/>
              </w:rPr>
            </w:pPr>
            <w:r w:rsidRPr="002E43DC">
              <w:rPr>
                <w:rFonts w:ascii="Verdana" w:hAnsi="Verdana"/>
                <w:color w:val="7F7F7F"/>
                <w:sz w:val="22"/>
                <w:szCs w:val="22"/>
                <w:lang w:val="en-GB" w:eastAsia="fr-FR"/>
              </w:rPr>
              <w:t xml:space="preserve">The ORSA is a </w:t>
            </w:r>
            <w:r>
              <w:rPr>
                <w:rFonts w:ascii="Verdana" w:hAnsi="Verdana"/>
                <w:color w:val="7F7F7F"/>
                <w:sz w:val="22"/>
                <w:szCs w:val="22"/>
                <w:lang w:val="en-GB" w:eastAsia="fr-FR"/>
              </w:rPr>
              <w:t xml:space="preserve">management </w:t>
            </w:r>
            <w:r w:rsidRPr="002E43DC">
              <w:rPr>
                <w:rFonts w:ascii="Verdana" w:hAnsi="Verdana"/>
                <w:color w:val="7F7F7F"/>
                <w:sz w:val="22"/>
                <w:szCs w:val="22"/>
                <w:lang w:val="en-GB" w:eastAsia="fr-FR"/>
              </w:rPr>
              <w:t>tool to assess the</w:t>
            </w:r>
            <w:r>
              <w:rPr>
                <w:rFonts w:ascii="Verdana" w:hAnsi="Verdana"/>
                <w:color w:val="7F7F7F"/>
                <w:sz w:val="22"/>
                <w:szCs w:val="22"/>
                <w:lang w:val="en-GB" w:eastAsia="fr-FR"/>
              </w:rPr>
              <w:t xml:space="preserve"> insurer’s </w:t>
            </w:r>
            <w:r w:rsidRPr="002E43DC">
              <w:rPr>
                <w:rFonts w:ascii="Verdana" w:hAnsi="Verdana"/>
                <w:color w:val="7F7F7F"/>
                <w:sz w:val="22"/>
                <w:szCs w:val="22"/>
                <w:lang w:val="en-GB" w:eastAsia="fr-FR"/>
              </w:rPr>
              <w:t xml:space="preserve">vulnerabilities. If the supervisory authorities </w:t>
            </w:r>
            <w:r>
              <w:rPr>
                <w:rFonts w:ascii="Verdana" w:hAnsi="Verdana"/>
                <w:color w:val="7F7F7F"/>
                <w:sz w:val="22"/>
                <w:szCs w:val="22"/>
                <w:lang w:val="en-GB" w:eastAsia="fr-FR"/>
              </w:rPr>
              <w:t>are of</w:t>
            </w:r>
            <w:r w:rsidRPr="002E43DC">
              <w:rPr>
                <w:rFonts w:ascii="Verdana" w:hAnsi="Verdana"/>
                <w:color w:val="7F7F7F"/>
                <w:sz w:val="22"/>
                <w:szCs w:val="22"/>
                <w:lang w:val="en-GB" w:eastAsia="fr-FR"/>
              </w:rPr>
              <w:t xml:space="preserve"> the opinion that certain developments or macroprudential issues are not </w:t>
            </w:r>
            <w:r>
              <w:rPr>
                <w:rFonts w:ascii="Verdana" w:hAnsi="Verdana"/>
                <w:color w:val="7F7F7F"/>
                <w:sz w:val="22"/>
                <w:szCs w:val="22"/>
                <w:lang w:val="en-GB" w:eastAsia="fr-FR"/>
              </w:rPr>
              <w:t xml:space="preserve">being </w:t>
            </w:r>
            <w:r w:rsidRPr="002E43DC">
              <w:rPr>
                <w:rFonts w:ascii="Verdana" w:hAnsi="Verdana"/>
                <w:color w:val="7F7F7F"/>
                <w:sz w:val="22"/>
                <w:szCs w:val="22"/>
                <w:lang w:val="en-GB" w:eastAsia="fr-FR"/>
              </w:rPr>
              <w:t>addressed, they will discuss this with the insurer’s AMSB. Following that dialogue some parts of the ORSA may have to be re-done, additional activities may have to be performed</w:t>
            </w:r>
            <w:r>
              <w:rPr>
                <w:rFonts w:ascii="Verdana" w:hAnsi="Verdana"/>
                <w:color w:val="7F7F7F"/>
                <w:sz w:val="22"/>
                <w:szCs w:val="22"/>
                <w:lang w:val="en-GB" w:eastAsia="fr-FR"/>
              </w:rPr>
              <w:t xml:space="preserve"> and some additional</w:t>
            </w:r>
            <w:r w:rsidRPr="002E43DC">
              <w:rPr>
                <w:rFonts w:ascii="Verdana" w:hAnsi="Verdana"/>
                <w:color w:val="7F7F7F"/>
                <w:sz w:val="22"/>
                <w:szCs w:val="22"/>
                <w:lang w:val="en-GB" w:eastAsia="fr-FR"/>
              </w:rPr>
              <w:t xml:space="preserve"> mitigating measures may have to be undertaken</w:t>
            </w:r>
            <w:r>
              <w:rPr>
                <w:rFonts w:ascii="Verdana" w:hAnsi="Verdana"/>
                <w:color w:val="7F7F7F"/>
                <w:sz w:val="22"/>
                <w:szCs w:val="22"/>
                <w:lang w:val="en-GB" w:eastAsia="fr-FR"/>
              </w:rPr>
              <w:t>; h</w:t>
            </w:r>
            <w:r w:rsidRPr="002E43DC">
              <w:rPr>
                <w:rFonts w:ascii="Verdana" w:hAnsi="Verdana"/>
                <w:color w:val="7F7F7F"/>
                <w:sz w:val="22"/>
                <w:szCs w:val="22"/>
                <w:lang w:val="en-GB" w:eastAsia="fr-FR"/>
              </w:rPr>
              <w:t>owever, th</w:t>
            </w:r>
            <w:r>
              <w:rPr>
                <w:rFonts w:ascii="Verdana" w:hAnsi="Verdana"/>
                <w:color w:val="7F7F7F"/>
                <w:sz w:val="22"/>
                <w:szCs w:val="22"/>
                <w:lang w:val="en-GB" w:eastAsia="fr-FR"/>
              </w:rPr>
              <w:t>e dialogue with the supervisory authorities</w:t>
            </w:r>
            <w:r w:rsidRPr="002E43DC">
              <w:rPr>
                <w:rFonts w:ascii="Verdana" w:hAnsi="Verdana"/>
                <w:color w:val="7F7F7F"/>
                <w:sz w:val="22"/>
                <w:szCs w:val="22"/>
                <w:lang w:val="en-GB" w:eastAsia="fr-FR"/>
              </w:rPr>
              <w:t xml:space="preserve"> should not lead to additional assessments or further stress scenarios </w:t>
            </w:r>
            <w:r>
              <w:rPr>
                <w:rFonts w:ascii="Verdana" w:hAnsi="Verdana"/>
                <w:color w:val="7F7F7F"/>
                <w:sz w:val="22"/>
                <w:szCs w:val="22"/>
                <w:lang w:val="en-GB" w:eastAsia="fr-FR"/>
              </w:rPr>
              <w:t>being requested</w:t>
            </w:r>
            <w:r w:rsidRPr="002E43DC">
              <w:rPr>
                <w:rFonts w:ascii="Verdana" w:hAnsi="Verdana"/>
                <w:color w:val="7F7F7F"/>
                <w:sz w:val="22"/>
                <w:szCs w:val="22"/>
                <w:lang w:val="en-GB" w:eastAsia="fr-FR"/>
              </w:rPr>
              <w:t xml:space="preserve">. The </w:t>
            </w:r>
            <w:r>
              <w:rPr>
                <w:rFonts w:ascii="Verdana" w:hAnsi="Verdana"/>
                <w:color w:val="7F7F7F"/>
                <w:sz w:val="22"/>
                <w:szCs w:val="22"/>
                <w:lang w:val="en-GB" w:eastAsia="fr-FR"/>
              </w:rPr>
              <w:t xml:space="preserve">insurers’ and NCAs’ </w:t>
            </w:r>
            <w:r w:rsidRPr="002E43DC">
              <w:rPr>
                <w:rFonts w:ascii="Verdana" w:hAnsi="Verdana"/>
                <w:color w:val="7F7F7F"/>
                <w:sz w:val="22"/>
                <w:szCs w:val="22"/>
                <w:lang w:val="en-GB" w:eastAsia="fr-FR"/>
              </w:rPr>
              <w:t xml:space="preserve">dialogue will </w:t>
            </w:r>
            <w:r>
              <w:rPr>
                <w:rFonts w:ascii="Verdana" w:hAnsi="Verdana"/>
                <w:color w:val="7F7F7F"/>
                <w:sz w:val="22"/>
                <w:szCs w:val="22"/>
                <w:lang w:val="en-GB" w:eastAsia="fr-FR"/>
              </w:rPr>
              <w:t>establish</w:t>
            </w:r>
            <w:r w:rsidRPr="002E43DC">
              <w:rPr>
                <w:rFonts w:ascii="Verdana" w:hAnsi="Verdana"/>
                <w:color w:val="7F7F7F"/>
                <w:sz w:val="22"/>
                <w:szCs w:val="22"/>
                <w:lang w:val="en-GB" w:eastAsia="fr-FR"/>
              </w:rPr>
              <w:t xml:space="preserve"> </w:t>
            </w:r>
            <w:r>
              <w:rPr>
                <w:rFonts w:ascii="Verdana" w:hAnsi="Verdana"/>
                <w:color w:val="7F7F7F"/>
                <w:sz w:val="22"/>
                <w:szCs w:val="22"/>
                <w:lang w:val="en-GB" w:eastAsia="fr-FR"/>
              </w:rPr>
              <w:t>a common</w:t>
            </w:r>
            <w:r w:rsidRPr="002E43DC">
              <w:rPr>
                <w:rFonts w:ascii="Verdana" w:hAnsi="Verdana"/>
                <w:color w:val="7F7F7F"/>
                <w:sz w:val="22"/>
                <w:szCs w:val="22"/>
                <w:lang w:val="en-GB" w:eastAsia="fr-FR"/>
              </w:rPr>
              <w:t xml:space="preserve"> understanding of the </w:t>
            </w:r>
            <w:r>
              <w:rPr>
                <w:rFonts w:ascii="Verdana" w:hAnsi="Verdana"/>
                <w:color w:val="7F7F7F"/>
                <w:sz w:val="22"/>
                <w:szCs w:val="22"/>
                <w:lang w:val="en-GB" w:eastAsia="fr-FR"/>
              </w:rPr>
              <w:t>potential</w:t>
            </w:r>
            <w:r w:rsidRPr="002E43DC">
              <w:rPr>
                <w:rFonts w:ascii="Verdana" w:hAnsi="Verdana"/>
                <w:color w:val="7F7F7F"/>
                <w:sz w:val="22"/>
                <w:szCs w:val="22"/>
                <w:lang w:val="en-GB" w:eastAsia="fr-FR"/>
              </w:rPr>
              <w:t xml:space="preserve"> issues and how the (re-) insurer</w:t>
            </w:r>
            <w:r>
              <w:rPr>
                <w:rFonts w:ascii="Verdana" w:hAnsi="Verdana"/>
                <w:color w:val="7F7F7F"/>
                <w:sz w:val="22"/>
                <w:szCs w:val="22"/>
                <w:lang w:val="en-GB" w:eastAsia="fr-FR"/>
              </w:rPr>
              <w:t>s</w:t>
            </w:r>
            <w:r w:rsidRPr="002E43DC">
              <w:rPr>
                <w:rFonts w:ascii="Verdana" w:hAnsi="Verdana"/>
                <w:color w:val="7F7F7F"/>
                <w:sz w:val="22"/>
                <w:szCs w:val="22"/>
                <w:lang w:val="en-GB" w:eastAsia="fr-FR"/>
              </w:rPr>
              <w:t xml:space="preserve"> </w:t>
            </w:r>
            <w:r>
              <w:rPr>
                <w:rFonts w:ascii="Verdana" w:hAnsi="Verdana"/>
                <w:color w:val="7F7F7F"/>
                <w:sz w:val="22"/>
                <w:szCs w:val="22"/>
                <w:lang w:val="en-GB" w:eastAsia="fr-FR"/>
              </w:rPr>
              <w:t xml:space="preserve">will be </w:t>
            </w:r>
            <w:r w:rsidRPr="002E43DC">
              <w:rPr>
                <w:rFonts w:ascii="Verdana" w:hAnsi="Verdana"/>
                <w:color w:val="7F7F7F"/>
                <w:sz w:val="22"/>
                <w:szCs w:val="22"/>
                <w:lang w:val="en-GB" w:eastAsia="fr-FR"/>
              </w:rPr>
              <w:t>deal</w:t>
            </w:r>
            <w:r>
              <w:rPr>
                <w:rFonts w:ascii="Verdana" w:hAnsi="Verdana"/>
                <w:color w:val="7F7F7F"/>
                <w:sz w:val="22"/>
                <w:szCs w:val="22"/>
                <w:lang w:val="en-GB" w:eastAsia="fr-FR"/>
              </w:rPr>
              <w:t>ing</w:t>
            </w:r>
            <w:r w:rsidRPr="002E43DC">
              <w:rPr>
                <w:rFonts w:ascii="Verdana" w:hAnsi="Verdana"/>
                <w:color w:val="7F7F7F"/>
                <w:sz w:val="22"/>
                <w:szCs w:val="22"/>
                <w:lang w:val="en-GB" w:eastAsia="fr-FR"/>
              </w:rPr>
              <w:t xml:space="preserve"> with these concerns. Any subsequent measures deemed appropriate should be proportionate to the exposure to the macroprudential issues taking into account the risk profile, forward looking projections and other risk limits and mitigating arrangements already</w:t>
            </w:r>
            <w:r>
              <w:rPr>
                <w:rFonts w:ascii="Verdana" w:hAnsi="Verdana"/>
                <w:color w:val="7F7F7F"/>
                <w:sz w:val="22"/>
                <w:szCs w:val="22"/>
                <w:lang w:val="en-GB" w:eastAsia="fr-FR"/>
              </w:rPr>
              <w:t xml:space="preserve"> in place.</w:t>
            </w:r>
          </w:p>
        </w:tc>
        <w:tc>
          <w:tcPr>
            <w:tcW w:w="483" w:type="pct"/>
            <w:tcBorders>
              <w:top w:val="single" w:sz="4" w:space="0" w:color="auto"/>
              <w:left w:val="single" w:sz="4" w:space="0" w:color="auto"/>
              <w:bottom w:val="single" w:sz="4" w:space="0" w:color="auto"/>
              <w:right w:val="single" w:sz="4" w:space="0" w:color="auto"/>
            </w:tcBorders>
          </w:tcPr>
          <w:p w14:paraId="4EE2F7B1"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09B20092"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D11C484" w14:textId="00423382"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lastRenderedPageBreak/>
              <w:t>11</w:t>
            </w:r>
          </w:p>
        </w:tc>
        <w:tc>
          <w:tcPr>
            <w:tcW w:w="506" w:type="pct"/>
            <w:gridSpan w:val="2"/>
            <w:tcBorders>
              <w:top w:val="single" w:sz="4" w:space="0" w:color="auto"/>
              <w:left w:val="single" w:sz="4" w:space="0" w:color="auto"/>
              <w:bottom w:val="single" w:sz="4" w:space="0" w:color="auto"/>
              <w:right w:val="single" w:sz="4" w:space="0" w:color="auto"/>
            </w:tcBorders>
          </w:tcPr>
          <w:p w14:paraId="4DACBE1D" w14:textId="7A68A8A7" w:rsidR="006F5ECC" w:rsidRPr="00C10709" w:rsidRDefault="006F5ECC" w:rsidP="00020B14">
            <w:pPr>
              <w:tabs>
                <w:tab w:val="left" w:pos="0"/>
                <w:tab w:val="left" w:pos="4536"/>
              </w:tabs>
              <w:ind w:left="-96"/>
              <w:rPr>
                <w:b/>
                <w:sz w:val="20"/>
                <w:szCs w:val="20"/>
                <w:lang w:val="en-US"/>
              </w:rPr>
            </w:pPr>
            <w:r>
              <w:rPr>
                <w:rFonts w:ascii="Verdana" w:hAnsi="Verdana"/>
                <w:b/>
                <w:color w:val="7F7F7F" w:themeColor="text1" w:themeTint="80"/>
                <w:sz w:val="22"/>
                <w:szCs w:val="22"/>
                <w:lang w:val="en-GB"/>
              </w:rPr>
              <w:t>Question to stakeholders</w:t>
            </w:r>
          </w:p>
        </w:tc>
        <w:tc>
          <w:tcPr>
            <w:tcW w:w="1999" w:type="pct"/>
            <w:tcBorders>
              <w:top w:val="single" w:sz="4" w:space="0" w:color="auto"/>
              <w:left w:val="single" w:sz="4" w:space="0" w:color="auto"/>
              <w:bottom w:val="single" w:sz="4" w:space="0" w:color="auto"/>
              <w:right w:val="single" w:sz="4" w:space="0" w:color="auto"/>
            </w:tcBorders>
            <w:vAlign w:val="bottom"/>
          </w:tcPr>
          <w:p w14:paraId="5DE9949B" w14:textId="77777777" w:rsidR="006F5ECC" w:rsidRPr="00C10709" w:rsidRDefault="006F5ECC" w:rsidP="00020B14">
            <w:pPr>
              <w:tabs>
                <w:tab w:val="left" w:pos="0"/>
                <w:tab w:val="left" w:pos="4536"/>
              </w:tabs>
              <w:ind w:right="20" w:hanging="565"/>
              <w:jc w:val="both"/>
              <w:rPr>
                <w:color w:val="7F7F7F" w:themeColor="text1" w:themeTint="80"/>
                <w:sz w:val="22"/>
                <w:szCs w:val="22"/>
                <w:lang w:val="en-US"/>
              </w:rPr>
            </w:pPr>
            <w:r w:rsidRPr="00C10709">
              <w:rPr>
                <w:rFonts w:ascii="Verdana" w:eastAsia="Verdana" w:hAnsi="Verdana" w:cs="Verdana"/>
                <w:b/>
                <w:bCs/>
                <w:color w:val="7F7F7F" w:themeColor="text1" w:themeTint="80"/>
                <w:sz w:val="22"/>
                <w:szCs w:val="22"/>
                <w:lang w:val="en-US"/>
              </w:rPr>
              <w:t xml:space="preserve">Q11.3: </w:t>
            </w:r>
            <w:r w:rsidRPr="00CE72D2">
              <w:rPr>
                <w:rFonts w:ascii="Verdana" w:eastAsia="Verdana" w:hAnsi="Verdana" w:cs="Verdana"/>
                <w:b/>
                <w:bCs/>
                <w:color w:val="7F7F7F" w:themeColor="text1" w:themeTint="80"/>
                <w:sz w:val="22"/>
                <w:szCs w:val="22"/>
                <w:lang w:val="en-US"/>
              </w:rPr>
              <w:t>How to ensure that the relevant macroprudential information from the ORSA</w:t>
            </w:r>
            <w:r w:rsidRPr="00C04A7D">
              <w:rPr>
                <w:rFonts w:ascii="Verdana" w:eastAsia="Verdana" w:hAnsi="Verdana" w:cs="Verdana"/>
                <w:b/>
                <w:bCs/>
                <w:color w:val="7F7F7F" w:themeColor="text1" w:themeTint="80"/>
                <w:sz w:val="22"/>
                <w:szCs w:val="22"/>
                <w:lang w:val="en-US"/>
              </w:rPr>
              <w:t xml:space="preserve"> </w:t>
            </w:r>
            <w:r w:rsidRPr="00CE72D2">
              <w:rPr>
                <w:rFonts w:ascii="Verdana" w:eastAsia="Verdana" w:hAnsi="Verdana" w:cs="Verdana"/>
                <w:b/>
                <w:bCs/>
                <w:color w:val="7F7F7F" w:themeColor="text1" w:themeTint="80"/>
                <w:sz w:val="22"/>
                <w:szCs w:val="22"/>
                <w:lang w:val="en-US"/>
              </w:rPr>
              <w:t>reports of undertakings can be extracted and used at national level for macroprudential purposes?</w:t>
            </w:r>
          </w:p>
          <w:p w14:paraId="27A37253" w14:textId="75628AB6" w:rsidR="006F5ECC" w:rsidRPr="00C10709" w:rsidRDefault="006F5ECC" w:rsidP="00020B14">
            <w:pPr>
              <w:tabs>
                <w:tab w:val="left" w:pos="0"/>
                <w:tab w:val="left" w:pos="4536"/>
              </w:tabs>
              <w:rPr>
                <w:rFonts w:ascii="Verdana" w:hAnsi="Verdana"/>
                <w:color w:val="7F7F7F" w:themeColor="text1" w:themeTint="80"/>
                <w:sz w:val="22"/>
                <w:szCs w:val="22"/>
                <w:lang w:val="en-GB" w:eastAsia="fr-FR"/>
              </w:rPr>
            </w:pPr>
            <w:r w:rsidRPr="00C10709">
              <w:rPr>
                <w:rFonts w:ascii="Verdana" w:hAnsi="Verdana"/>
                <w:color w:val="7F7F7F" w:themeColor="text1" w:themeTint="80"/>
                <w:sz w:val="22"/>
                <w:szCs w:val="22"/>
                <w:lang w:val="en-GB" w:eastAsia="fr-FR"/>
              </w:rPr>
              <w:t xml:space="preserve">In order to enhance the ORSA, the macroprudential authorities could present an opinion at a distinct point in time where it would describe their potential macroprudential worries / issues and their expectation that the individual insurers would assess those in their ORSAs or other exercises, if appropriate. Insurers could then communicate to their supervisory authority the relevance of the issues spotted, if any and whether any additional assessments or actions would be undertaken or not explaining the reasons for each decision.  </w:t>
            </w:r>
          </w:p>
          <w:p w14:paraId="4465A023" w14:textId="77777777" w:rsidR="006F5ECC" w:rsidRPr="00C10709" w:rsidRDefault="006F5ECC" w:rsidP="00020B14">
            <w:pPr>
              <w:tabs>
                <w:tab w:val="left" w:pos="0"/>
                <w:tab w:val="left" w:pos="4536"/>
              </w:tabs>
              <w:rPr>
                <w:rFonts w:ascii="Verdana" w:hAnsi="Verdana"/>
                <w:color w:val="7F7F7F" w:themeColor="text1" w:themeTint="80"/>
                <w:sz w:val="22"/>
                <w:szCs w:val="22"/>
                <w:lang w:val="en-GB" w:eastAsia="fr-FR"/>
              </w:rPr>
            </w:pPr>
            <w:r w:rsidRPr="00C10709">
              <w:rPr>
                <w:rFonts w:ascii="Verdana" w:hAnsi="Verdana"/>
                <w:color w:val="7F7F7F" w:themeColor="text1" w:themeTint="80"/>
                <w:sz w:val="22"/>
                <w:szCs w:val="22"/>
                <w:lang w:val="en-GB" w:eastAsia="fr-FR"/>
              </w:rPr>
              <w:t xml:space="preserve"> </w:t>
            </w:r>
          </w:p>
          <w:p w14:paraId="09BD2B38" w14:textId="0B25418A" w:rsidR="006F5ECC" w:rsidRPr="00C10709" w:rsidRDefault="006F5ECC" w:rsidP="00020B14">
            <w:pPr>
              <w:tabs>
                <w:tab w:val="left" w:pos="0"/>
                <w:tab w:val="left" w:pos="4536"/>
              </w:tabs>
              <w:rPr>
                <w:rFonts w:ascii="Verdana" w:hAnsi="Verdana"/>
                <w:color w:val="7F7F7F" w:themeColor="text1" w:themeTint="80"/>
                <w:sz w:val="22"/>
                <w:szCs w:val="22"/>
                <w:lang w:val="en-GB" w:eastAsia="fr-FR"/>
              </w:rPr>
            </w:pPr>
            <w:r w:rsidRPr="00C10709">
              <w:rPr>
                <w:rFonts w:ascii="Verdana" w:hAnsi="Verdana"/>
                <w:color w:val="7F7F7F" w:themeColor="text1" w:themeTint="80"/>
                <w:sz w:val="22"/>
                <w:szCs w:val="22"/>
                <w:lang w:val="en-GB" w:eastAsia="fr-FR"/>
              </w:rPr>
              <w:t>The ESRB indicate</w:t>
            </w:r>
            <w:r>
              <w:rPr>
                <w:rFonts w:ascii="Verdana" w:hAnsi="Verdana"/>
                <w:color w:val="7F7F7F" w:themeColor="text1" w:themeTint="80"/>
                <w:sz w:val="22"/>
                <w:szCs w:val="22"/>
                <w:lang w:val="en-GB" w:eastAsia="fr-FR"/>
              </w:rPr>
              <w:t>d</w:t>
            </w:r>
            <w:r w:rsidRPr="00C10709">
              <w:rPr>
                <w:rFonts w:ascii="Verdana" w:hAnsi="Verdana"/>
                <w:color w:val="7F7F7F" w:themeColor="text1" w:themeTint="80"/>
                <w:sz w:val="22"/>
                <w:szCs w:val="22"/>
                <w:lang w:val="en-GB" w:eastAsia="fr-FR"/>
              </w:rPr>
              <w:t xml:space="preserve"> that the ORSA and risk management requirements could be expanded to require the management of insurers to take explicit account of certain macroprudential risks, topics and trends. The ESRB add</w:t>
            </w:r>
            <w:r>
              <w:rPr>
                <w:rFonts w:ascii="Verdana" w:hAnsi="Verdana"/>
                <w:color w:val="7F7F7F" w:themeColor="text1" w:themeTint="80"/>
                <w:sz w:val="22"/>
                <w:szCs w:val="22"/>
                <w:lang w:val="en-GB" w:eastAsia="fr-FR"/>
              </w:rPr>
              <w:t>ed</w:t>
            </w:r>
            <w:r w:rsidRPr="00C10709">
              <w:rPr>
                <w:rFonts w:ascii="Verdana" w:hAnsi="Verdana"/>
                <w:color w:val="7F7F7F" w:themeColor="text1" w:themeTint="80"/>
                <w:sz w:val="22"/>
                <w:szCs w:val="22"/>
                <w:lang w:val="en-GB" w:eastAsia="fr-FR"/>
              </w:rPr>
              <w:t xml:space="preserve"> that insurers could also be encouraged to reflect on the consequences of their own decisions on the market, including when developing contingency strategies in the event that markets were to be characterized by diminished liquidity or reduced availability of hedging. EIOPA could include this process in their guidelines on the ORSA and on the supervisory review process. </w:t>
            </w:r>
          </w:p>
          <w:p w14:paraId="77064748" w14:textId="77777777" w:rsidR="006F5ECC" w:rsidRPr="00C10709" w:rsidRDefault="006F5ECC" w:rsidP="00020B14">
            <w:pPr>
              <w:tabs>
                <w:tab w:val="left" w:pos="0"/>
                <w:tab w:val="left" w:pos="4536"/>
              </w:tabs>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46E992D0"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1360A5" w14:paraId="3A6E1BE3"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659C0738" w14:textId="77777777" w:rsidR="006F5ECC" w:rsidRPr="00AE081A" w:rsidRDefault="006F5ECC" w:rsidP="00020B14">
            <w:pPr>
              <w:tabs>
                <w:tab w:val="left" w:pos="0"/>
                <w:tab w:val="left" w:pos="4536"/>
              </w:tabs>
              <w:spacing w:line="274" w:lineRule="auto"/>
              <w:ind w:right="20" w:hanging="851"/>
              <w:jc w:val="both"/>
              <w:rPr>
                <w:color w:val="7F7F7F" w:themeColor="text1" w:themeTint="80"/>
                <w:sz w:val="22"/>
                <w:szCs w:val="22"/>
                <w:lang w:val="en-US"/>
              </w:rPr>
            </w:pPr>
            <w:r w:rsidRPr="00AE081A">
              <w:rPr>
                <w:rFonts w:ascii="Verdana" w:eastAsia="Verdana" w:hAnsi="Verdana" w:cs="Verdana"/>
                <w:b/>
                <w:bCs/>
                <w:color w:val="7F7F7F" w:themeColor="text1" w:themeTint="80"/>
                <w:sz w:val="22"/>
                <w:szCs w:val="22"/>
                <w:lang w:val="en-US"/>
              </w:rPr>
              <w:t>11.4.4. Expand the prudent person principle to take into account macroprudential concerns</w:t>
            </w:r>
          </w:p>
          <w:p w14:paraId="56DEBFBA" w14:textId="77777777" w:rsidR="006F5ECC" w:rsidRPr="00AE081A" w:rsidRDefault="006F5ECC" w:rsidP="00020B14">
            <w:pPr>
              <w:tabs>
                <w:tab w:val="left" w:pos="0"/>
                <w:tab w:val="left" w:pos="4536"/>
              </w:tabs>
              <w:rPr>
                <w:color w:val="7F7F7F" w:themeColor="text1" w:themeTint="80"/>
                <w:sz w:val="22"/>
                <w:szCs w:val="22"/>
                <w:lang w:val="en-US" w:eastAsia="fr-FR"/>
              </w:rPr>
            </w:pPr>
          </w:p>
        </w:tc>
      </w:tr>
      <w:tr w:rsidR="00FC5744" w:rsidRPr="001360A5" w14:paraId="0400F49F"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FBB89DE" w14:textId="3A1EB779"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11</w:t>
            </w:r>
          </w:p>
        </w:tc>
        <w:tc>
          <w:tcPr>
            <w:tcW w:w="506" w:type="pct"/>
            <w:gridSpan w:val="2"/>
            <w:tcBorders>
              <w:top w:val="single" w:sz="4" w:space="0" w:color="auto"/>
              <w:left w:val="single" w:sz="4" w:space="0" w:color="auto"/>
              <w:bottom w:val="single" w:sz="4" w:space="0" w:color="auto"/>
              <w:right w:val="single" w:sz="4" w:space="0" w:color="auto"/>
            </w:tcBorders>
          </w:tcPr>
          <w:p w14:paraId="68A4DD6B" w14:textId="4A661BB4" w:rsidR="006F5ECC" w:rsidRPr="00047EE7" w:rsidRDefault="006F5ECC" w:rsidP="00020B14">
            <w:pPr>
              <w:tabs>
                <w:tab w:val="left" w:pos="0"/>
                <w:tab w:val="left" w:pos="4536"/>
              </w:tabs>
              <w:ind w:left="-96"/>
              <w:rPr>
                <w:sz w:val="20"/>
                <w:szCs w:val="20"/>
                <w:lang w:val="en-US"/>
              </w:rPr>
            </w:pPr>
            <w:r w:rsidRPr="00741E58">
              <w:rPr>
                <w:rFonts w:ascii="Verdana" w:hAnsi="Verdana"/>
                <w:bCs/>
                <w:color w:val="7F7F7F"/>
                <w:sz w:val="22"/>
                <w:szCs w:val="22"/>
                <w:lang w:val="en-GB"/>
              </w:rPr>
              <w:t>101</w:t>
            </w:r>
          </w:p>
        </w:tc>
        <w:tc>
          <w:tcPr>
            <w:tcW w:w="1999" w:type="pct"/>
            <w:tcBorders>
              <w:top w:val="single" w:sz="4" w:space="0" w:color="auto"/>
              <w:left w:val="single" w:sz="4" w:space="0" w:color="auto"/>
              <w:bottom w:val="single" w:sz="4" w:space="0" w:color="auto"/>
              <w:right w:val="single" w:sz="4" w:space="0" w:color="auto"/>
            </w:tcBorders>
          </w:tcPr>
          <w:p w14:paraId="12BF471A" w14:textId="79A78828" w:rsidR="006F5ECC" w:rsidRPr="00741E58" w:rsidRDefault="006F5ECC" w:rsidP="00020B14">
            <w:pPr>
              <w:tabs>
                <w:tab w:val="left" w:pos="0"/>
                <w:tab w:val="left" w:pos="4536"/>
              </w:tabs>
              <w:rPr>
                <w:rFonts w:ascii="Verdana" w:hAnsi="Verdana"/>
                <w:color w:val="7F7F7F"/>
                <w:sz w:val="22"/>
                <w:szCs w:val="22"/>
                <w:lang w:val="en-GB" w:eastAsia="fr-FR"/>
              </w:rPr>
            </w:pPr>
            <w:r w:rsidRPr="00741E58">
              <w:rPr>
                <w:rFonts w:ascii="Verdana" w:hAnsi="Verdana"/>
                <w:color w:val="7F7F7F"/>
                <w:sz w:val="22"/>
                <w:szCs w:val="22"/>
                <w:lang w:val="en-GB" w:eastAsia="fr-FR"/>
              </w:rPr>
              <w:t xml:space="preserve">EIOPA states that one of the objectives of the “enhanced PPP” is to avoid “excessive concentrations”. Article 260 of the Solvency II Delegated Regulation states that </w:t>
            </w:r>
            <w:r>
              <w:rPr>
                <w:rFonts w:ascii="Verdana" w:hAnsi="Verdana"/>
                <w:color w:val="7F7F7F"/>
                <w:sz w:val="22"/>
                <w:szCs w:val="22"/>
                <w:lang w:val="en-GB" w:eastAsia="fr-FR"/>
              </w:rPr>
              <w:t xml:space="preserve">the </w:t>
            </w:r>
            <w:r w:rsidRPr="00741E58">
              <w:rPr>
                <w:rFonts w:ascii="Verdana" w:hAnsi="Verdana"/>
                <w:color w:val="7F7F7F"/>
                <w:sz w:val="22"/>
                <w:szCs w:val="22"/>
                <w:lang w:val="en-GB" w:eastAsia="fr-FR"/>
              </w:rPr>
              <w:t xml:space="preserve">actions to be taken by the insurer to identify relevant sources of concentration risk should ensure that they remain within the established limits and actions to analyse possible </w:t>
            </w:r>
            <w:r w:rsidRPr="00741E58">
              <w:rPr>
                <w:rFonts w:ascii="Verdana" w:hAnsi="Verdana"/>
                <w:color w:val="7F7F7F"/>
                <w:sz w:val="22"/>
                <w:szCs w:val="22"/>
                <w:lang w:val="en-GB" w:eastAsia="fr-FR"/>
              </w:rPr>
              <w:lastRenderedPageBreak/>
              <w:t xml:space="preserve">risks of contagion between concentrated exposures. Before any additional tooling is introduced, EIOPA should assess how this requirement has been implemented and whether it works in practice. </w:t>
            </w:r>
            <w:r>
              <w:rPr>
                <w:rFonts w:ascii="Verdana" w:hAnsi="Verdana"/>
                <w:color w:val="7F7F7F"/>
                <w:sz w:val="22"/>
                <w:szCs w:val="22"/>
                <w:lang w:val="en-GB" w:eastAsia="fr-FR"/>
              </w:rPr>
              <w:t>A</w:t>
            </w:r>
            <w:r w:rsidRPr="00741E58">
              <w:rPr>
                <w:rFonts w:ascii="Verdana" w:hAnsi="Verdana"/>
                <w:color w:val="7F7F7F"/>
                <w:sz w:val="22"/>
                <w:szCs w:val="22"/>
                <w:lang w:val="en-GB" w:eastAsia="fr-FR"/>
              </w:rPr>
              <w:t xml:space="preserve">ny introduction of new </w:t>
            </w:r>
            <w:r>
              <w:rPr>
                <w:rFonts w:ascii="Verdana" w:hAnsi="Verdana"/>
                <w:color w:val="7F7F7F"/>
                <w:sz w:val="22"/>
                <w:szCs w:val="22"/>
                <w:lang w:val="en-GB" w:eastAsia="fr-FR"/>
              </w:rPr>
              <w:t>instruments should be avoided</w:t>
            </w:r>
            <w:r w:rsidRPr="00741E58">
              <w:rPr>
                <w:rFonts w:ascii="Verdana" w:hAnsi="Verdana"/>
                <w:color w:val="7F7F7F"/>
                <w:sz w:val="22"/>
                <w:szCs w:val="22"/>
                <w:lang w:val="en-GB" w:eastAsia="fr-FR"/>
              </w:rPr>
              <w:t xml:space="preserve"> if it duplicates existing requirements.</w:t>
            </w:r>
            <w:r>
              <w:rPr>
                <w:rFonts w:ascii="Verdana" w:hAnsi="Verdana"/>
                <w:color w:val="7F7F7F"/>
                <w:sz w:val="22"/>
                <w:szCs w:val="22"/>
                <w:lang w:val="en-GB" w:eastAsia="fr-FR"/>
              </w:rPr>
              <w:t xml:space="preserve"> </w:t>
            </w:r>
            <w:r w:rsidRPr="00741E58">
              <w:rPr>
                <w:rFonts w:ascii="Verdana" w:hAnsi="Verdana"/>
                <w:color w:val="7F7F7F"/>
                <w:sz w:val="22"/>
                <w:szCs w:val="22"/>
                <w:lang w:val="en-GB" w:eastAsia="fr-FR"/>
              </w:rPr>
              <w:t xml:space="preserve">Calibrating the prudent person principle could lead to collective behaviour and may therefore be counterproductive in the context of systemic risk regulation. </w:t>
            </w:r>
          </w:p>
          <w:p w14:paraId="17CF2E8F" w14:textId="77777777" w:rsidR="006F5ECC" w:rsidRPr="00BA2FBD" w:rsidRDefault="006F5ECC" w:rsidP="00020B14">
            <w:pPr>
              <w:tabs>
                <w:tab w:val="left" w:pos="0"/>
                <w:tab w:val="left" w:pos="4536"/>
              </w:tabs>
              <w:rPr>
                <w:rFonts w:ascii="Verdana" w:hAnsi="Verdana"/>
                <w:color w:val="7F7F7F"/>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0239F1E1"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13A199F1"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3B52DDD" w14:textId="2F374446"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11</w:t>
            </w:r>
          </w:p>
        </w:tc>
        <w:tc>
          <w:tcPr>
            <w:tcW w:w="506" w:type="pct"/>
            <w:gridSpan w:val="2"/>
            <w:tcBorders>
              <w:top w:val="single" w:sz="4" w:space="0" w:color="auto"/>
              <w:left w:val="single" w:sz="4" w:space="0" w:color="auto"/>
              <w:bottom w:val="single" w:sz="4" w:space="0" w:color="auto"/>
              <w:right w:val="single" w:sz="4" w:space="0" w:color="auto"/>
            </w:tcBorders>
          </w:tcPr>
          <w:p w14:paraId="48AD474D" w14:textId="0C014DD4" w:rsidR="006F5ECC" w:rsidRPr="00047EE7" w:rsidRDefault="006F5ECC" w:rsidP="00020B14">
            <w:pPr>
              <w:tabs>
                <w:tab w:val="left" w:pos="0"/>
                <w:tab w:val="left" w:pos="4536"/>
              </w:tabs>
              <w:ind w:left="-96"/>
              <w:rPr>
                <w:sz w:val="20"/>
                <w:szCs w:val="20"/>
                <w:lang w:val="en-US"/>
              </w:rPr>
            </w:pPr>
            <w:r w:rsidRPr="00E26100">
              <w:rPr>
                <w:rFonts w:ascii="Verdana" w:hAnsi="Verdana"/>
                <w:bCs/>
                <w:color w:val="7F7F7F"/>
                <w:sz w:val="22"/>
                <w:szCs w:val="22"/>
                <w:lang w:val="en-GB"/>
              </w:rPr>
              <w:t>106-108</w:t>
            </w:r>
          </w:p>
        </w:tc>
        <w:tc>
          <w:tcPr>
            <w:tcW w:w="1999" w:type="pct"/>
            <w:tcBorders>
              <w:top w:val="single" w:sz="4" w:space="0" w:color="auto"/>
              <w:left w:val="single" w:sz="4" w:space="0" w:color="auto"/>
              <w:bottom w:val="single" w:sz="4" w:space="0" w:color="auto"/>
              <w:right w:val="single" w:sz="4" w:space="0" w:color="auto"/>
            </w:tcBorders>
            <w:vAlign w:val="bottom"/>
          </w:tcPr>
          <w:p w14:paraId="2BA876FE" w14:textId="77777777" w:rsidR="006F5ECC" w:rsidRDefault="006F5ECC" w:rsidP="00020B14">
            <w:pPr>
              <w:tabs>
                <w:tab w:val="left" w:pos="0"/>
                <w:tab w:val="left" w:pos="4536"/>
              </w:tabs>
              <w:rPr>
                <w:rFonts w:ascii="Verdana" w:hAnsi="Verdana"/>
                <w:b/>
                <w:bCs/>
                <w:color w:val="7F7F7F"/>
                <w:sz w:val="22"/>
                <w:szCs w:val="22"/>
                <w:lang w:val="en-GB" w:eastAsia="fr-FR"/>
              </w:rPr>
            </w:pPr>
            <w:r>
              <w:rPr>
                <w:rFonts w:ascii="Verdana" w:hAnsi="Verdana"/>
                <w:b/>
                <w:bCs/>
                <w:color w:val="7F7F7F"/>
                <w:sz w:val="22"/>
                <w:szCs w:val="22"/>
                <w:lang w:val="en-GB" w:eastAsia="fr-FR"/>
              </w:rPr>
              <w:t>EIOPA’s Advice</w:t>
            </w:r>
          </w:p>
          <w:p w14:paraId="3A951F44" w14:textId="2F50031B" w:rsidR="006F5ECC" w:rsidRPr="002C5F09" w:rsidRDefault="006F5ECC" w:rsidP="00020B14">
            <w:pPr>
              <w:tabs>
                <w:tab w:val="left" w:pos="0"/>
                <w:tab w:val="left" w:pos="4536"/>
              </w:tabs>
              <w:rPr>
                <w:rFonts w:ascii="Verdana" w:hAnsi="Verdana"/>
                <w:b/>
                <w:bCs/>
                <w:color w:val="7F7F7F"/>
                <w:sz w:val="22"/>
                <w:szCs w:val="22"/>
                <w:lang w:val="en-GB" w:eastAsia="fr-FR"/>
              </w:rPr>
            </w:pPr>
            <w:r>
              <w:rPr>
                <w:rFonts w:ascii="Verdana" w:hAnsi="Verdana"/>
                <w:color w:val="7F7F7F"/>
                <w:sz w:val="22"/>
                <w:szCs w:val="22"/>
                <w:lang w:val="en-GB" w:eastAsia="fr-FR"/>
              </w:rPr>
              <w:t>We do not believe that an amendment to Article 132 of the Solvency II Directive is needed. We advise to follow the ESRB’s approach by which</w:t>
            </w:r>
            <w:r w:rsidRPr="002C5F09">
              <w:rPr>
                <w:rFonts w:ascii="Verdana" w:hAnsi="Verdana"/>
                <w:color w:val="7F7F7F"/>
                <w:sz w:val="22"/>
                <w:szCs w:val="22"/>
                <w:lang w:val="en-GB" w:eastAsia="fr-FR"/>
              </w:rPr>
              <w:t xml:space="preserve"> the enhancement of the PPP is included in a more principle-based manner</w:t>
            </w:r>
            <w:r>
              <w:rPr>
                <w:rFonts w:ascii="Verdana" w:hAnsi="Verdana"/>
                <w:color w:val="7F7F7F"/>
                <w:sz w:val="22"/>
                <w:szCs w:val="22"/>
                <w:lang w:val="en-GB" w:eastAsia="fr-FR"/>
              </w:rPr>
              <w:t>;</w:t>
            </w:r>
            <w:r w:rsidRPr="002C5F09">
              <w:rPr>
                <w:rFonts w:ascii="Verdana" w:hAnsi="Verdana"/>
                <w:color w:val="7F7F7F"/>
                <w:sz w:val="22"/>
                <w:szCs w:val="22"/>
                <w:lang w:val="en-GB" w:eastAsia="fr-FR"/>
              </w:rPr>
              <w:t xml:space="preserve"> </w:t>
            </w:r>
            <w:r>
              <w:rPr>
                <w:rFonts w:ascii="Verdana" w:hAnsi="Verdana"/>
                <w:color w:val="7F7F7F"/>
                <w:sz w:val="22"/>
                <w:szCs w:val="22"/>
                <w:lang w:val="en-GB" w:eastAsia="fr-FR"/>
              </w:rPr>
              <w:t>According to the ESRB, t</w:t>
            </w:r>
            <w:r w:rsidRPr="002C5F09">
              <w:rPr>
                <w:rFonts w:ascii="Verdana" w:hAnsi="Verdana"/>
                <w:color w:val="7F7F7F"/>
                <w:sz w:val="22"/>
                <w:szCs w:val="22"/>
                <w:lang w:val="en-GB" w:eastAsia="fr-FR"/>
              </w:rPr>
              <w:t xml:space="preserve">he prudent person principle could be extended </w:t>
            </w:r>
            <w:r>
              <w:rPr>
                <w:rFonts w:ascii="Verdana" w:hAnsi="Verdana"/>
                <w:color w:val="7F7F7F"/>
                <w:sz w:val="22"/>
                <w:szCs w:val="22"/>
                <w:lang w:val="en-GB" w:eastAsia="fr-FR"/>
              </w:rPr>
              <w:t>“</w:t>
            </w:r>
            <w:r w:rsidRPr="00E26100">
              <w:rPr>
                <w:rFonts w:ascii="Verdana" w:hAnsi="Verdana"/>
                <w:i/>
                <w:iCs/>
                <w:color w:val="7F7F7F"/>
                <w:sz w:val="22"/>
                <w:szCs w:val="22"/>
                <w:lang w:val="en-GB" w:eastAsia="fr-FR"/>
              </w:rPr>
              <w:t>by incentivizing insurers to explicitly take into account the behaviour of other market participants, macroprudential risks and market trends when analyzing the diversification and liquidity of their own investment portfolios</w:t>
            </w:r>
            <w:r w:rsidRPr="002C5F09">
              <w:rPr>
                <w:rFonts w:ascii="Verdana" w:hAnsi="Verdana"/>
                <w:color w:val="7F7F7F"/>
                <w:sz w:val="22"/>
                <w:szCs w:val="22"/>
                <w:lang w:val="en-GB" w:eastAsia="fr-FR"/>
              </w:rPr>
              <w:t xml:space="preserve">. </w:t>
            </w:r>
            <w:r w:rsidRPr="00E26100">
              <w:rPr>
                <w:rFonts w:ascii="Verdana" w:hAnsi="Verdana"/>
                <w:i/>
                <w:iCs/>
                <w:color w:val="7F7F7F"/>
                <w:sz w:val="22"/>
                <w:szCs w:val="22"/>
                <w:lang w:val="en-GB" w:eastAsia="fr-FR"/>
              </w:rPr>
              <w:t>This would require supervisors to publish information about aggregate exposures and trends and develop guidance, which should be considered by the insurer</w:t>
            </w:r>
            <w:r w:rsidRPr="002C5F09">
              <w:rPr>
                <w:rFonts w:ascii="Verdana" w:hAnsi="Verdana"/>
                <w:color w:val="7F7F7F"/>
                <w:sz w:val="22"/>
                <w:szCs w:val="22"/>
                <w:lang w:val="en-GB" w:eastAsia="fr-FR"/>
              </w:rPr>
              <w:t xml:space="preserve">.” </w:t>
            </w:r>
          </w:p>
        </w:tc>
        <w:tc>
          <w:tcPr>
            <w:tcW w:w="483" w:type="pct"/>
            <w:tcBorders>
              <w:top w:val="single" w:sz="4" w:space="0" w:color="auto"/>
              <w:left w:val="single" w:sz="4" w:space="0" w:color="auto"/>
              <w:bottom w:val="single" w:sz="4" w:space="0" w:color="auto"/>
              <w:right w:val="single" w:sz="4" w:space="0" w:color="auto"/>
            </w:tcBorders>
          </w:tcPr>
          <w:p w14:paraId="05DD3E09"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1360A5" w14:paraId="0D7A16CF"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123F575D" w14:textId="77777777" w:rsidR="006F5ECC" w:rsidRPr="00F0251A" w:rsidRDefault="006F5ECC" w:rsidP="00020B14">
            <w:pPr>
              <w:tabs>
                <w:tab w:val="left" w:pos="0"/>
                <w:tab w:val="left" w:pos="4536"/>
              </w:tabs>
              <w:rPr>
                <w:color w:val="7F7F7F" w:themeColor="text1" w:themeTint="80"/>
                <w:sz w:val="22"/>
                <w:szCs w:val="22"/>
                <w:lang w:val="en-US"/>
              </w:rPr>
            </w:pPr>
            <w:r w:rsidRPr="00F0251A">
              <w:rPr>
                <w:rFonts w:ascii="Verdana" w:eastAsia="Verdana" w:hAnsi="Verdana" w:cs="Verdana"/>
                <w:b/>
                <w:bCs/>
                <w:color w:val="7F7F7F" w:themeColor="text1" w:themeTint="80"/>
                <w:sz w:val="22"/>
                <w:szCs w:val="22"/>
                <w:lang w:val="en-US"/>
              </w:rPr>
              <w:t>11.4.5. Pre-emptive recovery and resolution planning</w:t>
            </w:r>
          </w:p>
          <w:p w14:paraId="446262EE" w14:textId="77777777" w:rsidR="006F5ECC" w:rsidRPr="00F0251A" w:rsidRDefault="006F5ECC" w:rsidP="00020B14">
            <w:pPr>
              <w:tabs>
                <w:tab w:val="left" w:pos="0"/>
                <w:tab w:val="left" w:pos="4536"/>
              </w:tabs>
              <w:rPr>
                <w:color w:val="7F7F7F" w:themeColor="text1" w:themeTint="80"/>
                <w:sz w:val="22"/>
                <w:szCs w:val="22"/>
                <w:lang w:val="en-US" w:eastAsia="fr-FR"/>
              </w:rPr>
            </w:pPr>
          </w:p>
        </w:tc>
      </w:tr>
      <w:tr w:rsidR="00FC5744" w:rsidRPr="001360A5" w14:paraId="1D05F74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F1A59D4" w14:textId="5854F6D2"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11</w:t>
            </w:r>
          </w:p>
        </w:tc>
        <w:tc>
          <w:tcPr>
            <w:tcW w:w="506" w:type="pct"/>
            <w:gridSpan w:val="2"/>
            <w:tcBorders>
              <w:top w:val="single" w:sz="4" w:space="0" w:color="auto"/>
              <w:left w:val="single" w:sz="4" w:space="0" w:color="auto"/>
              <w:bottom w:val="single" w:sz="4" w:space="0" w:color="auto"/>
              <w:right w:val="single" w:sz="4" w:space="0" w:color="auto"/>
            </w:tcBorders>
          </w:tcPr>
          <w:p w14:paraId="20F4EE16" w14:textId="6070804D" w:rsidR="006F5ECC" w:rsidRPr="00753972" w:rsidRDefault="006F5ECC" w:rsidP="00020B14">
            <w:pPr>
              <w:tabs>
                <w:tab w:val="left" w:pos="0"/>
                <w:tab w:val="left" w:pos="4536"/>
              </w:tabs>
              <w:ind w:left="-96"/>
              <w:rPr>
                <w:rFonts w:ascii="Verdana" w:hAnsi="Verdana"/>
                <w:b/>
                <w:bCs/>
                <w:color w:val="7F7F7F" w:themeColor="text1" w:themeTint="80"/>
                <w:sz w:val="22"/>
                <w:szCs w:val="22"/>
                <w:lang w:val="en-US"/>
              </w:rPr>
            </w:pPr>
            <w:r w:rsidRPr="00753972">
              <w:rPr>
                <w:rFonts w:ascii="Verdana" w:hAnsi="Verdana"/>
                <w:b/>
                <w:bCs/>
                <w:color w:val="7F7F7F" w:themeColor="text1" w:themeTint="80"/>
                <w:sz w:val="22"/>
                <w:szCs w:val="22"/>
                <w:lang w:val="en-US"/>
              </w:rPr>
              <w:t>Question to stakeholders?</w:t>
            </w:r>
          </w:p>
        </w:tc>
        <w:tc>
          <w:tcPr>
            <w:tcW w:w="1999" w:type="pct"/>
            <w:tcBorders>
              <w:top w:val="single" w:sz="4" w:space="0" w:color="auto"/>
              <w:left w:val="single" w:sz="4" w:space="0" w:color="auto"/>
              <w:bottom w:val="single" w:sz="4" w:space="0" w:color="auto"/>
              <w:right w:val="single" w:sz="4" w:space="0" w:color="auto"/>
            </w:tcBorders>
            <w:vAlign w:val="bottom"/>
          </w:tcPr>
          <w:p w14:paraId="79F879F2" w14:textId="70822448" w:rsidR="006F5ECC" w:rsidRPr="00753972" w:rsidRDefault="006F5ECC" w:rsidP="00020B14">
            <w:pPr>
              <w:tabs>
                <w:tab w:val="left" w:pos="0"/>
                <w:tab w:val="left" w:pos="4536"/>
              </w:tabs>
              <w:spacing w:line="238" w:lineRule="auto"/>
              <w:ind w:right="80" w:hanging="565"/>
              <w:rPr>
                <w:rFonts w:ascii="Verdana" w:eastAsia="Verdana" w:hAnsi="Verdana" w:cs="Verdana"/>
                <w:color w:val="7F7F7F" w:themeColor="text1" w:themeTint="80"/>
                <w:sz w:val="22"/>
                <w:szCs w:val="22"/>
                <w:lang w:val="en-US"/>
              </w:rPr>
            </w:pPr>
            <w:r w:rsidRPr="00753972">
              <w:rPr>
                <w:rFonts w:ascii="Verdana" w:eastAsia="Verdana" w:hAnsi="Verdana" w:cs="Verdana"/>
                <w:b/>
                <w:bCs/>
                <w:color w:val="7F7F7F" w:themeColor="text1" w:themeTint="80"/>
                <w:sz w:val="22"/>
                <w:szCs w:val="22"/>
                <w:lang w:val="en-US"/>
              </w:rPr>
              <w:t>Q11.4: What are the relevant factors to be taken into account to determine the scope of undertakings subject to SRMPs?</w:t>
            </w:r>
          </w:p>
          <w:p w14:paraId="793321F4" w14:textId="03390DA7" w:rsidR="006F5ECC" w:rsidRPr="00753972" w:rsidRDefault="006F5ECC" w:rsidP="00020B14">
            <w:pPr>
              <w:tabs>
                <w:tab w:val="left" w:pos="0"/>
                <w:tab w:val="left" w:pos="4536"/>
              </w:tabs>
              <w:spacing w:after="120" w:line="238" w:lineRule="auto"/>
              <w:ind w:right="79"/>
              <w:rPr>
                <w:rFonts w:ascii="Verdana" w:hAnsi="Verdana"/>
                <w:color w:val="7F7F7F" w:themeColor="text1" w:themeTint="80"/>
                <w:sz w:val="22"/>
                <w:szCs w:val="22"/>
                <w:lang w:val="en-US"/>
              </w:rPr>
            </w:pPr>
            <w:r w:rsidRPr="00753972">
              <w:rPr>
                <w:rFonts w:ascii="Verdana" w:hAnsi="Verdana"/>
                <w:color w:val="7F7F7F" w:themeColor="text1" w:themeTint="80"/>
                <w:sz w:val="22"/>
                <w:szCs w:val="22"/>
                <w:lang w:val="en-US"/>
              </w:rPr>
              <w:t xml:space="preserve">Some criteria to be </w:t>
            </w:r>
            <w:r w:rsidRPr="00395661">
              <w:rPr>
                <w:rFonts w:ascii="Verdana" w:hAnsi="Verdana"/>
                <w:color w:val="7F7F7F" w:themeColor="text1" w:themeTint="80"/>
                <w:sz w:val="22"/>
                <w:szCs w:val="22"/>
                <w:lang w:val="en-US"/>
              </w:rPr>
              <w:t xml:space="preserve">taken into account can </w:t>
            </w:r>
            <w:r w:rsidRPr="00753972">
              <w:rPr>
                <w:rFonts w:ascii="Verdana" w:hAnsi="Verdana"/>
                <w:color w:val="7F7F7F" w:themeColor="text1" w:themeTint="80"/>
                <w:sz w:val="22"/>
                <w:szCs w:val="22"/>
                <w:lang w:val="en-US"/>
              </w:rPr>
              <w:t xml:space="preserve">be the following: </w:t>
            </w:r>
          </w:p>
          <w:p w14:paraId="5D6CBC18" w14:textId="6A20829C" w:rsidR="006F5ECC" w:rsidRPr="00753972" w:rsidRDefault="006F5ECC" w:rsidP="00020B14">
            <w:pPr>
              <w:tabs>
                <w:tab w:val="left" w:pos="0"/>
                <w:tab w:val="left" w:pos="4536"/>
              </w:tabs>
              <w:spacing w:after="120" w:line="238" w:lineRule="auto"/>
              <w:ind w:right="79"/>
              <w:rPr>
                <w:rFonts w:ascii="Verdana" w:hAnsi="Verdana"/>
                <w:color w:val="7F7F7F" w:themeColor="text1" w:themeTint="80"/>
                <w:sz w:val="22"/>
                <w:szCs w:val="22"/>
                <w:lang w:val="en-US"/>
              </w:rPr>
            </w:pPr>
            <w:r w:rsidRPr="00753972">
              <w:rPr>
                <w:rFonts w:ascii="Verdana" w:hAnsi="Verdana"/>
                <w:color w:val="7F7F7F" w:themeColor="text1" w:themeTint="80"/>
                <w:sz w:val="22"/>
                <w:szCs w:val="22"/>
                <w:lang w:val="en-US"/>
              </w:rPr>
              <w:t xml:space="preserve">1) relative importance for the European Union and Member states; </w:t>
            </w:r>
          </w:p>
          <w:p w14:paraId="4B1B6D1B" w14:textId="77777777" w:rsidR="006F5ECC" w:rsidRPr="00753972" w:rsidRDefault="006F5ECC" w:rsidP="00020B14">
            <w:pPr>
              <w:tabs>
                <w:tab w:val="left" w:pos="0"/>
                <w:tab w:val="left" w:pos="4536"/>
              </w:tabs>
              <w:spacing w:after="120" w:line="238" w:lineRule="auto"/>
              <w:ind w:right="79"/>
              <w:rPr>
                <w:rFonts w:ascii="Verdana" w:hAnsi="Verdana"/>
                <w:color w:val="7F7F7F" w:themeColor="text1" w:themeTint="80"/>
                <w:sz w:val="22"/>
                <w:szCs w:val="22"/>
                <w:lang w:val="en-US"/>
              </w:rPr>
            </w:pPr>
            <w:r w:rsidRPr="00753972">
              <w:rPr>
                <w:rFonts w:ascii="Verdana" w:hAnsi="Verdana"/>
                <w:color w:val="7F7F7F" w:themeColor="text1" w:themeTint="80"/>
                <w:sz w:val="22"/>
                <w:szCs w:val="22"/>
                <w:lang w:val="en-US"/>
              </w:rPr>
              <w:lastRenderedPageBreak/>
              <w:t xml:space="preserve">2) interconnectedness (internally and externally), however not all relations are risky. This would imply that a reference should be made to net risk; </w:t>
            </w:r>
          </w:p>
          <w:p w14:paraId="7D8A9500" w14:textId="77777777" w:rsidR="006F5ECC" w:rsidRPr="00753972" w:rsidRDefault="006F5ECC" w:rsidP="00020B14">
            <w:pPr>
              <w:tabs>
                <w:tab w:val="left" w:pos="0"/>
                <w:tab w:val="left" w:pos="4536"/>
              </w:tabs>
              <w:spacing w:after="120" w:line="238" w:lineRule="auto"/>
              <w:ind w:right="79"/>
              <w:rPr>
                <w:rFonts w:ascii="Verdana" w:hAnsi="Verdana"/>
                <w:color w:val="7F7F7F" w:themeColor="text1" w:themeTint="80"/>
                <w:sz w:val="22"/>
                <w:szCs w:val="22"/>
                <w:lang w:val="en-US"/>
              </w:rPr>
            </w:pPr>
            <w:r w:rsidRPr="00753972">
              <w:rPr>
                <w:rFonts w:ascii="Verdana" w:hAnsi="Verdana"/>
                <w:color w:val="7F7F7F" w:themeColor="text1" w:themeTint="80"/>
                <w:sz w:val="22"/>
                <w:szCs w:val="22"/>
                <w:lang w:val="en-US"/>
              </w:rPr>
              <w:t xml:space="preserve">3) ability to absorb volatility; and </w:t>
            </w:r>
          </w:p>
          <w:p w14:paraId="4BB6D1C5" w14:textId="7635805E" w:rsidR="006F5ECC" w:rsidRPr="00753972" w:rsidRDefault="006F5ECC" w:rsidP="00020B14">
            <w:pPr>
              <w:tabs>
                <w:tab w:val="left" w:pos="0"/>
                <w:tab w:val="left" w:pos="4536"/>
              </w:tabs>
              <w:spacing w:line="238" w:lineRule="auto"/>
              <w:ind w:right="80"/>
              <w:rPr>
                <w:rFonts w:ascii="Verdana" w:hAnsi="Verdana"/>
                <w:color w:val="7F7F7F" w:themeColor="text1" w:themeTint="80"/>
                <w:sz w:val="22"/>
                <w:szCs w:val="22"/>
                <w:lang w:val="en-US"/>
              </w:rPr>
            </w:pPr>
            <w:r w:rsidRPr="00753972">
              <w:rPr>
                <w:rFonts w:ascii="Verdana" w:hAnsi="Verdana"/>
                <w:color w:val="7F7F7F" w:themeColor="text1" w:themeTint="80"/>
                <w:sz w:val="22"/>
                <w:szCs w:val="22"/>
                <w:lang w:val="en-US"/>
              </w:rPr>
              <w:t>4) level of competitiveness in the market (niche-player, number of insurers in the market, etc.).</w:t>
            </w:r>
          </w:p>
          <w:p w14:paraId="6F5E9430" w14:textId="77777777" w:rsidR="006F5ECC" w:rsidRPr="00753972" w:rsidRDefault="006F5ECC" w:rsidP="00020B14">
            <w:pPr>
              <w:tabs>
                <w:tab w:val="left" w:pos="0"/>
                <w:tab w:val="left" w:pos="4536"/>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1A67D93F"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1360A5" w14:paraId="5B32981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3567"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65C53FEF" w14:textId="1A551509" w:rsidR="006F5ECC" w:rsidRPr="00CE72D2" w:rsidRDefault="006F5ECC" w:rsidP="00020B14">
            <w:pPr>
              <w:tabs>
                <w:tab w:val="left" w:pos="0"/>
                <w:tab w:val="left" w:pos="4536"/>
              </w:tabs>
              <w:rPr>
                <w:rFonts w:ascii="Verdana" w:hAnsi="Verdana"/>
                <w:b/>
                <w:bCs/>
                <w:color w:val="000000"/>
                <w:sz w:val="22"/>
                <w:szCs w:val="22"/>
                <w:lang w:val="en-GB" w:eastAsia="fr-FR"/>
              </w:rPr>
            </w:pPr>
            <w:r w:rsidRPr="00CE72D2">
              <w:rPr>
                <w:rFonts w:ascii="Verdana" w:hAnsi="Verdana"/>
                <w:b/>
                <w:bCs/>
                <w:color w:val="7F7F7F" w:themeColor="text1" w:themeTint="80"/>
                <w:sz w:val="22"/>
                <w:szCs w:val="22"/>
                <w:lang w:val="en-GB" w:eastAsia="fr-FR"/>
              </w:rPr>
              <w:t>11.4.7</w:t>
            </w:r>
            <w:r>
              <w:rPr>
                <w:rFonts w:ascii="Verdana" w:hAnsi="Verdana"/>
                <w:b/>
                <w:bCs/>
                <w:color w:val="7F7F7F" w:themeColor="text1" w:themeTint="80"/>
                <w:sz w:val="22"/>
                <w:szCs w:val="22"/>
                <w:lang w:val="en-GB" w:eastAsia="fr-FR"/>
              </w:rPr>
              <w:t xml:space="preserve"> Liquidity risk management planning and reporting</w:t>
            </w:r>
          </w:p>
        </w:tc>
      </w:tr>
      <w:tr w:rsidR="00FC5744" w:rsidRPr="001360A5" w14:paraId="3349EEF0"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C735365" w14:textId="5127E1F4"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11</w:t>
            </w:r>
          </w:p>
        </w:tc>
        <w:tc>
          <w:tcPr>
            <w:tcW w:w="506" w:type="pct"/>
            <w:gridSpan w:val="2"/>
            <w:tcBorders>
              <w:top w:val="single" w:sz="4" w:space="0" w:color="auto"/>
              <w:left w:val="single" w:sz="4" w:space="0" w:color="auto"/>
              <w:bottom w:val="single" w:sz="4" w:space="0" w:color="auto"/>
              <w:right w:val="single" w:sz="4" w:space="0" w:color="auto"/>
            </w:tcBorders>
          </w:tcPr>
          <w:p w14:paraId="3F530689" w14:textId="57C74D74" w:rsidR="006F5ECC" w:rsidRPr="00753972" w:rsidRDefault="006F5ECC" w:rsidP="00020B14">
            <w:pPr>
              <w:tabs>
                <w:tab w:val="left" w:pos="0"/>
                <w:tab w:val="left" w:pos="4536"/>
              </w:tabs>
              <w:ind w:left="-96"/>
              <w:rPr>
                <w:rFonts w:ascii="Verdana" w:hAnsi="Verdana"/>
                <w:color w:val="7F7F7F" w:themeColor="text1" w:themeTint="80"/>
                <w:sz w:val="22"/>
                <w:szCs w:val="22"/>
                <w:lang w:val="en-US"/>
              </w:rPr>
            </w:pPr>
            <w:r w:rsidRPr="00753972">
              <w:rPr>
                <w:rFonts w:ascii="Verdana" w:hAnsi="Verdana"/>
                <w:color w:val="7F7F7F" w:themeColor="text1" w:themeTint="80"/>
                <w:sz w:val="22"/>
                <w:szCs w:val="22"/>
                <w:lang w:val="en-US"/>
              </w:rPr>
              <w:t>130</w:t>
            </w:r>
          </w:p>
        </w:tc>
        <w:tc>
          <w:tcPr>
            <w:tcW w:w="1999" w:type="pct"/>
            <w:tcBorders>
              <w:top w:val="single" w:sz="4" w:space="0" w:color="auto"/>
              <w:left w:val="single" w:sz="4" w:space="0" w:color="auto"/>
              <w:bottom w:val="single" w:sz="4" w:space="0" w:color="auto"/>
              <w:right w:val="single" w:sz="4" w:space="0" w:color="auto"/>
            </w:tcBorders>
            <w:vAlign w:val="bottom"/>
          </w:tcPr>
          <w:p w14:paraId="6F2E7C20" w14:textId="2DE64367" w:rsidR="006F5ECC" w:rsidRPr="00753972" w:rsidRDefault="006F5ECC" w:rsidP="00020B14">
            <w:pPr>
              <w:tabs>
                <w:tab w:val="left" w:pos="0"/>
                <w:tab w:val="left" w:pos="4536"/>
              </w:tabs>
              <w:rPr>
                <w:rFonts w:ascii="Verdana" w:hAnsi="Verdana"/>
                <w:color w:val="7F7F7F" w:themeColor="text1" w:themeTint="80"/>
                <w:sz w:val="22"/>
                <w:szCs w:val="22"/>
                <w:lang w:val="en-GB" w:eastAsia="fr-FR"/>
              </w:rPr>
            </w:pPr>
            <w:r w:rsidRPr="00640DD3">
              <w:rPr>
                <w:rFonts w:ascii="Verdana" w:hAnsi="Verdana"/>
                <w:color w:val="7F7F7F" w:themeColor="text1" w:themeTint="80"/>
                <w:sz w:val="22"/>
                <w:szCs w:val="22"/>
                <w:lang w:val="en-GB" w:eastAsia="fr-FR"/>
              </w:rPr>
              <w:t>The elements mentioned by EIOPA are already part of the current practices of undertakings around liquidity risk management. This is also mentioned in guidelines 18 and 26 from EIOPA Guidelines on Governance and Articles 259 and 260 of the Solvency II Delegated regulation.</w:t>
            </w:r>
          </w:p>
        </w:tc>
        <w:tc>
          <w:tcPr>
            <w:tcW w:w="483" w:type="pct"/>
            <w:tcBorders>
              <w:top w:val="single" w:sz="4" w:space="0" w:color="auto"/>
              <w:left w:val="single" w:sz="4" w:space="0" w:color="auto"/>
              <w:bottom w:val="single" w:sz="4" w:space="0" w:color="auto"/>
              <w:right w:val="single" w:sz="4" w:space="0" w:color="auto"/>
            </w:tcBorders>
          </w:tcPr>
          <w:p w14:paraId="655CC6F7" w14:textId="77777777" w:rsidR="006F5ECC" w:rsidRPr="00FE3045" w:rsidRDefault="006F5ECC" w:rsidP="00020B14">
            <w:pPr>
              <w:tabs>
                <w:tab w:val="left" w:pos="0"/>
                <w:tab w:val="left" w:pos="4536"/>
              </w:tabs>
              <w:ind w:left="-96"/>
              <w:rPr>
                <w:color w:val="000000"/>
                <w:sz w:val="22"/>
                <w:szCs w:val="22"/>
                <w:lang w:val="en-GB" w:eastAsia="fr-FR"/>
              </w:rPr>
            </w:pPr>
          </w:p>
        </w:tc>
      </w:tr>
      <w:tr w:rsidR="00FC5744" w:rsidRPr="001360A5" w14:paraId="17854EA7"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D30BA93" w14:textId="32204B6A"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11</w:t>
            </w:r>
          </w:p>
        </w:tc>
        <w:tc>
          <w:tcPr>
            <w:tcW w:w="506" w:type="pct"/>
            <w:gridSpan w:val="2"/>
            <w:tcBorders>
              <w:top w:val="single" w:sz="4" w:space="0" w:color="auto"/>
              <w:left w:val="single" w:sz="4" w:space="0" w:color="auto"/>
              <w:bottom w:val="single" w:sz="4" w:space="0" w:color="auto"/>
              <w:right w:val="single" w:sz="4" w:space="0" w:color="auto"/>
            </w:tcBorders>
          </w:tcPr>
          <w:p w14:paraId="11725C9E" w14:textId="0BD294DA" w:rsidR="006F5ECC" w:rsidRPr="00753972" w:rsidRDefault="006F5ECC" w:rsidP="00020B14">
            <w:pPr>
              <w:tabs>
                <w:tab w:val="left" w:pos="0"/>
                <w:tab w:val="left" w:pos="4536"/>
              </w:tabs>
              <w:ind w:left="-96"/>
              <w:rPr>
                <w:rFonts w:ascii="Verdana" w:hAnsi="Verdana"/>
                <w:b/>
                <w:bCs/>
                <w:color w:val="7F7F7F" w:themeColor="text1" w:themeTint="80"/>
                <w:sz w:val="22"/>
                <w:szCs w:val="22"/>
                <w:lang w:val="en-US"/>
              </w:rPr>
            </w:pPr>
            <w:r w:rsidRPr="00753972">
              <w:rPr>
                <w:rFonts w:ascii="Verdana" w:hAnsi="Verdana"/>
                <w:b/>
                <w:bCs/>
                <w:color w:val="7F7F7F" w:themeColor="text1" w:themeTint="80"/>
                <w:sz w:val="22"/>
                <w:szCs w:val="22"/>
                <w:lang w:val="en-US"/>
              </w:rPr>
              <w:t>Question to stakeholders</w:t>
            </w:r>
          </w:p>
        </w:tc>
        <w:tc>
          <w:tcPr>
            <w:tcW w:w="1999" w:type="pct"/>
            <w:tcBorders>
              <w:top w:val="single" w:sz="4" w:space="0" w:color="auto"/>
              <w:left w:val="single" w:sz="4" w:space="0" w:color="auto"/>
              <w:bottom w:val="single" w:sz="4" w:space="0" w:color="auto"/>
              <w:right w:val="single" w:sz="4" w:space="0" w:color="auto"/>
            </w:tcBorders>
            <w:vAlign w:val="bottom"/>
          </w:tcPr>
          <w:p w14:paraId="2D53BF8E" w14:textId="77777777" w:rsidR="006F5ECC" w:rsidRPr="00753972" w:rsidRDefault="006F5ECC" w:rsidP="00020B14">
            <w:pPr>
              <w:tabs>
                <w:tab w:val="left" w:pos="0"/>
                <w:tab w:val="left" w:pos="4536"/>
              </w:tabs>
              <w:spacing w:before="120" w:after="120"/>
              <w:ind w:right="79" w:hanging="567"/>
              <w:rPr>
                <w:b/>
                <w:bCs/>
                <w:color w:val="7F7F7F" w:themeColor="text1" w:themeTint="80"/>
                <w:sz w:val="22"/>
                <w:szCs w:val="22"/>
                <w:lang w:val="en-US"/>
              </w:rPr>
            </w:pPr>
            <w:r w:rsidRPr="00753972">
              <w:rPr>
                <w:rFonts w:ascii="Verdana" w:eastAsia="Verdana" w:hAnsi="Verdana" w:cs="Verdana"/>
                <w:b/>
                <w:bCs/>
                <w:color w:val="7F7F7F" w:themeColor="text1" w:themeTint="80"/>
                <w:sz w:val="22"/>
                <w:szCs w:val="22"/>
                <w:lang w:val="en-US"/>
              </w:rPr>
              <w:t>Q11.5: What are the relevant factors to be taken into account to determine the scope of undertakings subject to LRMPs?</w:t>
            </w:r>
          </w:p>
          <w:p w14:paraId="6C9D4974" w14:textId="1A30EEB7" w:rsidR="006F5ECC" w:rsidRPr="00753972" w:rsidRDefault="006F5ECC" w:rsidP="00020B14">
            <w:pPr>
              <w:tabs>
                <w:tab w:val="left" w:pos="0"/>
                <w:tab w:val="left" w:pos="4536"/>
              </w:tabs>
              <w:rPr>
                <w:rFonts w:ascii="Verdana" w:hAnsi="Verdana"/>
                <w:color w:val="7F7F7F" w:themeColor="text1" w:themeTint="80"/>
                <w:sz w:val="22"/>
                <w:szCs w:val="22"/>
                <w:lang w:val="en-GB" w:eastAsia="fr-FR"/>
              </w:rPr>
            </w:pPr>
            <w:r w:rsidRPr="00753972">
              <w:rPr>
                <w:rFonts w:ascii="Verdana" w:hAnsi="Verdana"/>
                <w:color w:val="7F7F7F" w:themeColor="text1" w:themeTint="80"/>
                <w:sz w:val="22"/>
                <w:szCs w:val="22"/>
                <w:lang w:val="en-GB" w:eastAsia="fr-FR"/>
              </w:rPr>
              <w:t xml:space="preserve">In our opinion, additional tooling is not necessary, as these are already envisaged in the current Solvency legislation. EIOPA could revisit their guidance on liquidity risk management, if deemed necessary. </w:t>
            </w:r>
          </w:p>
          <w:p w14:paraId="76A9C449" w14:textId="6917E4B8" w:rsidR="006F5ECC" w:rsidRPr="00753972" w:rsidRDefault="006F5ECC" w:rsidP="00020B14">
            <w:pPr>
              <w:tabs>
                <w:tab w:val="left" w:pos="0"/>
                <w:tab w:val="left" w:pos="4536"/>
              </w:tabs>
              <w:spacing w:line="276" w:lineRule="auto"/>
              <w:rPr>
                <w:rFonts w:ascii="Verdana" w:hAnsi="Verdana"/>
                <w:color w:val="7F7F7F" w:themeColor="text1" w:themeTint="80"/>
                <w:sz w:val="22"/>
                <w:szCs w:val="22"/>
                <w:lang w:val="en-GB" w:eastAsia="fr-FR"/>
              </w:rPr>
            </w:pPr>
          </w:p>
          <w:p w14:paraId="6B57CA40" w14:textId="77777777" w:rsidR="006F5ECC" w:rsidRPr="00753972" w:rsidRDefault="006F5ECC" w:rsidP="00020B14">
            <w:pPr>
              <w:tabs>
                <w:tab w:val="left" w:pos="0"/>
                <w:tab w:val="left" w:pos="4536"/>
              </w:tabs>
              <w:spacing w:line="200" w:lineRule="exact"/>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21F6E393"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1360A5" w14:paraId="3CED374F"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3567" w:type="pct"/>
            <w:gridSpan w:val="5"/>
            <w:tcBorders>
              <w:top w:val="single" w:sz="4" w:space="0" w:color="auto"/>
              <w:left w:val="single" w:sz="4" w:space="0" w:color="auto"/>
              <w:bottom w:val="single" w:sz="4" w:space="0" w:color="auto"/>
              <w:right w:val="single" w:sz="4" w:space="0" w:color="auto"/>
            </w:tcBorders>
            <w:shd w:val="clear" w:color="auto" w:fill="auto"/>
            <w:noWrap/>
          </w:tcPr>
          <w:p w14:paraId="0C2685F1" w14:textId="6A1502A5" w:rsidR="006F5ECC" w:rsidRPr="00F87F3A" w:rsidRDefault="006F5ECC" w:rsidP="00020B14">
            <w:pPr>
              <w:tabs>
                <w:tab w:val="left" w:pos="0"/>
                <w:tab w:val="left" w:pos="4536"/>
              </w:tabs>
              <w:rPr>
                <w:rFonts w:ascii="Verdana" w:hAnsi="Verdana"/>
                <w:b/>
                <w:bCs/>
                <w:color w:val="7F7F7F" w:themeColor="text1" w:themeTint="80"/>
                <w:sz w:val="22"/>
                <w:szCs w:val="22"/>
                <w:lang w:val="en-GB" w:eastAsia="fr-FR"/>
              </w:rPr>
            </w:pPr>
            <w:r>
              <w:rPr>
                <w:rFonts w:ascii="Verdana" w:hAnsi="Verdana"/>
                <w:b/>
                <w:bCs/>
                <w:color w:val="7F7F7F" w:themeColor="text1" w:themeTint="80"/>
                <w:sz w:val="22"/>
                <w:szCs w:val="22"/>
                <w:lang w:val="en-GB" w:eastAsia="fr-FR"/>
              </w:rPr>
              <w:t>11.4.8 Temporary freeze on redemption rights</w:t>
            </w:r>
          </w:p>
        </w:tc>
      </w:tr>
      <w:tr w:rsidR="00FC5744" w:rsidRPr="001360A5" w14:paraId="3AEF3D4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23F86315" w14:textId="4D02C99D"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11</w:t>
            </w:r>
          </w:p>
        </w:tc>
        <w:tc>
          <w:tcPr>
            <w:tcW w:w="506" w:type="pct"/>
            <w:gridSpan w:val="2"/>
            <w:tcBorders>
              <w:top w:val="single" w:sz="4" w:space="0" w:color="auto"/>
              <w:left w:val="single" w:sz="4" w:space="0" w:color="auto"/>
              <w:bottom w:val="single" w:sz="4" w:space="0" w:color="auto"/>
              <w:right w:val="single" w:sz="4" w:space="0" w:color="auto"/>
            </w:tcBorders>
          </w:tcPr>
          <w:p w14:paraId="0AFDD966" w14:textId="7EFD5E9A" w:rsidR="006F5ECC" w:rsidRPr="00753972" w:rsidRDefault="006F5ECC" w:rsidP="00020B14">
            <w:pPr>
              <w:tabs>
                <w:tab w:val="left" w:pos="0"/>
                <w:tab w:val="left" w:pos="4536"/>
              </w:tabs>
              <w:ind w:left="-96"/>
              <w:rPr>
                <w:rFonts w:ascii="Verdana" w:hAnsi="Verdana"/>
                <w:b/>
                <w:bCs/>
                <w:color w:val="7F7F7F" w:themeColor="text1" w:themeTint="80"/>
                <w:sz w:val="22"/>
                <w:szCs w:val="22"/>
                <w:lang w:val="en-US"/>
              </w:rPr>
            </w:pPr>
            <w:r w:rsidRPr="00753972">
              <w:rPr>
                <w:rFonts w:ascii="Verdana" w:hAnsi="Verdana"/>
                <w:b/>
                <w:bCs/>
                <w:color w:val="7F7F7F" w:themeColor="text1" w:themeTint="80"/>
                <w:sz w:val="22"/>
                <w:szCs w:val="22"/>
                <w:lang w:val="en-US"/>
              </w:rPr>
              <w:t>Question to stakeholders</w:t>
            </w:r>
          </w:p>
        </w:tc>
        <w:tc>
          <w:tcPr>
            <w:tcW w:w="1999" w:type="pct"/>
            <w:tcBorders>
              <w:top w:val="single" w:sz="4" w:space="0" w:color="auto"/>
              <w:left w:val="single" w:sz="4" w:space="0" w:color="auto"/>
              <w:bottom w:val="single" w:sz="4" w:space="0" w:color="auto"/>
              <w:right w:val="single" w:sz="4" w:space="0" w:color="auto"/>
            </w:tcBorders>
            <w:vAlign w:val="bottom"/>
          </w:tcPr>
          <w:p w14:paraId="59234097" w14:textId="77777777" w:rsidR="006F5ECC" w:rsidRDefault="006F5ECC" w:rsidP="00020B14">
            <w:pPr>
              <w:tabs>
                <w:tab w:val="left" w:pos="0"/>
                <w:tab w:val="left" w:pos="4536"/>
              </w:tabs>
              <w:spacing w:before="120" w:after="120"/>
              <w:ind w:right="79" w:hanging="567"/>
              <w:rPr>
                <w:rFonts w:ascii="Verdana" w:hAnsi="Verdana"/>
                <w:b/>
                <w:bCs/>
                <w:color w:val="7F7F7F"/>
                <w:sz w:val="22"/>
                <w:szCs w:val="22"/>
                <w:lang w:val="en-GB" w:eastAsia="fr-FR"/>
              </w:rPr>
            </w:pPr>
            <w:r w:rsidRPr="00E7119C">
              <w:rPr>
                <w:rFonts w:ascii="Verdana" w:hAnsi="Verdana"/>
                <w:b/>
                <w:bCs/>
                <w:color w:val="7F7F7F"/>
                <w:sz w:val="22"/>
                <w:szCs w:val="22"/>
                <w:lang w:val="en-GB" w:eastAsia="fr-FR"/>
              </w:rPr>
              <w:t>Q11.6 What are the relevant factors to be taken into account to define the term “exceptional circumstances”?</w:t>
            </w:r>
          </w:p>
          <w:p w14:paraId="3871CA6E" w14:textId="77777777" w:rsidR="006F5ECC" w:rsidRPr="0063732E" w:rsidRDefault="006F5ECC" w:rsidP="00020B14">
            <w:pPr>
              <w:tabs>
                <w:tab w:val="left" w:pos="0"/>
                <w:tab w:val="left" w:pos="4536"/>
              </w:tabs>
              <w:rPr>
                <w:rFonts w:ascii="Verdana" w:hAnsi="Verdana"/>
                <w:color w:val="7F7F7F"/>
                <w:sz w:val="22"/>
                <w:szCs w:val="22"/>
                <w:lang w:val="en-GB" w:eastAsia="fr-FR"/>
              </w:rPr>
            </w:pPr>
            <w:r w:rsidRPr="0063732E">
              <w:rPr>
                <w:rFonts w:ascii="Verdana" w:hAnsi="Verdana"/>
                <w:color w:val="7F7F7F"/>
                <w:sz w:val="22"/>
                <w:szCs w:val="22"/>
                <w:lang w:val="en-GB" w:eastAsia="fr-FR"/>
              </w:rPr>
              <w:t xml:space="preserve">“Exceptional circumstances” should refer to the unlikely event of massive lapses, which imply forced sales of non-liquid assets. Within this channel, a stressed situation of insurance market could be </w:t>
            </w:r>
            <w:r w:rsidRPr="0063732E">
              <w:rPr>
                <w:rFonts w:ascii="Verdana" w:hAnsi="Verdana"/>
                <w:color w:val="7F7F7F"/>
                <w:sz w:val="22"/>
                <w:szCs w:val="22"/>
                <w:lang w:val="en-GB" w:eastAsia="fr-FR"/>
              </w:rPr>
              <w:lastRenderedPageBreak/>
              <w:t xml:space="preserve">transmitted to the overall financial system, with a consequent increase of market instability. </w:t>
            </w:r>
          </w:p>
          <w:p w14:paraId="4789DD72" w14:textId="17824829" w:rsidR="006F5ECC" w:rsidRPr="00753972" w:rsidRDefault="006F5ECC" w:rsidP="00020B14">
            <w:pPr>
              <w:tabs>
                <w:tab w:val="left" w:pos="0"/>
                <w:tab w:val="left" w:pos="4536"/>
              </w:tabs>
              <w:spacing w:before="120" w:after="120"/>
              <w:ind w:right="79"/>
              <w:rPr>
                <w:rFonts w:ascii="Verdana" w:eastAsia="Verdana" w:hAnsi="Verdana" w:cs="Verdana"/>
                <w:b/>
                <w:bCs/>
                <w:color w:val="7F7F7F" w:themeColor="text1" w:themeTint="80"/>
                <w:sz w:val="22"/>
                <w:szCs w:val="22"/>
                <w:lang w:val="en-US"/>
              </w:rPr>
            </w:pPr>
            <w:r w:rsidRPr="0063732E">
              <w:rPr>
                <w:rFonts w:ascii="Verdana" w:hAnsi="Verdana"/>
                <w:color w:val="7F7F7F"/>
                <w:sz w:val="22"/>
                <w:szCs w:val="22"/>
                <w:lang w:val="en-GB" w:eastAsia="fr-FR"/>
              </w:rPr>
              <w:t>In our view, the power of supervisors to temporarily freeze redemption rights is an important tool because it would address the extremely remote risk of mass surrender, preserving value and potentially preventing the need to use more drastic measures within the resolution toolkit. Hence, it could prevent the unequal treatment of customers who surrender their policy in a crisis and those who do not. Although mass lapses are extremely unlikely in practice, such powers would create an absolute limit to insurers’ exposure to very significant forced “fire sales” of assets and contagion. However, supervisors must be very cautious in reverting to the power to freeze policyholders’ redemption rights, also after the definition of "exceptional circumstances": if activated arbitrarily, a temporary freeze would severely deteriorate policyholders’ market confidence and could be very difficult to restore a market functioning.</w:t>
            </w:r>
          </w:p>
        </w:tc>
        <w:tc>
          <w:tcPr>
            <w:tcW w:w="483" w:type="pct"/>
            <w:tcBorders>
              <w:top w:val="single" w:sz="4" w:space="0" w:color="auto"/>
              <w:left w:val="single" w:sz="4" w:space="0" w:color="auto"/>
              <w:bottom w:val="single" w:sz="4" w:space="0" w:color="auto"/>
              <w:right w:val="single" w:sz="4" w:space="0" w:color="auto"/>
            </w:tcBorders>
          </w:tcPr>
          <w:p w14:paraId="0F012B85"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1360A5" w14:paraId="3EB33B2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3567"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3105985F" w14:textId="217A325B" w:rsidR="006F5ECC" w:rsidRPr="00A8160B" w:rsidRDefault="006F5ECC" w:rsidP="00020B14">
            <w:pPr>
              <w:tabs>
                <w:tab w:val="left" w:pos="0"/>
                <w:tab w:val="left" w:pos="4536"/>
              </w:tabs>
              <w:rPr>
                <w:rFonts w:ascii="Verdana" w:hAnsi="Verdana"/>
                <w:b/>
                <w:bCs/>
                <w:color w:val="7F7F7F" w:themeColor="text1" w:themeTint="80"/>
                <w:sz w:val="22"/>
                <w:szCs w:val="22"/>
                <w:lang w:val="en-GB" w:eastAsia="fr-FR"/>
              </w:rPr>
            </w:pPr>
            <w:r w:rsidRPr="00A8160B">
              <w:rPr>
                <w:rFonts w:ascii="Verdana" w:hAnsi="Verdana"/>
                <w:b/>
                <w:bCs/>
                <w:color w:val="7F7F7F" w:themeColor="text1" w:themeTint="80"/>
                <w:sz w:val="22"/>
                <w:szCs w:val="22"/>
                <w:lang w:val="en-GB" w:eastAsia="fr-FR"/>
              </w:rPr>
              <w:t xml:space="preserve">11.4.9. </w:t>
            </w:r>
            <w:r w:rsidRPr="00A8160B">
              <w:rPr>
                <w:rFonts w:ascii="Verdana" w:eastAsia="Verdana" w:hAnsi="Verdana" w:cs="Verdana"/>
                <w:b/>
                <w:bCs/>
                <w:color w:val="7F7F7F" w:themeColor="text1" w:themeTint="80"/>
                <w:sz w:val="22"/>
                <w:szCs w:val="22"/>
                <w:lang w:val="en-US"/>
              </w:rPr>
              <w:t>Other measures – Enhancing the reporting framework from a macroprudential point of view</w:t>
            </w:r>
          </w:p>
        </w:tc>
      </w:tr>
      <w:tr w:rsidR="00FC5744" w:rsidRPr="001360A5" w14:paraId="3A15182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CF1C579" w14:textId="0515F851" w:rsidR="006F5ECC" w:rsidRPr="00A8160B" w:rsidRDefault="006F5ECC" w:rsidP="00020B14">
            <w:pPr>
              <w:tabs>
                <w:tab w:val="left" w:pos="0"/>
                <w:tab w:val="left" w:pos="4536"/>
              </w:tabs>
              <w:ind w:left="-96"/>
              <w:rPr>
                <w:rFonts w:ascii="Verdana" w:hAnsi="Verdana"/>
                <w:bCs/>
                <w:color w:val="7F7F7F" w:themeColor="text1" w:themeTint="80"/>
                <w:sz w:val="22"/>
                <w:szCs w:val="22"/>
                <w:lang w:val="en-GB"/>
              </w:rPr>
            </w:pPr>
            <w:r w:rsidRPr="00A8160B">
              <w:rPr>
                <w:rFonts w:ascii="Verdana" w:hAnsi="Verdana"/>
                <w:bCs/>
                <w:color w:val="7F7F7F" w:themeColor="text1" w:themeTint="80"/>
                <w:sz w:val="22"/>
                <w:szCs w:val="22"/>
                <w:lang w:val="en-GB"/>
              </w:rPr>
              <w:t>11</w:t>
            </w:r>
          </w:p>
        </w:tc>
        <w:tc>
          <w:tcPr>
            <w:tcW w:w="506" w:type="pct"/>
            <w:gridSpan w:val="2"/>
            <w:tcBorders>
              <w:top w:val="single" w:sz="4" w:space="0" w:color="auto"/>
              <w:left w:val="single" w:sz="4" w:space="0" w:color="auto"/>
              <w:bottom w:val="single" w:sz="4" w:space="0" w:color="auto"/>
              <w:right w:val="single" w:sz="4" w:space="0" w:color="auto"/>
            </w:tcBorders>
          </w:tcPr>
          <w:p w14:paraId="62319F87" w14:textId="1B552EC9" w:rsidR="006F5ECC" w:rsidRPr="00A8160B" w:rsidRDefault="006F5ECC" w:rsidP="00020B14">
            <w:pPr>
              <w:tabs>
                <w:tab w:val="left" w:pos="0"/>
                <w:tab w:val="left" w:pos="4536"/>
              </w:tabs>
              <w:ind w:left="-96"/>
              <w:rPr>
                <w:color w:val="7F7F7F" w:themeColor="text1" w:themeTint="80"/>
                <w:sz w:val="20"/>
                <w:szCs w:val="20"/>
                <w:lang w:val="en-US"/>
              </w:rPr>
            </w:pPr>
            <w:r w:rsidRPr="00A8160B">
              <w:rPr>
                <w:rFonts w:ascii="Verdana" w:hAnsi="Verdana"/>
                <w:bCs/>
                <w:color w:val="7F7F7F" w:themeColor="text1" w:themeTint="80"/>
                <w:sz w:val="22"/>
                <w:szCs w:val="22"/>
                <w:lang w:val="en-GB"/>
              </w:rPr>
              <w:t>166</w:t>
            </w:r>
          </w:p>
        </w:tc>
        <w:tc>
          <w:tcPr>
            <w:tcW w:w="1999" w:type="pct"/>
            <w:tcBorders>
              <w:top w:val="single" w:sz="4" w:space="0" w:color="auto"/>
              <w:left w:val="single" w:sz="4" w:space="0" w:color="auto"/>
              <w:bottom w:val="single" w:sz="4" w:space="0" w:color="auto"/>
              <w:right w:val="single" w:sz="4" w:space="0" w:color="auto"/>
            </w:tcBorders>
            <w:vAlign w:val="bottom"/>
          </w:tcPr>
          <w:p w14:paraId="273612DC" w14:textId="72D53D84" w:rsidR="006F5ECC" w:rsidRPr="00020B14" w:rsidRDefault="006F5ECC" w:rsidP="00020B14">
            <w:pPr>
              <w:tabs>
                <w:tab w:val="left" w:pos="0"/>
                <w:tab w:val="left" w:pos="4536"/>
              </w:tabs>
              <w:rPr>
                <w:rFonts w:ascii="Verdana" w:hAnsi="Verdana"/>
                <w:b/>
                <w:bCs/>
                <w:color w:val="7F7F7F" w:themeColor="text1" w:themeTint="80"/>
                <w:sz w:val="22"/>
                <w:szCs w:val="22"/>
                <w:lang w:val="en-US" w:eastAsia="fr-FR"/>
              </w:rPr>
            </w:pPr>
            <w:r w:rsidRPr="00020B14">
              <w:rPr>
                <w:rFonts w:ascii="Verdana" w:eastAsia="Verdana" w:hAnsi="Verdana" w:cs="Verdana"/>
                <w:b/>
                <w:bCs/>
                <w:color w:val="7F7F7F" w:themeColor="text1" w:themeTint="80"/>
                <w:sz w:val="22"/>
                <w:szCs w:val="22"/>
                <w:lang w:val="en-US"/>
              </w:rPr>
              <w:t>Market-wide liquidity stresses</w:t>
            </w:r>
          </w:p>
          <w:p w14:paraId="66CE7337" w14:textId="2A52027C" w:rsidR="006F5ECC" w:rsidRPr="00A8160B" w:rsidRDefault="006F5ECC" w:rsidP="00020B14">
            <w:pPr>
              <w:tabs>
                <w:tab w:val="left" w:pos="0"/>
                <w:tab w:val="left" w:pos="4536"/>
              </w:tabs>
              <w:rPr>
                <w:rFonts w:ascii="Verdana" w:hAnsi="Verdana"/>
                <w:color w:val="7F7F7F" w:themeColor="text1" w:themeTint="80"/>
                <w:sz w:val="22"/>
                <w:szCs w:val="22"/>
                <w:lang w:val="en-GB" w:eastAsia="fr-FR"/>
              </w:rPr>
            </w:pPr>
            <w:r w:rsidRPr="00A8160B">
              <w:rPr>
                <w:rFonts w:ascii="Verdana" w:hAnsi="Verdana"/>
                <w:color w:val="7F7F7F" w:themeColor="text1" w:themeTint="80"/>
                <w:sz w:val="22"/>
                <w:szCs w:val="22"/>
                <w:lang w:val="en-US" w:eastAsia="fr-FR"/>
              </w:rPr>
              <w:t>A</w:t>
            </w:r>
            <w:r w:rsidRPr="00A8160B">
              <w:rPr>
                <w:rFonts w:ascii="Verdana" w:hAnsi="Verdana"/>
                <w:color w:val="7F7F7F" w:themeColor="text1" w:themeTint="80"/>
                <w:sz w:val="22"/>
                <w:szCs w:val="22"/>
                <w:lang w:val="en-GB" w:eastAsia="fr-FR"/>
              </w:rPr>
              <w:t xml:space="preserve"> large amount of data is already available to the supervisory authorities. In particular, the collected data enables EIOPA to monitor and assess market developments and to inform the other European supervisory authorities and the European Systemic Risk Board (ESRB) about potential risks and vulnerabilities. We see no evidence of crucial data missing from the submissions to the supervisory authority. Moreover, S.13.01 and S.18.01 templates could be the basis for a liquidity analysis. And, when relevant, NSAs may provide expertise on specific characteristics in their markets.</w:t>
            </w:r>
          </w:p>
          <w:p w14:paraId="0760C05F" w14:textId="77777777" w:rsidR="006F5ECC" w:rsidRPr="00A8160B" w:rsidRDefault="006F5ECC" w:rsidP="00020B14">
            <w:pPr>
              <w:tabs>
                <w:tab w:val="left" w:pos="0"/>
                <w:tab w:val="left" w:pos="4536"/>
              </w:tabs>
              <w:rPr>
                <w:rFonts w:ascii="Verdana" w:hAnsi="Verdana"/>
                <w:color w:val="7F7F7F" w:themeColor="text1" w:themeTint="80"/>
                <w:sz w:val="22"/>
                <w:szCs w:val="22"/>
                <w:lang w:val="en-GB" w:eastAsia="fr-FR"/>
              </w:rPr>
            </w:pPr>
          </w:p>
          <w:p w14:paraId="24C1DF87" w14:textId="1FFC3A37" w:rsidR="006F5ECC" w:rsidRPr="00A8160B" w:rsidRDefault="006F5ECC" w:rsidP="00020B14">
            <w:pPr>
              <w:tabs>
                <w:tab w:val="left" w:pos="0"/>
                <w:tab w:val="left" w:pos="4536"/>
              </w:tabs>
              <w:rPr>
                <w:rFonts w:ascii="Verdana" w:hAnsi="Verdana"/>
                <w:color w:val="7F7F7F" w:themeColor="text1" w:themeTint="80"/>
                <w:sz w:val="22"/>
                <w:szCs w:val="22"/>
                <w:lang w:val="en-GB" w:eastAsia="fr-FR"/>
              </w:rPr>
            </w:pPr>
            <w:r w:rsidRPr="00A8160B">
              <w:rPr>
                <w:rFonts w:ascii="Verdana" w:hAnsi="Verdana"/>
                <w:color w:val="7F7F7F" w:themeColor="text1" w:themeTint="80"/>
                <w:sz w:val="22"/>
                <w:szCs w:val="22"/>
                <w:lang w:val="en-GB" w:eastAsia="fr-FR"/>
              </w:rPr>
              <w:lastRenderedPageBreak/>
              <w:t>With respect to the assessment of the surrender options, EIOPA has also to consider the fact that policyholders are normally not directly surrendering their insurance policies on the occurrence of a sudden event. Policyholders will wait to see whether the event last longer, is permanent or is deemed to be an incident. The policyholder retention assumption is key. Another element to consider is the availability of alternative investment opportunities for policyholders including the possibility to acquire again the insurance cover needed to enhance the long-term goals of that policyholder.</w:t>
            </w:r>
          </w:p>
        </w:tc>
        <w:tc>
          <w:tcPr>
            <w:tcW w:w="483" w:type="pct"/>
            <w:tcBorders>
              <w:top w:val="single" w:sz="4" w:space="0" w:color="auto"/>
              <w:left w:val="single" w:sz="4" w:space="0" w:color="auto"/>
              <w:bottom w:val="single" w:sz="4" w:space="0" w:color="auto"/>
              <w:right w:val="single" w:sz="4" w:space="0" w:color="auto"/>
            </w:tcBorders>
          </w:tcPr>
          <w:p w14:paraId="3CA8FD95" w14:textId="77777777" w:rsidR="006F5ECC" w:rsidRPr="00A8160B" w:rsidRDefault="006F5ECC" w:rsidP="00020B14">
            <w:pPr>
              <w:tabs>
                <w:tab w:val="left" w:pos="0"/>
                <w:tab w:val="left" w:pos="4536"/>
              </w:tabs>
              <w:ind w:left="-96"/>
              <w:rPr>
                <w:color w:val="7F7F7F" w:themeColor="text1" w:themeTint="80"/>
                <w:sz w:val="22"/>
                <w:szCs w:val="22"/>
                <w:lang w:val="en-GB" w:eastAsia="fr-FR"/>
              </w:rPr>
            </w:pPr>
          </w:p>
        </w:tc>
      </w:tr>
      <w:tr w:rsidR="00FC5744" w:rsidRPr="001360A5" w14:paraId="128CAEA8"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AAFC8F0" w14:textId="5B7F060D" w:rsidR="006F5ECC"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11</w:t>
            </w:r>
          </w:p>
        </w:tc>
        <w:tc>
          <w:tcPr>
            <w:tcW w:w="506" w:type="pct"/>
            <w:gridSpan w:val="2"/>
            <w:tcBorders>
              <w:top w:val="single" w:sz="4" w:space="0" w:color="auto"/>
              <w:left w:val="single" w:sz="4" w:space="0" w:color="auto"/>
              <w:bottom w:val="single" w:sz="4" w:space="0" w:color="auto"/>
              <w:right w:val="single" w:sz="4" w:space="0" w:color="auto"/>
            </w:tcBorders>
          </w:tcPr>
          <w:p w14:paraId="04BC6686" w14:textId="23F07B11" w:rsidR="006F5ECC" w:rsidRPr="000C1ED6" w:rsidRDefault="006F5ECC" w:rsidP="00020B14">
            <w:pPr>
              <w:tabs>
                <w:tab w:val="left" w:pos="0"/>
                <w:tab w:val="left" w:pos="4536"/>
              </w:tabs>
              <w:ind w:left="-96"/>
              <w:rPr>
                <w:rFonts w:ascii="Verdana" w:hAnsi="Verdana"/>
                <w:bCs/>
                <w:color w:val="7F7F7F"/>
                <w:sz w:val="22"/>
                <w:szCs w:val="22"/>
                <w:lang w:val="en-GB"/>
              </w:rPr>
            </w:pPr>
            <w:r>
              <w:rPr>
                <w:rFonts w:ascii="Verdana" w:hAnsi="Verdana"/>
                <w:bCs/>
                <w:color w:val="7F7F7F"/>
                <w:sz w:val="22"/>
                <w:szCs w:val="22"/>
                <w:lang w:val="en-GB"/>
              </w:rPr>
              <w:t>1</w:t>
            </w:r>
            <w:r w:rsidRPr="000C1ED6">
              <w:rPr>
                <w:rFonts w:ascii="Verdana" w:hAnsi="Verdana"/>
                <w:bCs/>
                <w:color w:val="7F7F7F"/>
                <w:sz w:val="22"/>
                <w:szCs w:val="22"/>
                <w:lang w:val="en-GB"/>
              </w:rPr>
              <w:t>68</w:t>
            </w:r>
          </w:p>
        </w:tc>
        <w:tc>
          <w:tcPr>
            <w:tcW w:w="1999" w:type="pct"/>
            <w:tcBorders>
              <w:top w:val="single" w:sz="4" w:space="0" w:color="auto"/>
              <w:left w:val="single" w:sz="4" w:space="0" w:color="auto"/>
              <w:bottom w:val="single" w:sz="4" w:space="0" w:color="auto"/>
              <w:right w:val="single" w:sz="4" w:space="0" w:color="auto"/>
            </w:tcBorders>
            <w:vAlign w:val="bottom"/>
          </w:tcPr>
          <w:p w14:paraId="23806342" w14:textId="402AC512" w:rsidR="006F5ECC" w:rsidRPr="007B2378" w:rsidRDefault="006F5ECC" w:rsidP="00020B14">
            <w:pPr>
              <w:tabs>
                <w:tab w:val="left" w:pos="0"/>
                <w:tab w:val="left" w:pos="4536"/>
              </w:tabs>
              <w:rPr>
                <w:rFonts w:ascii="Verdana" w:hAnsi="Verdana"/>
                <w:b/>
                <w:bCs/>
                <w:color w:val="7F7F7F"/>
                <w:sz w:val="22"/>
                <w:szCs w:val="22"/>
                <w:lang w:val="en-GB" w:eastAsia="fr-FR"/>
              </w:rPr>
            </w:pPr>
            <w:r>
              <w:rPr>
                <w:rFonts w:ascii="Verdana" w:hAnsi="Verdana"/>
                <w:b/>
                <w:bCs/>
                <w:color w:val="7F7F7F"/>
                <w:sz w:val="22"/>
                <w:szCs w:val="22"/>
                <w:lang w:val="en-GB" w:eastAsia="fr-FR"/>
              </w:rPr>
              <w:t>Under-reserving</w:t>
            </w:r>
          </w:p>
          <w:p w14:paraId="3E4BAA66" w14:textId="75B49CF5" w:rsidR="006F5ECC" w:rsidRPr="00CF2245" w:rsidRDefault="006F5ECC" w:rsidP="00020B14">
            <w:pPr>
              <w:tabs>
                <w:tab w:val="left" w:pos="0"/>
                <w:tab w:val="left" w:pos="4536"/>
              </w:tabs>
              <w:rPr>
                <w:rFonts w:ascii="Verdana" w:hAnsi="Verdana"/>
                <w:color w:val="7F7F7F" w:themeColor="text1" w:themeTint="80"/>
                <w:sz w:val="22"/>
                <w:szCs w:val="22"/>
                <w:lang w:val="en-GB" w:eastAsia="fr-FR"/>
              </w:rPr>
            </w:pPr>
            <w:r w:rsidRPr="007B2378">
              <w:rPr>
                <w:rFonts w:ascii="Verdana" w:hAnsi="Verdana"/>
                <w:color w:val="7F7F7F"/>
                <w:sz w:val="22"/>
                <w:szCs w:val="22"/>
                <w:lang w:val="en-GB" w:eastAsia="fr-FR"/>
              </w:rPr>
              <w:t>The insurance market in Europe is very much based on local legislation and fiscal rules. A market-wide under</w:t>
            </w:r>
            <w:r>
              <w:rPr>
                <w:rFonts w:ascii="Verdana" w:hAnsi="Verdana"/>
                <w:color w:val="7F7F7F"/>
                <w:sz w:val="22"/>
                <w:szCs w:val="22"/>
                <w:lang w:val="en-GB" w:eastAsia="fr-FR"/>
              </w:rPr>
              <w:t>-</w:t>
            </w:r>
            <w:r w:rsidRPr="007B2378">
              <w:rPr>
                <w:rFonts w:ascii="Verdana" w:hAnsi="Verdana"/>
                <w:color w:val="7F7F7F"/>
                <w:sz w:val="22"/>
                <w:szCs w:val="22"/>
                <w:lang w:val="en-GB" w:eastAsia="fr-FR"/>
              </w:rPr>
              <w:t xml:space="preserve">reserving </w:t>
            </w:r>
            <w:r>
              <w:rPr>
                <w:rFonts w:ascii="Verdana" w:hAnsi="Verdana"/>
                <w:color w:val="7F7F7F"/>
                <w:sz w:val="22"/>
                <w:szCs w:val="22"/>
                <w:lang w:val="en-GB" w:eastAsia="fr-FR"/>
              </w:rPr>
              <w:t>can only be assessed</w:t>
            </w:r>
            <w:r w:rsidRPr="007B2378">
              <w:rPr>
                <w:rFonts w:ascii="Verdana" w:hAnsi="Verdana"/>
                <w:color w:val="7F7F7F"/>
                <w:sz w:val="22"/>
                <w:szCs w:val="22"/>
                <w:lang w:val="en-GB" w:eastAsia="fr-FR"/>
              </w:rPr>
              <w:t xml:space="preserve"> at a Member State level unless the cross-border activity through branches is </w:t>
            </w:r>
            <w:r>
              <w:rPr>
                <w:rFonts w:ascii="Verdana" w:hAnsi="Verdana"/>
                <w:color w:val="7F7F7F"/>
                <w:sz w:val="22"/>
                <w:szCs w:val="22"/>
                <w:lang w:val="en-GB" w:eastAsia="fr-FR"/>
              </w:rPr>
              <w:t>significant</w:t>
            </w:r>
            <w:r w:rsidRPr="007B2378">
              <w:rPr>
                <w:rFonts w:ascii="Verdana" w:hAnsi="Verdana"/>
                <w:color w:val="7F7F7F"/>
                <w:sz w:val="22"/>
                <w:szCs w:val="22"/>
                <w:lang w:val="en-GB" w:eastAsia="fr-FR"/>
              </w:rPr>
              <w:t xml:space="preserve">. European wide </w:t>
            </w:r>
            <w:r w:rsidRPr="00CF2245">
              <w:rPr>
                <w:rFonts w:ascii="Verdana" w:hAnsi="Verdana"/>
                <w:color w:val="7F7F7F" w:themeColor="text1" w:themeTint="80"/>
                <w:sz w:val="22"/>
                <w:szCs w:val="22"/>
                <w:lang w:val="en-GB" w:eastAsia="fr-FR"/>
              </w:rPr>
              <w:t xml:space="preserve">conclusions would be difficult or unable to be drawn in an effective manner. Macro-wide under reserving, if it exists at all, is an issue to be dealt with by the local supervisor. Only the national supervisory authorities would have a view as to whether premiums are too low and/or best estimates are not sufficient and would act accordingly to remediate the situation. </w:t>
            </w:r>
          </w:p>
          <w:p w14:paraId="2F1D1670" w14:textId="09F29451" w:rsidR="006F5ECC" w:rsidRPr="00CF2245" w:rsidRDefault="006F5ECC" w:rsidP="00020B14">
            <w:pPr>
              <w:tabs>
                <w:tab w:val="left" w:pos="0"/>
                <w:tab w:val="left" w:pos="4536"/>
              </w:tabs>
              <w:rPr>
                <w:rFonts w:ascii="Verdana" w:hAnsi="Verdana"/>
                <w:color w:val="7F7F7F" w:themeColor="text1" w:themeTint="80"/>
                <w:sz w:val="22"/>
                <w:szCs w:val="22"/>
                <w:lang w:val="en-GB" w:eastAsia="fr-FR"/>
              </w:rPr>
            </w:pPr>
          </w:p>
          <w:p w14:paraId="3A30A1CC" w14:textId="2B1F5521" w:rsidR="006F5ECC" w:rsidRPr="00E64E1F" w:rsidRDefault="006F5ECC" w:rsidP="00020B14">
            <w:pPr>
              <w:tabs>
                <w:tab w:val="left" w:pos="0"/>
                <w:tab w:val="left" w:pos="4536"/>
              </w:tabs>
              <w:rPr>
                <w:rFonts w:ascii="Verdana" w:hAnsi="Verdana"/>
                <w:color w:val="7F7F7F"/>
                <w:sz w:val="22"/>
                <w:szCs w:val="22"/>
                <w:lang w:val="en-GB" w:eastAsia="fr-FR"/>
              </w:rPr>
            </w:pPr>
            <w:r w:rsidRPr="00CF2245">
              <w:rPr>
                <w:rFonts w:ascii="Verdana" w:hAnsi="Verdana"/>
                <w:color w:val="7F7F7F" w:themeColor="text1" w:themeTint="80"/>
                <w:sz w:val="22"/>
                <w:szCs w:val="22"/>
                <w:lang w:val="en-GB" w:eastAsia="fr-FR"/>
              </w:rPr>
              <w:t xml:space="preserve">We fully disagree with EIOPA’s statement that the variation analysis templates are not granular enough to allow supervisors to detect problematic reserving. We doubt that an enhanced monitoring against market-wide under-reserving will be achieved with a too-granular data request as put forward by EIOPA; A simple </w:t>
            </w:r>
            <w:r>
              <w:rPr>
                <w:rFonts w:ascii="Verdana" w:hAnsi="Verdana"/>
                <w:color w:val="7F7F7F"/>
                <w:sz w:val="22"/>
                <w:szCs w:val="22"/>
                <w:lang w:val="en-GB" w:eastAsia="fr-FR"/>
              </w:rPr>
              <w:t>run-off analysis per line of business is sufficient.</w:t>
            </w:r>
          </w:p>
          <w:p w14:paraId="4AB5D328" w14:textId="613B29C1" w:rsidR="006F5ECC" w:rsidRPr="00BA2FBD" w:rsidRDefault="006F5ECC" w:rsidP="00020B14">
            <w:pPr>
              <w:tabs>
                <w:tab w:val="left" w:pos="0"/>
                <w:tab w:val="left" w:pos="4536"/>
              </w:tabs>
              <w:rPr>
                <w:rFonts w:ascii="Verdana" w:hAnsi="Verdana"/>
                <w:color w:val="7F7F7F"/>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3C729360" w14:textId="77777777" w:rsidR="006F5ECC" w:rsidRPr="00FE3045" w:rsidRDefault="006F5ECC" w:rsidP="00020B14">
            <w:pPr>
              <w:tabs>
                <w:tab w:val="left" w:pos="0"/>
                <w:tab w:val="left" w:pos="4536"/>
              </w:tabs>
              <w:ind w:left="-96"/>
              <w:rPr>
                <w:color w:val="000000"/>
                <w:sz w:val="22"/>
                <w:szCs w:val="22"/>
                <w:lang w:val="en-GB" w:eastAsia="fr-FR"/>
              </w:rPr>
            </w:pPr>
          </w:p>
        </w:tc>
      </w:tr>
      <w:tr w:rsidR="006F5ECC" w:rsidRPr="001360A5" w14:paraId="0225E1B6"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85"/>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79530CFB" w14:textId="76F85CE3" w:rsidR="006F5ECC" w:rsidRPr="0062444B" w:rsidRDefault="006F5ECC" w:rsidP="00020B14">
            <w:pPr>
              <w:numPr>
                <w:ilvl w:val="0"/>
                <w:numId w:val="9"/>
              </w:numPr>
              <w:tabs>
                <w:tab w:val="left" w:pos="0"/>
                <w:tab w:val="left" w:pos="794"/>
                <w:tab w:val="left" w:pos="4536"/>
              </w:tabs>
              <w:spacing w:line="558" w:lineRule="auto"/>
              <w:ind w:right="4140"/>
              <w:rPr>
                <w:rFonts w:ascii="Verdana" w:eastAsia="Verdana" w:hAnsi="Verdana" w:cs="Verdana"/>
                <w:b/>
                <w:bCs/>
                <w:color w:val="7F7F7F" w:themeColor="text1" w:themeTint="80"/>
                <w:sz w:val="22"/>
                <w:szCs w:val="22"/>
                <w:lang w:val="en-US"/>
              </w:rPr>
            </w:pPr>
            <w:r w:rsidRPr="00F0251A">
              <w:rPr>
                <w:rFonts w:ascii="Verdana" w:eastAsia="Verdana" w:hAnsi="Verdana" w:cs="Verdana"/>
                <w:b/>
                <w:bCs/>
                <w:color w:val="7F7F7F" w:themeColor="text1" w:themeTint="80"/>
                <w:sz w:val="22"/>
                <w:szCs w:val="22"/>
                <w:lang w:val="en-US"/>
              </w:rPr>
              <w:lastRenderedPageBreak/>
              <w:t>Other topics of the review / 14.1 Other transitionals</w:t>
            </w:r>
          </w:p>
        </w:tc>
      </w:tr>
      <w:tr w:rsidR="00FC5744" w:rsidRPr="001360A5" w14:paraId="41EA962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250C595" w14:textId="07CC80CC" w:rsidR="006F5ECC" w:rsidRPr="00664B90" w:rsidRDefault="006F5ECC" w:rsidP="00020B14">
            <w:pPr>
              <w:tabs>
                <w:tab w:val="left" w:pos="0"/>
                <w:tab w:val="left" w:pos="4536"/>
              </w:tabs>
              <w:ind w:left="-96"/>
              <w:rPr>
                <w:rFonts w:ascii="Verdana" w:hAnsi="Verdana"/>
                <w:color w:val="7F7F7F" w:themeColor="text1" w:themeTint="80"/>
                <w:sz w:val="22"/>
                <w:szCs w:val="22"/>
                <w:lang w:val="en-GB"/>
              </w:rPr>
            </w:pPr>
            <w:r>
              <w:rPr>
                <w:rFonts w:ascii="Verdana" w:eastAsia="Verdana" w:hAnsi="Verdana" w:cs="Verdana"/>
                <w:color w:val="7F7F7F" w:themeColor="text1" w:themeTint="80"/>
                <w:sz w:val="22"/>
                <w:szCs w:val="22"/>
                <w:lang w:val="en-US"/>
              </w:rPr>
              <w:t>14</w:t>
            </w:r>
          </w:p>
        </w:tc>
        <w:tc>
          <w:tcPr>
            <w:tcW w:w="506" w:type="pct"/>
            <w:gridSpan w:val="2"/>
            <w:tcBorders>
              <w:top w:val="single" w:sz="4" w:space="0" w:color="auto"/>
              <w:left w:val="single" w:sz="4" w:space="0" w:color="auto"/>
              <w:bottom w:val="single" w:sz="4" w:space="0" w:color="auto"/>
              <w:right w:val="single" w:sz="4" w:space="0" w:color="auto"/>
            </w:tcBorders>
          </w:tcPr>
          <w:p w14:paraId="6FB89D06" w14:textId="0D79560D" w:rsidR="006F5ECC" w:rsidRPr="00664B90" w:rsidRDefault="006F5ECC" w:rsidP="00020B14">
            <w:pPr>
              <w:tabs>
                <w:tab w:val="left" w:pos="0"/>
                <w:tab w:val="left" w:pos="4536"/>
              </w:tabs>
              <w:ind w:left="-96"/>
              <w:rPr>
                <w:color w:val="7F7F7F" w:themeColor="text1" w:themeTint="80"/>
                <w:sz w:val="20"/>
                <w:szCs w:val="20"/>
                <w:lang w:val="en-US"/>
              </w:rPr>
            </w:pPr>
            <w:r>
              <w:rPr>
                <w:rFonts w:ascii="Verdana" w:eastAsia="Verdana" w:hAnsi="Verdana" w:cs="Verdana"/>
                <w:color w:val="7F7F7F" w:themeColor="text1" w:themeTint="80"/>
                <w:sz w:val="22"/>
                <w:szCs w:val="22"/>
                <w:lang w:val="en-US"/>
              </w:rPr>
              <w:t>37</w:t>
            </w:r>
          </w:p>
        </w:tc>
        <w:tc>
          <w:tcPr>
            <w:tcW w:w="1999" w:type="pct"/>
            <w:tcBorders>
              <w:top w:val="single" w:sz="4" w:space="0" w:color="auto"/>
              <w:left w:val="single" w:sz="4" w:space="0" w:color="auto"/>
              <w:bottom w:val="single" w:sz="4" w:space="0" w:color="auto"/>
              <w:right w:val="single" w:sz="4" w:space="0" w:color="auto"/>
            </w:tcBorders>
            <w:vAlign w:val="bottom"/>
          </w:tcPr>
          <w:p w14:paraId="0B0C12F2" w14:textId="46894E3D" w:rsidR="006F5ECC" w:rsidRPr="009737D2" w:rsidRDefault="006F5ECC" w:rsidP="00020B14">
            <w:pPr>
              <w:tabs>
                <w:tab w:val="left" w:pos="0"/>
                <w:tab w:val="left" w:pos="4536"/>
              </w:tabs>
              <w:ind w:right="20"/>
              <w:rPr>
                <w:rFonts w:ascii="Verdana" w:eastAsia="Verdana" w:hAnsi="Verdana" w:cs="Verdana"/>
                <w:b/>
                <w:bCs/>
                <w:color w:val="7F7F7F" w:themeColor="text1" w:themeTint="80"/>
                <w:sz w:val="22"/>
                <w:szCs w:val="22"/>
                <w:lang w:val="en-US"/>
              </w:rPr>
            </w:pPr>
            <w:r>
              <w:rPr>
                <w:rFonts w:ascii="Verdana" w:eastAsia="Verdana" w:hAnsi="Verdana" w:cs="Verdana"/>
                <w:b/>
                <w:bCs/>
                <w:color w:val="7F7F7F" w:themeColor="text1" w:themeTint="80"/>
                <w:sz w:val="22"/>
                <w:szCs w:val="22"/>
                <w:lang w:val="en-US"/>
              </w:rPr>
              <w:t>EIOPA’s Advice</w:t>
            </w:r>
          </w:p>
          <w:p w14:paraId="186CF35A" w14:textId="6C118A5C" w:rsidR="006F5ECC" w:rsidRPr="004730AE" w:rsidRDefault="006F5ECC" w:rsidP="00020B14">
            <w:pPr>
              <w:tabs>
                <w:tab w:val="left" w:pos="0"/>
                <w:tab w:val="left" w:pos="4536"/>
              </w:tabs>
              <w:ind w:right="20"/>
              <w:rPr>
                <w:rFonts w:ascii="Verdana" w:hAnsi="Verdana"/>
                <w:color w:val="7F7F7F" w:themeColor="text1" w:themeTint="80"/>
                <w:sz w:val="22"/>
                <w:szCs w:val="22"/>
                <w:lang w:val="en-US" w:eastAsia="fr-FR"/>
              </w:rPr>
            </w:pPr>
            <w:r>
              <w:rPr>
                <w:rFonts w:ascii="Verdana" w:eastAsia="Verdana" w:hAnsi="Verdana" w:cs="Verdana"/>
                <w:color w:val="7F7F7F" w:themeColor="text1" w:themeTint="80"/>
                <w:sz w:val="22"/>
                <w:szCs w:val="22"/>
                <w:lang w:val="en-US"/>
              </w:rPr>
              <w:t xml:space="preserve">We support </w:t>
            </w:r>
            <w:r w:rsidRPr="004730AE">
              <w:rPr>
                <w:rFonts w:ascii="Verdana" w:eastAsia="Verdana" w:hAnsi="Verdana" w:cs="Verdana"/>
                <w:color w:val="7F7F7F" w:themeColor="text1" w:themeTint="80"/>
                <w:sz w:val="22"/>
                <w:szCs w:val="22"/>
                <w:lang w:val="en-US"/>
              </w:rPr>
              <w:t>EIOPA</w:t>
            </w:r>
            <w:r>
              <w:rPr>
                <w:rFonts w:ascii="Verdana" w:eastAsia="Verdana" w:hAnsi="Verdana" w:cs="Verdana"/>
                <w:color w:val="7F7F7F" w:themeColor="text1" w:themeTint="80"/>
                <w:sz w:val="22"/>
                <w:szCs w:val="22"/>
                <w:lang w:val="en-US"/>
              </w:rPr>
              <w:t>’s advice</w:t>
            </w:r>
            <w:r w:rsidRPr="004730AE">
              <w:rPr>
                <w:rFonts w:ascii="Verdana" w:eastAsia="Verdana" w:hAnsi="Verdana" w:cs="Verdana"/>
                <w:color w:val="7F7F7F" w:themeColor="text1" w:themeTint="80"/>
                <w:sz w:val="22"/>
                <w:szCs w:val="22"/>
                <w:lang w:val="en-US"/>
              </w:rPr>
              <w:t xml:space="preserve"> not to change the transitional provision of Article 308b (15) of Solvency II</w:t>
            </w:r>
            <w:r>
              <w:rPr>
                <w:rFonts w:ascii="Verdana" w:eastAsia="Verdana" w:hAnsi="Verdana" w:cs="Verdana"/>
                <w:color w:val="7F7F7F" w:themeColor="text1" w:themeTint="80"/>
                <w:sz w:val="22"/>
                <w:szCs w:val="22"/>
                <w:lang w:val="en-US"/>
              </w:rPr>
              <w:t xml:space="preserve"> as</w:t>
            </w:r>
            <w:r w:rsidRPr="004730AE">
              <w:rPr>
                <w:rFonts w:ascii="Verdana" w:eastAsia="Verdana" w:hAnsi="Verdana" w:cs="Verdana"/>
                <w:color w:val="7F7F7F" w:themeColor="text1" w:themeTint="80"/>
                <w:sz w:val="22"/>
                <w:szCs w:val="22"/>
                <w:lang w:val="en-US"/>
              </w:rPr>
              <w:t xml:space="preserve"> the transitional is no longer meaningful because Member States will no longer make use of it by 31 December 2022.</w:t>
            </w:r>
            <w:r w:rsidRPr="004730AE">
              <w:rPr>
                <w:color w:val="7F7F7F" w:themeColor="text1" w:themeTint="80"/>
                <w:sz w:val="22"/>
                <w:szCs w:val="22"/>
                <w:lang w:val="en-US"/>
              </w:rPr>
              <w:t xml:space="preserve"> </w:t>
            </w:r>
          </w:p>
        </w:tc>
        <w:tc>
          <w:tcPr>
            <w:tcW w:w="483" w:type="pct"/>
            <w:tcBorders>
              <w:top w:val="single" w:sz="4" w:space="0" w:color="auto"/>
              <w:left w:val="single" w:sz="4" w:space="0" w:color="auto"/>
              <w:bottom w:val="single" w:sz="4" w:space="0" w:color="auto"/>
              <w:right w:val="single" w:sz="4" w:space="0" w:color="auto"/>
            </w:tcBorders>
          </w:tcPr>
          <w:p w14:paraId="26C07F91" w14:textId="77777777" w:rsidR="006F5ECC" w:rsidRPr="00AF1B41" w:rsidRDefault="006F5ECC" w:rsidP="00020B14">
            <w:pPr>
              <w:tabs>
                <w:tab w:val="left" w:pos="0"/>
                <w:tab w:val="left" w:pos="4536"/>
              </w:tabs>
              <w:ind w:left="-96"/>
              <w:rPr>
                <w:color w:val="7F7F7F" w:themeColor="text1" w:themeTint="80"/>
                <w:sz w:val="22"/>
                <w:szCs w:val="22"/>
                <w:lang w:val="en-GB" w:eastAsia="fr-FR"/>
              </w:rPr>
            </w:pPr>
          </w:p>
        </w:tc>
      </w:tr>
      <w:tr w:rsidR="00F613F6" w:rsidRPr="001360A5" w14:paraId="79A8F0E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078F6EA7" w14:textId="77777777" w:rsidR="00F613F6" w:rsidRPr="00F0251A" w:rsidRDefault="00F613F6" w:rsidP="00020B14">
            <w:pPr>
              <w:tabs>
                <w:tab w:val="left" w:pos="0"/>
                <w:tab w:val="left" w:pos="4536"/>
              </w:tabs>
              <w:spacing w:line="256" w:lineRule="auto"/>
              <w:ind w:right="860"/>
              <w:rPr>
                <w:color w:val="7F7F7F" w:themeColor="text1" w:themeTint="80"/>
                <w:sz w:val="22"/>
                <w:szCs w:val="22"/>
                <w:lang w:val="en-US"/>
              </w:rPr>
            </w:pPr>
            <w:r w:rsidRPr="00F0251A">
              <w:rPr>
                <w:rFonts w:ascii="Verdana" w:eastAsia="Verdana" w:hAnsi="Verdana" w:cs="Verdana"/>
                <w:b/>
                <w:bCs/>
                <w:color w:val="7F7F7F" w:themeColor="text1" w:themeTint="80"/>
                <w:sz w:val="22"/>
                <w:szCs w:val="22"/>
                <w:lang w:val="en-US"/>
              </w:rPr>
              <w:t>Annex 2.9 - Calibration of the risk correction for corporate bonds under Option 1</w:t>
            </w:r>
          </w:p>
          <w:p w14:paraId="2494C07B" w14:textId="77777777" w:rsidR="00F613F6" w:rsidRPr="00F0251A" w:rsidRDefault="00F613F6" w:rsidP="00020B14">
            <w:pPr>
              <w:tabs>
                <w:tab w:val="left" w:pos="0"/>
                <w:tab w:val="left" w:pos="4536"/>
              </w:tabs>
              <w:rPr>
                <w:rFonts w:ascii="Verdana" w:hAnsi="Verdana"/>
                <w:color w:val="7F7F7F" w:themeColor="text1" w:themeTint="80"/>
                <w:sz w:val="22"/>
                <w:szCs w:val="22"/>
                <w:lang w:val="en-US" w:eastAsia="fr-FR"/>
              </w:rPr>
            </w:pPr>
          </w:p>
        </w:tc>
      </w:tr>
      <w:tr w:rsidR="00FC5744" w:rsidRPr="001360A5" w14:paraId="5FACFD7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12F5716" w14:textId="77777777" w:rsidR="00F613F6" w:rsidRDefault="00F613F6" w:rsidP="00020B14">
            <w:pPr>
              <w:tabs>
                <w:tab w:val="left" w:pos="0"/>
                <w:tab w:val="left" w:pos="4536"/>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A</w:t>
            </w:r>
          </w:p>
        </w:tc>
        <w:tc>
          <w:tcPr>
            <w:tcW w:w="506" w:type="pct"/>
            <w:gridSpan w:val="2"/>
            <w:tcBorders>
              <w:top w:val="single" w:sz="4" w:space="0" w:color="auto"/>
              <w:left w:val="single" w:sz="4" w:space="0" w:color="auto"/>
              <w:bottom w:val="single" w:sz="4" w:space="0" w:color="auto"/>
              <w:right w:val="single" w:sz="4" w:space="0" w:color="auto"/>
            </w:tcBorders>
          </w:tcPr>
          <w:p w14:paraId="702CE099" w14:textId="77777777" w:rsidR="00F613F6" w:rsidRDefault="00F613F6"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91</w:t>
            </w:r>
          </w:p>
        </w:tc>
        <w:tc>
          <w:tcPr>
            <w:tcW w:w="1999" w:type="pct"/>
            <w:tcBorders>
              <w:top w:val="single" w:sz="4" w:space="0" w:color="auto"/>
              <w:left w:val="single" w:sz="4" w:space="0" w:color="auto"/>
              <w:bottom w:val="single" w:sz="4" w:space="0" w:color="auto"/>
              <w:right w:val="single" w:sz="4" w:space="0" w:color="auto"/>
            </w:tcBorders>
          </w:tcPr>
          <w:p w14:paraId="04B14638" w14:textId="77777777" w:rsidR="00F613F6" w:rsidRDefault="00F613F6" w:rsidP="00020B14">
            <w:pPr>
              <w:tabs>
                <w:tab w:val="left" w:pos="0"/>
                <w:tab w:val="left" w:pos="4536"/>
              </w:tabs>
              <w:rPr>
                <w:rFonts w:ascii="Verdana" w:hAnsi="Verdana"/>
                <w:color w:val="7F7F7F" w:themeColor="text1" w:themeTint="80"/>
                <w:sz w:val="22"/>
                <w:szCs w:val="22"/>
                <w:lang w:val="en-US" w:eastAsia="fr-FR"/>
              </w:rPr>
            </w:pPr>
            <w:r w:rsidRPr="00713E81">
              <w:rPr>
                <w:rFonts w:ascii="Verdana" w:hAnsi="Verdana"/>
                <w:color w:val="7F7F7F" w:themeColor="text1" w:themeTint="80"/>
                <w:sz w:val="22"/>
                <w:szCs w:val="22"/>
                <w:lang w:val="en-US" w:eastAsia="fr-FR"/>
              </w:rPr>
              <w:t>In the table, EIOPA dismisses cash and all of the possible sub categories into use for the entity specific approach. However, these should only be dismissed if there is no spread included and not simply because of their categorisation.</w:t>
            </w:r>
          </w:p>
        </w:tc>
        <w:tc>
          <w:tcPr>
            <w:tcW w:w="483" w:type="pct"/>
            <w:tcBorders>
              <w:top w:val="single" w:sz="4" w:space="0" w:color="auto"/>
              <w:left w:val="single" w:sz="4" w:space="0" w:color="auto"/>
              <w:bottom w:val="single" w:sz="4" w:space="0" w:color="auto"/>
              <w:right w:val="single" w:sz="4" w:space="0" w:color="auto"/>
            </w:tcBorders>
          </w:tcPr>
          <w:p w14:paraId="1FDF96E8" w14:textId="77777777" w:rsidR="00F613F6" w:rsidRPr="00A22C91" w:rsidRDefault="00F613F6" w:rsidP="00020B14">
            <w:pPr>
              <w:tabs>
                <w:tab w:val="left" w:pos="0"/>
                <w:tab w:val="left" w:pos="4536"/>
              </w:tabs>
              <w:ind w:left="-96"/>
              <w:rPr>
                <w:color w:val="000000"/>
                <w:sz w:val="22"/>
                <w:szCs w:val="22"/>
                <w:lang w:val="en-GB" w:eastAsia="fr-FR"/>
              </w:rPr>
            </w:pPr>
          </w:p>
        </w:tc>
      </w:tr>
      <w:tr w:rsidR="00FC5744" w:rsidRPr="001360A5" w14:paraId="61F6DCF8"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0A84F7D5" w14:textId="77777777" w:rsidR="00F613F6" w:rsidRDefault="00F613F6" w:rsidP="00020B14">
            <w:pPr>
              <w:tabs>
                <w:tab w:val="left" w:pos="0"/>
                <w:tab w:val="left" w:pos="4536"/>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A</w:t>
            </w:r>
          </w:p>
        </w:tc>
        <w:tc>
          <w:tcPr>
            <w:tcW w:w="506" w:type="pct"/>
            <w:gridSpan w:val="2"/>
            <w:tcBorders>
              <w:top w:val="single" w:sz="4" w:space="0" w:color="auto"/>
              <w:left w:val="single" w:sz="4" w:space="0" w:color="auto"/>
              <w:bottom w:val="single" w:sz="4" w:space="0" w:color="auto"/>
              <w:right w:val="single" w:sz="4" w:space="0" w:color="auto"/>
            </w:tcBorders>
          </w:tcPr>
          <w:p w14:paraId="2A2456EF" w14:textId="77777777" w:rsidR="00F613F6" w:rsidRPr="00F64D79" w:rsidRDefault="00F613F6" w:rsidP="00020B14">
            <w:pPr>
              <w:tabs>
                <w:tab w:val="left" w:pos="0"/>
                <w:tab w:val="left" w:pos="4536"/>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96</w:t>
            </w:r>
          </w:p>
        </w:tc>
        <w:tc>
          <w:tcPr>
            <w:tcW w:w="1999" w:type="pct"/>
            <w:tcBorders>
              <w:top w:val="single" w:sz="4" w:space="0" w:color="auto"/>
              <w:left w:val="single" w:sz="4" w:space="0" w:color="auto"/>
              <w:bottom w:val="single" w:sz="4" w:space="0" w:color="auto"/>
              <w:right w:val="single" w:sz="4" w:space="0" w:color="auto"/>
            </w:tcBorders>
          </w:tcPr>
          <w:p w14:paraId="4F27DD46" w14:textId="77777777" w:rsidR="00F613F6" w:rsidRDefault="00F613F6" w:rsidP="00020B14">
            <w:pPr>
              <w:tabs>
                <w:tab w:val="left" w:pos="0"/>
                <w:tab w:val="left" w:pos="4536"/>
              </w:tabs>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US" w:eastAsia="fr-FR"/>
              </w:rPr>
              <w:t>I</w:t>
            </w:r>
            <w:r w:rsidRPr="00F64D79">
              <w:rPr>
                <w:rFonts w:ascii="Verdana" w:hAnsi="Verdana"/>
                <w:color w:val="7F7F7F" w:themeColor="text1" w:themeTint="80"/>
                <w:sz w:val="22"/>
                <w:szCs w:val="22"/>
                <w:lang w:val="en-GB" w:eastAsia="fr-FR"/>
              </w:rPr>
              <w:t xml:space="preserve">t is unclear how EIOPA has come to the conclusion that the average </w:t>
            </w:r>
            <w:r>
              <w:rPr>
                <w:rFonts w:ascii="Verdana" w:hAnsi="Verdana"/>
                <w:color w:val="7F7F7F" w:themeColor="text1" w:themeTint="80"/>
                <w:sz w:val="22"/>
                <w:szCs w:val="22"/>
                <w:lang w:val="en-GB" w:eastAsia="fr-FR"/>
              </w:rPr>
              <w:t>spread</w:t>
            </w:r>
            <w:r w:rsidRPr="00F64D79">
              <w:rPr>
                <w:rFonts w:ascii="Verdana" w:hAnsi="Verdana"/>
                <w:color w:val="7F7F7F" w:themeColor="text1" w:themeTint="80"/>
                <w:sz w:val="22"/>
                <w:szCs w:val="22"/>
                <w:lang w:val="en-GB" w:eastAsia="fr-FR"/>
              </w:rPr>
              <w:t xml:space="preserve"> should be 50%</w:t>
            </w:r>
            <w:r>
              <w:rPr>
                <w:rFonts w:ascii="Verdana" w:hAnsi="Verdana"/>
                <w:color w:val="7F7F7F" w:themeColor="text1" w:themeTint="80"/>
                <w:sz w:val="22"/>
                <w:szCs w:val="22"/>
                <w:lang w:val="en-GB" w:eastAsia="fr-FR"/>
              </w:rPr>
              <w:t>.</w:t>
            </w:r>
            <w:r w:rsidRPr="00F64D79">
              <w:rPr>
                <w:rFonts w:ascii="Verdana" w:hAnsi="Verdana"/>
                <w:color w:val="7F7F7F" w:themeColor="text1" w:themeTint="80"/>
                <w:sz w:val="22"/>
                <w:szCs w:val="22"/>
                <w:lang w:val="en-GB" w:eastAsia="fr-FR"/>
              </w:rPr>
              <w:t xml:space="preserve"> </w:t>
            </w:r>
            <w:r>
              <w:rPr>
                <w:rFonts w:ascii="Verdana" w:hAnsi="Verdana"/>
                <w:color w:val="7F7F7F" w:themeColor="text1" w:themeTint="80"/>
                <w:sz w:val="22"/>
                <w:szCs w:val="22"/>
                <w:lang w:val="en-GB" w:eastAsia="fr-FR"/>
              </w:rPr>
              <w:t>We wonder whether</w:t>
            </w:r>
            <w:r w:rsidRPr="00F64D79">
              <w:rPr>
                <w:rFonts w:ascii="Verdana" w:hAnsi="Verdana"/>
                <w:color w:val="7F7F7F" w:themeColor="text1" w:themeTint="80"/>
                <w:sz w:val="22"/>
                <w:szCs w:val="22"/>
                <w:lang w:val="en-GB" w:eastAsia="fr-FR"/>
              </w:rPr>
              <w:t xml:space="preserve"> this </w:t>
            </w:r>
            <w:r>
              <w:rPr>
                <w:rFonts w:ascii="Verdana" w:hAnsi="Verdana"/>
                <w:color w:val="7F7F7F" w:themeColor="text1" w:themeTint="80"/>
                <w:sz w:val="22"/>
                <w:szCs w:val="22"/>
                <w:lang w:val="en-GB" w:eastAsia="fr-FR"/>
              </w:rPr>
              <w:t>is consistent with</w:t>
            </w:r>
            <w:r w:rsidRPr="00F64D79">
              <w:rPr>
                <w:rFonts w:ascii="Verdana" w:hAnsi="Verdana"/>
                <w:color w:val="7F7F7F" w:themeColor="text1" w:themeTint="80"/>
                <w:sz w:val="22"/>
                <w:szCs w:val="22"/>
                <w:lang w:val="en-GB" w:eastAsia="fr-FR"/>
              </w:rPr>
              <w:t xml:space="preserve"> the </w:t>
            </w:r>
            <w:r>
              <w:rPr>
                <w:rFonts w:ascii="Verdana" w:hAnsi="Verdana"/>
                <w:color w:val="7F7F7F" w:themeColor="text1" w:themeTint="80"/>
                <w:sz w:val="22"/>
                <w:szCs w:val="22"/>
                <w:lang w:val="en-GB" w:eastAsia="fr-FR"/>
              </w:rPr>
              <w:t>Solvency II</w:t>
            </w:r>
            <w:r w:rsidRPr="00F64D79">
              <w:rPr>
                <w:rFonts w:ascii="Verdana" w:hAnsi="Verdana"/>
                <w:color w:val="7F7F7F" w:themeColor="text1" w:themeTint="80"/>
                <w:sz w:val="22"/>
                <w:szCs w:val="22"/>
                <w:lang w:val="en-GB" w:eastAsia="fr-FR"/>
              </w:rPr>
              <w:t xml:space="preserve"> Directive. </w:t>
            </w:r>
            <w:r w:rsidRPr="009737D2">
              <w:rPr>
                <w:rFonts w:ascii="Verdana" w:hAnsi="Verdana"/>
                <w:color w:val="7F7F7F" w:themeColor="text1" w:themeTint="80"/>
                <w:sz w:val="22"/>
                <w:szCs w:val="22"/>
                <w:lang w:val="en-GB" w:eastAsia="fr-FR"/>
              </w:rPr>
              <w:t xml:space="preserve">The papers mentioned by EIOPA </w:t>
            </w:r>
            <w:r w:rsidRPr="00F64D79">
              <w:rPr>
                <w:rFonts w:ascii="Verdana" w:hAnsi="Verdana"/>
                <w:color w:val="7F7F7F" w:themeColor="text1" w:themeTint="80"/>
                <w:sz w:val="22"/>
                <w:szCs w:val="22"/>
                <w:lang w:val="en-GB" w:eastAsia="fr-FR"/>
              </w:rPr>
              <w:t xml:space="preserve">seem clearly to </w:t>
            </w:r>
            <w:r>
              <w:rPr>
                <w:rFonts w:ascii="Verdana" w:hAnsi="Verdana"/>
                <w:color w:val="7F7F7F" w:themeColor="text1" w:themeTint="80"/>
                <w:sz w:val="22"/>
                <w:szCs w:val="22"/>
                <w:lang w:val="en-GB" w:eastAsia="fr-FR"/>
              </w:rPr>
              <w:t>indicate</w:t>
            </w:r>
            <w:r w:rsidRPr="00F64D79">
              <w:rPr>
                <w:rFonts w:ascii="Verdana" w:hAnsi="Verdana"/>
                <w:color w:val="7F7F7F" w:themeColor="text1" w:themeTint="80"/>
                <w:sz w:val="22"/>
                <w:szCs w:val="22"/>
                <w:lang w:val="en-GB" w:eastAsia="fr-FR"/>
              </w:rPr>
              <w:t xml:space="preserve"> that there is no positive correlation between the spread development and the default rates. There is only a positive correlation with spreads which have migrated downwards. This has also been seen </w:t>
            </w:r>
            <w:r>
              <w:rPr>
                <w:rFonts w:ascii="Verdana" w:hAnsi="Verdana"/>
                <w:color w:val="7F7F7F" w:themeColor="text1" w:themeTint="80"/>
                <w:sz w:val="22"/>
                <w:szCs w:val="22"/>
                <w:lang w:val="en-GB" w:eastAsia="fr-FR"/>
              </w:rPr>
              <w:t>during</w:t>
            </w:r>
            <w:r w:rsidRPr="00F64D79">
              <w:rPr>
                <w:rFonts w:ascii="Verdana" w:hAnsi="Verdana"/>
                <w:color w:val="7F7F7F" w:themeColor="text1" w:themeTint="80"/>
                <w:sz w:val="22"/>
                <w:szCs w:val="22"/>
                <w:lang w:val="en-GB" w:eastAsia="fr-FR"/>
              </w:rPr>
              <w:t xml:space="preserve"> the credit crises in the last decade. Also, </w:t>
            </w:r>
            <w:r>
              <w:rPr>
                <w:rFonts w:ascii="Verdana" w:hAnsi="Verdana"/>
                <w:color w:val="7F7F7F" w:themeColor="text1" w:themeTint="80"/>
                <w:sz w:val="22"/>
                <w:szCs w:val="22"/>
                <w:lang w:val="en-GB" w:eastAsia="fr-FR"/>
              </w:rPr>
              <w:t>during these</w:t>
            </w:r>
            <w:r w:rsidRPr="00F64D79">
              <w:rPr>
                <w:rFonts w:ascii="Verdana" w:hAnsi="Verdana"/>
                <w:color w:val="7F7F7F" w:themeColor="text1" w:themeTint="80"/>
                <w:sz w:val="22"/>
                <w:szCs w:val="22"/>
                <w:lang w:val="en-GB" w:eastAsia="fr-FR"/>
              </w:rPr>
              <w:t xml:space="preserve"> crises, the default rates of some investment categories </w:t>
            </w:r>
            <w:r w:rsidRPr="009737D2">
              <w:rPr>
                <w:rFonts w:ascii="Verdana" w:hAnsi="Verdana"/>
                <w:color w:val="7F7F7F" w:themeColor="text1" w:themeTint="80"/>
                <w:sz w:val="22"/>
                <w:szCs w:val="22"/>
                <w:lang w:val="en-GB" w:eastAsia="fr-FR"/>
              </w:rPr>
              <w:t xml:space="preserve">did not match </w:t>
            </w:r>
            <w:r>
              <w:rPr>
                <w:rFonts w:ascii="Verdana" w:hAnsi="Verdana"/>
                <w:color w:val="7F7F7F" w:themeColor="text1" w:themeTint="80"/>
                <w:sz w:val="22"/>
                <w:szCs w:val="22"/>
                <w:lang w:val="en-GB" w:eastAsia="fr-FR"/>
              </w:rPr>
              <w:t xml:space="preserve">with </w:t>
            </w:r>
            <w:r w:rsidRPr="00F64D79">
              <w:rPr>
                <w:rFonts w:ascii="Verdana" w:hAnsi="Verdana"/>
                <w:color w:val="7F7F7F" w:themeColor="text1" w:themeTint="80"/>
                <w:sz w:val="22"/>
                <w:szCs w:val="22"/>
                <w:lang w:val="en-GB" w:eastAsia="fr-FR"/>
              </w:rPr>
              <w:t>the assumption made by EIOPA. For example, mortgage loans</w:t>
            </w:r>
            <w:r>
              <w:rPr>
                <w:rFonts w:ascii="Verdana" w:hAnsi="Verdana"/>
                <w:color w:val="7F7F7F" w:themeColor="text1" w:themeTint="80"/>
                <w:sz w:val="22"/>
                <w:szCs w:val="22"/>
                <w:lang w:val="en-GB" w:eastAsia="fr-FR"/>
              </w:rPr>
              <w:t xml:space="preserve">, </w:t>
            </w:r>
            <w:r w:rsidRPr="00F64D79">
              <w:rPr>
                <w:rFonts w:ascii="Verdana" w:hAnsi="Verdana"/>
                <w:color w:val="7F7F7F" w:themeColor="text1" w:themeTint="80"/>
                <w:sz w:val="22"/>
                <w:szCs w:val="22"/>
                <w:lang w:val="en-GB" w:eastAsia="fr-FR"/>
              </w:rPr>
              <w:t xml:space="preserve">mortgage securitisations and covered bonds did behave very well </w:t>
            </w:r>
            <w:r>
              <w:rPr>
                <w:rFonts w:ascii="Verdana" w:hAnsi="Verdana"/>
                <w:color w:val="7F7F7F" w:themeColor="text1" w:themeTint="80"/>
                <w:sz w:val="22"/>
                <w:szCs w:val="22"/>
                <w:lang w:val="en-GB" w:eastAsia="fr-FR"/>
              </w:rPr>
              <w:t xml:space="preserve">in the Netherlands </w:t>
            </w:r>
            <w:r w:rsidRPr="00F64D79">
              <w:rPr>
                <w:rFonts w:ascii="Verdana" w:hAnsi="Verdana"/>
                <w:color w:val="7F7F7F" w:themeColor="text1" w:themeTint="80"/>
                <w:sz w:val="22"/>
                <w:szCs w:val="22"/>
                <w:lang w:val="en-GB" w:eastAsia="fr-FR"/>
              </w:rPr>
              <w:t xml:space="preserve">and </w:t>
            </w:r>
            <w:r w:rsidRPr="009737D2">
              <w:rPr>
                <w:rFonts w:ascii="Verdana" w:hAnsi="Verdana"/>
                <w:color w:val="7F7F7F" w:themeColor="text1" w:themeTint="80"/>
                <w:sz w:val="22"/>
                <w:szCs w:val="22"/>
                <w:lang w:val="en-GB" w:eastAsia="fr-FR"/>
              </w:rPr>
              <w:t xml:space="preserve">no such defaults were observed </w:t>
            </w:r>
            <w:r>
              <w:rPr>
                <w:rFonts w:ascii="Verdana" w:hAnsi="Verdana"/>
                <w:color w:val="7F7F7F" w:themeColor="text1" w:themeTint="80"/>
                <w:sz w:val="22"/>
                <w:szCs w:val="22"/>
                <w:lang w:val="en-GB" w:eastAsia="fr-FR"/>
              </w:rPr>
              <w:t>in the market</w:t>
            </w:r>
            <w:r w:rsidRPr="00F64D79">
              <w:rPr>
                <w:rFonts w:ascii="Verdana" w:hAnsi="Verdana"/>
                <w:color w:val="7F7F7F" w:themeColor="text1" w:themeTint="80"/>
                <w:sz w:val="22"/>
                <w:szCs w:val="22"/>
                <w:lang w:val="en-GB" w:eastAsia="fr-FR"/>
              </w:rPr>
              <w:t>. Some would argue that government intervention had something to do with this behaviour</w:t>
            </w:r>
            <w:r>
              <w:rPr>
                <w:rFonts w:ascii="Verdana" w:hAnsi="Verdana"/>
                <w:color w:val="7F7F7F" w:themeColor="text1" w:themeTint="80"/>
                <w:sz w:val="22"/>
                <w:szCs w:val="22"/>
                <w:lang w:val="en-GB" w:eastAsia="fr-FR"/>
              </w:rPr>
              <w:t>, however</w:t>
            </w:r>
            <w:r w:rsidRPr="00F64D79">
              <w:rPr>
                <w:rFonts w:ascii="Verdana" w:hAnsi="Verdana"/>
                <w:color w:val="7F7F7F" w:themeColor="text1" w:themeTint="80"/>
                <w:sz w:val="22"/>
                <w:szCs w:val="22"/>
                <w:lang w:val="en-GB" w:eastAsia="fr-FR"/>
              </w:rPr>
              <w:t xml:space="preserve"> </w:t>
            </w:r>
            <w:r>
              <w:rPr>
                <w:rFonts w:ascii="Verdana" w:hAnsi="Verdana"/>
                <w:color w:val="7F7F7F" w:themeColor="text1" w:themeTint="80"/>
                <w:sz w:val="22"/>
                <w:szCs w:val="22"/>
                <w:lang w:val="en-GB" w:eastAsia="fr-FR"/>
              </w:rPr>
              <w:t>this</w:t>
            </w:r>
            <w:r w:rsidRPr="00F64D79">
              <w:rPr>
                <w:rFonts w:ascii="Verdana" w:hAnsi="Verdana"/>
                <w:color w:val="7F7F7F" w:themeColor="text1" w:themeTint="80"/>
                <w:sz w:val="22"/>
                <w:szCs w:val="22"/>
                <w:lang w:val="en-GB" w:eastAsia="fr-FR"/>
              </w:rPr>
              <w:t xml:space="preserve"> is difficult to </w:t>
            </w:r>
            <w:r>
              <w:rPr>
                <w:rFonts w:ascii="Verdana" w:hAnsi="Verdana"/>
                <w:color w:val="7F7F7F" w:themeColor="text1" w:themeTint="80"/>
                <w:sz w:val="22"/>
                <w:szCs w:val="22"/>
                <w:lang w:val="en-GB" w:eastAsia="fr-FR"/>
              </w:rPr>
              <w:t>prove</w:t>
            </w:r>
            <w:r w:rsidRPr="00F64D79">
              <w:rPr>
                <w:rFonts w:ascii="Verdana" w:hAnsi="Verdana"/>
                <w:color w:val="7F7F7F" w:themeColor="text1" w:themeTint="80"/>
                <w:sz w:val="22"/>
                <w:szCs w:val="22"/>
                <w:lang w:val="en-GB" w:eastAsia="fr-FR"/>
              </w:rPr>
              <w:t xml:space="preserve">. In all </w:t>
            </w:r>
            <w:r>
              <w:rPr>
                <w:rFonts w:ascii="Verdana" w:hAnsi="Verdana"/>
                <w:color w:val="7F7F7F" w:themeColor="text1" w:themeTint="80"/>
                <w:sz w:val="22"/>
                <w:szCs w:val="22"/>
                <w:lang w:val="en-GB" w:eastAsia="fr-FR"/>
              </w:rPr>
              <w:t xml:space="preserve">the </w:t>
            </w:r>
            <w:r w:rsidRPr="00F64D79">
              <w:rPr>
                <w:rFonts w:ascii="Verdana" w:hAnsi="Verdana"/>
                <w:color w:val="7F7F7F" w:themeColor="text1" w:themeTint="80"/>
                <w:sz w:val="22"/>
                <w:szCs w:val="22"/>
                <w:lang w:val="en-GB" w:eastAsia="fr-FR"/>
              </w:rPr>
              <w:t>other calibration</w:t>
            </w:r>
            <w:r>
              <w:rPr>
                <w:rFonts w:ascii="Verdana" w:hAnsi="Verdana"/>
                <w:color w:val="7F7F7F" w:themeColor="text1" w:themeTint="80"/>
                <w:sz w:val="22"/>
                <w:szCs w:val="22"/>
                <w:lang w:val="en-GB" w:eastAsia="fr-FR"/>
              </w:rPr>
              <w:t>s</w:t>
            </w:r>
            <w:r w:rsidRPr="00F64D79">
              <w:rPr>
                <w:rFonts w:ascii="Verdana" w:hAnsi="Verdana"/>
                <w:color w:val="7F7F7F" w:themeColor="text1" w:themeTint="80"/>
                <w:sz w:val="22"/>
                <w:szCs w:val="22"/>
                <w:lang w:val="en-GB" w:eastAsia="fr-FR"/>
              </w:rPr>
              <w:t xml:space="preserve"> the government intervention </w:t>
            </w:r>
            <w:r>
              <w:rPr>
                <w:rFonts w:ascii="Verdana" w:hAnsi="Verdana"/>
                <w:color w:val="7F7F7F" w:themeColor="text1" w:themeTint="80"/>
                <w:sz w:val="22"/>
                <w:szCs w:val="22"/>
                <w:lang w:val="en-GB" w:eastAsia="fr-FR"/>
              </w:rPr>
              <w:t>was</w:t>
            </w:r>
            <w:r w:rsidRPr="00F64D79">
              <w:rPr>
                <w:rFonts w:ascii="Verdana" w:hAnsi="Verdana"/>
                <w:color w:val="7F7F7F" w:themeColor="text1" w:themeTint="80"/>
                <w:sz w:val="22"/>
                <w:szCs w:val="22"/>
                <w:lang w:val="en-GB" w:eastAsia="fr-FR"/>
              </w:rPr>
              <w:t xml:space="preserve"> not seen as an adjustment and even in the sectors where </w:t>
            </w:r>
            <w:r>
              <w:rPr>
                <w:rFonts w:ascii="Verdana" w:hAnsi="Verdana"/>
                <w:color w:val="7F7F7F" w:themeColor="text1" w:themeTint="80"/>
                <w:sz w:val="22"/>
                <w:szCs w:val="22"/>
                <w:lang w:val="en-GB" w:eastAsia="fr-FR"/>
              </w:rPr>
              <w:t>they have not been any</w:t>
            </w:r>
            <w:r w:rsidRPr="00F64D79">
              <w:rPr>
                <w:rFonts w:ascii="Verdana" w:hAnsi="Verdana"/>
                <w:color w:val="7F7F7F" w:themeColor="text1" w:themeTint="80"/>
                <w:sz w:val="22"/>
                <w:szCs w:val="22"/>
                <w:lang w:val="en-GB" w:eastAsia="fr-FR"/>
              </w:rPr>
              <w:t xml:space="preserve"> </w:t>
            </w:r>
            <w:r w:rsidRPr="00F64D79">
              <w:rPr>
                <w:rFonts w:ascii="Verdana" w:hAnsi="Verdana"/>
                <w:color w:val="7F7F7F" w:themeColor="text1" w:themeTint="80"/>
                <w:sz w:val="22"/>
                <w:szCs w:val="22"/>
                <w:lang w:val="en-GB" w:eastAsia="fr-FR"/>
              </w:rPr>
              <w:lastRenderedPageBreak/>
              <w:t xml:space="preserve">government intervention, the default rates were significantly lower than </w:t>
            </w:r>
            <w:r>
              <w:rPr>
                <w:rFonts w:ascii="Verdana" w:hAnsi="Verdana"/>
                <w:color w:val="7F7F7F" w:themeColor="text1" w:themeTint="80"/>
                <w:sz w:val="22"/>
                <w:szCs w:val="22"/>
                <w:lang w:val="en-GB" w:eastAsia="fr-FR"/>
              </w:rPr>
              <w:t xml:space="preserve">the ones </w:t>
            </w:r>
            <w:r w:rsidRPr="00F64D79">
              <w:rPr>
                <w:rFonts w:ascii="Verdana" w:hAnsi="Verdana"/>
                <w:color w:val="7F7F7F" w:themeColor="text1" w:themeTint="80"/>
                <w:sz w:val="22"/>
                <w:szCs w:val="22"/>
                <w:lang w:val="en-GB" w:eastAsia="fr-FR"/>
              </w:rPr>
              <w:t>assumed by EIOPA.</w:t>
            </w:r>
          </w:p>
        </w:tc>
        <w:tc>
          <w:tcPr>
            <w:tcW w:w="483" w:type="pct"/>
            <w:tcBorders>
              <w:top w:val="single" w:sz="4" w:space="0" w:color="auto"/>
              <w:left w:val="single" w:sz="4" w:space="0" w:color="auto"/>
              <w:bottom w:val="single" w:sz="4" w:space="0" w:color="auto"/>
              <w:right w:val="single" w:sz="4" w:space="0" w:color="auto"/>
            </w:tcBorders>
          </w:tcPr>
          <w:p w14:paraId="4760A716" w14:textId="77777777" w:rsidR="00F613F6" w:rsidRPr="00A22C91" w:rsidRDefault="00F613F6" w:rsidP="00020B14">
            <w:pPr>
              <w:tabs>
                <w:tab w:val="left" w:pos="0"/>
                <w:tab w:val="left" w:pos="4536"/>
              </w:tabs>
              <w:ind w:left="-96"/>
              <w:rPr>
                <w:color w:val="000000"/>
                <w:sz w:val="22"/>
                <w:szCs w:val="22"/>
                <w:lang w:val="en-GB" w:eastAsia="fr-FR"/>
              </w:rPr>
            </w:pPr>
          </w:p>
        </w:tc>
      </w:tr>
      <w:tr w:rsidR="00FC5744" w:rsidRPr="001360A5" w14:paraId="26B40D0B"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5687F819" w14:textId="77777777" w:rsidR="00F613F6" w:rsidRPr="00F0251A" w:rsidRDefault="00F613F6" w:rsidP="00020B14">
            <w:pPr>
              <w:tabs>
                <w:tab w:val="left" w:pos="0"/>
                <w:tab w:val="left" w:pos="4536"/>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A</w:t>
            </w:r>
          </w:p>
        </w:tc>
        <w:tc>
          <w:tcPr>
            <w:tcW w:w="506" w:type="pct"/>
            <w:gridSpan w:val="2"/>
            <w:tcBorders>
              <w:top w:val="single" w:sz="4" w:space="0" w:color="auto"/>
              <w:left w:val="single" w:sz="4" w:space="0" w:color="auto"/>
              <w:bottom w:val="single" w:sz="4" w:space="0" w:color="auto"/>
              <w:right w:val="single" w:sz="4" w:space="0" w:color="auto"/>
            </w:tcBorders>
          </w:tcPr>
          <w:p w14:paraId="3945C766" w14:textId="77777777" w:rsidR="00F613F6" w:rsidRPr="00F0251A" w:rsidRDefault="00F613F6" w:rsidP="00020B14">
            <w:pPr>
              <w:tabs>
                <w:tab w:val="left" w:pos="0"/>
                <w:tab w:val="left" w:pos="4536"/>
              </w:tabs>
              <w:ind w:left="-96"/>
              <w:rPr>
                <w:color w:val="7F7F7F" w:themeColor="text1" w:themeTint="80"/>
                <w:sz w:val="22"/>
                <w:szCs w:val="22"/>
                <w:lang w:val="en-US"/>
              </w:rPr>
            </w:pPr>
            <w:r w:rsidRPr="00440503">
              <w:rPr>
                <w:rFonts w:ascii="Verdana" w:hAnsi="Verdana"/>
                <w:color w:val="7F7F7F" w:themeColor="text1" w:themeTint="80"/>
                <w:sz w:val="22"/>
                <w:szCs w:val="22"/>
                <w:lang w:val="en-US"/>
              </w:rPr>
              <w:t>98</w:t>
            </w:r>
          </w:p>
        </w:tc>
        <w:tc>
          <w:tcPr>
            <w:tcW w:w="1999" w:type="pct"/>
            <w:tcBorders>
              <w:top w:val="single" w:sz="4" w:space="0" w:color="auto"/>
              <w:left w:val="single" w:sz="4" w:space="0" w:color="auto"/>
              <w:bottom w:val="single" w:sz="4" w:space="0" w:color="auto"/>
              <w:right w:val="single" w:sz="4" w:space="0" w:color="auto"/>
            </w:tcBorders>
            <w:vAlign w:val="bottom"/>
          </w:tcPr>
          <w:p w14:paraId="44FF789C" w14:textId="77777777" w:rsidR="00F613F6" w:rsidRPr="00F0251A" w:rsidRDefault="00F613F6" w:rsidP="00020B14">
            <w:pPr>
              <w:tabs>
                <w:tab w:val="left" w:pos="0"/>
                <w:tab w:val="left" w:pos="4536"/>
              </w:tabs>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 xml:space="preserve">EIOPA points out that it is further assumed that there is a difference of 10% between the risk corrections of any two ascending credit quality classes. We would ask EIOPA to provide more insights as to the underlying assumption. </w:t>
            </w:r>
          </w:p>
        </w:tc>
        <w:tc>
          <w:tcPr>
            <w:tcW w:w="483" w:type="pct"/>
            <w:tcBorders>
              <w:top w:val="single" w:sz="4" w:space="0" w:color="auto"/>
              <w:left w:val="single" w:sz="4" w:space="0" w:color="auto"/>
              <w:bottom w:val="single" w:sz="4" w:space="0" w:color="auto"/>
              <w:right w:val="single" w:sz="4" w:space="0" w:color="auto"/>
            </w:tcBorders>
          </w:tcPr>
          <w:p w14:paraId="17C2C95F" w14:textId="77777777" w:rsidR="00F613F6" w:rsidRPr="00A22C91" w:rsidRDefault="00F613F6" w:rsidP="00020B14">
            <w:pPr>
              <w:tabs>
                <w:tab w:val="left" w:pos="0"/>
                <w:tab w:val="left" w:pos="4536"/>
              </w:tabs>
              <w:ind w:left="-96"/>
              <w:rPr>
                <w:color w:val="000000"/>
                <w:sz w:val="22"/>
                <w:szCs w:val="22"/>
                <w:lang w:val="en-GB" w:eastAsia="fr-FR"/>
              </w:rPr>
            </w:pPr>
          </w:p>
        </w:tc>
      </w:tr>
      <w:tr w:rsidR="00FC5744" w:rsidRPr="001360A5" w14:paraId="630F7431"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4651611" w14:textId="77777777" w:rsidR="00F613F6" w:rsidRPr="00F0251A" w:rsidRDefault="00F613F6" w:rsidP="00020B14">
            <w:pPr>
              <w:tabs>
                <w:tab w:val="left" w:pos="0"/>
                <w:tab w:val="left" w:pos="4536"/>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A</w:t>
            </w:r>
          </w:p>
        </w:tc>
        <w:tc>
          <w:tcPr>
            <w:tcW w:w="506" w:type="pct"/>
            <w:gridSpan w:val="2"/>
            <w:tcBorders>
              <w:top w:val="single" w:sz="4" w:space="0" w:color="auto"/>
              <w:left w:val="single" w:sz="4" w:space="0" w:color="auto"/>
              <w:bottom w:val="single" w:sz="4" w:space="0" w:color="auto"/>
              <w:right w:val="single" w:sz="4" w:space="0" w:color="auto"/>
            </w:tcBorders>
          </w:tcPr>
          <w:p w14:paraId="150C776D" w14:textId="77777777" w:rsidR="00F613F6" w:rsidRPr="00440503" w:rsidRDefault="00F613F6" w:rsidP="00020B14">
            <w:pPr>
              <w:tabs>
                <w:tab w:val="left" w:pos="0"/>
                <w:tab w:val="left" w:pos="4536"/>
              </w:tabs>
              <w:ind w:left="-96"/>
              <w:rPr>
                <w:rFonts w:ascii="Verdana" w:hAnsi="Verdana"/>
                <w:color w:val="7F7F7F" w:themeColor="text1" w:themeTint="80"/>
                <w:sz w:val="22"/>
                <w:szCs w:val="22"/>
                <w:lang w:val="en-US"/>
              </w:rPr>
            </w:pPr>
            <w:r w:rsidRPr="00440503">
              <w:rPr>
                <w:rFonts w:ascii="Verdana" w:hAnsi="Verdana"/>
                <w:color w:val="7F7F7F" w:themeColor="text1" w:themeTint="80"/>
                <w:sz w:val="22"/>
                <w:szCs w:val="22"/>
                <w:lang w:val="en-US"/>
              </w:rPr>
              <w:t>101</w:t>
            </w:r>
          </w:p>
        </w:tc>
        <w:tc>
          <w:tcPr>
            <w:tcW w:w="1999" w:type="pct"/>
            <w:tcBorders>
              <w:top w:val="single" w:sz="4" w:space="0" w:color="auto"/>
              <w:left w:val="single" w:sz="4" w:space="0" w:color="auto"/>
              <w:bottom w:val="single" w:sz="4" w:space="0" w:color="auto"/>
              <w:right w:val="single" w:sz="4" w:space="0" w:color="auto"/>
            </w:tcBorders>
          </w:tcPr>
          <w:p w14:paraId="1A4E3DA2" w14:textId="77777777" w:rsidR="00F613F6" w:rsidRPr="00F0251A" w:rsidRDefault="00F613F6" w:rsidP="00020B14">
            <w:pPr>
              <w:tabs>
                <w:tab w:val="left" w:pos="0"/>
                <w:tab w:val="left" w:pos="4536"/>
              </w:tabs>
              <w:rPr>
                <w:rFonts w:ascii="Verdana" w:hAnsi="Verdana"/>
                <w:color w:val="7F7F7F" w:themeColor="text1" w:themeTint="80"/>
                <w:sz w:val="22"/>
                <w:szCs w:val="22"/>
                <w:lang w:val="en-GB" w:eastAsia="fr-FR"/>
              </w:rPr>
            </w:pPr>
            <w:r w:rsidRPr="0081363D">
              <w:rPr>
                <w:rFonts w:ascii="Verdana" w:hAnsi="Verdana"/>
                <w:color w:val="7F7F7F" w:themeColor="text1" w:themeTint="80"/>
                <w:sz w:val="22"/>
                <w:szCs w:val="22"/>
                <w:lang w:val="en-GB" w:eastAsia="fr-FR"/>
              </w:rPr>
              <w:t>From the analysis in the next paragraphs we cannot observe any real back test with actual default rates in the various identified categories. In our opinion this should be done in order to calibrate the RC. Furthermore, the calibration should not only be assessed in the 2016-2018 period but also in times of real stress.</w:t>
            </w:r>
          </w:p>
        </w:tc>
        <w:tc>
          <w:tcPr>
            <w:tcW w:w="483" w:type="pct"/>
            <w:tcBorders>
              <w:top w:val="single" w:sz="4" w:space="0" w:color="auto"/>
              <w:left w:val="single" w:sz="4" w:space="0" w:color="auto"/>
              <w:bottom w:val="single" w:sz="4" w:space="0" w:color="auto"/>
              <w:right w:val="single" w:sz="4" w:space="0" w:color="auto"/>
            </w:tcBorders>
          </w:tcPr>
          <w:p w14:paraId="469F29B2" w14:textId="77777777" w:rsidR="00F613F6" w:rsidRPr="00A22C91" w:rsidRDefault="00F613F6" w:rsidP="00020B14">
            <w:pPr>
              <w:tabs>
                <w:tab w:val="left" w:pos="0"/>
                <w:tab w:val="left" w:pos="4536"/>
              </w:tabs>
              <w:ind w:left="-96"/>
              <w:rPr>
                <w:color w:val="000000"/>
                <w:sz w:val="22"/>
                <w:szCs w:val="22"/>
                <w:lang w:val="en-GB" w:eastAsia="fr-FR"/>
              </w:rPr>
            </w:pPr>
          </w:p>
        </w:tc>
      </w:tr>
      <w:tr w:rsidR="006F5ECC" w:rsidRPr="00951943" w14:paraId="12475425"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17E0486E" w14:textId="69AEF5CE" w:rsidR="006F5ECC" w:rsidRPr="00F0251A" w:rsidRDefault="006F5ECC" w:rsidP="00020B14">
            <w:pPr>
              <w:tabs>
                <w:tab w:val="left" w:pos="0"/>
                <w:tab w:val="left" w:pos="4536"/>
              </w:tabs>
              <w:rPr>
                <w:rFonts w:ascii="Verdana" w:hAnsi="Verdana"/>
                <w:b/>
                <w:bCs/>
                <w:color w:val="7F7F7F" w:themeColor="text1" w:themeTint="80"/>
                <w:sz w:val="22"/>
                <w:szCs w:val="22"/>
                <w:lang w:val="en-GB" w:eastAsia="fr-FR"/>
              </w:rPr>
            </w:pPr>
            <w:r w:rsidRPr="00F0251A">
              <w:rPr>
                <w:rFonts w:ascii="Verdana" w:hAnsi="Verdana"/>
                <w:b/>
                <w:bCs/>
                <w:color w:val="7F7F7F" w:themeColor="text1" w:themeTint="80"/>
                <w:sz w:val="22"/>
                <w:szCs w:val="22"/>
                <w:lang w:val="en-GB" w:eastAsia="fr-FR"/>
              </w:rPr>
              <w:t xml:space="preserve">Annex </w:t>
            </w:r>
            <w:r w:rsidR="00F613F6">
              <w:rPr>
                <w:rFonts w:ascii="Verdana" w:hAnsi="Verdana"/>
                <w:b/>
                <w:bCs/>
                <w:color w:val="7F7F7F" w:themeColor="text1" w:themeTint="80"/>
                <w:sz w:val="22"/>
                <w:szCs w:val="22"/>
                <w:lang w:val="en-GB" w:eastAsia="fr-FR"/>
              </w:rPr>
              <w:t>3.</w:t>
            </w:r>
            <w:r w:rsidRPr="00F0251A">
              <w:rPr>
                <w:rFonts w:ascii="Verdana" w:hAnsi="Verdana"/>
                <w:b/>
                <w:bCs/>
                <w:color w:val="7F7F7F" w:themeColor="text1" w:themeTint="80"/>
                <w:sz w:val="22"/>
                <w:szCs w:val="22"/>
                <w:lang w:val="en-GB" w:eastAsia="fr-FR"/>
              </w:rPr>
              <w:t>1- Best estimate</w:t>
            </w:r>
          </w:p>
        </w:tc>
      </w:tr>
      <w:tr w:rsidR="006F5ECC" w:rsidRPr="00AD5AF7" w14:paraId="1A2AA7D0"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431BBCE6" w14:textId="3CDE4F18" w:rsidR="006F5ECC" w:rsidRPr="00F0251A" w:rsidRDefault="006F5ECC" w:rsidP="00020B14">
            <w:pPr>
              <w:pStyle w:val="ListParagraph"/>
              <w:numPr>
                <w:ilvl w:val="0"/>
                <w:numId w:val="8"/>
              </w:numPr>
              <w:tabs>
                <w:tab w:val="left" w:pos="0"/>
                <w:tab w:val="left" w:pos="4536"/>
              </w:tabs>
              <w:ind w:left="0"/>
              <w:rPr>
                <w:rFonts w:ascii="Verdana" w:hAnsi="Verdana"/>
                <w:b/>
                <w:bCs/>
                <w:color w:val="7F7F7F" w:themeColor="text1" w:themeTint="80"/>
                <w:lang w:val="en-GB" w:eastAsia="fr-FR"/>
              </w:rPr>
            </w:pPr>
            <w:r w:rsidRPr="00F0251A">
              <w:rPr>
                <w:rFonts w:ascii="Verdana" w:hAnsi="Verdana"/>
                <w:b/>
                <w:bCs/>
                <w:color w:val="7F7F7F" w:themeColor="text1" w:themeTint="80"/>
                <w:lang w:val="en-GB" w:eastAsia="fr-FR"/>
              </w:rPr>
              <w:t>Homogeneous risk groups (HRG)</w:t>
            </w:r>
          </w:p>
        </w:tc>
      </w:tr>
      <w:tr w:rsidR="00FC5744" w:rsidRPr="001360A5" w14:paraId="51922B81"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1748B62" w14:textId="0137E310" w:rsidR="006F5ECC" w:rsidRPr="00F613F6" w:rsidRDefault="006F5ECC" w:rsidP="002F78B0">
            <w:pPr>
              <w:tabs>
                <w:tab w:val="left" w:pos="0"/>
                <w:tab w:val="left" w:pos="4678"/>
              </w:tabs>
              <w:ind w:left="-96"/>
              <w:rPr>
                <w:rFonts w:ascii="Verdana" w:hAnsi="Verdana"/>
                <w:color w:val="7F7F7F" w:themeColor="text1" w:themeTint="80"/>
                <w:sz w:val="22"/>
                <w:szCs w:val="22"/>
                <w:lang w:val="en-GB"/>
              </w:rPr>
            </w:pPr>
            <w:r w:rsidRPr="003720A2">
              <w:rPr>
                <w:rFonts w:ascii="Verdana" w:hAnsi="Verdana"/>
                <w:color w:val="7F7F7F" w:themeColor="text1" w:themeTint="80"/>
                <w:sz w:val="22"/>
                <w:szCs w:val="22"/>
                <w:lang w:val="en-GB" w:eastAsia="fr-FR"/>
              </w:rPr>
              <w:t xml:space="preserve">Annex </w:t>
            </w:r>
            <w:r w:rsidR="00F613F6" w:rsidRPr="003720A2">
              <w:rPr>
                <w:rFonts w:ascii="Verdana" w:hAnsi="Verdana"/>
                <w:color w:val="7F7F7F" w:themeColor="text1" w:themeTint="80"/>
                <w:sz w:val="22"/>
                <w:szCs w:val="22"/>
                <w:lang w:val="en-GB" w:eastAsia="fr-FR"/>
              </w:rPr>
              <w:t>3.</w:t>
            </w:r>
            <w:r w:rsidRPr="003720A2">
              <w:rPr>
                <w:rFonts w:ascii="Verdana" w:hAnsi="Verdana"/>
                <w:color w:val="7F7F7F" w:themeColor="text1" w:themeTint="80"/>
                <w:sz w:val="22"/>
                <w:szCs w:val="22"/>
                <w:lang w:val="en-GB" w:eastAsia="fr-FR"/>
              </w:rPr>
              <w:t>1</w:t>
            </w:r>
          </w:p>
        </w:tc>
        <w:tc>
          <w:tcPr>
            <w:tcW w:w="506" w:type="pct"/>
            <w:gridSpan w:val="2"/>
            <w:tcBorders>
              <w:top w:val="single" w:sz="4" w:space="0" w:color="auto"/>
              <w:left w:val="single" w:sz="4" w:space="0" w:color="auto"/>
              <w:bottom w:val="single" w:sz="4" w:space="0" w:color="auto"/>
              <w:right w:val="single" w:sz="4" w:space="0" w:color="auto"/>
            </w:tcBorders>
          </w:tcPr>
          <w:p w14:paraId="61E3F41B" w14:textId="77777777" w:rsidR="006F5ECC" w:rsidRPr="00F0251A" w:rsidRDefault="006F5ECC" w:rsidP="002F78B0">
            <w:pPr>
              <w:tabs>
                <w:tab w:val="left" w:pos="0"/>
                <w:tab w:val="left" w:pos="4678"/>
              </w:tabs>
              <w:ind w:left="-96"/>
              <w:rPr>
                <w:color w:val="7F7F7F" w:themeColor="text1" w:themeTint="80"/>
                <w:sz w:val="22"/>
                <w:szCs w:val="22"/>
                <w:lang w:val="en-US"/>
              </w:rPr>
            </w:pPr>
            <w:r w:rsidRPr="00F0251A">
              <w:rPr>
                <w:rFonts w:ascii="Verdana" w:eastAsia="Verdana" w:hAnsi="Verdana" w:cs="Verdana"/>
                <w:b/>
                <w:bCs/>
                <w:color w:val="7F7F7F" w:themeColor="text1" w:themeTint="80"/>
                <w:sz w:val="22"/>
                <w:szCs w:val="22"/>
                <w:lang w:val="en-US"/>
              </w:rPr>
              <w:t>Questions to stakeholders</w:t>
            </w:r>
          </w:p>
          <w:p w14:paraId="01188AC7" w14:textId="77777777" w:rsidR="006F5ECC" w:rsidRPr="00F0251A" w:rsidRDefault="006F5ECC" w:rsidP="002F78B0">
            <w:pPr>
              <w:tabs>
                <w:tab w:val="left" w:pos="0"/>
                <w:tab w:val="left" w:pos="4678"/>
              </w:tabs>
              <w:spacing w:line="120" w:lineRule="exact"/>
              <w:ind w:left="-96"/>
              <w:rPr>
                <w:color w:val="7F7F7F" w:themeColor="text1" w:themeTint="80"/>
                <w:sz w:val="22"/>
                <w:szCs w:val="22"/>
                <w:lang w:val="en-US"/>
              </w:rPr>
            </w:pPr>
          </w:p>
          <w:p w14:paraId="1F1430FB" w14:textId="77777777" w:rsidR="006F5ECC" w:rsidRPr="00F0251A" w:rsidRDefault="006F5ECC" w:rsidP="002F78B0">
            <w:pPr>
              <w:tabs>
                <w:tab w:val="left" w:pos="0"/>
                <w:tab w:val="left" w:pos="4678"/>
              </w:tabs>
              <w:ind w:left="-96"/>
              <w:rPr>
                <w:rFonts w:ascii="Verdana" w:hAnsi="Verdana"/>
                <w:color w:val="7F7F7F" w:themeColor="text1" w:themeTint="80"/>
                <w:sz w:val="22"/>
                <w:szCs w:val="22"/>
                <w:lang w:val="en-US"/>
              </w:rPr>
            </w:pPr>
          </w:p>
        </w:tc>
        <w:tc>
          <w:tcPr>
            <w:tcW w:w="1999" w:type="pct"/>
            <w:tcBorders>
              <w:top w:val="single" w:sz="4" w:space="0" w:color="auto"/>
              <w:left w:val="single" w:sz="4" w:space="0" w:color="auto"/>
              <w:bottom w:val="single" w:sz="4" w:space="0" w:color="auto"/>
              <w:right w:val="single" w:sz="4" w:space="0" w:color="auto"/>
            </w:tcBorders>
            <w:vAlign w:val="bottom"/>
          </w:tcPr>
          <w:p w14:paraId="42608F6A" w14:textId="77777777" w:rsidR="006F5ECC" w:rsidRPr="001E6C34" w:rsidRDefault="006F5ECC" w:rsidP="002F78B0">
            <w:pPr>
              <w:tabs>
                <w:tab w:val="left" w:pos="0"/>
                <w:tab w:val="left" w:pos="4678"/>
              </w:tabs>
              <w:spacing w:line="239" w:lineRule="auto"/>
              <w:ind w:right="6" w:hanging="565"/>
              <w:jc w:val="both"/>
              <w:rPr>
                <w:b/>
                <w:bCs/>
                <w:color w:val="7F7F7F" w:themeColor="text1" w:themeTint="80"/>
                <w:sz w:val="22"/>
                <w:szCs w:val="22"/>
                <w:lang w:val="en-US"/>
              </w:rPr>
            </w:pPr>
            <w:r w:rsidRPr="00F0251A">
              <w:rPr>
                <w:rFonts w:ascii="Verdana" w:eastAsia="Verdana" w:hAnsi="Verdana" w:cs="Verdana"/>
                <w:b/>
                <w:bCs/>
                <w:color w:val="7F7F7F" w:themeColor="text1" w:themeTint="80"/>
                <w:sz w:val="22"/>
                <w:szCs w:val="22"/>
                <w:lang w:val="en-US"/>
              </w:rPr>
              <w:t xml:space="preserve">Q3.6: </w:t>
            </w:r>
            <w:r w:rsidRPr="001E6C34">
              <w:rPr>
                <w:rFonts w:ascii="Verdana" w:eastAsia="Verdana" w:hAnsi="Verdana" w:cs="Verdana"/>
                <w:b/>
                <w:bCs/>
                <w:color w:val="7F7F7F" w:themeColor="text1" w:themeTint="80"/>
                <w:sz w:val="22"/>
                <w:szCs w:val="22"/>
                <w:lang w:val="en-US"/>
              </w:rPr>
              <w:t>Do you consider a unique definition of homogenous risk groups for calculation purposes? (e.g. cash flows projections, technical hypothesis calibration etc.)</w:t>
            </w:r>
          </w:p>
          <w:p w14:paraId="0D6ABE56" w14:textId="77777777" w:rsidR="006F5ECC" w:rsidRPr="00F0251A" w:rsidRDefault="006F5ECC" w:rsidP="002F78B0">
            <w:pPr>
              <w:tabs>
                <w:tab w:val="left" w:pos="0"/>
                <w:tab w:val="left" w:pos="4678"/>
              </w:tabs>
              <w:spacing w:line="123" w:lineRule="exact"/>
              <w:rPr>
                <w:color w:val="7F7F7F" w:themeColor="text1" w:themeTint="80"/>
                <w:sz w:val="22"/>
                <w:szCs w:val="22"/>
                <w:lang w:val="en-US"/>
              </w:rPr>
            </w:pPr>
          </w:p>
          <w:p w14:paraId="4C9354C9" w14:textId="7A9E3715" w:rsidR="006F5ECC" w:rsidRPr="00670760" w:rsidRDefault="006F5ECC" w:rsidP="002F78B0">
            <w:pPr>
              <w:tabs>
                <w:tab w:val="left" w:pos="0"/>
                <w:tab w:val="left" w:pos="4678"/>
              </w:tabs>
              <w:spacing w:before="120" w:after="120"/>
              <w:rPr>
                <w:rFonts w:ascii="Helvetica" w:hAnsi="Helvetica" w:cs="Helvetica"/>
                <w:color w:val="7F7F7F" w:themeColor="text1" w:themeTint="80"/>
                <w:lang w:val="en-US"/>
              </w:rPr>
            </w:pPr>
            <w:r w:rsidRPr="00F0251A">
              <w:rPr>
                <w:rFonts w:ascii="Verdana" w:hAnsi="Verdana" w:cs="Helvetica"/>
                <w:color w:val="7F7F7F" w:themeColor="text1" w:themeTint="80"/>
                <w:sz w:val="22"/>
                <w:szCs w:val="22"/>
                <w:lang w:val="en-US"/>
              </w:rPr>
              <w:t>In life business, the risk groups for the technical assumptions may not be the same as the ones for the</w:t>
            </w:r>
            <w:r w:rsidRPr="00670760">
              <w:rPr>
                <w:rFonts w:ascii="Helvetica" w:hAnsi="Helvetica" w:cs="Helvetica"/>
                <w:color w:val="7F7F7F" w:themeColor="text1" w:themeTint="80"/>
                <w:lang w:val="en-US"/>
              </w:rPr>
              <w:t xml:space="preserve"> </w:t>
            </w:r>
            <w:r w:rsidRPr="00670760">
              <w:rPr>
                <w:rFonts w:ascii="Verdana" w:hAnsi="Verdana" w:cs="Helvetica"/>
                <w:color w:val="7F7F7F" w:themeColor="text1" w:themeTint="80"/>
                <w:sz w:val="22"/>
                <w:szCs w:val="22"/>
                <w:lang w:val="en-US"/>
              </w:rPr>
              <w:t xml:space="preserve">cashflow </w:t>
            </w:r>
            <w:r w:rsidRPr="00F0251A">
              <w:rPr>
                <w:rFonts w:ascii="Verdana" w:hAnsi="Verdana" w:cs="Helvetica"/>
                <w:color w:val="7F7F7F" w:themeColor="text1" w:themeTint="80"/>
                <w:sz w:val="22"/>
                <w:szCs w:val="22"/>
                <w:lang w:val="en-US"/>
              </w:rPr>
              <w:t>projection</w:t>
            </w:r>
            <w:r w:rsidRPr="00670760">
              <w:rPr>
                <w:rFonts w:ascii="Verdana" w:hAnsi="Verdana" w:cs="Helvetica"/>
                <w:color w:val="7F7F7F" w:themeColor="text1" w:themeTint="80"/>
                <w:sz w:val="22"/>
                <w:szCs w:val="22"/>
                <w:lang w:val="en-US"/>
              </w:rPr>
              <w:t>s.</w:t>
            </w:r>
            <w:r w:rsidRPr="00F0251A">
              <w:rPr>
                <w:rFonts w:ascii="Verdana" w:hAnsi="Verdana" w:cs="Helvetica"/>
                <w:color w:val="7F7F7F" w:themeColor="text1" w:themeTint="80"/>
                <w:sz w:val="22"/>
                <w:szCs w:val="22"/>
                <w:lang w:val="en-US"/>
              </w:rPr>
              <w:t xml:space="preserve"> </w:t>
            </w:r>
            <w:r w:rsidRPr="00670760">
              <w:rPr>
                <w:rFonts w:ascii="Verdana" w:hAnsi="Verdana" w:cs="Helvetica"/>
                <w:color w:val="7F7F7F" w:themeColor="text1" w:themeTint="80"/>
                <w:sz w:val="22"/>
                <w:szCs w:val="22"/>
                <w:lang w:val="en-US"/>
              </w:rPr>
              <w:t>For example, f</w:t>
            </w:r>
            <w:r w:rsidRPr="00F0251A">
              <w:rPr>
                <w:rFonts w:ascii="Verdana" w:hAnsi="Verdana" w:cs="Helvetica"/>
                <w:color w:val="7F7F7F" w:themeColor="text1" w:themeTint="80"/>
                <w:sz w:val="22"/>
                <w:szCs w:val="22"/>
                <w:lang w:val="en-US"/>
              </w:rPr>
              <w:t xml:space="preserve">or the projection of future discretionary benefits, </w:t>
            </w:r>
            <w:r w:rsidRPr="00670760">
              <w:rPr>
                <w:rFonts w:ascii="Verdana" w:hAnsi="Verdana" w:cs="Helvetica"/>
                <w:color w:val="7F7F7F" w:themeColor="text1" w:themeTint="80"/>
                <w:sz w:val="22"/>
                <w:szCs w:val="22"/>
                <w:lang w:val="en-US"/>
              </w:rPr>
              <w:t xml:space="preserve">a different group will have to be considered as </w:t>
            </w:r>
            <w:r w:rsidRPr="00F0251A">
              <w:rPr>
                <w:rFonts w:ascii="Verdana" w:hAnsi="Verdana" w:cs="Helvetica"/>
                <w:color w:val="7F7F7F" w:themeColor="text1" w:themeTint="80"/>
                <w:sz w:val="22"/>
                <w:szCs w:val="22"/>
                <w:lang w:val="en-US"/>
              </w:rPr>
              <w:t xml:space="preserve">the HRG should </w:t>
            </w:r>
            <w:r w:rsidRPr="00670760">
              <w:rPr>
                <w:rFonts w:ascii="Verdana" w:hAnsi="Verdana" w:cs="Helvetica"/>
                <w:color w:val="7F7F7F" w:themeColor="text1" w:themeTint="80"/>
                <w:sz w:val="22"/>
                <w:szCs w:val="22"/>
                <w:lang w:val="en-US"/>
              </w:rPr>
              <w:t>encompass</w:t>
            </w:r>
            <w:r w:rsidRPr="00F0251A">
              <w:rPr>
                <w:rFonts w:ascii="Verdana" w:hAnsi="Verdana" w:cs="Helvetica"/>
                <w:color w:val="7F7F7F" w:themeColor="text1" w:themeTint="80"/>
                <w:sz w:val="22"/>
                <w:szCs w:val="22"/>
                <w:lang w:val="en-US"/>
              </w:rPr>
              <w:t xml:space="preserve"> all policies which have as underlying asset the same fund.</w:t>
            </w:r>
            <w:r w:rsidRPr="00670760">
              <w:rPr>
                <w:rFonts w:ascii="Helvetica" w:hAnsi="Helvetica" w:cs="Helvetica"/>
                <w:color w:val="7F7F7F" w:themeColor="text1" w:themeTint="80"/>
                <w:lang w:val="en-US"/>
              </w:rPr>
              <w:t xml:space="preserve"> </w:t>
            </w:r>
          </w:p>
          <w:p w14:paraId="35BFD13A" w14:textId="04A639F8" w:rsidR="006F5ECC" w:rsidRPr="00F0251A" w:rsidRDefault="006F5ECC" w:rsidP="002F78B0">
            <w:pPr>
              <w:tabs>
                <w:tab w:val="left" w:pos="0"/>
                <w:tab w:val="left" w:pos="4678"/>
              </w:tabs>
              <w:rPr>
                <w:rFonts w:ascii="Verdana" w:hAnsi="Verdana" w:cs="Helvetica"/>
                <w:color w:val="7F7F7F" w:themeColor="text1" w:themeTint="80"/>
                <w:sz w:val="22"/>
                <w:szCs w:val="22"/>
                <w:lang w:val="en-US"/>
              </w:rPr>
            </w:pPr>
            <w:r w:rsidRPr="00670760">
              <w:rPr>
                <w:rFonts w:ascii="Verdana" w:hAnsi="Verdana" w:cs="Helvetica"/>
                <w:color w:val="7F7F7F" w:themeColor="text1" w:themeTint="80"/>
                <w:sz w:val="22"/>
                <w:szCs w:val="22"/>
                <w:lang w:val="en-US"/>
              </w:rPr>
              <w:t>For</w:t>
            </w:r>
            <w:r w:rsidRPr="00F0251A">
              <w:rPr>
                <w:rFonts w:ascii="Verdana" w:hAnsi="Verdana" w:cs="Helvetica"/>
                <w:color w:val="7F7F7F" w:themeColor="text1" w:themeTint="80"/>
                <w:sz w:val="22"/>
                <w:szCs w:val="22"/>
                <w:lang w:val="en-US"/>
              </w:rPr>
              <w:t xml:space="preserve"> the assumption on lapses, </w:t>
            </w:r>
            <w:r w:rsidRPr="00670760">
              <w:rPr>
                <w:rFonts w:ascii="Verdana" w:hAnsi="Verdana" w:cs="Helvetica"/>
                <w:color w:val="7F7F7F" w:themeColor="text1" w:themeTint="80"/>
                <w:sz w:val="22"/>
                <w:szCs w:val="22"/>
                <w:lang w:val="en-US"/>
              </w:rPr>
              <w:t>a</w:t>
            </w:r>
            <w:r w:rsidRPr="00F0251A">
              <w:rPr>
                <w:rFonts w:ascii="Verdana" w:hAnsi="Verdana" w:cs="Helvetica"/>
                <w:color w:val="7F7F7F" w:themeColor="text1" w:themeTint="80"/>
                <w:sz w:val="22"/>
                <w:szCs w:val="22"/>
                <w:lang w:val="en-US"/>
              </w:rPr>
              <w:t xml:space="preserve"> different risk group </w:t>
            </w:r>
            <w:r w:rsidRPr="00670760">
              <w:rPr>
                <w:rFonts w:ascii="Verdana" w:hAnsi="Verdana" w:cs="Helvetica"/>
                <w:color w:val="7F7F7F" w:themeColor="text1" w:themeTint="80"/>
                <w:sz w:val="22"/>
                <w:szCs w:val="22"/>
                <w:lang w:val="en-US"/>
              </w:rPr>
              <w:t xml:space="preserve">will have to be considered </w:t>
            </w:r>
            <w:r w:rsidRPr="00F0251A">
              <w:rPr>
                <w:rFonts w:ascii="Verdana" w:hAnsi="Verdana" w:cs="Helvetica"/>
                <w:color w:val="7F7F7F" w:themeColor="text1" w:themeTint="80"/>
                <w:sz w:val="22"/>
                <w:szCs w:val="22"/>
                <w:lang w:val="en-US"/>
              </w:rPr>
              <w:t xml:space="preserve">because the fund is not an HRG for the lapse assumption. </w:t>
            </w:r>
            <w:r w:rsidRPr="00F0251A">
              <w:rPr>
                <w:rFonts w:ascii="Verdana" w:hAnsi="Verdana" w:cs="Helvetica"/>
                <w:b/>
                <w:bCs/>
                <w:color w:val="7F7F7F" w:themeColor="text1" w:themeTint="80"/>
                <w:sz w:val="22"/>
                <w:szCs w:val="22"/>
                <w:lang w:val="en-US"/>
              </w:rPr>
              <w:t>It is therefore not possible to have the same risk group</w:t>
            </w:r>
            <w:r w:rsidRPr="00670760">
              <w:rPr>
                <w:rFonts w:ascii="Verdana" w:hAnsi="Verdana" w:cs="Helvetica"/>
                <w:b/>
                <w:bCs/>
                <w:color w:val="7F7F7F" w:themeColor="text1" w:themeTint="80"/>
                <w:sz w:val="22"/>
                <w:szCs w:val="22"/>
                <w:lang w:val="en-US"/>
              </w:rPr>
              <w:t>s</w:t>
            </w:r>
            <w:r w:rsidRPr="00F0251A">
              <w:rPr>
                <w:rFonts w:ascii="Verdana" w:hAnsi="Verdana" w:cs="Helvetica"/>
                <w:b/>
                <w:bCs/>
                <w:color w:val="7F7F7F" w:themeColor="text1" w:themeTint="80"/>
                <w:sz w:val="22"/>
                <w:szCs w:val="22"/>
                <w:lang w:val="en-US"/>
              </w:rPr>
              <w:t xml:space="preserve"> for all cases related to the</w:t>
            </w:r>
            <w:r w:rsidRPr="00F0251A">
              <w:rPr>
                <w:rFonts w:ascii="Helvetica" w:hAnsi="Helvetica" w:cs="Helvetica"/>
                <w:b/>
                <w:bCs/>
                <w:color w:val="7F7F7F" w:themeColor="text1" w:themeTint="80"/>
                <w:sz w:val="22"/>
                <w:szCs w:val="22"/>
                <w:lang w:val="en-US"/>
              </w:rPr>
              <w:t xml:space="preserve"> </w:t>
            </w:r>
            <w:r w:rsidRPr="00F0251A">
              <w:rPr>
                <w:rFonts w:ascii="Verdana" w:hAnsi="Verdana" w:cs="Helvetica"/>
                <w:b/>
                <w:bCs/>
                <w:color w:val="7F7F7F" w:themeColor="text1" w:themeTint="80"/>
                <w:sz w:val="22"/>
                <w:szCs w:val="22"/>
                <w:lang w:val="en-US"/>
              </w:rPr>
              <w:t xml:space="preserve">calculation of </w:t>
            </w:r>
            <w:r w:rsidRPr="00670760">
              <w:rPr>
                <w:rFonts w:ascii="Verdana" w:hAnsi="Verdana" w:cs="Helvetica"/>
                <w:b/>
                <w:bCs/>
                <w:color w:val="7F7F7F" w:themeColor="text1" w:themeTint="80"/>
                <w:sz w:val="22"/>
                <w:szCs w:val="22"/>
                <w:lang w:val="en-US"/>
              </w:rPr>
              <w:t xml:space="preserve">the </w:t>
            </w:r>
            <w:r w:rsidRPr="00F0251A">
              <w:rPr>
                <w:rFonts w:ascii="Verdana" w:hAnsi="Verdana" w:cs="Helvetica"/>
                <w:b/>
                <w:bCs/>
                <w:color w:val="7F7F7F" w:themeColor="text1" w:themeTint="80"/>
                <w:sz w:val="22"/>
                <w:szCs w:val="22"/>
                <w:lang w:val="en-US"/>
              </w:rPr>
              <w:t xml:space="preserve">best estimate, </w:t>
            </w:r>
            <w:r w:rsidRPr="00F0251A">
              <w:rPr>
                <w:rFonts w:ascii="Verdana" w:hAnsi="Verdana" w:cs="Helvetica"/>
                <w:color w:val="7F7F7F" w:themeColor="text1" w:themeTint="80"/>
                <w:sz w:val="22"/>
                <w:szCs w:val="22"/>
                <w:lang w:val="en-US"/>
              </w:rPr>
              <w:t xml:space="preserve">if this what EIOPA means by a unique definition of HRG. The definition </w:t>
            </w:r>
            <w:r w:rsidRPr="00670760">
              <w:rPr>
                <w:rFonts w:ascii="Verdana" w:hAnsi="Verdana" w:cs="Helvetica"/>
                <w:color w:val="7F7F7F" w:themeColor="text1" w:themeTint="80"/>
                <w:sz w:val="22"/>
                <w:szCs w:val="22"/>
                <w:lang w:val="en-US"/>
              </w:rPr>
              <w:t xml:space="preserve">of HRG </w:t>
            </w:r>
            <w:r w:rsidRPr="00F0251A">
              <w:rPr>
                <w:rFonts w:ascii="Verdana" w:hAnsi="Verdana" w:cs="Helvetica"/>
                <w:color w:val="7F7F7F" w:themeColor="text1" w:themeTint="80"/>
                <w:sz w:val="22"/>
                <w:szCs w:val="22"/>
                <w:lang w:val="en-US"/>
              </w:rPr>
              <w:t>is the same</w:t>
            </w:r>
            <w:r w:rsidRPr="00670760">
              <w:rPr>
                <w:rFonts w:ascii="Verdana" w:hAnsi="Verdana" w:cs="Helvetica"/>
                <w:color w:val="7F7F7F" w:themeColor="text1" w:themeTint="80"/>
                <w:sz w:val="22"/>
                <w:szCs w:val="22"/>
                <w:lang w:val="en-US"/>
              </w:rPr>
              <w:t xml:space="preserve"> for the best estimate</w:t>
            </w:r>
            <w:r w:rsidRPr="00F0251A">
              <w:rPr>
                <w:rFonts w:ascii="Verdana" w:hAnsi="Verdana" w:cs="Helvetica"/>
                <w:color w:val="7F7F7F" w:themeColor="text1" w:themeTint="80"/>
                <w:sz w:val="22"/>
                <w:szCs w:val="22"/>
                <w:lang w:val="en-US"/>
              </w:rPr>
              <w:t xml:space="preserve"> but when the definition </w:t>
            </w:r>
            <w:r w:rsidRPr="00670760">
              <w:rPr>
                <w:rFonts w:ascii="Verdana" w:hAnsi="Verdana" w:cs="Helvetica"/>
                <w:color w:val="7F7F7F" w:themeColor="text1" w:themeTint="80"/>
                <w:sz w:val="22"/>
                <w:szCs w:val="22"/>
                <w:lang w:val="en-US"/>
              </w:rPr>
              <w:t>of HRG is applied</w:t>
            </w:r>
            <w:r>
              <w:rPr>
                <w:rFonts w:ascii="Verdana" w:hAnsi="Verdana" w:cs="Helvetica"/>
                <w:color w:val="7F7F7F" w:themeColor="text1" w:themeTint="80"/>
                <w:sz w:val="22"/>
                <w:szCs w:val="22"/>
                <w:lang w:val="en-US"/>
              </w:rPr>
              <w:t>,</w:t>
            </w:r>
            <w:r w:rsidRPr="00670760">
              <w:rPr>
                <w:rFonts w:ascii="Verdana" w:hAnsi="Verdana" w:cs="Helvetica"/>
                <w:color w:val="7F7F7F" w:themeColor="text1" w:themeTint="80"/>
                <w:sz w:val="22"/>
                <w:szCs w:val="22"/>
                <w:lang w:val="en-US"/>
              </w:rPr>
              <w:t xml:space="preserve"> </w:t>
            </w:r>
            <w:r w:rsidRPr="00F0251A">
              <w:rPr>
                <w:rFonts w:ascii="Verdana" w:hAnsi="Verdana" w:cs="Helvetica"/>
                <w:color w:val="7F7F7F" w:themeColor="text1" w:themeTint="80"/>
                <w:sz w:val="22"/>
                <w:szCs w:val="22"/>
                <w:lang w:val="en-US"/>
              </w:rPr>
              <w:lastRenderedPageBreak/>
              <w:t xml:space="preserve">different risk groups </w:t>
            </w:r>
            <w:r w:rsidRPr="00670760">
              <w:rPr>
                <w:rFonts w:ascii="Verdana" w:hAnsi="Verdana" w:cs="Helvetica"/>
                <w:color w:val="7F7F7F" w:themeColor="text1" w:themeTint="80"/>
                <w:sz w:val="22"/>
                <w:szCs w:val="22"/>
                <w:lang w:val="en-US"/>
              </w:rPr>
              <w:t xml:space="preserve">arise </w:t>
            </w:r>
            <w:r w:rsidRPr="00F0251A">
              <w:rPr>
                <w:rFonts w:ascii="Verdana" w:hAnsi="Verdana" w:cs="Helvetica"/>
                <w:color w:val="7F7F7F" w:themeColor="text1" w:themeTint="80"/>
                <w:sz w:val="22"/>
                <w:szCs w:val="22"/>
                <w:lang w:val="en-US"/>
              </w:rPr>
              <w:t xml:space="preserve">depending </w:t>
            </w:r>
            <w:r w:rsidRPr="00670760">
              <w:rPr>
                <w:rFonts w:ascii="Verdana" w:hAnsi="Verdana" w:cs="Helvetica"/>
                <w:color w:val="7F7F7F" w:themeColor="text1" w:themeTint="80"/>
                <w:sz w:val="22"/>
                <w:szCs w:val="22"/>
                <w:lang w:val="en-US"/>
              </w:rPr>
              <w:t>on the type calculation</w:t>
            </w:r>
            <w:r w:rsidRPr="00F0251A">
              <w:rPr>
                <w:rFonts w:ascii="Verdana" w:hAnsi="Verdana" w:cs="Helvetica"/>
                <w:color w:val="7F7F7F" w:themeColor="text1" w:themeTint="80"/>
                <w:sz w:val="22"/>
                <w:szCs w:val="22"/>
                <w:lang w:val="en-US"/>
              </w:rPr>
              <w:t xml:space="preserve"> (</w:t>
            </w:r>
            <w:r>
              <w:rPr>
                <w:rFonts w:ascii="Verdana" w:hAnsi="Verdana" w:cs="Helvetica"/>
                <w:color w:val="7F7F7F" w:themeColor="text1" w:themeTint="80"/>
                <w:sz w:val="22"/>
                <w:szCs w:val="22"/>
                <w:lang w:val="en-US"/>
              </w:rPr>
              <w:t>e</w:t>
            </w:r>
            <w:r w:rsidRPr="00F0251A">
              <w:rPr>
                <w:rFonts w:ascii="Verdana" w:hAnsi="Verdana" w:cs="Helvetica"/>
                <w:color w:val="7F7F7F" w:themeColor="text1" w:themeTint="80"/>
                <w:sz w:val="22"/>
                <w:szCs w:val="22"/>
                <w:lang w:val="en-US"/>
              </w:rPr>
              <w:t>.</w:t>
            </w:r>
            <w:r>
              <w:rPr>
                <w:rFonts w:ascii="Verdana" w:hAnsi="Verdana" w:cs="Helvetica"/>
                <w:color w:val="7F7F7F" w:themeColor="text1" w:themeTint="80"/>
                <w:sz w:val="22"/>
                <w:szCs w:val="22"/>
                <w:lang w:val="en-US"/>
              </w:rPr>
              <w:t>g</w:t>
            </w:r>
            <w:r w:rsidRPr="00F0251A">
              <w:rPr>
                <w:rFonts w:ascii="Verdana" w:hAnsi="Verdana" w:cs="Helvetica"/>
                <w:color w:val="7F7F7F" w:themeColor="text1" w:themeTint="80"/>
                <w:sz w:val="22"/>
                <w:szCs w:val="22"/>
                <w:lang w:val="en-US"/>
              </w:rPr>
              <w:t>. for the financial assumptions or the technical assumptions</w:t>
            </w:r>
            <w:r w:rsidRPr="00670760">
              <w:rPr>
                <w:rFonts w:ascii="Verdana" w:hAnsi="Verdana" w:cs="Helvetica"/>
                <w:color w:val="7F7F7F" w:themeColor="text1" w:themeTint="80"/>
                <w:sz w:val="22"/>
                <w:szCs w:val="22"/>
                <w:lang w:val="en-US"/>
              </w:rPr>
              <w:t xml:space="preserve"> different groups may be used</w:t>
            </w:r>
            <w:r w:rsidRPr="00F0251A">
              <w:rPr>
                <w:rFonts w:ascii="Verdana" w:hAnsi="Verdana" w:cs="Helvetica"/>
                <w:color w:val="7F7F7F" w:themeColor="text1" w:themeTint="80"/>
                <w:sz w:val="22"/>
                <w:szCs w:val="22"/>
                <w:lang w:val="en-US"/>
              </w:rPr>
              <w:t xml:space="preserve">). </w:t>
            </w:r>
            <w:r w:rsidRPr="00670760">
              <w:rPr>
                <w:rFonts w:ascii="Verdana" w:hAnsi="Verdana" w:cs="Helvetica"/>
                <w:color w:val="7F7F7F" w:themeColor="text1" w:themeTint="80"/>
                <w:sz w:val="22"/>
                <w:szCs w:val="22"/>
                <w:lang w:val="en-US"/>
              </w:rPr>
              <w:t>In life business a single HRG for all possible calculations is not possible</w:t>
            </w:r>
            <w:r w:rsidRPr="00F0251A">
              <w:rPr>
                <w:rFonts w:ascii="Verdana" w:hAnsi="Verdana" w:cs="Helvetica"/>
                <w:color w:val="7F7F7F" w:themeColor="text1" w:themeTint="80"/>
                <w:sz w:val="22"/>
                <w:szCs w:val="22"/>
                <w:lang w:val="en-US"/>
              </w:rPr>
              <w:t xml:space="preserve"> </w:t>
            </w:r>
            <w:r w:rsidRPr="00670760">
              <w:rPr>
                <w:rFonts w:ascii="Verdana" w:hAnsi="Verdana" w:cs="Helvetica"/>
                <w:color w:val="7F7F7F" w:themeColor="text1" w:themeTint="80"/>
                <w:sz w:val="22"/>
                <w:szCs w:val="22"/>
                <w:lang w:val="en-US"/>
              </w:rPr>
              <w:t>whereas in</w:t>
            </w:r>
            <w:r w:rsidRPr="00F0251A">
              <w:rPr>
                <w:rFonts w:ascii="Verdana" w:hAnsi="Verdana" w:cs="Helvetica"/>
                <w:color w:val="7F7F7F" w:themeColor="text1" w:themeTint="80"/>
                <w:sz w:val="22"/>
                <w:szCs w:val="22"/>
                <w:lang w:val="en-US"/>
              </w:rPr>
              <w:t xml:space="preserve"> non-life the risk groups are the same</w:t>
            </w:r>
            <w:r w:rsidRPr="00670760">
              <w:rPr>
                <w:rFonts w:ascii="Verdana" w:hAnsi="Verdana" w:cs="Helvetica"/>
                <w:color w:val="7F7F7F" w:themeColor="text1" w:themeTint="80"/>
                <w:sz w:val="22"/>
                <w:szCs w:val="22"/>
                <w:lang w:val="en-US"/>
              </w:rPr>
              <w:t xml:space="preserve"> for the different calculations</w:t>
            </w:r>
            <w:r w:rsidRPr="00F0251A">
              <w:rPr>
                <w:rFonts w:ascii="Verdana" w:hAnsi="Verdana" w:cs="Helvetica"/>
                <w:color w:val="7F7F7F" w:themeColor="text1" w:themeTint="80"/>
                <w:sz w:val="22"/>
                <w:szCs w:val="22"/>
                <w:lang w:val="en-US"/>
              </w:rPr>
              <w:t xml:space="preserve">; </w:t>
            </w:r>
          </w:p>
          <w:p w14:paraId="1E428729" w14:textId="77777777" w:rsidR="006F5ECC" w:rsidRPr="00F0251A" w:rsidRDefault="006F5ECC" w:rsidP="002F78B0">
            <w:pPr>
              <w:tabs>
                <w:tab w:val="left" w:pos="0"/>
                <w:tab w:val="left" w:pos="4678"/>
              </w:tabs>
              <w:spacing w:line="200" w:lineRule="exact"/>
              <w:rPr>
                <w:color w:val="7F7F7F" w:themeColor="text1" w:themeTint="80"/>
                <w:sz w:val="22"/>
                <w:szCs w:val="22"/>
                <w:lang w:val="en-US"/>
              </w:rPr>
            </w:pPr>
          </w:p>
          <w:p w14:paraId="64A7C2C1" w14:textId="77777777" w:rsidR="006F5ECC" w:rsidRPr="00F0251A" w:rsidRDefault="006F5ECC" w:rsidP="002F78B0">
            <w:pPr>
              <w:tabs>
                <w:tab w:val="left" w:pos="0"/>
                <w:tab w:val="left" w:pos="4678"/>
              </w:tabs>
              <w:rPr>
                <w:rFonts w:ascii="Verdana" w:hAnsi="Verdana"/>
                <w:color w:val="7F7F7F" w:themeColor="text1" w:themeTint="80"/>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12E76173" w14:textId="77777777" w:rsidR="006F5ECC" w:rsidRPr="00FE3045" w:rsidRDefault="006F5ECC" w:rsidP="002F78B0">
            <w:pPr>
              <w:tabs>
                <w:tab w:val="left" w:pos="0"/>
                <w:tab w:val="left" w:pos="4678"/>
              </w:tabs>
              <w:ind w:left="-96"/>
              <w:rPr>
                <w:color w:val="000000"/>
                <w:sz w:val="22"/>
                <w:szCs w:val="22"/>
                <w:lang w:val="en-GB" w:eastAsia="fr-FR"/>
              </w:rPr>
            </w:pPr>
          </w:p>
        </w:tc>
      </w:tr>
      <w:tr w:rsidR="00FC5744" w:rsidRPr="001360A5" w14:paraId="7255331A"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6A7B0AA2" w14:textId="2E92D3A5" w:rsidR="006F5ECC" w:rsidRPr="00F613F6" w:rsidRDefault="006F5ECC" w:rsidP="002F78B0">
            <w:pPr>
              <w:tabs>
                <w:tab w:val="left" w:pos="0"/>
                <w:tab w:val="left" w:pos="4678"/>
              </w:tabs>
              <w:ind w:left="-96"/>
              <w:rPr>
                <w:rFonts w:ascii="Verdana" w:hAnsi="Verdana"/>
                <w:color w:val="7F7F7F"/>
                <w:sz w:val="22"/>
                <w:szCs w:val="22"/>
                <w:lang w:val="en-GB"/>
              </w:rPr>
            </w:pPr>
            <w:r w:rsidRPr="003720A2">
              <w:rPr>
                <w:rFonts w:ascii="Verdana" w:hAnsi="Verdana"/>
                <w:color w:val="7F7F7F" w:themeColor="text1" w:themeTint="80"/>
                <w:sz w:val="22"/>
                <w:szCs w:val="22"/>
                <w:lang w:val="en-GB" w:eastAsia="fr-FR"/>
              </w:rPr>
              <w:t xml:space="preserve">Annex </w:t>
            </w:r>
            <w:r w:rsidR="00F613F6" w:rsidRPr="003720A2">
              <w:rPr>
                <w:rFonts w:ascii="Verdana" w:hAnsi="Verdana"/>
                <w:color w:val="7F7F7F" w:themeColor="text1" w:themeTint="80"/>
                <w:sz w:val="22"/>
                <w:szCs w:val="22"/>
                <w:lang w:val="en-GB" w:eastAsia="fr-FR"/>
              </w:rPr>
              <w:t>3.</w:t>
            </w:r>
            <w:r w:rsidRPr="003720A2">
              <w:rPr>
                <w:rFonts w:ascii="Verdana" w:hAnsi="Verdana"/>
                <w:color w:val="7F7F7F" w:themeColor="text1" w:themeTint="80"/>
                <w:sz w:val="22"/>
                <w:szCs w:val="22"/>
                <w:lang w:val="en-GB" w:eastAsia="fr-FR"/>
              </w:rPr>
              <w:t>1</w:t>
            </w:r>
          </w:p>
        </w:tc>
        <w:tc>
          <w:tcPr>
            <w:tcW w:w="506" w:type="pct"/>
            <w:gridSpan w:val="2"/>
            <w:tcBorders>
              <w:top w:val="single" w:sz="4" w:space="0" w:color="auto"/>
              <w:left w:val="single" w:sz="4" w:space="0" w:color="auto"/>
              <w:bottom w:val="single" w:sz="4" w:space="0" w:color="auto"/>
              <w:right w:val="single" w:sz="4" w:space="0" w:color="auto"/>
            </w:tcBorders>
          </w:tcPr>
          <w:p w14:paraId="64F9B84F" w14:textId="77777777" w:rsidR="006F5ECC" w:rsidRPr="00F0251A" w:rsidRDefault="006F5ECC" w:rsidP="002F78B0">
            <w:pPr>
              <w:tabs>
                <w:tab w:val="left" w:pos="0"/>
                <w:tab w:val="left" w:pos="4678"/>
              </w:tabs>
              <w:ind w:left="-96"/>
              <w:rPr>
                <w:color w:val="7F7F7F" w:themeColor="text1" w:themeTint="80"/>
                <w:sz w:val="22"/>
                <w:szCs w:val="22"/>
                <w:lang w:val="en-US"/>
              </w:rPr>
            </w:pPr>
            <w:r w:rsidRPr="00F0251A">
              <w:rPr>
                <w:rFonts w:ascii="Verdana" w:eastAsia="Verdana" w:hAnsi="Verdana" w:cs="Verdana"/>
                <w:b/>
                <w:bCs/>
                <w:color w:val="7F7F7F" w:themeColor="text1" w:themeTint="80"/>
                <w:sz w:val="22"/>
                <w:szCs w:val="22"/>
                <w:lang w:val="en-US"/>
              </w:rPr>
              <w:t>Questions to stakeholders</w:t>
            </w:r>
          </w:p>
          <w:p w14:paraId="5B209E57" w14:textId="77777777" w:rsidR="006F5ECC" w:rsidRPr="008368F9" w:rsidRDefault="006F5ECC" w:rsidP="002F78B0">
            <w:pPr>
              <w:tabs>
                <w:tab w:val="left" w:pos="0"/>
                <w:tab w:val="left" w:pos="4678"/>
              </w:tabs>
              <w:spacing w:line="120" w:lineRule="exact"/>
              <w:ind w:left="-96"/>
              <w:rPr>
                <w:sz w:val="22"/>
                <w:szCs w:val="22"/>
                <w:lang w:val="en-US"/>
              </w:rPr>
            </w:pPr>
          </w:p>
          <w:p w14:paraId="0D53C95D" w14:textId="77777777" w:rsidR="006F5ECC" w:rsidRPr="00047EE7" w:rsidRDefault="006F5ECC" w:rsidP="002F78B0">
            <w:pPr>
              <w:tabs>
                <w:tab w:val="left" w:pos="0"/>
                <w:tab w:val="left" w:pos="4678"/>
              </w:tabs>
              <w:ind w:left="-96"/>
              <w:rPr>
                <w:sz w:val="20"/>
                <w:szCs w:val="20"/>
                <w:lang w:val="en-US"/>
              </w:rPr>
            </w:pPr>
          </w:p>
        </w:tc>
        <w:tc>
          <w:tcPr>
            <w:tcW w:w="1999" w:type="pct"/>
            <w:tcBorders>
              <w:top w:val="single" w:sz="4" w:space="0" w:color="auto"/>
              <w:left w:val="single" w:sz="4" w:space="0" w:color="auto"/>
              <w:bottom w:val="single" w:sz="4" w:space="0" w:color="auto"/>
              <w:right w:val="single" w:sz="4" w:space="0" w:color="auto"/>
            </w:tcBorders>
          </w:tcPr>
          <w:p w14:paraId="0E170D5A" w14:textId="77777777" w:rsidR="006F5ECC" w:rsidRPr="00E76FE0" w:rsidRDefault="006F5ECC" w:rsidP="002F78B0">
            <w:pPr>
              <w:tabs>
                <w:tab w:val="left" w:pos="0"/>
                <w:tab w:val="left" w:pos="4678"/>
              </w:tabs>
              <w:spacing w:line="239" w:lineRule="auto"/>
              <w:ind w:right="6" w:hanging="565"/>
              <w:jc w:val="both"/>
              <w:rPr>
                <w:b/>
                <w:bCs/>
                <w:color w:val="7F7F7F" w:themeColor="text1" w:themeTint="80"/>
                <w:sz w:val="22"/>
                <w:szCs w:val="22"/>
                <w:lang w:val="en-US"/>
              </w:rPr>
            </w:pPr>
            <w:r w:rsidRPr="00F0251A">
              <w:rPr>
                <w:rFonts w:ascii="Verdana" w:eastAsia="Verdana" w:hAnsi="Verdana" w:cs="Verdana"/>
                <w:b/>
                <w:bCs/>
                <w:color w:val="7F7F7F" w:themeColor="text1" w:themeTint="80"/>
                <w:sz w:val="22"/>
                <w:szCs w:val="22"/>
                <w:lang w:val="en-US"/>
              </w:rPr>
              <w:t xml:space="preserve">Q3.7: </w:t>
            </w:r>
            <w:r w:rsidRPr="00E76FE0">
              <w:rPr>
                <w:rFonts w:ascii="Verdana" w:eastAsia="Verdana" w:hAnsi="Verdana" w:cs="Verdana"/>
                <w:b/>
                <w:bCs/>
                <w:color w:val="7F7F7F" w:themeColor="text1" w:themeTint="80"/>
                <w:sz w:val="22"/>
                <w:szCs w:val="22"/>
                <w:lang w:val="en-US"/>
              </w:rPr>
              <w:t>Considering Life business: Do you consider homogeneous risk groups to be the model points used to reduce run-time of stochastic modelling? If the answer is “No”, please elaborate it.</w:t>
            </w:r>
          </w:p>
          <w:p w14:paraId="2567E77D" w14:textId="77777777" w:rsidR="006F5ECC" w:rsidRPr="00951943" w:rsidRDefault="006F5ECC" w:rsidP="002F78B0">
            <w:pPr>
              <w:tabs>
                <w:tab w:val="left" w:pos="0"/>
                <w:tab w:val="left" w:pos="4678"/>
              </w:tabs>
              <w:spacing w:line="123" w:lineRule="exact"/>
              <w:rPr>
                <w:sz w:val="22"/>
                <w:szCs w:val="22"/>
                <w:lang w:val="en-US"/>
              </w:rPr>
            </w:pPr>
          </w:p>
          <w:p w14:paraId="6260A676" w14:textId="0E439708" w:rsidR="006F5ECC" w:rsidRPr="00F0251A" w:rsidRDefault="006F5ECC" w:rsidP="002F78B0">
            <w:pPr>
              <w:tabs>
                <w:tab w:val="left" w:pos="0"/>
                <w:tab w:val="left" w:pos="4678"/>
              </w:tabs>
              <w:rPr>
                <w:rFonts w:ascii="Verdana" w:hAnsi="Verdana"/>
                <w:color w:val="7F7F7F"/>
                <w:sz w:val="22"/>
                <w:szCs w:val="22"/>
                <w:lang w:val="en-US" w:eastAsia="fr-FR"/>
              </w:rPr>
            </w:pPr>
            <w:r w:rsidRPr="00F0251A">
              <w:rPr>
                <w:rFonts w:ascii="Verdana" w:hAnsi="Verdana" w:cs="Helvetica"/>
                <w:color w:val="7F7F7F" w:themeColor="text1" w:themeTint="80"/>
                <w:sz w:val="22"/>
                <w:szCs w:val="22"/>
                <w:lang w:val="en-US"/>
              </w:rPr>
              <w:t xml:space="preserve">For the calculation of the best estimate firms consider model points </w:t>
            </w:r>
            <w:r>
              <w:rPr>
                <w:rFonts w:ascii="Verdana" w:hAnsi="Verdana" w:cs="Helvetica"/>
                <w:color w:val="7F7F7F" w:themeColor="text1" w:themeTint="80"/>
                <w:sz w:val="22"/>
                <w:szCs w:val="22"/>
                <w:lang w:val="en-US"/>
              </w:rPr>
              <w:t>which are already the</w:t>
            </w:r>
            <w:r w:rsidRPr="00F0251A">
              <w:rPr>
                <w:rFonts w:ascii="Verdana" w:hAnsi="Verdana" w:cs="Helvetica"/>
                <w:color w:val="7F7F7F" w:themeColor="text1" w:themeTint="80"/>
                <w:sz w:val="22"/>
                <w:szCs w:val="22"/>
                <w:lang w:val="en-US"/>
              </w:rPr>
              <w:t xml:space="preserve"> </w:t>
            </w:r>
            <w:r>
              <w:rPr>
                <w:rFonts w:ascii="Verdana" w:hAnsi="Verdana" w:cs="Helvetica"/>
                <w:color w:val="7F7F7F" w:themeColor="text1" w:themeTint="80"/>
                <w:sz w:val="22"/>
                <w:szCs w:val="22"/>
                <w:lang w:val="en-US"/>
              </w:rPr>
              <w:t xml:space="preserve">homogeneous risk groups (i.e. HRG); </w:t>
            </w:r>
            <w:r w:rsidRPr="00F0251A">
              <w:rPr>
                <w:rFonts w:ascii="Verdana" w:hAnsi="Verdana" w:cs="Helvetica"/>
                <w:color w:val="7F7F7F" w:themeColor="text1" w:themeTint="80"/>
                <w:sz w:val="22"/>
                <w:szCs w:val="22"/>
                <w:lang w:val="en-US"/>
              </w:rPr>
              <w:t xml:space="preserve">The discretion </w:t>
            </w:r>
            <w:r>
              <w:rPr>
                <w:rFonts w:ascii="Verdana" w:hAnsi="Verdana" w:cs="Helvetica"/>
                <w:color w:val="7F7F7F" w:themeColor="text1" w:themeTint="80"/>
                <w:sz w:val="22"/>
                <w:szCs w:val="22"/>
                <w:lang w:val="en-US"/>
              </w:rPr>
              <w:t>EIOPA is referring to and the</w:t>
            </w:r>
            <w:r w:rsidRPr="00F0251A">
              <w:rPr>
                <w:rFonts w:ascii="Verdana" w:hAnsi="Verdana" w:cs="Helvetica"/>
                <w:color w:val="7F7F7F" w:themeColor="text1" w:themeTint="80"/>
                <w:sz w:val="22"/>
                <w:szCs w:val="22"/>
                <w:lang w:val="en-US"/>
              </w:rPr>
              <w:t xml:space="preserve"> possibility of further reducing model points is not clear. </w:t>
            </w:r>
            <w:r>
              <w:rPr>
                <w:rFonts w:ascii="Verdana" w:hAnsi="Verdana" w:cs="Helvetica"/>
                <w:color w:val="7F7F7F" w:themeColor="text1" w:themeTint="80"/>
                <w:sz w:val="22"/>
                <w:szCs w:val="22"/>
                <w:lang w:val="en-US"/>
              </w:rPr>
              <w:t>Insurers use the same HRG for the calculation of the best estimate and f</w:t>
            </w:r>
            <w:r w:rsidRPr="00F0251A">
              <w:rPr>
                <w:rFonts w:ascii="Verdana" w:hAnsi="Verdana" w:cs="Helvetica"/>
                <w:color w:val="7F7F7F" w:themeColor="text1" w:themeTint="80"/>
                <w:sz w:val="22"/>
                <w:szCs w:val="22"/>
                <w:lang w:val="en-US"/>
              </w:rPr>
              <w:t>or reporting purposes</w:t>
            </w:r>
            <w:r>
              <w:rPr>
                <w:rFonts w:ascii="Verdana" w:hAnsi="Verdana" w:cs="Helvetica"/>
                <w:color w:val="7F7F7F" w:themeColor="text1" w:themeTint="80"/>
                <w:sz w:val="22"/>
                <w:szCs w:val="22"/>
                <w:lang w:val="en-US"/>
              </w:rPr>
              <w:t>.</w:t>
            </w:r>
          </w:p>
        </w:tc>
        <w:tc>
          <w:tcPr>
            <w:tcW w:w="483" w:type="pct"/>
            <w:tcBorders>
              <w:top w:val="single" w:sz="4" w:space="0" w:color="auto"/>
              <w:left w:val="single" w:sz="4" w:space="0" w:color="auto"/>
              <w:bottom w:val="single" w:sz="4" w:space="0" w:color="auto"/>
              <w:right w:val="single" w:sz="4" w:space="0" w:color="auto"/>
            </w:tcBorders>
          </w:tcPr>
          <w:p w14:paraId="30DEE71E" w14:textId="77777777" w:rsidR="006F5ECC" w:rsidRPr="00FE3045" w:rsidRDefault="006F5ECC" w:rsidP="002F78B0">
            <w:pPr>
              <w:tabs>
                <w:tab w:val="left" w:pos="0"/>
                <w:tab w:val="left" w:pos="4678"/>
              </w:tabs>
              <w:ind w:left="-96"/>
              <w:rPr>
                <w:color w:val="000000"/>
                <w:sz w:val="22"/>
                <w:szCs w:val="22"/>
                <w:lang w:val="en-GB" w:eastAsia="fr-FR"/>
              </w:rPr>
            </w:pPr>
          </w:p>
        </w:tc>
      </w:tr>
      <w:tr w:rsidR="00FC5744" w:rsidRPr="001360A5" w14:paraId="5462D79E" w14:textId="77777777" w:rsidTr="002F78B0">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33347A4" w14:textId="5205D6A9" w:rsidR="006F5ECC" w:rsidRPr="003720A2" w:rsidRDefault="006F5ECC" w:rsidP="002F78B0">
            <w:pPr>
              <w:tabs>
                <w:tab w:val="left" w:pos="0"/>
                <w:tab w:val="left" w:pos="4678"/>
              </w:tabs>
              <w:ind w:left="-96"/>
              <w:rPr>
                <w:rFonts w:ascii="Verdana" w:hAnsi="Verdana"/>
                <w:color w:val="7F7F7F" w:themeColor="text1" w:themeTint="80"/>
                <w:sz w:val="22"/>
                <w:szCs w:val="22"/>
                <w:lang w:val="en-GB" w:eastAsia="fr-FR"/>
              </w:rPr>
            </w:pPr>
            <w:r w:rsidRPr="003720A2">
              <w:rPr>
                <w:rFonts w:ascii="Verdana" w:hAnsi="Verdana"/>
                <w:color w:val="7F7F7F" w:themeColor="text1" w:themeTint="80"/>
                <w:sz w:val="22"/>
                <w:szCs w:val="22"/>
                <w:lang w:val="en-GB" w:eastAsia="fr-FR"/>
              </w:rPr>
              <w:t xml:space="preserve">Annex </w:t>
            </w:r>
            <w:r w:rsidR="00F613F6" w:rsidRPr="003720A2">
              <w:rPr>
                <w:rFonts w:ascii="Verdana" w:hAnsi="Verdana"/>
                <w:color w:val="7F7F7F" w:themeColor="text1" w:themeTint="80"/>
                <w:sz w:val="22"/>
                <w:szCs w:val="22"/>
                <w:lang w:val="en-GB" w:eastAsia="fr-FR"/>
              </w:rPr>
              <w:t>3.1</w:t>
            </w:r>
          </w:p>
        </w:tc>
        <w:tc>
          <w:tcPr>
            <w:tcW w:w="506" w:type="pct"/>
            <w:gridSpan w:val="2"/>
            <w:tcBorders>
              <w:top w:val="single" w:sz="4" w:space="0" w:color="auto"/>
              <w:left w:val="single" w:sz="4" w:space="0" w:color="auto"/>
              <w:bottom w:val="single" w:sz="4" w:space="0" w:color="auto"/>
              <w:right w:val="single" w:sz="4" w:space="0" w:color="auto"/>
            </w:tcBorders>
          </w:tcPr>
          <w:p w14:paraId="73A43F75" w14:textId="77777777" w:rsidR="006F5ECC" w:rsidRDefault="006F5ECC" w:rsidP="002F78B0">
            <w:pPr>
              <w:tabs>
                <w:tab w:val="left" w:pos="0"/>
                <w:tab w:val="left" w:pos="4678"/>
              </w:tabs>
              <w:ind w:left="-96"/>
              <w:rPr>
                <w:rFonts w:ascii="Verdana" w:eastAsia="Verdana" w:hAnsi="Verdana" w:cs="Verdana"/>
                <w:b/>
                <w:bCs/>
                <w:color w:val="7F7F7F" w:themeColor="text1" w:themeTint="80"/>
                <w:sz w:val="22"/>
                <w:szCs w:val="22"/>
                <w:lang w:val="en-US"/>
              </w:rPr>
            </w:pPr>
            <w:r>
              <w:rPr>
                <w:rFonts w:ascii="Verdana" w:eastAsia="Verdana" w:hAnsi="Verdana" w:cs="Verdana"/>
                <w:b/>
                <w:bCs/>
                <w:color w:val="7F7F7F" w:themeColor="text1" w:themeTint="80"/>
                <w:sz w:val="22"/>
                <w:szCs w:val="22"/>
                <w:lang w:val="en-US"/>
              </w:rPr>
              <w:t>Question to stakeholders</w:t>
            </w:r>
          </w:p>
          <w:p w14:paraId="11504442" w14:textId="5819DF9C" w:rsidR="006F5ECC" w:rsidRPr="00F0251A" w:rsidRDefault="006F5ECC" w:rsidP="002F78B0">
            <w:pPr>
              <w:tabs>
                <w:tab w:val="left" w:pos="0"/>
                <w:tab w:val="left" w:pos="4678"/>
              </w:tabs>
              <w:ind w:left="-96"/>
              <w:rPr>
                <w:rFonts w:ascii="Verdana" w:eastAsia="Verdana" w:hAnsi="Verdana" w:cs="Verdana"/>
                <w:b/>
                <w:bCs/>
                <w:color w:val="7F7F7F" w:themeColor="text1" w:themeTint="80"/>
                <w:sz w:val="22"/>
                <w:szCs w:val="22"/>
                <w:lang w:val="en-US"/>
              </w:rPr>
            </w:pPr>
          </w:p>
        </w:tc>
        <w:tc>
          <w:tcPr>
            <w:tcW w:w="1999" w:type="pct"/>
            <w:tcBorders>
              <w:top w:val="single" w:sz="4" w:space="0" w:color="auto"/>
              <w:left w:val="single" w:sz="4" w:space="0" w:color="auto"/>
              <w:bottom w:val="single" w:sz="4" w:space="0" w:color="auto"/>
              <w:right w:val="single" w:sz="4" w:space="0" w:color="auto"/>
            </w:tcBorders>
          </w:tcPr>
          <w:p w14:paraId="27645CF7" w14:textId="77777777" w:rsidR="006F5ECC" w:rsidRPr="003720A2" w:rsidRDefault="006F5ECC" w:rsidP="002F78B0">
            <w:pPr>
              <w:tabs>
                <w:tab w:val="left" w:pos="0"/>
                <w:tab w:val="left" w:pos="4678"/>
              </w:tabs>
              <w:spacing w:line="239" w:lineRule="auto"/>
              <w:ind w:right="6" w:hanging="565"/>
              <w:jc w:val="both"/>
              <w:rPr>
                <w:b/>
                <w:bCs/>
                <w:color w:val="7F7F7F" w:themeColor="text1" w:themeTint="80"/>
                <w:sz w:val="22"/>
                <w:szCs w:val="22"/>
                <w:lang w:val="en-US"/>
              </w:rPr>
            </w:pPr>
            <w:r w:rsidRPr="00D10904">
              <w:rPr>
                <w:rFonts w:ascii="Verdana" w:eastAsia="Verdana" w:hAnsi="Verdana" w:cs="Verdana"/>
                <w:b/>
                <w:bCs/>
                <w:color w:val="7F7F7F" w:themeColor="text1" w:themeTint="80"/>
                <w:sz w:val="22"/>
                <w:szCs w:val="22"/>
                <w:lang w:val="en-US"/>
              </w:rPr>
              <w:t xml:space="preserve">Q3.8 </w:t>
            </w:r>
            <w:r w:rsidRPr="003720A2">
              <w:rPr>
                <w:rFonts w:ascii="Verdana" w:eastAsia="Verdana" w:hAnsi="Verdana" w:cs="Verdana"/>
                <w:b/>
                <w:bCs/>
                <w:color w:val="7F7F7F" w:themeColor="text1" w:themeTint="80"/>
                <w:sz w:val="22"/>
                <w:szCs w:val="22"/>
                <w:lang w:val="en-US"/>
              </w:rPr>
              <w:t>Do you consider for reporting purposes the same homogeneous risk groups used for best estimate valuation? And for EPIFP calculation? If the answer is “No”, please elaborate it.</w:t>
            </w:r>
          </w:p>
          <w:p w14:paraId="504F406D" w14:textId="7B77CCE9" w:rsidR="006F5ECC" w:rsidRPr="003720A2" w:rsidRDefault="006F5ECC" w:rsidP="002F78B0">
            <w:pPr>
              <w:tabs>
                <w:tab w:val="left" w:pos="0"/>
                <w:tab w:val="left" w:pos="4678"/>
              </w:tabs>
              <w:spacing w:line="200" w:lineRule="exact"/>
              <w:rPr>
                <w:color w:val="7F7F7F" w:themeColor="text1" w:themeTint="80"/>
                <w:sz w:val="20"/>
                <w:szCs w:val="20"/>
                <w:lang w:val="en-US"/>
              </w:rPr>
            </w:pPr>
          </w:p>
          <w:p w14:paraId="3DFCF743" w14:textId="730C1A4F" w:rsidR="006F5ECC" w:rsidRPr="003720A2" w:rsidRDefault="006F5ECC" w:rsidP="002F78B0">
            <w:pPr>
              <w:tabs>
                <w:tab w:val="left" w:pos="0"/>
                <w:tab w:val="left" w:pos="4678"/>
              </w:tabs>
              <w:spacing w:line="276" w:lineRule="auto"/>
              <w:rPr>
                <w:color w:val="7F7F7F" w:themeColor="text1" w:themeTint="80"/>
                <w:sz w:val="20"/>
                <w:szCs w:val="20"/>
                <w:lang w:val="en-US"/>
              </w:rPr>
            </w:pPr>
            <w:r w:rsidRPr="003720A2">
              <w:rPr>
                <w:rFonts w:ascii="Verdana" w:hAnsi="Verdana"/>
                <w:color w:val="7F7F7F" w:themeColor="text1" w:themeTint="80"/>
                <w:sz w:val="22"/>
                <w:szCs w:val="22"/>
                <w:lang w:val="en-US" w:eastAsia="en-GB"/>
              </w:rPr>
              <w:t xml:space="preserve">An insurer in general assesses the individual policies and it groups these into homogenous risk groups and these in turn are aggregated into Lines of Business. Depending on the kind of assumptions these are set at any of the described different levels. For example, although many life contracts are valued at individual level by the actuarial systems, the mortality table is set at a product level or HRG level. For reporting purposes, the level of the Lines of Business is used, for the best estimate this ranges from any of the three levels depending on the </w:t>
            </w:r>
            <w:r w:rsidRPr="003720A2">
              <w:rPr>
                <w:rFonts w:ascii="Verdana" w:hAnsi="Verdana"/>
                <w:color w:val="7F7F7F" w:themeColor="text1" w:themeTint="80"/>
                <w:sz w:val="22"/>
                <w:szCs w:val="22"/>
                <w:lang w:val="en-US" w:eastAsia="en-GB"/>
              </w:rPr>
              <w:lastRenderedPageBreak/>
              <w:t>characteristics of the insurance product. For example, for medical expense the HRG and Lob can be the same. The same applies to the EPIFP. It also differs between Life/Non-Life/Health, 1-year contract or multiple year contract, etc. The answer differs also considering the use of proxies when determining the best estimate or whether deterministic or stochastic methods are applied</w:t>
            </w:r>
            <w:r w:rsidRPr="003720A2">
              <w:rPr>
                <w:color w:val="7F7F7F" w:themeColor="text1" w:themeTint="80"/>
                <w:sz w:val="20"/>
                <w:szCs w:val="20"/>
                <w:lang w:val="en-US" w:eastAsia="en-GB"/>
              </w:rPr>
              <w:t>.</w:t>
            </w:r>
          </w:p>
          <w:p w14:paraId="4F575E2F" w14:textId="0B67877E" w:rsidR="006F5ECC" w:rsidRPr="00D10904" w:rsidRDefault="006F5ECC" w:rsidP="002F78B0">
            <w:pPr>
              <w:tabs>
                <w:tab w:val="left" w:pos="0"/>
                <w:tab w:val="left" w:pos="4678"/>
              </w:tabs>
              <w:spacing w:line="239" w:lineRule="auto"/>
              <w:ind w:right="6" w:hanging="565"/>
              <w:jc w:val="both"/>
              <w:rPr>
                <w:rFonts w:ascii="Verdana" w:eastAsia="Verdana" w:hAnsi="Verdana" w:cs="Verdana"/>
                <w:b/>
                <w:bCs/>
                <w:color w:val="7F7F7F" w:themeColor="text1" w:themeTint="80"/>
                <w:sz w:val="22"/>
                <w:szCs w:val="22"/>
                <w:lang w:val="en-US"/>
              </w:rPr>
            </w:pPr>
          </w:p>
        </w:tc>
        <w:tc>
          <w:tcPr>
            <w:tcW w:w="483" w:type="pct"/>
            <w:tcBorders>
              <w:top w:val="single" w:sz="4" w:space="0" w:color="auto"/>
              <w:left w:val="single" w:sz="4" w:space="0" w:color="auto"/>
              <w:bottom w:val="single" w:sz="4" w:space="0" w:color="auto"/>
              <w:right w:val="single" w:sz="4" w:space="0" w:color="auto"/>
            </w:tcBorders>
          </w:tcPr>
          <w:p w14:paraId="65C5127B" w14:textId="77777777" w:rsidR="006F5ECC" w:rsidRPr="00FE3045" w:rsidRDefault="006F5ECC" w:rsidP="002F78B0">
            <w:pPr>
              <w:tabs>
                <w:tab w:val="left" w:pos="0"/>
                <w:tab w:val="left" w:pos="4678"/>
              </w:tabs>
              <w:ind w:left="-96"/>
              <w:rPr>
                <w:color w:val="000000"/>
                <w:sz w:val="22"/>
                <w:szCs w:val="22"/>
                <w:lang w:val="en-GB" w:eastAsia="fr-FR"/>
              </w:rPr>
            </w:pPr>
          </w:p>
        </w:tc>
      </w:tr>
      <w:tr w:rsidR="006F5ECC" w:rsidRPr="008368F9" w14:paraId="3C5124FC"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0F6BF98C" w14:textId="0962C9B5" w:rsidR="006F5ECC" w:rsidRPr="003720A2" w:rsidRDefault="00F613F6" w:rsidP="002F78B0">
            <w:pPr>
              <w:tabs>
                <w:tab w:val="left" w:pos="0"/>
                <w:tab w:val="left" w:pos="4678"/>
              </w:tabs>
              <w:rPr>
                <w:color w:val="7F7F7F" w:themeColor="text1" w:themeTint="80"/>
                <w:lang w:val="en-US"/>
              </w:rPr>
            </w:pPr>
            <w:r>
              <w:rPr>
                <w:rFonts w:ascii="Verdana" w:eastAsia="Verdana" w:hAnsi="Verdana" w:cs="Verdana"/>
                <w:b/>
                <w:bCs/>
                <w:color w:val="7F7F7F" w:themeColor="text1" w:themeTint="80"/>
                <w:lang w:val="en-US"/>
              </w:rPr>
              <w:t xml:space="preserve">3. </w:t>
            </w:r>
            <w:r w:rsidR="006F5ECC" w:rsidRPr="003720A2">
              <w:rPr>
                <w:rFonts w:ascii="Verdana" w:eastAsia="Verdana" w:hAnsi="Verdana" w:cs="Verdana"/>
                <w:b/>
                <w:bCs/>
                <w:color w:val="7F7F7F" w:themeColor="text1" w:themeTint="80"/>
                <w:lang w:val="en-US"/>
              </w:rPr>
              <w:t>Contract boundaries</w:t>
            </w:r>
          </w:p>
        </w:tc>
      </w:tr>
      <w:tr w:rsidR="00FC5744" w:rsidRPr="001360A5" w14:paraId="5DAA9390"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1004A912" w14:textId="4508F98B" w:rsidR="006F5ECC" w:rsidRPr="00F613F6" w:rsidRDefault="00F613F6" w:rsidP="002F78B0">
            <w:pPr>
              <w:tabs>
                <w:tab w:val="left" w:pos="0"/>
                <w:tab w:val="left" w:pos="4678"/>
              </w:tabs>
              <w:ind w:left="-96"/>
              <w:rPr>
                <w:rFonts w:ascii="Verdana" w:hAnsi="Verdana"/>
                <w:bCs/>
                <w:color w:val="7F7F7F"/>
                <w:sz w:val="22"/>
                <w:szCs w:val="22"/>
                <w:lang w:val="en-GB"/>
              </w:rPr>
            </w:pPr>
            <w:r w:rsidRPr="003720A2">
              <w:rPr>
                <w:rFonts w:ascii="Verdana" w:hAnsi="Verdana"/>
                <w:bCs/>
                <w:color w:val="7F7F7F"/>
                <w:sz w:val="22"/>
                <w:szCs w:val="22"/>
                <w:lang w:val="en-GB"/>
              </w:rPr>
              <w:t xml:space="preserve">Annex </w:t>
            </w:r>
            <w:r w:rsidR="006F5ECC" w:rsidRPr="00F613F6">
              <w:rPr>
                <w:rFonts w:ascii="Verdana" w:hAnsi="Verdana"/>
                <w:bCs/>
                <w:color w:val="7F7F7F"/>
                <w:sz w:val="22"/>
                <w:szCs w:val="22"/>
                <w:lang w:val="en-GB"/>
              </w:rPr>
              <w:t>3</w:t>
            </w:r>
            <w:r w:rsidRPr="00F613F6">
              <w:rPr>
                <w:rFonts w:ascii="Verdana" w:hAnsi="Verdana"/>
                <w:bCs/>
                <w:color w:val="7F7F7F"/>
                <w:sz w:val="22"/>
                <w:szCs w:val="22"/>
                <w:lang w:val="en-GB"/>
              </w:rPr>
              <w:t>.1</w:t>
            </w:r>
          </w:p>
        </w:tc>
        <w:tc>
          <w:tcPr>
            <w:tcW w:w="506" w:type="pct"/>
            <w:gridSpan w:val="2"/>
            <w:tcBorders>
              <w:top w:val="single" w:sz="4" w:space="0" w:color="auto"/>
              <w:left w:val="single" w:sz="4" w:space="0" w:color="auto"/>
              <w:bottom w:val="single" w:sz="4" w:space="0" w:color="auto"/>
              <w:right w:val="single" w:sz="4" w:space="0" w:color="auto"/>
            </w:tcBorders>
          </w:tcPr>
          <w:p w14:paraId="1DD6E2FF" w14:textId="4F848A80" w:rsidR="006F5ECC" w:rsidRPr="00047EE7" w:rsidRDefault="006F5ECC" w:rsidP="002F78B0">
            <w:pPr>
              <w:tabs>
                <w:tab w:val="left" w:pos="0"/>
                <w:tab w:val="left" w:pos="4678"/>
              </w:tabs>
              <w:ind w:left="-96"/>
              <w:rPr>
                <w:sz w:val="20"/>
                <w:szCs w:val="20"/>
                <w:lang w:val="en-US"/>
              </w:rPr>
            </w:pPr>
            <w:r>
              <w:rPr>
                <w:rFonts w:ascii="Verdana" w:hAnsi="Verdana"/>
                <w:color w:val="7F7F7F" w:themeColor="text1" w:themeTint="80"/>
                <w:sz w:val="22"/>
                <w:szCs w:val="22"/>
                <w:lang w:val="en-US"/>
              </w:rPr>
              <w:t>General comments</w:t>
            </w:r>
          </w:p>
        </w:tc>
        <w:tc>
          <w:tcPr>
            <w:tcW w:w="1999" w:type="pct"/>
            <w:tcBorders>
              <w:top w:val="single" w:sz="4" w:space="0" w:color="auto"/>
              <w:left w:val="single" w:sz="4" w:space="0" w:color="auto"/>
              <w:bottom w:val="single" w:sz="4" w:space="0" w:color="auto"/>
              <w:right w:val="single" w:sz="4" w:space="0" w:color="auto"/>
            </w:tcBorders>
            <w:vAlign w:val="bottom"/>
          </w:tcPr>
          <w:p w14:paraId="6015289C" w14:textId="08EAA909" w:rsidR="00AD22EF" w:rsidRPr="00AD22EF" w:rsidRDefault="00AD22EF" w:rsidP="002F78B0">
            <w:pPr>
              <w:pStyle w:val="CommentText"/>
              <w:tabs>
                <w:tab w:val="left" w:pos="0"/>
                <w:tab w:val="left" w:pos="4678"/>
              </w:tabs>
              <w:rPr>
                <w:rFonts w:ascii="Verdana" w:hAnsi="Verdana"/>
                <w:b/>
                <w:bCs/>
                <w:color w:val="7F7F7F" w:themeColor="text1" w:themeTint="80"/>
                <w:sz w:val="22"/>
                <w:szCs w:val="22"/>
                <w:lang w:val="en-US"/>
              </w:rPr>
            </w:pPr>
            <w:r>
              <w:rPr>
                <w:rFonts w:ascii="Verdana" w:hAnsi="Verdana"/>
                <w:b/>
                <w:bCs/>
                <w:color w:val="7F7F7F" w:themeColor="text1" w:themeTint="80"/>
                <w:sz w:val="22"/>
                <w:szCs w:val="22"/>
                <w:lang w:val="en-US"/>
              </w:rPr>
              <w:t>General comments – Contract Boundaries</w:t>
            </w:r>
          </w:p>
          <w:p w14:paraId="63BE90A2" w14:textId="18B7D939" w:rsidR="006F5ECC" w:rsidRPr="00395661" w:rsidRDefault="006F5ECC" w:rsidP="002F78B0">
            <w:pPr>
              <w:pStyle w:val="CommentText"/>
              <w:tabs>
                <w:tab w:val="left" w:pos="0"/>
                <w:tab w:val="left" w:pos="4678"/>
              </w:tabs>
              <w:rPr>
                <w:rFonts w:ascii="Verdana" w:hAnsi="Verdana"/>
                <w:color w:val="7F7F7F" w:themeColor="text1" w:themeTint="80"/>
                <w:sz w:val="22"/>
                <w:szCs w:val="22"/>
                <w:lang w:val="en-US"/>
              </w:rPr>
            </w:pPr>
            <w:r w:rsidRPr="00395661">
              <w:rPr>
                <w:rFonts w:ascii="Verdana" w:hAnsi="Verdana"/>
                <w:color w:val="7F7F7F" w:themeColor="text1" w:themeTint="80"/>
                <w:sz w:val="22"/>
                <w:szCs w:val="22"/>
                <w:lang w:val="en-US"/>
              </w:rPr>
              <w:t>Insurance products, product features and policyholder behavior, market expectations and fiscal legislation across Europe are reflecting the differences in the underlying legislation and specifics of the various markets. Therefore, the concept of the contract boundary and other features of the best estimate should be principle based and not rules based. Additional guidelines are really only needed if there is a recognised issue existing in the majority of the Member States and which, if not resolved, would seriously endanger the level playing field and movement of goods, products, capital and persons across the European Union.</w:t>
            </w:r>
          </w:p>
          <w:p w14:paraId="57CF00BD" w14:textId="77777777" w:rsidR="006F5ECC" w:rsidRPr="00CF2245" w:rsidRDefault="006F5ECC" w:rsidP="002F78B0">
            <w:pPr>
              <w:tabs>
                <w:tab w:val="left" w:pos="0"/>
                <w:tab w:val="left" w:pos="4678"/>
              </w:tabs>
              <w:rPr>
                <w:rFonts w:ascii="Verdana" w:hAnsi="Verdana"/>
                <w:color w:val="7F7F7F"/>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3B5C4407" w14:textId="77777777" w:rsidR="006F5ECC" w:rsidRPr="00FE3045" w:rsidRDefault="006F5ECC" w:rsidP="002F78B0">
            <w:pPr>
              <w:tabs>
                <w:tab w:val="left" w:pos="0"/>
                <w:tab w:val="left" w:pos="4678"/>
              </w:tabs>
              <w:ind w:left="-96"/>
              <w:rPr>
                <w:color w:val="000000"/>
                <w:sz w:val="22"/>
                <w:szCs w:val="22"/>
                <w:lang w:val="en-GB" w:eastAsia="fr-FR"/>
              </w:rPr>
            </w:pPr>
          </w:p>
        </w:tc>
      </w:tr>
      <w:tr w:rsidR="00FC5744" w:rsidRPr="001360A5" w14:paraId="13118E09"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3D19A334" w14:textId="2AC22E29" w:rsidR="006F5ECC" w:rsidRDefault="00F613F6" w:rsidP="002F78B0">
            <w:pPr>
              <w:tabs>
                <w:tab w:val="left" w:pos="0"/>
                <w:tab w:val="left" w:pos="4678"/>
              </w:tabs>
              <w:ind w:left="-96"/>
              <w:rPr>
                <w:rFonts w:ascii="Verdana" w:hAnsi="Verdana"/>
                <w:bCs/>
                <w:color w:val="7F7F7F"/>
                <w:sz w:val="22"/>
                <w:szCs w:val="22"/>
                <w:lang w:val="en-GB"/>
              </w:rPr>
            </w:pPr>
            <w:r w:rsidRPr="00800AFC">
              <w:rPr>
                <w:rFonts w:ascii="Verdana" w:hAnsi="Verdana"/>
                <w:bCs/>
                <w:color w:val="7F7F7F"/>
                <w:sz w:val="22"/>
                <w:szCs w:val="22"/>
                <w:lang w:val="en-GB"/>
              </w:rPr>
              <w:t xml:space="preserve">Annex </w:t>
            </w:r>
            <w:r w:rsidRPr="00F613F6">
              <w:rPr>
                <w:rFonts w:ascii="Verdana" w:hAnsi="Verdana"/>
                <w:bCs/>
                <w:color w:val="7F7F7F"/>
                <w:sz w:val="22"/>
                <w:szCs w:val="22"/>
                <w:lang w:val="en-GB"/>
              </w:rPr>
              <w:t>3.1</w:t>
            </w:r>
          </w:p>
        </w:tc>
        <w:tc>
          <w:tcPr>
            <w:tcW w:w="506" w:type="pct"/>
            <w:gridSpan w:val="2"/>
            <w:tcBorders>
              <w:top w:val="single" w:sz="4" w:space="0" w:color="auto"/>
              <w:left w:val="single" w:sz="4" w:space="0" w:color="auto"/>
              <w:bottom w:val="single" w:sz="4" w:space="0" w:color="auto"/>
              <w:right w:val="single" w:sz="4" w:space="0" w:color="auto"/>
            </w:tcBorders>
          </w:tcPr>
          <w:p w14:paraId="080CCC03" w14:textId="77777777" w:rsidR="006F5ECC" w:rsidRPr="001D4EB4" w:rsidRDefault="006F5ECC" w:rsidP="002F78B0">
            <w:pPr>
              <w:tabs>
                <w:tab w:val="left" w:pos="0"/>
                <w:tab w:val="left" w:pos="4678"/>
              </w:tabs>
              <w:ind w:left="-96"/>
              <w:rPr>
                <w:color w:val="7F7F7F" w:themeColor="text1" w:themeTint="80"/>
                <w:sz w:val="22"/>
                <w:szCs w:val="22"/>
                <w:lang w:val="en-US"/>
              </w:rPr>
            </w:pPr>
            <w:r w:rsidRPr="001D4EB4">
              <w:rPr>
                <w:rFonts w:ascii="Verdana" w:eastAsia="Verdana" w:hAnsi="Verdana" w:cs="Verdana"/>
                <w:b/>
                <w:bCs/>
                <w:color w:val="7F7F7F" w:themeColor="text1" w:themeTint="80"/>
                <w:sz w:val="22"/>
                <w:szCs w:val="22"/>
                <w:lang w:val="en-US"/>
              </w:rPr>
              <w:t>Questions to stakeholders</w:t>
            </w:r>
          </w:p>
          <w:p w14:paraId="1B96D5BD" w14:textId="0CC18FDD" w:rsidR="006F5ECC" w:rsidRPr="000C3972" w:rsidRDefault="006F5ECC" w:rsidP="002F78B0">
            <w:pPr>
              <w:tabs>
                <w:tab w:val="left" w:pos="0"/>
                <w:tab w:val="left" w:pos="4678"/>
              </w:tabs>
              <w:ind w:left="-96"/>
              <w:rPr>
                <w:rFonts w:ascii="Verdana" w:hAnsi="Verdana"/>
                <w:color w:val="7F7F7F" w:themeColor="text1" w:themeTint="80"/>
                <w:sz w:val="22"/>
                <w:szCs w:val="22"/>
                <w:lang w:val="en-US"/>
              </w:rPr>
            </w:pPr>
          </w:p>
        </w:tc>
        <w:tc>
          <w:tcPr>
            <w:tcW w:w="1999" w:type="pct"/>
            <w:tcBorders>
              <w:top w:val="single" w:sz="4" w:space="0" w:color="auto"/>
              <w:left w:val="single" w:sz="4" w:space="0" w:color="auto"/>
              <w:bottom w:val="single" w:sz="4" w:space="0" w:color="auto"/>
              <w:right w:val="single" w:sz="4" w:space="0" w:color="auto"/>
            </w:tcBorders>
          </w:tcPr>
          <w:p w14:paraId="538849A0" w14:textId="77777777" w:rsidR="006F5ECC" w:rsidRPr="00F0251A" w:rsidRDefault="006F5ECC" w:rsidP="002F78B0">
            <w:pPr>
              <w:tabs>
                <w:tab w:val="left" w:pos="0"/>
                <w:tab w:val="left" w:pos="4678"/>
              </w:tabs>
              <w:spacing w:line="239" w:lineRule="auto"/>
              <w:ind w:right="20"/>
              <w:jc w:val="both"/>
              <w:rPr>
                <w:b/>
                <w:bCs/>
                <w:color w:val="7F7F7F" w:themeColor="text1" w:themeTint="80"/>
                <w:sz w:val="22"/>
                <w:szCs w:val="22"/>
                <w:lang w:val="en-US"/>
              </w:rPr>
            </w:pPr>
            <w:r w:rsidRPr="00F0251A">
              <w:rPr>
                <w:rFonts w:ascii="Verdana" w:eastAsia="Verdana" w:hAnsi="Verdana" w:cs="Verdana"/>
                <w:b/>
                <w:bCs/>
                <w:color w:val="7F7F7F" w:themeColor="text1" w:themeTint="80"/>
                <w:sz w:val="22"/>
                <w:szCs w:val="22"/>
                <w:lang w:val="en-US"/>
              </w:rPr>
              <w:t>Q3.9: Do you consider that a 0% minimum guaranteed interest rate or a partial/full capital guarantee have a discernible effect on the economics of the contract (Yes - No - Depends on the contract, economic situation and/or other products available to policyholders)? In any case, please elaborate the answer.</w:t>
            </w:r>
          </w:p>
          <w:p w14:paraId="156C190A" w14:textId="53290116" w:rsidR="006F5ECC" w:rsidRDefault="006F5ECC" w:rsidP="002F78B0">
            <w:pPr>
              <w:tabs>
                <w:tab w:val="left" w:pos="0"/>
                <w:tab w:val="left" w:pos="4678"/>
              </w:tabs>
              <w:spacing w:line="239" w:lineRule="auto"/>
              <w:ind w:right="6" w:hanging="565"/>
              <w:jc w:val="both"/>
              <w:rPr>
                <w:sz w:val="22"/>
                <w:szCs w:val="22"/>
                <w:lang w:val="en-US"/>
              </w:rPr>
            </w:pPr>
          </w:p>
          <w:p w14:paraId="671B8214" w14:textId="296A4450" w:rsidR="006F5ECC" w:rsidRPr="00F0251A" w:rsidRDefault="006F5ECC" w:rsidP="002F78B0">
            <w:pPr>
              <w:tabs>
                <w:tab w:val="left" w:pos="0"/>
                <w:tab w:val="left" w:pos="4678"/>
              </w:tabs>
              <w:spacing w:line="239" w:lineRule="auto"/>
              <w:ind w:right="6" w:hanging="565"/>
              <w:rPr>
                <w:rFonts w:ascii="Verdana" w:hAnsi="Verdana"/>
                <w:color w:val="7F7F7F" w:themeColor="text1" w:themeTint="80"/>
                <w:sz w:val="22"/>
                <w:szCs w:val="22"/>
                <w:lang w:val="en-US"/>
              </w:rPr>
            </w:pPr>
            <w:r w:rsidRPr="00F0251A">
              <w:rPr>
                <w:rFonts w:ascii="Verdana" w:hAnsi="Verdana"/>
                <w:color w:val="7F7F7F" w:themeColor="text1" w:themeTint="80"/>
                <w:sz w:val="22"/>
                <w:szCs w:val="22"/>
                <w:lang w:val="en-US"/>
              </w:rPr>
              <w:t xml:space="preserve">We agree that a 0% minimum guaranteed interest rate has a discernible effect on the economics of the contract given the low interest rate </w:t>
            </w:r>
            <w:r w:rsidRPr="00F0251A">
              <w:rPr>
                <w:rFonts w:ascii="Verdana" w:hAnsi="Verdana"/>
                <w:color w:val="7F7F7F" w:themeColor="text1" w:themeTint="80"/>
                <w:sz w:val="22"/>
                <w:szCs w:val="22"/>
                <w:lang w:val="en-US"/>
              </w:rPr>
              <w:lastRenderedPageBreak/>
              <w:t xml:space="preserve">environment. </w:t>
            </w:r>
            <w:r>
              <w:rPr>
                <w:rFonts w:ascii="Verdana" w:hAnsi="Verdana"/>
                <w:color w:val="7F7F7F" w:themeColor="text1" w:themeTint="80"/>
                <w:sz w:val="22"/>
                <w:szCs w:val="22"/>
                <w:lang w:val="en-US"/>
              </w:rPr>
              <w:t xml:space="preserve">As the interest rates go down the value will even go lower.    </w:t>
            </w:r>
          </w:p>
          <w:p w14:paraId="049270F5" w14:textId="77777777" w:rsidR="006F5ECC" w:rsidRPr="000C3972" w:rsidRDefault="006F5ECC" w:rsidP="002F78B0">
            <w:pPr>
              <w:tabs>
                <w:tab w:val="left" w:pos="0"/>
                <w:tab w:val="left" w:pos="4678"/>
              </w:tabs>
              <w:rPr>
                <w:rFonts w:ascii="Verdana" w:hAnsi="Verdana"/>
                <w:color w:val="7F7F7F"/>
                <w:sz w:val="22"/>
                <w:szCs w:val="22"/>
                <w:lang w:val="en-US" w:eastAsia="fr-FR"/>
              </w:rPr>
            </w:pPr>
          </w:p>
        </w:tc>
        <w:tc>
          <w:tcPr>
            <w:tcW w:w="483" w:type="pct"/>
            <w:tcBorders>
              <w:top w:val="single" w:sz="4" w:space="0" w:color="auto"/>
              <w:left w:val="single" w:sz="4" w:space="0" w:color="auto"/>
              <w:bottom w:val="single" w:sz="4" w:space="0" w:color="auto"/>
              <w:right w:val="single" w:sz="4" w:space="0" w:color="auto"/>
            </w:tcBorders>
          </w:tcPr>
          <w:p w14:paraId="01040A73" w14:textId="77777777" w:rsidR="006F5ECC" w:rsidRPr="00FE3045" w:rsidRDefault="006F5ECC" w:rsidP="002F78B0">
            <w:pPr>
              <w:tabs>
                <w:tab w:val="left" w:pos="0"/>
                <w:tab w:val="left" w:pos="4678"/>
              </w:tabs>
              <w:ind w:left="-96"/>
              <w:rPr>
                <w:color w:val="000000"/>
                <w:sz w:val="22"/>
                <w:szCs w:val="22"/>
                <w:lang w:val="en-GB" w:eastAsia="fr-FR"/>
              </w:rPr>
            </w:pPr>
          </w:p>
        </w:tc>
      </w:tr>
      <w:tr w:rsidR="006F5ECC" w:rsidRPr="000C3972" w14:paraId="1FB26550"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771FF2CC" w14:textId="109AF073" w:rsidR="006F5ECC" w:rsidRPr="003720A2" w:rsidRDefault="00F613F6" w:rsidP="002F78B0">
            <w:pPr>
              <w:tabs>
                <w:tab w:val="left" w:pos="0"/>
                <w:tab w:val="left" w:pos="4678"/>
              </w:tabs>
              <w:rPr>
                <w:rFonts w:ascii="Verdana" w:hAnsi="Verdana"/>
                <w:b/>
                <w:bCs/>
                <w:color w:val="7F7F7F" w:themeColor="text1" w:themeTint="80"/>
                <w:lang w:val="en-GB" w:eastAsia="fr-FR"/>
              </w:rPr>
            </w:pPr>
            <w:r>
              <w:rPr>
                <w:rFonts w:ascii="Verdana" w:hAnsi="Verdana"/>
                <w:b/>
                <w:bCs/>
                <w:color w:val="7F7F7F" w:themeColor="text1" w:themeTint="80"/>
                <w:lang w:val="en-GB" w:eastAsia="fr-FR"/>
              </w:rPr>
              <w:t xml:space="preserve">5. </w:t>
            </w:r>
            <w:r w:rsidR="006F5ECC" w:rsidRPr="003720A2">
              <w:rPr>
                <w:rFonts w:ascii="Verdana" w:hAnsi="Verdana"/>
                <w:b/>
                <w:bCs/>
                <w:color w:val="7F7F7F" w:themeColor="text1" w:themeTint="80"/>
                <w:lang w:val="en-GB" w:eastAsia="fr-FR"/>
              </w:rPr>
              <w:t>Expenses</w:t>
            </w:r>
          </w:p>
        </w:tc>
      </w:tr>
      <w:tr w:rsidR="00FC5744" w:rsidRPr="001360A5" w14:paraId="4E7BE507"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48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3EBDF0A" w14:textId="7671B6AE" w:rsidR="006F5ECC" w:rsidRPr="00670760" w:rsidRDefault="00DA17DB" w:rsidP="002F78B0">
            <w:pPr>
              <w:tabs>
                <w:tab w:val="left" w:pos="0"/>
                <w:tab w:val="left" w:pos="4678"/>
              </w:tabs>
              <w:ind w:left="-96"/>
              <w:rPr>
                <w:rFonts w:ascii="Verdana" w:hAnsi="Verdana"/>
                <w:bCs/>
                <w:color w:val="7F7F7F" w:themeColor="text1" w:themeTint="80"/>
                <w:sz w:val="22"/>
                <w:szCs w:val="22"/>
                <w:lang w:val="en-GB"/>
              </w:rPr>
            </w:pPr>
            <w:r>
              <w:rPr>
                <w:rFonts w:ascii="Verdana" w:hAnsi="Verdana"/>
                <w:bCs/>
                <w:color w:val="7F7F7F" w:themeColor="text1" w:themeTint="80"/>
                <w:sz w:val="22"/>
                <w:szCs w:val="22"/>
                <w:lang w:val="en-GB"/>
              </w:rPr>
              <w:t>A</w:t>
            </w:r>
          </w:p>
        </w:tc>
        <w:tc>
          <w:tcPr>
            <w:tcW w:w="506" w:type="pct"/>
            <w:gridSpan w:val="2"/>
            <w:tcBorders>
              <w:top w:val="single" w:sz="4" w:space="0" w:color="auto"/>
              <w:left w:val="single" w:sz="4" w:space="0" w:color="auto"/>
              <w:bottom w:val="single" w:sz="4" w:space="0" w:color="auto"/>
              <w:right w:val="single" w:sz="4" w:space="0" w:color="auto"/>
            </w:tcBorders>
          </w:tcPr>
          <w:p w14:paraId="3AD879C5" w14:textId="037A1E9C" w:rsidR="006F5ECC" w:rsidRPr="00670760" w:rsidRDefault="00DA17DB" w:rsidP="002F78B0">
            <w:pPr>
              <w:tabs>
                <w:tab w:val="left" w:pos="0"/>
                <w:tab w:val="left" w:pos="4678"/>
              </w:tabs>
              <w:ind w:left="-96"/>
              <w:rPr>
                <w:rFonts w:ascii="Verdana" w:hAnsi="Verdana"/>
                <w:color w:val="7F7F7F" w:themeColor="text1" w:themeTint="80"/>
                <w:sz w:val="22"/>
                <w:szCs w:val="22"/>
                <w:lang w:val="en-US"/>
              </w:rPr>
            </w:pPr>
            <w:r>
              <w:rPr>
                <w:rFonts w:ascii="Verdana" w:hAnsi="Verdana"/>
                <w:color w:val="7F7F7F" w:themeColor="text1" w:themeTint="80"/>
                <w:sz w:val="22"/>
                <w:szCs w:val="22"/>
                <w:lang w:val="en-US"/>
              </w:rPr>
              <w:t>220</w:t>
            </w:r>
          </w:p>
        </w:tc>
        <w:tc>
          <w:tcPr>
            <w:tcW w:w="1999" w:type="pct"/>
            <w:tcBorders>
              <w:top w:val="single" w:sz="4" w:space="0" w:color="auto"/>
              <w:left w:val="single" w:sz="4" w:space="0" w:color="auto"/>
              <w:bottom w:val="single" w:sz="4" w:space="0" w:color="auto"/>
              <w:right w:val="single" w:sz="4" w:space="0" w:color="auto"/>
            </w:tcBorders>
          </w:tcPr>
          <w:p w14:paraId="6F07B7C3" w14:textId="7EF501A3" w:rsidR="006F5ECC" w:rsidRPr="003720A2" w:rsidRDefault="00DA17DB" w:rsidP="002F78B0">
            <w:pPr>
              <w:tabs>
                <w:tab w:val="left" w:pos="0"/>
                <w:tab w:val="left" w:pos="4678"/>
              </w:tabs>
              <w:rPr>
                <w:rFonts w:ascii="Verdana" w:eastAsia="Verdana" w:hAnsi="Verdana" w:cs="Verdana"/>
                <w:b/>
                <w:bCs/>
                <w:color w:val="7F7F7F" w:themeColor="text1" w:themeTint="80"/>
                <w:sz w:val="22"/>
                <w:szCs w:val="22"/>
                <w:lang w:val="en-US"/>
              </w:rPr>
            </w:pPr>
            <w:r w:rsidRPr="003720A2">
              <w:rPr>
                <w:rFonts w:ascii="Verdana" w:eastAsia="Verdana" w:hAnsi="Verdana" w:cs="Verdana"/>
                <w:b/>
                <w:bCs/>
                <w:color w:val="7F7F7F" w:themeColor="text1" w:themeTint="80"/>
                <w:sz w:val="22"/>
                <w:szCs w:val="22"/>
                <w:lang w:val="en-US"/>
              </w:rPr>
              <w:t>Investment management e</w:t>
            </w:r>
            <w:r w:rsidR="006F5ECC" w:rsidRPr="003720A2">
              <w:rPr>
                <w:rFonts w:ascii="Verdana" w:eastAsia="Verdana" w:hAnsi="Verdana" w:cs="Verdana"/>
                <w:b/>
                <w:bCs/>
                <w:color w:val="7F7F7F" w:themeColor="text1" w:themeTint="80"/>
                <w:sz w:val="22"/>
                <w:szCs w:val="22"/>
                <w:lang w:val="en-US"/>
              </w:rPr>
              <w:t>xpenses</w:t>
            </w:r>
          </w:p>
          <w:p w14:paraId="1DC44D37" w14:textId="22F0FB5A" w:rsidR="006F5ECC" w:rsidRPr="00670760" w:rsidRDefault="006F5ECC" w:rsidP="002F78B0">
            <w:pPr>
              <w:tabs>
                <w:tab w:val="left" w:pos="0"/>
                <w:tab w:val="left" w:pos="4678"/>
              </w:tabs>
              <w:rPr>
                <w:rFonts w:ascii="Verdana" w:hAnsi="Verdana"/>
                <w:color w:val="7F7F7F" w:themeColor="text1" w:themeTint="80"/>
                <w:sz w:val="22"/>
                <w:szCs w:val="22"/>
                <w:lang w:val="en-GB" w:eastAsia="fr-FR"/>
              </w:rPr>
            </w:pPr>
            <w:r w:rsidRPr="00670760">
              <w:rPr>
                <w:rFonts w:ascii="Verdana" w:eastAsia="Verdana" w:hAnsi="Verdana" w:cs="Verdana"/>
                <w:color w:val="7F7F7F" w:themeColor="text1" w:themeTint="80"/>
                <w:sz w:val="22"/>
                <w:szCs w:val="22"/>
                <w:lang w:val="en-US"/>
              </w:rPr>
              <w:t>EIOPA proposes to consider not only management expenses from assets linked to technical provisions but also assets covering the SCR. However, Article 78 of the Solvency II Directive requires to include all expenses incurred in servicing insurance and reinsurance obligations. The investment management expenses of assets covering the undertaking’s SCR are not required “to pursue insurance business”.</w:t>
            </w:r>
          </w:p>
        </w:tc>
        <w:tc>
          <w:tcPr>
            <w:tcW w:w="483" w:type="pct"/>
            <w:tcBorders>
              <w:top w:val="single" w:sz="4" w:space="0" w:color="auto"/>
              <w:left w:val="single" w:sz="4" w:space="0" w:color="auto"/>
              <w:bottom w:val="single" w:sz="4" w:space="0" w:color="auto"/>
              <w:right w:val="single" w:sz="4" w:space="0" w:color="auto"/>
            </w:tcBorders>
          </w:tcPr>
          <w:p w14:paraId="0ED2F7DF" w14:textId="77777777" w:rsidR="006F5ECC" w:rsidRPr="000C3972" w:rsidRDefault="006F5ECC" w:rsidP="002F78B0">
            <w:pPr>
              <w:tabs>
                <w:tab w:val="left" w:pos="0"/>
                <w:tab w:val="left" w:pos="4678"/>
              </w:tabs>
              <w:ind w:left="-96"/>
              <w:rPr>
                <w:rFonts w:ascii="Verdana" w:hAnsi="Verdana"/>
                <w:color w:val="7F7F7F" w:themeColor="text1" w:themeTint="80"/>
                <w:sz w:val="22"/>
                <w:szCs w:val="22"/>
                <w:lang w:val="en-GB" w:eastAsia="fr-FR"/>
              </w:rPr>
            </w:pPr>
          </w:p>
        </w:tc>
      </w:tr>
      <w:tr w:rsidR="006F5ECC" w:rsidRPr="009737D2" w14:paraId="38112E34"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4"/>
          <w:wAfter w:w="1416" w:type="pct"/>
          <w:trHeight w:val="300"/>
        </w:trPr>
        <w:tc>
          <w:tcPr>
            <w:tcW w:w="3584"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438EBAA0" w14:textId="77777777" w:rsidR="006F5ECC" w:rsidRPr="009737D2" w:rsidRDefault="006F5ECC" w:rsidP="002F78B0">
            <w:pPr>
              <w:tabs>
                <w:tab w:val="left" w:pos="0"/>
                <w:tab w:val="left" w:pos="4678"/>
              </w:tabs>
              <w:ind w:left="-96"/>
              <w:rPr>
                <w:b/>
                <w:bCs/>
                <w:color w:val="7F7F7F" w:themeColor="text1" w:themeTint="80"/>
                <w:sz w:val="22"/>
                <w:szCs w:val="22"/>
                <w:lang w:val="en-US"/>
              </w:rPr>
            </w:pPr>
            <w:r w:rsidRPr="009737D2">
              <w:rPr>
                <w:rFonts w:ascii="Verdana" w:eastAsia="Verdana" w:hAnsi="Verdana" w:cs="Verdana"/>
                <w:b/>
                <w:bCs/>
                <w:color w:val="7F7F7F" w:themeColor="text1" w:themeTint="80"/>
                <w:sz w:val="22"/>
                <w:szCs w:val="22"/>
                <w:lang w:val="en-US"/>
              </w:rPr>
              <w:t>Annex 7.1 – RSR content proposal</w:t>
            </w:r>
          </w:p>
          <w:p w14:paraId="1253E8A8" w14:textId="77777777" w:rsidR="006F5ECC" w:rsidRPr="009737D2" w:rsidRDefault="006F5ECC" w:rsidP="002F78B0">
            <w:pPr>
              <w:tabs>
                <w:tab w:val="left" w:pos="0"/>
                <w:tab w:val="left" w:pos="4678"/>
              </w:tabs>
              <w:ind w:left="-96"/>
              <w:rPr>
                <w:b/>
                <w:bCs/>
                <w:color w:val="7F7F7F" w:themeColor="text1" w:themeTint="80"/>
                <w:sz w:val="22"/>
                <w:szCs w:val="22"/>
                <w:lang w:val="en-GB" w:eastAsia="fr-FR"/>
              </w:rPr>
            </w:pPr>
          </w:p>
        </w:tc>
      </w:tr>
      <w:tr w:rsidR="00FC5744" w:rsidRPr="001360A5" w14:paraId="77FAD58E"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7D6F093B" w14:textId="49B183BD" w:rsidR="006F5ECC" w:rsidRDefault="00F613F6" w:rsidP="002F78B0">
            <w:pPr>
              <w:tabs>
                <w:tab w:val="left" w:pos="0"/>
                <w:tab w:val="left" w:pos="4678"/>
              </w:tabs>
              <w:ind w:left="-68"/>
              <w:rPr>
                <w:rFonts w:ascii="Verdana" w:hAnsi="Verdana"/>
                <w:bCs/>
                <w:color w:val="7F7F7F"/>
                <w:sz w:val="22"/>
                <w:szCs w:val="22"/>
                <w:lang w:val="en-GB"/>
              </w:rPr>
            </w:pPr>
            <w:r>
              <w:rPr>
                <w:rFonts w:ascii="Verdana" w:hAnsi="Verdana"/>
                <w:bCs/>
                <w:color w:val="7F7F7F"/>
                <w:sz w:val="22"/>
                <w:szCs w:val="22"/>
                <w:lang w:val="en-GB"/>
              </w:rPr>
              <w:t>A</w:t>
            </w:r>
          </w:p>
        </w:tc>
        <w:tc>
          <w:tcPr>
            <w:tcW w:w="506" w:type="pct"/>
            <w:gridSpan w:val="2"/>
            <w:tcBorders>
              <w:top w:val="single" w:sz="4" w:space="0" w:color="auto"/>
              <w:left w:val="single" w:sz="4" w:space="0" w:color="auto"/>
              <w:bottom w:val="single" w:sz="4" w:space="0" w:color="auto"/>
              <w:right w:val="single" w:sz="4" w:space="0" w:color="auto"/>
            </w:tcBorders>
          </w:tcPr>
          <w:p w14:paraId="27C21419" w14:textId="14F53EC1" w:rsidR="006F5ECC" w:rsidRPr="00CE72D2" w:rsidRDefault="00F613F6" w:rsidP="002F78B0">
            <w:pPr>
              <w:tabs>
                <w:tab w:val="left" w:pos="0"/>
                <w:tab w:val="left" w:pos="4678"/>
              </w:tabs>
              <w:ind w:left="-68"/>
              <w:rPr>
                <w:rFonts w:ascii="Verdana" w:hAnsi="Verdana"/>
                <w:sz w:val="22"/>
                <w:szCs w:val="22"/>
                <w:lang w:val="en-US"/>
              </w:rPr>
            </w:pPr>
            <w:r w:rsidRPr="00F613F6">
              <w:rPr>
                <w:rFonts w:ascii="Verdana" w:hAnsi="Verdana"/>
                <w:color w:val="595959" w:themeColor="text1" w:themeTint="A6"/>
                <w:sz w:val="22"/>
                <w:szCs w:val="22"/>
                <w:lang w:val="en-US"/>
              </w:rPr>
              <w:t>241</w:t>
            </w:r>
          </w:p>
        </w:tc>
        <w:tc>
          <w:tcPr>
            <w:tcW w:w="1999" w:type="pct"/>
            <w:tcBorders>
              <w:top w:val="single" w:sz="4" w:space="0" w:color="auto"/>
              <w:left w:val="single" w:sz="4" w:space="0" w:color="auto"/>
              <w:bottom w:val="single" w:sz="4" w:space="0" w:color="auto"/>
              <w:right w:val="single" w:sz="4" w:space="0" w:color="auto"/>
            </w:tcBorders>
          </w:tcPr>
          <w:p w14:paraId="45583E6E" w14:textId="446D304A" w:rsidR="00F613F6" w:rsidRPr="00F613F6" w:rsidRDefault="00F613F6" w:rsidP="002F78B0">
            <w:pPr>
              <w:tabs>
                <w:tab w:val="left" w:pos="0"/>
                <w:tab w:val="left" w:pos="4678"/>
              </w:tabs>
              <w:ind w:left="-68" w:firstLine="91"/>
              <w:rPr>
                <w:rFonts w:ascii="Verdana" w:hAnsi="Verdana"/>
                <w:color w:val="7F7F7F" w:themeColor="text1" w:themeTint="80"/>
                <w:sz w:val="22"/>
                <w:szCs w:val="22"/>
                <w:u w:val="single"/>
                <w:lang w:val="en-US"/>
              </w:rPr>
            </w:pPr>
            <w:r w:rsidRPr="00F613F6">
              <w:rPr>
                <w:rFonts w:ascii="Verdana" w:hAnsi="Verdana"/>
                <w:color w:val="7F7F7F" w:themeColor="text1" w:themeTint="80"/>
                <w:sz w:val="22"/>
                <w:szCs w:val="22"/>
                <w:u w:val="single"/>
                <w:lang w:val="en-US"/>
              </w:rPr>
              <w:t>General comments</w:t>
            </w:r>
          </w:p>
          <w:p w14:paraId="11D34EE1" w14:textId="7E84BD1F" w:rsidR="006F5ECC" w:rsidRPr="00677C26" w:rsidRDefault="006F5ECC" w:rsidP="002F78B0">
            <w:pPr>
              <w:tabs>
                <w:tab w:val="left" w:pos="0"/>
                <w:tab w:val="left" w:pos="4678"/>
              </w:tabs>
              <w:ind w:left="-68" w:firstLine="91"/>
              <w:rPr>
                <w:rFonts w:ascii="Verdana" w:hAnsi="Verdana"/>
                <w:color w:val="7F7F7F" w:themeColor="text1" w:themeTint="80"/>
                <w:sz w:val="22"/>
                <w:szCs w:val="22"/>
                <w:lang w:val="en-US"/>
              </w:rPr>
            </w:pPr>
            <w:r>
              <w:rPr>
                <w:rFonts w:ascii="Verdana" w:hAnsi="Verdana"/>
                <w:color w:val="7F7F7F" w:themeColor="text1" w:themeTint="80"/>
                <w:sz w:val="22"/>
                <w:szCs w:val="22"/>
                <w:lang w:val="en-US"/>
              </w:rPr>
              <w:t>As indicated in our previous comments, w</w:t>
            </w:r>
            <w:r w:rsidRPr="00677C26">
              <w:rPr>
                <w:rFonts w:ascii="Verdana" w:hAnsi="Verdana"/>
                <w:color w:val="7F7F7F" w:themeColor="text1" w:themeTint="80"/>
                <w:sz w:val="22"/>
                <w:szCs w:val="22"/>
                <w:lang w:val="en-US"/>
              </w:rPr>
              <w:t>e welcome EIOPA’s statement that the RSR can be simplified and that duplications and overlaps within the RSR and between the RSR and other supervisory reports should be avoided</w:t>
            </w:r>
            <w:r w:rsidRPr="00677C26">
              <w:rPr>
                <w:rFonts w:ascii="Verdana" w:eastAsia="Verdana" w:hAnsi="Verdana" w:cs="Verdana"/>
                <w:color w:val="7F7F7F" w:themeColor="text1" w:themeTint="80"/>
                <w:lang w:val="en-US"/>
              </w:rPr>
              <w:t xml:space="preserve">. </w:t>
            </w:r>
            <w:r w:rsidRPr="00677C26">
              <w:rPr>
                <w:rFonts w:ascii="Verdana" w:hAnsi="Verdana"/>
                <w:color w:val="7F7F7F" w:themeColor="text1" w:themeTint="80"/>
                <w:sz w:val="22"/>
                <w:szCs w:val="22"/>
                <w:lang w:val="en-US"/>
              </w:rPr>
              <w:t xml:space="preserve">However, we think they lead to further divergence between the SFCR and RSR reports, generally. We oppose this development; We see many benefits in maintaining the same structures and content </w:t>
            </w:r>
            <w:r>
              <w:rPr>
                <w:rFonts w:ascii="Verdana" w:hAnsi="Verdana"/>
                <w:color w:val="7F7F7F" w:themeColor="text1" w:themeTint="80"/>
                <w:sz w:val="22"/>
                <w:szCs w:val="22"/>
                <w:lang w:val="en-US"/>
              </w:rPr>
              <w:t xml:space="preserve">- </w:t>
            </w:r>
            <w:r w:rsidRPr="00677C26">
              <w:rPr>
                <w:rFonts w:ascii="Verdana" w:hAnsi="Verdana"/>
                <w:color w:val="7F7F7F" w:themeColor="text1" w:themeTint="80"/>
                <w:sz w:val="22"/>
                <w:szCs w:val="22"/>
                <w:lang w:val="en-US"/>
              </w:rPr>
              <w:t>but more in-depth in the RSR</w:t>
            </w:r>
            <w:r>
              <w:rPr>
                <w:rFonts w:ascii="Verdana" w:hAnsi="Verdana"/>
                <w:color w:val="7F7F7F" w:themeColor="text1" w:themeTint="80"/>
                <w:sz w:val="22"/>
                <w:szCs w:val="22"/>
                <w:lang w:val="en-US"/>
              </w:rPr>
              <w:t xml:space="preserve"> -</w:t>
            </w:r>
            <w:r w:rsidRPr="00677C26">
              <w:rPr>
                <w:rFonts w:ascii="Verdana" w:hAnsi="Verdana"/>
                <w:color w:val="7F7F7F" w:themeColor="text1" w:themeTint="80"/>
                <w:sz w:val="22"/>
                <w:szCs w:val="22"/>
                <w:lang w:val="en-US"/>
              </w:rPr>
              <w:t xml:space="preserve"> in the SFCR and RSR; there are benefits in maintaining the same/similar structures when building up and handling the production of the reports and the writing process. The RSR should be revised and its structure should be changed in a manner consistent with the proposals for the new SFCR structure.</w:t>
            </w:r>
          </w:p>
          <w:p w14:paraId="34FDB7D5" w14:textId="77777777" w:rsidR="006F5ECC" w:rsidRDefault="006F5ECC" w:rsidP="002F78B0">
            <w:pPr>
              <w:tabs>
                <w:tab w:val="left" w:pos="0"/>
                <w:tab w:val="left" w:pos="4678"/>
              </w:tabs>
              <w:ind w:left="-68" w:firstLine="91"/>
              <w:rPr>
                <w:rFonts w:ascii="Verdana" w:hAnsi="Verdana" w:cs="Helvetica"/>
                <w:color w:val="7F7F7F"/>
                <w:sz w:val="22"/>
                <w:szCs w:val="22"/>
                <w:highlight w:val="yellow"/>
                <w:lang w:val="en-US"/>
              </w:rPr>
            </w:pPr>
          </w:p>
          <w:p w14:paraId="40676D47" w14:textId="0DDB769B" w:rsidR="006F5ECC" w:rsidRPr="005E44D0" w:rsidRDefault="006F5ECC" w:rsidP="002F78B0">
            <w:pPr>
              <w:tabs>
                <w:tab w:val="left" w:pos="0"/>
                <w:tab w:val="left" w:pos="4678"/>
              </w:tabs>
              <w:ind w:left="-68" w:firstLine="91"/>
              <w:rPr>
                <w:rFonts w:ascii="Verdana" w:hAnsi="Verdana"/>
                <w:color w:val="7F7F7F"/>
                <w:sz w:val="22"/>
                <w:szCs w:val="22"/>
                <w:lang w:val="en-GB" w:eastAsia="fr-FR"/>
              </w:rPr>
            </w:pPr>
            <w:r w:rsidRPr="00CF2245">
              <w:rPr>
                <w:rFonts w:ascii="Verdana" w:hAnsi="Verdana"/>
                <w:color w:val="7F7F7F"/>
                <w:sz w:val="22"/>
                <w:szCs w:val="22"/>
                <w:lang w:val="en-GB" w:eastAsia="fr-FR"/>
              </w:rPr>
              <w:t xml:space="preserve">The EIOPA´s decision to denominate certain sections of the RSR as static information should not be done in isolation and without </w:t>
            </w:r>
            <w:r w:rsidRPr="00CF2245">
              <w:rPr>
                <w:rFonts w:ascii="Verdana" w:hAnsi="Verdana"/>
                <w:color w:val="7F7F7F"/>
                <w:sz w:val="22"/>
                <w:szCs w:val="22"/>
                <w:lang w:val="en-GB" w:eastAsia="fr-FR"/>
              </w:rPr>
              <w:lastRenderedPageBreak/>
              <w:t xml:space="preserve">considering the frequency by which the RSR is being submitted to the national competent authorities. Firms who send their RSR reports on a 3-year basis have to inform their supervisory authority about any material changes that have occurred during the year. We do not see the added-value of developing a proposal on a minimum frequency for the submission of the full information in case material changes </w:t>
            </w:r>
            <w:r>
              <w:rPr>
                <w:rFonts w:ascii="Verdana" w:hAnsi="Verdana"/>
                <w:color w:val="7F7F7F"/>
                <w:sz w:val="22"/>
                <w:szCs w:val="22"/>
                <w:lang w:val="en-GB" w:eastAsia="fr-FR"/>
              </w:rPr>
              <w:t>are reported.</w:t>
            </w:r>
          </w:p>
          <w:p w14:paraId="5B89B9B4" w14:textId="5E57B927" w:rsidR="006F5ECC" w:rsidRPr="00BA2FBD" w:rsidRDefault="006F5ECC" w:rsidP="002F78B0">
            <w:pPr>
              <w:tabs>
                <w:tab w:val="left" w:pos="0"/>
                <w:tab w:val="left" w:pos="4678"/>
              </w:tabs>
              <w:ind w:left="-68" w:firstLine="91"/>
              <w:rPr>
                <w:rFonts w:ascii="Verdana" w:hAnsi="Verdana"/>
                <w:color w:val="7F7F7F"/>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4DA61830" w14:textId="77777777" w:rsidR="006F5ECC" w:rsidRPr="00FE3045" w:rsidRDefault="006F5ECC" w:rsidP="002F78B0">
            <w:pPr>
              <w:tabs>
                <w:tab w:val="left" w:pos="0"/>
                <w:tab w:val="left" w:pos="4678"/>
              </w:tabs>
              <w:ind w:left="-96"/>
              <w:rPr>
                <w:color w:val="000000"/>
                <w:sz w:val="22"/>
                <w:szCs w:val="22"/>
                <w:lang w:val="en-GB" w:eastAsia="fr-FR"/>
              </w:rPr>
            </w:pPr>
          </w:p>
        </w:tc>
      </w:tr>
      <w:tr w:rsidR="006F5ECC" w:rsidRPr="00AD5AF7" w14:paraId="384BB5A2"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1418" w:type="pct"/>
          <w:trHeight w:val="300"/>
        </w:trPr>
        <w:tc>
          <w:tcPr>
            <w:tcW w:w="3582" w:type="pct"/>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64053EEB" w14:textId="10194B24" w:rsidR="006F5ECC" w:rsidRPr="00FE3045" w:rsidRDefault="006F5ECC" w:rsidP="002F78B0">
            <w:pPr>
              <w:tabs>
                <w:tab w:val="left" w:pos="0"/>
                <w:tab w:val="left" w:pos="4678"/>
              </w:tabs>
              <w:ind w:left="-68"/>
              <w:rPr>
                <w:color w:val="000000"/>
                <w:sz w:val="22"/>
                <w:szCs w:val="22"/>
                <w:lang w:val="en-GB" w:eastAsia="fr-FR"/>
              </w:rPr>
            </w:pPr>
            <w:r w:rsidRPr="007C4F0A">
              <w:rPr>
                <w:rFonts w:ascii="Verdana" w:eastAsia="Verdana" w:hAnsi="Verdana" w:cs="Verdana"/>
                <w:b/>
                <w:bCs/>
                <w:color w:val="7F7F7F" w:themeColor="text1" w:themeTint="80"/>
                <w:sz w:val="22"/>
                <w:szCs w:val="22"/>
                <w:lang w:val="en-US"/>
              </w:rPr>
              <w:t>EIOPA’s Impact Assessment</w:t>
            </w:r>
          </w:p>
        </w:tc>
      </w:tr>
      <w:tr w:rsidR="00FC5744" w:rsidRPr="001360A5" w14:paraId="4D44B603" w14:textId="77777777" w:rsidTr="002F7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6"/>
          <w:wAfter w:w="1433" w:type="pct"/>
          <w:trHeight w:val="300"/>
        </w:trPr>
        <w:tc>
          <w:tcPr>
            <w:tcW w:w="578" w:type="pct"/>
            <w:tcBorders>
              <w:top w:val="single" w:sz="4" w:space="0" w:color="auto"/>
              <w:left w:val="single" w:sz="4" w:space="0" w:color="auto"/>
              <w:bottom w:val="single" w:sz="4" w:space="0" w:color="auto"/>
              <w:right w:val="single" w:sz="4" w:space="0" w:color="auto"/>
            </w:tcBorders>
            <w:shd w:val="clear" w:color="auto" w:fill="auto"/>
            <w:noWrap/>
          </w:tcPr>
          <w:p w14:paraId="4B83CFC8" w14:textId="7C9E9463" w:rsidR="006F5ECC" w:rsidRDefault="006F5ECC" w:rsidP="002F78B0">
            <w:pPr>
              <w:tabs>
                <w:tab w:val="left" w:pos="0"/>
                <w:tab w:val="left" w:pos="4678"/>
              </w:tabs>
              <w:ind w:left="-68"/>
              <w:rPr>
                <w:rFonts w:ascii="Verdana" w:hAnsi="Verdana"/>
                <w:bCs/>
                <w:color w:val="7F7F7F"/>
                <w:sz w:val="22"/>
                <w:szCs w:val="22"/>
                <w:lang w:val="en-GB"/>
              </w:rPr>
            </w:pPr>
            <w:r>
              <w:rPr>
                <w:rFonts w:ascii="Verdana" w:hAnsi="Verdana"/>
                <w:bCs/>
                <w:color w:val="7F7F7F"/>
                <w:sz w:val="22"/>
                <w:szCs w:val="22"/>
                <w:lang w:val="en-GB"/>
              </w:rPr>
              <w:t>EIOPA’s Impact Assessment</w:t>
            </w:r>
          </w:p>
        </w:tc>
        <w:tc>
          <w:tcPr>
            <w:tcW w:w="506" w:type="pct"/>
            <w:gridSpan w:val="2"/>
            <w:tcBorders>
              <w:top w:val="single" w:sz="4" w:space="0" w:color="auto"/>
              <w:left w:val="single" w:sz="4" w:space="0" w:color="auto"/>
              <w:bottom w:val="single" w:sz="4" w:space="0" w:color="auto"/>
              <w:right w:val="single" w:sz="4" w:space="0" w:color="auto"/>
            </w:tcBorders>
          </w:tcPr>
          <w:p w14:paraId="51F56FFB" w14:textId="77777777" w:rsidR="006F5ECC" w:rsidRPr="009D3FD0" w:rsidRDefault="006F5ECC" w:rsidP="002F78B0">
            <w:pPr>
              <w:tabs>
                <w:tab w:val="left" w:pos="0"/>
                <w:tab w:val="left" w:pos="4678"/>
              </w:tabs>
              <w:spacing w:after="160" w:line="252" w:lineRule="auto"/>
              <w:ind w:left="-68"/>
              <w:contextualSpacing/>
              <w:jc w:val="both"/>
              <w:rPr>
                <w:rFonts w:ascii="Verdana" w:hAnsi="Verdana"/>
                <w:color w:val="7F7F7F" w:themeColor="text1" w:themeTint="80"/>
                <w:sz w:val="22"/>
                <w:szCs w:val="22"/>
                <w:lang w:val="en-GB" w:eastAsia="fr-FR"/>
              </w:rPr>
            </w:pPr>
            <w:r w:rsidRPr="009D3FD0">
              <w:rPr>
                <w:rFonts w:ascii="Verdana" w:hAnsi="Verdana"/>
                <w:color w:val="7F7F7F" w:themeColor="text1" w:themeTint="80"/>
                <w:sz w:val="22"/>
                <w:szCs w:val="22"/>
                <w:lang w:val="en-GB" w:eastAsia="fr-FR"/>
              </w:rPr>
              <w:t>Chapter 2 (page 55/56):</w:t>
            </w:r>
          </w:p>
          <w:p w14:paraId="1AC713E2" w14:textId="77777777" w:rsidR="006F5ECC" w:rsidRPr="00047EE7" w:rsidRDefault="006F5ECC" w:rsidP="002F78B0">
            <w:pPr>
              <w:tabs>
                <w:tab w:val="left" w:pos="0"/>
                <w:tab w:val="left" w:pos="4678"/>
              </w:tabs>
              <w:ind w:left="-68"/>
              <w:rPr>
                <w:sz w:val="20"/>
                <w:szCs w:val="20"/>
                <w:lang w:val="en-US"/>
              </w:rPr>
            </w:pPr>
          </w:p>
        </w:tc>
        <w:tc>
          <w:tcPr>
            <w:tcW w:w="1999" w:type="pct"/>
            <w:tcBorders>
              <w:top w:val="single" w:sz="4" w:space="0" w:color="auto"/>
              <w:left w:val="single" w:sz="4" w:space="0" w:color="auto"/>
              <w:bottom w:val="single" w:sz="4" w:space="0" w:color="auto"/>
              <w:right w:val="single" w:sz="4" w:space="0" w:color="auto"/>
            </w:tcBorders>
            <w:vAlign w:val="bottom"/>
          </w:tcPr>
          <w:p w14:paraId="404FE2CB" w14:textId="21B4A6A7" w:rsidR="006F5ECC" w:rsidRPr="007C4F0A" w:rsidRDefault="006F5ECC" w:rsidP="009E13BF">
            <w:pPr>
              <w:tabs>
                <w:tab w:val="left" w:pos="23"/>
                <w:tab w:val="left" w:pos="4678"/>
              </w:tabs>
              <w:spacing w:after="160" w:line="252" w:lineRule="auto"/>
              <w:ind w:left="-68"/>
              <w:contextualSpacing/>
              <w:jc w:val="both"/>
              <w:rPr>
                <w:rFonts w:ascii="Verdana" w:hAnsi="Verdana"/>
                <w:color w:val="7F7F7F" w:themeColor="text1" w:themeTint="80"/>
                <w:sz w:val="22"/>
                <w:szCs w:val="22"/>
                <w:lang w:val="en-GB" w:eastAsia="fr-FR"/>
              </w:rPr>
            </w:pPr>
            <w:r w:rsidRPr="007C4F0A">
              <w:rPr>
                <w:rFonts w:ascii="Verdana" w:hAnsi="Verdana"/>
                <w:color w:val="7F7F7F" w:themeColor="text1" w:themeTint="80"/>
                <w:sz w:val="22"/>
                <w:szCs w:val="22"/>
                <w:lang w:val="en-GB" w:eastAsia="fr-FR"/>
              </w:rPr>
              <w:t>AMICE</w:t>
            </w:r>
            <w:r>
              <w:rPr>
                <w:rFonts w:ascii="Verdana" w:hAnsi="Verdana"/>
                <w:color w:val="7F7F7F" w:themeColor="text1" w:themeTint="80"/>
                <w:sz w:val="22"/>
                <w:szCs w:val="22"/>
                <w:lang w:val="en-GB" w:eastAsia="fr-FR"/>
              </w:rPr>
              <w:t xml:space="preserve"> </w:t>
            </w:r>
            <w:r w:rsidRPr="007C4F0A">
              <w:rPr>
                <w:rFonts w:ascii="Verdana" w:hAnsi="Verdana"/>
                <w:color w:val="7F7F7F" w:themeColor="text1" w:themeTint="80"/>
                <w:sz w:val="22"/>
                <w:szCs w:val="22"/>
                <w:lang w:val="en-GB" w:eastAsia="fr-FR"/>
              </w:rPr>
              <w:t xml:space="preserve">disagrees </w:t>
            </w:r>
            <w:r>
              <w:rPr>
                <w:rFonts w:ascii="Verdana" w:hAnsi="Verdana"/>
                <w:color w:val="7F7F7F" w:themeColor="text1" w:themeTint="80"/>
                <w:sz w:val="22"/>
                <w:szCs w:val="22"/>
                <w:lang w:val="en-GB" w:eastAsia="fr-FR"/>
              </w:rPr>
              <w:t xml:space="preserve">with </w:t>
            </w:r>
            <w:r w:rsidRPr="007C4F0A">
              <w:rPr>
                <w:rFonts w:ascii="Verdana" w:hAnsi="Verdana"/>
                <w:color w:val="7F7F7F" w:themeColor="text1" w:themeTint="80"/>
                <w:sz w:val="22"/>
                <w:szCs w:val="22"/>
                <w:lang w:val="en-GB" w:eastAsia="fr-FR"/>
              </w:rPr>
              <w:t>the</w:t>
            </w:r>
            <w:r>
              <w:rPr>
                <w:rFonts w:ascii="Verdana" w:hAnsi="Verdana"/>
                <w:color w:val="7F7F7F" w:themeColor="text1" w:themeTint="80"/>
                <w:sz w:val="22"/>
                <w:szCs w:val="22"/>
                <w:lang w:val="en-GB" w:eastAsia="fr-FR"/>
              </w:rPr>
              <w:t xml:space="preserve"> way the </w:t>
            </w:r>
            <w:r w:rsidRPr="007C4F0A">
              <w:rPr>
                <w:rFonts w:ascii="Verdana" w:hAnsi="Verdana"/>
                <w:color w:val="7F7F7F" w:themeColor="text1" w:themeTint="80"/>
                <w:sz w:val="22"/>
                <w:szCs w:val="22"/>
                <w:lang w:val="en-GB" w:eastAsia="fr-FR"/>
              </w:rPr>
              <w:t xml:space="preserve">impact assessment on </w:t>
            </w:r>
            <w:r>
              <w:rPr>
                <w:rFonts w:ascii="Verdana" w:hAnsi="Verdana"/>
                <w:color w:val="7F7F7F" w:themeColor="text1" w:themeTint="80"/>
                <w:sz w:val="22"/>
                <w:szCs w:val="22"/>
                <w:lang w:val="en-GB" w:eastAsia="fr-FR"/>
              </w:rPr>
              <w:t xml:space="preserve">the </w:t>
            </w:r>
            <w:r w:rsidRPr="007C4F0A">
              <w:rPr>
                <w:rFonts w:ascii="Verdana" w:hAnsi="Verdana"/>
                <w:color w:val="7F7F7F" w:themeColor="text1" w:themeTint="80"/>
                <w:sz w:val="22"/>
                <w:szCs w:val="22"/>
                <w:lang w:val="en-GB" w:eastAsia="fr-FR"/>
              </w:rPr>
              <w:t xml:space="preserve">phasing out </w:t>
            </w:r>
            <w:r>
              <w:rPr>
                <w:rFonts w:ascii="Verdana" w:hAnsi="Verdana"/>
                <w:color w:val="7F7F7F" w:themeColor="text1" w:themeTint="80"/>
                <w:sz w:val="22"/>
                <w:szCs w:val="22"/>
                <w:lang w:val="en-GB" w:eastAsia="fr-FR"/>
              </w:rPr>
              <w:t xml:space="preserve">of </w:t>
            </w:r>
            <w:r w:rsidRPr="007C4F0A">
              <w:rPr>
                <w:rFonts w:ascii="Verdana" w:hAnsi="Verdana"/>
                <w:color w:val="7F7F7F" w:themeColor="text1" w:themeTint="80"/>
                <w:sz w:val="22"/>
                <w:szCs w:val="22"/>
                <w:lang w:val="en-GB" w:eastAsia="fr-FR"/>
              </w:rPr>
              <w:t>the DBER</w:t>
            </w:r>
            <w:r>
              <w:rPr>
                <w:rFonts w:ascii="Verdana" w:hAnsi="Verdana"/>
                <w:color w:val="7F7F7F" w:themeColor="text1" w:themeTint="80"/>
                <w:sz w:val="22"/>
                <w:szCs w:val="22"/>
                <w:lang w:val="en-GB" w:eastAsia="fr-FR"/>
              </w:rPr>
              <w:t xml:space="preserve"> has been </w:t>
            </w:r>
            <w:r w:rsidRPr="007C4F0A">
              <w:rPr>
                <w:rFonts w:ascii="Verdana" w:hAnsi="Verdana"/>
                <w:color w:val="7F7F7F" w:themeColor="text1" w:themeTint="80"/>
                <w:sz w:val="22"/>
                <w:szCs w:val="22"/>
                <w:lang w:val="en-GB" w:eastAsia="fr-FR"/>
              </w:rPr>
              <w:t>carried out by EIOPA</w:t>
            </w:r>
            <w:r>
              <w:rPr>
                <w:rFonts w:ascii="Verdana" w:hAnsi="Verdana"/>
                <w:color w:val="7F7F7F" w:themeColor="text1" w:themeTint="80"/>
                <w:sz w:val="22"/>
                <w:szCs w:val="22"/>
                <w:lang w:val="en-GB" w:eastAsia="fr-FR"/>
              </w:rPr>
              <w:t>:</w:t>
            </w:r>
          </w:p>
          <w:p w14:paraId="7C5E32A7" w14:textId="4D969124" w:rsidR="006F5ECC" w:rsidRPr="009D3FD0" w:rsidRDefault="006F5ECC" w:rsidP="002F78B0">
            <w:pPr>
              <w:pStyle w:val="ListParagraph"/>
              <w:tabs>
                <w:tab w:val="left" w:pos="0"/>
                <w:tab w:val="left" w:pos="4678"/>
              </w:tabs>
              <w:ind w:left="-68"/>
              <w:jc w:val="both"/>
              <w:rPr>
                <w:rFonts w:ascii="Verdana" w:eastAsia="Times New Roman" w:hAnsi="Verdana" w:cs="Times New Roman"/>
                <w:color w:val="7F7F7F" w:themeColor="text1" w:themeTint="80"/>
                <w:lang w:val="en-GB" w:eastAsia="fr-FR"/>
              </w:rPr>
            </w:pPr>
            <w:r w:rsidRPr="009D3FD0">
              <w:rPr>
                <w:rFonts w:ascii="Verdana" w:eastAsia="Times New Roman" w:hAnsi="Verdana" w:cs="Times New Roman"/>
                <w:color w:val="7F7F7F" w:themeColor="text1" w:themeTint="80"/>
                <w:lang w:val="en-GB" w:eastAsia="fr-FR"/>
              </w:rPr>
              <w:t>Firstly, having the choice between the DBER and the LTE</w:t>
            </w:r>
            <w:r>
              <w:rPr>
                <w:rFonts w:ascii="Verdana" w:eastAsia="Times New Roman" w:hAnsi="Verdana" w:cs="Times New Roman"/>
                <w:color w:val="7F7F7F" w:themeColor="text1" w:themeTint="80"/>
                <w:lang w:val="en-GB" w:eastAsia="fr-FR"/>
              </w:rPr>
              <w:t>I</w:t>
            </w:r>
            <w:r w:rsidRPr="009D3FD0">
              <w:rPr>
                <w:rFonts w:ascii="Verdana" w:eastAsia="Times New Roman" w:hAnsi="Verdana" w:cs="Times New Roman"/>
                <w:color w:val="7F7F7F" w:themeColor="text1" w:themeTint="80"/>
                <w:lang w:val="en-GB" w:eastAsia="fr-FR"/>
              </w:rPr>
              <w:t xml:space="preserve"> </w:t>
            </w:r>
            <w:r>
              <w:rPr>
                <w:rFonts w:ascii="Verdana" w:eastAsia="Times New Roman" w:hAnsi="Verdana" w:cs="Times New Roman"/>
                <w:color w:val="7F7F7F" w:themeColor="text1" w:themeTint="80"/>
                <w:lang w:val="en-GB" w:eastAsia="fr-FR"/>
              </w:rPr>
              <w:t>does not</w:t>
            </w:r>
            <w:r w:rsidRPr="009D3FD0">
              <w:rPr>
                <w:rFonts w:ascii="Verdana" w:eastAsia="Times New Roman" w:hAnsi="Verdana" w:cs="Times New Roman"/>
                <w:color w:val="7F7F7F" w:themeColor="text1" w:themeTint="80"/>
                <w:lang w:val="en-GB" w:eastAsia="fr-FR"/>
              </w:rPr>
              <w:t xml:space="preserve"> add complexity to the </w:t>
            </w:r>
            <w:r>
              <w:rPr>
                <w:rFonts w:ascii="Verdana" w:eastAsia="Times New Roman" w:hAnsi="Verdana" w:cs="Times New Roman"/>
                <w:color w:val="7F7F7F" w:themeColor="text1" w:themeTint="80"/>
                <w:lang w:val="en-GB" w:eastAsia="fr-FR"/>
              </w:rPr>
              <w:t>Solvency II framework</w:t>
            </w:r>
            <w:r w:rsidRPr="009D3FD0">
              <w:rPr>
                <w:rFonts w:ascii="Verdana" w:eastAsia="Times New Roman" w:hAnsi="Verdana" w:cs="Times New Roman"/>
                <w:color w:val="7F7F7F" w:themeColor="text1" w:themeTint="80"/>
                <w:lang w:val="en-GB" w:eastAsia="fr-FR"/>
              </w:rPr>
              <w:t xml:space="preserve">. Besides, EIOPA’s proposal will create more complexity and unnecessary burden to </w:t>
            </w:r>
            <w:r>
              <w:rPr>
                <w:rFonts w:ascii="Verdana" w:eastAsia="Times New Roman" w:hAnsi="Verdana" w:cs="Times New Roman"/>
                <w:color w:val="7F7F7F" w:themeColor="text1" w:themeTint="80"/>
                <w:lang w:val="en-GB" w:eastAsia="fr-FR"/>
              </w:rPr>
              <w:t xml:space="preserve">the </w:t>
            </w:r>
            <w:r w:rsidRPr="009D3FD0">
              <w:rPr>
                <w:rFonts w:ascii="Verdana" w:eastAsia="Times New Roman" w:hAnsi="Verdana" w:cs="Times New Roman"/>
                <w:color w:val="7F7F7F" w:themeColor="text1" w:themeTint="80"/>
                <w:lang w:val="en-GB" w:eastAsia="fr-FR"/>
              </w:rPr>
              <w:t>undertaking with the approved use of the DBER (see comments on chapter 2 paragraph 941 in EIOPA-CP-19-006_comments_template_CP).</w:t>
            </w:r>
          </w:p>
          <w:p w14:paraId="44CA2C99" w14:textId="77777777" w:rsidR="006F5ECC" w:rsidRPr="009D3FD0" w:rsidRDefault="006F5ECC" w:rsidP="002F78B0">
            <w:pPr>
              <w:pStyle w:val="ListParagraph"/>
              <w:tabs>
                <w:tab w:val="left" w:pos="0"/>
                <w:tab w:val="left" w:pos="4678"/>
              </w:tabs>
              <w:ind w:left="-68"/>
              <w:jc w:val="both"/>
              <w:rPr>
                <w:rFonts w:ascii="Verdana" w:eastAsia="Times New Roman" w:hAnsi="Verdana" w:cs="Times New Roman"/>
                <w:color w:val="7F7F7F" w:themeColor="text1" w:themeTint="80"/>
                <w:lang w:val="en-GB" w:eastAsia="fr-FR"/>
              </w:rPr>
            </w:pPr>
          </w:p>
          <w:p w14:paraId="1B1DD435" w14:textId="38475DB0" w:rsidR="006F5ECC" w:rsidRPr="009D3FD0" w:rsidRDefault="006F5ECC" w:rsidP="002F78B0">
            <w:pPr>
              <w:pStyle w:val="ListParagraph"/>
              <w:tabs>
                <w:tab w:val="left" w:pos="0"/>
                <w:tab w:val="left" w:pos="4678"/>
              </w:tabs>
              <w:ind w:left="-68"/>
              <w:jc w:val="both"/>
              <w:rPr>
                <w:rFonts w:ascii="Verdana" w:eastAsia="Times New Roman" w:hAnsi="Verdana" w:cs="Times New Roman"/>
                <w:color w:val="7F7F7F" w:themeColor="text1" w:themeTint="80"/>
                <w:lang w:val="en-GB" w:eastAsia="fr-FR"/>
              </w:rPr>
            </w:pPr>
            <w:r w:rsidRPr="009D3FD0">
              <w:rPr>
                <w:rFonts w:ascii="Verdana" w:eastAsia="Times New Roman" w:hAnsi="Verdana" w:cs="Times New Roman"/>
                <w:color w:val="7F7F7F" w:themeColor="text1" w:themeTint="80"/>
                <w:lang w:val="en-GB" w:eastAsia="fr-FR"/>
              </w:rPr>
              <w:t xml:space="preserve">Then, as mentioned above, the criteria are different between these </w:t>
            </w:r>
            <w:r>
              <w:rPr>
                <w:rFonts w:ascii="Verdana" w:eastAsia="Times New Roman" w:hAnsi="Verdana" w:cs="Times New Roman"/>
                <w:color w:val="7F7F7F" w:themeColor="text1" w:themeTint="80"/>
                <w:lang w:val="en-GB" w:eastAsia="fr-FR"/>
              </w:rPr>
              <w:t xml:space="preserve">two </w:t>
            </w:r>
            <w:r w:rsidRPr="009D3FD0">
              <w:rPr>
                <w:rFonts w:ascii="Verdana" w:eastAsia="Times New Roman" w:hAnsi="Verdana" w:cs="Times New Roman"/>
                <w:color w:val="7F7F7F" w:themeColor="text1" w:themeTint="80"/>
                <w:lang w:val="en-GB" w:eastAsia="fr-FR"/>
              </w:rPr>
              <w:t>measures. Unlike the DBER, the LTE</w:t>
            </w:r>
            <w:r>
              <w:rPr>
                <w:rFonts w:ascii="Verdana" w:eastAsia="Times New Roman" w:hAnsi="Verdana" w:cs="Times New Roman"/>
                <w:color w:val="7F7F7F" w:themeColor="text1" w:themeTint="80"/>
                <w:lang w:val="en-GB" w:eastAsia="fr-FR"/>
              </w:rPr>
              <w:t>I</w:t>
            </w:r>
            <w:r w:rsidRPr="009D3FD0">
              <w:rPr>
                <w:rFonts w:ascii="Verdana" w:eastAsia="Times New Roman" w:hAnsi="Verdana" w:cs="Times New Roman"/>
                <w:color w:val="7F7F7F" w:themeColor="text1" w:themeTint="80"/>
                <w:lang w:val="en-GB" w:eastAsia="fr-FR"/>
              </w:rPr>
              <w:t xml:space="preserve"> set some limits such as:</w:t>
            </w:r>
          </w:p>
          <w:p w14:paraId="6262BAEF" w14:textId="22B10AD5" w:rsidR="006F5ECC" w:rsidRPr="009D3FD0" w:rsidRDefault="006F5ECC" w:rsidP="002F78B0">
            <w:pPr>
              <w:numPr>
                <w:ilvl w:val="0"/>
                <w:numId w:val="17"/>
              </w:numPr>
              <w:tabs>
                <w:tab w:val="left" w:pos="0"/>
                <w:tab w:val="left" w:pos="4678"/>
              </w:tabs>
              <w:spacing w:before="120" w:after="120" w:line="252" w:lineRule="auto"/>
              <w:ind w:left="-68" w:firstLine="0"/>
              <w:jc w:val="both"/>
              <w:rPr>
                <w:rFonts w:ascii="Verdana" w:hAnsi="Verdana"/>
                <w:color w:val="7F7F7F" w:themeColor="text1" w:themeTint="80"/>
                <w:sz w:val="22"/>
                <w:szCs w:val="22"/>
                <w:lang w:val="en-GB" w:eastAsia="fr-FR"/>
              </w:rPr>
            </w:pPr>
            <w:r>
              <w:rPr>
                <w:rFonts w:ascii="Verdana" w:hAnsi="Verdana"/>
                <w:color w:val="7F7F7F" w:themeColor="text1" w:themeTint="80"/>
                <w:sz w:val="22"/>
                <w:szCs w:val="22"/>
                <w:lang w:val="en-GB" w:eastAsia="fr-FR"/>
              </w:rPr>
              <w:t>T</w:t>
            </w:r>
            <w:r w:rsidRPr="009D3FD0">
              <w:rPr>
                <w:rFonts w:ascii="Verdana" w:hAnsi="Verdana"/>
                <w:color w:val="7F7F7F" w:themeColor="text1" w:themeTint="80"/>
                <w:sz w:val="22"/>
                <w:szCs w:val="22"/>
                <w:lang w:val="en-GB" w:eastAsia="fr-FR"/>
              </w:rPr>
              <w:t xml:space="preserve">he Article 171a-1(d) requires that the technical provisions </w:t>
            </w:r>
            <w:r>
              <w:rPr>
                <w:rFonts w:ascii="Verdana" w:hAnsi="Verdana"/>
                <w:color w:val="7F7F7F" w:themeColor="text1" w:themeTint="80"/>
                <w:sz w:val="22"/>
                <w:szCs w:val="22"/>
                <w:lang w:val="en-GB" w:eastAsia="fr-FR"/>
              </w:rPr>
              <w:t>covered by the assigned</w:t>
            </w:r>
            <w:r w:rsidRPr="009D3FD0">
              <w:rPr>
                <w:rFonts w:ascii="Verdana" w:hAnsi="Verdana"/>
                <w:color w:val="7F7F7F" w:themeColor="text1" w:themeTint="80"/>
                <w:sz w:val="22"/>
                <w:szCs w:val="22"/>
                <w:lang w:val="en-GB" w:eastAsia="fr-FR"/>
              </w:rPr>
              <w:t xml:space="preserve"> </w:t>
            </w:r>
            <w:r>
              <w:rPr>
                <w:rFonts w:ascii="Verdana" w:hAnsi="Verdana"/>
                <w:color w:val="7F7F7F" w:themeColor="text1" w:themeTint="80"/>
                <w:sz w:val="22"/>
                <w:szCs w:val="22"/>
                <w:lang w:val="en-GB" w:eastAsia="fr-FR"/>
              </w:rPr>
              <w:t>portfolio can</w:t>
            </w:r>
            <w:r w:rsidRPr="009D3FD0">
              <w:rPr>
                <w:rFonts w:ascii="Verdana" w:hAnsi="Verdana"/>
                <w:color w:val="7F7F7F" w:themeColor="text1" w:themeTint="80"/>
                <w:sz w:val="22"/>
                <w:szCs w:val="22"/>
                <w:lang w:val="en-GB" w:eastAsia="fr-FR"/>
              </w:rPr>
              <w:t xml:space="preserve"> only represent a part of the total technical provisions of the </w:t>
            </w:r>
            <w:r>
              <w:rPr>
                <w:rFonts w:ascii="Verdana" w:hAnsi="Verdana"/>
                <w:color w:val="7F7F7F" w:themeColor="text1" w:themeTint="80"/>
                <w:sz w:val="22"/>
                <w:szCs w:val="22"/>
                <w:lang w:val="en-GB" w:eastAsia="fr-FR"/>
              </w:rPr>
              <w:t>insurer</w:t>
            </w:r>
            <w:r w:rsidRPr="009D3FD0">
              <w:rPr>
                <w:rFonts w:ascii="Verdana" w:hAnsi="Verdana"/>
                <w:color w:val="7F7F7F" w:themeColor="text1" w:themeTint="80"/>
                <w:sz w:val="22"/>
                <w:szCs w:val="22"/>
                <w:lang w:val="en-GB" w:eastAsia="fr-FR"/>
              </w:rPr>
              <w:t xml:space="preserve"> and a limit of half the balance sheet is set in Recital 26. </w:t>
            </w:r>
          </w:p>
          <w:p w14:paraId="00AA602F" w14:textId="7CF95289" w:rsidR="006F5ECC" w:rsidRPr="009D3FD0" w:rsidRDefault="006F5ECC" w:rsidP="002F78B0">
            <w:pPr>
              <w:numPr>
                <w:ilvl w:val="0"/>
                <w:numId w:val="17"/>
              </w:numPr>
              <w:tabs>
                <w:tab w:val="left" w:pos="0"/>
                <w:tab w:val="left" w:pos="4678"/>
              </w:tabs>
              <w:spacing w:after="160" w:line="252" w:lineRule="auto"/>
              <w:ind w:left="-68" w:firstLine="0"/>
              <w:contextualSpacing/>
              <w:jc w:val="both"/>
              <w:rPr>
                <w:rFonts w:ascii="Verdana" w:hAnsi="Verdana"/>
                <w:color w:val="7F7F7F" w:themeColor="text1" w:themeTint="80"/>
                <w:sz w:val="22"/>
                <w:szCs w:val="22"/>
                <w:lang w:val="en-GB" w:eastAsia="fr-FR"/>
              </w:rPr>
            </w:pPr>
            <w:r w:rsidRPr="009D3FD0">
              <w:rPr>
                <w:rFonts w:ascii="Verdana" w:hAnsi="Verdana"/>
                <w:color w:val="7F7F7F" w:themeColor="text1" w:themeTint="80"/>
                <w:sz w:val="22"/>
                <w:szCs w:val="22"/>
                <w:lang w:val="en-GB" w:eastAsia="fr-FR"/>
              </w:rPr>
              <w:t>the sub-set of equity investments</w:t>
            </w:r>
            <w:r>
              <w:rPr>
                <w:rFonts w:ascii="Verdana" w:hAnsi="Verdana"/>
                <w:color w:val="7F7F7F" w:themeColor="text1" w:themeTint="80"/>
                <w:sz w:val="22"/>
                <w:szCs w:val="22"/>
                <w:lang w:val="en-GB" w:eastAsia="fr-FR"/>
              </w:rPr>
              <w:t xml:space="preserve"> qualifying for LTEI can</w:t>
            </w:r>
            <w:r w:rsidRPr="009D3FD0">
              <w:rPr>
                <w:rFonts w:ascii="Verdana" w:hAnsi="Verdana"/>
                <w:color w:val="7F7F7F" w:themeColor="text1" w:themeTint="80"/>
                <w:sz w:val="22"/>
                <w:szCs w:val="22"/>
                <w:lang w:val="en-GB" w:eastAsia="fr-FR"/>
              </w:rPr>
              <w:t xml:space="preserve"> consist only of equities that are listed in the EEA or of unlisted equities of companies that have their head offices in countries that are members of the EEA.</w:t>
            </w:r>
          </w:p>
          <w:p w14:paraId="23389A22" w14:textId="1F0620D3" w:rsidR="006F5ECC" w:rsidRPr="009D3FD0" w:rsidRDefault="006F5ECC" w:rsidP="002F78B0">
            <w:pPr>
              <w:pStyle w:val="ListParagraph"/>
              <w:tabs>
                <w:tab w:val="left" w:pos="0"/>
                <w:tab w:val="left" w:pos="4678"/>
              </w:tabs>
              <w:spacing w:before="120" w:after="120"/>
              <w:ind w:left="-68"/>
              <w:jc w:val="both"/>
              <w:rPr>
                <w:rFonts w:ascii="Verdana" w:eastAsia="Times New Roman" w:hAnsi="Verdana" w:cs="Times New Roman"/>
                <w:color w:val="7F7F7F" w:themeColor="text1" w:themeTint="80"/>
                <w:lang w:val="en-GB" w:eastAsia="fr-FR"/>
              </w:rPr>
            </w:pPr>
            <w:r w:rsidRPr="009D3FD0">
              <w:rPr>
                <w:rFonts w:ascii="Verdana" w:eastAsia="Times New Roman" w:hAnsi="Verdana" w:cs="Times New Roman"/>
                <w:color w:val="7F7F7F" w:themeColor="text1" w:themeTint="80"/>
                <w:lang w:val="en-GB" w:eastAsia="fr-FR"/>
              </w:rPr>
              <w:lastRenderedPageBreak/>
              <w:t xml:space="preserve">These limits will reduce the </w:t>
            </w:r>
            <w:r>
              <w:rPr>
                <w:rFonts w:ascii="Verdana" w:eastAsia="Times New Roman" w:hAnsi="Verdana" w:cs="Times New Roman"/>
                <w:color w:val="7F7F7F" w:themeColor="text1" w:themeTint="80"/>
                <w:lang w:val="en-GB" w:eastAsia="fr-FR"/>
              </w:rPr>
              <w:t>undertaking´s Solvency II</w:t>
            </w:r>
            <w:r w:rsidRPr="009D3FD0">
              <w:rPr>
                <w:rFonts w:ascii="Verdana" w:eastAsia="Times New Roman" w:hAnsi="Verdana" w:cs="Times New Roman"/>
                <w:color w:val="7F7F7F" w:themeColor="text1" w:themeTint="80"/>
                <w:lang w:val="en-GB" w:eastAsia="fr-FR"/>
              </w:rPr>
              <w:t xml:space="preserve"> ratio and th</w:t>
            </w:r>
            <w:r>
              <w:rPr>
                <w:rFonts w:ascii="Verdana" w:eastAsia="Times New Roman" w:hAnsi="Verdana" w:cs="Times New Roman"/>
                <w:color w:val="7F7F7F" w:themeColor="text1" w:themeTint="80"/>
                <w:lang w:val="en-GB" w:eastAsia="fr-FR"/>
              </w:rPr>
              <w:t>is</w:t>
            </w:r>
            <w:r w:rsidRPr="009D3FD0">
              <w:rPr>
                <w:rFonts w:ascii="Verdana" w:eastAsia="Times New Roman" w:hAnsi="Verdana" w:cs="Times New Roman"/>
                <w:color w:val="7F7F7F" w:themeColor="text1" w:themeTint="80"/>
                <w:lang w:val="en-GB" w:eastAsia="fr-FR"/>
              </w:rPr>
              <w:t xml:space="preserve"> impact should </w:t>
            </w:r>
            <w:r>
              <w:rPr>
                <w:rFonts w:ascii="Verdana" w:eastAsia="Times New Roman" w:hAnsi="Verdana" w:cs="Times New Roman"/>
                <w:color w:val="7F7F7F" w:themeColor="text1" w:themeTint="80"/>
                <w:lang w:val="en-GB" w:eastAsia="fr-FR"/>
              </w:rPr>
              <w:t xml:space="preserve">therefore </w:t>
            </w:r>
            <w:r w:rsidRPr="009D3FD0">
              <w:rPr>
                <w:rFonts w:ascii="Verdana" w:eastAsia="Times New Roman" w:hAnsi="Verdana" w:cs="Times New Roman"/>
                <w:color w:val="7F7F7F" w:themeColor="text1" w:themeTint="80"/>
                <w:lang w:val="en-GB" w:eastAsia="fr-FR"/>
              </w:rPr>
              <w:t xml:space="preserve">be taken into account before proposing </w:t>
            </w:r>
            <w:r>
              <w:rPr>
                <w:rFonts w:ascii="Verdana" w:eastAsia="Times New Roman" w:hAnsi="Verdana" w:cs="Times New Roman"/>
                <w:color w:val="7F7F7F" w:themeColor="text1" w:themeTint="80"/>
                <w:lang w:val="en-GB" w:eastAsia="fr-FR"/>
              </w:rPr>
              <w:t xml:space="preserve">any </w:t>
            </w:r>
            <w:r w:rsidRPr="009D3FD0">
              <w:rPr>
                <w:rFonts w:ascii="Verdana" w:eastAsia="Times New Roman" w:hAnsi="Verdana" w:cs="Times New Roman"/>
                <w:color w:val="7F7F7F" w:themeColor="text1" w:themeTint="80"/>
                <w:lang w:val="en-GB" w:eastAsia="fr-FR"/>
              </w:rPr>
              <w:t>phas</w:t>
            </w:r>
            <w:r>
              <w:rPr>
                <w:rFonts w:ascii="Verdana" w:eastAsia="Times New Roman" w:hAnsi="Verdana" w:cs="Times New Roman"/>
                <w:color w:val="7F7F7F" w:themeColor="text1" w:themeTint="80"/>
                <w:lang w:val="en-GB" w:eastAsia="fr-FR"/>
              </w:rPr>
              <w:t>ing-</w:t>
            </w:r>
            <w:r w:rsidRPr="009D3FD0">
              <w:rPr>
                <w:rFonts w:ascii="Verdana" w:eastAsia="Times New Roman" w:hAnsi="Verdana" w:cs="Times New Roman"/>
                <w:color w:val="7F7F7F" w:themeColor="text1" w:themeTint="80"/>
                <w:lang w:val="en-GB" w:eastAsia="fr-FR"/>
              </w:rPr>
              <w:t xml:space="preserve">out </w:t>
            </w:r>
            <w:r>
              <w:rPr>
                <w:rFonts w:ascii="Verdana" w:eastAsia="Times New Roman" w:hAnsi="Verdana" w:cs="Times New Roman"/>
                <w:color w:val="7F7F7F" w:themeColor="text1" w:themeTint="80"/>
                <w:lang w:val="en-GB" w:eastAsia="fr-FR"/>
              </w:rPr>
              <w:t xml:space="preserve">of </w:t>
            </w:r>
            <w:r w:rsidRPr="009D3FD0">
              <w:rPr>
                <w:rFonts w:ascii="Verdana" w:eastAsia="Times New Roman" w:hAnsi="Verdana" w:cs="Times New Roman"/>
                <w:color w:val="7F7F7F" w:themeColor="text1" w:themeTint="80"/>
                <w:lang w:val="en-GB" w:eastAsia="fr-FR"/>
              </w:rPr>
              <w:t>the DBER.</w:t>
            </w:r>
          </w:p>
          <w:p w14:paraId="4D7DC087" w14:textId="07BDE1A8" w:rsidR="006F5ECC" w:rsidRPr="009D3FD0" w:rsidRDefault="006F5ECC" w:rsidP="002F78B0">
            <w:pPr>
              <w:pStyle w:val="ListParagraph"/>
              <w:tabs>
                <w:tab w:val="left" w:pos="0"/>
                <w:tab w:val="left" w:pos="4678"/>
              </w:tabs>
              <w:ind w:left="-68"/>
              <w:jc w:val="both"/>
              <w:rPr>
                <w:rFonts w:ascii="Verdana" w:eastAsia="Times New Roman" w:hAnsi="Verdana" w:cs="Times New Roman"/>
                <w:color w:val="7F7F7F" w:themeColor="text1" w:themeTint="80"/>
                <w:lang w:val="en-GB" w:eastAsia="fr-FR"/>
              </w:rPr>
            </w:pPr>
            <w:r w:rsidRPr="009D3FD0">
              <w:rPr>
                <w:rFonts w:ascii="Verdana" w:eastAsia="Times New Roman" w:hAnsi="Verdana" w:cs="Times New Roman"/>
                <w:color w:val="7F7F7F" w:themeColor="text1" w:themeTint="80"/>
                <w:lang w:val="en-GB" w:eastAsia="fr-FR"/>
              </w:rPr>
              <w:t xml:space="preserve">Finally, we wonder how </w:t>
            </w:r>
            <w:r>
              <w:rPr>
                <w:rFonts w:ascii="Verdana" w:eastAsia="Times New Roman" w:hAnsi="Verdana" w:cs="Times New Roman"/>
                <w:color w:val="7F7F7F" w:themeColor="text1" w:themeTint="80"/>
                <w:lang w:val="en-GB" w:eastAsia="fr-FR"/>
              </w:rPr>
              <w:t>any</w:t>
            </w:r>
            <w:r w:rsidRPr="009D3FD0">
              <w:rPr>
                <w:rFonts w:ascii="Verdana" w:eastAsia="Times New Roman" w:hAnsi="Verdana" w:cs="Times New Roman"/>
                <w:color w:val="7F7F7F" w:themeColor="text1" w:themeTint="80"/>
                <w:lang w:val="en-GB" w:eastAsia="fr-FR"/>
              </w:rPr>
              <w:t xml:space="preserve"> phas</w:t>
            </w:r>
            <w:r>
              <w:rPr>
                <w:rFonts w:ascii="Verdana" w:eastAsia="Times New Roman" w:hAnsi="Verdana" w:cs="Times New Roman"/>
                <w:color w:val="7F7F7F" w:themeColor="text1" w:themeTint="80"/>
                <w:lang w:val="en-GB" w:eastAsia="fr-FR"/>
              </w:rPr>
              <w:t>ing-</w:t>
            </w:r>
            <w:r w:rsidRPr="009D3FD0">
              <w:rPr>
                <w:rFonts w:ascii="Verdana" w:eastAsia="Times New Roman" w:hAnsi="Verdana" w:cs="Times New Roman"/>
                <w:color w:val="7F7F7F" w:themeColor="text1" w:themeTint="80"/>
                <w:lang w:val="en-GB" w:eastAsia="fr-FR"/>
              </w:rPr>
              <w:t xml:space="preserve">out </w:t>
            </w:r>
            <w:r>
              <w:rPr>
                <w:rFonts w:ascii="Verdana" w:eastAsia="Times New Roman" w:hAnsi="Verdana" w:cs="Times New Roman"/>
                <w:color w:val="7F7F7F" w:themeColor="text1" w:themeTint="80"/>
                <w:lang w:val="en-GB" w:eastAsia="fr-FR"/>
              </w:rPr>
              <w:t xml:space="preserve">of </w:t>
            </w:r>
            <w:r w:rsidRPr="009D3FD0">
              <w:rPr>
                <w:rFonts w:ascii="Verdana" w:eastAsia="Times New Roman" w:hAnsi="Verdana" w:cs="Times New Roman"/>
                <w:color w:val="7F7F7F" w:themeColor="text1" w:themeTint="80"/>
                <w:lang w:val="en-GB" w:eastAsia="fr-FR"/>
              </w:rPr>
              <w:t>the DBER will increase the effectiveness of the supervision.</w:t>
            </w:r>
          </w:p>
          <w:p w14:paraId="6C4FC688" w14:textId="77777777" w:rsidR="006F5ECC" w:rsidRPr="009D3FD0" w:rsidRDefault="006F5ECC" w:rsidP="002F78B0">
            <w:pPr>
              <w:tabs>
                <w:tab w:val="left" w:pos="0"/>
                <w:tab w:val="left" w:pos="4678"/>
              </w:tabs>
              <w:ind w:left="-68"/>
              <w:rPr>
                <w:rFonts w:ascii="Verdana" w:hAnsi="Verdana"/>
                <w:color w:val="7F7F7F" w:themeColor="text1" w:themeTint="80"/>
                <w:sz w:val="22"/>
                <w:szCs w:val="22"/>
                <w:lang w:val="en-GB" w:eastAsia="fr-FR"/>
              </w:rPr>
            </w:pPr>
          </w:p>
          <w:p w14:paraId="625291FA" w14:textId="77777777" w:rsidR="006F5ECC" w:rsidRPr="009D3FD0" w:rsidRDefault="006F5ECC" w:rsidP="002F78B0">
            <w:pPr>
              <w:tabs>
                <w:tab w:val="left" w:pos="0"/>
                <w:tab w:val="left" w:pos="4678"/>
              </w:tabs>
              <w:ind w:left="-68"/>
              <w:rPr>
                <w:rFonts w:ascii="Verdana" w:hAnsi="Verdana"/>
                <w:color w:val="7F7F7F" w:themeColor="text1" w:themeTint="80"/>
                <w:sz w:val="22"/>
                <w:szCs w:val="22"/>
                <w:lang w:val="en-GB" w:eastAsia="fr-FR"/>
              </w:rPr>
            </w:pPr>
          </w:p>
        </w:tc>
        <w:tc>
          <w:tcPr>
            <w:tcW w:w="483" w:type="pct"/>
            <w:tcBorders>
              <w:top w:val="single" w:sz="4" w:space="0" w:color="auto"/>
              <w:left w:val="single" w:sz="4" w:space="0" w:color="auto"/>
              <w:bottom w:val="single" w:sz="4" w:space="0" w:color="auto"/>
              <w:right w:val="single" w:sz="4" w:space="0" w:color="auto"/>
            </w:tcBorders>
          </w:tcPr>
          <w:p w14:paraId="14B70B99" w14:textId="77777777" w:rsidR="006F5ECC" w:rsidRPr="00FE3045" w:rsidRDefault="006F5ECC" w:rsidP="002F78B0">
            <w:pPr>
              <w:tabs>
                <w:tab w:val="left" w:pos="0"/>
                <w:tab w:val="left" w:pos="4678"/>
              </w:tabs>
              <w:ind w:left="-96"/>
              <w:rPr>
                <w:color w:val="000000"/>
                <w:sz w:val="22"/>
                <w:szCs w:val="22"/>
                <w:lang w:val="en-GB" w:eastAsia="fr-FR"/>
              </w:rPr>
            </w:pPr>
          </w:p>
        </w:tc>
      </w:tr>
      <w:bookmarkEnd w:id="0"/>
    </w:tbl>
    <w:p w14:paraId="39468EAB" w14:textId="74A84EFD" w:rsidR="000102E7" w:rsidRPr="00FE3045" w:rsidRDefault="000102E7" w:rsidP="002F78B0">
      <w:pPr>
        <w:tabs>
          <w:tab w:val="left" w:pos="0"/>
          <w:tab w:val="left" w:pos="4678"/>
        </w:tabs>
        <w:spacing w:before="120"/>
        <w:jc w:val="both"/>
        <w:rPr>
          <w:rFonts w:ascii="Verdana" w:hAnsi="Verdana"/>
          <w:sz w:val="22"/>
          <w:szCs w:val="22"/>
          <w:lang w:val="en-GB"/>
        </w:rPr>
      </w:pPr>
    </w:p>
    <w:sectPr w:rsidR="000102E7" w:rsidRPr="00FE3045" w:rsidSect="00020B14">
      <w:footerReference w:type="even" r:id="rId34"/>
      <w:footerReference w:type="default" r:id="rId35"/>
      <w:pgSz w:w="16838" w:h="11906" w:orient="landscape"/>
      <w:pgMar w:top="1418" w:right="820" w:bottom="1418"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6C8FE" w14:textId="77777777" w:rsidR="00491C82" w:rsidRDefault="00491C82">
      <w:r>
        <w:separator/>
      </w:r>
    </w:p>
    <w:p w14:paraId="6E1970D8" w14:textId="77777777" w:rsidR="00491C82" w:rsidRDefault="00491C82"/>
  </w:endnote>
  <w:endnote w:type="continuationSeparator" w:id="0">
    <w:p w14:paraId="7B4B0756" w14:textId="77777777" w:rsidR="00491C82" w:rsidRDefault="00491C82">
      <w:r>
        <w:continuationSeparator/>
      </w:r>
    </w:p>
    <w:p w14:paraId="086563E2" w14:textId="77777777" w:rsidR="00491C82" w:rsidRDefault="00491C82"/>
  </w:endnote>
  <w:endnote w:type="continuationNotice" w:id="1">
    <w:p w14:paraId="344DDB8A" w14:textId="77777777" w:rsidR="00491C82" w:rsidRDefault="00491C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oudy Stout">
    <w:panose1 w:val="0202090407030B020401"/>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Frutiger LT Com 45 Light">
    <w:altName w:val="Corbel"/>
    <w:charset w:val="00"/>
    <w:family w:val="swiss"/>
    <w:pitch w:val="variable"/>
    <w:sig w:usb0="00000001"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D3147" w14:textId="77777777" w:rsidR="001360A5" w:rsidRDefault="001360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3F87710" w14:textId="77777777" w:rsidR="001360A5" w:rsidRDefault="001360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A093B" w14:textId="77777777" w:rsidR="001360A5" w:rsidRPr="00342456" w:rsidRDefault="001360A5" w:rsidP="00342456">
    <w:pPr>
      <w:ind w:left="278"/>
      <w:rPr>
        <w:rFonts w:ascii="Verdana" w:hAnsi="Verdana"/>
        <w:bCs/>
        <w:sz w:val="18"/>
        <w:szCs w:val="18"/>
        <w:lang w:val="en-GB"/>
      </w:rPr>
    </w:pPr>
    <w:r>
      <w:rPr>
        <w:rFonts w:ascii="Verdana" w:hAnsi="Verdana"/>
        <w:sz w:val="18"/>
        <w:szCs w:val="18"/>
        <w:lang w:val="en-GB"/>
      </w:rPr>
      <w:t>Template comments</w:t>
    </w:r>
  </w:p>
  <w:p w14:paraId="03A10902" w14:textId="5F23A09C" w:rsidR="001360A5" w:rsidRPr="00447CC1" w:rsidRDefault="001360A5" w:rsidP="00447CC1">
    <w:pPr>
      <w:jc w:val="center"/>
      <w:rPr>
        <w:rFonts w:ascii="Verdana" w:hAnsi="Verdana"/>
        <w:bCs/>
        <w:sz w:val="16"/>
        <w:szCs w:val="16"/>
        <w:lang w:val="en-GB"/>
      </w:rPr>
    </w:pPr>
    <w:r w:rsidRPr="00447CC1">
      <w:rPr>
        <w:rFonts w:ascii="Verdana" w:hAnsi="Verdana"/>
        <w:bCs/>
        <w:sz w:val="16"/>
        <w:szCs w:val="16"/>
        <w:lang w:val="en-GB"/>
      </w:rPr>
      <w:fldChar w:fldCharType="begin"/>
    </w:r>
    <w:r w:rsidRPr="00447CC1">
      <w:rPr>
        <w:rFonts w:ascii="Verdana" w:hAnsi="Verdana"/>
        <w:bCs/>
        <w:sz w:val="16"/>
        <w:szCs w:val="16"/>
      </w:rPr>
      <w:instrText xml:space="preserve"> PAGE </w:instrText>
    </w:r>
    <w:r w:rsidRPr="00447CC1">
      <w:rPr>
        <w:rFonts w:ascii="Verdana" w:hAnsi="Verdana"/>
        <w:bCs/>
        <w:sz w:val="16"/>
        <w:szCs w:val="16"/>
        <w:lang w:val="en-GB"/>
      </w:rPr>
      <w:fldChar w:fldCharType="separate"/>
    </w:r>
    <w:r w:rsidR="005D2D16">
      <w:rPr>
        <w:rFonts w:ascii="Verdana" w:hAnsi="Verdana"/>
        <w:bCs/>
        <w:noProof/>
        <w:sz w:val="16"/>
        <w:szCs w:val="16"/>
      </w:rPr>
      <w:t>2</w:t>
    </w:r>
    <w:r w:rsidRPr="00447CC1">
      <w:rPr>
        <w:rFonts w:ascii="Verdana" w:hAnsi="Verdana"/>
        <w:bCs/>
        <w:sz w:val="16"/>
        <w:szCs w:val="16"/>
        <w:lang w:val="en-GB"/>
      </w:rPr>
      <w:fldChar w:fldCharType="end"/>
    </w:r>
    <w:r w:rsidRPr="00447CC1">
      <w:rPr>
        <w:rFonts w:ascii="Verdana" w:hAnsi="Verdana"/>
        <w:bCs/>
        <w:sz w:val="16"/>
        <w:szCs w:val="16"/>
      </w:rPr>
      <w:t>/</w:t>
    </w:r>
    <w:r w:rsidRPr="00447CC1">
      <w:rPr>
        <w:rFonts w:ascii="Verdana" w:hAnsi="Verdana"/>
        <w:bCs/>
        <w:sz w:val="16"/>
        <w:szCs w:val="16"/>
        <w:lang w:val="en-GB"/>
      </w:rPr>
      <w:fldChar w:fldCharType="begin"/>
    </w:r>
    <w:r w:rsidRPr="00447CC1">
      <w:rPr>
        <w:rFonts w:ascii="Verdana" w:hAnsi="Verdana"/>
        <w:bCs/>
        <w:sz w:val="16"/>
        <w:szCs w:val="16"/>
      </w:rPr>
      <w:instrText xml:space="preserve"> NUMPAGES </w:instrText>
    </w:r>
    <w:r w:rsidRPr="00447CC1">
      <w:rPr>
        <w:rFonts w:ascii="Verdana" w:hAnsi="Verdana"/>
        <w:bCs/>
        <w:sz w:val="16"/>
        <w:szCs w:val="16"/>
        <w:lang w:val="en-GB"/>
      </w:rPr>
      <w:fldChar w:fldCharType="separate"/>
    </w:r>
    <w:r w:rsidR="005D2D16">
      <w:rPr>
        <w:rFonts w:ascii="Verdana" w:hAnsi="Verdana"/>
        <w:bCs/>
        <w:noProof/>
        <w:sz w:val="16"/>
        <w:szCs w:val="16"/>
      </w:rPr>
      <w:t>169</w:t>
    </w:r>
    <w:r w:rsidRPr="00447CC1">
      <w:rPr>
        <w:rFonts w:ascii="Verdana" w:hAnsi="Verdana"/>
        <w:bCs/>
        <w:sz w:val="16"/>
        <w:szCs w:val="16"/>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B7DD35" w14:textId="77777777" w:rsidR="00491C82" w:rsidRDefault="00491C82">
      <w:r>
        <w:separator/>
      </w:r>
    </w:p>
    <w:p w14:paraId="70AE33DC" w14:textId="77777777" w:rsidR="00491C82" w:rsidRDefault="00491C82"/>
  </w:footnote>
  <w:footnote w:type="continuationSeparator" w:id="0">
    <w:p w14:paraId="6DDF6D82" w14:textId="77777777" w:rsidR="00491C82" w:rsidRDefault="00491C82">
      <w:r>
        <w:continuationSeparator/>
      </w:r>
    </w:p>
    <w:p w14:paraId="2F78F5C9" w14:textId="77777777" w:rsidR="00491C82" w:rsidRDefault="00491C82"/>
  </w:footnote>
  <w:footnote w:type="continuationNotice" w:id="1">
    <w:p w14:paraId="35935FB4" w14:textId="77777777" w:rsidR="00491C82" w:rsidRDefault="00491C82"/>
  </w:footnote>
  <w:footnote w:id="2">
    <w:p w14:paraId="769790CB" w14:textId="77777777" w:rsidR="001360A5" w:rsidRPr="000C1ED6" w:rsidRDefault="001360A5" w:rsidP="004737CD">
      <w:pPr>
        <w:pStyle w:val="FootnoteText"/>
        <w:rPr>
          <w:i/>
          <w:color w:val="7F7F7F" w:themeColor="text1" w:themeTint="80"/>
        </w:rPr>
      </w:pPr>
      <w:r>
        <w:rPr>
          <w:rStyle w:val="FootnoteReference"/>
        </w:rPr>
        <w:footnoteRef/>
      </w:r>
      <w:r>
        <w:t xml:space="preserve"> </w:t>
      </w:r>
      <w:r w:rsidRPr="000C1ED6">
        <w:rPr>
          <w:i/>
          <w:color w:val="7F7F7F" w:themeColor="text1" w:themeTint="80"/>
          <w:u w:val="single"/>
        </w:rPr>
        <w:t>Source :</w:t>
      </w:r>
      <w:r w:rsidRPr="000C1ED6">
        <w:rPr>
          <w:color w:val="7F7F7F" w:themeColor="text1" w:themeTint="80"/>
        </w:rPr>
        <w:t xml:space="preserve"> https://www.edhec.edu/sites/www.edhec-portail.pprod.net/files/170321-1_limpact_de_la_reglementation.pdf</w:t>
      </w:r>
    </w:p>
  </w:footnote>
  <w:footnote w:id="3">
    <w:p w14:paraId="44D6B6BA" w14:textId="77777777" w:rsidR="001360A5" w:rsidRPr="00DF6247" w:rsidRDefault="001360A5" w:rsidP="002A1DF1">
      <w:pPr>
        <w:pStyle w:val="FootnoteText"/>
        <w:rPr>
          <w:rFonts w:cs="Helvetica"/>
          <w:lang w:val="en-US"/>
        </w:rPr>
      </w:pPr>
      <w:r w:rsidRPr="00C701F3">
        <w:rPr>
          <w:rStyle w:val="FootnoteReference"/>
          <w:rFonts w:ascii="Verdana" w:hAnsi="Verdana"/>
          <w:color w:val="7F7F7F"/>
          <w:sz w:val="18"/>
        </w:rPr>
        <w:footnoteRef/>
      </w:r>
      <w:r w:rsidRPr="00DF6247">
        <w:rPr>
          <w:rFonts w:ascii="Verdana" w:hAnsi="Verdana"/>
          <w:color w:val="7F7F7F"/>
          <w:sz w:val="18"/>
          <w:lang w:val="en-US"/>
        </w:rPr>
        <w:t xml:space="preserve"> </w:t>
      </w:r>
      <w:r w:rsidRPr="0003536E">
        <w:rPr>
          <w:rFonts w:ascii="Verdana" w:hAnsi="Verdana" w:cs="Helvetica"/>
          <w:color w:val="7F7F7F"/>
          <w:sz w:val="22"/>
          <w:szCs w:val="22"/>
          <w:lang w:val="en-US"/>
        </w:rPr>
        <w:t>We assume that there are no diversification benefits</w:t>
      </w:r>
    </w:p>
  </w:footnote>
  <w:footnote w:id="4">
    <w:p w14:paraId="7C2CDC20" w14:textId="77777777" w:rsidR="001360A5" w:rsidRPr="0003536E" w:rsidRDefault="001360A5" w:rsidP="002A1DF1">
      <w:pPr>
        <w:pStyle w:val="FootnoteText"/>
        <w:rPr>
          <w:rFonts w:ascii="Verdana" w:hAnsi="Verdana" w:cs="Helvetica"/>
          <w:color w:val="7F7F7F"/>
          <w:sz w:val="22"/>
          <w:szCs w:val="22"/>
          <w:lang w:val="en-US"/>
        </w:rPr>
      </w:pPr>
      <w:r w:rsidRPr="008526FE">
        <w:rPr>
          <w:rStyle w:val="FootnoteReference"/>
          <w:rFonts w:cs="Helvetica"/>
        </w:rPr>
        <w:footnoteRef/>
      </w:r>
      <w:r w:rsidRPr="008526FE">
        <w:rPr>
          <w:rFonts w:cs="Helvetica"/>
          <w:lang w:val="en-US"/>
        </w:rPr>
        <w:t xml:space="preserve"> </w:t>
      </w:r>
      <w:r w:rsidRPr="0003536E">
        <w:rPr>
          <w:rFonts w:ascii="Verdana" w:hAnsi="Verdana" w:cs="Helvetica"/>
          <w:color w:val="7F7F7F"/>
          <w:sz w:val="22"/>
          <w:szCs w:val="22"/>
          <w:lang w:val="en-US"/>
        </w:rPr>
        <w:t xml:space="preserve">We assume that the SCR </w:t>
      </w:r>
      <w:r w:rsidRPr="0003536E">
        <w:rPr>
          <w:rFonts w:ascii="Verdana" w:hAnsi="Verdana" w:cs="Helvetica"/>
          <w:color w:val="7F7F7F"/>
          <w:sz w:val="22"/>
          <w:szCs w:val="22"/>
          <w:vertAlign w:val="superscript"/>
          <w:lang w:val="en-US"/>
        </w:rPr>
        <w:t>group</w:t>
      </w:r>
      <w:r w:rsidRPr="0003536E">
        <w:rPr>
          <w:rFonts w:ascii="Verdana" w:hAnsi="Verdana" w:cs="Helvetica"/>
          <w:color w:val="7F7F7F"/>
          <w:sz w:val="22"/>
          <w:szCs w:val="22"/>
          <w:lang w:val="en-US"/>
        </w:rPr>
        <w:t xml:space="preserve"> equals the sum of the SCR(s)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556DA"/>
    <w:multiLevelType w:val="hybridMultilevel"/>
    <w:tmpl w:val="5B66E1F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F711CBC"/>
    <w:multiLevelType w:val="hybridMultilevel"/>
    <w:tmpl w:val="3D880146"/>
    <w:lvl w:ilvl="0" w:tplc="0E1CC578">
      <w:start w:val="1"/>
      <w:numFmt w:val="bullet"/>
      <w:pStyle w:val="ContinuousSquareBullet"/>
      <w:lvlText w:val="•"/>
      <w:lvlJc w:val="left"/>
      <w:pPr>
        <w:tabs>
          <w:tab w:val="num" w:pos="5256"/>
        </w:tabs>
        <w:ind w:left="5256" w:hanging="360"/>
      </w:pPr>
      <w:rPr>
        <w:rFonts w:ascii="Times New Roman" w:hAnsi="Times New Roman" w:hint="default"/>
      </w:rPr>
    </w:lvl>
    <w:lvl w:ilvl="1" w:tplc="3C10A264">
      <w:start w:val="139"/>
      <w:numFmt w:val="bullet"/>
      <w:lvlText w:val=""/>
      <w:lvlJc w:val="left"/>
      <w:pPr>
        <w:tabs>
          <w:tab w:val="num" w:pos="5976"/>
        </w:tabs>
        <w:ind w:left="5976" w:hanging="360"/>
      </w:pPr>
      <w:rPr>
        <w:rFonts w:ascii="Wingdings" w:hAnsi="Wingdings" w:hint="default"/>
      </w:rPr>
    </w:lvl>
    <w:lvl w:ilvl="2" w:tplc="5616E6E6" w:tentative="1">
      <w:start w:val="1"/>
      <w:numFmt w:val="bullet"/>
      <w:lvlText w:val="•"/>
      <w:lvlJc w:val="left"/>
      <w:pPr>
        <w:tabs>
          <w:tab w:val="num" w:pos="6696"/>
        </w:tabs>
        <w:ind w:left="6696" w:hanging="360"/>
      </w:pPr>
      <w:rPr>
        <w:rFonts w:ascii="Times New Roman" w:hAnsi="Times New Roman" w:hint="default"/>
      </w:rPr>
    </w:lvl>
    <w:lvl w:ilvl="3" w:tplc="C6343062" w:tentative="1">
      <w:start w:val="1"/>
      <w:numFmt w:val="bullet"/>
      <w:lvlText w:val="•"/>
      <w:lvlJc w:val="left"/>
      <w:pPr>
        <w:tabs>
          <w:tab w:val="num" w:pos="7416"/>
        </w:tabs>
        <w:ind w:left="7416" w:hanging="360"/>
      </w:pPr>
      <w:rPr>
        <w:rFonts w:ascii="Times New Roman" w:hAnsi="Times New Roman" w:hint="default"/>
      </w:rPr>
    </w:lvl>
    <w:lvl w:ilvl="4" w:tplc="963ADE6A" w:tentative="1">
      <w:start w:val="1"/>
      <w:numFmt w:val="bullet"/>
      <w:lvlText w:val="•"/>
      <w:lvlJc w:val="left"/>
      <w:pPr>
        <w:tabs>
          <w:tab w:val="num" w:pos="8136"/>
        </w:tabs>
        <w:ind w:left="8136" w:hanging="360"/>
      </w:pPr>
      <w:rPr>
        <w:rFonts w:ascii="Times New Roman" w:hAnsi="Times New Roman" w:hint="default"/>
      </w:rPr>
    </w:lvl>
    <w:lvl w:ilvl="5" w:tplc="32D6C09E" w:tentative="1">
      <w:start w:val="1"/>
      <w:numFmt w:val="bullet"/>
      <w:lvlText w:val="•"/>
      <w:lvlJc w:val="left"/>
      <w:pPr>
        <w:tabs>
          <w:tab w:val="num" w:pos="8856"/>
        </w:tabs>
        <w:ind w:left="8856" w:hanging="360"/>
      </w:pPr>
      <w:rPr>
        <w:rFonts w:ascii="Times New Roman" w:hAnsi="Times New Roman" w:hint="default"/>
      </w:rPr>
    </w:lvl>
    <w:lvl w:ilvl="6" w:tplc="1CFAE5EA" w:tentative="1">
      <w:start w:val="1"/>
      <w:numFmt w:val="bullet"/>
      <w:lvlText w:val="•"/>
      <w:lvlJc w:val="left"/>
      <w:pPr>
        <w:tabs>
          <w:tab w:val="num" w:pos="9576"/>
        </w:tabs>
        <w:ind w:left="9576" w:hanging="360"/>
      </w:pPr>
      <w:rPr>
        <w:rFonts w:ascii="Times New Roman" w:hAnsi="Times New Roman" w:hint="default"/>
      </w:rPr>
    </w:lvl>
    <w:lvl w:ilvl="7" w:tplc="C08E82F4" w:tentative="1">
      <w:start w:val="1"/>
      <w:numFmt w:val="bullet"/>
      <w:lvlText w:val="•"/>
      <w:lvlJc w:val="left"/>
      <w:pPr>
        <w:tabs>
          <w:tab w:val="num" w:pos="10296"/>
        </w:tabs>
        <w:ind w:left="10296" w:hanging="360"/>
      </w:pPr>
      <w:rPr>
        <w:rFonts w:ascii="Times New Roman" w:hAnsi="Times New Roman" w:hint="default"/>
      </w:rPr>
    </w:lvl>
    <w:lvl w:ilvl="8" w:tplc="3C34FB12" w:tentative="1">
      <w:start w:val="1"/>
      <w:numFmt w:val="bullet"/>
      <w:lvlText w:val="•"/>
      <w:lvlJc w:val="left"/>
      <w:pPr>
        <w:tabs>
          <w:tab w:val="num" w:pos="11016"/>
        </w:tabs>
        <w:ind w:left="11016" w:hanging="360"/>
      </w:pPr>
      <w:rPr>
        <w:rFonts w:ascii="Times New Roman" w:hAnsi="Times New Roman" w:hint="default"/>
      </w:rPr>
    </w:lvl>
  </w:abstractNum>
  <w:abstractNum w:abstractNumId="2" w15:restartNumberingAfterBreak="0">
    <w:nsid w:val="13B07C6A"/>
    <w:multiLevelType w:val="hybridMultilevel"/>
    <w:tmpl w:val="92F6873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7B23357"/>
    <w:multiLevelType w:val="hybridMultilevel"/>
    <w:tmpl w:val="8C58A5FE"/>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4A76E900">
      <w:numFmt w:val="bullet"/>
      <w:lvlText w:val="-"/>
      <w:lvlJc w:val="left"/>
      <w:pPr>
        <w:ind w:left="1800" w:hanging="360"/>
      </w:pPr>
      <w:rPr>
        <w:rFonts w:ascii="Calibri" w:eastAsia="Calibri" w:hAnsi="Calibri" w:cs="Calibri"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 w15:restartNumberingAfterBreak="0">
    <w:nsid w:val="185A7D3C"/>
    <w:multiLevelType w:val="hybridMultilevel"/>
    <w:tmpl w:val="7194C0DE"/>
    <w:lvl w:ilvl="0" w:tplc="B644018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D62D55"/>
    <w:multiLevelType w:val="hybridMultilevel"/>
    <w:tmpl w:val="6C3C92BA"/>
    <w:lvl w:ilvl="0" w:tplc="9C1A365A">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B91016"/>
    <w:multiLevelType w:val="hybridMultilevel"/>
    <w:tmpl w:val="9EF4931C"/>
    <w:lvl w:ilvl="0" w:tplc="0809000F">
      <w:start w:val="1"/>
      <w:numFmt w:val="decimal"/>
      <w:pStyle w:val="Alinenummering-standaard"/>
      <w:lvlText w:val="%1."/>
      <w:lvlJc w:val="left"/>
      <w:pPr>
        <w:tabs>
          <w:tab w:val="num" w:pos="0"/>
        </w:tabs>
        <w:ind w:hanging="510"/>
      </w:pPr>
      <w:rPr>
        <w:rFonts w:hint="default"/>
      </w:rPr>
    </w:lvl>
    <w:lvl w:ilvl="1" w:tplc="B4409E2A">
      <w:start w:val="1"/>
      <w:numFmt w:val="bullet"/>
      <w:lvlText w:val=""/>
      <w:lvlJc w:val="left"/>
      <w:pPr>
        <w:tabs>
          <w:tab w:val="num" w:pos="1440"/>
        </w:tabs>
        <w:ind w:left="1440" w:hanging="360"/>
      </w:pPr>
      <w:rPr>
        <w:rFonts w:ascii="Wingdings" w:hAnsi="Wingdings" w:cs="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23BD419B"/>
    <w:multiLevelType w:val="multilevel"/>
    <w:tmpl w:val="A89E3C18"/>
    <w:lvl w:ilvl="0">
      <w:start w:val="1"/>
      <w:numFmt w:val="bullet"/>
      <w:lvlText w:val=""/>
      <w:lvlJc w:val="left"/>
      <w:pPr>
        <w:tabs>
          <w:tab w:val="num" w:pos="360"/>
        </w:tabs>
        <w:ind w:left="360" w:hanging="360"/>
      </w:pPr>
      <w:rPr>
        <w:rFonts w:ascii="Wingdings" w:hAnsi="Wingdings" w:hint="default"/>
        <w:sz w:val="20"/>
      </w:rPr>
    </w:lvl>
    <w:lvl w:ilvl="1">
      <w:start w:val="1"/>
      <w:numFmt w:val="bullet"/>
      <w:pStyle w:val="Subbulet"/>
      <w:lvlText w:val=""/>
      <w:lvlJc w:val="left"/>
      <w:pPr>
        <w:tabs>
          <w:tab w:val="num" w:pos="720"/>
        </w:tabs>
        <w:ind w:left="720" w:hanging="360"/>
      </w:pPr>
      <w:rPr>
        <w:rFonts w:ascii="Wingdings" w:hAnsi="Wingdings" w:hint="default"/>
        <w:color w:val="auto"/>
        <w:sz w:val="20"/>
      </w:rPr>
    </w:lvl>
    <w:lvl w:ilvl="2">
      <w:start w:val="1"/>
      <w:numFmt w:val="bullet"/>
      <w:lvlText w:val=""/>
      <w:lvlJc w:val="left"/>
      <w:pPr>
        <w:tabs>
          <w:tab w:val="num" w:pos="1080"/>
        </w:tabs>
        <w:ind w:left="1080" w:hanging="360"/>
      </w:pPr>
      <w:rPr>
        <w:rFonts w:ascii="Symbol" w:hAnsi="Symbol" w:hint="default"/>
        <w:sz w:val="22"/>
      </w:rPr>
    </w:lvl>
    <w:lvl w:ilvl="3">
      <w:start w:val="1"/>
      <w:numFmt w:val="none"/>
      <w:lvlText w:val=""/>
      <w:lvlJc w:val="left"/>
      <w:pPr>
        <w:tabs>
          <w:tab w:val="num" w:pos="1440"/>
        </w:tabs>
        <w:ind w:left="1440" w:hanging="360"/>
      </w:pPr>
      <w:rPr>
        <w:rFonts w:ascii="Symbol" w:hAnsi="Symbol" w:hint="default"/>
      </w:rPr>
    </w:lvl>
    <w:lvl w:ilvl="4">
      <w:start w:val="1"/>
      <w:numFmt w:val="none"/>
      <w:lvlText w:val=""/>
      <w:lvlJc w:val="left"/>
      <w:pPr>
        <w:tabs>
          <w:tab w:val="num" w:pos="1800"/>
        </w:tabs>
        <w:ind w:left="1800" w:hanging="360"/>
      </w:pPr>
      <w:rPr>
        <w:rFonts w:ascii="Symbol" w:hAnsi="Symbol" w:hint="default"/>
      </w:rPr>
    </w:lvl>
    <w:lvl w:ilvl="5">
      <w:start w:val="1"/>
      <w:numFmt w:val="none"/>
      <w:lvlText w:val=""/>
      <w:lvlJc w:val="left"/>
      <w:pPr>
        <w:tabs>
          <w:tab w:val="num" w:pos="2160"/>
        </w:tabs>
        <w:ind w:left="2160" w:hanging="360"/>
      </w:pPr>
      <w:rPr>
        <w:rFonts w:ascii="Wingdings" w:hAnsi="Wingdings" w:hint="default"/>
      </w:rPr>
    </w:lvl>
    <w:lvl w:ilvl="6">
      <w:start w:val="1"/>
      <w:numFmt w:val="none"/>
      <w:lvlText w:val=""/>
      <w:lvlJc w:val="left"/>
      <w:pPr>
        <w:tabs>
          <w:tab w:val="num" w:pos="2520"/>
        </w:tabs>
        <w:ind w:left="2520" w:hanging="360"/>
      </w:pPr>
      <w:rPr>
        <w:rFonts w:ascii="Wingdings" w:hAnsi="Wingdings" w:hint="default"/>
      </w:rPr>
    </w:lvl>
    <w:lvl w:ilvl="7">
      <w:start w:val="1"/>
      <w:numFmt w:val="none"/>
      <w:lvlText w:val=""/>
      <w:lvlJc w:val="left"/>
      <w:pPr>
        <w:tabs>
          <w:tab w:val="num" w:pos="2880"/>
        </w:tabs>
        <w:ind w:left="2880" w:hanging="360"/>
      </w:pPr>
      <w:rPr>
        <w:rFonts w:ascii="Symbol" w:hAnsi="Symbol" w:hint="default"/>
      </w:rPr>
    </w:lvl>
    <w:lvl w:ilvl="8">
      <w:start w:val="1"/>
      <w:numFmt w:val="none"/>
      <w:lvlText w:val=""/>
      <w:lvlJc w:val="left"/>
      <w:pPr>
        <w:tabs>
          <w:tab w:val="num" w:pos="3240"/>
        </w:tabs>
        <w:ind w:left="3240" w:hanging="360"/>
      </w:pPr>
      <w:rPr>
        <w:rFonts w:ascii="Symbol" w:hAnsi="Symbol" w:hint="default"/>
      </w:rPr>
    </w:lvl>
  </w:abstractNum>
  <w:abstractNum w:abstractNumId="8" w15:restartNumberingAfterBreak="0">
    <w:nsid w:val="25625480"/>
    <w:multiLevelType w:val="hybridMultilevel"/>
    <w:tmpl w:val="0E24DEBA"/>
    <w:lvl w:ilvl="0" w:tplc="040B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B981DA6"/>
    <w:multiLevelType w:val="hybridMultilevel"/>
    <w:tmpl w:val="605C0894"/>
    <w:lvl w:ilvl="0" w:tplc="DC20374C">
      <w:start w:val="1"/>
      <w:numFmt w:val="decimal"/>
      <w:pStyle w:val="Numberedparagraph"/>
      <w:lvlText w:val="%1."/>
      <w:lvlJc w:val="left"/>
      <w:pPr>
        <w:tabs>
          <w:tab w:val="num" w:pos="0"/>
        </w:tabs>
        <w:ind w:left="0" w:hanging="567"/>
      </w:pPr>
      <w:rPr>
        <w:rFonts w:ascii="Arial" w:hAnsi="Arial"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BA64AC"/>
    <w:multiLevelType w:val="hybridMultilevel"/>
    <w:tmpl w:val="774058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F3A0D35"/>
    <w:multiLevelType w:val="multilevel"/>
    <w:tmpl w:val="3A52E628"/>
    <w:lvl w:ilvl="0">
      <w:start w:val="1"/>
      <w:numFmt w:val="upperRoman"/>
      <w:pStyle w:val="Style1"/>
      <w:lvlText w:val="%1"/>
      <w:lvlJc w:val="left"/>
      <w:pPr>
        <w:ind w:left="720" w:hanging="360"/>
      </w:pPr>
      <w:rPr>
        <w:rFonts w:hint="default"/>
      </w:rPr>
    </w:lvl>
    <w:lvl w:ilvl="1">
      <w:start w:val="1"/>
      <w:numFmt w:val="decimal"/>
      <w:pStyle w:val="Style2"/>
      <w:lvlText w:val="%1.%2."/>
      <w:lvlJc w:val="left"/>
      <w:pPr>
        <w:ind w:left="360" w:hanging="360"/>
      </w:pPr>
      <w:rPr>
        <w:rFonts w:hint="default"/>
        <w:color w:val="4472C4" w:themeColor="accent1"/>
      </w:rPr>
    </w:lvl>
    <w:lvl w:ilvl="2">
      <w:start w:val="1"/>
      <w:numFmt w:val="lowerLetter"/>
      <w:pStyle w:val="Style3"/>
      <w:lvlText w:val="%1.%2.%3"/>
      <w:lvlJc w:val="right"/>
      <w:pPr>
        <w:ind w:left="2160" w:hanging="180"/>
      </w:pPr>
      <w:rPr>
        <w:rFonts w:hint="default"/>
        <w:b/>
      </w:rPr>
    </w:lvl>
    <w:lvl w:ilvl="3">
      <w:start w:val="1"/>
      <w:numFmt w:val="lowerRoman"/>
      <w:pStyle w:val="Style4"/>
      <w:lvlText w:val="%1.%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25D5401"/>
    <w:multiLevelType w:val="hybridMultilevel"/>
    <w:tmpl w:val="028E50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570461B"/>
    <w:multiLevelType w:val="hybridMultilevel"/>
    <w:tmpl w:val="6832DC9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3F1C55C8"/>
    <w:multiLevelType w:val="hybridMultilevel"/>
    <w:tmpl w:val="323A3EC6"/>
    <w:lvl w:ilvl="0" w:tplc="39DC32D2">
      <w:start w:val="4"/>
      <w:numFmt w:val="bullet"/>
      <w:lvlText w:val=""/>
      <w:lvlJc w:val="left"/>
      <w:pPr>
        <w:ind w:left="720" w:hanging="360"/>
      </w:pPr>
      <w:rPr>
        <w:rFonts w:ascii="Wingdings" w:eastAsia="Times New Roman" w:hAnsi="Wingdings"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40566C5E"/>
    <w:multiLevelType w:val="hybridMultilevel"/>
    <w:tmpl w:val="48C62F42"/>
    <w:lvl w:ilvl="0" w:tplc="A594C0CC">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64791F"/>
    <w:multiLevelType w:val="hybridMultilevel"/>
    <w:tmpl w:val="66648BB2"/>
    <w:lvl w:ilvl="0" w:tplc="2000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49E755C5"/>
    <w:multiLevelType w:val="multilevel"/>
    <w:tmpl w:val="6614AC40"/>
    <w:lvl w:ilvl="0">
      <w:start w:val="1"/>
      <w:numFmt w:val="upperLetter"/>
      <w:pStyle w:val="Heading1"/>
      <w:lvlText w:val="%1."/>
      <w:lvlJc w:val="left"/>
      <w:pPr>
        <w:tabs>
          <w:tab w:val="num" w:pos="6314"/>
        </w:tabs>
        <w:ind w:left="5954" w:firstLine="0"/>
      </w:pPr>
      <w:rPr>
        <w:rFonts w:hint="default"/>
      </w:rPr>
    </w:lvl>
    <w:lvl w:ilvl="1">
      <w:start w:val="1"/>
      <w:numFmt w:val="none"/>
      <w:pStyle w:val="Heading2"/>
      <w:lvlText w:val="A.1."/>
      <w:lvlJc w:val="left"/>
      <w:pPr>
        <w:tabs>
          <w:tab w:val="num" w:pos="1080"/>
        </w:tabs>
        <w:ind w:left="720" w:firstLine="0"/>
      </w:pPr>
      <w:rPr>
        <w:rFonts w:hint="default"/>
        <w:b/>
        <w:bCs w:val="0"/>
        <w:i/>
        <w:iCs w:val="0"/>
        <w:sz w:val="22"/>
        <w:szCs w:val="22"/>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8" w15:restartNumberingAfterBreak="0">
    <w:nsid w:val="4DC77E1E"/>
    <w:multiLevelType w:val="hybridMultilevel"/>
    <w:tmpl w:val="F0AEDA9E"/>
    <w:lvl w:ilvl="0" w:tplc="E4D212C2">
      <w:start w:val="2"/>
      <w:numFmt w:val="decimal"/>
      <w:lvlText w:val="%1."/>
      <w:lvlJc w:val="left"/>
      <w:pPr>
        <w:tabs>
          <w:tab w:val="num" w:pos="720"/>
        </w:tabs>
        <w:ind w:left="720" w:hanging="360"/>
      </w:pPr>
      <w:rPr>
        <w:rFonts w:hint="default"/>
      </w:rPr>
    </w:lvl>
    <w:lvl w:ilvl="1" w:tplc="9A58AB9E" w:tentative="1">
      <w:start w:val="1"/>
      <w:numFmt w:val="bullet"/>
      <w:lvlText w:val=""/>
      <w:lvlJc w:val="left"/>
      <w:pPr>
        <w:tabs>
          <w:tab w:val="num" w:pos="1440"/>
        </w:tabs>
        <w:ind w:left="1440" w:hanging="360"/>
      </w:pPr>
      <w:rPr>
        <w:rFonts w:ascii="Wingdings" w:hAnsi="Wingdings" w:hint="default"/>
      </w:rPr>
    </w:lvl>
    <w:lvl w:ilvl="2" w:tplc="76287002" w:tentative="1">
      <w:start w:val="1"/>
      <w:numFmt w:val="bullet"/>
      <w:lvlText w:val=""/>
      <w:lvlJc w:val="left"/>
      <w:pPr>
        <w:tabs>
          <w:tab w:val="num" w:pos="2160"/>
        </w:tabs>
        <w:ind w:left="2160" w:hanging="360"/>
      </w:pPr>
      <w:rPr>
        <w:rFonts w:ascii="Wingdings" w:hAnsi="Wingdings" w:hint="default"/>
      </w:rPr>
    </w:lvl>
    <w:lvl w:ilvl="3" w:tplc="5964A610" w:tentative="1">
      <w:start w:val="1"/>
      <w:numFmt w:val="bullet"/>
      <w:lvlText w:val=""/>
      <w:lvlJc w:val="left"/>
      <w:pPr>
        <w:tabs>
          <w:tab w:val="num" w:pos="2880"/>
        </w:tabs>
        <w:ind w:left="2880" w:hanging="360"/>
      </w:pPr>
      <w:rPr>
        <w:rFonts w:ascii="Wingdings" w:hAnsi="Wingdings" w:hint="default"/>
      </w:rPr>
    </w:lvl>
    <w:lvl w:ilvl="4" w:tplc="2632D8E2" w:tentative="1">
      <w:start w:val="1"/>
      <w:numFmt w:val="bullet"/>
      <w:lvlText w:val=""/>
      <w:lvlJc w:val="left"/>
      <w:pPr>
        <w:tabs>
          <w:tab w:val="num" w:pos="3600"/>
        </w:tabs>
        <w:ind w:left="3600" w:hanging="360"/>
      </w:pPr>
      <w:rPr>
        <w:rFonts w:ascii="Wingdings" w:hAnsi="Wingdings" w:hint="default"/>
      </w:rPr>
    </w:lvl>
    <w:lvl w:ilvl="5" w:tplc="D9A4EC36" w:tentative="1">
      <w:start w:val="1"/>
      <w:numFmt w:val="bullet"/>
      <w:lvlText w:val=""/>
      <w:lvlJc w:val="left"/>
      <w:pPr>
        <w:tabs>
          <w:tab w:val="num" w:pos="4320"/>
        </w:tabs>
        <w:ind w:left="4320" w:hanging="360"/>
      </w:pPr>
      <w:rPr>
        <w:rFonts w:ascii="Wingdings" w:hAnsi="Wingdings" w:hint="default"/>
      </w:rPr>
    </w:lvl>
    <w:lvl w:ilvl="6" w:tplc="8A740254" w:tentative="1">
      <w:start w:val="1"/>
      <w:numFmt w:val="bullet"/>
      <w:lvlText w:val=""/>
      <w:lvlJc w:val="left"/>
      <w:pPr>
        <w:tabs>
          <w:tab w:val="num" w:pos="5040"/>
        </w:tabs>
        <w:ind w:left="5040" w:hanging="360"/>
      </w:pPr>
      <w:rPr>
        <w:rFonts w:ascii="Wingdings" w:hAnsi="Wingdings" w:hint="default"/>
      </w:rPr>
    </w:lvl>
    <w:lvl w:ilvl="7" w:tplc="B018057A" w:tentative="1">
      <w:start w:val="1"/>
      <w:numFmt w:val="bullet"/>
      <w:lvlText w:val=""/>
      <w:lvlJc w:val="left"/>
      <w:pPr>
        <w:tabs>
          <w:tab w:val="num" w:pos="5760"/>
        </w:tabs>
        <w:ind w:left="5760" w:hanging="360"/>
      </w:pPr>
      <w:rPr>
        <w:rFonts w:ascii="Wingdings" w:hAnsi="Wingdings" w:hint="default"/>
      </w:rPr>
    </w:lvl>
    <w:lvl w:ilvl="8" w:tplc="6972B72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931E4A"/>
    <w:multiLevelType w:val="hybridMultilevel"/>
    <w:tmpl w:val="88220582"/>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7D66431"/>
    <w:multiLevelType w:val="hybridMultilevel"/>
    <w:tmpl w:val="D22C5A3A"/>
    <w:lvl w:ilvl="0" w:tplc="E1E491F6">
      <w:start w:val="1"/>
      <w:numFmt w:val="decimal"/>
      <w:lvlText w:val="%1."/>
      <w:lvlJc w:val="left"/>
      <w:pPr>
        <w:ind w:left="360" w:hanging="360"/>
      </w:pPr>
      <w:rPr>
        <w:rFonts w:ascii="Verdana" w:hAnsi="Verdana" w:hint="default"/>
        <w:b/>
        <w:bCs/>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1" w15:restartNumberingAfterBreak="0">
    <w:nsid w:val="5E040E0E"/>
    <w:multiLevelType w:val="hybridMultilevel"/>
    <w:tmpl w:val="53EC1E94"/>
    <w:lvl w:ilvl="0" w:tplc="95903858">
      <w:start w:val="1"/>
      <w:numFmt w:val="bullet"/>
      <w:lvlText w:val=""/>
      <w:lvlJc w:val="left"/>
      <w:pPr>
        <w:ind w:left="720" w:hanging="360"/>
      </w:pPr>
      <w:rPr>
        <w:rFonts w:ascii="Wingdings" w:hAnsi="Wingdings" w:hint="default"/>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E42518"/>
    <w:multiLevelType w:val="hybridMultilevel"/>
    <w:tmpl w:val="62B090D6"/>
    <w:lvl w:ilvl="0" w:tplc="64CAF0FA">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E56849"/>
    <w:multiLevelType w:val="hybridMultilevel"/>
    <w:tmpl w:val="F6604CAA"/>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4" w15:restartNumberingAfterBreak="0">
    <w:nsid w:val="62313AC1"/>
    <w:multiLevelType w:val="hybridMultilevel"/>
    <w:tmpl w:val="6558540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68653465"/>
    <w:multiLevelType w:val="hybridMultilevel"/>
    <w:tmpl w:val="68E47C02"/>
    <w:lvl w:ilvl="0" w:tplc="CD2C87EE">
      <w:numFmt w:val="bullet"/>
      <w:lvlText w:val=""/>
      <w:lvlJc w:val="left"/>
      <w:pPr>
        <w:tabs>
          <w:tab w:val="num" w:pos="624"/>
        </w:tabs>
        <w:ind w:left="624" w:hanging="284"/>
      </w:pPr>
      <w:rPr>
        <w:rFonts w:ascii="Wingdings" w:eastAsia="Goudy Stout" w:hAnsi="Wingdings" w:cs="Goudy Stout"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9E2B88"/>
    <w:multiLevelType w:val="hybridMultilevel"/>
    <w:tmpl w:val="8AB6F68E"/>
    <w:lvl w:ilvl="0" w:tplc="372A9748">
      <w:start w:val="1"/>
      <w:numFmt w:val="bullet"/>
      <w:pStyle w:val="CEABullet-Level1"/>
      <w:lvlText w:val=""/>
      <w:lvlJc w:val="left"/>
      <w:pPr>
        <w:ind w:left="360" w:hanging="360"/>
      </w:pPr>
      <w:rPr>
        <w:rFonts w:ascii="Symbol" w:hAnsi="Symbol" w:hint="default"/>
        <w:color w:val="7F7F7F" w:themeColor="text1" w:themeTint="8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0E95C6A"/>
    <w:multiLevelType w:val="hybridMultilevel"/>
    <w:tmpl w:val="3ED03554"/>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73334791"/>
    <w:multiLevelType w:val="hybridMultilevel"/>
    <w:tmpl w:val="826C0BAC"/>
    <w:lvl w:ilvl="0" w:tplc="3D1A7F00">
      <w:start w:val="1"/>
      <w:numFmt w:val="bullet"/>
      <w:lvlText w:val=""/>
      <w:lvlJc w:val="left"/>
      <w:pPr>
        <w:ind w:left="780" w:hanging="360"/>
      </w:pPr>
      <w:rPr>
        <w:rFonts w:ascii="Wingdings" w:hAnsi="Wingdings" w:hint="default"/>
        <w:color w:val="7F7F7F" w:themeColor="text1" w:themeTint="80"/>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9" w15:restartNumberingAfterBreak="0">
    <w:nsid w:val="7354275C"/>
    <w:multiLevelType w:val="hybridMultilevel"/>
    <w:tmpl w:val="2CA8B926"/>
    <w:lvl w:ilvl="0" w:tplc="2F6CB7F8">
      <w:start w:val="2"/>
      <w:numFmt w:val="bullet"/>
      <w:lvlText w:val="-"/>
      <w:lvlJc w:val="left"/>
      <w:pPr>
        <w:ind w:left="644" w:hanging="360"/>
      </w:pPr>
      <w:rPr>
        <w:rFonts w:ascii="Verdana" w:eastAsia="Times New Roman" w:hAnsi="Verdana"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0" w15:restartNumberingAfterBreak="0">
    <w:nsid w:val="759B0F51"/>
    <w:multiLevelType w:val="hybridMultilevel"/>
    <w:tmpl w:val="60FC2EDE"/>
    <w:lvl w:ilvl="0" w:tplc="DBAAAFD0">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C6C33A"/>
    <w:multiLevelType w:val="hybridMultilevel"/>
    <w:tmpl w:val="7200FAA0"/>
    <w:lvl w:ilvl="0" w:tplc="8674A87A">
      <w:start w:val="1"/>
      <w:numFmt w:val="decimal"/>
      <w:lvlText w:val="%1."/>
      <w:lvlJc w:val="left"/>
    </w:lvl>
    <w:lvl w:ilvl="1" w:tplc="EAB48CEC">
      <w:numFmt w:val="decimal"/>
      <w:lvlText w:val=""/>
      <w:lvlJc w:val="left"/>
    </w:lvl>
    <w:lvl w:ilvl="2" w:tplc="AD9A7B4E">
      <w:numFmt w:val="decimal"/>
      <w:lvlText w:val=""/>
      <w:lvlJc w:val="left"/>
    </w:lvl>
    <w:lvl w:ilvl="3" w:tplc="C7F22768">
      <w:numFmt w:val="decimal"/>
      <w:lvlText w:val=""/>
      <w:lvlJc w:val="left"/>
    </w:lvl>
    <w:lvl w:ilvl="4" w:tplc="10F29428">
      <w:numFmt w:val="decimal"/>
      <w:lvlText w:val=""/>
      <w:lvlJc w:val="left"/>
    </w:lvl>
    <w:lvl w:ilvl="5" w:tplc="5A6AF812">
      <w:numFmt w:val="decimal"/>
      <w:lvlText w:val=""/>
      <w:lvlJc w:val="left"/>
    </w:lvl>
    <w:lvl w:ilvl="6" w:tplc="4FDE71F0">
      <w:numFmt w:val="decimal"/>
      <w:lvlText w:val=""/>
      <w:lvlJc w:val="left"/>
    </w:lvl>
    <w:lvl w:ilvl="7" w:tplc="6178949E">
      <w:numFmt w:val="decimal"/>
      <w:lvlText w:val=""/>
      <w:lvlJc w:val="left"/>
    </w:lvl>
    <w:lvl w:ilvl="8" w:tplc="E26E303E">
      <w:numFmt w:val="decimal"/>
      <w:lvlText w:val=""/>
      <w:lvlJc w:val="left"/>
    </w:lvl>
  </w:abstractNum>
  <w:abstractNum w:abstractNumId="32" w15:restartNumberingAfterBreak="0">
    <w:nsid w:val="7726E879"/>
    <w:multiLevelType w:val="hybridMultilevel"/>
    <w:tmpl w:val="074EB138"/>
    <w:lvl w:ilvl="0" w:tplc="31BC7F40">
      <w:start w:val="14"/>
      <w:numFmt w:val="decimal"/>
      <w:lvlText w:val="%1."/>
      <w:lvlJc w:val="left"/>
    </w:lvl>
    <w:lvl w:ilvl="1" w:tplc="1C9E636A">
      <w:numFmt w:val="decimal"/>
      <w:lvlText w:val=""/>
      <w:lvlJc w:val="left"/>
    </w:lvl>
    <w:lvl w:ilvl="2" w:tplc="6E66D06C">
      <w:numFmt w:val="decimal"/>
      <w:lvlText w:val=""/>
      <w:lvlJc w:val="left"/>
    </w:lvl>
    <w:lvl w:ilvl="3" w:tplc="8014F1EC">
      <w:numFmt w:val="decimal"/>
      <w:lvlText w:val=""/>
      <w:lvlJc w:val="left"/>
    </w:lvl>
    <w:lvl w:ilvl="4" w:tplc="AAE6DE4C">
      <w:numFmt w:val="decimal"/>
      <w:lvlText w:val=""/>
      <w:lvlJc w:val="left"/>
    </w:lvl>
    <w:lvl w:ilvl="5" w:tplc="B94C21B8">
      <w:numFmt w:val="decimal"/>
      <w:lvlText w:val=""/>
      <w:lvlJc w:val="left"/>
    </w:lvl>
    <w:lvl w:ilvl="6" w:tplc="E8E08C46">
      <w:numFmt w:val="decimal"/>
      <w:lvlText w:val=""/>
      <w:lvlJc w:val="left"/>
    </w:lvl>
    <w:lvl w:ilvl="7" w:tplc="DCA8A1E6">
      <w:numFmt w:val="decimal"/>
      <w:lvlText w:val=""/>
      <w:lvlJc w:val="left"/>
    </w:lvl>
    <w:lvl w:ilvl="8" w:tplc="9BD25D1C">
      <w:numFmt w:val="decimal"/>
      <w:lvlText w:val=""/>
      <w:lvlJc w:val="left"/>
    </w:lvl>
  </w:abstractNum>
  <w:num w:numId="1">
    <w:abstractNumId w:val="7"/>
  </w:num>
  <w:num w:numId="2">
    <w:abstractNumId w:val="1"/>
  </w:num>
  <w:num w:numId="3">
    <w:abstractNumId w:val="15"/>
  </w:num>
  <w:num w:numId="4">
    <w:abstractNumId w:val="9"/>
  </w:num>
  <w:num w:numId="5">
    <w:abstractNumId w:val="6"/>
  </w:num>
  <w:num w:numId="6">
    <w:abstractNumId w:val="25"/>
  </w:num>
  <w:num w:numId="7">
    <w:abstractNumId w:val="17"/>
  </w:num>
  <w:num w:numId="8">
    <w:abstractNumId w:val="20"/>
  </w:num>
  <w:num w:numId="9">
    <w:abstractNumId w:val="32"/>
  </w:num>
  <w:num w:numId="10">
    <w:abstractNumId w:val="29"/>
  </w:num>
  <w:num w:numId="11">
    <w:abstractNumId w:val="26"/>
  </w:num>
  <w:num w:numId="12">
    <w:abstractNumId w:val="18"/>
  </w:num>
  <w:num w:numId="13">
    <w:abstractNumId w:val="16"/>
  </w:num>
  <w:num w:numId="14">
    <w:abstractNumId w:val="22"/>
  </w:num>
  <w:num w:numId="15">
    <w:abstractNumId w:val="30"/>
  </w:num>
  <w:num w:numId="16">
    <w:abstractNumId w:val="27"/>
  </w:num>
  <w:num w:numId="17">
    <w:abstractNumId w:val="3"/>
  </w:num>
  <w:num w:numId="18">
    <w:abstractNumId w:val="12"/>
  </w:num>
  <w:num w:numId="19">
    <w:abstractNumId w:val="13"/>
  </w:num>
  <w:num w:numId="20">
    <w:abstractNumId w:val="31"/>
  </w:num>
  <w:num w:numId="21">
    <w:abstractNumId w:val="28"/>
  </w:num>
  <w:num w:numId="22">
    <w:abstractNumId w:val="21"/>
  </w:num>
  <w:num w:numId="23">
    <w:abstractNumId w:val="11"/>
  </w:num>
  <w:num w:numId="24">
    <w:abstractNumId w:val="4"/>
  </w:num>
  <w:num w:numId="25">
    <w:abstractNumId w:val="0"/>
  </w:num>
  <w:num w:numId="26">
    <w:abstractNumId w:val="10"/>
  </w:num>
  <w:num w:numId="27">
    <w:abstractNumId w:val="19"/>
  </w:num>
  <w:num w:numId="28">
    <w:abstractNumId w:val="2"/>
  </w:num>
  <w:num w:numId="29">
    <w:abstractNumId w:val="14"/>
  </w:num>
  <w:num w:numId="30">
    <w:abstractNumId w:val="23"/>
  </w:num>
  <w:num w:numId="31">
    <w:abstractNumId w:val="8"/>
  </w:num>
  <w:num w:numId="32">
    <w:abstractNumId w:val="5"/>
  </w:num>
  <w:num w:numId="33">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es-ES"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D78DD"/>
    <w:rsid w:val="000014BC"/>
    <w:rsid w:val="00001686"/>
    <w:rsid w:val="000016A7"/>
    <w:rsid w:val="00003FA0"/>
    <w:rsid w:val="00004B15"/>
    <w:rsid w:val="00005805"/>
    <w:rsid w:val="000058D0"/>
    <w:rsid w:val="000063E3"/>
    <w:rsid w:val="0000755F"/>
    <w:rsid w:val="000102E7"/>
    <w:rsid w:val="0001046A"/>
    <w:rsid w:val="000109CD"/>
    <w:rsid w:val="00012F05"/>
    <w:rsid w:val="00012FEA"/>
    <w:rsid w:val="00015293"/>
    <w:rsid w:val="000158FF"/>
    <w:rsid w:val="00016D8C"/>
    <w:rsid w:val="00020647"/>
    <w:rsid w:val="00020B14"/>
    <w:rsid w:val="00020EEB"/>
    <w:rsid w:val="00022235"/>
    <w:rsid w:val="000229C1"/>
    <w:rsid w:val="0002434E"/>
    <w:rsid w:val="00024EC4"/>
    <w:rsid w:val="00026928"/>
    <w:rsid w:val="0002723A"/>
    <w:rsid w:val="00030E35"/>
    <w:rsid w:val="0003198C"/>
    <w:rsid w:val="00031D9A"/>
    <w:rsid w:val="00032045"/>
    <w:rsid w:val="00032B55"/>
    <w:rsid w:val="00033837"/>
    <w:rsid w:val="00034269"/>
    <w:rsid w:val="0003536E"/>
    <w:rsid w:val="00035437"/>
    <w:rsid w:val="00035827"/>
    <w:rsid w:val="000363C5"/>
    <w:rsid w:val="000379F8"/>
    <w:rsid w:val="00040F83"/>
    <w:rsid w:val="000411F1"/>
    <w:rsid w:val="00042A54"/>
    <w:rsid w:val="00044C79"/>
    <w:rsid w:val="00044FF1"/>
    <w:rsid w:val="00045AAD"/>
    <w:rsid w:val="000500C4"/>
    <w:rsid w:val="00050B4A"/>
    <w:rsid w:val="00051423"/>
    <w:rsid w:val="00052570"/>
    <w:rsid w:val="000529DB"/>
    <w:rsid w:val="000536D7"/>
    <w:rsid w:val="00053AC3"/>
    <w:rsid w:val="00055606"/>
    <w:rsid w:val="000569A6"/>
    <w:rsid w:val="00057E10"/>
    <w:rsid w:val="00061CF8"/>
    <w:rsid w:val="00064511"/>
    <w:rsid w:val="00066115"/>
    <w:rsid w:val="00066ABD"/>
    <w:rsid w:val="000673DA"/>
    <w:rsid w:val="000677E2"/>
    <w:rsid w:val="00067C6C"/>
    <w:rsid w:val="0007247C"/>
    <w:rsid w:val="00072596"/>
    <w:rsid w:val="000739C8"/>
    <w:rsid w:val="00074EEC"/>
    <w:rsid w:val="0007538B"/>
    <w:rsid w:val="000772EB"/>
    <w:rsid w:val="0007730B"/>
    <w:rsid w:val="0008066A"/>
    <w:rsid w:val="00081C61"/>
    <w:rsid w:val="00082B03"/>
    <w:rsid w:val="000839D9"/>
    <w:rsid w:val="00083A82"/>
    <w:rsid w:val="00084B95"/>
    <w:rsid w:val="00084CDE"/>
    <w:rsid w:val="00084F5B"/>
    <w:rsid w:val="00086905"/>
    <w:rsid w:val="00087989"/>
    <w:rsid w:val="00091BEA"/>
    <w:rsid w:val="00092142"/>
    <w:rsid w:val="0009234B"/>
    <w:rsid w:val="0009243A"/>
    <w:rsid w:val="00092C46"/>
    <w:rsid w:val="00094472"/>
    <w:rsid w:val="000944C4"/>
    <w:rsid w:val="00095D93"/>
    <w:rsid w:val="00096230"/>
    <w:rsid w:val="00097503"/>
    <w:rsid w:val="00097627"/>
    <w:rsid w:val="00097E70"/>
    <w:rsid w:val="000A0765"/>
    <w:rsid w:val="000A153A"/>
    <w:rsid w:val="000A1B93"/>
    <w:rsid w:val="000A207B"/>
    <w:rsid w:val="000A24C5"/>
    <w:rsid w:val="000A34A5"/>
    <w:rsid w:val="000A4A68"/>
    <w:rsid w:val="000A672C"/>
    <w:rsid w:val="000A6B49"/>
    <w:rsid w:val="000A71B7"/>
    <w:rsid w:val="000B0177"/>
    <w:rsid w:val="000B053F"/>
    <w:rsid w:val="000B05BC"/>
    <w:rsid w:val="000B092C"/>
    <w:rsid w:val="000B0F93"/>
    <w:rsid w:val="000B115F"/>
    <w:rsid w:val="000B20EA"/>
    <w:rsid w:val="000B222E"/>
    <w:rsid w:val="000B34D3"/>
    <w:rsid w:val="000B3C7A"/>
    <w:rsid w:val="000B4921"/>
    <w:rsid w:val="000B4B87"/>
    <w:rsid w:val="000B4D30"/>
    <w:rsid w:val="000B508C"/>
    <w:rsid w:val="000B5AAF"/>
    <w:rsid w:val="000B623B"/>
    <w:rsid w:val="000B6384"/>
    <w:rsid w:val="000B6CE8"/>
    <w:rsid w:val="000B74D9"/>
    <w:rsid w:val="000B7540"/>
    <w:rsid w:val="000C0178"/>
    <w:rsid w:val="000C0AFF"/>
    <w:rsid w:val="000C1883"/>
    <w:rsid w:val="000C1C4D"/>
    <w:rsid w:val="000C1ED6"/>
    <w:rsid w:val="000C372E"/>
    <w:rsid w:val="000C3972"/>
    <w:rsid w:val="000C4B92"/>
    <w:rsid w:val="000C7B7C"/>
    <w:rsid w:val="000D04FF"/>
    <w:rsid w:val="000D0A26"/>
    <w:rsid w:val="000D0EC2"/>
    <w:rsid w:val="000D22C9"/>
    <w:rsid w:val="000D2C3B"/>
    <w:rsid w:val="000D3080"/>
    <w:rsid w:val="000D4BC4"/>
    <w:rsid w:val="000D4F15"/>
    <w:rsid w:val="000D5250"/>
    <w:rsid w:val="000E0D67"/>
    <w:rsid w:val="000E1946"/>
    <w:rsid w:val="000E1EBF"/>
    <w:rsid w:val="000E29C2"/>
    <w:rsid w:val="000E2CA8"/>
    <w:rsid w:val="000E3560"/>
    <w:rsid w:val="000E774E"/>
    <w:rsid w:val="000F0326"/>
    <w:rsid w:val="000F0F5C"/>
    <w:rsid w:val="000F17F5"/>
    <w:rsid w:val="000F2C55"/>
    <w:rsid w:val="000F3787"/>
    <w:rsid w:val="000F3B79"/>
    <w:rsid w:val="000F3EE0"/>
    <w:rsid w:val="000F400D"/>
    <w:rsid w:val="000F4E12"/>
    <w:rsid w:val="000F63B8"/>
    <w:rsid w:val="000F7E72"/>
    <w:rsid w:val="001014C7"/>
    <w:rsid w:val="001015D6"/>
    <w:rsid w:val="001019CB"/>
    <w:rsid w:val="0010213F"/>
    <w:rsid w:val="0010290C"/>
    <w:rsid w:val="001036AF"/>
    <w:rsid w:val="00104156"/>
    <w:rsid w:val="0010487F"/>
    <w:rsid w:val="001049AB"/>
    <w:rsid w:val="001056FD"/>
    <w:rsid w:val="00106FB1"/>
    <w:rsid w:val="00107C0D"/>
    <w:rsid w:val="00112870"/>
    <w:rsid w:val="00113CD0"/>
    <w:rsid w:val="00114372"/>
    <w:rsid w:val="00115580"/>
    <w:rsid w:val="00115B29"/>
    <w:rsid w:val="00115D76"/>
    <w:rsid w:val="0011721B"/>
    <w:rsid w:val="00120560"/>
    <w:rsid w:val="00120D08"/>
    <w:rsid w:val="00121735"/>
    <w:rsid w:val="00122527"/>
    <w:rsid w:val="001231E1"/>
    <w:rsid w:val="00123289"/>
    <w:rsid w:val="00123E91"/>
    <w:rsid w:val="0012453F"/>
    <w:rsid w:val="001266A3"/>
    <w:rsid w:val="00130647"/>
    <w:rsid w:val="00130FD3"/>
    <w:rsid w:val="00132FB8"/>
    <w:rsid w:val="00133223"/>
    <w:rsid w:val="00133E9E"/>
    <w:rsid w:val="00133FB8"/>
    <w:rsid w:val="001360A5"/>
    <w:rsid w:val="00137079"/>
    <w:rsid w:val="00137157"/>
    <w:rsid w:val="00137A26"/>
    <w:rsid w:val="001407B9"/>
    <w:rsid w:val="00141932"/>
    <w:rsid w:val="001423D8"/>
    <w:rsid w:val="0014253C"/>
    <w:rsid w:val="0014314A"/>
    <w:rsid w:val="001462F7"/>
    <w:rsid w:val="001466FC"/>
    <w:rsid w:val="00146F65"/>
    <w:rsid w:val="00151A98"/>
    <w:rsid w:val="0015251E"/>
    <w:rsid w:val="00154177"/>
    <w:rsid w:val="0015602E"/>
    <w:rsid w:val="0016158E"/>
    <w:rsid w:val="001624D8"/>
    <w:rsid w:val="00162C19"/>
    <w:rsid w:val="0016317D"/>
    <w:rsid w:val="00163527"/>
    <w:rsid w:val="0016627C"/>
    <w:rsid w:val="00166A12"/>
    <w:rsid w:val="00170767"/>
    <w:rsid w:val="0017143B"/>
    <w:rsid w:val="00171CB3"/>
    <w:rsid w:val="00173725"/>
    <w:rsid w:val="00173F22"/>
    <w:rsid w:val="00174350"/>
    <w:rsid w:val="00175210"/>
    <w:rsid w:val="00175ADC"/>
    <w:rsid w:val="00177D5B"/>
    <w:rsid w:val="00180E87"/>
    <w:rsid w:val="00180FDD"/>
    <w:rsid w:val="001820FF"/>
    <w:rsid w:val="00182EBF"/>
    <w:rsid w:val="00183736"/>
    <w:rsid w:val="00183ED1"/>
    <w:rsid w:val="00184256"/>
    <w:rsid w:val="001847E2"/>
    <w:rsid w:val="00184B50"/>
    <w:rsid w:val="00184EBC"/>
    <w:rsid w:val="00184F10"/>
    <w:rsid w:val="00185010"/>
    <w:rsid w:val="00185035"/>
    <w:rsid w:val="00185900"/>
    <w:rsid w:val="00185DF1"/>
    <w:rsid w:val="00187941"/>
    <w:rsid w:val="00187FCC"/>
    <w:rsid w:val="001914F1"/>
    <w:rsid w:val="0019377D"/>
    <w:rsid w:val="00193C29"/>
    <w:rsid w:val="00194AAB"/>
    <w:rsid w:val="00195582"/>
    <w:rsid w:val="001955AC"/>
    <w:rsid w:val="001957AA"/>
    <w:rsid w:val="00196A0F"/>
    <w:rsid w:val="00196D7B"/>
    <w:rsid w:val="0019714F"/>
    <w:rsid w:val="001A031E"/>
    <w:rsid w:val="001A0540"/>
    <w:rsid w:val="001A0893"/>
    <w:rsid w:val="001A1951"/>
    <w:rsid w:val="001A3304"/>
    <w:rsid w:val="001A3A28"/>
    <w:rsid w:val="001A687E"/>
    <w:rsid w:val="001B071E"/>
    <w:rsid w:val="001B196F"/>
    <w:rsid w:val="001B26AB"/>
    <w:rsid w:val="001B4EBB"/>
    <w:rsid w:val="001B54F6"/>
    <w:rsid w:val="001B55EF"/>
    <w:rsid w:val="001B5B69"/>
    <w:rsid w:val="001B5BB0"/>
    <w:rsid w:val="001B6246"/>
    <w:rsid w:val="001B78C4"/>
    <w:rsid w:val="001C1DC2"/>
    <w:rsid w:val="001C20F5"/>
    <w:rsid w:val="001C2CDF"/>
    <w:rsid w:val="001C2D56"/>
    <w:rsid w:val="001C4BCD"/>
    <w:rsid w:val="001C4F12"/>
    <w:rsid w:val="001C4F70"/>
    <w:rsid w:val="001C589B"/>
    <w:rsid w:val="001C6C07"/>
    <w:rsid w:val="001C6D31"/>
    <w:rsid w:val="001C6D75"/>
    <w:rsid w:val="001C7FC2"/>
    <w:rsid w:val="001D0C1C"/>
    <w:rsid w:val="001D10F4"/>
    <w:rsid w:val="001D155B"/>
    <w:rsid w:val="001D172C"/>
    <w:rsid w:val="001D1AF2"/>
    <w:rsid w:val="001D1E11"/>
    <w:rsid w:val="001D40AD"/>
    <w:rsid w:val="001D5070"/>
    <w:rsid w:val="001D5489"/>
    <w:rsid w:val="001D5EFA"/>
    <w:rsid w:val="001D6288"/>
    <w:rsid w:val="001D650E"/>
    <w:rsid w:val="001E0A47"/>
    <w:rsid w:val="001E39B1"/>
    <w:rsid w:val="001E54B4"/>
    <w:rsid w:val="001E6C34"/>
    <w:rsid w:val="001E6D54"/>
    <w:rsid w:val="001E71D9"/>
    <w:rsid w:val="001E72A4"/>
    <w:rsid w:val="001F0B8A"/>
    <w:rsid w:val="001F0E39"/>
    <w:rsid w:val="001F1280"/>
    <w:rsid w:val="001F22F2"/>
    <w:rsid w:val="001F2A38"/>
    <w:rsid w:val="001F4B62"/>
    <w:rsid w:val="001F4F86"/>
    <w:rsid w:val="001F51EC"/>
    <w:rsid w:val="001F7855"/>
    <w:rsid w:val="001F79AA"/>
    <w:rsid w:val="0020002E"/>
    <w:rsid w:val="0020072C"/>
    <w:rsid w:val="00200E8C"/>
    <w:rsid w:val="00201ADD"/>
    <w:rsid w:val="002049EB"/>
    <w:rsid w:val="00204FBE"/>
    <w:rsid w:val="002063B1"/>
    <w:rsid w:val="00207A9E"/>
    <w:rsid w:val="002123F7"/>
    <w:rsid w:val="002142E7"/>
    <w:rsid w:val="002150B3"/>
    <w:rsid w:val="00216ECE"/>
    <w:rsid w:val="002179C9"/>
    <w:rsid w:val="002210E3"/>
    <w:rsid w:val="0022366B"/>
    <w:rsid w:val="00223E78"/>
    <w:rsid w:val="002248DE"/>
    <w:rsid w:val="0022595E"/>
    <w:rsid w:val="00226071"/>
    <w:rsid w:val="00226147"/>
    <w:rsid w:val="00226A74"/>
    <w:rsid w:val="00227A08"/>
    <w:rsid w:val="00227A88"/>
    <w:rsid w:val="00230110"/>
    <w:rsid w:val="002314CC"/>
    <w:rsid w:val="00234093"/>
    <w:rsid w:val="00234875"/>
    <w:rsid w:val="00234A04"/>
    <w:rsid w:val="002351EC"/>
    <w:rsid w:val="00235678"/>
    <w:rsid w:val="00235FA7"/>
    <w:rsid w:val="0023690E"/>
    <w:rsid w:val="00240936"/>
    <w:rsid w:val="00241BEA"/>
    <w:rsid w:val="00243997"/>
    <w:rsid w:val="00243A5C"/>
    <w:rsid w:val="002460DC"/>
    <w:rsid w:val="0024653B"/>
    <w:rsid w:val="00246E0E"/>
    <w:rsid w:val="002474C8"/>
    <w:rsid w:val="00247655"/>
    <w:rsid w:val="00247E04"/>
    <w:rsid w:val="00247E5D"/>
    <w:rsid w:val="00250049"/>
    <w:rsid w:val="002516F3"/>
    <w:rsid w:val="00252047"/>
    <w:rsid w:val="002532D9"/>
    <w:rsid w:val="00255476"/>
    <w:rsid w:val="00256630"/>
    <w:rsid w:val="00257DDA"/>
    <w:rsid w:val="002604DA"/>
    <w:rsid w:val="0026416A"/>
    <w:rsid w:val="002646F0"/>
    <w:rsid w:val="002647C9"/>
    <w:rsid w:val="00264B52"/>
    <w:rsid w:val="00264F82"/>
    <w:rsid w:val="0026595D"/>
    <w:rsid w:val="00265D27"/>
    <w:rsid w:val="002660D0"/>
    <w:rsid w:val="0026624E"/>
    <w:rsid w:val="0026645D"/>
    <w:rsid w:val="00266848"/>
    <w:rsid w:val="00267BC0"/>
    <w:rsid w:val="002712C5"/>
    <w:rsid w:val="00272307"/>
    <w:rsid w:val="002723D3"/>
    <w:rsid w:val="00272415"/>
    <w:rsid w:val="00272582"/>
    <w:rsid w:val="0027362A"/>
    <w:rsid w:val="00273822"/>
    <w:rsid w:val="00274675"/>
    <w:rsid w:val="0027610E"/>
    <w:rsid w:val="00277397"/>
    <w:rsid w:val="002774D2"/>
    <w:rsid w:val="00284B92"/>
    <w:rsid w:val="002856B4"/>
    <w:rsid w:val="0028606A"/>
    <w:rsid w:val="00286857"/>
    <w:rsid w:val="00287045"/>
    <w:rsid w:val="002874F5"/>
    <w:rsid w:val="00287D65"/>
    <w:rsid w:val="0029082E"/>
    <w:rsid w:val="0029094E"/>
    <w:rsid w:val="00290AC3"/>
    <w:rsid w:val="00291D29"/>
    <w:rsid w:val="0029267B"/>
    <w:rsid w:val="00293D92"/>
    <w:rsid w:val="00293FBD"/>
    <w:rsid w:val="00295242"/>
    <w:rsid w:val="00295882"/>
    <w:rsid w:val="002A1127"/>
    <w:rsid w:val="002A1DF1"/>
    <w:rsid w:val="002A2996"/>
    <w:rsid w:val="002A434F"/>
    <w:rsid w:val="002A4421"/>
    <w:rsid w:val="002A4EA0"/>
    <w:rsid w:val="002A5C1F"/>
    <w:rsid w:val="002A66AF"/>
    <w:rsid w:val="002A66E4"/>
    <w:rsid w:val="002A7A91"/>
    <w:rsid w:val="002B353A"/>
    <w:rsid w:val="002B3E39"/>
    <w:rsid w:val="002B4024"/>
    <w:rsid w:val="002B4626"/>
    <w:rsid w:val="002B4797"/>
    <w:rsid w:val="002B6246"/>
    <w:rsid w:val="002C12D1"/>
    <w:rsid w:val="002C1642"/>
    <w:rsid w:val="002C21A8"/>
    <w:rsid w:val="002C479A"/>
    <w:rsid w:val="002C587B"/>
    <w:rsid w:val="002C5F09"/>
    <w:rsid w:val="002C62EE"/>
    <w:rsid w:val="002C7D30"/>
    <w:rsid w:val="002D04E7"/>
    <w:rsid w:val="002D05D0"/>
    <w:rsid w:val="002D13FC"/>
    <w:rsid w:val="002D16FA"/>
    <w:rsid w:val="002D444D"/>
    <w:rsid w:val="002D520F"/>
    <w:rsid w:val="002D61BC"/>
    <w:rsid w:val="002D6EF0"/>
    <w:rsid w:val="002D7C6D"/>
    <w:rsid w:val="002E0F1A"/>
    <w:rsid w:val="002E2169"/>
    <w:rsid w:val="002E3630"/>
    <w:rsid w:val="002E374F"/>
    <w:rsid w:val="002E43C6"/>
    <w:rsid w:val="002E43DC"/>
    <w:rsid w:val="002E67F4"/>
    <w:rsid w:val="002F04FD"/>
    <w:rsid w:val="002F08F0"/>
    <w:rsid w:val="002F208F"/>
    <w:rsid w:val="002F22A5"/>
    <w:rsid w:val="002F25E4"/>
    <w:rsid w:val="002F2EA4"/>
    <w:rsid w:val="002F3C02"/>
    <w:rsid w:val="002F40AF"/>
    <w:rsid w:val="002F56E4"/>
    <w:rsid w:val="002F7051"/>
    <w:rsid w:val="002F78B0"/>
    <w:rsid w:val="00300727"/>
    <w:rsid w:val="00301E69"/>
    <w:rsid w:val="00301FBE"/>
    <w:rsid w:val="003023D2"/>
    <w:rsid w:val="00302D8E"/>
    <w:rsid w:val="00303E96"/>
    <w:rsid w:val="0030434D"/>
    <w:rsid w:val="003044E3"/>
    <w:rsid w:val="00305ED0"/>
    <w:rsid w:val="003062AD"/>
    <w:rsid w:val="00306441"/>
    <w:rsid w:val="00306494"/>
    <w:rsid w:val="00306615"/>
    <w:rsid w:val="00307E7D"/>
    <w:rsid w:val="0031002E"/>
    <w:rsid w:val="003105BA"/>
    <w:rsid w:val="00310D4E"/>
    <w:rsid w:val="00311345"/>
    <w:rsid w:val="00312ACA"/>
    <w:rsid w:val="00312C21"/>
    <w:rsid w:val="003130F7"/>
    <w:rsid w:val="00313B17"/>
    <w:rsid w:val="0031412C"/>
    <w:rsid w:val="0031488C"/>
    <w:rsid w:val="003155FE"/>
    <w:rsid w:val="00316D5F"/>
    <w:rsid w:val="00317597"/>
    <w:rsid w:val="00317959"/>
    <w:rsid w:val="00321C22"/>
    <w:rsid w:val="0032384A"/>
    <w:rsid w:val="00324C64"/>
    <w:rsid w:val="00326364"/>
    <w:rsid w:val="00327A7C"/>
    <w:rsid w:val="00327E86"/>
    <w:rsid w:val="003301AD"/>
    <w:rsid w:val="00330317"/>
    <w:rsid w:val="00331D93"/>
    <w:rsid w:val="00332697"/>
    <w:rsid w:val="00333AAA"/>
    <w:rsid w:val="00334577"/>
    <w:rsid w:val="003348B3"/>
    <w:rsid w:val="00334A14"/>
    <w:rsid w:val="00334FDD"/>
    <w:rsid w:val="003362DC"/>
    <w:rsid w:val="0033670F"/>
    <w:rsid w:val="00337149"/>
    <w:rsid w:val="00337D67"/>
    <w:rsid w:val="003410BE"/>
    <w:rsid w:val="00341A34"/>
    <w:rsid w:val="00342382"/>
    <w:rsid w:val="00342456"/>
    <w:rsid w:val="00343112"/>
    <w:rsid w:val="0034389F"/>
    <w:rsid w:val="0034436A"/>
    <w:rsid w:val="003444E0"/>
    <w:rsid w:val="00344CB7"/>
    <w:rsid w:val="00344F2C"/>
    <w:rsid w:val="003457DB"/>
    <w:rsid w:val="00345CFB"/>
    <w:rsid w:val="00345DB6"/>
    <w:rsid w:val="00346C7D"/>
    <w:rsid w:val="00350363"/>
    <w:rsid w:val="003503FB"/>
    <w:rsid w:val="00350584"/>
    <w:rsid w:val="00351528"/>
    <w:rsid w:val="003519E3"/>
    <w:rsid w:val="00351EB0"/>
    <w:rsid w:val="0035230A"/>
    <w:rsid w:val="00353A1E"/>
    <w:rsid w:val="0035610F"/>
    <w:rsid w:val="00356FC3"/>
    <w:rsid w:val="00360916"/>
    <w:rsid w:val="00360F67"/>
    <w:rsid w:val="0036130F"/>
    <w:rsid w:val="003644D6"/>
    <w:rsid w:val="00366385"/>
    <w:rsid w:val="00366457"/>
    <w:rsid w:val="003673E5"/>
    <w:rsid w:val="003675A5"/>
    <w:rsid w:val="00367629"/>
    <w:rsid w:val="00370140"/>
    <w:rsid w:val="00371F89"/>
    <w:rsid w:val="003720A2"/>
    <w:rsid w:val="003722FF"/>
    <w:rsid w:val="00372CB7"/>
    <w:rsid w:val="00373FEF"/>
    <w:rsid w:val="003763B6"/>
    <w:rsid w:val="003763F9"/>
    <w:rsid w:val="0037678F"/>
    <w:rsid w:val="00381839"/>
    <w:rsid w:val="00382664"/>
    <w:rsid w:val="00382BAF"/>
    <w:rsid w:val="00383BD7"/>
    <w:rsid w:val="003853D8"/>
    <w:rsid w:val="00385B1D"/>
    <w:rsid w:val="00386ACF"/>
    <w:rsid w:val="00387623"/>
    <w:rsid w:val="00387A82"/>
    <w:rsid w:val="003913A0"/>
    <w:rsid w:val="00391C5C"/>
    <w:rsid w:val="00393828"/>
    <w:rsid w:val="003944CA"/>
    <w:rsid w:val="003946EE"/>
    <w:rsid w:val="0039488F"/>
    <w:rsid w:val="003948DF"/>
    <w:rsid w:val="00394ECE"/>
    <w:rsid w:val="00395661"/>
    <w:rsid w:val="00395BE2"/>
    <w:rsid w:val="00395E60"/>
    <w:rsid w:val="003A1C5E"/>
    <w:rsid w:val="003A57DD"/>
    <w:rsid w:val="003A5C25"/>
    <w:rsid w:val="003A6AAC"/>
    <w:rsid w:val="003A6E48"/>
    <w:rsid w:val="003A6F7B"/>
    <w:rsid w:val="003A77E5"/>
    <w:rsid w:val="003B143C"/>
    <w:rsid w:val="003B1938"/>
    <w:rsid w:val="003B1F5D"/>
    <w:rsid w:val="003B2268"/>
    <w:rsid w:val="003B39D0"/>
    <w:rsid w:val="003B4950"/>
    <w:rsid w:val="003B4972"/>
    <w:rsid w:val="003B5734"/>
    <w:rsid w:val="003B5D27"/>
    <w:rsid w:val="003B5DBA"/>
    <w:rsid w:val="003B5FB1"/>
    <w:rsid w:val="003B70B3"/>
    <w:rsid w:val="003C2F63"/>
    <w:rsid w:val="003C4268"/>
    <w:rsid w:val="003C4907"/>
    <w:rsid w:val="003C4FC3"/>
    <w:rsid w:val="003C62B3"/>
    <w:rsid w:val="003D2792"/>
    <w:rsid w:val="003D3662"/>
    <w:rsid w:val="003D3F5A"/>
    <w:rsid w:val="003D4F71"/>
    <w:rsid w:val="003D528C"/>
    <w:rsid w:val="003D65C6"/>
    <w:rsid w:val="003D7292"/>
    <w:rsid w:val="003D7905"/>
    <w:rsid w:val="003D7922"/>
    <w:rsid w:val="003E0F34"/>
    <w:rsid w:val="003E1281"/>
    <w:rsid w:val="003E1FDD"/>
    <w:rsid w:val="003E2304"/>
    <w:rsid w:val="003E2646"/>
    <w:rsid w:val="003E2C82"/>
    <w:rsid w:val="003E50D1"/>
    <w:rsid w:val="003E531E"/>
    <w:rsid w:val="003E5800"/>
    <w:rsid w:val="003E6703"/>
    <w:rsid w:val="003E6AA6"/>
    <w:rsid w:val="003E6BC6"/>
    <w:rsid w:val="003F1080"/>
    <w:rsid w:val="003F1EF9"/>
    <w:rsid w:val="003F22C9"/>
    <w:rsid w:val="003F2741"/>
    <w:rsid w:val="003F2CB2"/>
    <w:rsid w:val="003F3DB5"/>
    <w:rsid w:val="003F4F5A"/>
    <w:rsid w:val="003F709A"/>
    <w:rsid w:val="003F7CAA"/>
    <w:rsid w:val="0040017D"/>
    <w:rsid w:val="00400C55"/>
    <w:rsid w:val="00402904"/>
    <w:rsid w:val="004030B1"/>
    <w:rsid w:val="00403A93"/>
    <w:rsid w:val="00403A97"/>
    <w:rsid w:val="00404AB6"/>
    <w:rsid w:val="00404DD2"/>
    <w:rsid w:val="00406CC9"/>
    <w:rsid w:val="00410431"/>
    <w:rsid w:val="004106FB"/>
    <w:rsid w:val="00411529"/>
    <w:rsid w:val="0041199E"/>
    <w:rsid w:val="00412592"/>
    <w:rsid w:val="00414EAD"/>
    <w:rsid w:val="00416913"/>
    <w:rsid w:val="00417115"/>
    <w:rsid w:val="004174EA"/>
    <w:rsid w:val="00417F96"/>
    <w:rsid w:val="00420BAA"/>
    <w:rsid w:val="00420FE4"/>
    <w:rsid w:val="00421D5B"/>
    <w:rsid w:val="00422456"/>
    <w:rsid w:val="0042306E"/>
    <w:rsid w:val="00423995"/>
    <w:rsid w:val="00423AD4"/>
    <w:rsid w:val="004249F3"/>
    <w:rsid w:val="00425355"/>
    <w:rsid w:val="004260B2"/>
    <w:rsid w:val="00427CA9"/>
    <w:rsid w:val="0043208B"/>
    <w:rsid w:val="004328E9"/>
    <w:rsid w:val="00432CFE"/>
    <w:rsid w:val="004334BD"/>
    <w:rsid w:val="004339DE"/>
    <w:rsid w:val="004349C1"/>
    <w:rsid w:val="004355E8"/>
    <w:rsid w:val="00435777"/>
    <w:rsid w:val="00435EF3"/>
    <w:rsid w:val="004361DE"/>
    <w:rsid w:val="00436E2D"/>
    <w:rsid w:val="00440503"/>
    <w:rsid w:val="00440717"/>
    <w:rsid w:val="00441547"/>
    <w:rsid w:val="00441B9D"/>
    <w:rsid w:val="0044228B"/>
    <w:rsid w:val="00443FD2"/>
    <w:rsid w:val="0044532F"/>
    <w:rsid w:val="0044590E"/>
    <w:rsid w:val="00445DD4"/>
    <w:rsid w:val="00446815"/>
    <w:rsid w:val="00447CC1"/>
    <w:rsid w:val="004502BD"/>
    <w:rsid w:val="0045099C"/>
    <w:rsid w:val="00453AEB"/>
    <w:rsid w:val="004546B5"/>
    <w:rsid w:val="00456462"/>
    <w:rsid w:val="00456E4E"/>
    <w:rsid w:val="00460C92"/>
    <w:rsid w:val="00460D53"/>
    <w:rsid w:val="00460F3F"/>
    <w:rsid w:val="00462425"/>
    <w:rsid w:val="00463CB3"/>
    <w:rsid w:val="004644CC"/>
    <w:rsid w:val="0046493E"/>
    <w:rsid w:val="00464D36"/>
    <w:rsid w:val="0046791C"/>
    <w:rsid w:val="00470DF9"/>
    <w:rsid w:val="004730AE"/>
    <w:rsid w:val="004737CD"/>
    <w:rsid w:val="00474614"/>
    <w:rsid w:val="0047531A"/>
    <w:rsid w:val="00475E49"/>
    <w:rsid w:val="00476D02"/>
    <w:rsid w:val="004853C0"/>
    <w:rsid w:val="004863C6"/>
    <w:rsid w:val="00486D8C"/>
    <w:rsid w:val="00487C73"/>
    <w:rsid w:val="00487E48"/>
    <w:rsid w:val="0049005C"/>
    <w:rsid w:val="00490F53"/>
    <w:rsid w:val="004912F8"/>
    <w:rsid w:val="00491C82"/>
    <w:rsid w:val="004932F0"/>
    <w:rsid w:val="004939DC"/>
    <w:rsid w:val="00495ACD"/>
    <w:rsid w:val="004960D2"/>
    <w:rsid w:val="00496C51"/>
    <w:rsid w:val="00496C7A"/>
    <w:rsid w:val="004A1C28"/>
    <w:rsid w:val="004A1D0E"/>
    <w:rsid w:val="004A2DC8"/>
    <w:rsid w:val="004A6D87"/>
    <w:rsid w:val="004A7C36"/>
    <w:rsid w:val="004B0BD8"/>
    <w:rsid w:val="004B2332"/>
    <w:rsid w:val="004B2B85"/>
    <w:rsid w:val="004B2C31"/>
    <w:rsid w:val="004B2F56"/>
    <w:rsid w:val="004B4EAF"/>
    <w:rsid w:val="004B502F"/>
    <w:rsid w:val="004B5709"/>
    <w:rsid w:val="004B7ED9"/>
    <w:rsid w:val="004C202F"/>
    <w:rsid w:val="004C2B1F"/>
    <w:rsid w:val="004C53AF"/>
    <w:rsid w:val="004C57C8"/>
    <w:rsid w:val="004C5B88"/>
    <w:rsid w:val="004C5CF2"/>
    <w:rsid w:val="004C6120"/>
    <w:rsid w:val="004C62CD"/>
    <w:rsid w:val="004C664A"/>
    <w:rsid w:val="004C6CD2"/>
    <w:rsid w:val="004C7361"/>
    <w:rsid w:val="004C7A2E"/>
    <w:rsid w:val="004C7CC5"/>
    <w:rsid w:val="004D1561"/>
    <w:rsid w:val="004D1E52"/>
    <w:rsid w:val="004D483E"/>
    <w:rsid w:val="004D4D68"/>
    <w:rsid w:val="004D51AA"/>
    <w:rsid w:val="004D5587"/>
    <w:rsid w:val="004D60AB"/>
    <w:rsid w:val="004D77D2"/>
    <w:rsid w:val="004E1753"/>
    <w:rsid w:val="004E1DAB"/>
    <w:rsid w:val="004E2193"/>
    <w:rsid w:val="004E2716"/>
    <w:rsid w:val="004E27F4"/>
    <w:rsid w:val="004E3A40"/>
    <w:rsid w:val="004E3D96"/>
    <w:rsid w:val="004E6899"/>
    <w:rsid w:val="004E6AB2"/>
    <w:rsid w:val="004E70B7"/>
    <w:rsid w:val="004E72E5"/>
    <w:rsid w:val="004E79B4"/>
    <w:rsid w:val="004F16EE"/>
    <w:rsid w:val="004F19EA"/>
    <w:rsid w:val="004F4574"/>
    <w:rsid w:val="004F4B66"/>
    <w:rsid w:val="004F55F7"/>
    <w:rsid w:val="004F5634"/>
    <w:rsid w:val="004F5A01"/>
    <w:rsid w:val="004F5BD0"/>
    <w:rsid w:val="004F6093"/>
    <w:rsid w:val="004F6ADC"/>
    <w:rsid w:val="004F7505"/>
    <w:rsid w:val="004F76AF"/>
    <w:rsid w:val="004F773B"/>
    <w:rsid w:val="005002D0"/>
    <w:rsid w:val="005005DC"/>
    <w:rsid w:val="0050076B"/>
    <w:rsid w:val="005008E3"/>
    <w:rsid w:val="00501343"/>
    <w:rsid w:val="00501751"/>
    <w:rsid w:val="00501793"/>
    <w:rsid w:val="00502128"/>
    <w:rsid w:val="00502F54"/>
    <w:rsid w:val="00503EE1"/>
    <w:rsid w:val="00503F4E"/>
    <w:rsid w:val="00505D5D"/>
    <w:rsid w:val="00506B99"/>
    <w:rsid w:val="00507094"/>
    <w:rsid w:val="00507A81"/>
    <w:rsid w:val="00511202"/>
    <w:rsid w:val="00511216"/>
    <w:rsid w:val="0051165C"/>
    <w:rsid w:val="00512210"/>
    <w:rsid w:val="00512794"/>
    <w:rsid w:val="00513CDB"/>
    <w:rsid w:val="0051478D"/>
    <w:rsid w:val="0051493C"/>
    <w:rsid w:val="0051518C"/>
    <w:rsid w:val="00515300"/>
    <w:rsid w:val="00515AA7"/>
    <w:rsid w:val="00515BB7"/>
    <w:rsid w:val="0051644B"/>
    <w:rsid w:val="005167E7"/>
    <w:rsid w:val="00516A74"/>
    <w:rsid w:val="00520C16"/>
    <w:rsid w:val="0052128D"/>
    <w:rsid w:val="005223AC"/>
    <w:rsid w:val="00522DE4"/>
    <w:rsid w:val="005246BF"/>
    <w:rsid w:val="00524974"/>
    <w:rsid w:val="00524A6F"/>
    <w:rsid w:val="005272C0"/>
    <w:rsid w:val="00527BEC"/>
    <w:rsid w:val="005307F4"/>
    <w:rsid w:val="005315BE"/>
    <w:rsid w:val="00531C6E"/>
    <w:rsid w:val="0053269D"/>
    <w:rsid w:val="00533BA7"/>
    <w:rsid w:val="00537252"/>
    <w:rsid w:val="00537362"/>
    <w:rsid w:val="00537BC0"/>
    <w:rsid w:val="00541F4D"/>
    <w:rsid w:val="0054246C"/>
    <w:rsid w:val="00542982"/>
    <w:rsid w:val="00542AE4"/>
    <w:rsid w:val="00542AED"/>
    <w:rsid w:val="00543BC4"/>
    <w:rsid w:val="0054411E"/>
    <w:rsid w:val="00544B1D"/>
    <w:rsid w:val="00544BC5"/>
    <w:rsid w:val="0054540A"/>
    <w:rsid w:val="00545BA2"/>
    <w:rsid w:val="00545D77"/>
    <w:rsid w:val="00545E3D"/>
    <w:rsid w:val="00545F05"/>
    <w:rsid w:val="00546061"/>
    <w:rsid w:val="00547247"/>
    <w:rsid w:val="005476E0"/>
    <w:rsid w:val="00550F64"/>
    <w:rsid w:val="00551349"/>
    <w:rsid w:val="005514C6"/>
    <w:rsid w:val="005521BE"/>
    <w:rsid w:val="00554C5F"/>
    <w:rsid w:val="00554C78"/>
    <w:rsid w:val="00556618"/>
    <w:rsid w:val="00557781"/>
    <w:rsid w:val="00561322"/>
    <w:rsid w:val="005615DB"/>
    <w:rsid w:val="005634F4"/>
    <w:rsid w:val="00564E98"/>
    <w:rsid w:val="00565AD3"/>
    <w:rsid w:val="00566A3E"/>
    <w:rsid w:val="005678A0"/>
    <w:rsid w:val="00567E4C"/>
    <w:rsid w:val="00570075"/>
    <w:rsid w:val="005703DE"/>
    <w:rsid w:val="005709D5"/>
    <w:rsid w:val="00570D1C"/>
    <w:rsid w:val="005716FF"/>
    <w:rsid w:val="005722C2"/>
    <w:rsid w:val="005724AD"/>
    <w:rsid w:val="0057259C"/>
    <w:rsid w:val="005739C2"/>
    <w:rsid w:val="0057560F"/>
    <w:rsid w:val="00575D5F"/>
    <w:rsid w:val="005819B7"/>
    <w:rsid w:val="0058372C"/>
    <w:rsid w:val="00584C25"/>
    <w:rsid w:val="00585C61"/>
    <w:rsid w:val="00585F51"/>
    <w:rsid w:val="00586FF2"/>
    <w:rsid w:val="00587A90"/>
    <w:rsid w:val="00587EEE"/>
    <w:rsid w:val="00590327"/>
    <w:rsid w:val="0059136B"/>
    <w:rsid w:val="0059322E"/>
    <w:rsid w:val="005934DE"/>
    <w:rsid w:val="005943BF"/>
    <w:rsid w:val="00594F31"/>
    <w:rsid w:val="00594F87"/>
    <w:rsid w:val="005950D3"/>
    <w:rsid w:val="00595FC3"/>
    <w:rsid w:val="00597699"/>
    <w:rsid w:val="005976C7"/>
    <w:rsid w:val="005978A5"/>
    <w:rsid w:val="005A1CAA"/>
    <w:rsid w:val="005A3EA4"/>
    <w:rsid w:val="005A66ED"/>
    <w:rsid w:val="005A6B0B"/>
    <w:rsid w:val="005B0620"/>
    <w:rsid w:val="005B3B32"/>
    <w:rsid w:val="005B3D66"/>
    <w:rsid w:val="005B5753"/>
    <w:rsid w:val="005B5C9F"/>
    <w:rsid w:val="005B79D0"/>
    <w:rsid w:val="005C046C"/>
    <w:rsid w:val="005C0581"/>
    <w:rsid w:val="005C0AD4"/>
    <w:rsid w:val="005C1C3D"/>
    <w:rsid w:val="005C1C96"/>
    <w:rsid w:val="005C2676"/>
    <w:rsid w:val="005C3467"/>
    <w:rsid w:val="005C3779"/>
    <w:rsid w:val="005C39CF"/>
    <w:rsid w:val="005C3A13"/>
    <w:rsid w:val="005C4E7D"/>
    <w:rsid w:val="005C5488"/>
    <w:rsid w:val="005C57B5"/>
    <w:rsid w:val="005C7563"/>
    <w:rsid w:val="005C7A38"/>
    <w:rsid w:val="005D10E4"/>
    <w:rsid w:val="005D19D1"/>
    <w:rsid w:val="005D2D16"/>
    <w:rsid w:val="005D2DF1"/>
    <w:rsid w:val="005D3BCE"/>
    <w:rsid w:val="005D4109"/>
    <w:rsid w:val="005D4C00"/>
    <w:rsid w:val="005D565D"/>
    <w:rsid w:val="005D59A8"/>
    <w:rsid w:val="005E04B2"/>
    <w:rsid w:val="005E09AC"/>
    <w:rsid w:val="005E2388"/>
    <w:rsid w:val="005E44D0"/>
    <w:rsid w:val="005E53B3"/>
    <w:rsid w:val="005E63DD"/>
    <w:rsid w:val="005E7C5A"/>
    <w:rsid w:val="005F0398"/>
    <w:rsid w:val="005F3925"/>
    <w:rsid w:val="005F3DE4"/>
    <w:rsid w:val="005F3F0C"/>
    <w:rsid w:val="005F5FD3"/>
    <w:rsid w:val="005F702C"/>
    <w:rsid w:val="005F77DD"/>
    <w:rsid w:val="00600336"/>
    <w:rsid w:val="00600FED"/>
    <w:rsid w:val="00601673"/>
    <w:rsid w:val="006025D6"/>
    <w:rsid w:val="006030A9"/>
    <w:rsid w:val="006044FC"/>
    <w:rsid w:val="00605270"/>
    <w:rsid w:val="0060580B"/>
    <w:rsid w:val="00605AA3"/>
    <w:rsid w:val="00605D56"/>
    <w:rsid w:val="006067BE"/>
    <w:rsid w:val="006069BA"/>
    <w:rsid w:val="00606DC9"/>
    <w:rsid w:val="00607A35"/>
    <w:rsid w:val="006122D3"/>
    <w:rsid w:val="006126F3"/>
    <w:rsid w:val="00613724"/>
    <w:rsid w:val="006138E0"/>
    <w:rsid w:val="006162DE"/>
    <w:rsid w:val="0061702F"/>
    <w:rsid w:val="0061756A"/>
    <w:rsid w:val="0062100A"/>
    <w:rsid w:val="00622547"/>
    <w:rsid w:val="00622E5F"/>
    <w:rsid w:val="006235BA"/>
    <w:rsid w:val="006241BF"/>
    <w:rsid w:val="0062444B"/>
    <w:rsid w:val="00624B2D"/>
    <w:rsid w:val="00624DF7"/>
    <w:rsid w:val="00624E9A"/>
    <w:rsid w:val="00626F2A"/>
    <w:rsid w:val="006324A5"/>
    <w:rsid w:val="006340CC"/>
    <w:rsid w:val="006348EB"/>
    <w:rsid w:val="006351C2"/>
    <w:rsid w:val="00635B27"/>
    <w:rsid w:val="006364C5"/>
    <w:rsid w:val="00636536"/>
    <w:rsid w:val="00637A23"/>
    <w:rsid w:val="006404E5"/>
    <w:rsid w:val="0064086E"/>
    <w:rsid w:val="00640DD3"/>
    <w:rsid w:val="0064132A"/>
    <w:rsid w:val="006413B8"/>
    <w:rsid w:val="0064295B"/>
    <w:rsid w:val="006432C9"/>
    <w:rsid w:val="00643FC6"/>
    <w:rsid w:val="00644261"/>
    <w:rsid w:val="00644337"/>
    <w:rsid w:val="0064476A"/>
    <w:rsid w:val="006460F6"/>
    <w:rsid w:val="00646C1A"/>
    <w:rsid w:val="00646CD8"/>
    <w:rsid w:val="00647E0C"/>
    <w:rsid w:val="00650464"/>
    <w:rsid w:val="006507A7"/>
    <w:rsid w:val="00651C58"/>
    <w:rsid w:val="00652D4A"/>
    <w:rsid w:val="006533D4"/>
    <w:rsid w:val="006534BF"/>
    <w:rsid w:val="0065582A"/>
    <w:rsid w:val="0065738C"/>
    <w:rsid w:val="00657966"/>
    <w:rsid w:val="0066044C"/>
    <w:rsid w:val="00660EC8"/>
    <w:rsid w:val="006620AB"/>
    <w:rsid w:val="00663027"/>
    <w:rsid w:val="00663053"/>
    <w:rsid w:val="006633A6"/>
    <w:rsid w:val="00664B90"/>
    <w:rsid w:val="0066562E"/>
    <w:rsid w:val="006659DA"/>
    <w:rsid w:val="00665FEB"/>
    <w:rsid w:val="0066655A"/>
    <w:rsid w:val="00666FBA"/>
    <w:rsid w:val="0066714C"/>
    <w:rsid w:val="00667D66"/>
    <w:rsid w:val="00670760"/>
    <w:rsid w:val="00671209"/>
    <w:rsid w:val="00672BCA"/>
    <w:rsid w:val="00673719"/>
    <w:rsid w:val="0068002C"/>
    <w:rsid w:val="00680C02"/>
    <w:rsid w:val="006811F6"/>
    <w:rsid w:val="00681A31"/>
    <w:rsid w:val="00681C62"/>
    <w:rsid w:val="00681E7F"/>
    <w:rsid w:val="00682379"/>
    <w:rsid w:val="00682D35"/>
    <w:rsid w:val="00683148"/>
    <w:rsid w:val="00683487"/>
    <w:rsid w:val="006836D5"/>
    <w:rsid w:val="006852F0"/>
    <w:rsid w:val="00686B20"/>
    <w:rsid w:val="00687455"/>
    <w:rsid w:val="00687E94"/>
    <w:rsid w:val="006906F0"/>
    <w:rsid w:val="00690C8E"/>
    <w:rsid w:val="006917C6"/>
    <w:rsid w:val="00692322"/>
    <w:rsid w:val="006924DE"/>
    <w:rsid w:val="00693D53"/>
    <w:rsid w:val="006940B8"/>
    <w:rsid w:val="0069497D"/>
    <w:rsid w:val="0069585B"/>
    <w:rsid w:val="0069768F"/>
    <w:rsid w:val="006A073A"/>
    <w:rsid w:val="006A0E2C"/>
    <w:rsid w:val="006A624D"/>
    <w:rsid w:val="006A7261"/>
    <w:rsid w:val="006A7DFE"/>
    <w:rsid w:val="006B1062"/>
    <w:rsid w:val="006B3849"/>
    <w:rsid w:val="006B3E19"/>
    <w:rsid w:val="006B480E"/>
    <w:rsid w:val="006B53C5"/>
    <w:rsid w:val="006B60DA"/>
    <w:rsid w:val="006B68D4"/>
    <w:rsid w:val="006B6BBC"/>
    <w:rsid w:val="006B749A"/>
    <w:rsid w:val="006C0FEF"/>
    <w:rsid w:val="006C1352"/>
    <w:rsid w:val="006C142C"/>
    <w:rsid w:val="006C7D31"/>
    <w:rsid w:val="006D0B1C"/>
    <w:rsid w:val="006D15D4"/>
    <w:rsid w:val="006D161A"/>
    <w:rsid w:val="006D219E"/>
    <w:rsid w:val="006D25B5"/>
    <w:rsid w:val="006D381A"/>
    <w:rsid w:val="006D401E"/>
    <w:rsid w:val="006D453E"/>
    <w:rsid w:val="006D4C7C"/>
    <w:rsid w:val="006D5003"/>
    <w:rsid w:val="006D63DA"/>
    <w:rsid w:val="006D6C65"/>
    <w:rsid w:val="006D7693"/>
    <w:rsid w:val="006D7A5C"/>
    <w:rsid w:val="006D7F18"/>
    <w:rsid w:val="006E2975"/>
    <w:rsid w:val="006E3939"/>
    <w:rsid w:val="006E4040"/>
    <w:rsid w:val="006E46BF"/>
    <w:rsid w:val="006E46CE"/>
    <w:rsid w:val="006E49D5"/>
    <w:rsid w:val="006E55C7"/>
    <w:rsid w:val="006E604D"/>
    <w:rsid w:val="006E6508"/>
    <w:rsid w:val="006F05CC"/>
    <w:rsid w:val="006F0AA8"/>
    <w:rsid w:val="006F163D"/>
    <w:rsid w:val="006F2FAA"/>
    <w:rsid w:val="006F4E29"/>
    <w:rsid w:val="006F5740"/>
    <w:rsid w:val="006F5ECC"/>
    <w:rsid w:val="006F69A6"/>
    <w:rsid w:val="007006C7"/>
    <w:rsid w:val="00701057"/>
    <w:rsid w:val="007019BB"/>
    <w:rsid w:val="007023E8"/>
    <w:rsid w:val="00702E71"/>
    <w:rsid w:val="00704E76"/>
    <w:rsid w:val="00705A17"/>
    <w:rsid w:val="00706435"/>
    <w:rsid w:val="007067BC"/>
    <w:rsid w:val="00706CA3"/>
    <w:rsid w:val="00711F3A"/>
    <w:rsid w:val="00712107"/>
    <w:rsid w:val="00712B22"/>
    <w:rsid w:val="00713E81"/>
    <w:rsid w:val="007149CB"/>
    <w:rsid w:val="00714CBA"/>
    <w:rsid w:val="00714DE7"/>
    <w:rsid w:val="00715C1C"/>
    <w:rsid w:val="00716878"/>
    <w:rsid w:val="00716929"/>
    <w:rsid w:val="007176DA"/>
    <w:rsid w:val="00717801"/>
    <w:rsid w:val="00721AE6"/>
    <w:rsid w:val="00721BBC"/>
    <w:rsid w:val="00723EE1"/>
    <w:rsid w:val="0072471F"/>
    <w:rsid w:val="0072476B"/>
    <w:rsid w:val="00724E56"/>
    <w:rsid w:val="00724EAC"/>
    <w:rsid w:val="007264FF"/>
    <w:rsid w:val="00727B5F"/>
    <w:rsid w:val="00731FE7"/>
    <w:rsid w:val="00732EAC"/>
    <w:rsid w:val="007332D1"/>
    <w:rsid w:val="00733422"/>
    <w:rsid w:val="007342E3"/>
    <w:rsid w:val="00736B4C"/>
    <w:rsid w:val="00737A9C"/>
    <w:rsid w:val="00737CA9"/>
    <w:rsid w:val="007412D5"/>
    <w:rsid w:val="00741E58"/>
    <w:rsid w:val="0074210D"/>
    <w:rsid w:val="00742ECE"/>
    <w:rsid w:val="0074338F"/>
    <w:rsid w:val="0074363C"/>
    <w:rsid w:val="00743675"/>
    <w:rsid w:val="00743E07"/>
    <w:rsid w:val="00743E9A"/>
    <w:rsid w:val="0074543E"/>
    <w:rsid w:val="00745535"/>
    <w:rsid w:val="0074664F"/>
    <w:rsid w:val="00747CCA"/>
    <w:rsid w:val="00750C2B"/>
    <w:rsid w:val="00751167"/>
    <w:rsid w:val="00752182"/>
    <w:rsid w:val="00753966"/>
    <w:rsid w:val="00753972"/>
    <w:rsid w:val="0075425D"/>
    <w:rsid w:val="00754A2E"/>
    <w:rsid w:val="007555F6"/>
    <w:rsid w:val="00756609"/>
    <w:rsid w:val="0075672C"/>
    <w:rsid w:val="00757D03"/>
    <w:rsid w:val="00757D27"/>
    <w:rsid w:val="00757D4C"/>
    <w:rsid w:val="00760328"/>
    <w:rsid w:val="00760A12"/>
    <w:rsid w:val="0076186A"/>
    <w:rsid w:val="00762128"/>
    <w:rsid w:val="00762C92"/>
    <w:rsid w:val="00762F49"/>
    <w:rsid w:val="00762F87"/>
    <w:rsid w:val="0076323C"/>
    <w:rsid w:val="00763242"/>
    <w:rsid w:val="00764705"/>
    <w:rsid w:val="007652C3"/>
    <w:rsid w:val="00766B42"/>
    <w:rsid w:val="00772E3A"/>
    <w:rsid w:val="00774F92"/>
    <w:rsid w:val="00776014"/>
    <w:rsid w:val="0077611C"/>
    <w:rsid w:val="00777264"/>
    <w:rsid w:val="00777543"/>
    <w:rsid w:val="00777F64"/>
    <w:rsid w:val="007829BF"/>
    <w:rsid w:val="00782B5C"/>
    <w:rsid w:val="00782BAB"/>
    <w:rsid w:val="0078383F"/>
    <w:rsid w:val="00783F85"/>
    <w:rsid w:val="00784547"/>
    <w:rsid w:val="0078578C"/>
    <w:rsid w:val="007858B4"/>
    <w:rsid w:val="00787443"/>
    <w:rsid w:val="007902C6"/>
    <w:rsid w:val="007908C4"/>
    <w:rsid w:val="00790E3A"/>
    <w:rsid w:val="0079271C"/>
    <w:rsid w:val="00797C14"/>
    <w:rsid w:val="00797F82"/>
    <w:rsid w:val="007A0ADB"/>
    <w:rsid w:val="007A0B4D"/>
    <w:rsid w:val="007A28A3"/>
    <w:rsid w:val="007A2B57"/>
    <w:rsid w:val="007A3C35"/>
    <w:rsid w:val="007A4485"/>
    <w:rsid w:val="007A564A"/>
    <w:rsid w:val="007A5B35"/>
    <w:rsid w:val="007A6117"/>
    <w:rsid w:val="007A7870"/>
    <w:rsid w:val="007B0B0B"/>
    <w:rsid w:val="007B2378"/>
    <w:rsid w:val="007B2B1A"/>
    <w:rsid w:val="007B2C29"/>
    <w:rsid w:val="007B31A3"/>
    <w:rsid w:val="007B31AB"/>
    <w:rsid w:val="007B393F"/>
    <w:rsid w:val="007B5316"/>
    <w:rsid w:val="007B5400"/>
    <w:rsid w:val="007B627E"/>
    <w:rsid w:val="007C0255"/>
    <w:rsid w:val="007C0E2D"/>
    <w:rsid w:val="007C205A"/>
    <w:rsid w:val="007C4196"/>
    <w:rsid w:val="007C4389"/>
    <w:rsid w:val="007C4CEB"/>
    <w:rsid w:val="007C4F0A"/>
    <w:rsid w:val="007C551F"/>
    <w:rsid w:val="007C5F96"/>
    <w:rsid w:val="007C684A"/>
    <w:rsid w:val="007D03D9"/>
    <w:rsid w:val="007D5887"/>
    <w:rsid w:val="007D64D7"/>
    <w:rsid w:val="007E09D7"/>
    <w:rsid w:val="007E2A11"/>
    <w:rsid w:val="007E4056"/>
    <w:rsid w:val="007E4319"/>
    <w:rsid w:val="007E4350"/>
    <w:rsid w:val="007E48BC"/>
    <w:rsid w:val="007E57FE"/>
    <w:rsid w:val="007E5E64"/>
    <w:rsid w:val="007E637F"/>
    <w:rsid w:val="007F0222"/>
    <w:rsid w:val="007F0AFA"/>
    <w:rsid w:val="007F47F5"/>
    <w:rsid w:val="007F4DD8"/>
    <w:rsid w:val="007F68A7"/>
    <w:rsid w:val="0080054F"/>
    <w:rsid w:val="008014F2"/>
    <w:rsid w:val="008038E7"/>
    <w:rsid w:val="0080417A"/>
    <w:rsid w:val="008050B9"/>
    <w:rsid w:val="00805A07"/>
    <w:rsid w:val="00805C2B"/>
    <w:rsid w:val="0080767C"/>
    <w:rsid w:val="00812F11"/>
    <w:rsid w:val="0081363D"/>
    <w:rsid w:val="00814638"/>
    <w:rsid w:val="008147D1"/>
    <w:rsid w:val="00817111"/>
    <w:rsid w:val="0081719C"/>
    <w:rsid w:val="00817A4D"/>
    <w:rsid w:val="00820B7A"/>
    <w:rsid w:val="0082229C"/>
    <w:rsid w:val="00823706"/>
    <w:rsid w:val="008237B4"/>
    <w:rsid w:val="00823BC5"/>
    <w:rsid w:val="0082416E"/>
    <w:rsid w:val="00824248"/>
    <w:rsid w:val="0082441D"/>
    <w:rsid w:val="0082548D"/>
    <w:rsid w:val="008259FF"/>
    <w:rsid w:val="00825B44"/>
    <w:rsid w:val="0082605D"/>
    <w:rsid w:val="0082613A"/>
    <w:rsid w:val="0082631E"/>
    <w:rsid w:val="008279C9"/>
    <w:rsid w:val="008279D0"/>
    <w:rsid w:val="00830DD4"/>
    <w:rsid w:val="008310E9"/>
    <w:rsid w:val="00831FD2"/>
    <w:rsid w:val="00832432"/>
    <w:rsid w:val="00832EE0"/>
    <w:rsid w:val="00833BF8"/>
    <w:rsid w:val="0083490A"/>
    <w:rsid w:val="008368F9"/>
    <w:rsid w:val="00837353"/>
    <w:rsid w:val="00840869"/>
    <w:rsid w:val="00842CA5"/>
    <w:rsid w:val="00842DCD"/>
    <w:rsid w:val="00842E6F"/>
    <w:rsid w:val="00845165"/>
    <w:rsid w:val="008456F0"/>
    <w:rsid w:val="00846F1C"/>
    <w:rsid w:val="00847FF1"/>
    <w:rsid w:val="00850826"/>
    <w:rsid w:val="00850DC3"/>
    <w:rsid w:val="00851105"/>
    <w:rsid w:val="008546DD"/>
    <w:rsid w:val="00854AD6"/>
    <w:rsid w:val="00854AEA"/>
    <w:rsid w:val="00855C22"/>
    <w:rsid w:val="00855DDD"/>
    <w:rsid w:val="00856175"/>
    <w:rsid w:val="00857C8E"/>
    <w:rsid w:val="00860531"/>
    <w:rsid w:val="00861388"/>
    <w:rsid w:val="00863209"/>
    <w:rsid w:val="00863C57"/>
    <w:rsid w:val="008640EF"/>
    <w:rsid w:val="00865008"/>
    <w:rsid w:val="0086507E"/>
    <w:rsid w:val="0086529E"/>
    <w:rsid w:val="008653C0"/>
    <w:rsid w:val="008654C2"/>
    <w:rsid w:val="00866DBE"/>
    <w:rsid w:val="00872594"/>
    <w:rsid w:val="008731CD"/>
    <w:rsid w:val="008755E5"/>
    <w:rsid w:val="008756E5"/>
    <w:rsid w:val="008763AF"/>
    <w:rsid w:val="00881567"/>
    <w:rsid w:val="008815A5"/>
    <w:rsid w:val="008831ED"/>
    <w:rsid w:val="0088346D"/>
    <w:rsid w:val="00884B77"/>
    <w:rsid w:val="0088563A"/>
    <w:rsid w:val="00885B6F"/>
    <w:rsid w:val="00886D09"/>
    <w:rsid w:val="00886EAB"/>
    <w:rsid w:val="00887052"/>
    <w:rsid w:val="00891023"/>
    <w:rsid w:val="00891BE9"/>
    <w:rsid w:val="00893917"/>
    <w:rsid w:val="0089411C"/>
    <w:rsid w:val="00895F0C"/>
    <w:rsid w:val="00896002"/>
    <w:rsid w:val="00896CFC"/>
    <w:rsid w:val="00897240"/>
    <w:rsid w:val="008978B1"/>
    <w:rsid w:val="00897BC0"/>
    <w:rsid w:val="00897D8F"/>
    <w:rsid w:val="008A290D"/>
    <w:rsid w:val="008A2AFA"/>
    <w:rsid w:val="008A2DCD"/>
    <w:rsid w:val="008A3EEE"/>
    <w:rsid w:val="008A430A"/>
    <w:rsid w:val="008A4325"/>
    <w:rsid w:val="008A4E09"/>
    <w:rsid w:val="008A4E58"/>
    <w:rsid w:val="008A515B"/>
    <w:rsid w:val="008A5209"/>
    <w:rsid w:val="008A531C"/>
    <w:rsid w:val="008A5809"/>
    <w:rsid w:val="008A6987"/>
    <w:rsid w:val="008A6FC6"/>
    <w:rsid w:val="008B1B79"/>
    <w:rsid w:val="008B349E"/>
    <w:rsid w:val="008B44EF"/>
    <w:rsid w:val="008B67F9"/>
    <w:rsid w:val="008B6A6F"/>
    <w:rsid w:val="008B6F6B"/>
    <w:rsid w:val="008B70EE"/>
    <w:rsid w:val="008B72C9"/>
    <w:rsid w:val="008B7864"/>
    <w:rsid w:val="008B7BDF"/>
    <w:rsid w:val="008B7D1D"/>
    <w:rsid w:val="008C1F5A"/>
    <w:rsid w:val="008C2720"/>
    <w:rsid w:val="008C285E"/>
    <w:rsid w:val="008C3108"/>
    <w:rsid w:val="008C33A6"/>
    <w:rsid w:val="008C3429"/>
    <w:rsid w:val="008C3B85"/>
    <w:rsid w:val="008C5FBF"/>
    <w:rsid w:val="008C620B"/>
    <w:rsid w:val="008C7124"/>
    <w:rsid w:val="008C75BD"/>
    <w:rsid w:val="008C76C2"/>
    <w:rsid w:val="008D14F8"/>
    <w:rsid w:val="008D3BBC"/>
    <w:rsid w:val="008D3F0D"/>
    <w:rsid w:val="008D4728"/>
    <w:rsid w:val="008D4793"/>
    <w:rsid w:val="008D4E78"/>
    <w:rsid w:val="008D5CC5"/>
    <w:rsid w:val="008D73AB"/>
    <w:rsid w:val="008D7C88"/>
    <w:rsid w:val="008E0025"/>
    <w:rsid w:val="008E1ED5"/>
    <w:rsid w:val="008E28E7"/>
    <w:rsid w:val="008E34FF"/>
    <w:rsid w:val="008E3849"/>
    <w:rsid w:val="008E3990"/>
    <w:rsid w:val="008E460B"/>
    <w:rsid w:val="008E4637"/>
    <w:rsid w:val="008E50DF"/>
    <w:rsid w:val="008F02D3"/>
    <w:rsid w:val="008F29DE"/>
    <w:rsid w:val="008F3296"/>
    <w:rsid w:val="008F39B2"/>
    <w:rsid w:val="008F3A4B"/>
    <w:rsid w:val="008F4014"/>
    <w:rsid w:val="008F47E0"/>
    <w:rsid w:val="008F48FE"/>
    <w:rsid w:val="008F52BD"/>
    <w:rsid w:val="008F63C4"/>
    <w:rsid w:val="008F70F8"/>
    <w:rsid w:val="008F7D5F"/>
    <w:rsid w:val="00900758"/>
    <w:rsid w:val="0090097D"/>
    <w:rsid w:val="00901ECE"/>
    <w:rsid w:val="009024C7"/>
    <w:rsid w:val="00903B75"/>
    <w:rsid w:val="00907097"/>
    <w:rsid w:val="0090713E"/>
    <w:rsid w:val="009072BC"/>
    <w:rsid w:val="00915534"/>
    <w:rsid w:val="00917296"/>
    <w:rsid w:val="00921527"/>
    <w:rsid w:val="009220EB"/>
    <w:rsid w:val="00922131"/>
    <w:rsid w:val="0092348D"/>
    <w:rsid w:val="00924248"/>
    <w:rsid w:val="009263DD"/>
    <w:rsid w:val="00927128"/>
    <w:rsid w:val="009271DF"/>
    <w:rsid w:val="00927412"/>
    <w:rsid w:val="009311D9"/>
    <w:rsid w:val="009327D6"/>
    <w:rsid w:val="00934243"/>
    <w:rsid w:val="0093503D"/>
    <w:rsid w:val="00940741"/>
    <w:rsid w:val="00940C94"/>
    <w:rsid w:val="00940F89"/>
    <w:rsid w:val="009417B0"/>
    <w:rsid w:val="00942249"/>
    <w:rsid w:val="0094338B"/>
    <w:rsid w:val="00944F50"/>
    <w:rsid w:val="00946C5C"/>
    <w:rsid w:val="00946E1F"/>
    <w:rsid w:val="0094786D"/>
    <w:rsid w:val="009478C1"/>
    <w:rsid w:val="0095129E"/>
    <w:rsid w:val="00951943"/>
    <w:rsid w:val="00953728"/>
    <w:rsid w:val="0095475F"/>
    <w:rsid w:val="009548C0"/>
    <w:rsid w:val="0095503C"/>
    <w:rsid w:val="00955D47"/>
    <w:rsid w:val="00956212"/>
    <w:rsid w:val="009567C8"/>
    <w:rsid w:val="00956997"/>
    <w:rsid w:val="0095703B"/>
    <w:rsid w:val="00957DB9"/>
    <w:rsid w:val="00960BB5"/>
    <w:rsid w:val="00962713"/>
    <w:rsid w:val="00962921"/>
    <w:rsid w:val="009634BA"/>
    <w:rsid w:val="00963603"/>
    <w:rsid w:val="00963AA4"/>
    <w:rsid w:val="00963BB1"/>
    <w:rsid w:val="009656B9"/>
    <w:rsid w:val="0096584F"/>
    <w:rsid w:val="009660AE"/>
    <w:rsid w:val="00966267"/>
    <w:rsid w:val="00966BEA"/>
    <w:rsid w:val="00967FBF"/>
    <w:rsid w:val="009701BB"/>
    <w:rsid w:val="0097104F"/>
    <w:rsid w:val="00972854"/>
    <w:rsid w:val="009736C7"/>
    <w:rsid w:val="009737D2"/>
    <w:rsid w:val="00974415"/>
    <w:rsid w:val="00974DE1"/>
    <w:rsid w:val="00980061"/>
    <w:rsid w:val="0098117F"/>
    <w:rsid w:val="0098384B"/>
    <w:rsid w:val="00985BA7"/>
    <w:rsid w:val="0098611B"/>
    <w:rsid w:val="0098702D"/>
    <w:rsid w:val="00987CAC"/>
    <w:rsid w:val="0099081A"/>
    <w:rsid w:val="00990C9F"/>
    <w:rsid w:val="00990FE5"/>
    <w:rsid w:val="00992186"/>
    <w:rsid w:val="00992664"/>
    <w:rsid w:val="00993BF3"/>
    <w:rsid w:val="00994F60"/>
    <w:rsid w:val="00995949"/>
    <w:rsid w:val="00996CA5"/>
    <w:rsid w:val="00996E44"/>
    <w:rsid w:val="00997C3E"/>
    <w:rsid w:val="00997E43"/>
    <w:rsid w:val="009A0F48"/>
    <w:rsid w:val="009A3520"/>
    <w:rsid w:val="009A3974"/>
    <w:rsid w:val="009A3EB4"/>
    <w:rsid w:val="009A4945"/>
    <w:rsid w:val="009A699A"/>
    <w:rsid w:val="009A6CF4"/>
    <w:rsid w:val="009A7526"/>
    <w:rsid w:val="009A79A9"/>
    <w:rsid w:val="009A7DC2"/>
    <w:rsid w:val="009B0CEC"/>
    <w:rsid w:val="009B300F"/>
    <w:rsid w:val="009B357F"/>
    <w:rsid w:val="009B3FDA"/>
    <w:rsid w:val="009B550C"/>
    <w:rsid w:val="009B5FAA"/>
    <w:rsid w:val="009B7656"/>
    <w:rsid w:val="009C0A20"/>
    <w:rsid w:val="009C251F"/>
    <w:rsid w:val="009C2F5F"/>
    <w:rsid w:val="009C57DB"/>
    <w:rsid w:val="009C5B05"/>
    <w:rsid w:val="009C6C30"/>
    <w:rsid w:val="009C6F91"/>
    <w:rsid w:val="009D0E3C"/>
    <w:rsid w:val="009D2125"/>
    <w:rsid w:val="009D36F4"/>
    <w:rsid w:val="009D3FD0"/>
    <w:rsid w:val="009D4FD8"/>
    <w:rsid w:val="009D6680"/>
    <w:rsid w:val="009D7A7A"/>
    <w:rsid w:val="009D7B41"/>
    <w:rsid w:val="009E0C94"/>
    <w:rsid w:val="009E13BF"/>
    <w:rsid w:val="009E3C66"/>
    <w:rsid w:val="009E6076"/>
    <w:rsid w:val="009E74F2"/>
    <w:rsid w:val="009F063C"/>
    <w:rsid w:val="009F0CE1"/>
    <w:rsid w:val="009F2362"/>
    <w:rsid w:val="009F2E0F"/>
    <w:rsid w:val="009F338E"/>
    <w:rsid w:val="009F3739"/>
    <w:rsid w:val="009F398F"/>
    <w:rsid w:val="009F4D00"/>
    <w:rsid w:val="009F52FF"/>
    <w:rsid w:val="009F550D"/>
    <w:rsid w:val="00A00E80"/>
    <w:rsid w:val="00A01C80"/>
    <w:rsid w:val="00A01D2C"/>
    <w:rsid w:val="00A01D4E"/>
    <w:rsid w:val="00A02232"/>
    <w:rsid w:val="00A02521"/>
    <w:rsid w:val="00A029D7"/>
    <w:rsid w:val="00A034F0"/>
    <w:rsid w:val="00A0371A"/>
    <w:rsid w:val="00A0561B"/>
    <w:rsid w:val="00A06F8D"/>
    <w:rsid w:val="00A100AE"/>
    <w:rsid w:val="00A11C44"/>
    <w:rsid w:val="00A12C2F"/>
    <w:rsid w:val="00A13D02"/>
    <w:rsid w:val="00A15304"/>
    <w:rsid w:val="00A15386"/>
    <w:rsid w:val="00A15479"/>
    <w:rsid w:val="00A15D4E"/>
    <w:rsid w:val="00A17A94"/>
    <w:rsid w:val="00A204BC"/>
    <w:rsid w:val="00A20EEE"/>
    <w:rsid w:val="00A21D87"/>
    <w:rsid w:val="00A224B1"/>
    <w:rsid w:val="00A22C91"/>
    <w:rsid w:val="00A23FBA"/>
    <w:rsid w:val="00A240EA"/>
    <w:rsid w:val="00A24D41"/>
    <w:rsid w:val="00A25736"/>
    <w:rsid w:val="00A26B2D"/>
    <w:rsid w:val="00A30484"/>
    <w:rsid w:val="00A319FF"/>
    <w:rsid w:val="00A3261B"/>
    <w:rsid w:val="00A32E3D"/>
    <w:rsid w:val="00A331DB"/>
    <w:rsid w:val="00A343C7"/>
    <w:rsid w:val="00A34614"/>
    <w:rsid w:val="00A3474E"/>
    <w:rsid w:val="00A34CED"/>
    <w:rsid w:val="00A351A2"/>
    <w:rsid w:val="00A36E3C"/>
    <w:rsid w:val="00A36F1E"/>
    <w:rsid w:val="00A37326"/>
    <w:rsid w:val="00A37930"/>
    <w:rsid w:val="00A37F2E"/>
    <w:rsid w:val="00A405D3"/>
    <w:rsid w:val="00A41850"/>
    <w:rsid w:val="00A426AC"/>
    <w:rsid w:val="00A42719"/>
    <w:rsid w:val="00A43E65"/>
    <w:rsid w:val="00A4672D"/>
    <w:rsid w:val="00A473BE"/>
    <w:rsid w:val="00A4779D"/>
    <w:rsid w:val="00A478DE"/>
    <w:rsid w:val="00A50CFA"/>
    <w:rsid w:val="00A51830"/>
    <w:rsid w:val="00A5340A"/>
    <w:rsid w:val="00A540D6"/>
    <w:rsid w:val="00A5472F"/>
    <w:rsid w:val="00A54F8E"/>
    <w:rsid w:val="00A55D47"/>
    <w:rsid w:val="00A55E07"/>
    <w:rsid w:val="00A56E25"/>
    <w:rsid w:val="00A609AD"/>
    <w:rsid w:val="00A62697"/>
    <w:rsid w:val="00A63251"/>
    <w:rsid w:val="00A64E02"/>
    <w:rsid w:val="00A65321"/>
    <w:rsid w:val="00A660A1"/>
    <w:rsid w:val="00A67444"/>
    <w:rsid w:val="00A70751"/>
    <w:rsid w:val="00A719CD"/>
    <w:rsid w:val="00A71B05"/>
    <w:rsid w:val="00A72F63"/>
    <w:rsid w:val="00A735E4"/>
    <w:rsid w:val="00A73A7D"/>
    <w:rsid w:val="00A73CA9"/>
    <w:rsid w:val="00A740BA"/>
    <w:rsid w:val="00A7577B"/>
    <w:rsid w:val="00A757EB"/>
    <w:rsid w:val="00A76E01"/>
    <w:rsid w:val="00A76F7A"/>
    <w:rsid w:val="00A804CB"/>
    <w:rsid w:val="00A807C3"/>
    <w:rsid w:val="00A8160B"/>
    <w:rsid w:val="00A82191"/>
    <w:rsid w:val="00A82E3C"/>
    <w:rsid w:val="00A837EC"/>
    <w:rsid w:val="00A83CBF"/>
    <w:rsid w:val="00A850A7"/>
    <w:rsid w:val="00A856E2"/>
    <w:rsid w:val="00A85817"/>
    <w:rsid w:val="00A85C7F"/>
    <w:rsid w:val="00A87797"/>
    <w:rsid w:val="00A9003D"/>
    <w:rsid w:val="00A901F3"/>
    <w:rsid w:val="00A92F3D"/>
    <w:rsid w:val="00A93498"/>
    <w:rsid w:val="00A954F5"/>
    <w:rsid w:val="00A97B61"/>
    <w:rsid w:val="00A97E69"/>
    <w:rsid w:val="00AA06DD"/>
    <w:rsid w:val="00AA087A"/>
    <w:rsid w:val="00AA19B7"/>
    <w:rsid w:val="00AA314D"/>
    <w:rsid w:val="00AA33E6"/>
    <w:rsid w:val="00AA436F"/>
    <w:rsid w:val="00AA4F3A"/>
    <w:rsid w:val="00AA50C5"/>
    <w:rsid w:val="00AA5EA3"/>
    <w:rsid w:val="00AA62AE"/>
    <w:rsid w:val="00AA6DC9"/>
    <w:rsid w:val="00AA781A"/>
    <w:rsid w:val="00AB097A"/>
    <w:rsid w:val="00AB0FCA"/>
    <w:rsid w:val="00AB16A5"/>
    <w:rsid w:val="00AB1E3C"/>
    <w:rsid w:val="00AB298A"/>
    <w:rsid w:val="00AB33E6"/>
    <w:rsid w:val="00AB3903"/>
    <w:rsid w:val="00AB4798"/>
    <w:rsid w:val="00AB4990"/>
    <w:rsid w:val="00AB5E2F"/>
    <w:rsid w:val="00AB65F6"/>
    <w:rsid w:val="00AB7063"/>
    <w:rsid w:val="00AB776F"/>
    <w:rsid w:val="00AB7B2F"/>
    <w:rsid w:val="00AC0E57"/>
    <w:rsid w:val="00AC20A9"/>
    <w:rsid w:val="00AC31A9"/>
    <w:rsid w:val="00AC339F"/>
    <w:rsid w:val="00AC33B2"/>
    <w:rsid w:val="00AC3532"/>
    <w:rsid w:val="00AC3F31"/>
    <w:rsid w:val="00AC7CE3"/>
    <w:rsid w:val="00AD141B"/>
    <w:rsid w:val="00AD16A7"/>
    <w:rsid w:val="00AD1C37"/>
    <w:rsid w:val="00AD22EF"/>
    <w:rsid w:val="00AD2A72"/>
    <w:rsid w:val="00AD300D"/>
    <w:rsid w:val="00AD4025"/>
    <w:rsid w:val="00AD5AF7"/>
    <w:rsid w:val="00AD5D12"/>
    <w:rsid w:val="00AD5DDA"/>
    <w:rsid w:val="00AE081A"/>
    <w:rsid w:val="00AE1AF0"/>
    <w:rsid w:val="00AE1B55"/>
    <w:rsid w:val="00AE1EAE"/>
    <w:rsid w:val="00AE2295"/>
    <w:rsid w:val="00AE358C"/>
    <w:rsid w:val="00AE4B76"/>
    <w:rsid w:val="00AE4BB7"/>
    <w:rsid w:val="00AE601A"/>
    <w:rsid w:val="00AF13F2"/>
    <w:rsid w:val="00AF1B41"/>
    <w:rsid w:val="00AF1FEC"/>
    <w:rsid w:val="00AF26FD"/>
    <w:rsid w:val="00AF292A"/>
    <w:rsid w:val="00AF2DC0"/>
    <w:rsid w:val="00AF3452"/>
    <w:rsid w:val="00AF36EB"/>
    <w:rsid w:val="00AF5170"/>
    <w:rsid w:val="00AF5FCD"/>
    <w:rsid w:val="00AF6DDB"/>
    <w:rsid w:val="00AF7754"/>
    <w:rsid w:val="00AF7FDC"/>
    <w:rsid w:val="00B0081A"/>
    <w:rsid w:val="00B00C89"/>
    <w:rsid w:val="00B02058"/>
    <w:rsid w:val="00B02463"/>
    <w:rsid w:val="00B03DA2"/>
    <w:rsid w:val="00B05059"/>
    <w:rsid w:val="00B059CC"/>
    <w:rsid w:val="00B066AF"/>
    <w:rsid w:val="00B06B08"/>
    <w:rsid w:val="00B070FA"/>
    <w:rsid w:val="00B116F5"/>
    <w:rsid w:val="00B11EC6"/>
    <w:rsid w:val="00B12EF7"/>
    <w:rsid w:val="00B13A2F"/>
    <w:rsid w:val="00B20EC2"/>
    <w:rsid w:val="00B22CCE"/>
    <w:rsid w:val="00B2312C"/>
    <w:rsid w:val="00B23592"/>
    <w:rsid w:val="00B23D57"/>
    <w:rsid w:val="00B23EB2"/>
    <w:rsid w:val="00B23F39"/>
    <w:rsid w:val="00B25512"/>
    <w:rsid w:val="00B256A6"/>
    <w:rsid w:val="00B2588B"/>
    <w:rsid w:val="00B267A9"/>
    <w:rsid w:val="00B3055D"/>
    <w:rsid w:val="00B30B3D"/>
    <w:rsid w:val="00B31C65"/>
    <w:rsid w:val="00B325AE"/>
    <w:rsid w:val="00B32FF4"/>
    <w:rsid w:val="00B3438D"/>
    <w:rsid w:val="00B34EA0"/>
    <w:rsid w:val="00B35590"/>
    <w:rsid w:val="00B35A45"/>
    <w:rsid w:val="00B35D21"/>
    <w:rsid w:val="00B371BA"/>
    <w:rsid w:val="00B37664"/>
    <w:rsid w:val="00B407AE"/>
    <w:rsid w:val="00B45027"/>
    <w:rsid w:val="00B4753A"/>
    <w:rsid w:val="00B506EE"/>
    <w:rsid w:val="00B515F6"/>
    <w:rsid w:val="00B5203E"/>
    <w:rsid w:val="00B5278A"/>
    <w:rsid w:val="00B52888"/>
    <w:rsid w:val="00B52F4C"/>
    <w:rsid w:val="00B53A4F"/>
    <w:rsid w:val="00B55547"/>
    <w:rsid w:val="00B56799"/>
    <w:rsid w:val="00B57C31"/>
    <w:rsid w:val="00B6182D"/>
    <w:rsid w:val="00B61A39"/>
    <w:rsid w:val="00B632F0"/>
    <w:rsid w:val="00B64FEB"/>
    <w:rsid w:val="00B6502E"/>
    <w:rsid w:val="00B65865"/>
    <w:rsid w:val="00B65C62"/>
    <w:rsid w:val="00B65D67"/>
    <w:rsid w:val="00B6707C"/>
    <w:rsid w:val="00B676A6"/>
    <w:rsid w:val="00B70F34"/>
    <w:rsid w:val="00B716A7"/>
    <w:rsid w:val="00B72026"/>
    <w:rsid w:val="00B72A5A"/>
    <w:rsid w:val="00B73806"/>
    <w:rsid w:val="00B7446F"/>
    <w:rsid w:val="00B74D04"/>
    <w:rsid w:val="00B76715"/>
    <w:rsid w:val="00B7788D"/>
    <w:rsid w:val="00B80B71"/>
    <w:rsid w:val="00B8112C"/>
    <w:rsid w:val="00B814A3"/>
    <w:rsid w:val="00B81A68"/>
    <w:rsid w:val="00B8423B"/>
    <w:rsid w:val="00B84F79"/>
    <w:rsid w:val="00B86655"/>
    <w:rsid w:val="00B90268"/>
    <w:rsid w:val="00B913DB"/>
    <w:rsid w:val="00B91B43"/>
    <w:rsid w:val="00B93BCD"/>
    <w:rsid w:val="00B940A4"/>
    <w:rsid w:val="00B94F46"/>
    <w:rsid w:val="00BA0C67"/>
    <w:rsid w:val="00BA1583"/>
    <w:rsid w:val="00BA2731"/>
    <w:rsid w:val="00BA2E0D"/>
    <w:rsid w:val="00BA2FBD"/>
    <w:rsid w:val="00BA37E0"/>
    <w:rsid w:val="00BA646A"/>
    <w:rsid w:val="00BA7693"/>
    <w:rsid w:val="00BB007B"/>
    <w:rsid w:val="00BB09C9"/>
    <w:rsid w:val="00BB12BF"/>
    <w:rsid w:val="00BB303D"/>
    <w:rsid w:val="00BB339B"/>
    <w:rsid w:val="00BB37A6"/>
    <w:rsid w:val="00BB3802"/>
    <w:rsid w:val="00BB38C8"/>
    <w:rsid w:val="00BB5745"/>
    <w:rsid w:val="00BB5908"/>
    <w:rsid w:val="00BB6380"/>
    <w:rsid w:val="00BC0898"/>
    <w:rsid w:val="00BC1D22"/>
    <w:rsid w:val="00BC1E01"/>
    <w:rsid w:val="00BC304F"/>
    <w:rsid w:val="00BC3D59"/>
    <w:rsid w:val="00BC47B2"/>
    <w:rsid w:val="00BC4D5A"/>
    <w:rsid w:val="00BC54AE"/>
    <w:rsid w:val="00BC5904"/>
    <w:rsid w:val="00BC6782"/>
    <w:rsid w:val="00BC6F72"/>
    <w:rsid w:val="00BC71F5"/>
    <w:rsid w:val="00BC7BF0"/>
    <w:rsid w:val="00BD06C6"/>
    <w:rsid w:val="00BD1821"/>
    <w:rsid w:val="00BD24C3"/>
    <w:rsid w:val="00BD27E3"/>
    <w:rsid w:val="00BD33B0"/>
    <w:rsid w:val="00BD3BA8"/>
    <w:rsid w:val="00BD3BC1"/>
    <w:rsid w:val="00BD44D1"/>
    <w:rsid w:val="00BD4884"/>
    <w:rsid w:val="00BD4B05"/>
    <w:rsid w:val="00BD4EBC"/>
    <w:rsid w:val="00BD511A"/>
    <w:rsid w:val="00BD596B"/>
    <w:rsid w:val="00BD644E"/>
    <w:rsid w:val="00BD67E4"/>
    <w:rsid w:val="00BD6E94"/>
    <w:rsid w:val="00BE086B"/>
    <w:rsid w:val="00BE0AB1"/>
    <w:rsid w:val="00BE0B65"/>
    <w:rsid w:val="00BE1DA5"/>
    <w:rsid w:val="00BE53EC"/>
    <w:rsid w:val="00BE587E"/>
    <w:rsid w:val="00BE6CE5"/>
    <w:rsid w:val="00BE781F"/>
    <w:rsid w:val="00BF3B56"/>
    <w:rsid w:val="00BF4500"/>
    <w:rsid w:val="00BF4A73"/>
    <w:rsid w:val="00BF61EE"/>
    <w:rsid w:val="00BF6E4C"/>
    <w:rsid w:val="00BF7CD9"/>
    <w:rsid w:val="00C0061A"/>
    <w:rsid w:val="00C00621"/>
    <w:rsid w:val="00C00A1E"/>
    <w:rsid w:val="00C01BCD"/>
    <w:rsid w:val="00C02CEE"/>
    <w:rsid w:val="00C030F8"/>
    <w:rsid w:val="00C03164"/>
    <w:rsid w:val="00C045B6"/>
    <w:rsid w:val="00C04A7D"/>
    <w:rsid w:val="00C073CA"/>
    <w:rsid w:val="00C073EF"/>
    <w:rsid w:val="00C07EA1"/>
    <w:rsid w:val="00C1049B"/>
    <w:rsid w:val="00C10709"/>
    <w:rsid w:val="00C10E46"/>
    <w:rsid w:val="00C113AB"/>
    <w:rsid w:val="00C11D10"/>
    <w:rsid w:val="00C123D3"/>
    <w:rsid w:val="00C12EBC"/>
    <w:rsid w:val="00C131AE"/>
    <w:rsid w:val="00C13B3C"/>
    <w:rsid w:val="00C14095"/>
    <w:rsid w:val="00C15097"/>
    <w:rsid w:val="00C17BF3"/>
    <w:rsid w:val="00C17F3C"/>
    <w:rsid w:val="00C21879"/>
    <w:rsid w:val="00C24334"/>
    <w:rsid w:val="00C2464D"/>
    <w:rsid w:val="00C252B7"/>
    <w:rsid w:val="00C26620"/>
    <w:rsid w:val="00C2715D"/>
    <w:rsid w:val="00C27581"/>
    <w:rsid w:val="00C30D78"/>
    <w:rsid w:val="00C31CE0"/>
    <w:rsid w:val="00C31E76"/>
    <w:rsid w:val="00C326FB"/>
    <w:rsid w:val="00C333B7"/>
    <w:rsid w:val="00C33865"/>
    <w:rsid w:val="00C33DD3"/>
    <w:rsid w:val="00C374A3"/>
    <w:rsid w:val="00C37A0C"/>
    <w:rsid w:val="00C37E23"/>
    <w:rsid w:val="00C40653"/>
    <w:rsid w:val="00C41A3A"/>
    <w:rsid w:val="00C41C16"/>
    <w:rsid w:val="00C42062"/>
    <w:rsid w:val="00C42311"/>
    <w:rsid w:val="00C423BC"/>
    <w:rsid w:val="00C42523"/>
    <w:rsid w:val="00C43D3F"/>
    <w:rsid w:val="00C465B8"/>
    <w:rsid w:val="00C46864"/>
    <w:rsid w:val="00C46AF2"/>
    <w:rsid w:val="00C478B3"/>
    <w:rsid w:val="00C479ED"/>
    <w:rsid w:val="00C50468"/>
    <w:rsid w:val="00C50C82"/>
    <w:rsid w:val="00C50C8F"/>
    <w:rsid w:val="00C51CAF"/>
    <w:rsid w:val="00C51F17"/>
    <w:rsid w:val="00C53477"/>
    <w:rsid w:val="00C53973"/>
    <w:rsid w:val="00C53F8A"/>
    <w:rsid w:val="00C54833"/>
    <w:rsid w:val="00C5529D"/>
    <w:rsid w:val="00C559CD"/>
    <w:rsid w:val="00C5645D"/>
    <w:rsid w:val="00C5695A"/>
    <w:rsid w:val="00C60FD6"/>
    <w:rsid w:val="00C617D6"/>
    <w:rsid w:val="00C63511"/>
    <w:rsid w:val="00C6372D"/>
    <w:rsid w:val="00C63ED4"/>
    <w:rsid w:val="00C67A59"/>
    <w:rsid w:val="00C7000E"/>
    <w:rsid w:val="00C706B6"/>
    <w:rsid w:val="00C7151B"/>
    <w:rsid w:val="00C7176E"/>
    <w:rsid w:val="00C71999"/>
    <w:rsid w:val="00C73272"/>
    <w:rsid w:val="00C736E5"/>
    <w:rsid w:val="00C74DAE"/>
    <w:rsid w:val="00C759E0"/>
    <w:rsid w:val="00C7794A"/>
    <w:rsid w:val="00C77D60"/>
    <w:rsid w:val="00C8214E"/>
    <w:rsid w:val="00C8259C"/>
    <w:rsid w:val="00C83714"/>
    <w:rsid w:val="00C83C87"/>
    <w:rsid w:val="00C84C33"/>
    <w:rsid w:val="00C85104"/>
    <w:rsid w:val="00C85280"/>
    <w:rsid w:val="00C86833"/>
    <w:rsid w:val="00C86C4E"/>
    <w:rsid w:val="00C86EA8"/>
    <w:rsid w:val="00C87076"/>
    <w:rsid w:val="00C87508"/>
    <w:rsid w:val="00C90108"/>
    <w:rsid w:val="00C907EE"/>
    <w:rsid w:val="00C90888"/>
    <w:rsid w:val="00C916C2"/>
    <w:rsid w:val="00C938B3"/>
    <w:rsid w:val="00C93FB4"/>
    <w:rsid w:val="00C9477F"/>
    <w:rsid w:val="00C956A2"/>
    <w:rsid w:val="00C97542"/>
    <w:rsid w:val="00C97B00"/>
    <w:rsid w:val="00CA00EF"/>
    <w:rsid w:val="00CA0338"/>
    <w:rsid w:val="00CA25EF"/>
    <w:rsid w:val="00CA2874"/>
    <w:rsid w:val="00CA2E03"/>
    <w:rsid w:val="00CA39B0"/>
    <w:rsid w:val="00CA4CBE"/>
    <w:rsid w:val="00CA59F0"/>
    <w:rsid w:val="00CA5A1C"/>
    <w:rsid w:val="00CA5D82"/>
    <w:rsid w:val="00CA66E1"/>
    <w:rsid w:val="00CA75ED"/>
    <w:rsid w:val="00CA7CF0"/>
    <w:rsid w:val="00CB0212"/>
    <w:rsid w:val="00CB0A01"/>
    <w:rsid w:val="00CB2771"/>
    <w:rsid w:val="00CB293D"/>
    <w:rsid w:val="00CB29F3"/>
    <w:rsid w:val="00CB2A3B"/>
    <w:rsid w:val="00CB30F9"/>
    <w:rsid w:val="00CB462F"/>
    <w:rsid w:val="00CB4E08"/>
    <w:rsid w:val="00CB524B"/>
    <w:rsid w:val="00CB5E48"/>
    <w:rsid w:val="00CB76F2"/>
    <w:rsid w:val="00CC219B"/>
    <w:rsid w:val="00CC3869"/>
    <w:rsid w:val="00CC4C0D"/>
    <w:rsid w:val="00CC4D62"/>
    <w:rsid w:val="00CC533D"/>
    <w:rsid w:val="00CC69A2"/>
    <w:rsid w:val="00CC719C"/>
    <w:rsid w:val="00CD22B9"/>
    <w:rsid w:val="00CD35BB"/>
    <w:rsid w:val="00CD58AE"/>
    <w:rsid w:val="00CD6C8F"/>
    <w:rsid w:val="00CD6E85"/>
    <w:rsid w:val="00CD78DD"/>
    <w:rsid w:val="00CE05A8"/>
    <w:rsid w:val="00CE0922"/>
    <w:rsid w:val="00CE1D76"/>
    <w:rsid w:val="00CE2846"/>
    <w:rsid w:val="00CE3F4C"/>
    <w:rsid w:val="00CE6FE4"/>
    <w:rsid w:val="00CE72D2"/>
    <w:rsid w:val="00CF080A"/>
    <w:rsid w:val="00CF2245"/>
    <w:rsid w:val="00CF2559"/>
    <w:rsid w:val="00CF2571"/>
    <w:rsid w:val="00CF3E65"/>
    <w:rsid w:val="00CF4147"/>
    <w:rsid w:val="00CF4370"/>
    <w:rsid w:val="00CF5034"/>
    <w:rsid w:val="00CF58E4"/>
    <w:rsid w:val="00CF5A3D"/>
    <w:rsid w:val="00CF6811"/>
    <w:rsid w:val="00CF6E6C"/>
    <w:rsid w:val="00CF6EC0"/>
    <w:rsid w:val="00CF6F82"/>
    <w:rsid w:val="00CF6F94"/>
    <w:rsid w:val="00CF742B"/>
    <w:rsid w:val="00CF75E7"/>
    <w:rsid w:val="00CF76C9"/>
    <w:rsid w:val="00CF7BB6"/>
    <w:rsid w:val="00D00A4C"/>
    <w:rsid w:val="00D05321"/>
    <w:rsid w:val="00D0558E"/>
    <w:rsid w:val="00D06C11"/>
    <w:rsid w:val="00D10025"/>
    <w:rsid w:val="00D10904"/>
    <w:rsid w:val="00D11869"/>
    <w:rsid w:val="00D120C1"/>
    <w:rsid w:val="00D12134"/>
    <w:rsid w:val="00D12295"/>
    <w:rsid w:val="00D133AB"/>
    <w:rsid w:val="00D151AF"/>
    <w:rsid w:val="00D15722"/>
    <w:rsid w:val="00D16622"/>
    <w:rsid w:val="00D1789F"/>
    <w:rsid w:val="00D21953"/>
    <w:rsid w:val="00D22303"/>
    <w:rsid w:val="00D231DE"/>
    <w:rsid w:val="00D2404E"/>
    <w:rsid w:val="00D24207"/>
    <w:rsid w:val="00D24216"/>
    <w:rsid w:val="00D24797"/>
    <w:rsid w:val="00D26BE1"/>
    <w:rsid w:val="00D27078"/>
    <w:rsid w:val="00D27E82"/>
    <w:rsid w:val="00D30038"/>
    <w:rsid w:val="00D309DC"/>
    <w:rsid w:val="00D30AA5"/>
    <w:rsid w:val="00D30DA5"/>
    <w:rsid w:val="00D30E45"/>
    <w:rsid w:val="00D3275E"/>
    <w:rsid w:val="00D3374F"/>
    <w:rsid w:val="00D33A04"/>
    <w:rsid w:val="00D35C67"/>
    <w:rsid w:val="00D3679B"/>
    <w:rsid w:val="00D40FE3"/>
    <w:rsid w:val="00D412EF"/>
    <w:rsid w:val="00D41ADE"/>
    <w:rsid w:val="00D41C45"/>
    <w:rsid w:val="00D42EF1"/>
    <w:rsid w:val="00D433EC"/>
    <w:rsid w:val="00D46B4C"/>
    <w:rsid w:val="00D47AA9"/>
    <w:rsid w:val="00D5063B"/>
    <w:rsid w:val="00D51293"/>
    <w:rsid w:val="00D51682"/>
    <w:rsid w:val="00D516EB"/>
    <w:rsid w:val="00D51A2D"/>
    <w:rsid w:val="00D51CF6"/>
    <w:rsid w:val="00D5221D"/>
    <w:rsid w:val="00D53906"/>
    <w:rsid w:val="00D53D4E"/>
    <w:rsid w:val="00D54181"/>
    <w:rsid w:val="00D54DD8"/>
    <w:rsid w:val="00D571DE"/>
    <w:rsid w:val="00D57443"/>
    <w:rsid w:val="00D60B5E"/>
    <w:rsid w:val="00D610C4"/>
    <w:rsid w:val="00D613D3"/>
    <w:rsid w:val="00D619B9"/>
    <w:rsid w:val="00D61DCD"/>
    <w:rsid w:val="00D629C6"/>
    <w:rsid w:val="00D62EC0"/>
    <w:rsid w:val="00D631AE"/>
    <w:rsid w:val="00D63B42"/>
    <w:rsid w:val="00D64607"/>
    <w:rsid w:val="00D648DE"/>
    <w:rsid w:val="00D67727"/>
    <w:rsid w:val="00D67E3B"/>
    <w:rsid w:val="00D71A97"/>
    <w:rsid w:val="00D7227E"/>
    <w:rsid w:val="00D72C0C"/>
    <w:rsid w:val="00D73518"/>
    <w:rsid w:val="00D735D6"/>
    <w:rsid w:val="00D73FE1"/>
    <w:rsid w:val="00D74133"/>
    <w:rsid w:val="00D752A6"/>
    <w:rsid w:val="00D76E87"/>
    <w:rsid w:val="00D8018A"/>
    <w:rsid w:val="00D80341"/>
    <w:rsid w:val="00D81648"/>
    <w:rsid w:val="00D81A4C"/>
    <w:rsid w:val="00D82275"/>
    <w:rsid w:val="00D82F32"/>
    <w:rsid w:val="00D83E00"/>
    <w:rsid w:val="00D845C0"/>
    <w:rsid w:val="00D854D2"/>
    <w:rsid w:val="00D86C64"/>
    <w:rsid w:val="00D878FE"/>
    <w:rsid w:val="00D8794F"/>
    <w:rsid w:val="00D90059"/>
    <w:rsid w:val="00D92E06"/>
    <w:rsid w:val="00D937DF"/>
    <w:rsid w:val="00D93A69"/>
    <w:rsid w:val="00D94B90"/>
    <w:rsid w:val="00D961C9"/>
    <w:rsid w:val="00D962D4"/>
    <w:rsid w:val="00DA17DB"/>
    <w:rsid w:val="00DA233F"/>
    <w:rsid w:val="00DA24E8"/>
    <w:rsid w:val="00DA35E7"/>
    <w:rsid w:val="00DA393A"/>
    <w:rsid w:val="00DA4127"/>
    <w:rsid w:val="00DA4934"/>
    <w:rsid w:val="00DA49CF"/>
    <w:rsid w:val="00DA5C58"/>
    <w:rsid w:val="00DA7141"/>
    <w:rsid w:val="00DA7A66"/>
    <w:rsid w:val="00DB1BA7"/>
    <w:rsid w:val="00DB3534"/>
    <w:rsid w:val="00DB5141"/>
    <w:rsid w:val="00DB53D9"/>
    <w:rsid w:val="00DB5E3D"/>
    <w:rsid w:val="00DB7049"/>
    <w:rsid w:val="00DB77BF"/>
    <w:rsid w:val="00DC254F"/>
    <w:rsid w:val="00DC52F1"/>
    <w:rsid w:val="00DC711C"/>
    <w:rsid w:val="00DC7131"/>
    <w:rsid w:val="00DC71B1"/>
    <w:rsid w:val="00DC77FA"/>
    <w:rsid w:val="00DD03FB"/>
    <w:rsid w:val="00DD0ACC"/>
    <w:rsid w:val="00DD1177"/>
    <w:rsid w:val="00DD4152"/>
    <w:rsid w:val="00DD5588"/>
    <w:rsid w:val="00DD5999"/>
    <w:rsid w:val="00DD73AE"/>
    <w:rsid w:val="00DE01F5"/>
    <w:rsid w:val="00DE431F"/>
    <w:rsid w:val="00DE479B"/>
    <w:rsid w:val="00DE4BAF"/>
    <w:rsid w:val="00DE4DB6"/>
    <w:rsid w:val="00DE5BB8"/>
    <w:rsid w:val="00DE6027"/>
    <w:rsid w:val="00DE6736"/>
    <w:rsid w:val="00DF0399"/>
    <w:rsid w:val="00DF277B"/>
    <w:rsid w:val="00DF3E51"/>
    <w:rsid w:val="00DF4F26"/>
    <w:rsid w:val="00DF5485"/>
    <w:rsid w:val="00DF58E5"/>
    <w:rsid w:val="00DF673E"/>
    <w:rsid w:val="00DF7092"/>
    <w:rsid w:val="00DF78B3"/>
    <w:rsid w:val="00E009DC"/>
    <w:rsid w:val="00E00E08"/>
    <w:rsid w:val="00E0571A"/>
    <w:rsid w:val="00E06908"/>
    <w:rsid w:val="00E06F31"/>
    <w:rsid w:val="00E107F2"/>
    <w:rsid w:val="00E12526"/>
    <w:rsid w:val="00E1280C"/>
    <w:rsid w:val="00E129A0"/>
    <w:rsid w:val="00E12DFF"/>
    <w:rsid w:val="00E13093"/>
    <w:rsid w:val="00E13CE8"/>
    <w:rsid w:val="00E15187"/>
    <w:rsid w:val="00E15E32"/>
    <w:rsid w:val="00E1644E"/>
    <w:rsid w:val="00E16EEB"/>
    <w:rsid w:val="00E175CE"/>
    <w:rsid w:val="00E21175"/>
    <w:rsid w:val="00E21615"/>
    <w:rsid w:val="00E21FFA"/>
    <w:rsid w:val="00E2254F"/>
    <w:rsid w:val="00E22C52"/>
    <w:rsid w:val="00E2323C"/>
    <w:rsid w:val="00E2335E"/>
    <w:rsid w:val="00E23A31"/>
    <w:rsid w:val="00E23F73"/>
    <w:rsid w:val="00E23F96"/>
    <w:rsid w:val="00E25D58"/>
    <w:rsid w:val="00E26100"/>
    <w:rsid w:val="00E279A8"/>
    <w:rsid w:val="00E30182"/>
    <w:rsid w:val="00E30245"/>
    <w:rsid w:val="00E312FF"/>
    <w:rsid w:val="00E31668"/>
    <w:rsid w:val="00E31D3F"/>
    <w:rsid w:val="00E31E5C"/>
    <w:rsid w:val="00E32199"/>
    <w:rsid w:val="00E32379"/>
    <w:rsid w:val="00E33478"/>
    <w:rsid w:val="00E346BC"/>
    <w:rsid w:val="00E34F0E"/>
    <w:rsid w:val="00E3568B"/>
    <w:rsid w:val="00E365FF"/>
    <w:rsid w:val="00E3682F"/>
    <w:rsid w:val="00E3794B"/>
    <w:rsid w:val="00E4132A"/>
    <w:rsid w:val="00E41EFB"/>
    <w:rsid w:val="00E420FD"/>
    <w:rsid w:val="00E44223"/>
    <w:rsid w:val="00E44730"/>
    <w:rsid w:val="00E45299"/>
    <w:rsid w:val="00E50930"/>
    <w:rsid w:val="00E51B2C"/>
    <w:rsid w:val="00E565DB"/>
    <w:rsid w:val="00E56DCF"/>
    <w:rsid w:val="00E56DFD"/>
    <w:rsid w:val="00E56F2B"/>
    <w:rsid w:val="00E579DD"/>
    <w:rsid w:val="00E602A6"/>
    <w:rsid w:val="00E60586"/>
    <w:rsid w:val="00E61A18"/>
    <w:rsid w:val="00E61C69"/>
    <w:rsid w:val="00E634C4"/>
    <w:rsid w:val="00E63B5C"/>
    <w:rsid w:val="00E63E94"/>
    <w:rsid w:val="00E6412B"/>
    <w:rsid w:val="00E646B0"/>
    <w:rsid w:val="00E64E1F"/>
    <w:rsid w:val="00E667C1"/>
    <w:rsid w:val="00E66C48"/>
    <w:rsid w:val="00E67D13"/>
    <w:rsid w:val="00E70060"/>
    <w:rsid w:val="00E70257"/>
    <w:rsid w:val="00E7041B"/>
    <w:rsid w:val="00E7054D"/>
    <w:rsid w:val="00E71088"/>
    <w:rsid w:val="00E71CF2"/>
    <w:rsid w:val="00E71DDB"/>
    <w:rsid w:val="00E735A7"/>
    <w:rsid w:val="00E74A0B"/>
    <w:rsid w:val="00E74C67"/>
    <w:rsid w:val="00E7513E"/>
    <w:rsid w:val="00E762A0"/>
    <w:rsid w:val="00E7663D"/>
    <w:rsid w:val="00E76FE0"/>
    <w:rsid w:val="00E804D7"/>
    <w:rsid w:val="00E80769"/>
    <w:rsid w:val="00E8079B"/>
    <w:rsid w:val="00E8145C"/>
    <w:rsid w:val="00E81DF3"/>
    <w:rsid w:val="00E82148"/>
    <w:rsid w:val="00E83C73"/>
    <w:rsid w:val="00E83F9B"/>
    <w:rsid w:val="00E86C01"/>
    <w:rsid w:val="00E86C14"/>
    <w:rsid w:val="00E91044"/>
    <w:rsid w:val="00E9163B"/>
    <w:rsid w:val="00E91AA5"/>
    <w:rsid w:val="00E92708"/>
    <w:rsid w:val="00E938DD"/>
    <w:rsid w:val="00E94079"/>
    <w:rsid w:val="00E94393"/>
    <w:rsid w:val="00E94A5C"/>
    <w:rsid w:val="00E94C1F"/>
    <w:rsid w:val="00E95879"/>
    <w:rsid w:val="00E96889"/>
    <w:rsid w:val="00E97012"/>
    <w:rsid w:val="00E972C6"/>
    <w:rsid w:val="00E97862"/>
    <w:rsid w:val="00EA0067"/>
    <w:rsid w:val="00EA10A0"/>
    <w:rsid w:val="00EA1C05"/>
    <w:rsid w:val="00EA1D4C"/>
    <w:rsid w:val="00EA1DC5"/>
    <w:rsid w:val="00EA263B"/>
    <w:rsid w:val="00EA2A4F"/>
    <w:rsid w:val="00EA4012"/>
    <w:rsid w:val="00EA57B2"/>
    <w:rsid w:val="00EA6E5B"/>
    <w:rsid w:val="00EA7985"/>
    <w:rsid w:val="00EB19AA"/>
    <w:rsid w:val="00EB2647"/>
    <w:rsid w:val="00EB30AB"/>
    <w:rsid w:val="00EB30F5"/>
    <w:rsid w:val="00EB3937"/>
    <w:rsid w:val="00EB3E20"/>
    <w:rsid w:val="00EB52EE"/>
    <w:rsid w:val="00EB5412"/>
    <w:rsid w:val="00EB578D"/>
    <w:rsid w:val="00EB670A"/>
    <w:rsid w:val="00EB7331"/>
    <w:rsid w:val="00EC00D2"/>
    <w:rsid w:val="00EC07C8"/>
    <w:rsid w:val="00EC0A93"/>
    <w:rsid w:val="00EC0EFE"/>
    <w:rsid w:val="00EC0FE5"/>
    <w:rsid w:val="00EC1D52"/>
    <w:rsid w:val="00EC24B8"/>
    <w:rsid w:val="00EC2920"/>
    <w:rsid w:val="00EC30E5"/>
    <w:rsid w:val="00EC3F0B"/>
    <w:rsid w:val="00EC6A8E"/>
    <w:rsid w:val="00ED435D"/>
    <w:rsid w:val="00ED488A"/>
    <w:rsid w:val="00ED7026"/>
    <w:rsid w:val="00ED73BE"/>
    <w:rsid w:val="00ED7742"/>
    <w:rsid w:val="00EE1F1F"/>
    <w:rsid w:val="00EE4161"/>
    <w:rsid w:val="00EE6911"/>
    <w:rsid w:val="00EF0559"/>
    <w:rsid w:val="00EF06E8"/>
    <w:rsid w:val="00EF0844"/>
    <w:rsid w:val="00EF11F9"/>
    <w:rsid w:val="00EF1314"/>
    <w:rsid w:val="00EF235C"/>
    <w:rsid w:val="00EF3828"/>
    <w:rsid w:val="00EF3BC8"/>
    <w:rsid w:val="00EF3C63"/>
    <w:rsid w:val="00EF5254"/>
    <w:rsid w:val="00EF535D"/>
    <w:rsid w:val="00EF583C"/>
    <w:rsid w:val="00F00AD1"/>
    <w:rsid w:val="00F0251A"/>
    <w:rsid w:val="00F027F1"/>
    <w:rsid w:val="00F038D9"/>
    <w:rsid w:val="00F0516F"/>
    <w:rsid w:val="00F058D4"/>
    <w:rsid w:val="00F06016"/>
    <w:rsid w:val="00F06901"/>
    <w:rsid w:val="00F074AE"/>
    <w:rsid w:val="00F10A5A"/>
    <w:rsid w:val="00F15904"/>
    <w:rsid w:val="00F15EE3"/>
    <w:rsid w:val="00F1679D"/>
    <w:rsid w:val="00F1780D"/>
    <w:rsid w:val="00F2109C"/>
    <w:rsid w:val="00F214A7"/>
    <w:rsid w:val="00F21719"/>
    <w:rsid w:val="00F22DFD"/>
    <w:rsid w:val="00F24240"/>
    <w:rsid w:val="00F25271"/>
    <w:rsid w:val="00F2574D"/>
    <w:rsid w:val="00F26DFA"/>
    <w:rsid w:val="00F27395"/>
    <w:rsid w:val="00F278CF"/>
    <w:rsid w:val="00F27B56"/>
    <w:rsid w:val="00F30636"/>
    <w:rsid w:val="00F30859"/>
    <w:rsid w:val="00F30F4D"/>
    <w:rsid w:val="00F33677"/>
    <w:rsid w:val="00F352F1"/>
    <w:rsid w:val="00F35E21"/>
    <w:rsid w:val="00F365EF"/>
    <w:rsid w:val="00F368DD"/>
    <w:rsid w:val="00F40323"/>
    <w:rsid w:val="00F4066A"/>
    <w:rsid w:val="00F419BC"/>
    <w:rsid w:val="00F41E6C"/>
    <w:rsid w:val="00F43128"/>
    <w:rsid w:val="00F43324"/>
    <w:rsid w:val="00F44226"/>
    <w:rsid w:val="00F50FA0"/>
    <w:rsid w:val="00F514B9"/>
    <w:rsid w:val="00F52E8F"/>
    <w:rsid w:val="00F53FA3"/>
    <w:rsid w:val="00F553CC"/>
    <w:rsid w:val="00F5611F"/>
    <w:rsid w:val="00F56883"/>
    <w:rsid w:val="00F613F6"/>
    <w:rsid w:val="00F6309C"/>
    <w:rsid w:val="00F632E4"/>
    <w:rsid w:val="00F64D79"/>
    <w:rsid w:val="00F655E6"/>
    <w:rsid w:val="00F65BA7"/>
    <w:rsid w:val="00F67554"/>
    <w:rsid w:val="00F70E77"/>
    <w:rsid w:val="00F70FD1"/>
    <w:rsid w:val="00F71DA1"/>
    <w:rsid w:val="00F728EB"/>
    <w:rsid w:val="00F72CD5"/>
    <w:rsid w:val="00F73744"/>
    <w:rsid w:val="00F740A8"/>
    <w:rsid w:val="00F745CB"/>
    <w:rsid w:val="00F746AA"/>
    <w:rsid w:val="00F752A4"/>
    <w:rsid w:val="00F75502"/>
    <w:rsid w:val="00F75902"/>
    <w:rsid w:val="00F762E6"/>
    <w:rsid w:val="00F76A39"/>
    <w:rsid w:val="00F772FD"/>
    <w:rsid w:val="00F805E8"/>
    <w:rsid w:val="00F80735"/>
    <w:rsid w:val="00F80FFD"/>
    <w:rsid w:val="00F82EB0"/>
    <w:rsid w:val="00F8443C"/>
    <w:rsid w:val="00F85A5A"/>
    <w:rsid w:val="00F85B5E"/>
    <w:rsid w:val="00F86BB1"/>
    <w:rsid w:val="00F86C0A"/>
    <w:rsid w:val="00F8727A"/>
    <w:rsid w:val="00F877DA"/>
    <w:rsid w:val="00F87F3A"/>
    <w:rsid w:val="00F907F7"/>
    <w:rsid w:val="00F927A4"/>
    <w:rsid w:val="00F93439"/>
    <w:rsid w:val="00F9482F"/>
    <w:rsid w:val="00F95946"/>
    <w:rsid w:val="00FA03E2"/>
    <w:rsid w:val="00FA098C"/>
    <w:rsid w:val="00FA1991"/>
    <w:rsid w:val="00FA1B09"/>
    <w:rsid w:val="00FA2D8D"/>
    <w:rsid w:val="00FB1379"/>
    <w:rsid w:val="00FB1809"/>
    <w:rsid w:val="00FB1E0B"/>
    <w:rsid w:val="00FB3A9E"/>
    <w:rsid w:val="00FB4C11"/>
    <w:rsid w:val="00FB4F3E"/>
    <w:rsid w:val="00FB5AB3"/>
    <w:rsid w:val="00FB6302"/>
    <w:rsid w:val="00FC0A25"/>
    <w:rsid w:val="00FC0BB5"/>
    <w:rsid w:val="00FC1EBA"/>
    <w:rsid w:val="00FC3D2C"/>
    <w:rsid w:val="00FC5744"/>
    <w:rsid w:val="00FC5C17"/>
    <w:rsid w:val="00FD0376"/>
    <w:rsid w:val="00FD303B"/>
    <w:rsid w:val="00FD4AEA"/>
    <w:rsid w:val="00FD4B45"/>
    <w:rsid w:val="00FD5512"/>
    <w:rsid w:val="00FD63AB"/>
    <w:rsid w:val="00FD6486"/>
    <w:rsid w:val="00FD6841"/>
    <w:rsid w:val="00FD6F31"/>
    <w:rsid w:val="00FD74AC"/>
    <w:rsid w:val="00FD78F3"/>
    <w:rsid w:val="00FE04B7"/>
    <w:rsid w:val="00FE1E6E"/>
    <w:rsid w:val="00FE2AE4"/>
    <w:rsid w:val="00FE2D33"/>
    <w:rsid w:val="00FE3045"/>
    <w:rsid w:val="00FE38DA"/>
    <w:rsid w:val="00FE4912"/>
    <w:rsid w:val="00FE6349"/>
    <w:rsid w:val="00FE674D"/>
    <w:rsid w:val="00FE6953"/>
    <w:rsid w:val="00FE777F"/>
    <w:rsid w:val="00FF0E07"/>
    <w:rsid w:val="00FF2A4F"/>
    <w:rsid w:val="00FF3E38"/>
    <w:rsid w:val="00FF3E3E"/>
    <w:rsid w:val="00FF592F"/>
    <w:rsid w:val="00FF6EB6"/>
    <w:rsid w:val="00FF78A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9cf"/>
    </o:shapedefaults>
    <o:shapelayout v:ext="edit">
      <o:idmap v:ext="edit" data="1"/>
    </o:shapelayout>
  </w:shapeDefaults>
  <w:decimalSymbol w:val="."/>
  <w:listSeparator w:val=","/>
  <w14:docId w14:val="51F22A4C"/>
  <w15:chartTrackingRefBased/>
  <w15:docId w15:val="{FE1EAA6A-8E22-47DC-8C8A-25072DCFA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841"/>
    <w:rPr>
      <w:sz w:val="24"/>
      <w:szCs w:val="24"/>
    </w:rPr>
  </w:style>
  <w:style w:type="paragraph" w:styleId="Heading1">
    <w:name w:val="heading 1"/>
    <w:basedOn w:val="Normal"/>
    <w:next w:val="Normal"/>
    <w:qFormat/>
    <w:pPr>
      <w:keepNext/>
      <w:numPr>
        <w:numId w:val="7"/>
      </w:numPr>
      <w:tabs>
        <w:tab w:val="clear" w:pos="6314"/>
        <w:tab w:val="num" w:pos="360"/>
      </w:tabs>
      <w:spacing w:before="240" w:after="60"/>
      <w:ind w:left="0"/>
      <w:outlineLvl w:val="0"/>
    </w:pPr>
    <w:rPr>
      <w:rFonts w:ascii="Arial" w:hAnsi="Arial" w:cs="Arial"/>
      <w:b/>
      <w:bCs/>
      <w:kern w:val="32"/>
      <w:sz w:val="32"/>
      <w:szCs w:val="32"/>
    </w:rPr>
  </w:style>
  <w:style w:type="paragraph" w:styleId="Heading2">
    <w:name w:val="heading 2"/>
    <w:basedOn w:val="Normal"/>
    <w:next w:val="Normal"/>
    <w:qFormat/>
    <w:pPr>
      <w:keepNext/>
      <w:numPr>
        <w:ilvl w:val="1"/>
        <w:numId w:val="7"/>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7"/>
      </w:numPr>
      <w:outlineLvl w:val="2"/>
    </w:pPr>
    <w:rPr>
      <w:rFonts w:ascii="Arial" w:hAnsi="Arial" w:cs="Arial"/>
      <w:b/>
      <w:bCs/>
      <w:lang w:val="en-GB" w:eastAsia="en-US"/>
    </w:rPr>
  </w:style>
  <w:style w:type="paragraph" w:styleId="Heading4">
    <w:name w:val="heading 4"/>
    <w:basedOn w:val="Normal"/>
    <w:next w:val="Normal"/>
    <w:qFormat/>
    <w:rsid w:val="001C2D56"/>
    <w:pPr>
      <w:keepNext/>
      <w:numPr>
        <w:ilvl w:val="3"/>
        <w:numId w:val="7"/>
      </w:numPr>
      <w:spacing w:before="240" w:after="60"/>
      <w:outlineLvl w:val="3"/>
    </w:pPr>
    <w:rPr>
      <w:b/>
      <w:bCs/>
      <w:sz w:val="28"/>
      <w:szCs w:val="28"/>
    </w:rPr>
  </w:style>
  <w:style w:type="paragraph" w:styleId="Heading5">
    <w:name w:val="heading 5"/>
    <w:basedOn w:val="Normal"/>
    <w:next w:val="Normal"/>
    <w:qFormat/>
    <w:pPr>
      <w:numPr>
        <w:ilvl w:val="4"/>
        <w:numId w:val="7"/>
      </w:numPr>
      <w:spacing w:before="240" w:after="60"/>
      <w:outlineLvl w:val="4"/>
    </w:pPr>
    <w:rPr>
      <w:b/>
      <w:bCs/>
      <w:i/>
      <w:iCs/>
      <w:sz w:val="26"/>
      <w:szCs w:val="26"/>
    </w:rPr>
  </w:style>
  <w:style w:type="paragraph" w:styleId="Heading6">
    <w:name w:val="heading 6"/>
    <w:basedOn w:val="Normal"/>
    <w:next w:val="Normal"/>
    <w:qFormat/>
    <w:rsid w:val="001C2D56"/>
    <w:pPr>
      <w:numPr>
        <w:ilvl w:val="5"/>
        <w:numId w:val="7"/>
      </w:numPr>
      <w:spacing w:before="240" w:after="60"/>
      <w:outlineLvl w:val="5"/>
    </w:pPr>
    <w:rPr>
      <w:b/>
      <w:bCs/>
      <w:sz w:val="22"/>
      <w:szCs w:val="22"/>
    </w:rPr>
  </w:style>
  <w:style w:type="paragraph" w:styleId="Heading7">
    <w:name w:val="heading 7"/>
    <w:basedOn w:val="Normal"/>
    <w:next w:val="Normal"/>
    <w:qFormat/>
    <w:rsid w:val="001C2D56"/>
    <w:pPr>
      <w:numPr>
        <w:ilvl w:val="6"/>
        <w:numId w:val="7"/>
      </w:numPr>
      <w:spacing w:before="240" w:after="60"/>
      <w:outlineLvl w:val="6"/>
    </w:pPr>
  </w:style>
  <w:style w:type="paragraph" w:styleId="Heading8">
    <w:name w:val="heading 8"/>
    <w:basedOn w:val="Normal"/>
    <w:next w:val="Normal"/>
    <w:qFormat/>
    <w:rsid w:val="001C2D56"/>
    <w:pPr>
      <w:numPr>
        <w:ilvl w:val="7"/>
        <w:numId w:val="7"/>
      </w:numPr>
      <w:spacing w:before="240" w:after="60"/>
      <w:outlineLvl w:val="7"/>
    </w:pPr>
    <w:rPr>
      <w:i/>
      <w:iCs/>
    </w:rPr>
  </w:style>
  <w:style w:type="paragraph" w:styleId="Heading9">
    <w:name w:val="heading 9"/>
    <w:basedOn w:val="Normal"/>
    <w:next w:val="Normal"/>
    <w:qFormat/>
    <w:rsid w:val="001C2D56"/>
    <w:pPr>
      <w:numPr>
        <w:ilvl w:val="8"/>
        <w:numId w:val="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0"/>
    </w:rPr>
  </w:style>
  <w:style w:type="paragraph" w:styleId="Header">
    <w:name w:val="header"/>
    <w:basedOn w:val="Normal"/>
    <w:pPr>
      <w:tabs>
        <w:tab w:val="center" w:pos="4320"/>
        <w:tab w:val="right" w:pos="8640"/>
      </w:tabs>
    </w:pPr>
    <w:rPr>
      <w:rFonts w:ascii="Arial" w:eastAsia="Arial Unicode MS" w:hAnsi="Arial" w:cs="Arial"/>
      <w:sz w:val="18"/>
      <w:szCs w:val="18"/>
      <w:lang w:val="en-GB" w:eastAsia="en-US"/>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ind w:left="720"/>
    </w:pPr>
    <w:rPr>
      <w:rFonts w:ascii="Arial" w:hAnsi="Arial" w:cs="Arial"/>
      <w:lang w:val="en-GB" w:eastAsia="en-US"/>
    </w:rPr>
  </w:style>
  <w:style w:type="paragraph" w:styleId="BodyText">
    <w:name w:val="Body Text"/>
    <w:basedOn w:val="Normal"/>
    <w:pPr>
      <w:spacing w:after="120"/>
    </w:pPr>
  </w:style>
  <w:style w:type="character" w:styleId="Hyperlink">
    <w:name w:val="Hyperlink"/>
    <w:uiPriority w:val="99"/>
    <w:rPr>
      <w:color w:val="0000FF"/>
      <w:u w:val="single"/>
    </w:rPr>
  </w:style>
  <w:style w:type="paragraph" w:styleId="BodyTextIndent2">
    <w:name w:val="Body Text Indent 2"/>
    <w:basedOn w:val="Normal"/>
    <w:pPr>
      <w:spacing w:after="120" w:line="480" w:lineRule="auto"/>
      <w:ind w:left="283"/>
    </w:pPr>
  </w:style>
  <w:style w:type="paragraph" w:customStyle="1" w:styleId="Subbulet">
    <w:name w:val="Subbulet"/>
    <w:basedOn w:val="Normal"/>
    <w:pPr>
      <w:numPr>
        <w:ilvl w:val="1"/>
        <w:numId w:val="1"/>
      </w:numPr>
      <w:overflowPunct w:val="0"/>
      <w:autoSpaceDE w:val="0"/>
      <w:autoSpaceDN w:val="0"/>
      <w:adjustRightInd w:val="0"/>
      <w:jc w:val="both"/>
      <w:textAlignment w:val="baseline"/>
    </w:pPr>
    <w:rPr>
      <w:sz w:val="26"/>
      <w:szCs w:val="26"/>
      <w:lang w:val="en-GB" w:eastAsia="fr-FR"/>
    </w:rPr>
  </w:style>
  <w:style w:type="character" w:customStyle="1" w:styleId="SubbuletChar">
    <w:name w:val="Subbulet Char"/>
    <w:rPr>
      <w:noProof w:val="0"/>
      <w:sz w:val="26"/>
      <w:szCs w:val="26"/>
      <w:lang w:val="en-GB" w:eastAsia="fr-FR" w:bidi="ar-SA"/>
    </w:rPr>
  </w:style>
  <w:style w:type="paragraph" w:customStyle="1" w:styleId="ContinuousSquareBullet">
    <w:name w:val="Continuous Square Bullet"/>
    <w:basedOn w:val="Normal"/>
    <w:pPr>
      <w:numPr>
        <w:numId w:val="2"/>
      </w:numPr>
      <w:spacing w:after="280" w:line="280" w:lineRule="exact"/>
    </w:pPr>
    <w:rPr>
      <w:rFonts w:ascii="Arial" w:hAnsi="Arial"/>
      <w:sz w:val="23"/>
      <w:szCs w:val="20"/>
      <w:lang w:val="en-GB" w:eastAsia="en-US"/>
    </w:rPr>
  </w:style>
  <w:style w:type="paragraph" w:styleId="BodyTextIndent3">
    <w:name w:val="Body Text Indent 3"/>
    <w:basedOn w:val="Normal"/>
    <w:pPr>
      <w:spacing w:after="120"/>
      <w:ind w:left="283"/>
    </w:pPr>
    <w:rPr>
      <w:sz w:val="16"/>
      <w:szCs w:val="16"/>
    </w:rPr>
  </w:style>
  <w:style w:type="paragraph" w:styleId="FootnoteText">
    <w:name w:val="footnote text"/>
    <w:basedOn w:val="Normal"/>
    <w:link w:val="FootnoteTextChar"/>
    <w:uiPriority w:val="99"/>
    <w:rPr>
      <w:szCs w:val="20"/>
      <w:lang w:val="nl-NL" w:eastAsia="nl-NL"/>
    </w:rPr>
  </w:style>
  <w:style w:type="character" w:styleId="FootnoteReference">
    <w:name w:val="footnote reference"/>
    <w:uiPriority w:val="99"/>
    <w:rPr>
      <w:vertAlign w:val="superscript"/>
    </w:rPr>
  </w:style>
  <w:style w:type="paragraph" w:styleId="BodyText3">
    <w:name w:val="Body Text 3"/>
    <w:basedOn w:val="Normal"/>
    <w:pPr>
      <w:spacing w:after="120"/>
    </w:pPr>
    <w:rPr>
      <w:sz w:val="16"/>
      <w:szCs w:val="16"/>
    </w:rPr>
  </w:style>
  <w:style w:type="paragraph" w:styleId="BodyText2">
    <w:name w:val="Body Text 2"/>
    <w:basedOn w:val="Normal"/>
    <w:pPr>
      <w:spacing w:after="120" w:line="480" w:lineRule="auto"/>
    </w:pPr>
  </w:style>
  <w:style w:type="paragraph" w:customStyle="1" w:styleId="Anglais">
    <w:name w:val="Anglais"/>
    <w:basedOn w:val="Normal"/>
    <w:rPr>
      <w:szCs w:val="20"/>
      <w:lang w:val="en-GB" w:eastAsia="en-US"/>
    </w:rPr>
  </w:style>
  <w:style w:type="character" w:styleId="EndnoteReference">
    <w:name w:val="endnote reference"/>
    <w:semiHidden/>
    <w:rPr>
      <w:vertAlign w:val="superscript"/>
    </w:rPr>
  </w:style>
  <w:style w:type="paragraph" w:customStyle="1" w:styleId="BalloonText1">
    <w:name w:val="Balloon Text1"/>
    <w:basedOn w:val="Normal"/>
    <w:semiHidden/>
    <w:rPr>
      <w:rFonts w:ascii="Tahoma" w:hAnsi="Tahoma" w:cs="Tahoma"/>
      <w:sz w:val="16"/>
      <w:szCs w:val="16"/>
    </w:rPr>
  </w:style>
  <w:style w:type="paragraph" w:styleId="BalloonText">
    <w:name w:val="Balloon Text"/>
    <w:basedOn w:val="Normal"/>
    <w:semiHidden/>
    <w:rsid w:val="00CD78DD"/>
    <w:rPr>
      <w:rFonts w:ascii="Tahoma" w:hAnsi="Tahoma" w:cs="Tahoma"/>
      <w:sz w:val="16"/>
      <w:szCs w:val="16"/>
    </w:rPr>
  </w:style>
  <w:style w:type="paragraph" w:customStyle="1" w:styleId="FirmaSchlu">
    <w:name w:val="FirmaSchluß"/>
    <w:basedOn w:val="Normal"/>
    <w:pPr>
      <w:tabs>
        <w:tab w:val="center" w:pos="6237"/>
      </w:tabs>
      <w:autoSpaceDE w:val="0"/>
      <w:autoSpaceDN w:val="0"/>
      <w:adjustRightInd w:val="0"/>
      <w:ind w:left="705"/>
      <w:jc w:val="both"/>
    </w:pPr>
    <w:rPr>
      <w:rFonts w:ascii="Helv" w:hAnsi="Helv"/>
      <w:color w:val="000000"/>
      <w:szCs w:val="20"/>
    </w:rPr>
  </w:style>
  <w:style w:type="paragraph" w:customStyle="1" w:styleId="Noparagraphstyle">
    <w:name w:val="[No paragraph style]"/>
    <w:pPr>
      <w:autoSpaceDE w:val="0"/>
      <w:autoSpaceDN w:val="0"/>
      <w:adjustRightInd w:val="0"/>
      <w:spacing w:line="288" w:lineRule="auto"/>
      <w:textAlignment w:val="center"/>
    </w:pPr>
    <w:rPr>
      <w:color w:val="000000"/>
      <w:sz w:val="24"/>
      <w:szCs w:val="24"/>
      <w:lang w:val="fr-FR" w:eastAsia="fr-FR"/>
    </w:rPr>
  </w:style>
  <w:style w:type="paragraph" w:customStyle="1" w:styleId="Default">
    <w:name w:val="Default"/>
    <w:pPr>
      <w:autoSpaceDE w:val="0"/>
      <w:autoSpaceDN w:val="0"/>
      <w:adjustRightInd w:val="0"/>
    </w:pPr>
    <w:rPr>
      <w:rFonts w:ascii="Arial" w:hAnsi="Arial" w:cs="Arial"/>
      <w:color w:val="000000"/>
      <w:sz w:val="24"/>
      <w:szCs w:val="24"/>
      <w:lang w:val="de-DE" w:eastAsia="de-DE"/>
    </w:rPr>
  </w:style>
  <w:style w:type="paragraph" w:customStyle="1" w:styleId="minutesstyle">
    <w:name w:val="minutes style"/>
    <w:basedOn w:val="Normal"/>
    <w:rPr>
      <w:rFonts w:ascii="Arial" w:hAnsi="Arial"/>
      <w:szCs w:val="20"/>
      <w:lang w:val="en-GB" w:eastAsia="en-US"/>
    </w:rPr>
  </w:style>
  <w:style w:type="character" w:customStyle="1" w:styleId="Heading5Char">
    <w:name w:val="Heading 5 Char"/>
    <w:rPr>
      <w:b/>
      <w:bCs/>
      <w:i/>
      <w:iCs/>
      <w:sz w:val="26"/>
      <w:szCs w:val="26"/>
      <w:lang w:val="de-DE" w:eastAsia="de-DE" w:bidi="ar-SA"/>
    </w:rPr>
  </w:style>
  <w:style w:type="paragraph" w:customStyle="1" w:styleId="Overskrift">
    <w:name w:val="Overskrift"/>
    <w:basedOn w:val="Normal"/>
    <w:next w:val="Normal"/>
    <w:pPr>
      <w:spacing w:after="240"/>
      <w:jc w:val="both"/>
    </w:pPr>
    <w:rPr>
      <w:b/>
      <w:szCs w:val="20"/>
      <w:lang w:val="en-GB"/>
    </w:rPr>
  </w:style>
  <w:style w:type="paragraph" w:customStyle="1" w:styleId="000">
    <w:name w:val="000"/>
    <w:aliases w:val="standaard"/>
    <w:basedOn w:val="Normal"/>
    <w:pPr>
      <w:overflowPunct w:val="0"/>
      <w:autoSpaceDE w:val="0"/>
      <w:autoSpaceDN w:val="0"/>
      <w:adjustRightInd w:val="0"/>
      <w:spacing w:line="280" w:lineRule="atLeast"/>
      <w:jc w:val="both"/>
      <w:textAlignment w:val="baseline"/>
    </w:pPr>
    <w:rPr>
      <w:szCs w:val="20"/>
      <w:lang w:val="en-US" w:eastAsia="en-US"/>
    </w:rPr>
  </w:style>
  <w:style w:type="paragraph" w:styleId="NormalIndent">
    <w:name w:val="Normal Indent"/>
    <w:basedOn w:val="Normal"/>
    <w:pPr>
      <w:spacing w:after="180" w:line="288" w:lineRule="auto"/>
      <w:ind w:left="709"/>
    </w:pPr>
    <w:rPr>
      <w:rFonts w:ascii="Arial" w:hAnsi="Arial"/>
      <w:noProof/>
      <w:sz w:val="20"/>
      <w:szCs w:val="20"/>
      <w:lang w:val="en-GB" w:eastAsia="en-US"/>
    </w:rPr>
  </w:style>
  <w:style w:type="paragraph" w:customStyle="1" w:styleId="NormalBefore3pt">
    <w:name w:val="Normal + Before:  3 pt"/>
    <w:aliases w:val="After:  0 pt"/>
    <w:basedOn w:val="Normal"/>
    <w:pPr>
      <w:autoSpaceDE w:val="0"/>
      <w:autoSpaceDN w:val="0"/>
      <w:adjustRightInd w:val="0"/>
    </w:pPr>
    <w:rPr>
      <w:rFonts w:ascii="Arial" w:hAnsi="Arial"/>
      <w:sz w:val="20"/>
      <w:szCs w:val="20"/>
      <w:lang w:val="en-GB" w:eastAsia="en-US"/>
    </w:rPr>
  </w:style>
  <w:style w:type="paragraph" w:customStyle="1" w:styleId="BodyText-CEA">
    <w:name w:val="Body Text - CEA"/>
    <w:basedOn w:val="Normal"/>
    <w:autoRedefine/>
    <w:rsid w:val="00243997"/>
    <w:pPr>
      <w:jc w:val="both"/>
    </w:pPr>
    <w:rPr>
      <w:rFonts w:ascii="Verdana" w:hAnsi="Verdana"/>
      <w:sz w:val="22"/>
      <w:szCs w:val="22"/>
      <w:lang w:val="en-GB"/>
    </w:rPr>
  </w:style>
  <w:style w:type="paragraph" w:customStyle="1" w:styleId="Heading2-CEA">
    <w:name w:val="Heading 2 - CEA"/>
    <w:basedOn w:val="Normal"/>
    <w:pPr>
      <w:overflowPunct w:val="0"/>
      <w:autoSpaceDE w:val="0"/>
      <w:autoSpaceDN w:val="0"/>
      <w:adjustRightInd w:val="0"/>
      <w:jc w:val="both"/>
      <w:textAlignment w:val="baseline"/>
    </w:pPr>
    <w:rPr>
      <w:rFonts w:ascii="Frutiger LT Com 45 Light" w:hAnsi="Frutiger LT Com 45 Light"/>
      <w:b/>
      <w:lang w:val="en-GB" w:eastAsia="fr-FR"/>
    </w:rPr>
  </w:style>
  <w:style w:type="paragraph" w:customStyle="1" w:styleId="ACbodynormal">
    <w:name w:val="AC body normal"/>
    <w:link w:val="ACbodynormalChar"/>
    <w:rsid w:val="00BB3802"/>
    <w:pPr>
      <w:spacing w:before="100" w:after="100" w:line="200" w:lineRule="atLeast"/>
    </w:pPr>
    <w:rPr>
      <w:sz w:val="21"/>
      <w:lang w:val="en-GB" w:eastAsia="en-US"/>
    </w:rPr>
  </w:style>
  <w:style w:type="character" w:customStyle="1" w:styleId="Heading1-CEACharCharCharCharCharCharCharCharCharCharCharChar">
    <w:name w:val="Heading 1 - CEA Char Char Char Char Char Char Char Char Char Char Char Char"/>
    <w:link w:val="Heading1-CEACharCharCharCharCharCharCharCharCharCharChar"/>
    <w:rsid w:val="00CC4D62"/>
    <w:rPr>
      <w:rFonts w:ascii="Frutiger LT Com 45 Light" w:hAnsi="Frutiger LT Com 45 Light"/>
      <w:b/>
      <w:color w:val="034EA2"/>
      <w:sz w:val="28"/>
      <w:szCs w:val="28"/>
      <w:lang w:val="en-GB" w:eastAsia="fr-FR" w:bidi="ar-SA"/>
    </w:rPr>
  </w:style>
  <w:style w:type="paragraph" w:customStyle="1" w:styleId="Heading1-CEACharCharCharCharCharCharCharCharCharCharChar">
    <w:name w:val="Heading 1 - CEA Char Char Char Char Char Char Char Char Char Char Char"/>
    <w:basedOn w:val="Normal"/>
    <w:link w:val="Heading1-CEACharCharCharCharCharCharCharCharCharCharCharChar"/>
    <w:autoRedefine/>
    <w:rsid w:val="00CC4D62"/>
    <w:pPr>
      <w:overflowPunct w:val="0"/>
      <w:autoSpaceDE w:val="0"/>
      <w:autoSpaceDN w:val="0"/>
      <w:adjustRightInd w:val="0"/>
      <w:jc w:val="both"/>
      <w:textAlignment w:val="baseline"/>
    </w:pPr>
    <w:rPr>
      <w:rFonts w:ascii="Frutiger LT Com 45 Light" w:hAnsi="Frutiger LT Com 45 Light"/>
      <w:b/>
      <w:color w:val="034EA2"/>
      <w:sz w:val="28"/>
      <w:szCs w:val="28"/>
      <w:lang w:val="en-GB" w:eastAsia="fr-FR"/>
    </w:rPr>
  </w:style>
  <w:style w:type="paragraph" w:customStyle="1" w:styleId="List1-CEA">
    <w:name w:val="List 1 -  CEA"/>
    <w:basedOn w:val="Normal"/>
    <w:autoRedefine/>
    <w:rsid w:val="00CC4D62"/>
    <w:pPr>
      <w:autoSpaceDE w:val="0"/>
      <w:autoSpaceDN w:val="0"/>
      <w:adjustRightInd w:val="0"/>
      <w:jc w:val="both"/>
    </w:pPr>
    <w:rPr>
      <w:rFonts w:ascii="Frutiger LT Com 45 Light" w:hAnsi="Frutiger LT Com 45 Light"/>
      <w:sz w:val="20"/>
      <w:szCs w:val="20"/>
      <w:lang w:val="en-GB" w:eastAsia="en-US"/>
    </w:rPr>
  </w:style>
  <w:style w:type="paragraph" w:customStyle="1" w:styleId="Heading1-CEA">
    <w:name w:val="Heading 1 - CEA"/>
    <w:basedOn w:val="Normal"/>
    <w:autoRedefine/>
    <w:rsid w:val="00622E5F"/>
    <w:pPr>
      <w:autoSpaceDE w:val="0"/>
      <w:autoSpaceDN w:val="0"/>
      <w:adjustRightInd w:val="0"/>
    </w:pPr>
    <w:rPr>
      <w:rFonts w:ascii="Frutiger LT Com 45 Light" w:hAnsi="Frutiger LT Com 45 Light"/>
      <w:b/>
      <w:color w:val="034EA2"/>
      <w:sz w:val="28"/>
      <w:szCs w:val="28"/>
      <w:lang w:val="en-GB" w:eastAsia="en-US"/>
    </w:rPr>
  </w:style>
  <w:style w:type="paragraph" w:customStyle="1" w:styleId="Text">
    <w:name w:val="Text"/>
    <w:basedOn w:val="Normal"/>
    <w:rsid w:val="00226071"/>
    <w:pPr>
      <w:tabs>
        <w:tab w:val="left" w:pos="284"/>
      </w:tabs>
      <w:overflowPunct w:val="0"/>
      <w:autoSpaceDE w:val="0"/>
      <w:autoSpaceDN w:val="0"/>
      <w:adjustRightInd w:val="0"/>
      <w:spacing w:after="260"/>
      <w:jc w:val="both"/>
      <w:textAlignment w:val="baseline"/>
    </w:pPr>
    <w:rPr>
      <w:sz w:val="22"/>
      <w:szCs w:val="20"/>
      <w:lang w:val="en-GB" w:eastAsia="en-US"/>
    </w:rPr>
  </w:style>
  <w:style w:type="paragraph" w:customStyle="1" w:styleId="Bullet">
    <w:name w:val="Bullet"/>
    <w:basedOn w:val="Normal"/>
    <w:rsid w:val="00226071"/>
    <w:pPr>
      <w:numPr>
        <w:numId w:val="3"/>
      </w:numPr>
      <w:tabs>
        <w:tab w:val="left" w:pos="284"/>
      </w:tabs>
      <w:overflowPunct w:val="0"/>
      <w:autoSpaceDE w:val="0"/>
      <w:autoSpaceDN w:val="0"/>
      <w:adjustRightInd w:val="0"/>
      <w:spacing w:after="260"/>
      <w:jc w:val="both"/>
      <w:textAlignment w:val="baseline"/>
    </w:pPr>
    <w:rPr>
      <w:sz w:val="22"/>
      <w:szCs w:val="20"/>
      <w:lang w:val="en-GB" w:eastAsia="en-US"/>
    </w:rPr>
  </w:style>
  <w:style w:type="paragraph" w:customStyle="1" w:styleId="a">
    <w:name w:val="(a)"/>
    <w:basedOn w:val="BodyText"/>
    <w:rsid w:val="0030434D"/>
    <w:pPr>
      <w:spacing w:after="240"/>
      <w:ind w:left="720" w:hanging="720"/>
      <w:jc w:val="both"/>
    </w:pPr>
    <w:rPr>
      <w:lang w:val="en-GB" w:eastAsia="en-US"/>
    </w:rPr>
  </w:style>
  <w:style w:type="paragraph" w:customStyle="1" w:styleId="i">
    <w:name w:val="(i)"/>
    <w:basedOn w:val="BodyText"/>
    <w:rsid w:val="0030434D"/>
    <w:pPr>
      <w:tabs>
        <w:tab w:val="right" w:pos="1296"/>
      </w:tabs>
      <w:spacing w:after="240"/>
      <w:ind w:left="1440" w:hanging="1440"/>
      <w:jc w:val="both"/>
    </w:pPr>
    <w:rPr>
      <w:lang w:val="en-GB" w:eastAsia="en-US"/>
    </w:rPr>
  </w:style>
  <w:style w:type="character" w:styleId="CommentReference">
    <w:name w:val="annotation reference"/>
    <w:uiPriority w:val="99"/>
    <w:semiHidden/>
    <w:rsid w:val="0039488F"/>
    <w:rPr>
      <w:sz w:val="16"/>
      <w:szCs w:val="16"/>
    </w:rPr>
  </w:style>
  <w:style w:type="paragraph" w:styleId="CommentText">
    <w:name w:val="annotation text"/>
    <w:basedOn w:val="Normal"/>
    <w:link w:val="CommentTextChar"/>
    <w:uiPriority w:val="99"/>
    <w:semiHidden/>
    <w:rsid w:val="0039488F"/>
    <w:rPr>
      <w:sz w:val="20"/>
      <w:szCs w:val="20"/>
    </w:rPr>
  </w:style>
  <w:style w:type="paragraph" w:styleId="CommentSubject">
    <w:name w:val="annotation subject"/>
    <w:basedOn w:val="CommentText"/>
    <w:next w:val="CommentText"/>
    <w:semiHidden/>
    <w:rsid w:val="0039488F"/>
    <w:rPr>
      <w:b/>
      <w:bCs/>
    </w:rPr>
  </w:style>
  <w:style w:type="paragraph" w:customStyle="1" w:styleId="DocTitle">
    <w:name w:val="DocTitle"/>
    <w:basedOn w:val="Normal"/>
    <w:rsid w:val="00342456"/>
    <w:pPr>
      <w:pBdr>
        <w:top w:val="single" w:sz="4" w:space="1" w:color="auto"/>
        <w:left w:val="single" w:sz="4" w:space="4" w:color="auto"/>
        <w:bottom w:val="single" w:sz="4" w:space="1" w:color="auto"/>
        <w:right w:val="single" w:sz="4" w:space="4" w:color="auto"/>
      </w:pBdr>
      <w:spacing w:after="120"/>
      <w:jc w:val="center"/>
    </w:pPr>
    <w:rPr>
      <w:rFonts w:ascii="Verdana" w:eastAsia="MS Mincho" w:hAnsi="Verdana"/>
      <w:b/>
      <w:sz w:val="48"/>
      <w:szCs w:val="48"/>
      <w:lang w:val="en-GB" w:eastAsia="ja-JP"/>
    </w:rPr>
  </w:style>
  <w:style w:type="paragraph" w:customStyle="1" w:styleId="Paragraph">
    <w:name w:val="Paragraph"/>
    <w:basedOn w:val="Normal"/>
    <w:rsid w:val="00C5529D"/>
    <w:pPr>
      <w:spacing w:after="120"/>
      <w:jc w:val="both"/>
    </w:pPr>
    <w:rPr>
      <w:rFonts w:ascii="Arial" w:eastAsia="Arial Unicode MS" w:hAnsi="Arial"/>
      <w:sz w:val="18"/>
      <w:szCs w:val="18"/>
      <w:lang w:val="en-GB" w:eastAsia="nl-NL"/>
    </w:rPr>
  </w:style>
  <w:style w:type="paragraph" w:customStyle="1" w:styleId="Numberedparagraph">
    <w:name w:val="Numbered paragraph"/>
    <w:rsid w:val="008A5809"/>
    <w:pPr>
      <w:numPr>
        <w:numId w:val="4"/>
      </w:numPr>
      <w:spacing w:after="240" w:line="280" w:lineRule="atLeast"/>
      <w:jc w:val="both"/>
    </w:pPr>
    <w:rPr>
      <w:rFonts w:ascii="Arial" w:hAnsi="Arial"/>
      <w:sz w:val="22"/>
      <w:lang w:val="en-GB" w:eastAsia="en-US"/>
    </w:rPr>
  </w:style>
  <w:style w:type="paragraph" w:customStyle="1" w:styleId="QISIndentCharCharChar">
    <w:name w:val="QISIndent Char Char Char"/>
    <w:basedOn w:val="Normal"/>
    <w:rsid w:val="008C3429"/>
    <w:pPr>
      <w:spacing w:after="240"/>
      <w:ind w:left="1134"/>
      <w:jc w:val="both"/>
    </w:pPr>
    <w:rPr>
      <w:rFonts w:ascii="Verdana" w:eastAsia="MS Mincho" w:hAnsi="Verdana"/>
      <w:sz w:val="22"/>
      <w:szCs w:val="20"/>
      <w:lang w:val="en-GB" w:eastAsia="ja-JP"/>
    </w:rPr>
  </w:style>
  <w:style w:type="paragraph" w:customStyle="1" w:styleId="Texteretrait">
    <w:name w:val="Texte retrait"/>
    <w:basedOn w:val="Normal"/>
    <w:qFormat/>
    <w:rsid w:val="00DB5141"/>
    <w:pPr>
      <w:suppressAutoHyphens/>
      <w:spacing w:before="120" w:after="120"/>
      <w:ind w:left="567"/>
      <w:jc w:val="both"/>
    </w:pPr>
    <w:rPr>
      <w:rFonts w:eastAsia="Calibri"/>
      <w:lang w:val="fr-FR" w:eastAsia="en-US"/>
    </w:rPr>
  </w:style>
  <w:style w:type="paragraph" w:customStyle="1" w:styleId="Alinenummering-standaard">
    <w:name w:val="Alinenummering-standaard"/>
    <w:basedOn w:val="Normal"/>
    <w:rsid w:val="00327A7C"/>
    <w:pPr>
      <w:numPr>
        <w:numId w:val="5"/>
      </w:numPr>
      <w:spacing w:after="200" w:line="276" w:lineRule="auto"/>
    </w:pPr>
    <w:rPr>
      <w:rFonts w:ascii="Frutiger LT Com 45 Light" w:hAnsi="Frutiger LT Com 45 Light" w:cs="Frutiger LT Com 45 Light"/>
      <w:snapToGrid w:val="0"/>
      <w:sz w:val="22"/>
      <w:szCs w:val="22"/>
      <w:lang w:val="en-US" w:eastAsia="en-GB"/>
    </w:rPr>
  </w:style>
  <w:style w:type="character" w:customStyle="1" w:styleId="1">
    <w:name w:val="1"/>
    <w:semiHidden/>
    <w:rsid w:val="00DA5C58"/>
    <w:rPr>
      <w:rFonts w:ascii="Verdana" w:hAnsi="Verdana"/>
      <w:b w:val="0"/>
      <w:bCs w:val="0"/>
      <w:i w:val="0"/>
      <w:iCs w:val="0"/>
      <w:strike w:val="0"/>
      <w:color w:val="auto"/>
      <w:sz w:val="20"/>
      <w:szCs w:val="20"/>
      <w:u w:val="none"/>
    </w:rPr>
  </w:style>
  <w:style w:type="character" w:styleId="FollowedHyperlink">
    <w:name w:val="FollowedHyperlink"/>
    <w:uiPriority w:val="99"/>
    <w:rsid w:val="00DE431F"/>
    <w:rPr>
      <w:color w:val="800080"/>
      <w:u w:val="single"/>
    </w:rPr>
  </w:style>
  <w:style w:type="character" w:customStyle="1" w:styleId="ACbodynormalChar">
    <w:name w:val="AC body normal Char"/>
    <w:link w:val="ACbodynormal"/>
    <w:locked/>
    <w:rsid w:val="00762F87"/>
    <w:rPr>
      <w:sz w:val="21"/>
      <w:lang w:val="en-GB" w:eastAsia="en-US"/>
    </w:rPr>
  </w:style>
  <w:style w:type="paragraph" w:styleId="NormalWeb">
    <w:name w:val="Normal (Web)"/>
    <w:basedOn w:val="Normal"/>
    <w:uiPriority w:val="99"/>
    <w:unhideWhenUsed/>
    <w:rsid w:val="00207A9E"/>
    <w:pPr>
      <w:spacing w:before="100" w:beforeAutospacing="1" w:after="100" w:afterAutospacing="1"/>
    </w:pPr>
    <w:rPr>
      <w:rFonts w:eastAsia="Calibri"/>
    </w:rPr>
  </w:style>
  <w:style w:type="paragraph" w:styleId="ListParagraph">
    <w:name w:val="List Paragraph"/>
    <w:basedOn w:val="Normal"/>
    <w:uiPriority w:val="34"/>
    <w:qFormat/>
    <w:rsid w:val="00A85C7F"/>
    <w:pPr>
      <w:ind w:left="720"/>
    </w:pPr>
    <w:rPr>
      <w:rFonts w:ascii="Calibri" w:eastAsia="Calibri" w:hAnsi="Calibri" w:cs="Calibri"/>
      <w:sz w:val="22"/>
      <w:szCs w:val="22"/>
      <w:lang w:eastAsia="en-US"/>
    </w:rPr>
  </w:style>
  <w:style w:type="paragraph" w:styleId="Revision">
    <w:name w:val="Revision"/>
    <w:hidden/>
    <w:uiPriority w:val="99"/>
    <w:semiHidden/>
    <w:rsid w:val="00CF080A"/>
    <w:rPr>
      <w:sz w:val="24"/>
      <w:szCs w:val="24"/>
      <w:lang w:val="de-DE" w:eastAsia="de-DE"/>
    </w:rPr>
  </w:style>
  <w:style w:type="character" w:customStyle="1" w:styleId="CommentTextChar">
    <w:name w:val="Comment Text Char"/>
    <w:link w:val="CommentText"/>
    <w:uiPriority w:val="99"/>
    <w:semiHidden/>
    <w:rsid w:val="00417115"/>
    <w:rPr>
      <w:rFonts w:ascii="Calibri" w:eastAsia="Calibri" w:hAnsi="Calibri" w:cs="Calibri"/>
      <w:lang w:eastAsia="en-US"/>
    </w:rPr>
  </w:style>
  <w:style w:type="character" w:customStyle="1" w:styleId="FootnoteTextChar">
    <w:name w:val="Footnote Text Char"/>
    <w:link w:val="FootnoteText"/>
    <w:uiPriority w:val="99"/>
    <w:rsid w:val="002A1DF1"/>
    <w:rPr>
      <w:sz w:val="24"/>
      <w:lang w:val="nl-NL" w:eastAsia="nl-NL"/>
    </w:rPr>
  </w:style>
  <w:style w:type="paragraph" w:customStyle="1" w:styleId="Lieudate">
    <w:name w:val="Lieu date"/>
    <w:basedOn w:val="Normal"/>
    <w:link w:val="LieudateCar"/>
    <w:qFormat/>
    <w:rsid w:val="002A1DF1"/>
    <w:pPr>
      <w:spacing w:line="216" w:lineRule="auto"/>
    </w:pPr>
    <w:rPr>
      <w:rFonts w:ascii="Verdana" w:hAnsi="Verdana"/>
      <w:b/>
      <w:color w:val="AE9A3D"/>
      <w:sz w:val="22"/>
      <w:szCs w:val="22"/>
      <w:lang w:val="fr-FR" w:eastAsia="fr-FR"/>
    </w:rPr>
  </w:style>
  <w:style w:type="character" w:customStyle="1" w:styleId="LieudateCar">
    <w:name w:val="Lieu date Car"/>
    <w:link w:val="Lieudate"/>
    <w:rsid w:val="002A1DF1"/>
    <w:rPr>
      <w:rFonts w:ascii="Verdana" w:hAnsi="Verdana"/>
      <w:b/>
      <w:color w:val="AE9A3D"/>
      <w:sz w:val="22"/>
      <w:szCs w:val="22"/>
      <w:lang w:val="fr-FR" w:eastAsia="fr-FR"/>
    </w:rPr>
  </w:style>
  <w:style w:type="table" w:styleId="TableGrid">
    <w:name w:val="Table Grid"/>
    <w:basedOn w:val="TableNormal"/>
    <w:uiPriority w:val="39"/>
    <w:rsid w:val="00EB52EE"/>
    <w:rPr>
      <w:rFonts w:asciiTheme="minorHAnsi" w:eastAsiaTheme="minorHAnsi" w:hAnsiTheme="minorHAnsi" w:cstheme="minorBidi"/>
      <w:sz w:val="22"/>
      <w:szCs w:val="22"/>
      <w:lang w:val="nl-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ABullet-Level1">
    <w:name w:val="CEA Bullet - Level 1"/>
    <w:basedOn w:val="Normal"/>
    <w:qFormat/>
    <w:rsid w:val="00D46B4C"/>
    <w:pPr>
      <w:numPr>
        <w:numId w:val="11"/>
      </w:numPr>
      <w:autoSpaceDE w:val="0"/>
      <w:autoSpaceDN w:val="0"/>
      <w:adjustRightInd w:val="0"/>
      <w:spacing w:line="288" w:lineRule="auto"/>
      <w:jc w:val="both"/>
    </w:pPr>
    <w:rPr>
      <w:rFonts w:ascii="Verdana" w:hAnsi="Verdana" w:cs="Frutiger LT Std 45 Light"/>
      <w:color w:val="000000"/>
      <w:sz w:val="17"/>
      <w:szCs w:val="20"/>
      <w:lang w:val="en-GB" w:eastAsia="en-US"/>
    </w:rPr>
  </w:style>
  <w:style w:type="paragraph" w:customStyle="1" w:styleId="Style1">
    <w:name w:val="Style1"/>
    <w:basedOn w:val="Normal"/>
    <w:qFormat/>
    <w:rsid w:val="00DB5E3D"/>
    <w:pPr>
      <w:numPr>
        <w:numId w:val="23"/>
      </w:numPr>
      <w:ind w:left="714" w:hanging="357"/>
    </w:pPr>
    <w:rPr>
      <w:rFonts w:ascii="Garamond" w:hAnsi="Garamond"/>
      <w:b/>
      <w:color w:val="000000" w:themeColor="text1"/>
      <w:sz w:val="32"/>
      <w:lang w:val="fr-FR" w:eastAsia="fr-FR"/>
    </w:rPr>
  </w:style>
  <w:style w:type="paragraph" w:customStyle="1" w:styleId="Style2">
    <w:name w:val="Style2"/>
    <w:basedOn w:val="Normal"/>
    <w:qFormat/>
    <w:rsid w:val="00DB5E3D"/>
    <w:pPr>
      <w:numPr>
        <w:ilvl w:val="1"/>
        <w:numId w:val="23"/>
      </w:numPr>
      <w:spacing w:line="276" w:lineRule="auto"/>
      <w:jc w:val="both"/>
    </w:pPr>
    <w:rPr>
      <w:rFonts w:ascii="Garamond" w:hAnsi="Garamond"/>
      <w:b/>
      <w:i/>
      <w:color w:val="ED7D31" w:themeColor="accent2"/>
      <w:sz w:val="28"/>
      <w:lang w:val="fr-FR" w:eastAsia="fr-FR"/>
    </w:rPr>
  </w:style>
  <w:style w:type="paragraph" w:customStyle="1" w:styleId="Style3">
    <w:name w:val="Style3"/>
    <w:basedOn w:val="Style2"/>
    <w:link w:val="Style3Car"/>
    <w:qFormat/>
    <w:rsid w:val="00DB5E3D"/>
    <w:pPr>
      <w:numPr>
        <w:ilvl w:val="2"/>
      </w:numPr>
      <w:spacing w:line="240" w:lineRule="auto"/>
      <w:jc w:val="left"/>
    </w:pPr>
    <w:rPr>
      <w:color w:val="44546A" w:themeColor="text2"/>
      <w:sz w:val="24"/>
    </w:rPr>
  </w:style>
  <w:style w:type="character" w:customStyle="1" w:styleId="Style3Car">
    <w:name w:val="Style3 Car"/>
    <w:basedOn w:val="DefaultParagraphFont"/>
    <w:link w:val="Style3"/>
    <w:rsid w:val="00DB5E3D"/>
    <w:rPr>
      <w:rFonts w:ascii="Garamond" w:hAnsi="Garamond"/>
      <w:b/>
      <w:i/>
      <w:color w:val="44546A" w:themeColor="text2"/>
      <w:sz w:val="24"/>
      <w:szCs w:val="24"/>
      <w:lang w:val="fr-FR" w:eastAsia="fr-FR"/>
    </w:rPr>
  </w:style>
  <w:style w:type="paragraph" w:customStyle="1" w:styleId="Style4">
    <w:name w:val="Style4"/>
    <w:basedOn w:val="NoSpacing"/>
    <w:qFormat/>
    <w:rsid w:val="00DB5E3D"/>
    <w:pPr>
      <w:numPr>
        <w:ilvl w:val="3"/>
        <w:numId w:val="23"/>
      </w:numPr>
      <w:tabs>
        <w:tab w:val="num" w:pos="1440"/>
      </w:tabs>
      <w:ind w:left="1440"/>
    </w:pPr>
    <w:rPr>
      <w:rFonts w:ascii="Garamond" w:hAnsi="Garamond"/>
      <w:b/>
      <w:i/>
      <w:color w:val="44546A" w:themeColor="text2"/>
      <w:sz w:val="22"/>
      <w:lang w:val="fr-FR" w:eastAsia="fr-FR"/>
    </w:rPr>
  </w:style>
  <w:style w:type="table" w:customStyle="1" w:styleId="Grilledutableau32">
    <w:name w:val="Grille du tableau32"/>
    <w:basedOn w:val="TableNormal"/>
    <w:next w:val="TableGrid"/>
    <w:rsid w:val="00DB5E3D"/>
    <w:rPr>
      <w:lang w:val="fr-FR"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DB5E3D"/>
    <w:rPr>
      <w:sz w:val="24"/>
      <w:szCs w:val="24"/>
    </w:rPr>
  </w:style>
  <w:style w:type="paragraph" w:customStyle="1" w:styleId="CM1">
    <w:name w:val="CM1"/>
    <w:basedOn w:val="Normal"/>
    <w:next w:val="Normal"/>
    <w:uiPriority w:val="99"/>
    <w:rsid w:val="00045AAD"/>
    <w:pPr>
      <w:autoSpaceDE w:val="0"/>
      <w:autoSpaceDN w:val="0"/>
      <w:adjustRightInd w:val="0"/>
    </w:pPr>
    <w:rPr>
      <w:rFonts w:eastAsiaTheme="minorHAnsi"/>
      <w:lang w:val="en-GB" w:eastAsia="en-US"/>
    </w:rPr>
  </w:style>
  <w:style w:type="character" w:styleId="Emphasis">
    <w:name w:val="Emphasis"/>
    <w:basedOn w:val="DefaultParagraphFont"/>
    <w:uiPriority w:val="20"/>
    <w:qFormat/>
    <w:rsid w:val="00524974"/>
    <w:rPr>
      <w:i/>
      <w:iCs/>
    </w:rPr>
  </w:style>
  <w:style w:type="character" w:customStyle="1" w:styleId="spelle">
    <w:name w:val="spelle"/>
    <w:basedOn w:val="DefaultParagraphFont"/>
    <w:rsid w:val="003A57DD"/>
  </w:style>
  <w:style w:type="character" w:customStyle="1" w:styleId="UnresolvedMention">
    <w:name w:val="Unresolved Mention"/>
    <w:basedOn w:val="DefaultParagraphFont"/>
    <w:uiPriority w:val="99"/>
    <w:semiHidden/>
    <w:unhideWhenUsed/>
    <w:rsid w:val="006D7F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53897">
      <w:bodyDiv w:val="1"/>
      <w:marLeft w:val="0"/>
      <w:marRight w:val="0"/>
      <w:marTop w:val="0"/>
      <w:marBottom w:val="0"/>
      <w:divBdr>
        <w:top w:val="none" w:sz="0" w:space="0" w:color="auto"/>
        <w:left w:val="none" w:sz="0" w:space="0" w:color="auto"/>
        <w:bottom w:val="none" w:sz="0" w:space="0" w:color="auto"/>
        <w:right w:val="none" w:sz="0" w:space="0" w:color="auto"/>
      </w:divBdr>
    </w:div>
    <w:div w:id="41292235">
      <w:bodyDiv w:val="1"/>
      <w:marLeft w:val="0"/>
      <w:marRight w:val="0"/>
      <w:marTop w:val="0"/>
      <w:marBottom w:val="0"/>
      <w:divBdr>
        <w:top w:val="none" w:sz="0" w:space="0" w:color="auto"/>
        <w:left w:val="none" w:sz="0" w:space="0" w:color="auto"/>
        <w:bottom w:val="none" w:sz="0" w:space="0" w:color="auto"/>
        <w:right w:val="none" w:sz="0" w:space="0" w:color="auto"/>
      </w:divBdr>
    </w:div>
    <w:div w:id="44062347">
      <w:bodyDiv w:val="1"/>
      <w:marLeft w:val="0"/>
      <w:marRight w:val="0"/>
      <w:marTop w:val="0"/>
      <w:marBottom w:val="0"/>
      <w:divBdr>
        <w:top w:val="none" w:sz="0" w:space="0" w:color="auto"/>
        <w:left w:val="none" w:sz="0" w:space="0" w:color="auto"/>
        <w:bottom w:val="none" w:sz="0" w:space="0" w:color="auto"/>
        <w:right w:val="none" w:sz="0" w:space="0" w:color="auto"/>
      </w:divBdr>
    </w:div>
    <w:div w:id="51276032">
      <w:bodyDiv w:val="1"/>
      <w:marLeft w:val="0"/>
      <w:marRight w:val="0"/>
      <w:marTop w:val="0"/>
      <w:marBottom w:val="0"/>
      <w:divBdr>
        <w:top w:val="none" w:sz="0" w:space="0" w:color="auto"/>
        <w:left w:val="none" w:sz="0" w:space="0" w:color="auto"/>
        <w:bottom w:val="none" w:sz="0" w:space="0" w:color="auto"/>
        <w:right w:val="none" w:sz="0" w:space="0" w:color="auto"/>
      </w:divBdr>
    </w:div>
    <w:div w:id="52512197">
      <w:bodyDiv w:val="1"/>
      <w:marLeft w:val="0"/>
      <w:marRight w:val="0"/>
      <w:marTop w:val="0"/>
      <w:marBottom w:val="0"/>
      <w:divBdr>
        <w:top w:val="none" w:sz="0" w:space="0" w:color="auto"/>
        <w:left w:val="none" w:sz="0" w:space="0" w:color="auto"/>
        <w:bottom w:val="none" w:sz="0" w:space="0" w:color="auto"/>
        <w:right w:val="none" w:sz="0" w:space="0" w:color="auto"/>
      </w:divBdr>
    </w:div>
    <w:div w:id="75398744">
      <w:bodyDiv w:val="1"/>
      <w:marLeft w:val="0"/>
      <w:marRight w:val="0"/>
      <w:marTop w:val="0"/>
      <w:marBottom w:val="0"/>
      <w:divBdr>
        <w:top w:val="none" w:sz="0" w:space="0" w:color="auto"/>
        <w:left w:val="none" w:sz="0" w:space="0" w:color="auto"/>
        <w:bottom w:val="none" w:sz="0" w:space="0" w:color="auto"/>
        <w:right w:val="none" w:sz="0" w:space="0" w:color="auto"/>
      </w:divBdr>
    </w:div>
    <w:div w:id="99568075">
      <w:bodyDiv w:val="1"/>
      <w:marLeft w:val="0"/>
      <w:marRight w:val="0"/>
      <w:marTop w:val="0"/>
      <w:marBottom w:val="0"/>
      <w:divBdr>
        <w:top w:val="none" w:sz="0" w:space="0" w:color="auto"/>
        <w:left w:val="none" w:sz="0" w:space="0" w:color="auto"/>
        <w:bottom w:val="none" w:sz="0" w:space="0" w:color="auto"/>
        <w:right w:val="none" w:sz="0" w:space="0" w:color="auto"/>
      </w:divBdr>
    </w:div>
    <w:div w:id="107353558">
      <w:bodyDiv w:val="1"/>
      <w:marLeft w:val="0"/>
      <w:marRight w:val="0"/>
      <w:marTop w:val="0"/>
      <w:marBottom w:val="0"/>
      <w:divBdr>
        <w:top w:val="none" w:sz="0" w:space="0" w:color="auto"/>
        <w:left w:val="none" w:sz="0" w:space="0" w:color="auto"/>
        <w:bottom w:val="none" w:sz="0" w:space="0" w:color="auto"/>
        <w:right w:val="none" w:sz="0" w:space="0" w:color="auto"/>
      </w:divBdr>
      <w:divsChild>
        <w:div w:id="77291084">
          <w:marLeft w:val="533"/>
          <w:marRight w:val="0"/>
          <w:marTop w:val="269"/>
          <w:marBottom w:val="0"/>
          <w:divBdr>
            <w:top w:val="none" w:sz="0" w:space="0" w:color="auto"/>
            <w:left w:val="none" w:sz="0" w:space="0" w:color="auto"/>
            <w:bottom w:val="none" w:sz="0" w:space="0" w:color="auto"/>
            <w:right w:val="none" w:sz="0" w:space="0" w:color="auto"/>
          </w:divBdr>
        </w:div>
        <w:div w:id="1336154847">
          <w:marLeft w:val="533"/>
          <w:marRight w:val="0"/>
          <w:marTop w:val="269"/>
          <w:marBottom w:val="0"/>
          <w:divBdr>
            <w:top w:val="none" w:sz="0" w:space="0" w:color="auto"/>
            <w:left w:val="none" w:sz="0" w:space="0" w:color="auto"/>
            <w:bottom w:val="none" w:sz="0" w:space="0" w:color="auto"/>
            <w:right w:val="none" w:sz="0" w:space="0" w:color="auto"/>
          </w:divBdr>
        </w:div>
        <w:div w:id="1454597401">
          <w:marLeft w:val="533"/>
          <w:marRight w:val="0"/>
          <w:marTop w:val="269"/>
          <w:marBottom w:val="0"/>
          <w:divBdr>
            <w:top w:val="none" w:sz="0" w:space="0" w:color="auto"/>
            <w:left w:val="none" w:sz="0" w:space="0" w:color="auto"/>
            <w:bottom w:val="none" w:sz="0" w:space="0" w:color="auto"/>
            <w:right w:val="none" w:sz="0" w:space="0" w:color="auto"/>
          </w:divBdr>
        </w:div>
      </w:divsChild>
    </w:div>
    <w:div w:id="138697182">
      <w:bodyDiv w:val="1"/>
      <w:marLeft w:val="0"/>
      <w:marRight w:val="0"/>
      <w:marTop w:val="0"/>
      <w:marBottom w:val="0"/>
      <w:divBdr>
        <w:top w:val="none" w:sz="0" w:space="0" w:color="auto"/>
        <w:left w:val="none" w:sz="0" w:space="0" w:color="auto"/>
        <w:bottom w:val="none" w:sz="0" w:space="0" w:color="auto"/>
        <w:right w:val="none" w:sz="0" w:space="0" w:color="auto"/>
      </w:divBdr>
    </w:div>
    <w:div w:id="149834742">
      <w:bodyDiv w:val="1"/>
      <w:marLeft w:val="0"/>
      <w:marRight w:val="0"/>
      <w:marTop w:val="0"/>
      <w:marBottom w:val="0"/>
      <w:divBdr>
        <w:top w:val="none" w:sz="0" w:space="0" w:color="auto"/>
        <w:left w:val="none" w:sz="0" w:space="0" w:color="auto"/>
        <w:bottom w:val="none" w:sz="0" w:space="0" w:color="auto"/>
        <w:right w:val="none" w:sz="0" w:space="0" w:color="auto"/>
      </w:divBdr>
    </w:div>
    <w:div w:id="163740879">
      <w:bodyDiv w:val="1"/>
      <w:marLeft w:val="0"/>
      <w:marRight w:val="0"/>
      <w:marTop w:val="0"/>
      <w:marBottom w:val="0"/>
      <w:divBdr>
        <w:top w:val="none" w:sz="0" w:space="0" w:color="auto"/>
        <w:left w:val="none" w:sz="0" w:space="0" w:color="auto"/>
        <w:bottom w:val="none" w:sz="0" w:space="0" w:color="auto"/>
        <w:right w:val="none" w:sz="0" w:space="0" w:color="auto"/>
      </w:divBdr>
    </w:div>
    <w:div w:id="234051823">
      <w:bodyDiv w:val="1"/>
      <w:marLeft w:val="0"/>
      <w:marRight w:val="0"/>
      <w:marTop w:val="0"/>
      <w:marBottom w:val="0"/>
      <w:divBdr>
        <w:top w:val="none" w:sz="0" w:space="0" w:color="auto"/>
        <w:left w:val="none" w:sz="0" w:space="0" w:color="auto"/>
        <w:bottom w:val="none" w:sz="0" w:space="0" w:color="auto"/>
        <w:right w:val="none" w:sz="0" w:space="0" w:color="auto"/>
      </w:divBdr>
    </w:div>
    <w:div w:id="248320027">
      <w:bodyDiv w:val="1"/>
      <w:marLeft w:val="0"/>
      <w:marRight w:val="0"/>
      <w:marTop w:val="0"/>
      <w:marBottom w:val="0"/>
      <w:divBdr>
        <w:top w:val="none" w:sz="0" w:space="0" w:color="auto"/>
        <w:left w:val="none" w:sz="0" w:space="0" w:color="auto"/>
        <w:bottom w:val="none" w:sz="0" w:space="0" w:color="auto"/>
        <w:right w:val="none" w:sz="0" w:space="0" w:color="auto"/>
      </w:divBdr>
    </w:div>
    <w:div w:id="251747706">
      <w:bodyDiv w:val="1"/>
      <w:marLeft w:val="0"/>
      <w:marRight w:val="0"/>
      <w:marTop w:val="0"/>
      <w:marBottom w:val="0"/>
      <w:divBdr>
        <w:top w:val="none" w:sz="0" w:space="0" w:color="auto"/>
        <w:left w:val="none" w:sz="0" w:space="0" w:color="auto"/>
        <w:bottom w:val="none" w:sz="0" w:space="0" w:color="auto"/>
        <w:right w:val="none" w:sz="0" w:space="0" w:color="auto"/>
      </w:divBdr>
    </w:div>
    <w:div w:id="260063558">
      <w:bodyDiv w:val="1"/>
      <w:marLeft w:val="0"/>
      <w:marRight w:val="0"/>
      <w:marTop w:val="0"/>
      <w:marBottom w:val="0"/>
      <w:divBdr>
        <w:top w:val="none" w:sz="0" w:space="0" w:color="auto"/>
        <w:left w:val="none" w:sz="0" w:space="0" w:color="auto"/>
        <w:bottom w:val="none" w:sz="0" w:space="0" w:color="auto"/>
        <w:right w:val="none" w:sz="0" w:space="0" w:color="auto"/>
      </w:divBdr>
    </w:div>
    <w:div w:id="260723309">
      <w:bodyDiv w:val="1"/>
      <w:marLeft w:val="0"/>
      <w:marRight w:val="0"/>
      <w:marTop w:val="0"/>
      <w:marBottom w:val="0"/>
      <w:divBdr>
        <w:top w:val="none" w:sz="0" w:space="0" w:color="auto"/>
        <w:left w:val="none" w:sz="0" w:space="0" w:color="auto"/>
        <w:bottom w:val="none" w:sz="0" w:space="0" w:color="auto"/>
        <w:right w:val="none" w:sz="0" w:space="0" w:color="auto"/>
      </w:divBdr>
    </w:div>
    <w:div w:id="264773279">
      <w:bodyDiv w:val="1"/>
      <w:marLeft w:val="0"/>
      <w:marRight w:val="0"/>
      <w:marTop w:val="0"/>
      <w:marBottom w:val="0"/>
      <w:divBdr>
        <w:top w:val="none" w:sz="0" w:space="0" w:color="auto"/>
        <w:left w:val="none" w:sz="0" w:space="0" w:color="auto"/>
        <w:bottom w:val="none" w:sz="0" w:space="0" w:color="auto"/>
        <w:right w:val="none" w:sz="0" w:space="0" w:color="auto"/>
      </w:divBdr>
    </w:div>
    <w:div w:id="272325746">
      <w:bodyDiv w:val="1"/>
      <w:marLeft w:val="0"/>
      <w:marRight w:val="0"/>
      <w:marTop w:val="0"/>
      <w:marBottom w:val="0"/>
      <w:divBdr>
        <w:top w:val="none" w:sz="0" w:space="0" w:color="auto"/>
        <w:left w:val="none" w:sz="0" w:space="0" w:color="auto"/>
        <w:bottom w:val="none" w:sz="0" w:space="0" w:color="auto"/>
        <w:right w:val="none" w:sz="0" w:space="0" w:color="auto"/>
      </w:divBdr>
    </w:div>
    <w:div w:id="272710591">
      <w:bodyDiv w:val="1"/>
      <w:marLeft w:val="0"/>
      <w:marRight w:val="0"/>
      <w:marTop w:val="0"/>
      <w:marBottom w:val="0"/>
      <w:divBdr>
        <w:top w:val="none" w:sz="0" w:space="0" w:color="auto"/>
        <w:left w:val="none" w:sz="0" w:space="0" w:color="auto"/>
        <w:bottom w:val="none" w:sz="0" w:space="0" w:color="auto"/>
        <w:right w:val="none" w:sz="0" w:space="0" w:color="auto"/>
      </w:divBdr>
      <w:divsChild>
        <w:div w:id="710420856">
          <w:marLeft w:val="533"/>
          <w:marRight w:val="0"/>
          <w:marTop w:val="230"/>
          <w:marBottom w:val="0"/>
          <w:divBdr>
            <w:top w:val="none" w:sz="0" w:space="0" w:color="auto"/>
            <w:left w:val="none" w:sz="0" w:space="0" w:color="auto"/>
            <w:bottom w:val="none" w:sz="0" w:space="0" w:color="auto"/>
            <w:right w:val="none" w:sz="0" w:space="0" w:color="auto"/>
          </w:divBdr>
        </w:div>
        <w:div w:id="842403252">
          <w:marLeft w:val="533"/>
          <w:marRight w:val="0"/>
          <w:marTop w:val="230"/>
          <w:marBottom w:val="0"/>
          <w:divBdr>
            <w:top w:val="none" w:sz="0" w:space="0" w:color="auto"/>
            <w:left w:val="none" w:sz="0" w:space="0" w:color="auto"/>
            <w:bottom w:val="none" w:sz="0" w:space="0" w:color="auto"/>
            <w:right w:val="none" w:sz="0" w:space="0" w:color="auto"/>
          </w:divBdr>
        </w:div>
        <w:div w:id="844974426">
          <w:marLeft w:val="533"/>
          <w:marRight w:val="0"/>
          <w:marTop w:val="230"/>
          <w:marBottom w:val="0"/>
          <w:divBdr>
            <w:top w:val="none" w:sz="0" w:space="0" w:color="auto"/>
            <w:left w:val="none" w:sz="0" w:space="0" w:color="auto"/>
            <w:bottom w:val="none" w:sz="0" w:space="0" w:color="auto"/>
            <w:right w:val="none" w:sz="0" w:space="0" w:color="auto"/>
          </w:divBdr>
        </w:div>
        <w:div w:id="920984655">
          <w:marLeft w:val="533"/>
          <w:marRight w:val="0"/>
          <w:marTop w:val="230"/>
          <w:marBottom w:val="0"/>
          <w:divBdr>
            <w:top w:val="none" w:sz="0" w:space="0" w:color="auto"/>
            <w:left w:val="none" w:sz="0" w:space="0" w:color="auto"/>
            <w:bottom w:val="none" w:sz="0" w:space="0" w:color="auto"/>
            <w:right w:val="none" w:sz="0" w:space="0" w:color="auto"/>
          </w:divBdr>
        </w:div>
      </w:divsChild>
    </w:div>
    <w:div w:id="304703966">
      <w:bodyDiv w:val="1"/>
      <w:marLeft w:val="0"/>
      <w:marRight w:val="0"/>
      <w:marTop w:val="0"/>
      <w:marBottom w:val="0"/>
      <w:divBdr>
        <w:top w:val="none" w:sz="0" w:space="0" w:color="auto"/>
        <w:left w:val="none" w:sz="0" w:space="0" w:color="auto"/>
        <w:bottom w:val="none" w:sz="0" w:space="0" w:color="auto"/>
        <w:right w:val="none" w:sz="0" w:space="0" w:color="auto"/>
      </w:divBdr>
    </w:div>
    <w:div w:id="329723899">
      <w:bodyDiv w:val="1"/>
      <w:marLeft w:val="0"/>
      <w:marRight w:val="0"/>
      <w:marTop w:val="0"/>
      <w:marBottom w:val="0"/>
      <w:divBdr>
        <w:top w:val="none" w:sz="0" w:space="0" w:color="auto"/>
        <w:left w:val="none" w:sz="0" w:space="0" w:color="auto"/>
        <w:bottom w:val="none" w:sz="0" w:space="0" w:color="auto"/>
        <w:right w:val="none" w:sz="0" w:space="0" w:color="auto"/>
      </w:divBdr>
      <w:divsChild>
        <w:div w:id="148209244">
          <w:marLeft w:val="533"/>
          <w:marRight w:val="0"/>
          <w:marTop w:val="230"/>
          <w:marBottom w:val="0"/>
          <w:divBdr>
            <w:top w:val="none" w:sz="0" w:space="0" w:color="auto"/>
            <w:left w:val="none" w:sz="0" w:space="0" w:color="auto"/>
            <w:bottom w:val="none" w:sz="0" w:space="0" w:color="auto"/>
            <w:right w:val="none" w:sz="0" w:space="0" w:color="auto"/>
          </w:divBdr>
        </w:div>
        <w:div w:id="282349693">
          <w:marLeft w:val="533"/>
          <w:marRight w:val="0"/>
          <w:marTop w:val="230"/>
          <w:marBottom w:val="0"/>
          <w:divBdr>
            <w:top w:val="none" w:sz="0" w:space="0" w:color="auto"/>
            <w:left w:val="none" w:sz="0" w:space="0" w:color="auto"/>
            <w:bottom w:val="none" w:sz="0" w:space="0" w:color="auto"/>
            <w:right w:val="none" w:sz="0" w:space="0" w:color="auto"/>
          </w:divBdr>
        </w:div>
        <w:div w:id="641882959">
          <w:marLeft w:val="533"/>
          <w:marRight w:val="0"/>
          <w:marTop w:val="230"/>
          <w:marBottom w:val="0"/>
          <w:divBdr>
            <w:top w:val="none" w:sz="0" w:space="0" w:color="auto"/>
            <w:left w:val="none" w:sz="0" w:space="0" w:color="auto"/>
            <w:bottom w:val="none" w:sz="0" w:space="0" w:color="auto"/>
            <w:right w:val="none" w:sz="0" w:space="0" w:color="auto"/>
          </w:divBdr>
        </w:div>
        <w:div w:id="2055079685">
          <w:marLeft w:val="533"/>
          <w:marRight w:val="0"/>
          <w:marTop w:val="230"/>
          <w:marBottom w:val="0"/>
          <w:divBdr>
            <w:top w:val="none" w:sz="0" w:space="0" w:color="auto"/>
            <w:left w:val="none" w:sz="0" w:space="0" w:color="auto"/>
            <w:bottom w:val="none" w:sz="0" w:space="0" w:color="auto"/>
            <w:right w:val="none" w:sz="0" w:space="0" w:color="auto"/>
          </w:divBdr>
        </w:div>
      </w:divsChild>
    </w:div>
    <w:div w:id="342366912">
      <w:bodyDiv w:val="1"/>
      <w:marLeft w:val="0"/>
      <w:marRight w:val="0"/>
      <w:marTop w:val="0"/>
      <w:marBottom w:val="0"/>
      <w:divBdr>
        <w:top w:val="none" w:sz="0" w:space="0" w:color="auto"/>
        <w:left w:val="none" w:sz="0" w:space="0" w:color="auto"/>
        <w:bottom w:val="none" w:sz="0" w:space="0" w:color="auto"/>
        <w:right w:val="none" w:sz="0" w:space="0" w:color="auto"/>
      </w:divBdr>
    </w:div>
    <w:div w:id="347559121">
      <w:bodyDiv w:val="1"/>
      <w:marLeft w:val="0"/>
      <w:marRight w:val="0"/>
      <w:marTop w:val="0"/>
      <w:marBottom w:val="0"/>
      <w:divBdr>
        <w:top w:val="none" w:sz="0" w:space="0" w:color="auto"/>
        <w:left w:val="none" w:sz="0" w:space="0" w:color="auto"/>
        <w:bottom w:val="none" w:sz="0" w:space="0" w:color="auto"/>
        <w:right w:val="none" w:sz="0" w:space="0" w:color="auto"/>
      </w:divBdr>
    </w:div>
    <w:div w:id="355275807">
      <w:bodyDiv w:val="1"/>
      <w:marLeft w:val="0"/>
      <w:marRight w:val="0"/>
      <w:marTop w:val="0"/>
      <w:marBottom w:val="0"/>
      <w:divBdr>
        <w:top w:val="none" w:sz="0" w:space="0" w:color="auto"/>
        <w:left w:val="none" w:sz="0" w:space="0" w:color="auto"/>
        <w:bottom w:val="none" w:sz="0" w:space="0" w:color="auto"/>
        <w:right w:val="none" w:sz="0" w:space="0" w:color="auto"/>
      </w:divBdr>
    </w:div>
    <w:div w:id="376007646">
      <w:bodyDiv w:val="1"/>
      <w:marLeft w:val="0"/>
      <w:marRight w:val="0"/>
      <w:marTop w:val="0"/>
      <w:marBottom w:val="0"/>
      <w:divBdr>
        <w:top w:val="none" w:sz="0" w:space="0" w:color="auto"/>
        <w:left w:val="none" w:sz="0" w:space="0" w:color="auto"/>
        <w:bottom w:val="none" w:sz="0" w:space="0" w:color="auto"/>
        <w:right w:val="none" w:sz="0" w:space="0" w:color="auto"/>
      </w:divBdr>
    </w:div>
    <w:div w:id="380906222">
      <w:bodyDiv w:val="1"/>
      <w:marLeft w:val="0"/>
      <w:marRight w:val="0"/>
      <w:marTop w:val="0"/>
      <w:marBottom w:val="0"/>
      <w:divBdr>
        <w:top w:val="none" w:sz="0" w:space="0" w:color="auto"/>
        <w:left w:val="none" w:sz="0" w:space="0" w:color="auto"/>
        <w:bottom w:val="none" w:sz="0" w:space="0" w:color="auto"/>
        <w:right w:val="none" w:sz="0" w:space="0" w:color="auto"/>
      </w:divBdr>
    </w:div>
    <w:div w:id="386074192">
      <w:bodyDiv w:val="1"/>
      <w:marLeft w:val="0"/>
      <w:marRight w:val="0"/>
      <w:marTop w:val="0"/>
      <w:marBottom w:val="0"/>
      <w:divBdr>
        <w:top w:val="none" w:sz="0" w:space="0" w:color="auto"/>
        <w:left w:val="none" w:sz="0" w:space="0" w:color="auto"/>
        <w:bottom w:val="none" w:sz="0" w:space="0" w:color="auto"/>
        <w:right w:val="none" w:sz="0" w:space="0" w:color="auto"/>
      </w:divBdr>
    </w:div>
    <w:div w:id="410977429">
      <w:bodyDiv w:val="1"/>
      <w:marLeft w:val="0"/>
      <w:marRight w:val="0"/>
      <w:marTop w:val="0"/>
      <w:marBottom w:val="0"/>
      <w:divBdr>
        <w:top w:val="none" w:sz="0" w:space="0" w:color="auto"/>
        <w:left w:val="none" w:sz="0" w:space="0" w:color="auto"/>
        <w:bottom w:val="none" w:sz="0" w:space="0" w:color="auto"/>
        <w:right w:val="none" w:sz="0" w:space="0" w:color="auto"/>
      </w:divBdr>
    </w:div>
    <w:div w:id="416364278">
      <w:bodyDiv w:val="1"/>
      <w:marLeft w:val="0"/>
      <w:marRight w:val="0"/>
      <w:marTop w:val="0"/>
      <w:marBottom w:val="0"/>
      <w:divBdr>
        <w:top w:val="none" w:sz="0" w:space="0" w:color="auto"/>
        <w:left w:val="none" w:sz="0" w:space="0" w:color="auto"/>
        <w:bottom w:val="none" w:sz="0" w:space="0" w:color="auto"/>
        <w:right w:val="none" w:sz="0" w:space="0" w:color="auto"/>
      </w:divBdr>
    </w:div>
    <w:div w:id="425688927">
      <w:bodyDiv w:val="1"/>
      <w:marLeft w:val="0"/>
      <w:marRight w:val="0"/>
      <w:marTop w:val="0"/>
      <w:marBottom w:val="0"/>
      <w:divBdr>
        <w:top w:val="none" w:sz="0" w:space="0" w:color="auto"/>
        <w:left w:val="none" w:sz="0" w:space="0" w:color="auto"/>
        <w:bottom w:val="none" w:sz="0" w:space="0" w:color="auto"/>
        <w:right w:val="none" w:sz="0" w:space="0" w:color="auto"/>
      </w:divBdr>
    </w:div>
    <w:div w:id="441385746">
      <w:bodyDiv w:val="1"/>
      <w:marLeft w:val="0"/>
      <w:marRight w:val="0"/>
      <w:marTop w:val="0"/>
      <w:marBottom w:val="0"/>
      <w:divBdr>
        <w:top w:val="none" w:sz="0" w:space="0" w:color="auto"/>
        <w:left w:val="none" w:sz="0" w:space="0" w:color="auto"/>
        <w:bottom w:val="none" w:sz="0" w:space="0" w:color="auto"/>
        <w:right w:val="none" w:sz="0" w:space="0" w:color="auto"/>
      </w:divBdr>
    </w:div>
    <w:div w:id="446508917">
      <w:bodyDiv w:val="1"/>
      <w:marLeft w:val="0"/>
      <w:marRight w:val="0"/>
      <w:marTop w:val="0"/>
      <w:marBottom w:val="0"/>
      <w:divBdr>
        <w:top w:val="none" w:sz="0" w:space="0" w:color="auto"/>
        <w:left w:val="none" w:sz="0" w:space="0" w:color="auto"/>
        <w:bottom w:val="none" w:sz="0" w:space="0" w:color="auto"/>
        <w:right w:val="none" w:sz="0" w:space="0" w:color="auto"/>
      </w:divBdr>
    </w:div>
    <w:div w:id="471756608">
      <w:bodyDiv w:val="1"/>
      <w:marLeft w:val="0"/>
      <w:marRight w:val="0"/>
      <w:marTop w:val="0"/>
      <w:marBottom w:val="0"/>
      <w:divBdr>
        <w:top w:val="none" w:sz="0" w:space="0" w:color="auto"/>
        <w:left w:val="none" w:sz="0" w:space="0" w:color="auto"/>
        <w:bottom w:val="none" w:sz="0" w:space="0" w:color="auto"/>
        <w:right w:val="none" w:sz="0" w:space="0" w:color="auto"/>
      </w:divBdr>
    </w:div>
    <w:div w:id="487523126">
      <w:bodyDiv w:val="1"/>
      <w:marLeft w:val="0"/>
      <w:marRight w:val="0"/>
      <w:marTop w:val="0"/>
      <w:marBottom w:val="0"/>
      <w:divBdr>
        <w:top w:val="none" w:sz="0" w:space="0" w:color="auto"/>
        <w:left w:val="none" w:sz="0" w:space="0" w:color="auto"/>
        <w:bottom w:val="none" w:sz="0" w:space="0" w:color="auto"/>
        <w:right w:val="none" w:sz="0" w:space="0" w:color="auto"/>
      </w:divBdr>
    </w:div>
    <w:div w:id="495416319">
      <w:bodyDiv w:val="1"/>
      <w:marLeft w:val="0"/>
      <w:marRight w:val="0"/>
      <w:marTop w:val="0"/>
      <w:marBottom w:val="0"/>
      <w:divBdr>
        <w:top w:val="none" w:sz="0" w:space="0" w:color="auto"/>
        <w:left w:val="none" w:sz="0" w:space="0" w:color="auto"/>
        <w:bottom w:val="none" w:sz="0" w:space="0" w:color="auto"/>
        <w:right w:val="none" w:sz="0" w:space="0" w:color="auto"/>
      </w:divBdr>
    </w:div>
    <w:div w:id="506141308">
      <w:bodyDiv w:val="1"/>
      <w:marLeft w:val="0"/>
      <w:marRight w:val="0"/>
      <w:marTop w:val="0"/>
      <w:marBottom w:val="0"/>
      <w:divBdr>
        <w:top w:val="none" w:sz="0" w:space="0" w:color="auto"/>
        <w:left w:val="none" w:sz="0" w:space="0" w:color="auto"/>
        <w:bottom w:val="none" w:sz="0" w:space="0" w:color="auto"/>
        <w:right w:val="none" w:sz="0" w:space="0" w:color="auto"/>
      </w:divBdr>
    </w:div>
    <w:div w:id="522280904">
      <w:bodyDiv w:val="1"/>
      <w:marLeft w:val="0"/>
      <w:marRight w:val="0"/>
      <w:marTop w:val="0"/>
      <w:marBottom w:val="0"/>
      <w:divBdr>
        <w:top w:val="none" w:sz="0" w:space="0" w:color="auto"/>
        <w:left w:val="none" w:sz="0" w:space="0" w:color="auto"/>
        <w:bottom w:val="none" w:sz="0" w:space="0" w:color="auto"/>
        <w:right w:val="none" w:sz="0" w:space="0" w:color="auto"/>
      </w:divBdr>
    </w:div>
    <w:div w:id="559367975">
      <w:bodyDiv w:val="1"/>
      <w:marLeft w:val="0"/>
      <w:marRight w:val="0"/>
      <w:marTop w:val="0"/>
      <w:marBottom w:val="0"/>
      <w:divBdr>
        <w:top w:val="none" w:sz="0" w:space="0" w:color="auto"/>
        <w:left w:val="none" w:sz="0" w:space="0" w:color="auto"/>
        <w:bottom w:val="none" w:sz="0" w:space="0" w:color="auto"/>
        <w:right w:val="none" w:sz="0" w:space="0" w:color="auto"/>
      </w:divBdr>
    </w:div>
    <w:div w:id="583227664">
      <w:bodyDiv w:val="1"/>
      <w:marLeft w:val="0"/>
      <w:marRight w:val="0"/>
      <w:marTop w:val="0"/>
      <w:marBottom w:val="0"/>
      <w:divBdr>
        <w:top w:val="none" w:sz="0" w:space="0" w:color="auto"/>
        <w:left w:val="none" w:sz="0" w:space="0" w:color="auto"/>
        <w:bottom w:val="none" w:sz="0" w:space="0" w:color="auto"/>
        <w:right w:val="none" w:sz="0" w:space="0" w:color="auto"/>
      </w:divBdr>
      <w:divsChild>
        <w:div w:id="1614823394">
          <w:marLeft w:val="1166"/>
          <w:marRight w:val="0"/>
          <w:marTop w:val="230"/>
          <w:marBottom w:val="0"/>
          <w:divBdr>
            <w:top w:val="none" w:sz="0" w:space="0" w:color="auto"/>
            <w:left w:val="none" w:sz="0" w:space="0" w:color="auto"/>
            <w:bottom w:val="none" w:sz="0" w:space="0" w:color="auto"/>
            <w:right w:val="none" w:sz="0" w:space="0" w:color="auto"/>
          </w:divBdr>
        </w:div>
        <w:div w:id="1633174349">
          <w:marLeft w:val="1166"/>
          <w:marRight w:val="0"/>
          <w:marTop w:val="230"/>
          <w:marBottom w:val="0"/>
          <w:divBdr>
            <w:top w:val="none" w:sz="0" w:space="0" w:color="auto"/>
            <w:left w:val="none" w:sz="0" w:space="0" w:color="auto"/>
            <w:bottom w:val="none" w:sz="0" w:space="0" w:color="auto"/>
            <w:right w:val="none" w:sz="0" w:space="0" w:color="auto"/>
          </w:divBdr>
        </w:div>
        <w:div w:id="2085029796">
          <w:marLeft w:val="1166"/>
          <w:marRight w:val="0"/>
          <w:marTop w:val="230"/>
          <w:marBottom w:val="0"/>
          <w:divBdr>
            <w:top w:val="none" w:sz="0" w:space="0" w:color="auto"/>
            <w:left w:val="none" w:sz="0" w:space="0" w:color="auto"/>
            <w:bottom w:val="none" w:sz="0" w:space="0" w:color="auto"/>
            <w:right w:val="none" w:sz="0" w:space="0" w:color="auto"/>
          </w:divBdr>
        </w:div>
      </w:divsChild>
    </w:div>
    <w:div w:id="597717709">
      <w:bodyDiv w:val="1"/>
      <w:marLeft w:val="0"/>
      <w:marRight w:val="0"/>
      <w:marTop w:val="0"/>
      <w:marBottom w:val="0"/>
      <w:divBdr>
        <w:top w:val="none" w:sz="0" w:space="0" w:color="auto"/>
        <w:left w:val="none" w:sz="0" w:space="0" w:color="auto"/>
        <w:bottom w:val="none" w:sz="0" w:space="0" w:color="auto"/>
        <w:right w:val="none" w:sz="0" w:space="0" w:color="auto"/>
      </w:divBdr>
    </w:div>
    <w:div w:id="604650914">
      <w:bodyDiv w:val="1"/>
      <w:marLeft w:val="0"/>
      <w:marRight w:val="0"/>
      <w:marTop w:val="0"/>
      <w:marBottom w:val="0"/>
      <w:divBdr>
        <w:top w:val="none" w:sz="0" w:space="0" w:color="auto"/>
        <w:left w:val="none" w:sz="0" w:space="0" w:color="auto"/>
        <w:bottom w:val="none" w:sz="0" w:space="0" w:color="auto"/>
        <w:right w:val="none" w:sz="0" w:space="0" w:color="auto"/>
      </w:divBdr>
    </w:div>
    <w:div w:id="676619642">
      <w:bodyDiv w:val="1"/>
      <w:marLeft w:val="0"/>
      <w:marRight w:val="0"/>
      <w:marTop w:val="0"/>
      <w:marBottom w:val="0"/>
      <w:divBdr>
        <w:top w:val="none" w:sz="0" w:space="0" w:color="auto"/>
        <w:left w:val="none" w:sz="0" w:space="0" w:color="auto"/>
        <w:bottom w:val="none" w:sz="0" w:space="0" w:color="auto"/>
        <w:right w:val="none" w:sz="0" w:space="0" w:color="auto"/>
      </w:divBdr>
    </w:div>
    <w:div w:id="694692536">
      <w:bodyDiv w:val="1"/>
      <w:marLeft w:val="0"/>
      <w:marRight w:val="0"/>
      <w:marTop w:val="0"/>
      <w:marBottom w:val="0"/>
      <w:divBdr>
        <w:top w:val="none" w:sz="0" w:space="0" w:color="auto"/>
        <w:left w:val="none" w:sz="0" w:space="0" w:color="auto"/>
        <w:bottom w:val="none" w:sz="0" w:space="0" w:color="auto"/>
        <w:right w:val="none" w:sz="0" w:space="0" w:color="auto"/>
      </w:divBdr>
    </w:div>
    <w:div w:id="734011024">
      <w:bodyDiv w:val="1"/>
      <w:marLeft w:val="0"/>
      <w:marRight w:val="0"/>
      <w:marTop w:val="0"/>
      <w:marBottom w:val="0"/>
      <w:divBdr>
        <w:top w:val="none" w:sz="0" w:space="0" w:color="auto"/>
        <w:left w:val="none" w:sz="0" w:space="0" w:color="auto"/>
        <w:bottom w:val="none" w:sz="0" w:space="0" w:color="auto"/>
        <w:right w:val="none" w:sz="0" w:space="0" w:color="auto"/>
      </w:divBdr>
    </w:div>
    <w:div w:id="741757765">
      <w:bodyDiv w:val="1"/>
      <w:marLeft w:val="0"/>
      <w:marRight w:val="0"/>
      <w:marTop w:val="0"/>
      <w:marBottom w:val="0"/>
      <w:divBdr>
        <w:top w:val="none" w:sz="0" w:space="0" w:color="auto"/>
        <w:left w:val="none" w:sz="0" w:space="0" w:color="auto"/>
        <w:bottom w:val="none" w:sz="0" w:space="0" w:color="auto"/>
        <w:right w:val="none" w:sz="0" w:space="0" w:color="auto"/>
      </w:divBdr>
    </w:div>
    <w:div w:id="761536190">
      <w:bodyDiv w:val="1"/>
      <w:marLeft w:val="0"/>
      <w:marRight w:val="0"/>
      <w:marTop w:val="0"/>
      <w:marBottom w:val="0"/>
      <w:divBdr>
        <w:top w:val="none" w:sz="0" w:space="0" w:color="auto"/>
        <w:left w:val="none" w:sz="0" w:space="0" w:color="auto"/>
        <w:bottom w:val="none" w:sz="0" w:space="0" w:color="auto"/>
        <w:right w:val="none" w:sz="0" w:space="0" w:color="auto"/>
      </w:divBdr>
    </w:div>
    <w:div w:id="781261787">
      <w:bodyDiv w:val="1"/>
      <w:marLeft w:val="0"/>
      <w:marRight w:val="0"/>
      <w:marTop w:val="0"/>
      <w:marBottom w:val="0"/>
      <w:divBdr>
        <w:top w:val="none" w:sz="0" w:space="0" w:color="auto"/>
        <w:left w:val="none" w:sz="0" w:space="0" w:color="auto"/>
        <w:bottom w:val="none" w:sz="0" w:space="0" w:color="auto"/>
        <w:right w:val="none" w:sz="0" w:space="0" w:color="auto"/>
      </w:divBdr>
    </w:div>
    <w:div w:id="782303907">
      <w:bodyDiv w:val="1"/>
      <w:marLeft w:val="0"/>
      <w:marRight w:val="0"/>
      <w:marTop w:val="0"/>
      <w:marBottom w:val="0"/>
      <w:divBdr>
        <w:top w:val="none" w:sz="0" w:space="0" w:color="auto"/>
        <w:left w:val="none" w:sz="0" w:space="0" w:color="auto"/>
        <w:bottom w:val="none" w:sz="0" w:space="0" w:color="auto"/>
        <w:right w:val="none" w:sz="0" w:space="0" w:color="auto"/>
      </w:divBdr>
    </w:div>
    <w:div w:id="784272062">
      <w:bodyDiv w:val="1"/>
      <w:marLeft w:val="0"/>
      <w:marRight w:val="0"/>
      <w:marTop w:val="0"/>
      <w:marBottom w:val="0"/>
      <w:divBdr>
        <w:top w:val="none" w:sz="0" w:space="0" w:color="auto"/>
        <w:left w:val="none" w:sz="0" w:space="0" w:color="auto"/>
        <w:bottom w:val="none" w:sz="0" w:space="0" w:color="auto"/>
        <w:right w:val="none" w:sz="0" w:space="0" w:color="auto"/>
      </w:divBdr>
    </w:div>
    <w:div w:id="805706068">
      <w:bodyDiv w:val="1"/>
      <w:marLeft w:val="0"/>
      <w:marRight w:val="0"/>
      <w:marTop w:val="0"/>
      <w:marBottom w:val="0"/>
      <w:divBdr>
        <w:top w:val="none" w:sz="0" w:space="0" w:color="auto"/>
        <w:left w:val="none" w:sz="0" w:space="0" w:color="auto"/>
        <w:bottom w:val="none" w:sz="0" w:space="0" w:color="auto"/>
        <w:right w:val="none" w:sz="0" w:space="0" w:color="auto"/>
      </w:divBdr>
    </w:div>
    <w:div w:id="824978981">
      <w:bodyDiv w:val="1"/>
      <w:marLeft w:val="0"/>
      <w:marRight w:val="0"/>
      <w:marTop w:val="0"/>
      <w:marBottom w:val="0"/>
      <w:divBdr>
        <w:top w:val="none" w:sz="0" w:space="0" w:color="auto"/>
        <w:left w:val="none" w:sz="0" w:space="0" w:color="auto"/>
        <w:bottom w:val="none" w:sz="0" w:space="0" w:color="auto"/>
        <w:right w:val="none" w:sz="0" w:space="0" w:color="auto"/>
      </w:divBdr>
    </w:div>
    <w:div w:id="849876819">
      <w:bodyDiv w:val="1"/>
      <w:marLeft w:val="0"/>
      <w:marRight w:val="0"/>
      <w:marTop w:val="0"/>
      <w:marBottom w:val="0"/>
      <w:divBdr>
        <w:top w:val="none" w:sz="0" w:space="0" w:color="auto"/>
        <w:left w:val="none" w:sz="0" w:space="0" w:color="auto"/>
        <w:bottom w:val="none" w:sz="0" w:space="0" w:color="auto"/>
        <w:right w:val="none" w:sz="0" w:space="0" w:color="auto"/>
      </w:divBdr>
    </w:div>
    <w:div w:id="852571703">
      <w:bodyDiv w:val="1"/>
      <w:marLeft w:val="0"/>
      <w:marRight w:val="0"/>
      <w:marTop w:val="0"/>
      <w:marBottom w:val="0"/>
      <w:divBdr>
        <w:top w:val="none" w:sz="0" w:space="0" w:color="auto"/>
        <w:left w:val="none" w:sz="0" w:space="0" w:color="auto"/>
        <w:bottom w:val="none" w:sz="0" w:space="0" w:color="auto"/>
        <w:right w:val="none" w:sz="0" w:space="0" w:color="auto"/>
      </w:divBdr>
    </w:div>
    <w:div w:id="868222250">
      <w:bodyDiv w:val="1"/>
      <w:marLeft w:val="0"/>
      <w:marRight w:val="0"/>
      <w:marTop w:val="0"/>
      <w:marBottom w:val="0"/>
      <w:divBdr>
        <w:top w:val="none" w:sz="0" w:space="0" w:color="auto"/>
        <w:left w:val="none" w:sz="0" w:space="0" w:color="auto"/>
        <w:bottom w:val="none" w:sz="0" w:space="0" w:color="auto"/>
        <w:right w:val="none" w:sz="0" w:space="0" w:color="auto"/>
      </w:divBdr>
    </w:div>
    <w:div w:id="881097151">
      <w:bodyDiv w:val="1"/>
      <w:marLeft w:val="0"/>
      <w:marRight w:val="0"/>
      <w:marTop w:val="0"/>
      <w:marBottom w:val="0"/>
      <w:divBdr>
        <w:top w:val="none" w:sz="0" w:space="0" w:color="auto"/>
        <w:left w:val="none" w:sz="0" w:space="0" w:color="auto"/>
        <w:bottom w:val="none" w:sz="0" w:space="0" w:color="auto"/>
        <w:right w:val="none" w:sz="0" w:space="0" w:color="auto"/>
      </w:divBdr>
    </w:div>
    <w:div w:id="890384425">
      <w:bodyDiv w:val="1"/>
      <w:marLeft w:val="0"/>
      <w:marRight w:val="0"/>
      <w:marTop w:val="0"/>
      <w:marBottom w:val="0"/>
      <w:divBdr>
        <w:top w:val="none" w:sz="0" w:space="0" w:color="auto"/>
        <w:left w:val="none" w:sz="0" w:space="0" w:color="auto"/>
        <w:bottom w:val="none" w:sz="0" w:space="0" w:color="auto"/>
        <w:right w:val="none" w:sz="0" w:space="0" w:color="auto"/>
      </w:divBdr>
    </w:div>
    <w:div w:id="911309426">
      <w:bodyDiv w:val="1"/>
      <w:marLeft w:val="0"/>
      <w:marRight w:val="0"/>
      <w:marTop w:val="0"/>
      <w:marBottom w:val="0"/>
      <w:divBdr>
        <w:top w:val="none" w:sz="0" w:space="0" w:color="auto"/>
        <w:left w:val="none" w:sz="0" w:space="0" w:color="auto"/>
        <w:bottom w:val="none" w:sz="0" w:space="0" w:color="auto"/>
        <w:right w:val="none" w:sz="0" w:space="0" w:color="auto"/>
      </w:divBdr>
    </w:div>
    <w:div w:id="912860536">
      <w:bodyDiv w:val="1"/>
      <w:marLeft w:val="0"/>
      <w:marRight w:val="0"/>
      <w:marTop w:val="0"/>
      <w:marBottom w:val="0"/>
      <w:divBdr>
        <w:top w:val="none" w:sz="0" w:space="0" w:color="auto"/>
        <w:left w:val="none" w:sz="0" w:space="0" w:color="auto"/>
        <w:bottom w:val="none" w:sz="0" w:space="0" w:color="auto"/>
        <w:right w:val="none" w:sz="0" w:space="0" w:color="auto"/>
      </w:divBdr>
    </w:div>
    <w:div w:id="923998311">
      <w:bodyDiv w:val="1"/>
      <w:marLeft w:val="0"/>
      <w:marRight w:val="0"/>
      <w:marTop w:val="0"/>
      <w:marBottom w:val="0"/>
      <w:divBdr>
        <w:top w:val="none" w:sz="0" w:space="0" w:color="auto"/>
        <w:left w:val="none" w:sz="0" w:space="0" w:color="auto"/>
        <w:bottom w:val="none" w:sz="0" w:space="0" w:color="auto"/>
        <w:right w:val="none" w:sz="0" w:space="0" w:color="auto"/>
      </w:divBdr>
    </w:div>
    <w:div w:id="943729864">
      <w:bodyDiv w:val="1"/>
      <w:marLeft w:val="0"/>
      <w:marRight w:val="0"/>
      <w:marTop w:val="0"/>
      <w:marBottom w:val="0"/>
      <w:divBdr>
        <w:top w:val="none" w:sz="0" w:space="0" w:color="auto"/>
        <w:left w:val="none" w:sz="0" w:space="0" w:color="auto"/>
        <w:bottom w:val="none" w:sz="0" w:space="0" w:color="auto"/>
        <w:right w:val="none" w:sz="0" w:space="0" w:color="auto"/>
      </w:divBdr>
    </w:div>
    <w:div w:id="944927028">
      <w:bodyDiv w:val="1"/>
      <w:marLeft w:val="0"/>
      <w:marRight w:val="0"/>
      <w:marTop w:val="0"/>
      <w:marBottom w:val="0"/>
      <w:divBdr>
        <w:top w:val="none" w:sz="0" w:space="0" w:color="auto"/>
        <w:left w:val="none" w:sz="0" w:space="0" w:color="auto"/>
        <w:bottom w:val="none" w:sz="0" w:space="0" w:color="auto"/>
        <w:right w:val="none" w:sz="0" w:space="0" w:color="auto"/>
      </w:divBdr>
    </w:div>
    <w:div w:id="958412724">
      <w:bodyDiv w:val="1"/>
      <w:marLeft w:val="0"/>
      <w:marRight w:val="0"/>
      <w:marTop w:val="0"/>
      <w:marBottom w:val="0"/>
      <w:divBdr>
        <w:top w:val="none" w:sz="0" w:space="0" w:color="auto"/>
        <w:left w:val="none" w:sz="0" w:space="0" w:color="auto"/>
        <w:bottom w:val="none" w:sz="0" w:space="0" w:color="auto"/>
        <w:right w:val="none" w:sz="0" w:space="0" w:color="auto"/>
      </w:divBdr>
    </w:div>
    <w:div w:id="968511216">
      <w:bodyDiv w:val="1"/>
      <w:marLeft w:val="0"/>
      <w:marRight w:val="0"/>
      <w:marTop w:val="0"/>
      <w:marBottom w:val="0"/>
      <w:divBdr>
        <w:top w:val="none" w:sz="0" w:space="0" w:color="auto"/>
        <w:left w:val="none" w:sz="0" w:space="0" w:color="auto"/>
        <w:bottom w:val="none" w:sz="0" w:space="0" w:color="auto"/>
        <w:right w:val="none" w:sz="0" w:space="0" w:color="auto"/>
      </w:divBdr>
    </w:div>
    <w:div w:id="1019282357">
      <w:bodyDiv w:val="1"/>
      <w:marLeft w:val="0"/>
      <w:marRight w:val="0"/>
      <w:marTop w:val="0"/>
      <w:marBottom w:val="0"/>
      <w:divBdr>
        <w:top w:val="none" w:sz="0" w:space="0" w:color="auto"/>
        <w:left w:val="none" w:sz="0" w:space="0" w:color="auto"/>
        <w:bottom w:val="none" w:sz="0" w:space="0" w:color="auto"/>
        <w:right w:val="none" w:sz="0" w:space="0" w:color="auto"/>
      </w:divBdr>
    </w:div>
    <w:div w:id="1052728739">
      <w:bodyDiv w:val="1"/>
      <w:marLeft w:val="0"/>
      <w:marRight w:val="0"/>
      <w:marTop w:val="0"/>
      <w:marBottom w:val="0"/>
      <w:divBdr>
        <w:top w:val="none" w:sz="0" w:space="0" w:color="auto"/>
        <w:left w:val="none" w:sz="0" w:space="0" w:color="auto"/>
        <w:bottom w:val="none" w:sz="0" w:space="0" w:color="auto"/>
        <w:right w:val="none" w:sz="0" w:space="0" w:color="auto"/>
      </w:divBdr>
    </w:div>
    <w:div w:id="1057629243">
      <w:bodyDiv w:val="1"/>
      <w:marLeft w:val="0"/>
      <w:marRight w:val="0"/>
      <w:marTop w:val="0"/>
      <w:marBottom w:val="0"/>
      <w:divBdr>
        <w:top w:val="none" w:sz="0" w:space="0" w:color="auto"/>
        <w:left w:val="none" w:sz="0" w:space="0" w:color="auto"/>
        <w:bottom w:val="none" w:sz="0" w:space="0" w:color="auto"/>
        <w:right w:val="none" w:sz="0" w:space="0" w:color="auto"/>
      </w:divBdr>
    </w:div>
    <w:div w:id="1102527784">
      <w:bodyDiv w:val="1"/>
      <w:marLeft w:val="0"/>
      <w:marRight w:val="0"/>
      <w:marTop w:val="0"/>
      <w:marBottom w:val="0"/>
      <w:divBdr>
        <w:top w:val="none" w:sz="0" w:space="0" w:color="auto"/>
        <w:left w:val="none" w:sz="0" w:space="0" w:color="auto"/>
        <w:bottom w:val="none" w:sz="0" w:space="0" w:color="auto"/>
        <w:right w:val="none" w:sz="0" w:space="0" w:color="auto"/>
      </w:divBdr>
    </w:div>
    <w:div w:id="1105150982">
      <w:bodyDiv w:val="1"/>
      <w:marLeft w:val="0"/>
      <w:marRight w:val="0"/>
      <w:marTop w:val="0"/>
      <w:marBottom w:val="0"/>
      <w:divBdr>
        <w:top w:val="none" w:sz="0" w:space="0" w:color="auto"/>
        <w:left w:val="none" w:sz="0" w:space="0" w:color="auto"/>
        <w:bottom w:val="none" w:sz="0" w:space="0" w:color="auto"/>
        <w:right w:val="none" w:sz="0" w:space="0" w:color="auto"/>
      </w:divBdr>
      <w:divsChild>
        <w:div w:id="289894865">
          <w:marLeft w:val="533"/>
          <w:marRight w:val="0"/>
          <w:marTop w:val="230"/>
          <w:marBottom w:val="0"/>
          <w:divBdr>
            <w:top w:val="none" w:sz="0" w:space="0" w:color="auto"/>
            <w:left w:val="none" w:sz="0" w:space="0" w:color="auto"/>
            <w:bottom w:val="none" w:sz="0" w:space="0" w:color="auto"/>
            <w:right w:val="none" w:sz="0" w:space="0" w:color="auto"/>
          </w:divBdr>
        </w:div>
        <w:div w:id="297106642">
          <w:marLeft w:val="533"/>
          <w:marRight w:val="0"/>
          <w:marTop w:val="230"/>
          <w:marBottom w:val="0"/>
          <w:divBdr>
            <w:top w:val="none" w:sz="0" w:space="0" w:color="auto"/>
            <w:left w:val="none" w:sz="0" w:space="0" w:color="auto"/>
            <w:bottom w:val="none" w:sz="0" w:space="0" w:color="auto"/>
            <w:right w:val="none" w:sz="0" w:space="0" w:color="auto"/>
          </w:divBdr>
        </w:div>
        <w:div w:id="1774015202">
          <w:marLeft w:val="533"/>
          <w:marRight w:val="0"/>
          <w:marTop w:val="230"/>
          <w:marBottom w:val="0"/>
          <w:divBdr>
            <w:top w:val="none" w:sz="0" w:space="0" w:color="auto"/>
            <w:left w:val="none" w:sz="0" w:space="0" w:color="auto"/>
            <w:bottom w:val="none" w:sz="0" w:space="0" w:color="auto"/>
            <w:right w:val="none" w:sz="0" w:space="0" w:color="auto"/>
          </w:divBdr>
        </w:div>
        <w:div w:id="2033728823">
          <w:marLeft w:val="533"/>
          <w:marRight w:val="0"/>
          <w:marTop w:val="230"/>
          <w:marBottom w:val="0"/>
          <w:divBdr>
            <w:top w:val="none" w:sz="0" w:space="0" w:color="auto"/>
            <w:left w:val="none" w:sz="0" w:space="0" w:color="auto"/>
            <w:bottom w:val="none" w:sz="0" w:space="0" w:color="auto"/>
            <w:right w:val="none" w:sz="0" w:space="0" w:color="auto"/>
          </w:divBdr>
        </w:div>
      </w:divsChild>
    </w:div>
    <w:div w:id="1127505036">
      <w:bodyDiv w:val="1"/>
      <w:marLeft w:val="0"/>
      <w:marRight w:val="0"/>
      <w:marTop w:val="0"/>
      <w:marBottom w:val="0"/>
      <w:divBdr>
        <w:top w:val="none" w:sz="0" w:space="0" w:color="auto"/>
        <w:left w:val="none" w:sz="0" w:space="0" w:color="auto"/>
        <w:bottom w:val="none" w:sz="0" w:space="0" w:color="auto"/>
        <w:right w:val="none" w:sz="0" w:space="0" w:color="auto"/>
      </w:divBdr>
    </w:div>
    <w:div w:id="1130242306">
      <w:bodyDiv w:val="1"/>
      <w:marLeft w:val="0"/>
      <w:marRight w:val="0"/>
      <w:marTop w:val="0"/>
      <w:marBottom w:val="0"/>
      <w:divBdr>
        <w:top w:val="none" w:sz="0" w:space="0" w:color="auto"/>
        <w:left w:val="none" w:sz="0" w:space="0" w:color="auto"/>
        <w:bottom w:val="none" w:sz="0" w:space="0" w:color="auto"/>
        <w:right w:val="none" w:sz="0" w:space="0" w:color="auto"/>
      </w:divBdr>
    </w:div>
    <w:div w:id="1132677646">
      <w:bodyDiv w:val="1"/>
      <w:marLeft w:val="0"/>
      <w:marRight w:val="0"/>
      <w:marTop w:val="0"/>
      <w:marBottom w:val="0"/>
      <w:divBdr>
        <w:top w:val="none" w:sz="0" w:space="0" w:color="auto"/>
        <w:left w:val="none" w:sz="0" w:space="0" w:color="auto"/>
        <w:bottom w:val="none" w:sz="0" w:space="0" w:color="auto"/>
        <w:right w:val="none" w:sz="0" w:space="0" w:color="auto"/>
      </w:divBdr>
    </w:div>
    <w:div w:id="1157451486">
      <w:bodyDiv w:val="1"/>
      <w:marLeft w:val="0"/>
      <w:marRight w:val="0"/>
      <w:marTop w:val="0"/>
      <w:marBottom w:val="0"/>
      <w:divBdr>
        <w:top w:val="none" w:sz="0" w:space="0" w:color="auto"/>
        <w:left w:val="none" w:sz="0" w:space="0" w:color="auto"/>
        <w:bottom w:val="none" w:sz="0" w:space="0" w:color="auto"/>
        <w:right w:val="none" w:sz="0" w:space="0" w:color="auto"/>
      </w:divBdr>
    </w:div>
    <w:div w:id="1163857851">
      <w:bodyDiv w:val="1"/>
      <w:marLeft w:val="0"/>
      <w:marRight w:val="0"/>
      <w:marTop w:val="0"/>
      <w:marBottom w:val="0"/>
      <w:divBdr>
        <w:top w:val="none" w:sz="0" w:space="0" w:color="auto"/>
        <w:left w:val="none" w:sz="0" w:space="0" w:color="auto"/>
        <w:bottom w:val="none" w:sz="0" w:space="0" w:color="auto"/>
        <w:right w:val="none" w:sz="0" w:space="0" w:color="auto"/>
      </w:divBdr>
      <w:divsChild>
        <w:div w:id="1801073182">
          <w:marLeft w:val="0"/>
          <w:marRight w:val="0"/>
          <w:marTop w:val="0"/>
          <w:marBottom w:val="0"/>
          <w:divBdr>
            <w:top w:val="none" w:sz="0" w:space="0" w:color="auto"/>
            <w:left w:val="none" w:sz="0" w:space="0" w:color="auto"/>
            <w:bottom w:val="none" w:sz="0" w:space="0" w:color="auto"/>
            <w:right w:val="none" w:sz="0" w:space="0" w:color="auto"/>
          </w:divBdr>
        </w:div>
      </w:divsChild>
    </w:div>
    <w:div w:id="1175804768">
      <w:bodyDiv w:val="1"/>
      <w:marLeft w:val="0"/>
      <w:marRight w:val="0"/>
      <w:marTop w:val="0"/>
      <w:marBottom w:val="0"/>
      <w:divBdr>
        <w:top w:val="none" w:sz="0" w:space="0" w:color="auto"/>
        <w:left w:val="none" w:sz="0" w:space="0" w:color="auto"/>
        <w:bottom w:val="none" w:sz="0" w:space="0" w:color="auto"/>
        <w:right w:val="none" w:sz="0" w:space="0" w:color="auto"/>
      </w:divBdr>
    </w:div>
    <w:div w:id="1183325320">
      <w:bodyDiv w:val="1"/>
      <w:marLeft w:val="0"/>
      <w:marRight w:val="0"/>
      <w:marTop w:val="0"/>
      <w:marBottom w:val="0"/>
      <w:divBdr>
        <w:top w:val="none" w:sz="0" w:space="0" w:color="auto"/>
        <w:left w:val="none" w:sz="0" w:space="0" w:color="auto"/>
        <w:bottom w:val="none" w:sz="0" w:space="0" w:color="auto"/>
        <w:right w:val="none" w:sz="0" w:space="0" w:color="auto"/>
      </w:divBdr>
    </w:div>
    <w:div w:id="1199662999">
      <w:bodyDiv w:val="1"/>
      <w:marLeft w:val="0"/>
      <w:marRight w:val="0"/>
      <w:marTop w:val="0"/>
      <w:marBottom w:val="0"/>
      <w:divBdr>
        <w:top w:val="none" w:sz="0" w:space="0" w:color="auto"/>
        <w:left w:val="none" w:sz="0" w:space="0" w:color="auto"/>
        <w:bottom w:val="none" w:sz="0" w:space="0" w:color="auto"/>
        <w:right w:val="none" w:sz="0" w:space="0" w:color="auto"/>
      </w:divBdr>
      <w:divsChild>
        <w:div w:id="197818917">
          <w:marLeft w:val="1166"/>
          <w:marRight w:val="0"/>
          <w:marTop w:val="120"/>
          <w:marBottom w:val="120"/>
          <w:divBdr>
            <w:top w:val="none" w:sz="0" w:space="0" w:color="auto"/>
            <w:left w:val="none" w:sz="0" w:space="0" w:color="auto"/>
            <w:bottom w:val="none" w:sz="0" w:space="0" w:color="auto"/>
            <w:right w:val="none" w:sz="0" w:space="0" w:color="auto"/>
          </w:divBdr>
        </w:div>
        <w:div w:id="400103527">
          <w:marLeft w:val="1166"/>
          <w:marRight w:val="0"/>
          <w:marTop w:val="120"/>
          <w:marBottom w:val="120"/>
          <w:divBdr>
            <w:top w:val="none" w:sz="0" w:space="0" w:color="auto"/>
            <w:left w:val="none" w:sz="0" w:space="0" w:color="auto"/>
            <w:bottom w:val="none" w:sz="0" w:space="0" w:color="auto"/>
            <w:right w:val="none" w:sz="0" w:space="0" w:color="auto"/>
          </w:divBdr>
        </w:div>
        <w:div w:id="673843400">
          <w:marLeft w:val="533"/>
          <w:marRight w:val="0"/>
          <w:marTop w:val="120"/>
          <w:marBottom w:val="120"/>
          <w:divBdr>
            <w:top w:val="none" w:sz="0" w:space="0" w:color="auto"/>
            <w:left w:val="none" w:sz="0" w:space="0" w:color="auto"/>
            <w:bottom w:val="none" w:sz="0" w:space="0" w:color="auto"/>
            <w:right w:val="none" w:sz="0" w:space="0" w:color="auto"/>
          </w:divBdr>
        </w:div>
      </w:divsChild>
    </w:div>
    <w:div w:id="1201557231">
      <w:bodyDiv w:val="1"/>
      <w:marLeft w:val="0"/>
      <w:marRight w:val="0"/>
      <w:marTop w:val="0"/>
      <w:marBottom w:val="0"/>
      <w:divBdr>
        <w:top w:val="none" w:sz="0" w:space="0" w:color="auto"/>
        <w:left w:val="none" w:sz="0" w:space="0" w:color="auto"/>
        <w:bottom w:val="none" w:sz="0" w:space="0" w:color="auto"/>
        <w:right w:val="none" w:sz="0" w:space="0" w:color="auto"/>
      </w:divBdr>
    </w:div>
    <w:div w:id="1208957744">
      <w:bodyDiv w:val="1"/>
      <w:marLeft w:val="0"/>
      <w:marRight w:val="0"/>
      <w:marTop w:val="0"/>
      <w:marBottom w:val="0"/>
      <w:divBdr>
        <w:top w:val="none" w:sz="0" w:space="0" w:color="auto"/>
        <w:left w:val="none" w:sz="0" w:space="0" w:color="auto"/>
        <w:bottom w:val="none" w:sz="0" w:space="0" w:color="auto"/>
        <w:right w:val="none" w:sz="0" w:space="0" w:color="auto"/>
      </w:divBdr>
    </w:div>
    <w:div w:id="1236552298">
      <w:bodyDiv w:val="1"/>
      <w:marLeft w:val="0"/>
      <w:marRight w:val="0"/>
      <w:marTop w:val="0"/>
      <w:marBottom w:val="0"/>
      <w:divBdr>
        <w:top w:val="none" w:sz="0" w:space="0" w:color="auto"/>
        <w:left w:val="none" w:sz="0" w:space="0" w:color="auto"/>
        <w:bottom w:val="none" w:sz="0" w:space="0" w:color="auto"/>
        <w:right w:val="none" w:sz="0" w:space="0" w:color="auto"/>
      </w:divBdr>
    </w:div>
    <w:div w:id="1257136435">
      <w:bodyDiv w:val="1"/>
      <w:marLeft w:val="0"/>
      <w:marRight w:val="0"/>
      <w:marTop w:val="0"/>
      <w:marBottom w:val="0"/>
      <w:divBdr>
        <w:top w:val="none" w:sz="0" w:space="0" w:color="auto"/>
        <w:left w:val="none" w:sz="0" w:space="0" w:color="auto"/>
        <w:bottom w:val="none" w:sz="0" w:space="0" w:color="auto"/>
        <w:right w:val="none" w:sz="0" w:space="0" w:color="auto"/>
      </w:divBdr>
    </w:div>
    <w:div w:id="1261138427">
      <w:bodyDiv w:val="1"/>
      <w:marLeft w:val="0"/>
      <w:marRight w:val="0"/>
      <w:marTop w:val="0"/>
      <w:marBottom w:val="0"/>
      <w:divBdr>
        <w:top w:val="none" w:sz="0" w:space="0" w:color="auto"/>
        <w:left w:val="none" w:sz="0" w:space="0" w:color="auto"/>
        <w:bottom w:val="none" w:sz="0" w:space="0" w:color="auto"/>
        <w:right w:val="none" w:sz="0" w:space="0" w:color="auto"/>
      </w:divBdr>
    </w:div>
    <w:div w:id="1269922953">
      <w:bodyDiv w:val="1"/>
      <w:marLeft w:val="0"/>
      <w:marRight w:val="0"/>
      <w:marTop w:val="0"/>
      <w:marBottom w:val="0"/>
      <w:divBdr>
        <w:top w:val="none" w:sz="0" w:space="0" w:color="auto"/>
        <w:left w:val="none" w:sz="0" w:space="0" w:color="auto"/>
        <w:bottom w:val="none" w:sz="0" w:space="0" w:color="auto"/>
        <w:right w:val="none" w:sz="0" w:space="0" w:color="auto"/>
      </w:divBdr>
    </w:div>
    <w:div w:id="1294555204">
      <w:bodyDiv w:val="1"/>
      <w:marLeft w:val="0"/>
      <w:marRight w:val="0"/>
      <w:marTop w:val="0"/>
      <w:marBottom w:val="0"/>
      <w:divBdr>
        <w:top w:val="none" w:sz="0" w:space="0" w:color="auto"/>
        <w:left w:val="none" w:sz="0" w:space="0" w:color="auto"/>
        <w:bottom w:val="none" w:sz="0" w:space="0" w:color="auto"/>
        <w:right w:val="none" w:sz="0" w:space="0" w:color="auto"/>
      </w:divBdr>
    </w:div>
    <w:div w:id="1322351289">
      <w:bodyDiv w:val="1"/>
      <w:marLeft w:val="0"/>
      <w:marRight w:val="0"/>
      <w:marTop w:val="0"/>
      <w:marBottom w:val="0"/>
      <w:divBdr>
        <w:top w:val="none" w:sz="0" w:space="0" w:color="auto"/>
        <w:left w:val="none" w:sz="0" w:space="0" w:color="auto"/>
        <w:bottom w:val="none" w:sz="0" w:space="0" w:color="auto"/>
        <w:right w:val="none" w:sz="0" w:space="0" w:color="auto"/>
      </w:divBdr>
    </w:div>
    <w:div w:id="1339773808">
      <w:bodyDiv w:val="1"/>
      <w:marLeft w:val="0"/>
      <w:marRight w:val="0"/>
      <w:marTop w:val="0"/>
      <w:marBottom w:val="0"/>
      <w:divBdr>
        <w:top w:val="none" w:sz="0" w:space="0" w:color="auto"/>
        <w:left w:val="none" w:sz="0" w:space="0" w:color="auto"/>
        <w:bottom w:val="none" w:sz="0" w:space="0" w:color="auto"/>
        <w:right w:val="none" w:sz="0" w:space="0" w:color="auto"/>
      </w:divBdr>
    </w:div>
    <w:div w:id="1348365530">
      <w:bodyDiv w:val="1"/>
      <w:marLeft w:val="0"/>
      <w:marRight w:val="0"/>
      <w:marTop w:val="0"/>
      <w:marBottom w:val="0"/>
      <w:divBdr>
        <w:top w:val="none" w:sz="0" w:space="0" w:color="auto"/>
        <w:left w:val="none" w:sz="0" w:space="0" w:color="auto"/>
        <w:bottom w:val="none" w:sz="0" w:space="0" w:color="auto"/>
        <w:right w:val="none" w:sz="0" w:space="0" w:color="auto"/>
      </w:divBdr>
    </w:div>
    <w:div w:id="1368068915">
      <w:bodyDiv w:val="1"/>
      <w:marLeft w:val="0"/>
      <w:marRight w:val="0"/>
      <w:marTop w:val="0"/>
      <w:marBottom w:val="0"/>
      <w:divBdr>
        <w:top w:val="none" w:sz="0" w:space="0" w:color="auto"/>
        <w:left w:val="none" w:sz="0" w:space="0" w:color="auto"/>
        <w:bottom w:val="none" w:sz="0" w:space="0" w:color="auto"/>
        <w:right w:val="none" w:sz="0" w:space="0" w:color="auto"/>
      </w:divBdr>
    </w:div>
    <w:div w:id="1370762707">
      <w:bodyDiv w:val="1"/>
      <w:marLeft w:val="0"/>
      <w:marRight w:val="0"/>
      <w:marTop w:val="0"/>
      <w:marBottom w:val="0"/>
      <w:divBdr>
        <w:top w:val="none" w:sz="0" w:space="0" w:color="auto"/>
        <w:left w:val="none" w:sz="0" w:space="0" w:color="auto"/>
        <w:bottom w:val="none" w:sz="0" w:space="0" w:color="auto"/>
        <w:right w:val="none" w:sz="0" w:space="0" w:color="auto"/>
      </w:divBdr>
    </w:div>
    <w:div w:id="1406102350">
      <w:bodyDiv w:val="1"/>
      <w:marLeft w:val="0"/>
      <w:marRight w:val="0"/>
      <w:marTop w:val="0"/>
      <w:marBottom w:val="0"/>
      <w:divBdr>
        <w:top w:val="none" w:sz="0" w:space="0" w:color="auto"/>
        <w:left w:val="none" w:sz="0" w:space="0" w:color="auto"/>
        <w:bottom w:val="none" w:sz="0" w:space="0" w:color="auto"/>
        <w:right w:val="none" w:sz="0" w:space="0" w:color="auto"/>
      </w:divBdr>
      <w:divsChild>
        <w:div w:id="116607603">
          <w:marLeft w:val="1166"/>
          <w:marRight w:val="0"/>
          <w:marTop w:val="211"/>
          <w:marBottom w:val="0"/>
          <w:divBdr>
            <w:top w:val="none" w:sz="0" w:space="0" w:color="auto"/>
            <w:left w:val="none" w:sz="0" w:space="0" w:color="auto"/>
            <w:bottom w:val="none" w:sz="0" w:space="0" w:color="auto"/>
            <w:right w:val="none" w:sz="0" w:space="0" w:color="auto"/>
          </w:divBdr>
        </w:div>
        <w:div w:id="1151631256">
          <w:marLeft w:val="1166"/>
          <w:marRight w:val="0"/>
          <w:marTop w:val="211"/>
          <w:marBottom w:val="0"/>
          <w:divBdr>
            <w:top w:val="none" w:sz="0" w:space="0" w:color="auto"/>
            <w:left w:val="none" w:sz="0" w:space="0" w:color="auto"/>
            <w:bottom w:val="none" w:sz="0" w:space="0" w:color="auto"/>
            <w:right w:val="none" w:sz="0" w:space="0" w:color="auto"/>
          </w:divBdr>
        </w:div>
        <w:div w:id="1184366736">
          <w:marLeft w:val="533"/>
          <w:marRight w:val="0"/>
          <w:marTop w:val="211"/>
          <w:marBottom w:val="0"/>
          <w:divBdr>
            <w:top w:val="none" w:sz="0" w:space="0" w:color="auto"/>
            <w:left w:val="none" w:sz="0" w:space="0" w:color="auto"/>
            <w:bottom w:val="none" w:sz="0" w:space="0" w:color="auto"/>
            <w:right w:val="none" w:sz="0" w:space="0" w:color="auto"/>
          </w:divBdr>
        </w:div>
        <w:div w:id="1330989285">
          <w:marLeft w:val="533"/>
          <w:marRight w:val="0"/>
          <w:marTop w:val="211"/>
          <w:marBottom w:val="0"/>
          <w:divBdr>
            <w:top w:val="none" w:sz="0" w:space="0" w:color="auto"/>
            <w:left w:val="none" w:sz="0" w:space="0" w:color="auto"/>
            <w:bottom w:val="none" w:sz="0" w:space="0" w:color="auto"/>
            <w:right w:val="none" w:sz="0" w:space="0" w:color="auto"/>
          </w:divBdr>
        </w:div>
        <w:div w:id="1488984031">
          <w:marLeft w:val="1166"/>
          <w:marRight w:val="0"/>
          <w:marTop w:val="211"/>
          <w:marBottom w:val="0"/>
          <w:divBdr>
            <w:top w:val="none" w:sz="0" w:space="0" w:color="auto"/>
            <w:left w:val="none" w:sz="0" w:space="0" w:color="auto"/>
            <w:bottom w:val="none" w:sz="0" w:space="0" w:color="auto"/>
            <w:right w:val="none" w:sz="0" w:space="0" w:color="auto"/>
          </w:divBdr>
        </w:div>
        <w:div w:id="2003241679">
          <w:marLeft w:val="533"/>
          <w:marRight w:val="0"/>
          <w:marTop w:val="211"/>
          <w:marBottom w:val="0"/>
          <w:divBdr>
            <w:top w:val="none" w:sz="0" w:space="0" w:color="auto"/>
            <w:left w:val="none" w:sz="0" w:space="0" w:color="auto"/>
            <w:bottom w:val="none" w:sz="0" w:space="0" w:color="auto"/>
            <w:right w:val="none" w:sz="0" w:space="0" w:color="auto"/>
          </w:divBdr>
        </w:div>
        <w:div w:id="2140566004">
          <w:marLeft w:val="533"/>
          <w:marRight w:val="0"/>
          <w:marTop w:val="218"/>
          <w:marBottom w:val="0"/>
          <w:divBdr>
            <w:top w:val="none" w:sz="0" w:space="0" w:color="auto"/>
            <w:left w:val="none" w:sz="0" w:space="0" w:color="auto"/>
            <w:bottom w:val="none" w:sz="0" w:space="0" w:color="auto"/>
            <w:right w:val="none" w:sz="0" w:space="0" w:color="auto"/>
          </w:divBdr>
        </w:div>
      </w:divsChild>
    </w:div>
    <w:div w:id="1444181264">
      <w:bodyDiv w:val="1"/>
      <w:marLeft w:val="0"/>
      <w:marRight w:val="0"/>
      <w:marTop w:val="0"/>
      <w:marBottom w:val="0"/>
      <w:divBdr>
        <w:top w:val="none" w:sz="0" w:space="0" w:color="auto"/>
        <w:left w:val="none" w:sz="0" w:space="0" w:color="auto"/>
        <w:bottom w:val="none" w:sz="0" w:space="0" w:color="auto"/>
        <w:right w:val="none" w:sz="0" w:space="0" w:color="auto"/>
      </w:divBdr>
    </w:div>
    <w:div w:id="1445880454">
      <w:bodyDiv w:val="1"/>
      <w:marLeft w:val="0"/>
      <w:marRight w:val="0"/>
      <w:marTop w:val="0"/>
      <w:marBottom w:val="0"/>
      <w:divBdr>
        <w:top w:val="none" w:sz="0" w:space="0" w:color="auto"/>
        <w:left w:val="none" w:sz="0" w:space="0" w:color="auto"/>
        <w:bottom w:val="none" w:sz="0" w:space="0" w:color="auto"/>
        <w:right w:val="none" w:sz="0" w:space="0" w:color="auto"/>
      </w:divBdr>
    </w:div>
    <w:div w:id="1484275365">
      <w:bodyDiv w:val="1"/>
      <w:marLeft w:val="0"/>
      <w:marRight w:val="0"/>
      <w:marTop w:val="0"/>
      <w:marBottom w:val="0"/>
      <w:divBdr>
        <w:top w:val="none" w:sz="0" w:space="0" w:color="auto"/>
        <w:left w:val="none" w:sz="0" w:space="0" w:color="auto"/>
        <w:bottom w:val="none" w:sz="0" w:space="0" w:color="auto"/>
        <w:right w:val="none" w:sz="0" w:space="0" w:color="auto"/>
      </w:divBdr>
    </w:div>
    <w:div w:id="1510946066">
      <w:bodyDiv w:val="1"/>
      <w:marLeft w:val="0"/>
      <w:marRight w:val="0"/>
      <w:marTop w:val="0"/>
      <w:marBottom w:val="0"/>
      <w:divBdr>
        <w:top w:val="none" w:sz="0" w:space="0" w:color="auto"/>
        <w:left w:val="none" w:sz="0" w:space="0" w:color="auto"/>
        <w:bottom w:val="none" w:sz="0" w:space="0" w:color="auto"/>
        <w:right w:val="none" w:sz="0" w:space="0" w:color="auto"/>
      </w:divBdr>
      <w:divsChild>
        <w:div w:id="375084278">
          <w:marLeft w:val="533"/>
          <w:marRight w:val="0"/>
          <w:marTop w:val="230"/>
          <w:marBottom w:val="0"/>
          <w:divBdr>
            <w:top w:val="none" w:sz="0" w:space="0" w:color="auto"/>
            <w:left w:val="none" w:sz="0" w:space="0" w:color="auto"/>
            <w:bottom w:val="none" w:sz="0" w:space="0" w:color="auto"/>
            <w:right w:val="none" w:sz="0" w:space="0" w:color="auto"/>
          </w:divBdr>
        </w:div>
        <w:div w:id="400639430">
          <w:marLeft w:val="533"/>
          <w:marRight w:val="0"/>
          <w:marTop w:val="230"/>
          <w:marBottom w:val="0"/>
          <w:divBdr>
            <w:top w:val="none" w:sz="0" w:space="0" w:color="auto"/>
            <w:left w:val="none" w:sz="0" w:space="0" w:color="auto"/>
            <w:bottom w:val="none" w:sz="0" w:space="0" w:color="auto"/>
            <w:right w:val="none" w:sz="0" w:space="0" w:color="auto"/>
          </w:divBdr>
        </w:div>
        <w:div w:id="1452166979">
          <w:marLeft w:val="533"/>
          <w:marRight w:val="0"/>
          <w:marTop w:val="230"/>
          <w:marBottom w:val="0"/>
          <w:divBdr>
            <w:top w:val="none" w:sz="0" w:space="0" w:color="auto"/>
            <w:left w:val="none" w:sz="0" w:space="0" w:color="auto"/>
            <w:bottom w:val="none" w:sz="0" w:space="0" w:color="auto"/>
            <w:right w:val="none" w:sz="0" w:space="0" w:color="auto"/>
          </w:divBdr>
        </w:div>
        <w:div w:id="1971938595">
          <w:marLeft w:val="533"/>
          <w:marRight w:val="0"/>
          <w:marTop w:val="230"/>
          <w:marBottom w:val="0"/>
          <w:divBdr>
            <w:top w:val="none" w:sz="0" w:space="0" w:color="auto"/>
            <w:left w:val="none" w:sz="0" w:space="0" w:color="auto"/>
            <w:bottom w:val="none" w:sz="0" w:space="0" w:color="auto"/>
            <w:right w:val="none" w:sz="0" w:space="0" w:color="auto"/>
          </w:divBdr>
        </w:div>
      </w:divsChild>
    </w:div>
    <w:div w:id="1520700024">
      <w:bodyDiv w:val="1"/>
      <w:marLeft w:val="0"/>
      <w:marRight w:val="0"/>
      <w:marTop w:val="0"/>
      <w:marBottom w:val="0"/>
      <w:divBdr>
        <w:top w:val="none" w:sz="0" w:space="0" w:color="auto"/>
        <w:left w:val="none" w:sz="0" w:space="0" w:color="auto"/>
        <w:bottom w:val="none" w:sz="0" w:space="0" w:color="auto"/>
        <w:right w:val="none" w:sz="0" w:space="0" w:color="auto"/>
      </w:divBdr>
    </w:div>
    <w:div w:id="1545019186">
      <w:bodyDiv w:val="1"/>
      <w:marLeft w:val="0"/>
      <w:marRight w:val="0"/>
      <w:marTop w:val="0"/>
      <w:marBottom w:val="0"/>
      <w:divBdr>
        <w:top w:val="none" w:sz="0" w:space="0" w:color="auto"/>
        <w:left w:val="none" w:sz="0" w:space="0" w:color="auto"/>
        <w:bottom w:val="none" w:sz="0" w:space="0" w:color="auto"/>
        <w:right w:val="none" w:sz="0" w:space="0" w:color="auto"/>
      </w:divBdr>
    </w:div>
    <w:div w:id="1555308462">
      <w:bodyDiv w:val="1"/>
      <w:marLeft w:val="0"/>
      <w:marRight w:val="0"/>
      <w:marTop w:val="0"/>
      <w:marBottom w:val="0"/>
      <w:divBdr>
        <w:top w:val="none" w:sz="0" w:space="0" w:color="auto"/>
        <w:left w:val="none" w:sz="0" w:space="0" w:color="auto"/>
        <w:bottom w:val="none" w:sz="0" w:space="0" w:color="auto"/>
        <w:right w:val="none" w:sz="0" w:space="0" w:color="auto"/>
      </w:divBdr>
      <w:divsChild>
        <w:div w:id="1039091833">
          <w:marLeft w:val="0"/>
          <w:marRight w:val="0"/>
          <w:marTop w:val="0"/>
          <w:marBottom w:val="0"/>
          <w:divBdr>
            <w:top w:val="none" w:sz="0" w:space="0" w:color="auto"/>
            <w:left w:val="none" w:sz="0" w:space="0" w:color="auto"/>
            <w:bottom w:val="none" w:sz="0" w:space="0" w:color="auto"/>
            <w:right w:val="none" w:sz="0" w:space="0" w:color="auto"/>
          </w:divBdr>
        </w:div>
      </w:divsChild>
    </w:div>
    <w:div w:id="1571302995">
      <w:bodyDiv w:val="1"/>
      <w:marLeft w:val="0"/>
      <w:marRight w:val="0"/>
      <w:marTop w:val="0"/>
      <w:marBottom w:val="0"/>
      <w:divBdr>
        <w:top w:val="none" w:sz="0" w:space="0" w:color="auto"/>
        <w:left w:val="none" w:sz="0" w:space="0" w:color="auto"/>
        <w:bottom w:val="none" w:sz="0" w:space="0" w:color="auto"/>
        <w:right w:val="none" w:sz="0" w:space="0" w:color="auto"/>
      </w:divBdr>
    </w:div>
    <w:div w:id="1607039348">
      <w:bodyDiv w:val="1"/>
      <w:marLeft w:val="0"/>
      <w:marRight w:val="0"/>
      <w:marTop w:val="0"/>
      <w:marBottom w:val="0"/>
      <w:divBdr>
        <w:top w:val="none" w:sz="0" w:space="0" w:color="auto"/>
        <w:left w:val="none" w:sz="0" w:space="0" w:color="auto"/>
        <w:bottom w:val="none" w:sz="0" w:space="0" w:color="auto"/>
        <w:right w:val="none" w:sz="0" w:space="0" w:color="auto"/>
      </w:divBdr>
    </w:div>
    <w:div w:id="1616717545">
      <w:bodyDiv w:val="1"/>
      <w:marLeft w:val="0"/>
      <w:marRight w:val="0"/>
      <w:marTop w:val="0"/>
      <w:marBottom w:val="0"/>
      <w:divBdr>
        <w:top w:val="none" w:sz="0" w:space="0" w:color="auto"/>
        <w:left w:val="none" w:sz="0" w:space="0" w:color="auto"/>
        <w:bottom w:val="none" w:sz="0" w:space="0" w:color="auto"/>
        <w:right w:val="none" w:sz="0" w:space="0" w:color="auto"/>
      </w:divBdr>
      <w:divsChild>
        <w:div w:id="450049510">
          <w:marLeft w:val="0"/>
          <w:marRight w:val="0"/>
          <w:marTop w:val="0"/>
          <w:marBottom w:val="0"/>
          <w:divBdr>
            <w:top w:val="none" w:sz="0" w:space="0" w:color="auto"/>
            <w:left w:val="none" w:sz="0" w:space="0" w:color="auto"/>
            <w:bottom w:val="none" w:sz="0" w:space="0" w:color="auto"/>
            <w:right w:val="none" w:sz="0" w:space="0" w:color="auto"/>
          </w:divBdr>
        </w:div>
      </w:divsChild>
    </w:div>
    <w:div w:id="1617560105">
      <w:bodyDiv w:val="1"/>
      <w:marLeft w:val="0"/>
      <w:marRight w:val="0"/>
      <w:marTop w:val="0"/>
      <w:marBottom w:val="0"/>
      <w:divBdr>
        <w:top w:val="none" w:sz="0" w:space="0" w:color="auto"/>
        <w:left w:val="none" w:sz="0" w:space="0" w:color="auto"/>
        <w:bottom w:val="none" w:sz="0" w:space="0" w:color="auto"/>
        <w:right w:val="none" w:sz="0" w:space="0" w:color="auto"/>
      </w:divBdr>
    </w:div>
    <w:div w:id="1641763670">
      <w:bodyDiv w:val="1"/>
      <w:marLeft w:val="0"/>
      <w:marRight w:val="0"/>
      <w:marTop w:val="0"/>
      <w:marBottom w:val="0"/>
      <w:divBdr>
        <w:top w:val="none" w:sz="0" w:space="0" w:color="auto"/>
        <w:left w:val="none" w:sz="0" w:space="0" w:color="auto"/>
        <w:bottom w:val="none" w:sz="0" w:space="0" w:color="auto"/>
        <w:right w:val="none" w:sz="0" w:space="0" w:color="auto"/>
      </w:divBdr>
      <w:divsChild>
        <w:div w:id="783501548">
          <w:marLeft w:val="533"/>
          <w:marRight w:val="0"/>
          <w:marTop w:val="230"/>
          <w:marBottom w:val="0"/>
          <w:divBdr>
            <w:top w:val="none" w:sz="0" w:space="0" w:color="auto"/>
            <w:left w:val="none" w:sz="0" w:space="0" w:color="auto"/>
            <w:bottom w:val="none" w:sz="0" w:space="0" w:color="auto"/>
            <w:right w:val="none" w:sz="0" w:space="0" w:color="auto"/>
          </w:divBdr>
        </w:div>
        <w:div w:id="1242326005">
          <w:marLeft w:val="533"/>
          <w:marRight w:val="0"/>
          <w:marTop w:val="230"/>
          <w:marBottom w:val="0"/>
          <w:divBdr>
            <w:top w:val="none" w:sz="0" w:space="0" w:color="auto"/>
            <w:left w:val="none" w:sz="0" w:space="0" w:color="auto"/>
            <w:bottom w:val="none" w:sz="0" w:space="0" w:color="auto"/>
            <w:right w:val="none" w:sz="0" w:space="0" w:color="auto"/>
          </w:divBdr>
        </w:div>
        <w:div w:id="1450902048">
          <w:marLeft w:val="533"/>
          <w:marRight w:val="0"/>
          <w:marTop w:val="230"/>
          <w:marBottom w:val="0"/>
          <w:divBdr>
            <w:top w:val="none" w:sz="0" w:space="0" w:color="auto"/>
            <w:left w:val="none" w:sz="0" w:space="0" w:color="auto"/>
            <w:bottom w:val="none" w:sz="0" w:space="0" w:color="auto"/>
            <w:right w:val="none" w:sz="0" w:space="0" w:color="auto"/>
          </w:divBdr>
        </w:div>
        <w:div w:id="1589658865">
          <w:marLeft w:val="533"/>
          <w:marRight w:val="0"/>
          <w:marTop w:val="230"/>
          <w:marBottom w:val="0"/>
          <w:divBdr>
            <w:top w:val="none" w:sz="0" w:space="0" w:color="auto"/>
            <w:left w:val="none" w:sz="0" w:space="0" w:color="auto"/>
            <w:bottom w:val="none" w:sz="0" w:space="0" w:color="auto"/>
            <w:right w:val="none" w:sz="0" w:space="0" w:color="auto"/>
          </w:divBdr>
        </w:div>
      </w:divsChild>
    </w:div>
    <w:div w:id="1648975812">
      <w:bodyDiv w:val="1"/>
      <w:marLeft w:val="0"/>
      <w:marRight w:val="0"/>
      <w:marTop w:val="0"/>
      <w:marBottom w:val="0"/>
      <w:divBdr>
        <w:top w:val="none" w:sz="0" w:space="0" w:color="auto"/>
        <w:left w:val="none" w:sz="0" w:space="0" w:color="auto"/>
        <w:bottom w:val="none" w:sz="0" w:space="0" w:color="auto"/>
        <w:right w:val="none" w:sz="0" w:space="0" w:color="auto"/>
      </w:divBdr>
    </w:div>
    <w:div w:id="1664311444">
      <w:bodyDiv w:val="1"/>
      <w:marLeft w:val="0"/>
      <w:marRight w:val="0"/>
      <w:marTop w:val="0"/>
      <w:marBottom w:val="0"/>
      <w:divBdr>
        <w:top w:val="none" w:sz="0" w:space="0" w:color="auto"/>
        <w:left w:val="none" w:sz="0" w:space="0" w:color="auto"/>
        <w:bottom w:val="none" w:sz="0" w:space="0" w:color="auto"/>
        <w:right w:val="none" w:sz="0" w:space="0" w:color="auto"/>
      </w:divBdr>
    </w:div>
    <w:div w:id="1669479490">
      <w:bodyDiv w:val="1"/>
      <w:marLeft w:val="0"/>
      <w:marRight w:val="0"/>
      <w:marTop w:val="0"/>
      <w:marBottom w:val="0"/>
      <w:divBdr>
        <w:top w:val="none" w:sz="0" w:space="0" w:color="auto"/>
        <w:left w:val="none" w:sz="0" w:space="0" w:color="auto"/>
        <w:bottom w:val="none" w:sz="0" w:space="0" w:color="auto"/>
        <w:right w:val="none" w:sz="0" w:space="0" w:color="auto"/>
      </w:divBdr>
    </w:div>
    <w:div w:id="1682469731">
      <w:bodyDiv w:val="1"/>
      <w:marLeft w:val="0"/>
      <w:marRight w:val="0"/>
      <w:marTop w:val="0"/>
      <w:marBottom w:val="0"/>
      <w:divBdr>
        <w:top w:val="none" w:sz="0" w:space="0" w:color="auto"/>
        <w:left w:val="none" w:sz="0" w:space="0" w:color="auto"/>
        <w:bottom w:val="none" w:sz="0" w:space="0" w:color="auto"/>
        <w:right w:val="none" w:sz="0" w:space="0" w:color="auto"/>
      </w:divBdr>
    </w:div>
    <w:div w:id="1696299663">
      <w:bodyDiv w:val="1"/>
      <w:marLeft w:val="0"/>
      <w:marRight w:val="0"/>
      <w:marTop w:val="0"/>
      <w:marBottom w:val="0"/>
      <w:divBdr>
        <w:top w:val="none" w:sz="0" w:space="0" w:color="auto"/>
        <w:left w:val="none" w:sz="0" w:space="0" w:color="auto"/>
        <w:bottom w:val="none" w:sz="0" w:space="0" w:color="auto"/>
        <w:right w:val="none" w:sz="0" w:space="0" w:color="auto"/>
      </w:divBdr>
    </w:div>
    <w:div w:id="1698775477">
      <w:bodyDiv w:val="1"/>
      <w:marLeft w:val="0"/>
      <w:marRight w:val="0"/>
      <w:marTop w:val="0"/>
      <w:marBottom w:val="0"/>
      <w:divBdr>
        <w:top w:val="none" w:sz="0" w:space="0" w:color="auto"/>
        <w:left w:val="none" w:sz="0" w:space="0" w:color="auto"/>
        <w:bottom w:val="none" w:sz="0" w:space="0" w:color="auto"/>
        <w:right w:val="none" w:sz="0" w:space="0" w:color="auto"/>
      </w:divBdr>
    </w:div>
    <w:div w:id="1727487710">
      <w:bodyDiv w:val="1"/>
      <w:marLeft w:val="0"/>
      <w:marRight w:val="0"/>
      <w:marTop w:val="0"/>
      <w:marBottom w:val="0"/>
      <w:divBdr>
        <w:top w:val="none" w:sz="0" w:space="0" w:color="auto"/>
        <w:left w:val="none" w:sz="0" w:space="0" w:color="auto"/>
        <w:bottom w:val="none" w:sz="0" w:space="0" w:color="auto"/>
        <w:right w:val="none" w:sz="0" w:space="0" w:color="auto"/>
      </w:divBdr>
    </w:div>
    <w:div w:id="1826430383">
      <w:bodyDiv w:val="1"/>
      <w:marLeft w:val="0"/>
      <w:marRight w:val="0"/>
      <w:marTop w:val="0"/>
      <w:marBottom w:val="0"/>
      <w:divBdr>
        <w:top w:val="none" w:sz="0" w:space="0" w:color="auto"/>
        <w:left w:val="none" w:sz="0" w:space="0" w:color="auto"/>
        <w:bottom w:val="none" w:sz="0" w:space="0" w:color="auto"/>
        <w:right w:val="none" w:sz="0" w:space="0" w:color="auto"/>
      </w:divBdr>
    </w:div>
    <w:div w:id="1835291222">
      <w:bodyDiv w:val="1"/>
      <w:marLeft w:val="0"/>
      <w:marRight w:val="0"/>
      <w:marTop w:val="0"/>
      <w:marBottom w:val="0"/>
      <w:divBdr>
        <w:top w:val="none" w:sz="0" w:space="0" w:color="auto"/>
        <w:left w:val="none" w:sz="0" w:space="0" w:color="auto"/>
        <w:bottom w:val="none" w:sz="0" w:space="0" w:color="auto"/>
        <w:right w:val="none" w:sz="0" w:space="0" w:color="auto"/>
      </w:divBdr>
    </w:div>
    <w:div w:id="1840346124">
      <w:bodyDiv w:val="1"/>
      <w:marLeft w:val="0"/>
      <w:marRight w:val="0"/>
      <w:marTop w:val="0"/>
      <w:marBottom w:val="0"/>
      <w:divBdr>
        <w:top w:val="none" w:sz="0" w:space="0" w:color="auto"/>
        <w:left w:val="none" w:sz="0" w:space="0" w:color="auto"/>
        <w:bottom w:val="none" w:sz="0" w:space="0" w:color="auto"/>
        <w:right w:val="none" w:sz="0" w:space="0" w:color="auto"/>
      </w:divBdr>
    </w:div>
    <w:div w:id="1880822057">
      <w:bodyDiv w:val="1"/>
      <w:marLeft w:val="0"/>
      <w:marRight w:val="0"/>
      <w:marTop w:val="0"/>
      <w:marBottom w:val="0"/>
      <w:divBdr>
        <w:top w:val="none" w:sz="0" w:space="0" w:color="auto"/>
        <w:left w:val="none" w:sz="0" w:space="0" w:color="auto"/>
        <w:bottom w:val="none" w:sz="0" w:space="0" w:color="auto"/>
        <w:right w:val="none" w:sz="0" w:space="0" w:color="auto"/>
      </w:divBdr>
    </w:div>
    <w:div w:id="1883471594">
      <w:bodyDiv w:val="1"/>
      <w:marLeft w:val="0"/>
      <w:marRight w:val="0"/>
      <w:marTop w:val="0"/>
      <w:marBottom w:val="0"/>
      <w:divBdr>
        <w:top w:val="none" w:sz="0" w:space="0" w:color="auto"/>
        <w:left w:val="none" w:sz="0" w:space="0" w:color="auto"/>
        <w:bottom w:val="none" w:sz="0" w:space="0" w:color="auto"/>
        <w:right w:val="none" w:sz="0" w:space="0" w:color="auto"/>
      </w:divBdr>
    </w:div>
    <w:div w:id="1979528103">
      <w:bodyDiv w:val="1"/>
      <w:marLeft w:val="0"/>
      <w:marRight w:val="0"/>
      <w:marTop w:val="0"/>
      <w:marBottom w:val="0"/>
      <w:divBdr>
        <w:top w:val="none" w:sz="0" w:space="0" w:color="auto"/>
        <w:left w:val="none" w:sz="0" w:space="0" w:color="auto"/>
        <w:bottom w:val="none" w:sz="0" w:space="0" w:color="auto"/>
        <w:right w:val="none" w:sz="0" w:space="0" w:color="auto"/>
      </w:divBdr>
    </w:div>
    <w:div w:id="2006349147">
      <w:bodyDiv w:val="1"/>
      <w:marLeft w:val="0"/>
      <w:marRight w:val="0"/>
      <w:marTop w:val="0"/>
      <w:marBottom w:val="0"/>
      <w:divBdr>
        <w:top w:val="none" w:sz="0" w:space="0" w:color="auto"/>
        <w:left w:val="none" w:sz="0" w:space="0" w:color="auto"/>
        <w:bottom w:val="none" w:sz="0" w:space="0" w:color="auto"/>
        <w:right w:val="none" w:sz="0" w:space="0" w:color="auto"/>
      </w:divBdr>
    </w:div>
    <w:div w:id="2031449759">
      <w:bodyDiv w:val="1"/>
      <w:marLeft w:val="0"/>
      <w:marRight w:val="0"/>
      <w:marTop w:val="0"/>
      <w:marBottom w:val="0"/>
      <w:divBdr>
        <w:top w:val="none" w:sz="0" w:space="0" w:color="auto"/>
        <w:left w:val="none" w:sz="0" w:space="0" w:color="auto"/>
        <w:bottom w:val="none" w:sz="0" w:space="0" w:color="auto"/>
        <w:right w:val="none" w:sz="0" w:space="0" w:color="auto"/>
      </w:divBdr>
    </w:div>
    <w:div w:id="2071610189">
      <w:bodyDiv w:val="1"/>
      <w:marLeft w:val="0"/>
      <w:marRight w:val="0"/>
      <w:marTop w:val="0"/>
      <w:marBottom w:val="0"/>
      <w:divBdr>
        <w:top w:val="none" w:sz="0" w:space="0" w:color="auto"/>
        <w:left w:val="none" w:sz="0" w:space="0" w:color="auto"/>
        <w:bottom w:val="none" w:sz="0" w:space="0" w:color="auto"/>
        <w:right w:val="none" w:sz="0" w:space="0" w:color="auto"/>
      </w:divBdr>
    </w:div>
    <w:div w:id="208957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www.actuaries.org.uk/system/files/field/document/Risk%20Margin%20Working%20Party%20Research%20Paper%20Final%2008082019_0.pdf" TargetMode="External"/><Relationship Id="rId26" Type="http://schemas.openxmlformats.org/officeDocument/2006/relationships/hyperlink" Target="https://www.inrev.org/public-affairs/90-dossier-solvency-2/4995-updated-study-of-real-estate-volatility-challenging-solvency-ii-scrs-released-2"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2.png"/><Relationship Id="rId25" Type="http://schemas.openxmlformats.org/officeDocument/2006/relationships/image" Target="media/image8.png"/><Relationship Id="rId33" Type="http://schemas.openxmlformats.org/officeDocument/2006/relationships/image" Target="media/image1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3.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image" Target="media/image7.png"/><Relationship Id="rId32" Type="http://schemas.openxmlformats.org/officeDocument/2006/relationships/image" Target="media/image11.emf"/><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cardano.nl/wp-content/uploads/sites/2/2019/01/120713-Dangerouw-design-flwas-in-UFR.pdf" TargetMode="External"/><Relationship Id="rId23" Type="http://schemas.openxmlformats.org/officeDocument/2006/relationships/image" Target="media/image6.png"/><Relationship Id="rId28" Type="http://schemas.openxmlformats.org/officeDocument/2006/relationships/hyperlink" Target="https://en.wikipedia.org/wiki/Mexico" TargetMode="External"/><Relationship Id="rId36"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actuary.eu/memos/a-review-of-the-design-of-the-solvency-ii-risk-margin/" TargetMode="External"/><Relationship Id="rId31" Type="http://schemas.openxmlformats.org/officeDocument/2006/relationships/image" Target="media/image10.emf"/><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image" Target="media/image5.png"/><Relationship Id="rId27" Type="http://schemas.openxmlformats.org/officeDocument/2006/relationships/hyperlink" Target="https://en.wikipedia.org/wiki/Outbreak" TargetMode="External"/><Relationship Id="rId30" Type="http://schemas.openxmlformats.org/officeDocument/2006/relationships/image" Target="cid:image006.png@01D5CAC9.69C43040"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e841b482-2cfa-447c-bd87-97348dd45629">
      <Value>65</Value>
      <Value>2</Value>
      <Value>63</Value>
      <Value>93</Value>
      <Value>46</Value>
      <Value>1</Value>
    </TaxCatchAll>
    <ERIS_ProjectManager xmlns="e841b482-2cfa-447c-bd87-97348dd45629">
      <UserInfo>
        <DisplayName/>
        <AccountId xsi:nil="true"/>
        <AccountType/>
      </UserInfo>
    </ERIS_ProjectManager>
    <ERIS_ProjectCategory xmlns="e841b482-2cfa-447c-bd87-97348dd45629">Operational (Corporate)</ERIS_ProjectCategory>
    <ERIS_OtherReference xmlns="e841b482-2cfa-447c-bd87-97348dd45629" xsi:nil="true"/>
    <ERIS_Relation xmlns="e841b482-2cfa-447c-bd87-97348dd45629" xsi:nil="true"/>
    <eec7bcfd40c7478cad394885bb511292 xmlns="e841b482-2cfa-447c-bd87-97348dd45629">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eec7bcfd40c7478cad394885bb511292>
    <nf6ec4467e9648c7aeeaf55817b6cc51 xmlns="e841b482-2cfa-447c-bd87-97348dd45629">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nf6ec4467e9648c7aeeaf55817b6cc51>
    <ERIS_RecordNumber xmlns="e841b482-2cfa-447c-bd87-97348dd45629">EIOPA(2020)0019320</ERIS_RecordNumber>
    <ERIS_AdditionalMarkings xmlns="e841b482-2cfa-447c-bd87-97348dd45629" xsi:nil="true"/>
    <End_x0020_of_x0020_System_x0020_Life xmlns="e841b482-2cfa-447c-bd87-97348dd45629" xsi:nil="true"/>
    <ERIS_ApprovalStatus xmlns="e841b482-2cfa-447c-bd87-97348dd45629">DRAFT</ERIS_ApprovalStatus>
    <ERIS_AssignedTo xmlns="e841b482-2cfa-447c-bd87-97348dd45629">
      <UserInfo>
        <DisplayName/>
        <AccountId xsi:nil="true"/>
        <AccountType/>
      </UserInfo>
    </ERIS_AssignedTo>
    <ERIS_ProjectID xmlns="e841b482-2cfa-447c-bd87-97348dd45629" xsi:nil="true"/>
    <FormData xmlns="http://schemas.microsoft.com/sharepoint/v3" xsi:nil="true"/>
    <ERIS_ConfidentialityLevel xmlns="e841b482-2cfa-447c-bd87-97348dd45629">EIOPA Regular Use</ERIS_ConfidentialityLevel>
    <ERIS_SupersededObsolete xmlns="e841b482-2cfa-447c-bd87-97348dd45629">false</ERIS_SupersededObsolete>
    <g3859b8f80744118b3afb58941837544 xmlns="e841b482-2cfa-447c-bd87-97348dd45629">
      <Terms xmlns="http://schemas.microsoft.com/office/infopath/2007/PartnerControls">
        <TermInfo xmlns="http://schemas.microsoft.com/office/infopath/2007/PartnerControls">
          <TermName xmlns="http://schemas.microsoft.com/office/infopath/2007/PartnerControls">Project Management</TermName>
          <TermId xmlns="http://schemas.microsoft.com/office/infopath/2007/PartnerControls">cea3a7db-f348-4c35-b78b-82f6e4e7dbce</TermId>
        </TermInfo>
        <TermInfo xmlns="http://schemas.microsoft.com/office/infopath/2007/PartnerControls">
          <TermName xmlns="http://schemas.microsoft.com/office/infopath/2007/PartnerControls">Solvency II</TermName>
          <TermId xmlns="http://schemas.microsoft.com/office/infopath/2007/PartnerControls">9d7de132-f9bd-4b68-83a5-47bf5bf01789</TermId>
        </TermInfo>
        <TermInfo xmlns="http://schemas.microsoft.com/office/infopath/2007/PartnerControls">
          <TermName xmlns="http://schemas.microsoft.com/office/infopath/2007/PartnerControls">Insurance</TermName>
          <TermId xmlns="http://schemas.microsoft.com/office/infopath/2007/PartnerControls">7d742bda-a71f-46ed-a0a2-2b27d7f827fc</TermId>
        </TermInfo>
      </Terms>
    </g3859b8f80744118b3afb58941837544>
    <a95abb4829b0440c8b23339bd11ce4d8 xmlns="e841b482-2cfa-447c-bd87-97348dd45629">
      <Terms xmlns="http://schemas.microsoft.com/office/infopath/2007/PartnerControls">
        <TermInfo xmlns="http://schemas.microsoft.com/office/infopath/2007/PartnerControls">
          <TermName xmlns="http://schemas.microsoft.com/office/infopath/2007/PartnerControls">Policy Department</TermName>
          <TermId xmlns="http://schemas.microsoft.com/office/infopath/2007/PartnerControls">b4dfa58b-e139-4fed-98cd-912416c70ce5</TermId>
        </TermInfo>
      </Terms>
    </a95abb4829b0440c8b23339bd11ce4d8>
    <ERIS_ProjectEndDate xmlns="e841b482-2cfa-447c-bd87-97348dd456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RIS Document" ma:contentTypeID="0x01010084A0DBB21E3DC54BA789567D0CCFAAD9005DB351B5634D6748AB9FB973AAD589AA" ma:contentTypeVersion="2" ma:contentTypeDescription="" ma:contentTypeScope="" ma:versionID="83b07901e693cae191289b9d4f0de818">
  <xsd:schema xmlns:xsd="http://www.w3.org/2001/XMLSchema" xmlns:xs="http://www.w3.org/2001/XMLSchema" xmlns:p="http://schemas.microsoft.com/office/2006/metadata/properties" xmlns:ns1="http://schemas.microsoft.com/sharepoint/v3" xmlns:ns2="e841b482-2cfa-447c-bd87-97348dd45629" targetNamespace="http://schemas.microsoft.com/office/2006/metadata/properties" ma:root="true" ma:fieldsID="2923615d9da355e1f414bf96c813cf88" ns1:_="" ns2:_="">
    <xsd:import namespace="http://schemas.microsoft.com/sharepoint/v3"/>
    <xsd:import namespace="e841b482-2cfa-447c-bd87-97348dd45629"/>
    <xsd:element name="properties">
      <xsd:complexType>
        <xsd:sequence>
          <xsd:element name="documentManagement">
            <xsd:complexType>
              <xsd:all>
                <xsd:element ref="ns2:ERIS_ConfidentialityLevel"/>
                <xsd:element ref="ns2:ERIS_AdditionalMarkings" minOccurs="0"/>
                <xsd:element ref="ns2:ERIS_ApprovalStatus" minOccurs="0"/>
                <xsd:element ref="ns2:ERIS_ProjectID" minOccurs="0"/>
                <xsd:element ref="ns2:ERIS_ProjectManager" minOccurs="0"/>
                <xsd:element ref="ns2:ERIS_ProjectCategory" minOccurs="0"/>
                <xsd:element ref="ns2:ERIS_ProjectEndDate" minOccurs="0"/>
                <xsd:element ref="ns2:End_x0020_of_x0020_System_x0020_Life" minOccurs="0"/>
                <xsd:element ref="ns2:ERIS_OtherReference" minOccurs="0"/>
                <xsd:element ref="ns2:ERIS_Relation" minOccurs="0"/>
                <xsd:element ref="ns2:ERIS_AssignedTo" minOccurs="0"/>
                <xsd:element ref="ns2:ERIS_RecordNumber" minOccurs="0"/>
                <xsd:element ref="ns2:TaxCatchAll" minOccurs="0"/>
                <xsd:element ref="ns2:TaxCatchAllLabel" minOccurs="0"/>
                <xsd:element ref="ns2:g3859b8f80744118b3afb58941837544" minOccurs="0"/>
                <xsd:element ref="ns2:eec7bcfd40c7478cad394885bb511292" minOccurs="0"/>
                <xsd:element ref="ns2:a95abb4829b0440c8b23339bd11ce4d8" minOccurs="0"/>
                <xsd:element ref="ns2:nf6ec4467e9648c7aeeaf55817b6cc51" minOccurs="0"/>
                <xsd:element ref="ns1:FormData" minOccurs="0"/>
                <xsd:element ref="ns2:ERIS_SupersededObsole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30"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41b482-2cfa-447c-bd87-97348dd45629" elementFormDefault="qualified">
    <xsd:import namespace="http://schemas.microsoft.com/office/2006/documentManagement/types"/>
    <xsd:import namespace="http://schemas.microsoft.com/office/infopath/2007/PartnerControls"/>
    <xsd:element name="ERIS_ConfidentialityLevel" ma:index="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5" nillable="true" ma:displayName="Additional Markings" ma:format="Dropdown" ma:internalName="ERIS_AdditionalMarkings">
      <xsd:simpleType>
        <xsd:union memberTypes="dms:Text">
          <xsd:simpleType>
            <xsd:restriction base="dms:Choice">
              <xsd:enumeration value="Limited"/>
              <xsd:enumeration value="Internal Use Only"/>
              <xsd:enumeration value="Personal Data"/>
              <xsd:enumeration value="Staff Matter"/>
              <xsd:enumeration value="Management Only"/>
            </xsd:restriction>
          </xsd:simpleType>
        </xsd:union>
      </xsd:simpleType>
    </xsd:element>
    <xsd:element name="ERIS_ApprovalStatus" ma:index="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ERIS_ProjectID" ma:index="8" nillable="true" ma:displayName="Project ID" ma:internalName="ERIS_ProjectID">
      <xsd:simpleType>
        <xsd:restriction base="dms:Text"/>
      </xsd:simpleType>
    </xsd:element>
    <xsd:element name="ERIS_ProjectManager" ma:index="9" nillable="true" ma:displayName="Project Manager" ma:SharePointGroup="0" ma:internalName="ERIS_Project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ProjectCategory" ma:index="10" nillable="true" ma:displayName="Project Category" ma:format="Dropdown" ma:internalName="ERIS_ProjectCategory" ma:readOnly="false">
      <xsd:simpleType>
        <xsd:restriction base="dms:Choice">
          <xsd:enumeration value="Operational (Corporate)"/>
          <xsd:enumeration value="Operational (IT)"/>
          <xsd:enumeration value="Administrative"/>
        </xsd:restriction>
      </xsd:simpleType>
    </xsd:element>
    <xsd:element name="ERIS_ProjectEndDate" ma:index="11" nillable="true" ma:displayName="Project End Date" ma:format="DateOnly" ma:internalName="ERIS_ProjectEndDate">
      <xsd:simpleType>
        <xsd:restriction base="dms:DateTime"/>
      </xsd:simpleType>
    </xsd:element>
    <xsd:element name="End_x0020_of_x0020_System_x0020_Life" ma:index="12" nillable="true" ma:displayName="End of System Life" ma:format="DateOnly" ma:internalName="End_x0020_of_x0020_System_x0020_Life">
      <xsd:simpleType>
        <xsd:restriction base="dms:DateTime"/>
      </xsd:simpleType>
    </xsd:element>
    <xsd:element name="ERIS_OtherReference" ma:index="14" nillable="true" ma:displayName="Other Reference" ma:internalName="ERIS_OtherReference">
      <xsd:simpleType>
        <xsd:restriction base="dms:Text"/>
      </xsd:simpleType>
    </xsd:element>
    <xsd:element name="ERIS_Relation" ma:index="15" nillable="true" ma:displayName="Relation" ma:internalName="ERIS_Relation">
      <xsd:simpleType>
        <xsd:restriction base="dms:Text"/>
      </xsd:simpleType>
    </xsd:element>
    <xsd:element name="ERIS_AssignedTo" ma:index="16"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17" nillable="true" ma:displayName="Record Number" ma:internalName="ERIS_RecordNumber">
      <xsd:simpleType>
        <xsd:restriction base="dms:Text"/>
      </xsd:simpleType>
    </xsd:element>
    <xsd:element name="TaxCatchAll" ma:index="18" nillable="true" ma:displayName="Taxonomy Catch All Column" ma:hidden="true" ma:list="{aa789d20-0c03-4e86-a1a7-ad9e54b13670}" ma:internalName="TaxCatchAll" ma:showField="CatchAllData"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hidden="true" ma:list="{aa789d20-0c03-4e86-a1a7-ad9e54b13670}" ma:internalName="TaxCatchAllLabel" ma:readOnly="true" ma:showField="CatchAllDataLabel"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g3859b8f80744118b3afb58941837544" ma:index="21" ma:taxonomy="true" ma:internalName="g3859b8f80744118b3afb58941837544" ma:taxonomyFieldName="ERIS_Keywords" ma:displayName="Keywords" ma:readOnly="false" ma:fieldId="{03859b8f-8074-4118-b3af-b58941837544}" ma:taxonomyMulti="true" ma:sspId="2b1776d1-ae3b-49f8-a97b-1474fa7fa346" ma:termSetId="041e8d27-50b6-44df-be8e-d4aba88ea6ef" ma:anchorId="00000000-0000-0000-0000-000000000000" ma:open="true" ma:isKeyword="false">
      <xsd:complexType>
        <xsd:sequence>
          <xsd:element ref="pc:Terms" minOccurs="0" maxOccurs="1"/>
        </xsd:sequence>
      </xsd:complexType>
    </xsd:element>
    <xsd:element name="eec7bcfd40c7478cad394885bb511292" ma:index="22" nillable="true" ma:taxonomy="true" ma:internalName="eec7bcfd40c7478cad394885bb511292" ma:taxonomyFieldName="ERIS_Language" ma:displayName="Language" ma:default="2;#English|2741a941-2920-4ba4-aa70-d8ed6ac1785d" ma:fieldId="{eec7bcfd-40c7-478c-ad39-4885bb511292}"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a95abb4829b0440c8b23339bd11ce4d8" ma:index="26" nillable="true" ma:taxonomy="true" ma:internalName="a95abb4829b0440c8b23339bd11ce4d8" ma:taxonomyFieldName="ERIS_Department" ma:displayName="EIOPA Department" ma:default="" ma:fieldId="{a95abb48-29b0-440c-8b23-339bd11ce4d8}"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nf6ec4467e9648c7aeeaf55817b6cc51" ma:index="28" ma:taxonomy="true" ma:internalName="nf6ec4467e9648c7aeeaf55817b6cc51" ma:taxonomyFieldName="ERIS_DocumentType" ma:displayName="Document Type" ma:readOnly="false" ma:fieldId="{7f6ec446-7e96-48c7-aeea-f55817b6cc51}"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ERIS_SupersededObsolete" ma:index="31" nillable="true" ma:displayName="Superseded/Obsolete?" ma:default="0" ma:internalName="ERIS_SupersededObsolete">
      <xsd:simpleType>
        <xsd:restriction base="dms:Boolean"/>
      </xsd:simple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5.xml><?xml version="1.0" encoding="utf-8"?>
<?mso-contentType ?>
<FormTemplates xmlns="http://schemas.microsoft.com/sharepoint/v3/contenttype/forms">
  <Display>NFListDisplayForm</Display>
  <Edit>NFListEditForm</Edit>
  <New>NFListEditForm</New>
</FormTemplates>
</file>

<file path=customXml/item6.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7.xml><?xml version="1.0" encoding="utf-8"?>
<?mso-contentType ?>
<FormTemplates>
  <Display>DocumentLibraryForm</Display>
  <Edit>DocumentLibraryForm</Edit>
  <New>DocumentLibraryForm</New>
  <MobileDisplayFormUrl/>
  <MobileEditFormUrl/>
  <MobileNewFormUrl/>
</FormTemplat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49DE3-0ECF-4B7A-8BD9-117B07FAAE11}">
  <ds:schemaRefs>
    <ds:schemaRef ds:uri="http://schemas.microsoft.com/office/2006/metadata/longProperties"/>
  </ds:schemaRefs>
</ds:datastoreItem>
</file>

<file path=customXml/itemProps2.xml><?xml version="1.0" encoding="utf-8"?>
<ds:datastoreItem xmlns:ds="http://schemas.openxmlformats.org/officeDocument/2006/customXml" ds:itemID="{C8904BB6-6381-46BA-ACC0-EDDE1794A333}">
  <ds:schemaRefs>
    <ds:schemaRef ds:uri="http://purl.org/dc/dcmitype/"/>
    <ds:schemaRef ds:uri="e841b482-2cfa-447c-bd87-97348dd45629"/>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50CAB2F-4425-4A6D-AB75-0454B8799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841b482-2cfa-447c-bd87-97348dd456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88C71F-4DD8-41C7-B92C-3DB4458815D5}">
  <ds:schemaRefs>
    <ds:schemaRef ds:uri="http://schemas.microsoft.com/sharepoint/v3/contenttype/forms/url"/>
  </ds:schemaRefs>
</ds:datastoreItem>
</file>

<file path=customXml/itemProps5.xml><?xml version="1.0" encoding="utf-8"?>
<ds:datastoreItem xmlns:ds="http://schemas.openxmlformats.org/officeDocument/2006/customXml" ds:itemID="{EF1A3450-9450-4524-B4F7-E08F2F00E8A4}">
  <ds:schemaRefs>
    <ds:schemaRef ds:uri="http://schemas.microsoft.com/sharepoint/v3/contenttype/forms"/>
  </ds:schemaRefs>
</ds:datastoreItem>
</file>

<file path=customXml/itemProps6.xml><?xml version="1.0" encoding="utf-8"?>
<ds:datastoreItem xmlns:ds="http://schemas.openxmlformats.org/officeDocument/2006/customXml" ds:itemID="{930D5542-08C2-4081-8F16-E85BCD680580}">
  <ds:schemaRefs>
    <ds:schemaRef ds:uri="http://schemas.microsoft.com/sharepoint/events"/>
  </ds:schemaRefs>
</ds:datastoreItem>
</file>

<file path=customXml/itemProps7.xml><?xml version="1.0" encoding="utf-8"?>
<ds:datastoreItem xmlns:ds="http://schemas.openxmlformats.org/officeDocument/2006/customXml" ds:itemID="{BC88412D-68EB-4522-B1F0-CAEBDB2EF1D7}">
  <ds:schemaRefs/>
</ds:datastoreItem>
</file>

<file path=customXml/itemProps8.xml><?xml version="1.0" encoding="utf-8"?>
<ds:datastoreItem xmlns:ds="http://schemas.openxmlformats.org/officeDocument/2006/customXml" ds:itemID="{FAD467BA-7342-447C-8BF3-160A9D852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169</Pages>
  <Words>38957</Words>
  <Characters>222059</Characters>
  <Application>Microsoft Office Word</Application>
  <DocSecurity>0</DocSecurity>
  <Lines>1850</Lines>
  <Paragraphs>520</Paragraphs>
  <ScaleCrop>false</ScaleCrop>
  <HeadingPairs>
    <vt:vector size="8" baseType="variant">
      <vt:variant>
        <vt:lpstr>Title</vt:lpstr>
      </vt:variant>
      <vt:variant>
        <vt:i4>1</vt:i4>
      </vt:variant>
      <vt:variant>
        <vt:lpstr>Otsikko</vt:lpstr>
      </vt:variant>
      <vt:variant>
        <vt:i4>1</vt:i4>
      </vt:variant>
      <vt:variant>
        <vt:lpstr>Titre</vt:lpstr>
      </vt:variant>
      <vt:variant>
        <vt:i4>1</vt:i4>
      </vt:variant>
      <vt:variant>
        <vt:lpstr>Tytuł</vt:lpstr>
      </vt:variant>
      <vt:variant>
        <vt:i4>1</vt:i4>
      </vt:variant>
    </vt:vector>
  </HeadingPairs>
  <TitlesOfParts>
    <vt:vector size="4" baseType="lpstr">
      <vt:lpstr>ABI</vt:lpstr>
      <vt:lpstr>ABI</vt:lpstr>
      <vt:lpstr>ABI</vt:lpstr>
      <vt:lpstr>ABI</vt:lpstr>
    </vt:vector>
  </TitlesOfParts>
  <Company>Ceiops</Company>
  <LinksUpToDate>false</LinksUpToDate>
  <CharactersWithSpaces>260496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ABI</dc:title>
  <dc:subject/>
  <dc:creator>Alpertin</dc:creator>
  <cp:keywords/>
  <dc:description/>
  <cp:lastModifiedBy>Georgia Papalopoulou (EXT)</cp:lastModifiedBy>
  <cp:revision>2</cp:revision>
  <cp:lastPrinted>2020-01-15T17:17:00Z</cp:lastPrinted>
  <dcterms:created xsi:type="dcterms:W3CDTF">2020-03-05T09:42:00Z</dcterms:created>
  <dcterms:modified xsi:type="dcterms:W3CDTF">2020-03-05T09:42:00Z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nvolved Party">
    <vt:lpwstr/>
  </property>
  <property fmtid="{D5CDD505-2E9C-101B-9397-08002B2CF9AE}" pid="4" name="lf7ec453acb346f5b4feea7d032d6f2c">
    <vt:lpwstr>Consultations|ddff7902-49ec-459a-92cf-7fd9db3027c6</vt:lpwstr>
  </property>
  <property fmtid="{D5CDD505-2E9C-101B-9397-08002B2CF9AE}" pid="5" name="m4764fd034b84a6e893e168ee26c887c">
    <vt:lpwstr/>
  </property>
  <property fmtid="{D5CDD505-2E9C-101B-9397-08002B2CF9AE}" pid="6" name="Document Topic">
    <vt:lpwstr/>
  </property>
  <property fmtid="{D5CDD505-2E9C-101B-9397-08002B2CF9AE}" pid="7" name="Document Type">
    <vt:lpwstr>43;#Consultations|ddff7902-49ec-459a-92cf-7fd9db3027c6</vt:lpwstr>
  </property>
  <property fmtid="{D5CDD505-2E9C-101B-9397-08002B2CF9AE}" pid="8" name="obb4efe42ba0440ebcc21f478af52bc7">
    <vt:lpwstr/>
  </property>
  <property fmtid="{D5CDD505-2E9C-101B-9397-08002B2CF9AE}" pid="9" name="ContentTypeId">
    <vt:lpwstr>0x01010084A0DBB21E3DC54BA789567D0CCFAAD9005DB351B5634D6748AB9FB973AAD589AA</vt:lpwstr>
  </property>
  <property fmtid="{D5CDD505-2E9C-101B-9397-08002B2CF9AE}" pid="10" name="ERIS_Keywords">
    <vt:lpwstr>1;#Project Management|cea3a7db-f348-4c35-b78b-82f6e4e7dbce;#93;#Solvency II|9d7de132-f9bd-4b68-83a5-47bf5bf01789;#63;#Insurance|7d742bda-a71f-46ed-a0a2-2b27d7f827fc</vt:lpwstr>
  </property>
  <property fmtid="{D5CDD505-2E9C-101B-9397-08002B2CF9AE}" pid="11" name="ERIS_Department">
    <vt:lpwstr>46;#Policy Department|b4dfa58b-e139-4fed-98cd-912416c70ce5</vt:lpwstr>
  </property>
  <property fmtid="{D5CDD505-2E9C-101B-9397-08002B2CF9AE}" pid="12" name="ERIS_DocumentType">
    <vt:lpwstr>65;#Consultation/Discussion Paper|d6165307-c9dd-4b86-89b7-c1e302d608ac</vt:lpwstr>
  </property>
  <property fmtid="{D5CDD505-2E9C-101B-9397-08002B2CF9AE}" pid="13" name="ERIS_Language">
    <vt:lpwstr>2;#English|2741a941-2920-4ba4-aa70-d8ed6ac1785d</vt:lpwstr>
  </property>
  <property fmtid="{D5CDD505-2E9C-101B-9397-08002B2CF9AE}" pid="14" name="RecordPoint_WorkflowType">
    <vt:lpwstr>ActiveSubmitStub</vt:lpwstr>
  </property>
  <property fmtid="{D5CDD505-2E9C-101B-9397-08002B2CF9AE}" pid="15" name="RecordPoint_ActiveItemWebId">
    <vt:lpwstr>{72809e12-a0cc-4141-b5f6-88f6d2715bef}</vt:lpwstr>
  </property>
  <property fmtid="{D5CDD505-2E9C-101B-9397-08002B2CF9AE}" pid="16" name="RecordPoint_ActiveItemSiteId">
    <vt:lpwstr>{4ecfeabf-6c67-434c-b719-7199089a9ce2}</vt:lpwstr>
  </property>
  <property fmtid="{D5CDD505-2E9C-101B-9397-08002B2CF9AE}" pid="17" name="RecordPoint_ActiveItemListId">
    <vt:lpwstr>{c783d5f0-a5e0-4695-a744-3555e56303e2}</vt:lpwstr>
  </property>
  <property fmtid="{D5CDD505-2E9C-101B-9397-08002B2CF9AE}" pid="18" name="RecordPoint_ActiveItemUniqueId">
    <vt:lpwstr>{59645259-500e-490d-8da7-77dd10daf78c}</vt:lpwstr>
  </property>
  <property fmtid="{D5CDD505-2E9C-101B-9397-08002B2CF9AE}" pid="19" name="RecordPoint_RecordNumberSubmitted">
    <vt:lpwstr>EIOPA(2020)0019320</vt:lpwstr>
  </property>
  <property fmtid="{D5CDD505-2E9C-101B-9397-08002B2CF9AE}" pid="20" name="RecordPoint_SubmissionCompleted">
    <vt:lpwstr>2020-03-05T09:56:25.1129837+00:00</vt:lpwstr>
  </property>
</Properties>
</file>