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389B31D4" w14:textId="77777777" w:rsidTr="00315E96">
        <w:trPr>
          <w:trHeight w:val="284"/>
        </w:trPr>
        <w:tc>
          <w:tcPr>
            <w:tcW w:w="9412" w:type="dxa"/>
          </w:tcPr>
          <w:p w14:paraId="08B8E7A4" w14:textId="77777777"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34D37526"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4D094805" w14:textId="77777777" w:rsidTr="00210E59">
        <w:trPr>
          <w:trHeight w:hRule="exact" w:val="1620"/>
        </w:trPr>
        <w:tc>
          <w:tcPr>
            <w:tcW w:w="10051" w:type="dxa"/>
            <w:vAlign w:val="bottom"/>
          </w:tcPr>
          <w:p w14:paraId="2F41F232" w14:textId="77777777"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0FF53545" w14:textId="77777777" w:rsidR="006F4535" w:rsidRPr="009A053D" w:rsidRDefault="006F4535" w:rsidP="00210E59">
            <w:pPr>
              <w:pStyle w:val="01aDBTitle"/>
              <w:jc w:val="left"/>
              <w:rPr>
                <w:rFonts w:cs="Arial"/>
                <w:sz w:val="32"/>
              </w:rPr>
            </w:pPr>
          </w:p>
        </w:tc>
      </w:tr>
      <w:tr w:rsidR="006F4535" w:rsidRPr="00616B9B" w14:paraId="03AE0B27" w14:textId="77777777" w:rsidTr="00210E59">
        <w:trPr>
          <w:trHeight w:hRule="exact" w:val="809"/>
        </w:trPr>
        <w:tc>
          <w:tcPr>
            <w:tcW w:w="10051" w:type="dxa"/>
            <w:tcMar>
              <w:top w:w="142" w:type="dxa"/>
            </w:tcMar>
          </w:tcPr>
          <w:p w14:paraId="781CCB3E"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46EE93EF"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301CB1F8" w14:textId="77777777" w:rsidTr="00315E96">
        <w:trPr>
          <w:trHeight w:hRule="exact" w:val="964"/>
        </w:trPr>
        <w:tc>
          <w:tcPr>
            <w:tcW w:w="2325" w:type="dxa"/>
          </w:tcPr>
          <w:p w14:paraId="49AE1D94"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37B183DE" w14:textId="77777777" w:rsidR="00704EED" w:rsidRPr="004E49B0" w:rsidRDefault="00704EED" w:rsidP="00337A3F">
            <w:pPr>
              <w:pStyle w:val="02Date"/>
              <w:rPr>
                <w:rFonts w:cs="Arial"/>
              </w:rPr>
            </w:pPr>
            <w:r>
              <w:rPr>
                <w:rFonts w:cs="Arial"/>
                <w:shd w:val="clear" w:color="auto" w:fill="FFFFFF" w:themeFill="background1"/>
              </w:rPr>
              <w:t>ESMA 30-201-535</w:t>
            </w:r>
          </w:p>
        </w:tc>
      </w:tr>
    </w:tbl>
    <w:p w14:paraId="57E43429"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8B1E42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0B8AB584" w14:textId="77777777" w:rsidR="00197794" w:rsidRPr="00197794" w:rsidRDefault="00197794" w:rsidP="00197794">
      <w:pPr>
        <w:jc w:val="both"/>
        <w:rPr>
          <w:rStyle w:val="SubtleEmphasis"/>
          <w:b w:val="0"/>
          <w:sz w:val="22"/>
        </w:rPr>
      </w:pPr>
    </w:p>
    <w:p w14:paraId="63623A67"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4A677D20"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7F380A31"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23EBE447" w14:textId="77777777" w:rsidR="00197794" w:rsidRDefault="00197794" w:rsidP="00197794">
      <w:pPr>
        <w:jc w:val="both"/>
        <w:rPr>
          <w:rStyle w:val="SubtleEmphasis"/>
          <w:b w:val="0"/>
          <w:sz w:val="22"/>
        </w:rPr>
      </w:pPr>
    </w:p>
    <w:p w14:paraId="2BA12F9E" w14:textId="77777777"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61AC803C"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31C074B6"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3F4A27B5" w14:textId="77777777" w:rsidR="00197794" w:rsidRDefault="00197794" w:rsidP="00197794">
      <w:pPr>
        <w:jc w:val="both"/>
        <w:rPr>
          <w:rStyle w:val="SubtleEmphasis"/>
          <w:b w:val="0"/>
          <w:sz w:val="22"/>
        </w:rPr>
      </w:pPr>
    </w:p>
    <w:p w14:paraId="1AE2306F" w14:textId="77777777"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7268D874" w14:textId="77777777" w:rsidR="00EC1154" w:rsidRDefault="00EC1154" w:rsidP="00AF38AF">
      <w:pPr>
        <w:rPr>
          <w:rStyle w:val="SubtleEmphasis"/>
          <w:b w:val="0"/>
          <w:sz w:val="22"/>
        </w:rPr>
      </w:pPr>
    </w:p>
    <w:p w14:paraId="3B44DAF1"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B9032AE"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5F522F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84B2AD4"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26B703B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615A718"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7B81EFC" w14:textId="77777777"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5"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0D89662B" w14:textId="77777777"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6B213112" w14:textId="77777777" w:rsidR="00197794" w:rsidRPr="00197794" w:rsidRDefault="00197794" w:rsidP="00197794">
      <w:pPr>
        <w:spacing w:after="240" w:line="276" w:lineRule="auto"/>
        <w:jc w:val="both"/>
        <w:rPr>
          <w:rStyle w:val="SubtleEmphasis"/>
          <w:b w:val="0"/>
          <w:sz w:val="22"/>
        </w:rPr>
      </w:pPr>
    </w:p>
    <w:p w14:paraId="73647B3E"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70D8F587"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4E502D8F" w14:textId="77777777" w:rsidR="00197794" w:rsidRDefault="00197794" w:rsidP="004E6AE4">
      <w:pPr>
        <w:rPr>
          <w:rStyle w:val="SubtleEmphasis"/>
          <w:sz w:val="22"/>
          <w:lang w:eastAsia="en-GB"/>
        </w:rPr>
      </w:pPr>
    </w:p>
    <w:p w14:paraId="74F0A7FA" w14:textId="77777777" w:rsidR="00197794" w:rsidRDefault="00197794" w:rsidP="004E6AE4">
      <w:pPr>
        <w:rPr>
          <w:rStyle w:val="SubtleEmphasis"/>
          <w:sz w:val="22"/>
          <w:lang w:eastAsia="en-GB"/>
        </w:rPr>
      </w:pPr>
    </w:p>
    <w:p w14:paraId="4F692AA4" w14:textId="77777777" w:rsidR="009A3017" w:rsidRPr="00E40A5C" w:rsidRDefault="009A3017" w:rsidP="004E6AE4">
      <w:pPr>
        <w:rPr>
          <w:rStyle w:val="SubtleEmphasis"/>
          <w:sz w:val="22"/>
          <w:lang w:eastAsia="en-GB"/>
        </w:rPr>
      </w:pPr>
      <w:r w:rsidRPr="00E40A5C">
        <w:rPr>
          <w:rStyle w:val="SubtleEmphasis"/>
          <w:sz w:val="22"/>
          <w:lang w:eastAsia="en-GB"/>
        </w:rPr>
        <w:t>Data protection</w:t>
      </w:r>
    </w:p>
    <w:p w14:paraId="1095A322" w14:textId="77777777" w:rsidR="00197794" w:rsidRDefault="00197794" w:rsidP="00210E59">
      <w:pPr>
        <w:rPr>
          <w:sz w:val="22"/>
        </w:rPr>
      </w:pPr>
    </w:p>
    <w:p w14:paraId="57A002C0" w14:textId="77777777"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6" w:history="1">
        <w:r w:rsidRPr="00197794">
          <w:rPr>
            <w:rStyle w:val="Hyperlink"/>
            <w:rFonts w:cs="Arial"/>
            <w:sz w:val="22"/>
          </w:rPr>
          <w:t>Legal notice</w:t>
        </w:r>
      </w:hyperlink>
      <w:r w:rsidRPr="00197794">
        <w:rPr>
          <w:rFonts w:cs="Arial"/>
          <w:sz w:val="22"/>
        </w:rPr>
        <w:t xml:space="preserve"> section of the EBA website and under the </w:t>
      </w:r>
      <w:hyperlink r:id="rId17" w:history="1">
        <w:r w:rsidRPr="00197794">
          <w:rPr>
            <w:rStyle w:val="Hyperlink"/>
            <w:rFonts w:cs="Arial"/>
            <w:sz w:val="22"/>
          </w:rPr>
          <w:t>Legal notice</w:t>
        </w:r>
      </w:hyperlink>
      <w:r w:rsidRPr="00197794">
        <w:rPr>
          <w:rFonts w:cs="Arial"/>
          <w:sz w:val="22"/>
        </w:rPr>
        <w:t xml:space="preserve"> section of the EIOPA website and under the </w:t>
      </w:r>
      <w:hyperlink r:id="rId18" w:history="1">
        <w:r w:rsidRPr="00197794">
          <w:rPr>
            <w:rStyle w:val="Hyperlink"/>
            <w:rFonts w:cs="Arial"/>
            <w:sz w:val="22"/>
          </w:rPr>
          <w:t>Legal notice</w:t>
        </w:r>
      </w:hyperlink>
      <w:r w:rsidRPr="00197794">
        <w:rPr>
          <w:rFonts w:cs="Arial"/>
          <w:sz w:val="22"/>
        </w:rPr>
        <w:t xml:space="preserve"> section of the ESMA website.</w:t>
      </w:r>
    </w:p>
    <w:p w14:paraId="309670D1" w14:textId="77777777" w:rsidR="00210E59" w:rsidRDefault="00210E59" w:rsidP="009A3017">
      <w:pPr>
        <w:spacing w:after="120"/>
        <w:jc w:val="both"/>
        <w:rPr>
          <w:rStyle w:val="SubtleEmphasis"/>
          <w:sz w:val="22"/>
          <w:lang w:eastAsia="en-GB"/>
        </w:rPr>
      </w:pPr>
    </w:p>
    <w:bookmarkEnd w:id="0"/>
    <w:p w14:paraId="1672DF70" w14:textId="77777777" w:rsidR="002E4F86" w:rsidRPr="00EC1154" w:rsidRDefault="002E4F86" w:rsidP="00EC1154">
      <w:pPr>
        <w:rPr>
          <w:sz w:val="22"/>
        </w:rPr>
      </w:pPr>
    </w:p>
    <w:p w14:paraId="4FF2998A" w14:textId="77777777" w:rsidR="00332304" w:rsidRDefault="00332304" w:rsidP="004E6AE4">
      <w:pPr>
        <w:rPr>
          <w:rFonts w:cs="Arial"/>
          <w:b/>
          <w:bCs/>
          <w:kern w:val="32"/>
          <w:sz w:val="24"/>
          <w:szCs w:val="32"/>
        </w:rPr>
      </w:pPr>
      <w:r>
        <w:br w:type="page"/>
      </w:r>
    </w:p>
    <w:p w14:paraId="28F91269" w14:textId="77777777" w:rsidR="00B327E9" w:rsidRPr="00AB6D88" w:rsidRDefault="00B327E9" w:rsidP="00B327E9">
      <w:pPr>
        <w:pStyle w:val="Heading1"/>
        <w:numPr>
          <w:ilvl w:val="0"/>
          <w:numId w:val="0"/>
        </w:numPr>
      </w:pPr>
      <w:r w:rsidRPr="00AB6D88">
        <w:lastRenderedPageBreak/>
        <w:t>General information about respondent</w:t>
      </w:r>
    </w:p>
    <w:p w14:paraId="7644005C"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B6685F5" w14:textId="77777777" w:rsidTr="00C31068">
        <w:tc>
          <w:tcPr>
            <w:tcW w:w="3929" w:type="dxa"/>
            <w:shd w:val="clear" w:color="auto" w:fill="auto"/>
          </w:tcPr>
          <w:p w14:paraId="29CECECC" w14:textId="77777777" w:rsidR="00B327E9" w:rsidRPr="00E40A5C" w:rsidRDefault="00B327E9" w:rsidP="00C31068">
            <w:pPr>
              <w:rPr>
                <w:rFonts w:cs="Arial"/>
                <w:sz w:val="22"/>
              </w:rPr>
            </w:pPr>
            <w:permStart w:id="47260250"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7DE027DF" w14:textId="77777777" w:rsidR="00B327E9" w:rsidRPr="00AB6D88" w:rsidRDefault="009D5C3A" w:rsidP="00C31068">
                <w:pPr>
                  <w:rPr>
                    <w:rStyle w:val="PlaceholderText"/>
                    <w:rFonts w:cs="Arial"/>
                  </w:rPr>
                </w:pPr>
                <w:r>
                  <w:rPr>
                    <w:rStyle w:val="PlaceholderText"/>
                    <w:rFonts w:cs="Arial"/>
                  </w:rPr>
                  <w:t>Actuarial Association of Europe</w:t>
                </w:r>
              </w:p>
            </w:tc>
          </w:sdtContent>
        </w:sdt>
      </w:tr>
      <w:tr w:rsidR="00B327E9" w:rsidRPr="00AB6D88" w14:paraId="78BAFA74" w14:textId="77777777" w:rsidTr="00C31068">
        <w:tc>
          <w:tcPr>
            <w:tcW w:w="3929" w:type="dxa"/>
            <w:shd w:val="clear" w:color="auto" w:fill="auto"/>
          </w:tcPr>
          <w:p w14:paraId="472DC9DE" w14:textId="77777777" w:rsidR="00B327E9" w:rsidRPr="00E40A5C" w:rsidRDefault="00B327E9" w:rsidP="00C31068">
            <w:pPr>
              <w:rPr>
                <w:rFonts w:cs="Arial"/>
                <w:sz w:val="22"/>
              </w:rPr>
            </w:pPr>
            <w:permStart w:id="582561341" w:edGrp="everyone" w:colFirst="1" w:colLast="1"/>
            <w:permEnd w:id="47260250"/>
            <w:r w:rsidRPr="00E40A5C">
              <w:rPr>
                <w:rFonts w:cs="Arial"/>
                <w:sz w:val="22"/>
              </w:rPr>
              <w:t>Activity</w:t>
            </w:r>
          </w:p>
        </w:tc>
        <w:tc>
          <w:tcPr>
            <w:tcW w:w="5595" w:type="dxa"/>
            <w:shd w:val="clear" w:color="auto" w:fill="auto"/>
          </w:tcPr>
          <w:p w14:paraId="42A61686" w14:textId="5F2B23A3" w:rsidR="00B327E9" w:rsidRPr="00AB6D88" w:rsidRDefault="00E4118E" w:rsidP="00C31068">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Non-financial counterparty</w:t>
                </w:r>
              </w:sdtContent>
            </w:sdt>
          </w:p>
        </w:tc>
      </w:tr>
      <w:tr w:rsidR="00B327E9" w:rsidRPr="00AB6D88" w14:paraId="4DAD07E9" w14:textId="77777777" w:rsidTr="00C31068">
        <w:tc>
          <w:tcPr>
            <w:tcW w:w="3929" w:type="dxa"/>
            <w:shd w:val="clear" w:color="auto" w:fill="auto"/>
          </w:tcPr>
          <w:p w14:paraId="382723EF" w14:textId="77777777" w:rsidR="00B327E9" w:rsidRPr="00E40A5C" w:rsidRDefault="00B327E9" w:rsidP="00C31068">
            <w:pPr>
              <w:rPr>
                <w:rFonts w:cs="Arial"/>
                <w:sz w:val="22"/>
              </w:rPr>
            </w:pPr>
            <w:permStart w:id="1454659354" w:edGrp="everyone" w:colFirst="1" w:colLast="1"/>
            <w:permEnd w:id="582561341"/>
            <w:r w:rsidRPr="00E40A5C">
              <w:rPr>
                <w:rFonts w:cs="Arial"/>
                <w:sz w:val="22"/>
              </w:rPr>
              <w:t>Are you representing an association?</w:t>
            </w:r>
          </w:p>
        </w:tc>
        <w:sdt>
          <w:sdtPr>
            <w:rPr>
              <w:rFonts w:cs="Arial"/>
            </w:rPr>
            <w:id w:val="-242871467"/>
          </w:sdtPr>
          <w:sdtEndPr/>
          <w:sdtContent>
            <w:tc>
              <w:tcPr>
                <w:tcW w:w="5595" w:type="dxa"/>
                <w:shd w:val="clear" w:color="auto" w:fill="auto"/>
              </w:tcPr>
              <w:p w14:paraId="509A61F6" w14:textId="3FFCBBF1" w:rsidR="00B327E9" w:rsidRPr="00AB6D88" w:rsidRDefault="00E4118E" w:rsidP="00C31068">
                <w:pPr>
                  <w:rPr>
                    <w:rFonts w:cs="Arial"/>
                  </w:rPr>
                </w:pPr>
                <w:r>
                  <w:rPr>
                    <w:rFonts w:ascii="MS Gothic" w:eastAsia="MS Gothic" w:hAnsi="MS Gothic" w:cs="Arial" w:hint="eastAsia"/>
                  </w:rPr>
                  <w:t>Y</w:t>
                </w:r>
                <w:r>
                  <w:rPr>
                    <w:rFonts w:ascii="MS Gothic" w:eastAsia="MS Gothic" w:hAnsi="MS Gothic" w:cs="Arial"/>
                  </w:rPr>
                  <w:t>es</w:t>
                </w:r>
              </w:p>
            </w:tc>
          </w:sdtContent>
        </w:sdt>
      </w:tr>
      <w:tr w:rsidR="00B327E9" w:rsidRPr="00AB6D88" w14:paraId="206CCDF8" w14:textId="77777777" w:rsidTr="00C31068">
        <w:tc>
          <w:tcPr>
            <w:tcW w:w="3929" w:type="dxa"/>
            <w:shd w:val="clear" w:color="auto" w:fill="auto"/>
          </w:tcPr>
          <w:p w14:paraId="021564EB" w14:textId="77777777" w:rsidR="00B327E9" w:rsidRPr="00E40A5C" w:rsidRDefault="00B327E9" w:rsidP="00C31068">
            <w:pPr>
              <w:rPr>
                <w:rFonts w:cs="Arial"/>
                <w:sz w:val="22"/>
              </w:rPr>
            </w:pPr>
            <w:permStart w:id="1495468481" w:edGrp="everyone" w:colFirst="1" w:colLast="1"/>
            <w:permEnd w:id="1454659354"/>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9CD34BC" w14:textId="69321D10" w:rsidR="00B327E9" w:rsidRPr="00AB6D88" w:rsidRDefault="00E4118E" w:rsidP="00C31068">
                <w:pPr>
                  <w:rPr>
                    <w:rFonts w:cs="Arial"/>
                  </w:rPr>
                </w:pPr>
                <w:r>
                  <w:rPr>
                    <w:rFonts w:cs="Arial"/>
                  </w:rPr>
                  <w:t>Belgium</w:t>
                </w:r>
              </w:p>
            </w:tc>
          </w:sdtContent>
        </w:sdt>
      </w:tr>
      <w:permEnd w:id="1495468481"/>
    </w:tbl>
    <w:p w14:paraId="09265A03" w14:textId="77777777" w:rsidR="00B327E9" w:rsidRDefault="00B327E9" w:rsidP="00B327E9">
      <w:pPr>
        <w:spacing w:after="120" w:line="264" w:lineRule="auto"/>
      </w:pPr>
    </w:p>
    <w:p w14:paraId="1F57CECA" w14:textId="77777777" w:rsidR="00B327E9" w:rsidRDefault="00B327E9" w:rsidP="00B327E9">
      <w:pPr>
        <w:pStyle w:val="Heading1"/>
        <w:numPr>
          <w:ilvl w:val="0"/>
          <w:numId w:val="0"/>
        </w:numPr>
        <w:ind w:left="431" w:hanging="431"/>
      </w:pPr>
      <w:r>
        <w:t>Introduction</w:t>
      </w:r>
    </w:p>
    <w:p w14:paraId="06A4E53A"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7EFAA8FD" w14:textId="77777777" w:rsidR="00B327E9" w:rsidRPr="00BF28DA" w:rsidRDefault="00B327E9" w:rsidP="00B327E9"/>
    <w:p w14:paraId="7131DBF8" w14:textId="77777777" w:rsidR="00B327E9" w:rsidRPr="006F4535" w:rsidRDefault="00B327E9" w:rsidP="00B327E9">
      <w:r w:rsidRPr="006F4535">
        <w:t>&lt;ESA_COMMENT_</w:t>
      </w:r>
      <w:r w:rsidR="00197794">
        <w:rPr>
          <w:rStyle w:val="SubtleEmphasis"/>
          <w:b w:val="0"/>
          <w:sz w:val="22"/>
        </w:rPr>
        <w:t>PKID</w:t>
      </w:r>
      <w:r w:rsidRPr="006F4535">
        <w:t>_1&gt;</w:t>
      </w:r>
    </w:p>
    <w:p w14:paraId="20D0AA76" w14:textId="77777777" w:rsidR="009D5C3A" w:rsidRDefault="009D5C3A" w:rsidP="009D5C3A">
      <w:permStart w:id="989813820" w:edGrp="everyone"/>
      <w:r>
        <w:t>• The implementation of the PRIIPs regulation induced an increase of legal insecurity due to the difficulties to implement the standard</w:t>
      </w:r>
      <w:r w:rsidR="001C06B5">
        <w:t xml:space="preserve"> </w:t>
      </w:r>
      <w:r w:rsidR="001C06B5" w:rsidRPr="001C06B5">
        <w:rPr>
          <w:highlight w:val="green"/>
        </w:rPr>
        <w:t>as some of the requirements are lacking the</w:t>
      </w:r>
      <w:r w:rsidR="001C06B5">
        <w:t xml:space="preserve"> clear implementation examples</w:t>
      </w:r>
      <w:r>
        <w:t xml:space="preserve">. It required in a number of cases efforts of interpretation that may give rise to contest and generate a significant legal risk for the insurers with possible prudential outcomes. </w:t>
      </w:r>
    </w:p>
    <w:p w14:paraId="002843F8" w14:textId="77777777" w:rsidR="00D2526E" w:rsidRDefault="00D2526E" w:rsidP="009D5C3A"/>
    <w:p w14:paraId="23C41F11" w14:textId="77777777" w:rsidR="009D5C3A" w:rsidRDefault="009D5C3A" w:rsidP="009D5C3A">
      <w:r>
        <w:t>• Many stakeholders expressed they were unsatisfied with some aspects of the standard, and specifically with the performance scenarios. The AAE expressed its own concerns with regards to the consumer protection risks induced by those scenarios.</w:t>
      </w:r>
    </w:p>
    <w:p w14:paraId="35E89BD4" w14:textId="77777777" w:rsidR="00D2526E" w:rsidRDefault="00D2526E" w:rsidP="009D5C3A"/>
    <w:p w14:paraId="37AEF546" w14:textId="77777777" w:rsidR="009D5C3A" w:rsidRDefault="009D5C3A" w:rsidP="009D5C3A">
      <w:r>
        <w:t>• Therefore, when noticing with interest the ESAs intention to remedy to these difficulties with performance scenarios, the AAE remains very sensitive to the fact that any methodological requirement must be assessed with regards to its ability to lead to reliable results for different products within the scope that are understandable by the consumer, and to its ability to be reasonably implemented (limited complexity, suitability to the various product’s configurations encountered…). It is important that this objective is met through introduction of coherent and consistent methods instead of introduction of quick fixes.</w:t>
      </w:r>
    </w:p>
    <w:p w14:paraId="4E044F6D" w14:textId="77777777" w:rsidR="00D2526E" w:rsidRDefault="00D2526E" w:rsidP="009D5C3A"/>
    <w:p w14:paraId="1667F000" w14:textId="77777777" w:rsidR="009D5C3A" w:rsidRDefault="009D5C3A" w:rsidP="009D5C3A">
      <w:r>
        <w:t xml:space="preserve">• AAE had already the opportunity to express that it was not in favour of quick-fix solutions and promoted a full review of the standard, in order to address the structural problems raised. We do not see that the current review meets this objective. From a pragmatic point of view, taking into account the efforts already deployed by insurers and the questionable understandability of the PRIIPs KID for the consumer, the AAE was not in favour of enriching the information already required with new requirements, such as adding past performance figures to existing performance scenarios.  </w:t>
      </w:r>
    </w:p>
    <w:p w14:paraId="2C6EFCF4" w14:textId="77777777" w:rsidR="00D2526E" w:rsidRDefault="00D2526E" w:rsidP="009D5C3A"/>
    <w:p w14:paraId="38EAE506" w14:textId="77777777" w:rsidR="009D5C3A" w:rsidRDefault="009D5C3A" w:rsidP="009D5C3A">
      <w:r>
        <w:t>• AAE expresses its concerns with regards to several proposals included in the consultation paper. Some of the proposed methods become even more complex than the current methods, which will make the results and figures disclosed even more difficult for the consumer to understand and will increase the legal and technical risk involved in establishing these figures. The aims of transparency, comprehensibility and comparability stated in the PRIIPs Regulation appear to be in danger if the changes which are described in the consultation to PRIIPs RTS would be implemented. While it is a standard approach to use the concept of risk premia it is not clear how this fits consistently into the existing methodology for categories 2 and 3. Also the different methods for determining the risk premia for different assets do not seem to form one consistent approach. That point illustrate</w:t>
      </w:r>
      <w:r w:rsidR="00D2526E">
        <w:t>s</w:t>
      </w:r>
      <w:r>
        <w:t xml:space="preserve"> the conjunction of technical complexity and loss of consistency. On the contrary, the simpler approaches contemplated by the consultation paper may merit further consideration and an in-depth study as they may represent interesting alternatives.  </w:t>
      </w:r>
    </w:p>
    <w:p w14:paraId="2660DC7E" w14:textId="77777777" w:rsidR="00D2526E" w:rsidRDefault="00D2526E" w:rsidP="009D5C3A"/>
    <w:p w14:paraId="6CF781EC" w14:textId="77777777" w:rsidR="009D5C3A" w:rsidRDefault="009D5C3A" w:rsidP="009D5C3A">
      <w:r>
        <w:t xml:space="preserve">• AAE recognizes the importance of the matters addressed by the PRIIPs regulation in the perspective of the CMU and is willing to contribute to the elaboration of an efficient regulation. In relation to these matters, AAE had the opportunity to underline the great heterogeneity of the insurance markets and products, whether at national or European level. The success of any regulatory solution requires to duly take into account this heterogeneity, without excluding proportionate methodological adaptations when required by products specificities. A one-size-fits-all approach is problematic if it leads to inappropriate representation of certain products. </w:t>
      </w:r>
    </w:p>
    <w:p w14:paraId="6E4024C1" w14:textId="77777777" w:rsidR="00D2526E" w:rsidRDefault="009D5C3A" w:rsidP="00B327E9">
      <w:r>
        <w:lastRenderedPageBreak/>
        <w:t>AAE underlines the benefits that would bring an in depth and comprehensive review including level 1 review. In any case, a quick fix approach on level one should be avoided. in this regard, it should be stated that, would we have a satisfactorily revision of level 2, important issues raised by level 1 would nevertheless remain.</w:t>
      </w:r>
    </w:p>
    <w:permEnd w:id="989813820"/>
    <w:p w14:paraId="2DCF0137" w14:textId="77777777" w:rsidR="00B327E9" w:rsidRPr="00BF28DA" w:rsidRDefault="00B327E9" w:rsidP="00B327E9">
      <w:r w:rsidRPr="00BF28DA">
        <w:t>&lt;ESA_COMMENT_</w:t>
      </w:r>
      <w:r w:rsidR="00197794">
        <w:rPr>
          <w:rStyle w:val="SubtleEmphasis"/>
          <w:b w:val="0"/>
          <w:sz w:val="22"/>
        </w:rPr>
        <w:t>PKID</w:t>
      </w:r>
      <w:r w:rsidR="000A58BE">
        <w:t>_</w:t>
      </w:r>
      <w:r w:rsidRPr="00BF28DA">
        <w:t>1&gt;</w:t>
      </w:r>
    </w:p>
    <w:p w14:paraId="796E739E" w14:textId="77777777" w:rsidR="00F31E57" w:rsidRPr="00BF28DA" w:rsidRDefault="00F31E57" w:rsidP="00D34282"/>
    <w:p w14:paraId="1D567008" w14:textId="77777777" w:rsidR="003E573C" w:rsidRDefault="00F31E57" w:rsidP="003E573C">
      <w:pPr>
        <w:pStyle w:val="Questionstyle"/>
        <w:numPr>
          <w:ilvl w:val="0"/>
          <w:numId w:val="39"/>
        </w:numPr>
      </w:pPr>
      <w:r w:rsidRPr="0075015C">
        <w:br w:type="page"/>
      </w:r>
      <w:r w:rsidR="003E573C">
        <w:t xml:space="preserve">: </w:t>
      </w:r>
      <w:r w:rsidR="003E573C" w:rsidRPr="00763760">
        <w:t>Are there provisions in the PRIIPs Regulation or Delegated Regulation that hinder the use of digital solutions for the KID?</w:t>
      </w:r>
    </w:p>
    <w:p w14:paraId="1814B1A9" w14:textId="77777777" w:rsidR="003E573C" w:rsidRDefault="003E573C" w:rsidP="003E573C">
      <w:pPr>
        <w:rPr>
          <w:rFonts w:cs="Arial"/>
        </w:rPr>
      </w:pPr>
      <w:r>
        <w:rPr>
          <w:rFonts w:cs="Arial"/>
        </w:rPr>
        <w:t>&lt;ESA_QUESTION_PKID_1&gt;</w:t>
      </w:r>
    </w:p>
    <w:p w14:paraId="6CF05032" w14:textId="77777777" w:rsidR="009D5C3A" w:rsidRPr="009D5C3A" w:rsidRDefault="009D5C3A" w:rsidP="009D5C3A">
      <w:pPr>
        <w:rPr>
          <w:rFonts w:cs="Arial"/>
        </w:rPr>
      </w:pPr>
      <w:permStart w:id="1860336220" w:edGrp="everyone"/>
      <w:r w:rsidRPr="009D5C3A">
        <w:rPr>
          <w:rFonts w:cs="Arial"/>
        </w:rPr>
        <w:t>If the question relates to the way the disclosure should be made to the customer, the faculty to rely on digital disclosure (indication of a link to a website) is necessary.</w:t>
      </w:r>
    </w:p>
    <w:p w14:paraId="5A418A05" w14:textId="77777777" w:rsidR="009D5C3A" w:rsidRPr="009D5C3A" w:rsidRDefault="009D5C3A" w:rsidP="009D5C3A">
      <w:pPr>
        <w:rPr>
          <w:rFonts w:cs="Arial"/>
        </w:rPr>
      </w:pPr>
      <w:r w:rsidRPr="009D5C3A">
        <w:rPr>
          <w:rFonts w:cs="Arial"/>
        </w:rPr>
        <w:t xml:space="preserve">If the question relates to consumers accessing KIDs through tablets / smartphones, the format of the KID is not compatible with such devices as there is too much information contained in these documents. </w:t>
      </w:r>
    </w:p>
    <w:p w14:paraId="1F58C566" w14:textId="77777777" w:rsidR="00C31068" w:rsidRDefault="009D5C3A" w:rsidP="003E573C">
      <w:pPr>
        <w:rPr>
          <w:rFonts w:cs="Arial"/>
        </w:rPr>
      </w:pPr>
      <w:r w:rsidRPr="009D5C3A">
        <w:rPr>
          <w:rFonts w:cs="Arial"/>
        </w:rPr>
        <w:t>Also, the provision that allows member states request pre-filing of KIDs means that, if applied strictly, it is not possible to create an 'on-demand' digital KID or to customise a KID to a customer while also pre-filing.</w:t>
      </w:r>
    </w:p>
    <w:p w14:paraId="2B999CE4" w14:textId="77777777" w:rsidR="00C31068" w:rsidRDefault="00C31068" w:rsidP="003E573C">
      <w:pPr>
        <w:rPr>
          <w:rFonts w:cs="Arial"/>
        </w:rPr>
      </w:pPr>
    </w:p>
    <w:p w14:paraId="3F24B191" w14:textId="77777777" w:rsidR="00C31068" w:rsidRDefault="00C31068" w:rsidP="003E573C">
      <w:pPr>
        <w:rPr>
          <w:rFonts w:cs="Arial"/>
        </w:rPr>
      </w:pPr>
      <w:r>
        <w:rPr>
          <w:rFonts w:cs="Arial"/>
        </w:rPr>
        <w:t>We suggest to explicitly require by the EU regulation the duty towards local regulators to provide clear role model example, as the guidance to the industry. We would welcome if the national regulators would prior coordinate their requirements across the EU regulators so the implementation across the EU would be consistent.</w:t>
      </w:r>
    </w:p>
    <w:p w14:paraId="7DBCE03D" w14:textId="77777777" w:rsidR="003E573C" w:rsidRDefault="009D5C3A" w:rsidP="003E573C">
      <w:pPr>
        <w:rPr>
          <w:rFonts w:cs="Arial"/>
        </w:rPr>
      </w:pPr>
      <w:r w:rsidRPr="009D5C3A">
        <w:rPr>
          <w:rFonts w:cs="Arial"/>
        </w:rPr>
        <w:t xml:space="preserve"> </w:t>
      </w:r>
      <w:permEnd w:id="1860336220"/>
      <w:r w:rsidR="003E573C">
        <w:rPr>
          <w:rFonts w:cs="Arial"/>
        </w:rPr>
        <w:t>&lt;ESA_QUESTION_PKID_1&gt;</w:t>
      </w:r>
    </w:p>
    <w:p w14:paraId="51F378D3" w14:textId="77777777" w:rsidR="003E573C" w:rsidRDefault="003E573C" w:rsidP="003E573C">
      <w:pPr>
        <w:rPr>
          <w:rFonts w:cs="Arial"/>
        </w:rPr>
      </w:pPr>
    </w:p>
    <w:p w14:paraId="046F0974"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32CA4F9A" w14:textId="77777777" w:rsidR="003E573C" w:rsidRDefault="003E573C" w:rsidP="003E573C">
      <w:pPr>
        <w:rPr>
          <w:rFonts w:cs="Arial"/>
        </w:rPr>
      </w:pPr>
      <w:r>
        <w:rPr>
          <w:rFonts w:cs="Arial"/>
        </w:rPr>
        <w:t>&lt;ESA_QUESTION_PKID_2&gt;</w:t>
      </w:r>
    </w:p>
    <w:p w14:paraId="165CA416" w14:textId="77777777" w:rsidR="009D5C3A" w:rsidRDefault="009D5C3A" w:rsidP="009D5C3A">
      <w:pPr>
        <w:rPr>
          <w:rFonts w:cs="Arial"/>
        </w:rPr>
      </w:pPr>
      <w:permStart w:id="1045633840" w:edGrp="everyone"/>
      <w:r w:rsidRPr="009D5C3A">
        <w:rPr>
          <w:rFonts w:cs="Arial"/>
        </w:rPr>
        <w:t>On a consumer protection point of view, the possibility to extract information using an IT tool does not make much sense, it is also necessary to take into account the technical difficulty.</w:t>
      </w:r>
    </w:p>
    <w:p w14:paraId="7B0F8AFF" w14:textId="77777777" w:rsidR="00D2526E" w:rsidRPr="009D5C3A" w:rsidRDefault="00D2526E" w:rsidP="009D5C3A">
      <w:pPr>
        <w:rPr>
          <w:rFonts w:cs="Arial"/>
        </w:rPr>
      </w:pPr>
    </w:p>
    <w:p w14:paraId="1E5462E2" w14:textId="77777777" w:rsidR="009D5C3A" w:rsidRDefault="009D5C3A" w:rsidP="003E573C">
      <w:pPr>
        <w:rPr>
          <w:rFonts w:cs="Arial"/>
        </w:rPr>
      </w:pPr>
      <w:r w:rsidRPr="009D5C3A">
        <w:rPr>
          <w:rFonts w:cs="Arial"/>
        </w:rPr>
        <w:t>Although PRIIPs documentation is devoted to individual consumers, we understand that some interest could be found in allowing the supervision authorities to extract on a larger scale the information. For e</w:t>
      </w:r>
      <w:r>
        <w:rPr>
          <w:rFonts w:cs="Arial"/>
        </w:rPr>
        <w:t>x</w:t>
      </w:r>
      <w:r w:rsidRPr="009D5C3A">
        <w:rPr>
          <w:rFonts w:cs="Arial"/>
        </w:rPr>
        <w:t>ample, the European PRIIPs Template (EPT) provides mainly quantitative information and does not seem suitable for other products than the MOP's underlying options.  If all manufacturers were to provide KID information in such a standardised format (that remains to be defined), this would probably facilitate possible analytical exercises by national regulators and consumer advisers provided they have the necessary technology. However, an appropriate template would need to be adapted/created and extended to all PRIIPs products. Bearing in mind that the KID is customer-oriented and that past experience suggests that one should be particularly cautious about the burden of this regulation, we are concerned that requiring all manufacturers to provide KID information in the same EPT format could lead to additional compliance costs and risks that would not outweigh the satisfaction of this hypothetical need.</w:t>
      </w:r>
      <w:r>
        <w:rPr>
          <w:rFonts w:cs="Arial"/>
        </w:rPr>
        <w:t xml:space="preserve"> </w:t>
      </w:r>
    </w:p>
    <w:permEnd w:id="1045633840"/>
    <w:p w14:paraId="26623086" w14:textId="77777777" w:rsidR="003E573C" w:rsidRDefault="003E573C" w:rsidP="003E573C">
      <w:pPr>
        <w:rPr>
          <w:rFonts w:cs="Arial"/>
        </w:rPr>
      </w:pPr>
      <w:r>
        <w:rPr>
          <w:rFonts w:cs="Arial"/>
        </w:rPr>
        <w:t>&lt;ESA_QUESTION_PKID_2&gt;</w:t>
      </w:r>
    </w:p>
    <w:p w14:paraId="1FEC55E7" w14:textId="77777777" w:rsidR="003E573C" w:rsidRDefault="003E573C" w:rsidP="003E573C">
      <w:pPr>
        <w:rPr>
          <w:rFonts w:cs="Arial"/>
        </w:rPr>
      </w:pPr>
    </w:p>
    <w:p w14:paraId="48A854DC"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7CCC62DF" w14:textId="77777777" w:rsidR="003E573C" w:rsidRDefault="003E573C" w:rsidP="003E573C">
      <w:pPr>
        <w:rPr>
          <w:rFonts w:cs="Arial"/>
        </w:rPr>
      </w:pPr>
      <w:r>
        <w:rPr>
          <w:rFonts w:cs="Arial"/>
        </w:rPr>
        <w:t>&lt;ESA_QUESTION_PKID_3&gt;</w:t>
      </w:r>
    </w:p>
    <w:p w14:paraId="47F9F4E1" w14:textId="77777777" w:rsidR="009D5C3A" w:rsidRPr="009D5C3A" w:rsidRDefault="009D5C3A" w:rsidP="009D5C3A">
      <w:pPr>
        <w:rPr>
          <w:rFonts w:cs="Arial"/>
        </w:rPr>
      </w:pPr>
      <w:permStart w:id="715802349" w:edGrp="everyone"/>
      <w:r w:rsidRPr="009D5C3A">
        <w:rPr>
          <w:rFonts w:cs="Arial"/>
        </w:rPr>
        <w:t>Regarding the review clause, our view is that there may be a consensus among all European actors (and stated at the Public Hearing in Frankfurt) to postpone the implementation as late as possible (2022 at least) and not to have to conduct a piecemeal review. Europe</w:t>
      </w:r>
      <w:r>
        <w:rPr>
          <w:rFonts w:cs="Arial"/>
        </w:rPr>
        <w:t>a</w:t>
      </w:r>
      <w:r w:rsidRPr="009D5C3A">
        <w:rPr>
          <w:rFonts w:cs="Arial"/>
        </w:rPr>
        <w:t xml:space="preserve">n authorities, on the basis of level 2 compliance, propose a consumer testing at the end of January and an implementation by the end of 2021 at the latest. </w:t>
      </w:r>
    </w:p>
    <w:p w14:paraId="5B343CEB" w14:textId="77777777" w:rsidR="009D5C3A" w:rsidRPr="009D5C3A" w:rsidRDefault="009D5C3A" w:rsidP="009D5C3A">
      <w:pPr>
        <w:rPr>
          <w:rFonts w:cs="Arial"/>
        </w:rPr>
      </w:pPr>
      <w:r w:rsidRPr="009D5C3A">
        <w:rPr>
          <w:rFonts w:cs="Arial"/>
        </w:rPr>
        <w:t xml:space="preserve">A comprehensive review would take less efforts to get implemented and a later deadline would be required to achieve a sufficient standard of quality. </w:t>
      </w:r>
    </w:p>
    <w:p w14:paraId="7E11F3C3" w14:textId="77777777" w:rsidR="009D5C3A" w:rsidRDefault="009D5C3A" w:rsidP="003E573C">
      <w:pPr>
        <w:rPr>
          <w:rFonts w:cs="Arial"/>
        </w:rPr>
      </w:pPr>
      <w:r w:rsidRPr="009D5C3A">
        <w:rPr>
          <w:rFonts w:cs="Arial"/>
        </w:rPr>
        <w:t>Therefore only one change should be made (i.e. all changes together) and at the beginning of 2022 at the earliest. Changing the process of producing KIDs is a large project for companies.</w:t>
      </w:r>
    </w:p>
    <w:permEnd w:id="715802349"/>
    <w:p w14:paraId="11C16B5D" w14:textId="77777777" w:rsidR="003E573C" w:rsidRDefault="003E573C" w:rsidP="003E573C">
      <w:pPr>
        <w:rPr>
          <w:rFonts w:cs="Arial"/>
        </w:rPr>
      </w:pPr>
      <w:r>
        <w:rPr>
          <w:rFonts w:cs="Arial"/>
        </w:rPr>
        <w:t>&lt;ESA_QUESTION_PKID_3&gt;</w:t>
      </w:r>
    </w:p>
    <w:p w14:paraId="44409B70" w14:textId="77777777" w:rsidR="003E573C" w:rsidRDefault="003E573C" w:rsidP="003E573C">
      <w:pPr>
        <w:rPr>
          <w:rFonts w:cs="Arial"/>
        </w:rPr>
      </w:pPr>
    </w:p>
    <w:p w14:paraId="7D97EA8E"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480E45BE" w14:textId="77777777" w:rsidR="003E573C" w:rsidRDefault="003E573C" w:rsidP="003E573C">
      <w:pPr>
        <w:rPr>
          <w:rFonts w:cs="Arial"/>
        </w:rPr>
      </w:pPr>
      <w:r>
        <w:rPr>
          <w:rFonts w:cs="Arial"/>
        </w:rPr>
        <w:t>&lt;ESA_QUESTION_PKID_4&gt;</w:t>
      </w:r>
    </w:p>
    <w:p w14:paraId="6696631C" w14:textId="77777777" w:rsidR="009D5C3A" w:rsidRDefault="009D5C3A" w:rsidP="003E573C">
      <w:pPr>
        <w:rPr>
          <w:rFonts w:cs="Arial"/>
        </w:rPr>
      </w:pPr>
      <w:permStart w:id="2010384520" w:edGrp="everyone"/>
      <w:r w:rsidRPr="009D5C3A">
        <w:rPr>
          <w:rFonts w:cs="Arial"/>
        </w:rPr>
        <w:t>In line with our previous feedback, the preferred approach would be to decide upon the full range of desired amendments first and then to make all changes in one move. This would be less confusing for customers and would minimise effort and cost to the industry.</w:t>
      </w:r>
    </w:p>
    <w:permEnd w:id="2010384520"/>
    <w:p w14:paraId="32652840" w14:textId="77777777" w:rsidR="003E573C" w:rsidRDefault="003E573C" w:rsidP="003E573C">
      <w:pPr>
        <w:rPr>
          <w:rFonts w:cs="Arial"/>
        </w:rPr>
      </w:pPr>
      <w:r>
        <w:rPr>
          <w:rFonts w:cs="Arial"/>
        </w:rPr>
        <w:t>&lt;ESA_QUESTION_PKID_4&gt;</w:t>
      </w:r>
    </w:p>
    <w:p w14:paraId="6DC5FB7C" w14:textId="77777777" w:rsidR="003E573C" w:rsidRDefault="003E573C" w:rsidP="003E573C">
      <w:pPr>
        <w:rPr>
          <w:rFonts w:cs="Arial"/>
        </w:rPr>
      </w:pPr>
    </w:p>
    <w:p w14:paraId="5F4DB4E3" w14:textId="77777777" w:rsidR="003E573C" w:rsidRDefault="003E573C" w:rsidP="003E573C">
      <w:pPr>
        <w:pStyle w:val="Questionstyle"/>
        <w:numPr>
          <w:ilvl w:val="0"/>
          <w:numId w:val="39"/>
        </w:numPr>
      </w:pPr>
      <w:r>
        <w:t xml:space="preserve">: </w:t>
      </w:r>
      <w:r w:rsidRPr="00763760">
        <w:t>Are there material issues that are not addressed in this consultation paper tha</w:t>
      </w:r>
      <w:bookmarkStart w:id="1" w:name="_GoBack"/>
      <w:bookmarkEnd w:id="1"/>
      <w:r w:rsidRPr="00763760">
        <w:t>t you think should be part of this review of the PRIIPs Delegated Regulation? If so, please explain the issue and how it should be addressed.</w:t>
      </w:r>
    </w:p>
    <w:p w14:paraId="43215795" w14:textId="77777777" w:rsidR="003E573C" w:rsidRDefault="003E573C" w:rsidP="003E573C">
      <w:pPr>
        <w:rPr>
          <w:rFonts w:cs="Arial"/>
        </w:rPr>
      </w:pPr>
      <w:r>
        <w:rPr>
          <w:rFonts w:cs="Arial"/>
        </w:rPr>
        <w:t>&lt;ESA_QUESTION_PKID_5&gt;</w:t>
      </w:r>
    </w:p>
    <w:p w14:paraId="7129D747" w14:textId="313E8E90" w:rsidR="009D5C3A" w:rsidRPr="009D5C3A" w:rsidRDefault="009D5C3A" w:rsidP="009D5C3A">
      <w:pPr>
        <w:rPr>
          <w:rFonts w:cs="Arial"/>
        </w:rPr>
      </w:pPr>
      <w:permStart w:id="612787400" w:edGrp="everyone"/>
      <w:r w:rsidRPr="009D5C3A">
        <w:rPr>
          <w:rFonts w:cs="Arial"/>
        </w:rPr>
        <w:t xml:space="preserve">(1) The filing requirements of some countries are onerous, costly and </w:t>
      </w:r>
      <w:r w:rsidR="000F06A2" w:rsidRPr="000F06A2">
        <w:rPr>
          <w:rFonts w:cs="Arial"/>
          <w:b/>
        </w:rPr>
        <w:t xml:space="preserve">may be </w:t>
      </w:r>
      <w:r w:rsidRPr="009D5C3A">
        <w:rPr>
          <w:rFonts w:cs="Arial"/>
        </w:rPr>
        <w:t>not consistent</w:t>
      </w:r>
      <w:r w:rsidR="000F06A2">
        <w:rPr>
          <w:rFonts w:cs="Arial"/>
        </w:rPr>
        <w:t xml:space="preserve"> </w:t>
      </w:r>
      <w:r w:rsidR="000F06A2" w:rsidRPr="000F06A2">
        <w:rPr>
          <w:rFonts w:cs="Arial"/>
          <w:b/>
        </w:rPr>
        <w:t>due to the specificity of the products that cannot be adequately caught by the regulation</w:t>
      </w:r>
      <w:r w:rsidRPr="009D5C3A">
        <w:rPr>
          <w:rFonts w:cs="Arial"/>
        </w:rPr>
        <w:t>.  This is a barrier for small companies to cross-border business</w:t>
      </w:r>
      <w:r w:rsidR="000F06A2">
        <w:rPr>
          <w:rFonts w:cs="Arial"/>
        </w:rPr>
        <w:t xml:space="preserve"> </w:t>
      </w:r>
      <w:r w:rsidR="000F06A2" w:rsidRPr="000F06A2">
        <w:rPr>
          <w:rFonts w:cs="Arial"/>
          <w:b/>
        </w:rPr>
        <w:t>with little proven benefit for customers</w:t>
      </w:r>
      <w:r w:rsidRPr="009D5C3A">
        <w:rPr>
          <w:rFonts w:cs="Arial"/>
        </w:rPr>
        <w:t>.</w:t>
      </w:r>
    </w:p>
    <w:p w14:paraId="6D34AB10" w14:textId="77777777" w:rsidR="009D5C3A" w:rsidRPr="009D5C3A" w:rsidRDefault="009D5C3A" w:rsidP="009D5C3A">
      <w:pPr>
        <w:rPr>
          <w:rFonts w:cs="Arial"/>
        </w:rPr>
      </w:pPr>
    </w:p>
    <w:p w14:paraId="189370C9" w14:textId="77777777" w:rsidR="009D5C3A" w:rsidRPr="009D5C3A" w:rsidRDefault="009D5C3A" w:rsidP="009D5C3A">
      <w:pPr>
        <w:rPr>
          <w:rFonts w:cs="Arial"/>
        </w:rPr>
      </w:pPr>
      <w:r w:rsidRPr="009D5C3A">
        <w:rPr>
          <w:rFonts w:cs="Arial"/>
        </w:rPr>
        <w:t>(2) The setting of the RHP may need further consideration as significant deviations in practice among companies is reducing comparability of KIDs.</w:t>
      </w:r>
    </w:p>
    <w:p w14:paraId="6B5A9F1E" w14:textId="77777777" w:rsidR="009D5C3A" w:rsidRPr="009D5C3A" w:rsidRDefault="009D5C3A" w:rsidP="009D5C3A">
      <w:pPr>
        <w:rPr>
          <w:rFonts w:cs="Arial"/>
        </w:rPr>
      </w:pPr>
    </w:p>
    <w:p w14:paraId="0E972269" w14:textId="1C6C7A1C" w:rsidR="009D5C3A" w:rsidRPr="009D5C3A" w:rsidRDefault="009D5C3A" w:rsidP="009D5C3A">
      <w:pPr>
        <w:rPr>
          <w:rFonts w:cs="Arial"/>
        </w:rPr>
      </w:pPr>
      <w:r w:rsidRPr="009D5C3A">
        <w:rPr>
          <w:rFonts w:cs="Arial"/>
        </w:rPr>
        <w:t xml:space="preserve">(3) </w:t>
      </w:r>
      <w:r w:rsidR="000F06A2" w:rsidRPr="000F06A2">
        <w:rPr>
          <w:rFonts w:cs="Arial"/>
          <w:b/>
        </w:rPr>
        <w:t>In relation to the difficulties mentioned on point 1 of Q5,</w:t>
      </w:r>
      <w:r w:rsidR="000F06A2">
        <w:rPr>
          <w:rFonts w:cs="Arial"/>
        </w:rPr>
        <w:t xml:space="preserve"> f</w:t>
      </w:r>
      <w:r w:rsidRPr="009D5C3A">
        <w:rPr>
          <w:rFonts w:cs="Arial"/>
        </w:rPr>
        <w:t>urther guidance and worked examples based on actual products</w:t>
      </w:r>
      <w:r w:rsidR="00C31068">
        <w:rPr>
          <w:rFonts w:cs="Arial"/>
        </w:rPr>
        <w:t xml:space="preserve"> typical for each EU member state </w:t>
      </w:r>
      <w:r w:rsidRPr="009D5C3A">
        <w:rPr>
          <w:rFonts w:cs="Arial"/>
        </w:rPr>
        <w:t xml:space="preserve"> would improve consistency of approach as there are different interpretations of the legislation used.</w:t>
      </w:r>
    </w:p>
    <w:p w14:paraId="570FC7D2" w14:textId="77777777" w:rsidR="009D5C3A" w:rsidRPr="009D5C3A" w:rsidRDefault="009D5C3A" w:rsidP="009D5C3A">
      <w:pPr>
        <w:rPr>
          <w:rFonts w:cs="Arial"/>
        </w:rPr>
      </w:pPr>
    </w:p>
    <w:p w14:paraId="1371AD8A" w14:textId="50F56C3A" w:rsidR="009D5C3A" w:rsidRDefault="009D5C3A" w:rsidP="003E573C">
      <w:pPr>
        <w:rPr>
          <w:rFonts w:cs="Arial"/>
        </w:rPr>
      </w:pPr>
      <w:r w:rsidRPr="009D5C3A">
        <w:rPr>
          <w:rFonts w:cs="Arial"/>
        </w:rPr>
        <w:t xml:space="preserve">(4) Funeral insurance, even provided on a life long basis with surrender value, </w:t>
      </w:r>
      <w:r w:rsidR="000F06A2">
        <w:t xml:space="preserve">and </w:t>
      </w:r>
      <w:r w:rsidR="000F06A2">
        <w:rPr>
          <w:b/>
          <w:bCs/>
          <w:i/>
          <w:iCs/>
          <w:u w:val="single"/>
        </w:rPr>
        <w:t>life-long annuities are</w:t>
      </w:r>
      <w:r w:rsidRPr="009D5C3A">
        <w:rPr>
          <w:rFonts w:cs="Arial"/>
        </w:rPr>
        <w:t xml:space="preserve">  not investment product</w:t>
      </w:r>
      <w:r w:rsidR="000F06A2">
        <w:rPr>
          <w:rFonts w:cs="Arial"/>
        </w:rPr>
        <w:t xml:space="preserve">s, </w:t>
      </w:r>
      <w:r w:rsidR="000F06A2" w:rsidRPr="000F06A2">
        <w:rPr>
          <w:rFonts w:cs="Arial"/>
          <w:b/>
        </w:rPr>
        <w:t>and</w:t>
      </w:r>
      <w:r w:rsidRPr="009D5C3A">
        <w:rPr>
          <w:rFonts w:cs="Arial"/>
        </w:rPr>
        <w:t xml:space="preserve"> must be taken out of the scope.</w:t>
      </w:r>
    </w:p>
    <w:permEnd w:id="612787400"/>
    <w:p w14:paraId="0B1B5057" w14:textId="77777777" w:rsidR="003E573C" w:rsidRDefault="003E573C" w:rsidP="003E573C">
      <w:pPr>
        <w:rPr>
          <w:rFonts w:cs="Arial"/>
        </w:rPr>
      </w:pPr>
      <w:r>
        <w:rPr>
          <w:rFonts w:cs="Arial"/>
        </w:rPr>
        <w:t>&lt;ESA_QUESTION_PKID_5&gt;</w:t>
      </w:r>
    </w:p>
    <w:p w14:paraId="31E5DED7" w14:textId="77777777" w:rsidR="003E573C" w:rsidRDefault="003E573C" w:rsidP="003E573C">
      <w:pPr>
        <w:rPr>
          <w:rFonts w:cs="Arial"/>
        </w:rPr>
      </w:pPr>
    </w:p>
    <w:p w14:paraId="5AA2B1A6"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2E861B73" w14:textId="77777777" w:rsidR="003E573C" w:rsidRDefault="003E573C" w:rsidP="003E573C">
      <w:pPr>
        <w:rPr>
          <w:rFonts w:cs="Arial"/>
        </w:rPr>
      </w:pPr>
      <w:r>
        <w:rPr>
          <w:rFonts w:cs="Arial"/>
        </w:rPr>
        <w:t>&lt;ESA_QUESTION_PKID_6&gt;</w:t>
      </w:r>
    </w:p>
    <w:p w14:paraId="69D7E510" w14:textId="77777777" w:rsidR="009D5C3A" w:rsidRPr="009D5C3A" w:rsidRDefault="009D5C3A" w:rsidP="009D5C3A">
      <w:pPr>
        <w:rPr>
          <w:rFonts w:cs="Arial"/>
        </w:rPr>
      </w:pPr>
      <w:permStart w:id="1141858378" w:edGrp="everyone"/>
      <w:r w:rsidRPr="009D5C3A">
        <w:rPr>
          <w:rFonts w:cs="Arial"/>
        </w:rPr>
        <w:t>The continued use of past performance for the volatility part of the calculation leads to a mixed approach with the worst of all worlds (from a practical perspective) i.e. the need to develop a mean return for each PRIIP using asset allocation or strategy data but also the need to capture and use past performance data also. The proposed new approach with standard returns for asset classes should be extended such that volatility metrics are used consistently in the performance scenario calculations.</w:t>
      </w:r>
    </w:p>
    <w:p w14:paraId="1A7B924C" w14:textId="77777777" w:rsidR="009D5C3A" w:rsidRPr="009D5C3A" w:rsidRDefault="009D5C3A" w:rsidP="009D5C3A">
      <w:pPr>
        <w:rPr>
          <w:rFonts w:cs="Arial"/>
        </w:rPr>
      </w:pPr>
    </w:p>
    <w:p w14:paraId="11A82E47" w14:textId="77777777" w:rsidR="009D5C3A" w:rsidRDefault="009D5C3A" w:rsidP="003E573C">
      <w:pPr>
        <w:rPr>
          <w:rFonts w:cs="Arial"/>
        </w:rPr>
      </w:pPr>
      <w:r w:rsidRPr="009D5C3A">
        <w:rPr>
          <w:rFonts w:cs="Arial"/>
        </w:rPr>
        <w:t>Reducing the number of figures presented in the table will aid consumer understanding. However, if intermediate scenarios are removed then customers should still be made aware of any early exit penalties and the impact these will have on their return if they exit early.</w:t>
      </w:r>
    </w:p>
    <w:permEnd w:id="1141858378"/>
    <w:p w14:paraId="7C0403E6" w14:textId="77777777" w:rsidR="003E573C" w:rsidRDefault="003E573C" w:rsidP="003E573C">
      <w:pPr>
        <w:rPr>
          <w:rFonts w:cs="Arial"/>
        </w:rPr>
      </w:pPr>
      <w:r>
        <w:rPr>
          <w:rFonts w:cs="Arial"/>
        </w:rPr>
        <w:t>&lt;ESA_QUESTION_PKID_6&gt;</w:t>
      </w:r>
    </w:p>
    <w:p w14:paraId="411691E7" w14:textId="77777777" w:rsidR="003E573C" w:rsidRDefault="003E573C" w:rsidP="003E573C">
      <w:pPr>
        <w:rPr>
          <w:rFonts w:cs="Arial"/>
        </w:rPr>
      </w:pPr>
    </w:p>
    <w:p w14:paraId="19E834CB"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7C3E1C78" w14:textId="77777777" w:rsidR="003E573C" w:rsidRDefault="003E573C" w:rsidP="003E573C">
      <w:pPr>
        <w:rPr>
          <w:rFonts w:cs="Arial"/>
        </w:rPr>
      </w:pPr>
      <w:r>
        <w:rPr>
          <w:rFonts w:cs="Arial"/>
        </w:rPr>
        <w:t>&lt;ESA_QUESTION_PKID_7&gt;</w:t>
      </w:r>
    </w:p>
    <w:p w14:paraId="75D727CB" w14:textId="77777777" w:rsidR="009D5C3A" w:rsidRPr="009D5C3A" w:rsidRDefault="009D5C3A" w:rsidP="009D5C3A">
      <w:pPr>
        <w:rPr>
          <w:rFonts w:cs="Arial"/>
        </w:rPr>
      </w:pPr>
      <w:permStart w:id="985808310" w:edGrp="everyone"/>
      <w:r w:rsidRPr="009D5C3A">
        <w:rPr>
          <w:rFonts w:cs="Arial"/>
        </w:rPr>
        <w:t xml:space="preserve">In the event that intermediate scenarios are removed, the information related to potential costs due to having  surrender the contract before the RHP is over must still be disclosed to the customer. </w:t>
      </w:r>
    </w:p>
    <w:p w14:paraId="5A1E8EDB" w14:textId="77777777" w:rsidR="009D5C3A" w:rsidRPr="009D5C3A" w:rsidRDefault="009D5C3A" w:rsidP="009D5C3A">
      <w:pPr>
        <w:rPr>
          <w:rFonts w:cs="Arial"/>
        </w:rPr>
      </w:pPr>
    </w:p>
    <w:p w14:paraId="615B47FD" w14:textId="77777777" w:rsidR="009D5C3A" w:rsidRDefault="009D5C3A" w:rsidP="003E573C">
      <w:pPr>
        <w:rPr>
          <w:rFonts w:cs="Arial"/>
        </w:rPr>
      </w:pPr>
      <w:r w:rsidRPr="009D5C3A">
        <w:rPr>
          <w:rFonts w:cs="Arial"/>
        </w:rPr>
        <w:t>As we are not entirely sure of the meaning of "intermediate scenario", if it means "moderate scenario" and not scenario at half the RHP : the methodology should still be based on moderate scenario but with flexibility to add text highlighting the costs may be higher or lower under different scenarios</w:t>
      </w:r>
    </w:p>
    <w:permEnd w:id="985808310"/>
    <w:p w14:paraId="05E5AC5A" w14:textId="77777777" w:rsidR="003E573C" w:rsidRDefault="003E573C" w:rsidP="003E573C">
      <w:pPr>
        <w:rPr>
          <w:rFonts w:cs="Arial"/>
        </w:rPr>
      </w:pPr>
      <w:r>
        <w:rPr>
          <w:rFonts w:cs="Arial"/>
        </w:rPr>
        <w:t>&lt;ESA_QUESTION_PKID_7&gt;</w:t>
      </w:r>
    </w:p>
    <w:p w14:paraId="57119A56" w14:textId="77777777" w:rsidR="003E573C" w:rsidRDefault="003E573C" w:rsidP="003E573C">
      <w:pPr>
        <w:rPr>
          <w:rFonts w:cs="Arial"/>
        </w:rPr>
      </w:pPr>
    </w:p>
    <w:p w14:paraId="595AC46F"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0A2EC572" w14:textId="77777777" w:rsidR="003E573C" w:rsidRDefault="003E573C" w:rsidP="003E573C">
      <w:pPr>
        <w:rPr>
          <w:rFonts w:cs="Arial"/>
        </w:rPr>
      </w:pPr>
      <w:r>
        <w:rPr>
          <w:rFonts w:cs="Arial"/>
        </w:rPr>
        <w:t>&lt;ESA_QUESTION_PKID_8&gt;</w:t>
      </w:r>
    </w:p>
    <w:p w14:paraId="3F596834" w14:textId="77777777" w:rsidR="009D5C3A" w:rsidRDefault="009D5C3A" w:rsidP="003E573C">
      <w:pPr>
        <w:rPr>
          <w:rFonts w:cs="Arial"/>
        </w:rPr>
      </w:pPr>
      <w:permStart w:id="1159951893" w:edGrp="everyone"/>
      <w:r w:rsidRPr="009D5C3A">
        <w:rPr>
          <w:rFonts w:cs="Arial"/>
        </w:rPr>
        <w:t>We support the removal of the stress scenario with the addition of a warning that returns may be worse than those shown in the unfavourable scenario.</w:t>
      </w:r>
    </w:p>
    <w:permEnd w:id="1159951893"/>
    <w:p w14:paraId="63FF58CC" w14:textId="77777777" w:rsidR="003E573C" w:rsidRDefault="003E573C" w:rsidP="003E573C">
      <w:pPr>
        <w:rPr>
          <w:rFonts w:cs="Arial"/>
        </w:rPr>
      </w:pPr>
      <w:r>
        <w:rPr>
          <w:rFonts w:cs="Arial"/>
        </w:rPr>
        <w:t>&lt;ESA_QUESTION_PKID_8&gt;</w:t>
      </w:r>
    </w:p>
    <w:p w14:paraId="55FE7601" w14:textId="77777777" w:rsidR="003E573C" w:rsidRDefault="003E573C" w:rsidP="003E573C">
      <w:pPr>
        <w:rPr>
          <w:rFonts w:cs="Arial"/>
        </w:rPr>
      </w:pPr>
    </w:p>
    <w:p w14:paraId="1E01F3C9"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4BF21D51" w14:textId="77777777" w:rsidR="003E573C" w:rsidRDefault="003E573C" w:rsidP="003E573C">
      <w:pPr>
        <w:rPr>
          <w:rFonts w:cs="Arial"/>
        </w:rPr>
      </w:pPr>
      <w:r>
        <w:rPr>
          <w:rFonts w:cs="Arial"/>
        </w:rPr>
        <w:t>&lt;ESA_QUESTION_PKID_9&gt;</w:t>
      </w:r>
    </w:p>
    <w:p w14:paraId="225B8837" w14:textId="77777777" w:rsidR="009D5C3A" w:rsidRPr="009D5C3A" w:rsidRDefault="009D5C3A" w:rsidP="009D5C3A">
      <w:pPr>
        <w:rPr>
          <w:rFonts w:cs="Arial"/>
        </w:rPr>
      </w:pPr>
      <w:permStart w:id="167446478" w:edGrp="everyone"/>
      <w:r w:rsidRPr="009D5C3A">
        <w:rPr>
          <w:rFonts w:cs="Arial"/>
        </w:rPr>
        <w:t>This approach could be considered as an improvement but these parameters should be set/prescribed by a central authority to ensure consistency in approach and comparability. The precise granularity of the required yield assumption should be specified e.g. how different types of equities are treated. Also it is not clear how the growth assumption for bonds would be set.</w:t>
      </w:r>
    </w:p>
    <w:p w14:paraId="2C856D04" w14:textId="77777777" w:rsidR="009D5C3A" w:rsidRPr="009D5C3A" w:rsidRDefault="009D5C3A" w:rsidP="009D5C3A">
      <w:pPr>
        <w:rPr>
          <w:rFonts w:cs="Arial"/>
        </w:rPr>
      </w:pPr>
    </w:p>
    <w:p w14:paraId="15B3ED6D" w14:textId="77777777" w:rsidR="009D5C3A" w:rsidRDefault="009D5C3A" w:rsidP="003E573C">
      <w:pPr>
        <w:rPr>
          <w:rFonts w:cs="Arial"/>
        </w:rPr>
      </w:pPr>
      <w:r w:rsidRPr="009D5C3A">
        <w:rPr>
          <w:rFonts w:cs="Arial"/>
        </w:rPr>
        <w:t>We draw the regulator's attention to the fact that the dividends received do not seem adequate in terms of access to relevant information for the consumer. Whenever this approach may be relevant with regards to its ability to inform about the potential performance of an underlying -which should only be partially the case - insurers would face a very difficult task, with low benefit with regard to its complexity. It may not be realistic.</w:t>
      </w:r>
    </w:p>
    <w:permEnd w:id="167446478"/>
    <w:p w14:paraId="32A82034" w14:textId="77777777" w:rsidR="003E573C" w:rsidRDefault="003E573C" w:rsidP="003E573C">
      <w:pPr>
        <w:rPr>
          <w:rFonts w:cs="Arial"/>
        </w:rPr>
      </w:pPr>
      <w:r>
        <w:rPr>
          <w:rFonts w:cs="Arial"/>
        </w:rPr>
        <w:t>&lt;ESA_QUESTION_PKID_9&gt;</w:t>
      </w:r>
    </w:p>
    <w:p w14:paraId="76E827CE" w14:textId="77777777" w:rsidR="003E573C" w:rsidRDefault="003E573C" w:rsidP="003E573C">
      <w:pPr>
        <w:rPr>
          <w:rFonts w:cs="Arial"/>
        </w:rPr>
      </w:pPr>
    </w:p>
    <w:p w14:paraId="434BFD86"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549E8E7" w14:textId="77777777" w:rsidR="003E573C" w:rsidRDefault="003E573C" w:rsidP="003E573C">
      <w:pPr>
        <w:rPr>
          <w:rFonts w:cs="Arial"/>
        </w:rPr>
      </w:pPr>
      <w:r>
        <w:rPr>
          <w:rFonts w:cs="Arial"/>
        </w:rPr>
        <w:t>&lt;ESA_QUESTION_PKID_10&gt;</w:t>
      </w:r>
    </w:p>
    <w:p w14:paraId="0F78BCFD" w14:textId="77777777" w:rsidR="009D5C3A" w:rsidRPr="009D5C3A" w:rsidRDefault="009D5C3A" w:rsidP="009D5C3A">
      <w:pPr>
        <w:rPr>
          <w:rFonts w:cs="Arial"/>
        </w:rPr>
      </w:pPr>
      <w:permStart w:id="1759838330" w:edGrp="everyone"/>
      <w:r w:rsidRPr="009D5C3A">
        <w:rPr>
          <w:rFonts w:cs="Arial"/>
        </w:rPr>
        <w:t xml:space="preserve">The reference rates should be set for a limited number of asset classes by the ESAs to ensure consistency across providers and to remove the timing element (e.g. dividend yield is still based on past performance and will depend on when calculated). Otherwise the approach will create significant work / complexity for companies in implementation, and lead to divergent practices in determining growth rates. </w:t>
      </w:r>
    </w:p>
    <w:p w14:paraId="25F6EBEF" w14:textId="77777777" w:rsidR="009D5C3A" w:rsidRPr="009D5C3A" w:rsidRDefault="009D5C3A" w:rsidP="009D5C3A">
      <w:pPr>
        <w:rPr>
          <w:rFonts w:cs="Arial"/>
        </w:rPr>
      </w:pPr>
    </w:p>
    <w:p w14:paraId="0CC6083E" w14:textId="77777777" w:rsidR="009D5C3A" w:rsidRDefault="009D5C3A" w:rsidP="003E573C">
      <w:pPr>
        <w:rPr>
          <w:rFonts w:cs="Arial"/>
        </w:rPr>
      </w:pPr>
      <w:r w:rsidRPr="009D5C3A">
        <w:rPr>
          <w:rFonts w:cs="Arial"/>
        </w:rPr>
        <w:t>Same remark as question 9 regarding the relevancy of information on dividends received for customers.</w:t>
      </w:r>
    </w:p>
    <w:permEnd w:id="1759838330"/>
    <w:p w14:paraId="2436F2E4" w14:textId="77777777" w:rsidR="003E573C" w:rsidRDefault="003E573C" w:rsidP="003E573C">
      <w:pPr>
        <w:rPr>
          <w:rFonts w:cs="Arial"/>
        </w:rPr>
      </w:pPr>
      <w:r>
        <w:rPr>
          <w:rFonts w:cs="Arial"/>
        </w:rPr>
        <w:t>&lt;ESA_QUESTION_PKID_10&gt;</w:t>
      </w:r>
    </w:p>
    <w:p w14:paraId="6B10C96D" w14:textId="77777777" w:rsidR="003E573C" w:rsidRDefault="003E573C" w:rsidP="003E573C">
      <w:pPr>
        <w:rPr>
          <w:rFonts w:cs="Arial"/>
        </w:rPr>
      </w:pPr>
    </w:p>
    <w:p w14:paraId="7E0C4810"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38359C8D" w14:textId="77777777" w:rsidR="003E573C" w:rsidRDefault="003E573C" w:rsidP="003E573C">
      <w:pPr>
        <w:rPr>
          <w:rFonts w:cs="Arial"/>
        </w:rPr>
      </w:pPr>
      <w:r>
        <w:rPr>
          <w:rFonts w:cs="Arial"/>
        </w:rPr>
        <w:t>&lt;ESA_QUESTION_PKID_11&gt;</w:t>
      </w:r>
    </w:p>
    <w:p w14:paraId="7BC3A81B" w14:textId="77777777" w:rsidR="009D5C3A" w:rsidRPr="009D5C3A" w:rsidRDefault="009D5C3A" w:rsidP="009D5C3A">
      <w:pPr>
        <w:rPr>
          <w:rFonts w:cs="Arial"/>
        </w:rPr>
      </w:pPr>
      <w:permStart w:id="2003920295" w:edGrp="everyone"/>
      <w:r w:rsidRPr="009D5C3A">
        <w:rPr>
          <w:rFonts w:cs="Arial"/>
        </w:rPr>
        <w:t>Should be set by ESAs periodically and be based on the expected long-term future yield (not historical data).</w:t>
      </w:r>
    </w:p>
    <w:p w14:paraId="1C1520AD" w14:textId="77777777" w:rsidR="009D5C3A" w:rsidRPr="009D5C3A" w:rsidRDefault="009D5C3A" w:rsidP="009D5C3A">
      <w:pPr>
        <w:rPr>
          <w:rFonts w:cs="Arial"/>
        </w:rPr>
      </w:pPr>
    </w:p>
    <w:p w14:paraId="719352E7" w14:textId="77777777" w:rsidR="009D5C3A" w:rsidRDefault="009D5C3A" w:rsidP="003E573C">
      <w:pPr>
        <w:rPr>
          <w:rFonts w:cs="Arial"/>
        </w:rPr>
      </w:pPr>
      <w:r w:rsidRPr="009D5C3A">
        <w:rPr>
          <w:rFonts w:cs="Arial"/>
        </w:rPr>
        <w:t>Same remark as question 9 regarding the relevancy of information on dividends received for customers.</w:t>
      </w:r>
    </w:p>
    <w:permEnd w:id="2003920295"/>
    <w:p w14:paraId="3BE061C1" w14:textId="77777777" w:rsidR="003E573C" w:rsidRDefault="003E573C" w:rsidP="003E573C">
      <w:pPr>
        <w:rPr>
          <w:rFonts w:cs="Arial"/>
        </w:rPr>
      </w:pPr>
      <w:r>
        <w:rPr>
          <w:rFonts w:cs="Arial"/>
        </w:rPr>
        <w:t>&lt;ESA_QUESTION_PKID_11&gt;</w:t>
      </w:r>
    </w:p>
    <w:p w14:paraId="2A12EA14" w14:textId="77777777" w:rsidR="003E573C" w:rsidRDefault="003E573C" w:rsidP="003E573C">
      <w:pPr>
        <w:rPr>
          <w:rFonts w:cs="Arial"/>
        </w:rPr>
      </w:pPr>
    </w:p>
    <w:p w14:paraId="32AAC740" w14:textId="77777777" w:rsidR="003E573C" w:rsidRDefault="003E573C" w:rsidP="003E573C">
      <w:pPr>
        <w:pStyle w:val="Questionstyle"/>
        <w:numPr>
          <w:ilvl w:val="0"/>
          <w:numId w:val="39"/>
        </w:numPr>
      </w:pPr>
      <w:r>
        <w:t xml:space="preserve">: </w:t>
      </w:r>
      <w:r w:rsidRPr="00763760">
        <w:t>How should share buyback rates be estimated?</w:t>
      </w:r>
    </w:p>
    <w:p w14:paraId="5CAAAEC0" w14:textId="77777777" w:rsidR="003E573C" w:rsidRDefault="003E573C" w:rsidP="003E573C">
      <w:pPr>
        <w:rPr>
          <w:rFonts w:cs="Arial"/>
        </w:rPr>
      </w:pPr>
      <w:r>
        <w:rPr>
          <w:rFonts w:cs="Arial"/>
        </w:rPr>
        <w:t>&lt;ESA_QUESTION_PKID_12&gt;</w:t>
      </w:r>
    </w:p>
    <w:p w14:paraId="1AFEE70D" w14:textId="77777777" w:rsidR="009D5C3A" w:rsidRPr="009D5C3A" w:rsidRDefault="009D5C3A" w:rsidP="009D5C3A">
      <w:pPr>
        <w:rPr>
          <w:rFonts w:cs="Arial"/>
        </w:rPr>
      </w:pPr>
      <w:permStart w:id="681013466" w:edGrp="everyone"/>
      <w:r w:rsidRPr="009D5C3A">
        <w:rPr>
          <w:rFonts w:cs="Arial"/>
        </w:rPr>
        <w:t>This question is interesting from a theoretical point of view, but the solutions seem extremely complex and difficult to implement.</w:t>
      </w:r>
    </w:p>
    <w:p w14:paraId="3FF29565" w14:textId="77777777" w:rsidR="009D5C3A" w:rsidRDefault="009D5C3A" w:rsidP="003E573C">
      <w:pPr>
        <w:rPr>
          <w:rFonts w:cs="Arial"/>
        </w:rPr>
      </w:pPr>
      <w:r w:rsidRPr="009D5C3A">
        <w:rPr>
          <w:rFonts w:cs="Arial"/>
        </w:rPr>
        <w:t>Regulation should not create too many difficulties. This point provides a topical example of the complexities that must be avoided.</w:t>
      </w:r>
    </w:p>
    <w:permEnd w:id="681013466"/>
    <w:p w14:paraId="585A1BF5" w14:textId="77777777" w:rsidR="003E573C" w:rsidRDefault="003E573C" w:rsidP="003E573C">
      <w:pPr>
        <w:rPr>
          <w:rFonts w:cs="Arial"/>
        </w:rPr>
      </w:pPr>
      <w:r>
        <w:rPr>
          <w:rFonts w:cs="Arial"/>
        </w:rPr>
        <w:t>&lt;ESA_QUESTION_PKID_12&gt;</w:t>
      </w:r>
    </w:p>
    <w:p w14:paraId="13EF5ECC" w14:textId="77777777" w:rsidR="003E573C" w:rsidRDefault="003E573C" w:rsidP="003E573C">
      <w:pPr>
        <w:rPr>
          <w:rFonts w:cs="Arial"/>
        </w:rPr>
      </w:pPr>
    </w:p>
    <w:p w14:paraId="611474F3"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68D77AFF" w14:textId="77777777" w:rsidR="003E573C" w:rsidRDefault="003E573C" w:rsidP="003E573C">
      <w:pPr>
        <w:rPr>
          <w:rFonts w:cs="Arial"/>
        </w:rPr>
      </w:pPr>
      <w:r>
        <w:rPr>
          <w:rFonts w:cs="Arial"/>
        </w:rPr>
        <w:t>&lt;ESA_QUESTION_PKID_13&gt;</w:t>
      </w:r>
    </w:p>
    <w:p w14:paraId="2D9677FB" w14:textId="77777777" w:rsidR="00EE5370" w:rsidRDefault="00EE5370" w:rsidP="003E573C">
      <w:pPr>
        <w:rPr>
          <w:rFonts w:cs="Arial"/>
        </w:rPr>
      </w:pPr>
      <w:permStart w:id="1399282168" w:edGrp="everyone"/>
      <w:r w:rsidRPr="00EE5370">
        <w:rPr>
          <w:rFonts w:cs="Arial"/>
        </w:rPr>
        <w:t>Subject to the same remarks as question 9, the proposed approach for money-market funds is an improvement on the current methodology.</w:t>
      </w:r>
    </w:p>
    <w:permEnd w:id="1399282168"/>
    <w:p w14:paraId="0085AEE1" w14:textId="77777777" w:rsidR="003E573C" w:rsidRDefault="003E573C" w:rsidP="003E573C">
      <w:pPr>
        <w:rPr>
          <w:rFonts w:cs="Arial"/>
        </w:rPr>
      </w:pPr>
      <w:r>
        <w:rPr>
          <w:rFonts w:cs="Arial"/>
        </w:rPr>
        <w:t>&lt;ESA_QUESTION_PKID_13&gt;</w:t>
      </w:r>
    </w:p>
    <w:p w14:paraId="2392A749" w14:textId="77777777" w:rsidR="003E573C" w:rsidRDefault="003E573C" w:rsidP="003E573C">
      <w:pPr>
        <w:rPr>
          <w:rFonts w:cs="Arial"/>
        </w:rPr>
      </w:pPr>
    </w:p>
    <w:p w14:paraId="4C28622D"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444B48B4" w14:textId="77777777" w:rsidR="003E573C" w:rsidRDefault="003E573C" w:rsidP="003E573C">
      <w:pPr>
        <w:rPr>
          <w:rFonts w:cs="Arial"/>
        </w:rPr>
      </w:pPr>
      <w:r>
        <w:rPr>
          <w:rFonts w:cs="Arial"/>
        </w:rPr>
        <w:t>&lt;ESA_QUESTION_PKID_14&gt;</w:t>
      </w:r>
    </w:p>
    <w:p w14:paraId="1730F636" w14:textId="77777777" w:rsidR="00EE5370" w:rsidRPr="00EE5370" w:rsidRDefault="00EE5370" w:rsidP="00EE5370">
      <w:pPr>
        <w:rPr>
          <w:rFonts w:cs="Arial"/>
        </w:rPr>
      </w:pPr>
      <w:permStart w:id="1013346155" w:edGrp="everyone"/>
      <w:r w:rsidRPr="00EE5370">
        <w:rPr>
          <w:rFonts w:cs="Arial"/>
        </w:rPr>
        <w:t xml:space="preserve">The methodology assumes the PRIIP manufacturers have access to a large amount of data. This is likely to be difficult and costly to obtain in many cases. This could be addressed by a central authority setting the growth rate and volatility parameters. </w:t>
      </w:r>
    </w:p>
    <w:p w14:paraId="4C6240C5" w14:textId="77777777" w:rsidR="00EE5370" w:rsidRDefault="00EE5370" w:rsidP="003E573C">
      <w:pPr>
        <w:rPr>
          <w:rFonts w:cs="Arial"/>
        </w:rPr>
      </w:pPr>
      <w:r w:rsidRPr="00EE5370">
        <w:rPr>
          <w:rFonts w:cs="Arial"/>
        </w:rPr>
        <w:t>This proposal seems unrealistic.</w:t>
      </w:r>
    </w:p>
    <w:permEnd w:id="1013346155"/>
    <w:p w14:paraId="705BA685" w14:textId="77777777" w:rsidR="003E573C" w:rsidRDefault="003E573C" w:rsidP="003E573C">
      <w:pPr>
        <w:rPr>
          <w:rFonts w:cs="Arial"/>
        </w:rPr>
      </w:pPr>
      <w:r>
        <w:rPr>
          <w:rFonts w:cs="Arial"/>
        </w:rPr>
        <w:t>&lt;ESA_QUESTION_PKID_14&gt;</w:t>
      </w:r>
    </w:p>
    <w:p w14:paraId="07103E2C" w14:textId="77777777" w:rsidR="003E573C" w:rsidRDefault="003E573C" w:rsidP="003E573C">
      <w:pPr>
        <w:rPr>
          <w:rFonts w:cs="Arial"/>
        </w:rPr>
      </w:pPr>
    </w:p>
    <w:p w14:paraId="152DC939"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188D3BC5" w14:textId="77777777" w:rsidR="003E573C" w:rsidRDefault="003E573C" w:rsidP="003E573C">
      <w:pPr>
        <w:rPr>
          <w:rFonts w:cs="Arial"/>
        </w:rPr>
      </w:pPr>
      <w:r>
        <w:rPr>
          <w:rFonts w:cs="Arial"/>
        </w:rPr>
        <w:t>&lt;ESA_QUESTION_PKID_15&gt;</w:t>
      </w:r>
    </w:p>
    <w:p w14:paraId="7D3AA08C" w14:textId="77777777" w:rsidR="00C816A3" w:rsidRDefault="00EE5370" w:rsidP="003E573C">
      <w:pPr>
        <w:rPr>
          <w:rFonts w:cs="Arial"/>
        </w:rPr>
      </w:pPr>
      <w:permStart w:id="1396787733" w:edGrp="everyone"/>
      <w:r w:rsidRPr="00EE5370">
        <w:rPr>
          <w:rFonts w:cs="Arial"/>
        </w:rPr>
        <w:t>In order to meet the need for transparency towards consumer and in particular through the comparability of the KID products offered, a single homogeneous mechanism between insurers should be preferred in the context of future performance scenarios (no use of compensatory mechanisms in particular),  given the wide variety of products in scope of the regulation a safeguard is needed to avoid misleading disclosures to customers. However, this should only be used in extreme cases and should require notification to local regulators. Care must be taken that widespread use of compensatory mechanisms does not detract from comparability.</w:t>
      </w:r>
      <w:r>
        <w:rPr>
          <w:rFonts w:cs="Arial"/>
        </w:rPr>
        <w:t xml:space="preserve"> </w:t>
      </w:r>
    </w:p>
    <w:p w14:paraId="4D2E0C9A" w14:textId="77777777" w:rsidR="00EE5370" w:rsidRDefault="00C816A3" w:rsidP="003E573C">
      <w:pPr>
        <w:rPr>
          <w:rFonts w:cs="Arial"/>
        </w:rPr>
      </w:pPr>
      <w:r>
        <w:rPr>
          <w:rFonts w:cs="Arial"/>
        </w:rPr>
        <w:t>Nonetheless, w</w:t>
      </w:r>
      <w:r w:rsidR="00EE5370" w:rsidRPr="00EE5370">
        <w:rPr>
          <w:rFonts w:cs="Arial"/>
        </w:rPr>
        <w:t xml:space="preserve">ere products so different that they would require such a mechanism, </w:t>
      </w:r>
      <w:r>
        <w:rPr>
          <w:rFonts w:cs="Arial"/>
        </w:rPr>
        <w:t>t</w:t>
      </w:r>
      <w:r w:rsidR="00EE5370" w:rsidRPr="00EE5370">
        <w:rPr>
          <w:rFonts w:cs="Arial"/>
        </w:rPr>
        <w:t>hen the regulation should clearly consider the possibility to establish separate requirements, possibly under local supervision.</w:t>
      </w:r>
    </w:p>
    <w:permEnd w:id="1396787733"/>
    <w:p w14:paraId="7AA63F97" w14:textId="77777777" w:rsidR="003E573C" w:rsidRDefault="003E573C" w:rsidP="003E573C">
      <w:pPr>
        <w:rPr>
          <w:rFonts w:cs="Arial"/>
        </w:rPr>
      </w:pPr>
      <w:r>
        <w:rPr>
          <w:rFonts w:cs="Arial"/>
        </w:rPr>
        <w:t>&lt;ESA_QUESTION_PKID_15&gt;</w:t>
      </w:r>
    </w:p>
    <w:p w14:paraId="56E28747" w14:textId="77777777" w:rsidR="003E573C" w:rsidRDefault="003E573C" w:rsidP="003E573C">
      <w:pPr>
        <w:rPr>
          <w:rFonts w:cs="Arial"/>
        </w:rPr>
      </w:pPr>
    </w:p>
    <w:p w14:paraId="4B6C9FB6"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2137D8B1" w14:textId="77777777" w:rsidR="003E573C" w:rsidRDefault="003E573C" w:rsidP="003E573C">
      <w:pPr>
        <w:rPr>
          <w:rFonts w:cs="Arial"/>
        </w:rPr>
      </w:pPr>
      <w:r>
        <w:rPr>
          <w:rFonts w:cs="Arial"/>
        </w:rPr>
        <w:t>&lt;ESA_QUESTION_PKID_16&gt;</w:t>
      </w:r>
    </w:p>
    <w:p w14:paraId="7680D464" w14:textId="77777777" w:rsidR="00EE5370" w:rsidRDefault="00EE5370" w:rsidP="003E573C">
      <w:pPr>
        <w:rPr>
          <w:rFonts w:cs="Arial"/>
        </w:rPr>
      </w:pPr>
      <w:permStart w:id="3745860" w:edGrp="everyone"/>
      <w:r w:rsidRPr="00EE5370">
        <w:rPr>
          <w:rFonts w:cs="Arial"/>
        </w:rPr>
        <w:t>We would support lowering the unfavourable scenario to match the manufacturers' expectation of an unfavourable outcome, if the unfavourable scenario is considered to be unrealistic. However, it should not be permitted to make blanket adjustments to render the content of the KID meaningless (e.g. changing all growth rates to zero).</w:t>
      </w:r>
    </w:p>
    <w:permEnd w:id="3745860"/>
    <w:p w14:paraId="4760F537" w14:textId="77777777" w:rsidR="003E573C" w:rsidRDefault="003E573C" w:rsidP="003E573C">
      <w:pPr>
        <w:rPr>
          <w:rFonts w:cs="Arial"/>
        </w:rPr>
      </w:pPr>
      <w:r>
        <w:rPr>
          <w:rFonts w:cs="Arial"/>
        </w:rPr>
        <w:t>&lt;ESA_QUESTION_PKID_16&gt;</w:t>
      </w:r>
    </w:p>
    <w:p w14:paraId="6DAC269B" w14:textId="77777777" w:rsidR="003E573C" w:rsidRDefault="003E573C" w:rsidP="003E573C">
      <w:pPr>
        <w:rPr>
          <w:rFonts w:cs="Arial"/>
        </w:rPr>
      </w:pPr>
    </w:p>
    <w:p w14:paraId="0051EA2B"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1912FC9" w14:textId="77777777" w:rsidR="003E573C" w:rsidRDefault="003E573C" w:rsidP="003E573C">
      <w:pPr>
        <w:rPr>
          <w:rFonts w:cs="Arial"/>
        </w:rPr>
      </w:pPr>
      <w:r>
        <w:rPr>
          <w:rFonts w:cs="Arial"/>
        </w:rPr>
        <w:t>&lt;ESA_QUESTION_PKID_17&gt;</w:t>
      </w:r>
    </w:p>
    <w:p w14:paraId="19E32CC2" w14:textId="77777777" w:rsidR="00EE5370" w:rsidRDefault="00C816A3" w:rsidP="003E573C">
      <w:pPr>
        <w:rPr>
          <w:rFonts w:cs="Arial"/>
        </w:rPr>
      </w:pPr>
      <w:permStart w:id="1020020481" w:edGrp="everyone"/>
      <w:r>
        <w:rPr>
          <w:rFonts w:cs="Arial"/>
        </w:rPr>
        <w:t>See Question 15</w:t>
      </w:r>
    </w:p>
    <w:permEnd w:id="1020020481"/>
    <w:p w14:paraId="3B38BE35" w14:textId="77777777" w:rsidR="003E573C" w:rsidRDefault="003E573C" w:rsidP="003E573C">
      <w:pPr>
        <w:rPr>
          <w:rFonts w:cs="Arial"/>
        </w:rPr>
      </w:pPr>
      <w:r>
        <w:rPr>
          <w:rFonts w:cs="Arial"/>
        </w:rPr>
        <w:t>&lt;ESA_QUESTION_PKID_17&gt;</w:t>
      </w:r>
    </w:p>
    <w:p w14:paraId="0AE5C5C8" w14:textId="77777777" w:rsidR="003E573C" w:rsidRDefault="003E573C" w:rsidP="003E573C">
      <w:pPr>
        <w:rPr>
          <w:rFonts w:cs="Arial"/>
        </w:rPr>
      </w:pPr>
    </w:p>
    <w:p w14:paraId="2BE14AEC"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7D03FB39" w14:textId="77777777" w:rsidR="003E573C" w:rsidRDefault="003E573C" w:rsidP="003E573C">
      <w:pPr>
        <w:rPr>
          <w:rFonts w:cs="Arial"/>
        </w:rPr>
      </w:pPr>
      <w:r>
        <w:rPr>
          <w:rFonts w:cs="Arial"/>
        </w:rPr>
        <w:t>&lt;ESA_QUESTION_PKID_18&gt;</w:t>
      </w:r>
    </w:p>
    <w:p w14:paraId="1CC9C274" w14:textId="77777777" w:rsidR="00EE5370" w:rsidRPr="00EE5370" w:rsidRDefault="00EE5370" w:rsidP="00EE5370">
      <w:pPr>
        <w:rPr>
          <w:rFonts w:cs="Arial"/>
        </w:rPr>
      </w:pPr>
      <w:permStart w:id="890309620" w:edGrp="everyone"/>
      <w:r w:rsidRPr="00EE5370">
        <w:rPr>
          <w:rFonts w:cs="Arial"/>
        </w:rPr>
        <w:t xml:space="preserve">The benefit of a probabilistic scenario is limited as long as we have access to data on past performance, which is mainly the case for category 2 products. Probabilistic scenarios are definitely too complex for category 2 and 3 products, so that their limits and uncertainties may be understood by a consumer, namely the fact that they rely on past performance without disclosing it clearly. Furthermore, they are complex to implement, legally and theoretically questionable and for several reasons (relevance of the assumptions used, taking into account the effects of inflation, etc.) they may have a restricted significance for very long term products. </w:t>
      </w:r>
    </w:p>
    <w:p w14:paraId="0335A2A7" w14:textId="77777777" w:rsidR="00EE5370" w:rsidRPr="00EE5370" w:rsidRDefault="00EE5370" w:rsidP="00EE5370">
      <w:pPr>
        <w:rPr>
          <w:rFonts w:cs="Arial"/>
        </w:rPr>
      </w:pPr>
      <w:r w:rsidRPr="00EE5370">
        <w:rPr>
          <w:rFonts w:cs="Arial"/>
        </w:rPr>
        <w:t>Therefore we would welcome alternative approaches that could alleviate the aforementioned drawbacks.</w:t>
      </w:r>
    </w:p>
    <w:p w14:paraId="3BAD9139" w14:textId="77777777" w:rsidR="00EE5370" w:rsidRPr="00EE5370" w:rsidRDefault="00EE5370" w:rsidP="00EE5370">
      <w:pPr>
        <w:rPr>
          <w:rFonts w:cs="Arial"/>
        </w:rPr>
      </w:pPr>
      <w:r w:rsidRPr="00EE5370">
        <w:rPr>
          <w:rFonts w:cs="Arial"/>
        </w:rPr>
        <w:t>As far as we understand the proposed simplified methodology, it would consist in a kind of "what-if" approach. If so, it should be applied on the basis of a differentiated rate (min, average, max) for each scenario. This rate must be provided by the regulator for each category 2 and 3 asset (unsatisfactory response for the Euro fund). Generally, for more complex assets, one should assess the ability to apply the method without generating new complexities (when combining different assets for example or taking into account asset liabilities mechanisms).</w:t>
      </w:r>
    </w:p>
    <w:p w14:paraId="0CA9062A" w14:textId="77777777" w:rsidR="00EE5370" w:rsidRDefault="00EE5370" w:rsidP="003E573C">
      <w:pPr>
        <w:rPr>
          <w:rFonts w:cs="Arial"/>
        </w:rPr>
      </w:pPr>
      <w:r w:rsidRPr="00EE5370">
        <w:rPr>
          <w:rFonts w:cs="Arial"/>
        </w:rPr>
        <w:t>To this regard and provided that the point would be in depth investigated with all the consequences induced to other products, "what-if" scenarios can be better suited for the performance scenarios.</w:t>
      </w:r>
    </w:p>
    <w:permEnd w:id="890309620"/>
    <w:p w14:paraId="4B5E2431" w14:textId="77777777" w:rsidR="003E573C" w:rsidRDefault="003E573C" w:rsidP="003E573C">
      <w:pPr>
        <w:rPr>
          <w:rFonts w:cs="Arial"/>
        </w:rPr>
      </w:pPr>
      <w:r>
        <w:rPr>
          <w:rFonts w:cs="Arial"/>
        </w:rPr>
        <w:t>&lt;ESA_QUESTION_PKID_18&gt;</w:t>
      </w:r>
    </w:p>
    <w:p w14:paraId="759F48B5" w14:textId="77777777" w:rsidR="003E573C" w:rsidRDefault="003E573C" w:rsidP="003E573C">
      <w:pPr>
        <w:rPr>
          <w:rFonts w:cs="Arial"/>
        </w:rPr>
      </w:pPr>
    </w:p>
    <w:p w14:paraId="7AB550F2"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18EF443C" w14:textId="77777777" w:rsidR="003E573C" w:rsidRDefault="003E573C" w:rsidP="003E573C">
      <w:pPr>
        <w:rPr>
          <w:rFonts w:cs="Arial"/>
        </w:rPr>
      </w:pPr>
      <w:r>
        <w:rPr>
          <w:rFonts w:cs="Arial"/>
        </w:rPr>
        <w:t>&lt;ESA_QUESTION_PKID_19&gt;</w:t>
      </w:r>
    </w:p>
    <w:p w14:paraId="2E197010" w14:textId="77777777" w:rsidR="00EE5370" w:rsidRPr="00EE5370" w:rsidRDefault="00EE5370" w:rsidP="00EE5370">
      <w:pPr>
        <w:rPr>
          <w:rFonts w:cs="Arial"/>
        </w:rPr>
      </w:pPr>
      <w:permStart w:id="1081545643" w:edGrp="everyone"/>
      <w:r w:rsidRPr="00EE5370">
        <w:rPr>
          <w:rFonts w:cs="Arial"/>
        </w:rPr>
        <w:t>Yes. Future returns are inherently unknown and which markets will perform better or worse in future is also unknown and most likely is not informed by what happened historically. Therefore a simple equity/bond/property/cash model is appropriate and also the message that the future is not predictable is supported by that simplified approach. However, the growth rates should be prescribed/supplied by ESAs or else manufacturers will apply different approaches and the resulting documents will not be comparable.</w:t>
      </w:r>
    </w:p>
    <w:p w14:paraId="20ECED7B" w14:textId="77777777" w:rsidR="00EE5370" w:rsidRPr="00EE5370" w:rsidRDefault="00EE5370" w:rsidP="00EE5370">
      <w:pPr>
        <w:rPr>
          <w:rFonts w:cs="Arial"/>
        </w:rPr>
      </w:pPr>
      <w:r w:rsidRPr="00EE5370">
        <w:rPr>
          <w:rFonts w:cs="Arial"/>
        </w:rPr>
        <w:t xml:space="preserve">Considering the "what if" scenarios approach, the scenarios to be applied should differ for products with different risk-return profiles. The what if scenarios should reflect the product’s riskiness in terms of how the overall level and the spread between different what if scenarios should change for different levels of risk as indicated by the product’s risk indicator. </w:t>
      </w:r>
    </w:p>
    <w:p w14:paraId="3C5F4F17" w14:textId="77777777" w:rsidR="00EE5370" w:rsidRDefault="00EE5370" w:rsidP="003E573C">
      <w:pPr>
        <w:rPr>
          <w:rFonts w:cs="Arial"/>
        </w:rPr>
      </w:pPr>
      <w:r w:rsidRPr="00EE5370">
        <w:rPr>
          <w:rFonts w:cs="Arial"/>
        </w:rPr>
        <w:t>It is important to make sure that the methodology is appropriate for complex assets too (standard portfolios o</w:t>
      </w:r>
      <w:r>
        <w:rPr>
          <w:rFonts w:cs="Arial"/>
        </w:rPr>
        <w:t>r</w:t>
      </w:r>
      <w:r w:rsidRPr="00EE5370">
        <w:rPr>
          <w:rFonts w:cs="Arial"/>
        </w:rPr>
        <w:t xml:space="preserve"> general account), which cannot be assessed in the context of this consultation and would require significant additional work.</w:t>
      </w:r>
    </w:p>
    <w:permEnd w:id="1081545643"/>
    <w:p w14:paraId="2F6A032B" w14:textId="77777777" w:rsidR="003E573C" w:rsidRDefault="003E573C" w:rsidP="003E573C">
      <w:pPr>
        <w:rPr>
          <w:rFonts w:cs="Arial"/>
        </w:rPr>
      </w:pPr>
      <w:r>
        <w:rPr>
          <w:rFonts w:cs="Arial"/>
        </w:rPr>
        <w:t>&lt;ESA_QUESTION_PKID_19&gt;</w:t>
      </w:r>
    </w:p>
    <w:p w14:paraId="11084BFC" w14:textId="77777777" w:rsidR="003E573C" w:rsidRDefault="003E573C" w:rsidP="003E573C">
      <w:pPr>
        <w:rPr>
          <w:rFonts w:cs="Arial"/>
        </w:rPr>
      </w:pPr>
    </w:p>
    <w:p w14:paraId="0657C157"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6FA0E252" w14:textId="77777777" w:rsidR="003E573C" w:rsidRDefault="003E573C" w:rsidP="003E573C">
      <w:pPr>
        <w:rPr>
          <w:rFonts w:cs="Arial"/>
        </w:rPr>
      </w:pPr>
      <w:r>
        <w:rPr>
          <w:rFonts w:cs="Arial"/>
        </w:rPr>
        <w:t>&lt;ESA_QUESTION_PKID_20&gt;</w:t>
      </w:r>
    </w:p>
    <w:p w14:paraId="0A175B14" w14:textId="77777777" w:rsidR="00EE5370" w:rsidRDefault="00EE5370" w:rsidP="003E573C">
      <w:pPr>
        <w:rPr>
          <w:rFonts w:cs="Arial"/>
        </w:rPr>
      </w:pPr>
      <w:permStart w:id="796415219" w:edGrp="everyone"/>
      <w:r w:rsidRPr="00EE5370">
        <w:rPr>
          <w:rFonts w:cs="Arial"/>
        </w:rPr>
        <w:t xml:space="preserve">See question 18. Structured products are one kind of products that may justify a specific treatment, but products with participation features are specific products too, with very large differences among them. The possibility to consider adapted methodology should be more widely considered, keeping in sight the goal of comparability and looking for a reasonable balance. </w:t>
      </w:r>
    </w:p>
    <w:permEnd w:id="796415219"/>
    <w:p w14:paraId="3D0DC856" w14:textId="77777777" w:rsidR="003E573C" w:rsidRDefault="003E573C" w:rsidP="003E573C">
      <w:pPr>
        <w:rPr>
          <w:rFonts w:cs="Arial"/>
        </w:rPr>
      </w:pPr>
      <w:r>
        <w:rPr>
          <w:rFonts w:cs="Arial"/>
        </w:rPr>
        <w:t>&lt;ESA_QUESTION_PKID_20&gt;</w:t>
      </w:r>
    </w:p>
    <w:p w14:paraId="54CB5C50" w14:textId="77777777" w:rsidR="003E573C" w:rsidRDefault="003E573C" w:rsidP="003E573C">
      <w:pPr>
        <w:rPr>
          <w:rFonts w:cs="Arial"/>
        </w:rPr>
      </w:pPr>
    </w:p>
    <w:p w14:paraId="18A1576F"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00A40629" w14:textId="77777777" w:rsidR="003E573C" w:rsidRDefault="003E573C" w:rsidP="003E573C">
      <w:pPr>
        <w:rPr>
          <w:rFonts w:cs="Arial"/>
        </w:rPr>
      </w:pPr>
      <w:r>
        <w:rPr>
          <w:rFonts w:cs="Arial"/>
        </w:rPr>
        <w:t>&lt;ESA_QUESTION_PKID_21&gt;</w:t>
      </w:r>
    </w:p>
    <w:p w14:paraId="2F8CF54A" w14:textId="77777777" w:rsidR="003E573C" w:rsidRDefault="00EE5370" w:rsidP="003E573C">
      <w:pPr>
        <w:rPr>
          <w:rFonts w:cs="Arial"/>
        </w:rPr>
      </w:pPr>
      <w:permStart w:id="34822343" w:edGrp="everyone"/>
      <w:r w:rsidRPr="00EE5370">
        <w:rPr>
          <w:rFonts w:cs="Arial"/>
        </w:rPr>
        <w:t xml:space="preserve">A simpler approach would be preferred and aid customer understanding of the disclosures. The application of so-called “what if scenarios” provides an easy and – if appropriately calibrated – nevertheless meaningful methodology to address the uncertainty of potential future returns to the customer. </w:t>
      </w:r>
      <w:permEnd w:id="34822343"/>
      <w:r w:rsidR="003E573C">
        <w:rPr>
          <w:rFonts w:cs="Arial"/>
        </w:rPr>
        <w:t>&lt;ESA_QUESTION_PKID_21&gt;</w:t>
      </w:r>
    </w:p>
    <w:p w14:paraId="4DAAD9AC" w14:textId="77777777" w:rsidR="003E573C" w:rsidRDefault="003E573C" w:rsidP="003E573C">
      <w:pPr>
        <w:rPr>
          <w:rFonts w:cs="Arial"/>
        </w:rPr>
      </w:pPr>
    </w:p>
    <w:p w14:paraId="2E6D6CE5"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36F76169" w14:textId="77777777" w:rsidR="003E573C" w:rsidRDefault="003E573C" w:rsidP="003E573C">
      <w:pPr>
        <w:rPr>
          <w:rFonts w:cs="Arial"/>
        </w:rPr>
      </w:pPr>
      <w:r>
        <w:rPr>
          <w:rFonts w:cs="Arial"/>
        </w:rPr>
        <w:t>&lt;ESA_QUESTION_PKID_22&gt;</w:t>
      </w:r>
    </w:p>
    <w:p w14:paraId="4B60D947" w14:textId="77777777" w:rsidR="003E573C" w:rsidRDefault="003E573C" w:rsidP="003E573C">
      <w:pPr>
        <w:rPr>
          <w:rFonts w:cs="Arial"/>
        </w:rPr>
      </w:pPr>
      <w:permStart w:id="349585312" w:edGrp="everyone"/>
      <w:r>
        <w:rPr>
          <w:rFonts w:cs="Arial"/>
        </w:rPr>
        <w:t>TYPE YOUR TEXT HERE</w:t>
      </w:r>
    </w:p>
    <w:permEnd w:id="349585312"/>
    <w:p w14:paraId="5D7C545B" w14:textId="77777777" w:rsidR="003E573C" w:rsidRDefault="003E573C" w:rsidP="003E573C">
      <w:pPr>
        <w:rPr>
          <w:rFonts w:cs="Arial"/>
        </w:rPr>
      </w:pPr>
      <w:r>
        <w:rPr>
          <w:rFonts w:cs="Arial"/>
        </w:rPr>
        <w:t>&lt;ESA_QUESTION_PKID_22&gt;</w:t>
      </w:r>
    </w:p>
    <w:p w14:paraId="05BCFF8E" w14:textId="77777777" w:rsidR="003E573C" w:rsidRDefault="003E573C" w:rsidP="003E573C">
      <w:pPr>
        <w:rPr>
          <w:rFonts w:cs="Arial"/>
        </w:rPr>
      </w:pPr>
    </w:p>
    <w:p w14:paraId="3EA48B8E"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498A9D6D" w14:textId="77777777" w:rsidR="003E573C" w:rsidRDefault="003E573C" w:rsidP="003E573C">
      <w:pPr>
        <w:rPr>
          <w:rFonts w:cs="Arial"/>
        </w:rPr>
      </w:pPr>
      <w:r>
        <w:rPr>
          <w:rFonts w:cs="Arial"/>
        </w:rPr>
        <w:t>&lt;ESA_QUESTION_PKID_23&gt;</w:t>
      </w:r>
    </w:p>
    <w:p w14:paraId="65C64C71" w14:textId="77777777" w:rsidR="00EE5370" w:rsidRDefault="00EE5370" w:rsidP="003E573C">
      <w:pPr>
        <w:rPr>
          <w:rFonts w:cs="Arial"/>
        </w:rPr>
      </w:pPr>
      <w:permStart w:id="272370308" w:edGrp="everyone"/>
      <w:r w:rsidRPr="00EE5370">
        <w:rPr>
          <w:rFonts w:cs="Arial"/>
        </w:rPr>
        <w:t>The introduction of illustrative scenarios in the KIDs could be a good initiative that should apply to all pro</w:t>
      </w:r>
      <w:r>
        <w:rPr>
          <w:rFonts w:cs="Arial"/>
        </w:rPr>
        <w:t>d</w:t>
      </w:r>
      <w:r w:rsidRPr="00EE5370">
        <w:rPr>
          <w:rFonts w:cs="Arial"/>
        </w:rPr>
        <w:t>ucts offered and not only to structured products, as long as it would replace probabilistic approach.</w:t>
      </w:r>
    </w:p>
    <w:permEnd w:id="272370308"/>
    <w:p w14:paraId="036F6FD5" w14:textId="77777777" w:rsidR="003E573C" w:rsidRDefault="003E573C" w:rsidP="003E573C">
      <w:pPr>
        <w:rPr>
          <w:rFonts w:cs="Arial"/>
        </w:rPr>
      </w:pPr>
      <w:r>
        <w:rPr>
          <w:rFonts w:cs="Arial"/>
        </w:rPr>
        <w:t>&lt;ESA_QUESTION_PKID_23&gt;</w:t>
      </w:r>
    </w:p>
    <w:p w14:paraId="6521FD9E" w14:textId="77777777" w:rsidR="003E573C" w:rsidRDefault="003E573C" w:rsidP="003E573C">
      <w:pPr>
        <w:rPr>
          <w:rFonts w:cs="Arial"/>
        </w:rPr>
      </w:pPr>
    </w:p>
    <w:p w14:paraId="640B7BED"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79E11A9" w14:textId="77777777" w:rsidR="003E573C" w:rsidRDefault="003E573C" w:rsidP="003E573C">
      <w:pPr>
        <w:rPr>
          <w:rFonts w:cs="Arial"/>
        </w:rPr>
      </w:pPr>
      <w:r>
        <w:rPr>
          <w:rFonts w:cs="Arial"/>
        </w:rPr>
        <w:t>&lt;ESA_QUESTION_PKID_24&gt;</w:t>
      </w:r>
    </w:p>
    <w:p w14:paraId="76183CB5" w14:textId="77777777" w:rsidR="00EE5370" w:rsidRDefault="00EE5370" w:rsidP="003E573C">
      <w:pPr>
        <w:rPr>
          <w:rFonts w:cs="Arial"/>
        </w:rPr>
      </w:pPr>
      <w:permStart w:id="1404272146" w:edGrp="everyone"/>
      <w:r w:rsidRPr="00EE5370">
        <w:rPr>
          <w:rFonts w:cs="Arial"/>
        </w:rPr>
        <w:t>see question 23</w:t>
      </w:r>
    </w:p>
    <w:permEnd w:id="1404272146"/>
    <w:p w14:paraId="1ADDF46D" w14:textId="77777777" w:rsidR="003E573C" w:rsidRDefault="003E573C" w:rsidP="003E573C">
      <w:pPr>
        <w:rPr>
          <w:rFonts w:cs="Arial"/>
        </w:rPr>
      </w:pPr>
      <w:r>
        <w:rPr>
          <w:rFonts w:cs="Arial"/>
        </w:rPr>
        <w:t>&lt;ESA_QUESTION_PKID_24&gt;</w:t>
      </w:r>
    </w:p>
    <w:p w14:paraId="4FF6B910" w14:textId="77777777" w:rsidR="003E573C" w:rsidRDefault="003E573C" w:rsidP="003E573C">
      <w:pPr>
        <w:rPr>
          <w:rFonts w:cs="Arial"/>
        </w:rPr>
      </w:pPr>
    </w:p>
    <w:p w14:paraId="47266EE2"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2878A64D" w14:textId="77777777" w:rsidR="003E573C" w:rsidRDefault="003E573C" w:rsidP="003E573C">
      <w:pPr>
        <w:rPr>
          <w:rFonts w:cs="Arial"/>
        </w:rPr>
      </w:pPr>
      <w:r>
        <w:rPr>
          <w:rFonts w:cs="Arial"/>
        </w:rPr>
        <w:t>&lt;ESA_QUESTION_PKID_25&gt;</w:t>
      </w:r>
    </w:p>
    <w:p w14:paraId="3790956A" w14:textId="77777777" w:rsidR="00EE5370" w:rsidRPr="00EE5370" w:rsidRDefault="00EE5370" w:rsidP="00EE5370">
      <w:pPr>
        <w:rPr>
          <w:rFonts w:cs="Arial"/>
        </w:rPr>
      </w:pPr>
      <w:permStart w:id="2144486867" w:edGrp="everyone"/>
      <w:r w:rsidRPr="00EE5370">
        <w:rPr>
          <w:rFonts w:cs="Arial"/>
        </w:rPr>
        <w:t>There is a wide range of product types in Category 3. In particular, illustrative scenarios can be appropriate for structured products but not necessarily for other Category 3 PRIIPs products more generally.</w:t>
      </w:r>
    </w:p>
    <w:p w14:paraId="40C0DB40" w14:textId="77777777" w:rsidR="00EE5370" w:rsidRPr="00EE5370" w:rsidRDefault="00EE5370" w:rsidP="00EE5370">
      <w:pPr>
        <w:rPr>
          <w:rFonts w:cs="Arial"/>
        </w:rPr>
      </w:pPr>
      <w:r w:rsidRPr="00EE5370">
        <w:rPr>
          <w:rFonts w:cs="Arial"/>
        </w:rPr>
        <w:t>A consistent approach shall be applied to all of the products considered (where meaningfully possible) and, if any specificity had nevertheless to be taken into account, one should pay attention to ex</w:t>
      </w:r>
      <w:r>
        <w:rPr>
          <w:rFonts w:cs="Arial"/>
        </w:rPr>
        <w:t>c</w:t>
      </w:r>
      <w:r w:rsidRPr="00EE5370">
        <w:rPr>
          <w:rFonts w:cs="Arial"/>
        </w:rPr>
        <w:t>lude the possibility of cherry picking the methodology by the providers.</w:t>
      </w:r>
    </w:p>
    <w:p w14:paraId="41A7F4A0" w14:textId="77777777" w:rsidR="00EE5370" w:rsidRDefault="00EE5370" w:rsidP="003E573C">
      <w:pPr>
        <w:rPr>
          <w:rFonts w:cs="Arial"/>
        </w:rPr>
      </w:pPr>
      <w:r w:rsidRPr="00EE5370">
        <w:rPr>
          <w:rFonts w:cs="Arial"/>
        </w:rPr>
        <w:t>In line with this concern for consistency and subject to the aforementioned investigation work, the introduction of illustrative scenarios in the KIDs could be a good initiative that should apply to all products offered and not only to structured products, as long as it would replace probabilistic approach.</w:t>
      </w:r>
    </w:p>
    <w:permEnd w:id="2144486867"/>
    <w:p w14:paraId="636077D0" w14:textId="77777777" w:rsidR="003E573C" w:rsidRDefault="003E573C" w:rsidP="003E573C">
      <w:pPr>
        <w:rPr>
          <w:rFonts w:cs="Arial"/>
        </w:rPr>
      </w:pPr>
      <w:r>
        <w:rPr>
          <w:rFonts w:cs="Arial"/>
        </w:rPr>
        <w:t>&lt;ESA_QUESTION_PKID_25&gt;</w:t>
      </w:r>
    </w:p>
    <w:p w14:paraId="06E150AA" w14:textId="77777777" w:rsidR="003E573C" w:rsidRDefault="003E573C" w:rsidP="003E573C">
      <w:pPr>
        <w:rPr>
          <w:rFonts w:cs="Arial"/>
        </w:rPr>
      </w:pPr>
    </w:p>
    <w:p w14:paraId="0CE04508"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12C4EB06" w14:textId="77777777" w:rsidR="003E573C" w:rsidRDefault="003E573C" w:rsidP="003E573C">
      <w:pPr>
        <w:rPr>
          <w:rFonts w:cs="Arial"/>
        </w:rPr>
      </w:pPr>
      <w:r>
        <w:rPr>
          <w:rFonts w:cs="Arial"/>
        </w:rPr>
        <w:t>&lt;ESA_QUESTION_PKID_26&gt;</w:t>
      </w:r>
    </w:p>
    <w:p w14:paraId="2778F19D" w14:textId="77777777" w:rsidR="00EE5370" w:rsidRPr="00EE5370" w:rsidRDefault="00EE5370" w:rsidP="00EE5370">
      <w:pPr>
        <w:rPr>
          <w:rFonts w:cs="Arial"/>
        </w:rPr>
      </w:pPr>
      <w:permStart w:id="1267883456" w:edGrp="everyone"/>
      <w:r w:rsidRPr="00EE5370">
        <w:rPr>
          <w:rFonts w:cs="Arial"/>
        </w:rPr>
        <w:t>Past performance may be easily assessed for some product types, such as non-structured UCITS-funds, but it may prove to be impossible to assess for other product types, such as structured PRIIPs or some types of insurance-based investment products, especially for path dependent products.</w:t>
      </w:r>
    </w:p>
    <w:p w14:paraId="65D9E2DC" w14:textId="77777777" w:rsidR="00D2526E" w:rsidRPr="00EE5370" w:rsidRDefault="00EE5370" w:rsidP="00EE5370">
      <w:pPr>
        <w:rPr>
          <w:rFonts w:cs="Arial"/>
        </w:rPr>
      </w:pPr>
      <w:r w:rsidRPr="00EE5370">
        <w:rPr>
          <w:rFonts w:cs="Arial"/>
        </w:rPr>
        <w:t>When possible, inclusion of past performance has the benefit of improving understanding of a fund’s investment profile. However, we note the risks associated with translating past performance into future performance. Therefore inclusion of past performance should be presented in accurate, fair, clear terms, with sufficient history and with clear caveats (or warnings) that the performance shown refers to the past and past performance is not a reliable indicator of future results. It is also important to indicate if the performance is shown gross or net of fees.</w:t>
      </w:r>
    </w:p>
    <w:p w14:paraId="72E0EF0E" w14:textId="77777777" w:rsidR="00EE5370" w:rsidRDefault="00EE5370" w:rsidP="003E573C">
      <w:pPr>
        <w:rPr>
          <w:rFonts w:cs="Arial"/>
        </w:rPr>
      </w:pPr>
      <w:r w:rsidRPr="00EE5370">
        <w:rPr>
          <w:rFonts w:cs="Arial"/>
        </w:rPr>
        <w:t>The inclusion of past performance should not come across as the most prominent feature on the KID and should be complementary to other key information in the KID. In any way, the combination of past performance information with the other scenarios would be confusing and should be avoided.</w:t>
      </w:r>
    </w:p>
    <w:permEnd w:id="1267883456"/>
    <w:p w14:paraId="3A3FE3D2" w14:textId="77777777" w:rsidR="003E573C" w:rsidRDefault="003E573C" w:rsidP="003E573C">
      <w:pPr>
        <w:rPr>
          <w:rFonts w:cs="Arial"/>
        </w:rPr>
      </w:pPr>
      <w:r>
        <w:rPr>
          <w:rFonts w:cs="Arial"/>
        </w:rPr>
        <w:t>&lt;ESA_QUESTION_PKID_26&gt;</w:t>
      </w:r>
    </w:p>
    <w:p w14:paraId="4013D352" w14:textId="77777777" w:rsidR="003E573C" w:rsidRDefault="003E573C" w:rsidP="003E573C">
      <w:pPr>
        <w:rPr>
          <w:rFonts w:cs="Arial"/>
        </w:rPr>
      </w:pPr>
    </w:p>
    <w:p w14:paraId="539EB712"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0AE215EB" w14:textId="77777777" w:rsidR="003E573C" w:rsidRDefault="003E573C" w:rsidP="003E573C">
      <w:pPr>
        <w:rPr>
          <w:rFonts w:cs="Arial"/>
        </w:rPr>
      </w:pPr>
      <w:r>
        <w:rPr>
          <w:rFonts w:cs="Arial"/>
        </w:rPr>
        <w:t>&lt;ESA_QUESTION_PKID_27&gt;</w:t>
      </w:r>
    </w:p>
    <w:p w14:paraId="1E6F8CD3" w14:textId="77777777" w:rsidR="00EE5370" w:rsidRDefault="00EE5370" w:rsidP="003E573C">
      <w:pPr>
        <w:rPr>
          <w:rFonts w:cs="Arial"/>
        </w:rPr>
      </w:pPr>
      <w:permStart w:id="44259557" w:edGrp="everyone"/>
      <w:r w:rsidRPr="00EE5370">
        <w:rPr>
          <w:rFonts w:cs="Arial"/>
        </w:rPr>
        <w:t>No in as much they had to cohabitate with perfo</w:t>
      </w:r>
      <w:r>
        <w:rPr>
          <w:rFonts w:cs="Arial"/>
        </w:rPr>
        <w:t>r</w:t>
      </w:r>
      <w:r w:rsidRPr="00EE5370">
        <w:rPr>
          <w:rFonts w:cs="Arial"/>
        </w:rPr>
        <w:t>mance scenarios (see question 26). Companies are free to show past performance in documents other than the KID. There is currently too much information on the KID which could be removed in order to include historic returns which would be more relevant.</w:t>
      </w:r>
    </w:p>
    <w:permEnd w:id="44259557"/>
    <w:p w14:paraId="387A33D3" w14:textId="77777777" w:rsidR="003E573C" w:rsidRDefault="003E573C" w:rsidP="003E573C">
      <w:pPr>
        <w:rPr>
          <w:rFonts w:cs="Arial"/>
        </w:rPr>
      </w:pPr>
      <w:r>
        <w:rPr>
          <w:rFonts w:cs="Arial"/>
        </w:rPr>
        <w:t>&lt;ESA_QUESTION_PKID_27&gt;</w:t>
      </w:r>
    </w:p>
    <w:p w14:paraId="4322EFD5" w14:textId="77777777" w:rsidR="003E573C" w:rsidRDefault="003E573C" w:rsidP="003E573C">
      <w:pPr>
        <w:rPr>
          <w:rFonts w:cs="Arial"/>
        </w:rPr>
      </w:pPr>
    </w:p>
    <w:p w14:paraId="2E57917A"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7074B9A7" w14:textId="77777777" w:rsidR="003E573C" w:rsidRDefault="003E573C" w:rsidP="003E573C">
      <w:pPr>
        <w:rPr>
          <w:rFonts w:cs="Arial"/>
        </w:rPr>
      </w:pPr>
      <w:r>
        <w:rPr>
          <w:rFonts w:cs="Arial"/>
        </w:rPr>
        <w:t>&lt;ESA_QUESTION_PKID_28&gt;</w:t>
      </w:r>
    </w:p>
    <w:p w14:paraId="49032EAF" w14:textId="77777777" w:rsidR="00EE5370" w:rsidRPr="00EE5370" w:rsidRDefault="00EE5370" w:rsidP="00EE5370">
      <w:pPr>
        <w:rPr>
          <w:rFonts w:cs="Arial"/>
        </w:rPr>
      </w:pPr>
      <w:permStart w:id="573590747" w:edGrp="everyone"/>
      <w:r w:rsidRPr="00EE5370">
        <w:rPr>
          <w:rFonts w:cs="Arial"/>
        </w:rPr>
        <w:t>Showing past performance in the form of an average has the danger of hiding the extreme readings that make up the average, not showing volatility. In addition, using averages could set an incorrect expectation that the average return is a fair expectation of future returns – which might be true for some funds but certainly not for all funds.</w:t>
      </w:r>
    </w:p>
    <w:p w14:paraId="1A22C286" w14:textId="77777777" w:rsidR="00EE5370" w:rsidRDefault="00EE5370" w:rsidP="003E573C">
      <w:pPr>
        <w:rPr>
          <w:rFonts w:cs="Arial"/>
        </w:rPr>
      </w:pPr>
      <w:r w:rsidRPr="00EE5370">
        <w:rPr>
          <w:rFonts w:cs="Arial"/>
        </w:rPr>
        <w:t>Where possible and subject to the reservations expressed above, we think it would be appropriate to show past performance across different time periods, certainly to include longer time periods (such as 10 years). Average performances are appropriate for certain type of funds (private equity or illiquid portfolios that take time to build up); in any case we are of the opinion that average performance should be in addition to other performance measures rather than being the sole measure of past performance.</w:t>
      </w:r>
    </w:p>
    <w:permEnd w:id="573590747"/>
    <w:p w14:paraId="428D4514" w14:textId="77777777" w:rsidR="003E573C" w:rsidRDefault="003E573C" w:rsidP="003E573C">
      <w:pPr>
        <w:rPr>
          <w:rFonts w:cs="Arial"/>
        </w:rPr>
      </w:pPr>
      <w:r>
        <w:rPr>
          <w:rFonts w:cs="Arial"/>
        </w:rPr>
        <w:t>&lt;ESA_QUESTION_PKID_28&gt;</w:t>
      </w:r>
    </w:p>
    <w:p w14:paraId="409FE529" w14:textId="77777777" w:rsidR="003E573C" w:rsidRDefault="003E573C" w:rsidP="003E573C">
      <w:pPr>
        <w:rPr>
          <w:rFonts w:cs="Arial"/>
        </w:rPr>
      </w:pPr>
    </w:p>
    <w:p w14:paraId="51272804"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6636FE4A" w14:textId="77777777" w:rsidR="003E573C" w:rsidRDefault="003E573C" w:rsidP="003E573C">
      <w:pPr>
        <w:rPr>
          <w:rFonts w:cs="Arial"/>
        </w:rPr>
      </w:pPr>
      <w:r>
        <w:rPr>
          <w:rFonts w:cs="Arial"/>
        </w:rPr>
        <w:t>&lt;ESA_QUESTION_PKID_29&gt;</w:t>
      </w:r>
    </w:p>
    <w:p w14:paraId="66C638BE" w14:textId="77777777" w:rsidR="00743E61" w:rsidRDefault="00743E61" w:rsidP="003E573C">
      <w:pPr>
        <w:rPr>
          <w:rFonts w:cs="Arial"/>
        </w:rPr>
      </w:pPr>
      <w:permStart w:id="312620635" w:edGrp="everyone"/>
      <w:r w:rsidRPr="00743E61">
        <w:rPr>
          <w:rFonts w:cs="Arial"/>
        </w:rPr>
        <w:t>No comment. Warnings already displayed in KIID is enough.</w:t>
      </w:r>
    </w:p>
    <w:permEnd w:id="312620635"/>
    <w:p w14:paraId="5D7BC563" w14:textId="77777777" w:rsidR="003E573C" w:rsidRDefault="003E573C" w:rsidP="003E573C">
      <w:pPr>
        <w:rPr>
          <w:rFonts w:cs="Arial"/>
        </w:rPr>
      </w:pPr>
      <w:r>
        <w:rPr>
          <w:rFonts w:cs="Arial"/>
        </w:rPr>
        <w:t>&lt;ESA_QUESTION_PKID_29&gt;</w:t>
      </w:r>
    </w:p>
    <w:p w14:paraId="7050442C" w14:textId="77777777" w:rsidR="003E573C" w:rsidRDefault="003E573C" w:rsidP="003E573C">
      <w:pPr>
        <w:rPr>
          <w:rFonts w:cs="Arial"/>
        </w:rPr>
      </w:pPr>
    </w:p>
    <w:p w14:paraId="52544AB0"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06C221C6" w14:textId="77777777" w:rsidR="003E573C" w:rsidRDefault="003E573C" w:rsidP="003E573C">
      <w:pPr>
        <w:rPr>
          <w:rFonts w:cs="Arial"/>
        </w:rPr>
      </w:pPr>
      <w:r>
        <w:rPr>
          <w:rFonts w:cs="Arial"/>
        </w:rPr>
        <w:t>&lt;ESA_QUESTION_PKID_30&gt;</w:t>
      </w:r>
    </w:p>
    <w:p w14:paraId="6096689E" w14:textId="77777777" w:rsidR="00743E61" w:rsidRDefault="00743E61" w:rsidP="003E573C">
      <w:pPr>
        <w:rPr>
          <w:rFonts w:cs="Arial"/>
        </w:rPr>
      </w:pPr>
      <w:permStart w:id="1615201659" w:edGrp="everyone"/>
      <w:r w:rsidRPr="00743E61">
        <w:rPr>
          <w:rFonts w:cs="Arial"/>
        </w:rPr>
        <w:t>It should be clear that past performance is not a reliable indicator of future performance (same problem with the present methodology for performance scenarios but, in this latter case all the more damaging as the use of past performance is not explicit). The narrative should also encourage readers to consider all information (i.e. not just look at past performance and discount future performance and vice versa). We do not recommend to mix both approaches. To this regard, a methodology that attempts to model the relationship between past and future performance would be far too technical and complex for the consumer, a complexity that an illustrative text would not be sufficient to clarify (see 26).</w:t>
      </w:r>
    </w:p>
    <w:permEnd w:id="1615201659"/>
    <w:p w14:paraId="05385E60" w14:textId="77777777" w:rsidR="003E573C" w:rsidRDefault="003E573C" w:rsidP="003E573C">
      <w:pPr>
        <w:rPr>
          <w:rFonts w:cs="Arial"/>
        </w:rPr>
      </w:pPr>
      <w:r>
        <w:rPr>
          <w:rFonts w:cs="Arial"/>
        </w:rPr>
        <w:t>&lt;ESA_QUESTION_PKID_30&gt;</w:t>
      </w:r>
    </w:p>
    <w:p w14:paraId="5E894EB5" w14:textId="77777777" w:rsidR="003E573C" w:rsidRDefault="003E573C" w:rsidP="003E573C">
      <w:pPr>
        <w:rPr>
          <w:rFonts w:cs="Arial"/>
        </w:rPr>
      </w:pPr>
    </w:p>
    <w:p w14:paraId="549D5AAE"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33ACB8C0" w14:textId="77777777" w:rsidR="003E573C" w:rsidRDefault="003E573C" w:rsidP="003E573C">
      <w:pPr>
        <w:rPr>
          <w:rFonts w:cs="Arial"/>
        </w:rPr>
      </w:pPr>
      <w:r>
        <w:rPr>
          <w:rFonts w:cs="Arial"/>
        </w:rPr>
        <w:t>&lt;ESA_QUESTION_PKID_31&gt;</w:t>
      </w:r>
    </w:p>
    <w:p w14:paraId="04387B0A" w14:textId="77777777" w:rsidR="00743E61" w:rsidRDefault="00743E61" w:rsidP="003E573C">
      <w:pPr>
        <w:rPr>
          <w:rFonts w:cs="Arial"/>
        </w:rPr>
      </w:pPr>
      <w:permStart w:id="1967134470" w:edGrp="everyone"/>
      <w:r w:rsidRPr="00743E61">
        <w:rPr>
          <w:rFonts w:cs="Arial"/>
        </w:rPr>
        <w:t>Yes. A clear distinction should be made between funds that aim to track the performance of a benchmark, funds that aim to outperform a reference benchmark and funds that are not managed to any reference benchmark. But this feature should be already addressed in the ‘What is this product?’ section.</w:t>
      </w:r>
    </w:p>
    <w:permEnd w:id="1967134470"/>
    <w:p w14:paraId="05D4E795" w14:textId="77777777" w:rsidR="003E573C" w:rsidRDefault="003E573C" w:rsidP="003E573C">
      <w:pPr>
        <w:rPr>
          <w:rFonts w:cs="Arial"/>
        </w:rPr>
      </w:pPr>
      <w:r>
        <w:rPr>
          <w:rFonts w:cs="Arial"/>
        </w:rPr>
        <w:t>&lt;ESA_QUESTION_PKID_31&gt;</w:t>
      </w:r>
    </w:p>
    <w:p w14:paraId="53C4F467" w14:textId="77777777" w:rsidR="003E573C" w:rsidRDefault="003E573C" w:rsidP="003E573C">
      <w:pPr>
        <w:rPr>
          <w:rFonts w:cs="Arial"/>
        </w:rPr>
      </w:pPr>
    </w:p>
    <w:p w14:paraId="45E0F2E0"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61D264F2" w14:textId="77777777" w:rsidR="003E573C" w:rsidRDefault="003E573C" w:rsidP="003E573C">
      <w:pPr>
        <w:rPr>
          <w:rFonts w:cs="Arial"/>
        </w:rPr>
      </w:pPr>
      <w:r>
        <w:rPr>
          <w:rFonts w:cs="Arial"/>
        </w:rPr>
        <w:t>&lt;ESA_QUESTION_PKID_32&gt;</w:t>
      </w:r>
    </w:p>
    <w:p w14:paraId="5F77957E" w14:textId="77777777" w:rsidR="00743E61" w:rsidRDefault="00743E61" w:rsidP="003E573C">
      <w:pPr>
        <w:rPr>
          <w:rFonts w:cs="Arial"/>
        </w:rPr>
      </w:pPr>
      <w:permStart w:id="1964136182" w:edGrp="everyone"/>
      <w:r w:rsidRPr="00743E61">
        <w:rPr>
          <w:rFonts w:cs="Arial"/>
        </w:rPr>
        <w:t>Insurance products have early surrender fees (many operate on a sliding scale) - this needs to be clearly called out in the KID.</w:t>
      </w:r>
    </w:p>
    <w:permEnd w:id="1964136182"/>
    <w:p w14:paraId="09AEED1A" w14:textId="77777777" w:rsidR="003E573C" w:rsidRDefault="003E573C" w:rsidP="003E573C">
      <w:pPr>
        <w:rPr>
          <w:rFonts w:cs="Arial"/>
        </w:rPr>
      </w:pPr>
      <w:r>
        <w:rPr>
          <w:rFonts w:cs="Arial"/>
        </w:rPr>
        <w:t>&lt;ESA_QUESTION_PKID_32&gt;</w:t>
      </w:r>
    </w:p>
    <w:p w14:paraId="16CAA842" w14:textId="77777777" w:rsidR="003E573C" w:rsidRDefault="003E573C" w:rsidP="003E573C">
      <w:pPr>
        <w:rPr>
          <w:rFonts w:cs="Arial"/>
        </w:rPr>
      </w:pPr>
    </w:p>
    <w:p w14:paraId="77A5AD16"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29EE1F47" w14:textId="77777777" w:rsidR="003E573C" w:rsidRDefault="003E573C" w:rsidP="003E573C">
      <w:pPr>
        <w:rPr>
          <w:rFonts w:cs="Arial"/>
        </w:rPr>
      </w:pPr>
      <w:r>
        <w:rPr>
          <w:rFonts w:cs="Arial"/>
        </w:rPr>
        <w:t>&lt;ESA_QUESTION_PKID_33&gt;</w:t>
      </w:r>
    </w:p>
    <w:p w14:paraId="2F32AB0E" w14:textId="77777777" w:rsidR="00743E61" w:rsidRPr="00743E61" w:rsidRDefault="00743E61" w:rsidP="00743E61">
      <w:pPr>
        <w:rPr>
          <w:rFonts w:cs="Arial"/>
        </w:rPr>
      </w:pPr>
      <w:permStart w:id="892105313" w:edGrp="everyone"/>
      <w:r w:rsidRPr="00743E61">
        <w:rPr>
          <w:rFonts w:cs="Arial"/>
        </w:rPr>
        <w:t xml:space="preserve">Not fully in agreement. </w:t>
      </w:r>
    </w:p>
    <w:p w14:paraId="45D8FDC5" w14:textId="77777777" w:rsidR="00743E61" w:rsidRPr="00743E61" w:rsidRDefault="00743E61" w:rsidP="00743E61">
      <w:pPr>
        <w:rPr>
          <w:rFonts w:cs="Arial"/>
        </w:rPr>
      </w:pPr>
      <w:r w:rsidRPr="00743E61">
        <w:rPr>
          <w:rFonts w:cs="Arial"/>
        </w:rPr>
        <w:t>The current half the recommended holding period provides a logical transition between the first period (1 year) and the last period (recommended holding period). The messaging is clear in this sense: this is the cost associated if the investment is redeemed relatively quickly (first period), the next column shows the cost if investors redeemed halfway through the recommended period and the last column is the associated costs if investors held for the full recommended period.</w:t>
      </w:r>
    </w:p>
    <w:p w14:paraId="308C458F" w14:textId="77777777" w:rsidR="00743E61" w:rsidRPr="00743E61" w:rsidRDefault="00743E61" w:rsidP="00743E61">
      <w:pPr>
        <w:rPr>
          <w:rFonts w:cs="Arial"/>
        </w:rPr>
      </w:pPr>
      <w:r w:rsidRPr="00743E61">
        <w:rPr>
          <w:rFonts w:cs="Arial"/>
        </w:rPr>
        <w:t>Using a fixed intermediate time holding period may make sense but in our opinion would require additional holding periods shown, such as 3 years, and 5 years. This could work for investors who think in those terms rather than the recommended holding period but risks confusion.</w:t>
      </w:r>
    </w:p>
    <w:p w14:paraId="1055545F" w14:textId="77777777" w:rsidR="00743E61" w:rsidRDefault="00743E61" w:rsidP="003E573C">
      <w:pPr>
        <w:rPr>
          <w:rFonts w:cs="Arial"/>
        </w:rPr>
      </w:pPr>
      <w:r w:rsidRPr="00743E61">
        <w:rPr>
          <w:rFonts w:cs="Arial"/>
        </w:rPr>
        <w:t>The use of an  intermediate time period/fixed exit point instead of half of the recommended conversation period for KID comparability does not seem entirely justified.</w:t>
      </w:r>
    </w:p>
    <w:permEnd w:id="892105313"/>
    <w:p w14:paraId="349276B0" w14:textId="77777777" w:rsidR="003E573C" w:rsidRDefault="003E573C" w:rsidP="003E573C">
      <w:pPr>
        <w:rPr>
          <w:rFonts w:cs="Arial"/>
        </w:rPr>
      </w:pPr>
      <w:r>
        <w:rPr>
          <w:rFonts w:cs="Arial"/>
        </w:rPr>
        <w:t>&lt;ESA_QUESTION_PKID_33&gt;</w:t>
      </w:r>
    </w:p>
    <w:p w14:paraId="71DFFDEC" w14:textId="77777777" w:rsidR="003E573C" w:rsidRDefault="003E573C" w:rsidP="003E573C">
      <w:pPr>
        <w:rPr>
          <w:rFonts w:cs="Arial"/>
        </w:rPr>
      </w:pPr>
    </w:p>
    <w:p w14:paraId="391D4B95"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3E96EEB" w14:textId="77777777" w:rsidR="003E573C" w:rsidRDefault="003E573C" w:rsidP="003E573C">
      <w:pPr>
        <w:rPr>
          <w:rFonts w:cs="Arial"/>
        </w:rPr>
      </w:pPr>
      <w:r>
        <w:rPr>
          <w:rFonts w:cs="Arial"/>
        </w:rPr>
        <w:t>&lt;ESA_QUESTION_PKID_34&gt;</w:t>
      </w:r>
    </w:p>
    <w:p w14:paraId="1D50F468" w14:textId="77777777" w:rsidR="00743E61" w:rsidRPr="00743E61" w:rsidRDefault="00743E61" w:rsidP="00743E61">
      <w:pPr>
        <w:rPr>
          <w:rFonts w:cs="Arial"/>
        </w:rPr>
      </w:pPr>
      <w:permStart w:id="1733435619" w:edGrp="everyone"/>
      <w:r w:rsidRPr="00743E61">
        <w:rPr>
          <w:rFonts w:cs="Arial"/>
        </w:rPr>
        <w:t>If a fixed intermediate time period is used, we would agree with using 5 years as a fixed intermediate period for all PRIIPs with a recommended holding period of at least 8 years. For longer term products– for instance those above 15 years – it may also be appropriate to show the costs for 10 years.</w:t>
      </w:r>
    </w:p>
    <w:p w14:paraId="45BCF4C0" w14:textId="77777777" w:rsidR="00743E61" w:rsidRDefault="00743E61" w:rsidP="003E573C">
      <w:pPr>
        <w:rPr>
          <w:rFonts w:cs="Arial"/>
        </w:rPr>
      </w:pPr>
      <w:r w:rsidRPr="00743E61">
        <w:rPr>
          <w:rFonts w:cs="Arial"/>
        </w:rPr>
        <w:t>For all PRIIPs that have a recommended holding period lower than 8 years, then it would be appropriate to show costs for 3 years and 5 years. Overall, the need to show estimates of costs should be balanced against overcomplicating the information provided.</w:t>
      </w:r>
    </w:p>
    <w:permEnd w:id="1733435619"/>
    <w:p w14:paraId="7D0641B6" w14:textId="77777777" w:rsidR="003E573C" w:rsidRDefault="003E573C" w:rsidP="003E573C">
      <w:pPr>
        <w:rPr>
          <w:rFonts w:cs="Arial"/>
        </w:rPr>
      </w:pPr>
      <w:r>
        <w:rPr>
          <w:rFonts w:cs="Arial"/>
        </w:rPr>
        <w:t>&lt;ESA_QUESTION_PKID_34&gt;</w:t>
      </w:r>
    </w:p>
    <w:p w14:paraId="7413ECC2" w14:textId="77777777" w:rsidR="003E573C" w:rsidRDefault="003E573C" w:rsidP="003E573C">
      <w:pPr>
        <w:rPr>
          <w:rFonts w:cs="Arial"/>
        </w:rPr>
      </w:pPr>
    </w:p>
    <w:p w14:paraId="3B6EC23E"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231E906E" w14:textId="77777777" w:rsidR="003E573C" w:rsidRDefault="003E573C" w:rsidP="003E573C">
      <w:pPr>
        <w:rPr>
          <w:rFonts w:cs="Arial"/>
        </w:rPr>
      </w:pPr>
      <w:r>
        <w:rPr>
          <w:rFonts w:cs="Arial"/>
        </w:rPr>
        <w:t>&lt;ESA_QUESTION_PKID_35&gt;</w:t>
      </w:r>
    </w:p>
    <w:p w14:paraId="66977F82" w14:textId="77777777" w:rsidR="00743E61" w:rsidRDefault="00743E61" w:rsidP="003E573C">
      <w:pPr>
        <w:rPr>
          <w:rFonts w:cs="Arial"/>
        </w:rPr>
      </w:pPr>
      <w:permStart w:id="402196280" w:edGrp="everyone"/>
      <w:r w:rsidRPr="00743E61">
        <w:rPr>
          <w:rFonts w:cs="Arial"/>
        </w:rPr>
        <w:t>The latter approach could be more beneficial for investors who do not invest for the recommended holding period. It would be prudent to assume that not all investors would invest for the recommended holding period. Thus the latter approach would be more useful for a wider audience.</w:t>
      </w:r>
    </w:p>
    <w:permEnd w:id="402196280"/>
    <w:p w14:paraId="5D039D3B" w14:textId="77777777" w:rsidR="003E573C" w:rsidRDefault="003E573C" w:rsidP="003E573C">
      <w:pPr>
        <w:rPr>
          <w:rFonts w:cs="Arial"/>
        </w:rPr>
      </w:pPr>
      <w:r>
        <w:rPr>
          <w:rFonts w:cs="Arial"/>
        </w:rPr>
        <w:t>&lt;ESA_QUESTION_PKID_35&gt;</w:t>
      </w:r>
    </w:p>
    <w:p w14:paraId="6EB3B5B3" w14:textId="77777777" w:rsidR="003E573C" w:rsidRDefault="003E573C" w:rsidP="003E573C">
      <w:pPr>
        <w:rPr>
          <w:rFonts w:cs="Arial"/>
        </w:rPr>
      </w:pPr>
    </w:p>
    <w:p w14:paraId="7F4E88FD"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02EA4095" w14:textId="77777777" w:rsidR="003E573C" w:rsidRDefault="003E573C" w:rsidP="003E573C">
      <w:pPr>
        <w:rPr>
          <w:rFonts w:cs="Arial"/>
        </w:rPr>
      </w:pPr>
      <w:r>
        <w:rPr>
          <w:rFonts w:cs="Arial"/>
        </w:rPr>
        <w:t>&lt;ESA_QUESTION_PKID_36&gt;</w:t>
      </w:r>
    </w:p>
    <w:p w14:paraId="6FBC528B" w14:textId="77777777" w:rsidR="00743E61" w:rsidRDefault="00743E61" w:rsidP="003E573C">
      <w:pPr>
        <w:rPr>
          <w:rFonts w:cs="Arial"/>
        </w:rPr>
      </w:pPr>
      <w:permStart w:id="1480746449" w:edGrp="everyone"/>
      <w:r w:rsidRPr="00743E61">
        <w:rPr>
          <w:rFonts w:cs="Arial"/>
        </w:rPr>
        <w:t>While this is informative, in particular for PRIIPs that have one-off entry costs - showing total costs as a percentage would help illustrate the investment hurdle required to “make good on the costs”. Nevertheless, there is a concern in relation to information overload in KIDs and,  for the sake of consistency, information based on different methodologies should not be provided to the consumer.</w:t>
      </w:r>
    </w:p>
    <w:permEnd w:id="1480746449"/>
    <w:p w14:paraId="26B7841A" w14:textId="77777777" w:rsidR="003E573C" w:rsidRDefault="003E573C" w:rsidP="003E573C">
      <w:pPr>
        <w:rPr>
          <w:rFonts w:cs="Arial"/>
        </w:rPr>
      </w:pPr>
      <w:r>
        <w:rPr>
          <w:rFonts w:cs="Arial"/>
        </w:rPr>
        <w:t>&lt;ESA_QUESTION_PKID_36&gt;</w:t>
      </w:r>
    </w:p>
    <w:p w14:paraId="6953AFB0" w14:textId="77777777" w:rsidR="003E573C" w:rsidRDefault="003E573C" w:rsidP="003E573C">
      <w:pPr>
        <w:rPr>
          <w:rFonts w:cs="Arial"/>
        </w:rPr>
      </w:pPr>
    </w:p>
    <w:p w14:paraId="4A87CF66"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72C5B70" w14:textId="77777777" w:rsidR="003E573C" w:rsidRDefault="003E573C" w:rsidP="003E573C">
      <w:pPr>
        <w:rPr>
          <w:rFonts w:cs="Arial"/>
        </w:rPr>
      </w:pPr>
      <w:r>
        <w:rPr>
          <w:rFonts w:cs="Arial"/>
        </w:rPr>
        <w:t>&lt;ESA_QUESTION_PKID_37&gt;</w:t>
      </w:r>
    </w:p>
    <w:p w14:paraId="5BBCBA4B" w14:textId="77777777" w:rsidR="003E573C" w:rsidRDefault="003E573C" w:rsidP="003E573C">
      <w:pPr>
        <w:rPr>
          <w:rFonts w:cs="Arial"/>
        </w:rPr>
      </w:pPr>
      <w:permStart w:id="1698308784" w:edGrp="everyone"/>
      <w:r>
        <w:rPr>
          <w:rFonts w:cs="Arial"/>
        </w:rPr>
        <w:t>TYPE YOUR TEXT HERE</w:t>
      </w:r>
    </w:p>
    <w:permEnd w:id="1698308784"/>
    <w:p w14:paraId="7243AA95" w14:textId="77777777" w:rsidR="003E573C" w:rsidRDefault="003E573C" w:rsidP="003E573C">
      <w:pPr>
        <w:rPr>
          <w:rFonts w:cs="Arial"/>
        </w:rPr>
      </w:pPr>
      <w:r>
        <w:rPr>
          <w:rFonts w:cs="Arial"/>
        </w:rPr>
        <w:t>&lt;ESA_QUESTION_PKID_37&gt;</w:t>
      </w:r>
    </w:p>
    <w:p w14:paraId="28F40014" w14:textId="77777777" w:rsidR="003E573C" w:rsidRDefault="003E573C" w:rsidP="003E573C">
      <w:pPr>
        <w:rPr>
          <w:rFonts w:cs="Arial"/>
        </w:rPr>
      </w:pPr>
    </w:p>
    <w:p w14:paraId="33B3D31D"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14B6BCD4" w14:textId="77777777" w:rsidR="003E573C" w:rsidRDefault="003E573C" w:rsidP="003E573C">
      <w:pPr>
        <w:rPr>
          <w:rFonts w:cs="Arial"/>
        </w:rPr>
      </w:pPr>
      <w:r>
        <w:rPr>
          <w:rFonts w:cs="Arial"/>
        </w:rPr>
        <w:t>&lt;ESA_QUESTION_PKID_38&gt;</w:t>
      </w:r>
    </w:p>
    <w:p w14:paraId="4176DAD2" w14:textId="77777777" w:rsidR="00743E61" w:rsidRPr="00743E61" w:rsidRDefault="00743E61" w:rsidP="00743E61">
      <w:pPr>
        <w:rPr>
          <w:rFonts w:cs="Arial"/>
        </w:rPr>
      </w:pPr>
      <w:permStart w:id="1904159355" w:edGrp="everyone"/>
      <w:r w:rsidRPr="00743E61">
        <w:rPr>
          <w:rFonts w:cs="Arial"/>
        </w:rPr>
        <w:t>Using management of the real estate asset as an example, this is a cost that is ultimately borne by the investor and therefore should be taken into account in the calculation of cost indicators. Stripping this out and showing this as part of the cost indicator, we feel, would enable a fairer comparison</w:t>
      </w:r>
    </w:p>
    <w:p w14:paraId="07B580E9" w14:textId="77777777" w:rsidR="00743E61" w:rsidRDefault="00743E61" w:rsidP="003E573C">
      <w:pPr>
        <w:rPr>
          <w:rFonts w:cs="Arial"/>
        </w:rPr>
      </w:pPr>
      <w:r w:rsidRPr="00743E61">
        <w:rPr>
          <w:rFonts w:cs="Arial"/>
        </w:rPr>
        <w:t>between PRIIPs. If possible, an estimate along with realised cost could be shown.</w:t>
      </w:r>
    </w:p>
    <w:permEnd w:id="1904159355"/>
    <w:p w14:paraId="591F1D38" w14:textId="77777777" w:rsidR="003E573C" w:rsidRDefault="003E573C" w:rsidP="003E573C">
      <w:pPr>
        <w:rPr>
          <w:rFonts w:cs="Arial"/>
        </w:rPr>
      </w:pPr>
      <w:r>
        <w:rPr>
          <w:rFonts w:cs="Arial"/>
        </w:rPr>
        <w:t>&lt;ESA_QUESTION_PKID_38&gt;</w:t>
      </w:r>
    </w:p>
    <w:p w14:paraId="19B0DE7D" w14:textId="77777777" w:rsidR="003E573C" w:rsidRDefault="003E573C" w:rsidP="003E573C">
      <w:pPr>
        <w:rPr>
          <w:rFonts w:cs="Arial"/>
        </w:rPr>
      </w:pPr>
    </w:p>
    <w:p w14:paraId="31541F87"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034A47C7" w14:textId="77777777" w:rsidR="003E573C" w:rsidRDefault="003E573C" w:rsidP="003E573C">
      <w:pPr>
        <w:rPr>
          <w:rFonts w:cs="Arial"/>
        </w:rPr>
      </w:pPr>
      <w:r>
        <w:rPr>
          <w:rFonts w:cs="Arial"/>
        </w:rPr>
        <w:t>&lt;ESA_QUESTION_PKID_39&gt;</w:t>
      </w:r>
    </w:p>
    <w:p w14:paraId="53B04694" w14:textId="77777777" w:rsidR="003E573C" w:rsidRDefault="003E573C" w:rsidP="003E573C">
      <w:pPr>
        <w:rPr>
          <w:rFonts w:cs="Arial"/>
        </w:rPr>
      </w:pPr>
      <w:permStart w:id="1243438217" w:edGrp="everyone"/>
      <w:r>
        <w:rPr>
          <w:rFonts w:cs="Arial"/>
        </w:rPr>
        <w:t>TYPE YOUR TEXT HERE</w:t>
      </w:r>
    </w:p>
    <w:permEnd w:id="1243438217"/>
    <w:p w14:paraId="2C9078D5" w14:textId="77777777" w:rsidR="003E573C" w:rsidRDefault="003E573C" w:rsidP="003E573C">
      <w:pPr>
        <w:rPr>
          <w:rFonts w:cs="Arial"/>
        </w:rPr>
      </w:pPr>
      <w:r>
        <w:rPr>
          <w:rFonts w:cs="Arial"/>
        </w:rPr>
        <w:t>&lt;ESA_QUESTION_PKID_39&gt;</w:t>
      </w:r>
    </w:p>
    <w:p w14:paraId="3D783E6C" w14:textId="77777777" w:rsidR="003E573C" w:rsidRDefault="003E573C" w:rsidP="003E573C">
      <w:pPr>
        <w:rPr>
          <w:rFonts w:cs="Arial"/>
        </w:rPr>
      </w:pPr>
    </w:p>
    <w:p w14:paraId="48FF942B" w14:textId="77777777" w:rsidR="003E573C" w:rsidRDefault="003E573C" w:rsidP="003E573C">
      <w:pPr>
        <w:pStyle w:val="Questionstyle"/>
        <w:numPr>
          <w:ilvl w:val="0"/>
          <w:numId w:val="39"/>
        </w:numPr>
      </w:pPr>
      <w:r>
        <w:t xml:space="preserve">: </w:t>
      </w:r>
      <w:r w:rsidRPr="00763760">
        <w:t>If not, which option do you prefer, and why?</w:t>
      </w:r>
    </w:p>
    <w:p w14:paraId="0FE414C9" w14:textId="77777777" w:rsidR="003E573C" w:rsidRDefault="003E573C" w:rsidP="003E573C">
      <w:pPr>
        <w:rPr>
          <w:rFonts w:cs="Arial"/>
        </w:rPr>
      </w:pPr>
      <w:r>
        <w:rPr>
          <w:rFonts w:cs="Arial"/>
        </w:rPr>
        <w:t>&lt;ESA_QUESTION_PKID_40&gt;</w:t>
      </w:r>
    </w:p>
    <w:p w14:paraId="3BFE0A5C" w14:textId="77777777" w:rsidR="00743E61" w:rsidRDefault="00743E61" w:rsidP="003E573C">
      <w:pPr>
        <w:rPr>
          <w:rFonts w:cs="Arial"/>
        </w:rPr>
      </w:pPr>
      <w:permStart w:id="1574533840" w:edGrp="everyone"/>
      <w:r w:rsidRPr="00743E61">
        <w:rPr>
          <w:rFonts w:cs="Arial"/>
        </w:rPr>
        <w:t>None of the options appears to bring a clear improvement in general but some elements might be used such as the simplification of table 1 in option 3 or option 4. As it is simpler, there is less room for confusion for the consumer. But the emphasis on monetary values is critical, as these to not translate well to different holding periods and different premium options.</w:t>
      </w:r>
    </w:p>
    <w:permEnd w:id="1574533840"/>
    <w:p w14:paraId="1BE02CC3" w14:textId="77777777" w:rsidR="003E573C" w:rsidRDefault="003E573C" w:rsidP="003E573C">
      <w:pPr>
        <w:rPr>
          <w:rFonts w:cs="Arial"/>
        </w:rPr>
      </w:pPr>
      <w:r>
        <w:rPr>
          <w:rFonts w:cs="Arial"/>
        </w:rPr>
        <w:t>&lt;ESA_QUESTION_PKID_40&gt;</w:t>
      </w:r>
    </w:p>
    <w:p w14:paraId="0221F74E" w14:textId="77777777" w:rsidR="003E573C" w:rsidRDefault="003E573C" w:rsidP="003E573C">
      <w:pPr>
        <w:rPr>
          <w:rFonts w:cs="Arial"/>
        </w:rPr>
      </w:pPr>
    </w:p>
    <w:p w14:paraId="6C19233B"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1B697B9C" w14:textId="77777777" w:rsidR="003E573C" w:rsidRDefault="003E573C" w:rsidP="003E573C">
      <w:pPr>
        <w:rPr>
          <w:rFonts w:cs="Arial"/>
        </w:rPr>
      </w:pPr>
      <w:r>
        <w:rPr>
          <w:rFonts w:cs="Arial"/>
        </w:rPr>
        <w:t>&lt;ESA_QUESTION_PKID_41&gt;</w:t>
      </w:r>
    </w:p>
    <w:p w14:paraId="38B7CCBD" w14:textId="77777777" w:rsidR="00743E61" w:rsidRDefault="00743E61" w:rsidP="003E573C">
      <w:pPr>
        <w:rPr>
          <w:rFonts w:cs="Arial"/>
        </w:rPr>
      </w:pPr>
      <w:permStart w:id="1046287492" w:edGrp="everyone"/>
      <w:r w:rsidRPr="00743E61">
        <w:rPr>
          <w:rFonts w:cs="Arial"/>
        </w:rPr>
        <w:t xml:space="preserve">Putting aside limitations around estimation of returns, presentation of cost impact pre and post cost is helpful to illustrate the impact of costs. </w:t>
      </w:r>
    </w:p>
    <w:permEnd w:id="1046287492"/>
    <w:p w14:paraId="7E3649EB" w14:textId="77777777" w:rsidR="003E573C" w:rsidRDefault="003E573C" w:rsidP="003E573C">
      <w:pPr>
        <w:rPr>
          <w:rFonts w:cs="Arial"/>
        </w:rPr>
      </w:pPr>
      <w:r>
        <w:rPr>
          <w:rFonts w:cs="Arial"/>
        </w:rPr>
        <w:t>&lt;ESA_QUESTION_PKID_41&gt;</w:t>
      </w:r>
    </w:p>
    <w:p w14:paraId="03BEC5B8" w14:textId="77777777" w:rsidR="003E573C" w:rsidRDefault="003E573C" w:rsidP="003E573C">
      <w:pPr>
        <w:rPr>
          <w:rFonts w:cs="Arial"/>
        </w:rPr>
      </w:pPr>
    </w:p>
    <w:p w14:paraId="48B3D55F"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360D79D3" w14:textId="77777777" w:rsidR="003E573C" w:rsidRDefault="003E573C" w:rsidP="003E573C">
      <w:pPr>
        <w:rPr>
          <w:rFonts w:cs="Arial"/>
        </w:rPr>
      </w:pPr>
      <w:r>
        <w:rPr>
          <w:rFonts w:cs="Arial"/>
        </w:rPr>
        <w:t>&lt;ESA_QUESTION_PKID_42&gt;</w:t>
      </w:r>
    </w:p>
    <w:p w14:paraId="3E07651A" w14:textId="77777777" w:rsidR="00743E61" w:rsidRDefault="00743E61" w:rsidP="003E573C">
      <w:pPr>
        <w:rPr>
          <w:rFonts w:cs="Arial"/>
        </w:rPr>
      </w:pPr>
      <w:permStart w:id="1349533348" w:edGrp="everyone"/>
      <w:r w:rsidRPr="00743E61">
        <w:rPr>
          <w:rFonts w:cs="Arial"/>
        </w:rPr>
        <w:t>When considering very long term products, monetary values induce a distortion, with amounts that may be very high, but could be far more advantageous than lower amounts stemming from higher fee rates, but perceived on a shorter timeframe.</w:t>
      </w:r>
    </w:p>
    <w:permEnd w:id="1349533348"/>
    <w:p w14:paraId="3CBE5AEE" w14:textId="77777777" w:rsidR="003E573C" w:rsidRDefault="003E573C" w:rsidP="003E573C">
      <w:pPr>
        <w:rPr>
          <w:rFonts w:cs="Arial"/>
        </w:rPr>
      </w:pPr>
      <w:r>
        <w:rPr>
          <w:rFonts w:cs="Arial"/>
        </w:rPr>
        <w:t>&lt;ESA_QUESTION_PKID_42&gt;</w:t>
      </w:r>
    </w:p>
    <w:p w14:paraId="6DB3370C" w14:textId="77777777" w:rsidR="003E573C" w:rsidRDefault="003E573C" w:rsidP="003E573C">
      <w:pPr>
        <w:rPr>
          <w:rFonts w:cs="Arial"/>
        </w:rPr>
      </w:pPr>
    </w:p>
    <w:p w14:paraId="0F53B85B"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19D42B3D" w14:textId="77777777" w:rsidR="003E573C" w:rsidRDefault="003E573C" w:rsidP="003E573C">
      <w:pPr>
        <w:rPr>
          <w:rFonts w:cs="Arial"/>
        </w:rPr>
      </w:pPr>
      <w:r>
        <w:rPr>
          <w:rFonts w:cs="Arial"/>
        </w:rPr>
        <w:t>&lt;ESA_QUESTION_PKID_43&gt;</w:t>
      </w:r>
    </w:p>
    <w:p w14:paraId="7B8B9521" w14:textId="77777777" w:rsidR="00743E61" w:rsidRPr="00743E61" w:rsidRDefault="00743E61" w:rsidP="00743E61">
      <w:pPr>
        <w:rPr>
          <w:rFonts w:cs="Arial"/>
        </w:rPr>
      </w:pPr>
      <w:permStart w:id="564862354" w:edGrp="everyone"/>
      <w:r w:rsidRPr="00743E61">
        <w:rPr>
          <w:rFonts w:cs="Arial"/>
        </w:rPr>
        <w:t xml:space="preserve">It would be difficult to set specific levels of thresholds across all PRIIPs given the differences in underlying assets and strategies. A buy and hold credit strategy would have and should have very different thresholds to an active credit strategy. In addition, the active credit strategy could in theory go through a period where it behaves more like a buy and hold credit strategy. This means that it is hard to have pre-set thresholds in place to accurately capture transaction costs. </w:t>
      </w:r>
    </w:p>
    <w:p w14:paraId="34E50841" w14:textId="77777777" w:rsidR="00743E61" w:rsidRPr="00743E61" w:rsidRDefault="00743E61" w:rsidP="00743E61">
      <w:pPr>
        <w:rPr>
          <w:rFonts w:cs="Arial"/>
        </w:rPr>
      </w:pPr>
      <w:r w:rsidRPr="00743E61">
        <w:rPr>
          <w:rFonts w:cs="Arial"/>
        </w:rPr>
        <w:t xml:space="preserve">Furthermore, the problem with thresholds is that verification mechanisms must be put in place when the threshold is reached. In this case, the complete system must also be implemented in IT terms. In this respect, threshold values do not reduce the testing and implementation effort. </w:t>
      </w:r>
    </w:p>
    <w:p w14:paraId="517A636E" w14:textId="77777777" w:rsidR="00743E61" w:rsidRDefault="00743E61" w:rsidP="003E573C">
      <w:pPr>
        <w:rPr>
          <w:rFonts w:cs="Arial"/>
        </w:rPr>
      </w:pPr>
      <w:r w:rsidRPr="00743E61">
        <w:rPr>
          <w:rFonts w:cs="Arial"/>
        </w:rPr>
        <w:t xml:space="preserve">We note that the slippage methodology also captures market impact – in volatile market environments (or for volatile assets), this can be a big component of costs which means that any estimate of costs on this basis would not be a fair reflection of future costs. We propose that "slippage" should be removed from the calculation and just physical, well-understood and easily accessible transaction costs (e.g. stamp duty, broker fees, custody fees, etc.) should be shown. </w:t>
      </w:r>
    </w:p>
    <w:permEnd w:id="564862354"/>
    <w:p w14:paraId="5F45472E" w14:textId="77777777" w:rsidR="003E573C" w:rsidRDefault="003E573C" w:rsidP="003E573C">
      <w:pPr>
        <w:rPr>
          <w:rFonts w:cs="Arial"/>
        </w:rPr>
      </w:pPr>
      <w:r>
        <w:rPr>
          <w:rFonts w:cs="Arial"/>
        </w:rPr>
        <w:t>&lt;ESA_QUESTION_PKID_43&gt;</w:t>
      </w:r>
    </w:p>
    <w:p w14:paraId="7FC88FD7" w14:textId="77777777" w:rsidR="003E573C" w:rsidRDefault="003E573C" w:rsidP="003E573C">
      <w:pPr>
        <w:rPr>
          <w:rFonts w:cs="Arial"/>
        </w:rPr>
      </w:pPr>
    </w:p>
    <w:p w14:paraId="4C432D08"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4823648C" w14:textId="77777777" w:rsidR="003E573C" w:rsidRDefault="003E573C" w:rsidP="003E573C">
      <w:pPr>
        <w:rPr>
          <w:rFonts w:cs="Arial"/>
        </w:rPr>
      </w:pPr>
      <w:r>
        <w:rPr>
          <w:rFonts w:cs="Arial"/>
        </w:rPr>
        <w:t>&lt;ESA_QUESTION_PKID_44&gt;</w:t>
      </w:r>
    </w:p>
    <w:p w14:paraId="10D52422" w14:textId="77777777" w:rsidR="00743E61" w:rsidRDefault="00743E61" w:rsidP="003E573C">
      <w:pPr>
        <w:rPr>
          <w:rFonts w:cs="Arial"/>
        </w:rPr>
      </w:pPr>
      <w:permStart w:id="1676502021" w:edGrp="everyone"/>
      <w:r w:rsidRPr="00743E61">
        <w:rPr>
          <w:rFonts w:cs="Arial"/>
        </w:rPr>
        <w:t>AAE shares the view that the coexistence of two documents for the same product, that would not be disclosed under the same circumstances according to the regulation framework to be observed through the distribution process, would result in most confusion for the consumer. The KID is a well-known document with a long track record, and that proved to give a satisfactorily information to the consumer</w:t>
      </w:r>
    </w:p>
    <w:permEnd w:id="1676502021"/>
    <w:p w14:paraId="5BD7D496" w14:textId="77777777" w:rsidR="003E573C" w:rsidRDefault="003E573C" w:rsidP="003E573C">
      <w:pPr>
        <w:rPr>
          <w:rFonts w:cs="Arial"/>
        </w:rPr>
      </w:pPr>
      <w:r>
        <w:rPr>
          <w:rFonts w:cs="Arial"/>
        </w:rPr>
        <w:t>&lt;ESA_QUESTION_PKID_44&gt;</w:t>
      </w:r>
    </w:p>
    <w:p w14:paraId="02036D17" w14:textId="77777777" w:rsidR="003E573C" w:rsidRDefault="003E573C" w:rsidP="003E573C">
      <w:pPr>
        <w:rPr>
          <w:rFonts w:cs="Arial"/>
        </w:rPr>
      </w:pPr>
    </w:p>
    <w:p w14:paraId="587CC2BA"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45473C54" w14:textId="77777777" w:rsidR="003E573C" w:rsidRDefault="003E573C" w:rsidP="003E573C">
      <w:pPr>
        <w:rPr>
          <w:rFonts w:cs="Arial"/>
        </w:rPr>
      </w:pPr>
      <w:r>
        <w:rPr>
          <w:rFonts w:cs="Arial"/>
        </w:rPr>
        <w:t>&lt;ESA_QUESTION_PKID_45&gt;</w:t>
      </w:r>
    </w:p>
    <w:p w14:paraId="58E23C6E" w14:textId="77777777" w:rsidR="003E573C" w:rsidRDefault="003E573C" w:rsidP="003E573C">
      <w:pPr>
        <w:rPr>
          <w:rFonts w:cs="Arial"/>
        </w:rPr>
      </w:pPr>
      <w:permStart w:id="738149207" w:edGrp="everyone"/>
      <w:r>
        <w:rPr>
          <w:rFonts w:cs="Arial"/>
        </w:rPr>
        <w:t>TYPE YOUR TEXT HERE</w:t>
      </w:r>
    </w:p>
    <w:permEnd w:id="738149207"/>
    <w:p w14:paraId="7A352099" w14:textId="77777777" w:rsidR="003E573C" w:rsidRDefault="003E573C" w:rsidP="003E573C">
      <w:pPr>
        <w:rPr>
          <w:rFonts w:cs="Arial"/>
        </w:rPr>
      </w:pPr>
      <w:r>
        <w:rPr>
          <w:rFonts w:cs="Arial"/>
        </w:rPr>
        <w:t>&lt;ESA_QUESTION_PKID_45&gt;</w:t>
      </w:r>
    </w:p>
    <w:p w14:paraId="63308936" w14:textId="77777777" w:rsidR="003E573C" w:rsidRDefault="003E573C" w:rsidP="003E573C">
      <w:pPr>
        <w:rPr>
          <w:rFonts w:cs="Arial"/>
        </w:rPr>
      </w:pPr>
    </w:p>
    <w:p w14:paraId="580CD1BB"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ED6C919" w14:textId="77777777" w:rsidR="003E573C" w:rsidRDefault="003E573C" w:rsidP="003E573C">
      <w:pPr>
        <w:rPr>
          <w:rFonts w:cs="Arial"/>
        </w:rPr>
      </w:pPr>
      <w:r>
        <w:rPr>
          <w:rFonts w:cs="Arial"/>
        </w:rPr>
        <w:t>&lt;ESA_QUESTION_PKID_46&gt;</w:t>
      </w:r>
    </w:p>
    <w:p w14:paraId="10EDBFF1" w14:textId="77777777" w:rsidR="003E573C" w:rsidRDefault="003E573C" w:rsidP="003E573C">
      <w:pPr>
        <w:rPr>
          <w:rFonts w:cs="Arial"/>
        </w:rPr>
      </w:pPr>
      <w:permStart w:id="690782197" w:edGrp="everyone"/>
      <w:r>
        <w:rPr>
          <w:rFonts w:cs="Arial"/>
        </w:rPr>
        <w:t>TYPE YOUR TEXT HERE</w:t>
      </w:r>
    </w:p>
    <w:permEnd w:id="690782197"/>
    <w:p w14:paraId="0BE93DC5" w14:textId="77777777" w:rsidR="003E573C" w:rsidRDefault="003E573C" w:rsidP="003E573C">
      <w:pPr>
        <w:rPr>
          <w:rFonts w:cs="Arial"/>
        </w:rPr>
      </w:pPr>
      <w:r>
        <w:rPr>
          <w:rFonts w:cs="Arial"/>
        </w:rPr>
        <w:t>&lt;ESA_QUESTION_PKID_46&gt;</w:t>
      </w:r>
    </w:p>
    <w:p w14:paraId="0DF37168" w14:textId="77777777" w:rsidR="003E573C" w:rsidRDefault="003E573C" w:rsidP="003E573C">
      <w:pPr>
        <w:rPr>
          <w:rFonts w:cs="Arial"/>
        </w:rPr>
      </w:pPr>
    </w:p>
    <w:p w14:paraId="4F525728"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24E67219" w14:textId="77777777" w:rsidR="003E573C" w:rsidRDefault="003E573C" w:rsidP="003E573C">
      <w:pPr>
        <w:rPr>
          <w:rFonts w:cs="Arial"/>
        </w:rPr>
      </w:pPr>
      <w:r>
        <w:rPr>
          <w:rFonts w:cs="Arial"/>
        </w:rPr>
        <w:t>&lt;ESA_QUESTION_PKID_47&gt;</w:t>
      </w:r>
    </w:p>
    <w:p w14:paraId="37B3F762" w14:textId="77777777" w:rsidR="003E573C" w:rsidRDefault="003E573C" w:rsidP="003E573C">
      <w:pPr>
        <w:rPr>
          <w:rFonts w:cs="Arial"/>
        </w:rPr>
      </w:pPr>
      <w:permStart w:id="1498366545" w:edGrp="everyone"/>
      <w:r>
        <w:rPr>
          <w:rFonts w:cs="Arial"/>
        </w:rPr>
        <w:t>TYPE YOUR TEXT HERE</w:t>
      </w:r>
    </w:p>
    <w:permEnd w:id="1498366545"/>
    <w:p w14:paraId="0E263D53" w14:textId="77777777" w:rsidR="003E573C" w:rsidRDefault="003E573C" w:rsidP="003E573C">
      <w:pPr>
        <w:rPr>
          <w:rFonts w:cs="Arial"/>
        </w:rPr>
      </w:pPr>
      <w:r>
        <w:rPr>
          <w:rFonts w:cs="Arial"/>
        </w:rPr>
        <w:t>&lt;ESA_QUESTION_PKID_47&gt;</w:t>
      </w:r>
    </w:p>
    <w:p w14:paraId="6C0B6102" w14:textId="77777777" w:rsidR="003E573C" w:rsidRDefault="003E573C" w:rsidP="003E573C">
      <w:pPr>
        <w:rPr>
          <w:rFonts w:cs="Arial"/>
        </w:rPr>
      </w:pPr>
    </w:p>
    <w:p w14:paraId="0B956AFD"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7E3616B1" w14:textId="77777777" w:rsidR="003E573C" w:rsidRDefault="003E573C" w:rsidP="003E573C">
      <w:pPr>
        <w:rPr>
          <w:rFonts w:cs="Arial"/>
        </w:rPr>
      </w:pPr>
      <w:r>
        <w:rPr>
          <w:rFonts w:cs="Arial"/>
        </w:rPr>
        <w:t>&lt;ESA_QUESTION_PKID_48&gt;</w:t>
      </w:r>
    </w:p>
    <w:p w14:paraId="7C1179A3" w14:textId="77777777" w:rsidR="003E573C" w:rsidRDefault="003E573C" w:rsidP="003E573C">
      <w:pPr>
        <w:rPr>
          <w:rFonts w:cs="Arial"/>
        </w:rPr>
      </w:pPr>
      <w:permStart w:id="1209499351" w:edGrp="everyone"/>
      <w:r>
        <w:rPr>
          <w:rFonts w:cs="Arial"/>
        </w:rPr>
        <w:t>TYPE YOUR TEXT HERE</w:t>
      </w:r>
    </w:p>
    <w:permEnd w:id="1209499351"/>
    <w:p w14:paraId="45744D70" w14:textId="77777777" w:rsidR="003E573C" w:rsidRDefault="003E573C" w:rsidP="003E573C">
      <w:pPr>
        <w:rPr>
          <w:rFonts w:cs="Arial"/>
        </w:rPr>
      </w:pPr>
      <w:r>
        <w:rPr>
          <w:rFonts w:cs="Arial"/>
        </w:rPr>
        <w:t>&lt;ESA_QUESTION_PKID_48&gt;</w:t>
      </w:r>
    </w:p>
    <w:p w14:paraId="19CB98D5" w14:textId="77777777" w:rsidR="003E573C" w:rsidRDefault="003E573C" w:rsidP="003E573C">
      <w:pPr>
        <w:rPr>
          <w:rFonts w:cs="Arial"/>
        </w:rPr>
      </w:pPr>
    </w:p>
    <w:p w14:paraId="32B2E05F"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135670CF" w14:textId="77777777" w:rsidR="003E573C" w:rsidRDefault="003E573C" w:rsidP="003E573C">
      <w:pPr>
        <w:rPr>
          <w:rFonts w:cs="Arial"/>
        </w:rPr>
      </w:pPr>
      <w:r>
        <w:rPr>
          <w:rFonts w:cs="Arial"/>
        </w:rPr>
        <w:t>&lt;ESA_QUESTION_PKID_49&gt;</w:t>
      </w:r>
    </w:p>
    <w:p w14:paraId="763275EF" w14:textId="77777777" w:rsidR="003E573C" w:rsidRDefault="003E573C" w:rsidP="003E573C">
      <w:pPr>
        <w:rPr>
          <w:rFonts w:cs="Arial"/>
        </w:rPr>
      </w:pPr>
      <w:permStart w:id="76440278" w:edGrp="everyone"/>
      <w:r>
        <w:rPr>
          <w:rFonts w:cs="Arial"/>
        </w:rPr>
        <w:t>TYPE YOUR TEXT HERE</w:t>
      </w:r>
    </w:p>
    <w:permEnd w:id="76440278"/>
    <w:p w14:paraId="08E34FA2" w14:textId="77777777" w:rsidR="003E573C" w:rsidRDefault="003E573C" w:rsidP="003E573C">
      <w:pPr>
        <w:rPr>
          <w:rFonts w:cs="Arial"/>
        </w:rPr>
      </w:pPr>
      <w:r>
        <w:rPr>
          <w:rFonts w:cs="Arial"/>
        </w:rPr>
        <w:t>&lt;ESA_QUESTION_PKID_49&gt;</w:t>
      </w:r>
    </w:p>
    <w:p w14:paraId="1372AC6E" w14:textId="77777777" w:rsidR="003E573C" w:rsidRDefault="003E573C" w:rsidP="003E573C">
      <w:pPr>
        <w:rPr>
          <w:rFonts w:cs="Arial"/>
        </w:rPr>
      </w:pPr>
    </w:p>
    <w:p w14:paraId="314DC2BE"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F34B124" w14:textId="77777777" w:rsidR="003E573C" w:rsidRDefault="003E573C" w:rsidP="003E573C">
      <w:pPr>
        <w:rPr>
          <w:rFonts w:cs="Arial"/>
        </w:rPr>
      </w:pPr>
      <w:r>
        <w:rPr>
          <w:rFonts w:cs="Arial"/>
        </w:rPr>
        <w:t>&lt;ESA_QUESTION_PKID_50&gt;</w:t>
      </w:r>
    </w:p>
    <w:p w14:paraId="737C7BCE" w14:textId="77777777" w:rsidR="00743E61" w:rsidRDefault="00743E61" w:rsidP="003E573C">
      <w:pPr>
        <w:rPr>
          <w:rFonts w:cs="Arial"/>
        </w:rPr>
      </w:pPr>
      <w:permStart w:id="1096509988" w:edGrp="everyone"/>
      <w:r w:rsidRPr="00743E61">
        <w:rPr>
          <w:rFonts w:cs="Arial"/>
        </w:rPr>
        <w:t>The proposal put forward (selection of up to 4 options or a combination of options usually used) once again raises the issue of comparability between insurers and is in contradiction (risk) with the duty to provide advice (that require to encompass any suitable solution to the client needs). Whenever there are no packaged solution proposed by the insurance contract (such as standard portfolio) but only an allocation  left to the client's discretion, the options would result in selecting 4 underlyings (such as : the general account/Euro fund and three popular UCITs) on the single basis of their selling figures, which is meaningless since each isolated underlying option can generally not match the consumer needs, that requires a diversified investment.</w:t>
      </w:r>
    </w:p>
    <w:permEnd w:id="1096509988"/>
    <w:p w14:paraId="09A683DA" w14:textId="77777777" w:rsidR="003E573C" w:rsidRDefault="003E573C" w:rsidP="003E573C">
      <w:pPr>
        <w:rPr>
          <w:rFonts w:cs="Arial"/>
        </w:rPr>
      </w:pPr>
      <w:r>
        <w:rPr>
          <w:rFonts w:cs="Arial"/>
        </w:rPr>
        <w:t>&lt;ESA_QUESTION_PKID_50&gt;</w:t>
      </w:r>
    </w:p>
    <w:p w14:paraId="541CF8F8" w14:textId="77777777" w:rsidR="003E573C" w:rsidRDefault="003E573C" w:rsidP="003E573C">
      <w:pPr>
        <w:rPr>
          <w:rFonts w:cs="Arial"/>
        </w:rPr>
      </w:pPr>
    </w:p>
    <w:p w14:paraId="76881376"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5D5FA01C" w14:textId="77777777" w:rsidR="003E573C" w:rsidRDefault="003E573C" w:rsidP="003E573C">
      <w:pPr>
        <w:rPr>
          <w:rFonts w:cs="Arial"/>
        </w:rPr>
      </w:pPr>
      <w:r>
        <w:rPr>
          <w:rFonts w:cs="Arial"/>
        </w:rPr>
        <w:t>&lt;ESA_QUESTION_PKID_51&gt;</w:t>
      </w:r>
    </w:p>
    <w:p w14:paraId="388E30F5" w14:textId="77777777" w:rsidR="00743E61" w:rsidRPr="00743E61" w:rsidRDefault="00743E61" w:rsidP="00743E61">
      <w:pPr>
        <w:rPr>
          <w:rFonts w:cs="Arial"/>
        </w:rPr>
      </w:pPr>
      <w:permStart w:id="320369415" w:edGrp="everyone"/>
      <w:r w:rsidRPr="00743E61">
        <w:rPr>
          <w:rFonts w:cs="Arial"/>
        </w:rPr>
        <w:t>The documentation issued by the providers of the underlying options - whether relying on KIID or c</w:t>
      </w:r>
      <w:r>
        <w:rPr>
          <w:rFonts w:cs="Arial"/>
        </w:rPr>
        <w:t>o</w:t>
      </w:r>
      <w:r w:rsidRPr="00743E61">
        <w:rPr>
          <w:rFonts w:cs="Arial"/>
        </w:rPr>
        <w:t>nsisting in PRIIPs KID - should provide all of the necessary information. Related to the answer, there should not be significant theoretical difficulty in doing this for more than 4 investment options given that the functionality will still need to be built but the burden for data management may increase rapidly.</w:t>
      </w:r>
    </w:p>
    <w:p w14:paraId="41F8F83A" w14:textId="77777777" w:rsidR="00743E61" w:rsidRDefault="00743E61" w:rsidP="003E573C">
      <w:pPr>
        <w:rPr>
          <w:rFonts w:cs="Arial"/>
        </w:rPr>
      </w:pPr>
      <w:r w:rsidRPr="00743E61">
        <w:rPr>
          <w:rFonts w:cs="Arial"/>
        </w:rPr>
        <w:t>Furthermore, this approach will still likely lead to wide ranges and not account for combinations of the underlying investment options.  A better approach - and the only one  that can be implemented in practice in a systematic way - is to split the manufacturer's cost of the MOP from the external investment options cost, and allow the two to be added by the consumer.  This could be supplemented with an upper and lower number to show the range for the overall combination (taking care to be clear that this is not to be confused with the MOP cost only).</w:t>
      </w:r>
    </w:p>
    <w:permEnd w:id="320369415"/>
    <w:p w14:paraId="07579F04" w14:textId="77777777" w:rsidR="003E573C" w:rsidRDefault="003E573C" w:rsidP="003E573C">
      <w:pPr>
        <w:rPr>
          <w:rFonts w:cs="Arial"/>
        </w:rPr>
      </w:pPr>
      <w:r>
        <w:rPr>
          <w:rFonts w:cs="Arial"/>
        </w:rPr>
        <w:t>&lt;ESA_QUESTION_PKID_51&gt;</w:t>
      </w:r>
    </w:p>
    <w:p w14:paraId="477C1D0B" w14:textId="77777777" w:rsidR="003E573C" w:rsidRDefault="003E573C" w:rsidP="003E573C">
      <w:pPr>
        <w:rPr>
          <w:rFonts w:cs="Arial"/>
        </w:rPr>
      </w:pPr>
    </w:p>
    <w:p w14:paraId="7F72F87F"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78B4279B" w14:textId="77777777" w:rsidR="003E573C" w:rsidRDefault="003E573C" w:rsidP="003E573C">
      <w:pPr>
        <w:rPr>
          <w:rFonts w:cs="Arial"/>
        </w:rPr>
      </w:pPr>
      <w:r>
        <w:rPr>
          <w:rFonts w:cs="Arial"/>
        </w:rPr>
        <w:t>&lt;ESA_QUESTION_PKID_52&gt;</w:t>
      </w:r>
    </w:p>
    <w:p w14:paraId="32604EBC" w14:textId="77777777" w:rsidR="00743E61" w:rsidRDefault="00743E61" w:rsidP="003E573C">
      <w:pPr>
        <w:rPr>
          <w:rFonts w:cs="Arial"/>
        </w:rPr>
      </w:pPr>
      <w:permStart w:id="1901142654" w:edGrp="everyone"/>
      <w:r w:rsidRPr="00743E61">
        <w:rPr>
          <w:rFonts w:cs="Arial"/>
        </w:rPr>
        <w:t>The main risk will be misleading consumers in relation to the level of costs involved. It will be important to communicate that only the most frequent options have been used, and other costs may apply.</w:t>
      </w:r>
    </w:p>
    <w:permEnd w:id="1901142654"/>
    <w:p w14:paraId="33B94BA7" w14:textId="77777777" w:rsidR="003E573C" w:rsidRDefault="003E573C" w:rsidP="003E573C">
      <w:pPr>
        <w:rPr>
          <w:rFonts w:cs="Arial"/>
        </w:rPr>
      </w:pPr>
      <w:r>
        <w:rPr>
          <w:rFonts w:cs="Arial"/>
        </w:rPr>
        <w:t>&lt;ESA_QUESTION_PKID_52&gt;</w:t>
      </w:r>
    </w:p>
    <w:p w14:paraId="669818D6" w14:textId="77777777" w:rsidR="003E573C" w:rsidRDefault="003E573C" w:rsidP="003E573C">
      <w:pPr>
        <w:rPr>
          <w:rFonts w:cs="Arial"/>
        </w:rPr>
      </w:pPr>
    </w:p>
    <w:p w14:paraId="73FDBB68"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680B73AC" w14:textId="77777777" w:rsidR="003E573C" w:rsidRDefault="003E573C" w:rsidP="003E573C">
      <w:pPr>
        <w:rPr>
          <w:rFonts w:cs="Arial"/>
        </w:rPr>
      </w:pPr>
      <w:r>
        <w:rPr>
          <w:rFonts w:cs="Arial"/>
        </w:rPr>
        <w:t>&lt;ESA_QUESTION_PKID_53&gt;</w:t>
      </w:r>
    </w:p>
    <w:p w14:paraId="1A618718" w14:textId="77777777" w:rsidR="003E573C" w:rsidRDefault="003E573C" w:rsidP="003E573C">
      <w:pPr>
        <w:rPr>
          <w:rFonts w:cs="Arial"/>
        </w:rPr>
      </w:pPr>
      <w:permStart w:id="1433761471" w:edGrp="everyone"/>
      <w:r>
        <w:rPr>
          <w:rFonts w:cs="Arial"/>
        </w:rPr>
        <w:t>TYPE YOUR TEXT HERE</w:t>
      </w:r>
    </w:p>
    <w:permEnd w:id="1433761471"/>
    <w:p w14:paraId="2A8875FE" w14:textId="77777777" w:rsidR="003E573C" w:rsidRDefault="003E573C" w:rsidP="003E573C">
      <w:pPr>
        <w:rPr>
          <w:rFonts w:cs="Arial"/>
        </w:rPr>
      </w:pPr>
      <w:r>
        <w:rPr>
          <w:rFonts w:cs="Arial"/>
        </w:rPr>
        <w:t>&lt;ESA_QUESTION_PKID_53&gt;</w:t>
      </w:r>
    </w:p>
    <w:p w14:paraId="502355AF" w14:textId="77777777" w:rsidR="003E573C" w:rsidRDefault="003E573C" w:rsidP="003E573C">
      <w:pPr>
        <w:rPr>
          <w:rFonts w:cs="Arial"/>
        </w:rPr>
      </w:pPr>
    </w:p>
    <w:p w14:paraId="769AEE31" w14:textId="77777777" w:rsidR="003E573C" w:rsidRDefault="003E573C" w:rsidP="003E573C">
      <w:pPr>
        <w:pStyle w:val="Questionstyle"/>
        <w:numPr>
          <w:ilvl w:val="0"/>
          <w:numId w:val="39"/>
        </w:numPr>
      </w:pPr>
      <w:r>
        <w:t>: Are there other approaches or revisions to the requirements for MOPs that should be considered?</w:t>
      </w:r>
    </w:p>
    <w:p w14:paraId="30B0C2EA" w14:textId="77777777" w:rsidR="003E573C" w:rsidRDefault="003E573C" w:rsidP="003E573C">
      <w:pPr>
        <w:rPr>
          <w:rFonts w:cs="Arial"/>
        </w:rPr>
      </w:pPr>
      <w:r>
        <w:rPr>
          <w:rFonts w:cs="Arial"/>
        </w:rPr>
        <w:t>&lt;ESA_QUESTION_PKID_54&gt;</w:t>
      </w:r>
    </w:p>
    <w:p w14:paraId="08326141" w14:textId="77777777" w:rsidR="003E573C" w:rsidRDefault="003E573C" w:rsidP="003E573C">
      <w:pPr>
        <w:rPr>
          <w:rFonts w:cs="Arial"/>
        </w:rPr>
      </w:pPr>
      <w:permStart w:id="308945408" w:edGrp="everyone"/>
      <w:r>
        <w:rPr>
          <w:rFonts w:cs="Arial"/>
        </w:rPr>
        <w:t>TYPE YOUR TEXT HERE</w:t>
      </w:r>
    </w:p>
    <w:permEnd w:id="308945408"/>
    <w:p w14:paraId="0FC9B0B7" w14:textId="77777777" w:rsidR="003E573C" w:rsidRDefault="003E573C" w:rsidP="003E573C">
      <w:pPr>
        <w:rPr>
          <w:rFonts w:cs="Arial"/>
        </w:rPr>
      </w:pPr>
      <w:r>
        <w:rPr>
          <w:rFonts w:cs="Arial"/>
        </w:rPr>
        <w:t>&lt;ESA_QUESTION_PKID_54&gt;</w:t>
      </w:r>
    </w:p>
    <w:p w14:paraId="478D1580" w14:textId="77777777" w:rsidR="003E573C" w:rsidRDefault="003E573C" w:rsidP="003E573C">
      <w:pPr>
        <w:rPr>
          <w:rFonts w:cs="Arial"/>
        </w:rPr>
      </w:pPr>
    </w:p>
    <w:p w14:paraId="0A7EB21C"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39839126" w14:textId="77777777" w:rsidR="003E573C" w:rsidRDefault="003E573C" w:rsidP="003E573C">
      <w:pPr>
        <w:rPr>
          <w:rFonts w:cs="Arial"/>
        </w:rPr>
      </w:pPr>
      <w:r>
        <w:rPr>
          <w:rFonts w:cs="Arial"/>
        </w:rPr>
        <w:t>&lt;ESA_QUESTION_PKID_55&gt;</w:t>
      </w:r>
    </w:p>
    <w:p w14:paraId="07642265" w14:textId="77777777" w:rsidR="00743E61" w:rsidRPr="00743E61" w:rsidRDefault="00743E61" w:rsidP="00743E61">
      <w:pPr>
        <w:rPr>
          <w:rFonts w:cs="Arial"/>
        </w:rPr>
      </w:pPr>
      <w:permStart w:id="1351948881" w:edGrp="everyone"/>
      <w:r w:rsidRPr="00743E61">
        <w:rPr>
          <w:rFonts w:cs="Arial"/>
        </w:rPr>
        <w:t>Many of the changes proposed would result in a significant re-build of process/systems to collect data, perform calculations &amp; create documents.</w:t>
      </w:r>
    </w:p>
    <w:p w14:paraId="27882A06" w14:textId="77777777" w:rsidR="00743E61" w:rsidRDefault="00743E61" w:rsidP="003E573C">
      <w:pPr>
        <w:rPr>
          <w:rFonts w:cs="Arial"/>
        </w:rPr>
      </w:pPr>
      <w:r w:rsidRPr="00743E61">
        <w:rPr>
          <w:rFonts w:cs="Arial"/>
        </w:rPr>
        <w:t>That would lead to actuarial, IT, legal, training costs.</w:t>
      </w:r>
    </w:p>
    <w:permEnd w:id="1351948881"/>
    <w:p w14:paraId="2DC0FDE6" w14:textId="77777777" w:rsidR="003E573C" w:rsidRDefault="003E573C" w:rsidP="003E573C">
      <w:pPr>
        <w:rPr>
          <w:rFonts w:cs="Arial"/>
        </w:rPr>
      </w:pPr>
      <w:r>
        <w:rPr>
          <w:rFonts w:cs="Arial"/>
        </w:rPr>
        <w:t>&lt;ESA_QUESTION_PKID_55&gt;</w:t>
      </w:r>
    </w:p>
    <w:p w14:paraId="5FD93299" w14:textId="77777777" w:rsidR="003E573C" w:rsidRDefault="003E573C" w:rsidP="003E573C">
      <w:pPr>
        <w:rPr>
          <w:rFonts w:cs="Arial"/>
        </w:rPr>
      </w:pPr>
    </w:p>
    <w:p w14:paraId="2A7713D1"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353FF28C" w14:textId="77777777" w:rsidR="003E573C" w:rsidRDefault="003E573C" w:rsidP="003E573C">
      <w:pPr>
        <w:rPr>
          <w:rFonts w:cs="Arial"/>
        </w:rPr>
      </w:pPr>
      <w:r>
        <w:rPr>
          <w:rFonts w:cs="Arial"/>
        </w:rPr>
        <w:t>&lt;ESA_QUESTION_PKID_56&gt;</w:t>
      </w:r>
    </w:p>
    <w:p w14:paraId="7148B27B" w14:textId="77777777" w:rsidR="003E573C" w:rsidRDefault="003E573C" w:rsidP="003E573C">
      <w:pPr>
        <w:rPr>
          <w:rFonts w:cs="Arial"/>
        </w:rPr>
      </w:pPr>
      <w:permStart w:id="17446494" w:edGrp="everyone"/>
      <w:r>
        <w:rPr>
          <w:rFonts w:cs="Arial"/>
        </w:rPr>
        <w:t>TYPE YOUR TEXT HERE</w:t>
      </w:r>
    </w:p>
    <w:permEnd w:id="17446494"/>
    <w:p w14:paraId="0CF41FC8" w14:textId="77777777" w:rsidR="003E573C" w:rsidRDefault="003E573C" w:rsidP="003E573C">
      <w:pPr>
        <w:rPr>
          <w:rFonts w:cs="Arial"/>
        </w:rPr>
      </w:pPr>
      <w:r>
        <w:rPr>
          <w:rFonts w:cs="Arial"/>
        </w:rPr>
        <w:t>&lt;ESA_QUESTION_PKID_56&gt;</w:t>
      </w:r>
    </w:p>
    <w:p w14:paraId="0C740251" w14:textId="77777777" w:rsidR="003E573C" w:rsidRDefault="003E573C" w:rsidP="003E573C">
      <w:pPr>
        <w:rPr>
          <w:rFonts w:cs="Arial"/>
        </w:rPr>
      </w:pPr>
    </w:p>
    <w:p w14:paraId="59899BEA"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F2F4C95" w14:textId="77777777" w:rsidR="003E573C" w:rsidRDefault="003E573C" w:rsidP="003E573C">
      <w:pPr>
        <w:rPr>
          <w:rFonts w:cs="Arial"/>
        </w:rPr>
      </w:pPr>
      <w:r>
        <w:rPr>
          <w:rFonts w:cs="Arial"/>
        </w:rPr>
        <w:t>&lt;ESA_QUESTION_PKID_57&gt;</w:t>
      </w:r>
    </w:p>
    <w:p w14:paraId="2499AB2D" w14:textId="77777777" w:rsidR="00743E61" w:rsidRDefault="00743E61" w:rsidP="003E573C">
      <w:pPr>
        <w:rPr>
          <w:rFonts w:cs="Arial"/>
        </w:rPr>
      </w:pPr>
      <w:permStart w:id="99095753" w:edGrp="everyone"/>
      <w:r w:rsidRPr="00743E61">
        <w:rPr>
          <w:rFonts w:cs="Arial"/>
        </w:rPr>
        <w:t>actuarial, IT, legal, training costs.</w:t>
      </w:r>
    </w:p>
    <w:permEnd w:id="99095753"/>
    <w:p w14:paraId="364895EB" w14:textId="77777777" w:rsidR="003E573C" w:rsidRDefault="003E573C" w:rsidP="003E573C">
      <w:pPr>
        <w:rPr>
          <w:rFonts w:cs="Arial"/>
        </w:rPr>
      </w:pPr>
      <w:r>
        <w:rPr>
          <w:rFonts w:cs="Arial"/>
        </w:rPr>
        <w:t>&lt;ESA_QUESTION_PKID_57&gt;</w:t>
      </w:r>
    </w:p>
    <w:p w14:paraId="19AC3788" w14:textId="77777777" w:rsidR="003E573C" w:rsidRDefault="003E573C" w:rsidP="003E573C">
      <w:pPr>
        <w:rPr>
          <w:rFonts w:cs="Arial"/>
        </w:rPr>
      </w:pPr>
    </w:p>
    <w:p w14:paraId="7EDB2A1A" w14:textId="77777777" w:rsidR="003E573C" w:rsidRDefault="003E573C" w:rsidP="003E573C">
      <w:pPr>
        <w:rPr>
          <w:rFonts w:cs="Arial"/>
        </w:rPr>
      </w:pPr>
    </w:p>
    <w:p w14:paraId="38EB3583" w14:textId="77777777" w:rsidR="003E573C" w:rsidRPr="007B52B2" w:rsidRDefault="003E573C" w:rsidP="003E573C">
      <w:pPr>
        <w:rPr>
          <w:rFonts w:cs="Arial"/>
        </w:rPr>
      </w:pPr>
    </w:p>
    <w:p w14:paraId="3270A50D" w14:textId="77777777" w:rsidR="00820CBA" w:rsidRPr="00820CBA" w:rsidRDefault="00820CBA" w:rsidP="003E573C">
      <w:pPr>
        <w:pStyle w:val="Questionstyle"/>
        <w:ind w:left="720"/>
      </w:pPr>
    </w:p>
    <w:sectPr w:rsidR="00820CBA" w:rsidRPr="00820CB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CBE1" w14:textId="77777777" w:rsidR="00C8621B" w:rsidRDefault="00C8621B">
      <w:r>
        <w:separator/>
      </w:r>
    </w:p>
    <w:p w14:paraId="32AC6FF9" w14:textId="77777777" w:rsidR="00C8621B" w:rsidRDefault="00C8621B"/>
  </w:endnote>
  <w:endnote w:type="continuationSeparator" w:id="0">
    <w:p w14:paraId="56486544" w14:textId="77777777" w:rsidR="00C8621B" w:rsidRDefault="00C8621B">
      <w:r>
        <w:continuationSeparator/>
      </w:r>
    </w:p>
    <w:p w14:paraId="3261B373" w14:textId="77777777" w:rsidR="00C8621B" w:rsidRDefault="00C8621B"/>
  </w:endnote>
  <w:endnote w:type="continuationNotice" w:id="1">
    <w:p w14:paraId="2A06BFD2" w14:textId="77777777" w:rsidR="00C8621B" w:rsidRDefault="00C8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31068" w:rsidRPr="00616B9B" w14:paraId="54E3EC8C" w14:textId="77777777" w:rsidTr="00315E96">
      <w:trPr>
        <w:trHeight w:val="284"/>
      </w:trPr>
      <w:tc>
        <w:tcPr>
          <w:tcW w:w="8460" w:type="dxa"/>
        </w:tcPr>
        <w:p w14:paraId="46353823" w14:textId="77777777" w:rsidR="00C31068" w:rsidRPr="00315E96" w:rsidRDefault="00C31068" w:rsidP="00315E96">
          <w:pPr>
            <w:pStyle w:val="00Footer"/>
            <w:rPr>
              <w:lang w:val="fr-FR"/>
            </w:rPr>
          </w:pPr>
        </w:p>
      </w:tc>
      <w:tc>
        <w:tcPr>
          <w:tcW w:w="952" w:type="dxa"/>
        </w:tcPr>
        <w:p w14:paraId="02B78131" w14:textId="46F0B393" w:rsidR="00C31068" w:rsidRPr="00616B9B" w:rsidRDefault="00C31068"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4118E">
            <w:rPr>
              <w:rFonts w:cs="Arial"/>
              <w:noProof/>
              <w:sz w:val="22"/>
              <w:szCs w:val="22"/>
            </w:rPr>
            <w:t>18</w:t>
          </w:r>
          <w:r w:rsidRPr="00616B9B">
            <w:rPr>
              <w:rFonts w:cs="Arial"/>
              <w:noProof/>
              <w:sz w:val="22"/>
              <w:szCs w:val="22"/>
            </w:rPr>
            <w:fldChar w:fldCharType="end"/>
          </w:r>
        </w:p>
      </w:tc>
    </w:tr>
  </w:tbl>
  <w:p w14:paraId="46F69618" w14:textId="77777777" w:rsidR="00C31068" w:rsidRDefault="00C31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E7F9" w14:textId="77777777" w:rsidR="00C31068" w:rsidRDefault="00C31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32EE" w14:textId="77777777" w:rsidR="00C8621B" w:rsidRDefault="00C8621B">
      <w:r>
        <w:separator/>
      </w:r>
    </w:p>
    <w:p w14:paraId="6746B857" w14:textId="77777777" w:rsidR="00C8621B" w:rsidRDefault="00C8621B"/>
  </w:footnote>
  <w:footnote w:type="continuationSeparator" w:id="0">
    <w:p w14:paraId="6050ADAE" w14:textId="77777777" w:rsidR="00C8621B" w:rsidRDefault="00C8621B">
      <w:r>
        <w:continuationSeparator/>
      </w:r>
    </w:p>
    <w:p w14:paraId="1223C647" w14:textId="77777777" w:rsidR="00C8621B" w:rsidRDefault="00C8621B"/>
  </w:footnote>
  <w:footnote w:type="continuationNotice" w:id="1">
    <w:p w14:paraId="4CA8E3C1" w14:textId="77777777" w:rsidR="00C8621B" w:rsidRDefault="00C8621B"/>
  </w:footnote>
  <w:footnote w:id="2">
    <w:p w14:paraId="21930C31" w14:textId="77777777" w:rsidR="00C31068" w:rsidRPr="009E1A8D" w:rsidRDefault="00C31068"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2147779D" w14:textId="77777777" w:rsidR="00C31068" w:rsidRDefault="00C31068"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4DC48445" w14:textId="77777777" w:rsidR="00C31068" w:rsidRDefault="00C31068"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7133ACA" w14:textId="77777777" w:rsidR="00C31068" w:rsidRPr="00653F3B" w:rsidRDefault="00C31068"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87C55" w14:textId="69C4FABE" w:rsidR="00C31068" w:rsidRDefault="00C31068">
    <w:pPr>
      <w:pStyle w:val="Header"/>
    </w:pPr>
    <w:r>
      <w:rPr>
        <w:noProof/>
        <w:lang w:eastAsia="en-GB"/>
      </w:rPr>
      <w:drawing>
        <wp:inline distT="0" distB="0" distL="0" distR="0" wp14:anchorId="5D97CAB3" wp14:editId="234823D9">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inline>
      </w:drawing>
    </w:r>
    <w:r w:rsidR="00D154ED">
      <w:rPr>
        <w:noProof/>
        <w:lang w:eastAsia="en-GB"/>
      </w:rPr>
      <mc:AlternateContent>
        <mc:Choice Requires="wps">
          <w:drawing>
            <wp:anchor distT="0" distB="0" distL="114294" distR="114294" simplePos="0" relativeHeight="251656192" behindDoc="0" locked="0" layoutInCell="1" allowOverlap="1" wp14:anchorId="2194081C" wp14:editId="1D2D3132">
              <wp:simplePos x="0" y="0"/>
              <wp:positionH relativeFrom="page">
                <wp:posOffset>1548129</wp:posOffset>
              </wp:positionH>
              <wp:positionV relativeFrom="page">
                <wp:posOffset>612140</wp:posOffset>
              </wp:positionV>
              <wp:extent cx="0" cy="558165"/>
              <wp:effectExtent l="0" t="0" r="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ABA682"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90D8" w14:textId="77777777" w:rsidR="00C31068" w:rsidRDefault="00C31068" w:rsidP="00013CCE">
    <w:pPr>
      <w:pStyle w:val="Header"/>
      <w:jc w:val="right"/>
    </w:pPr>
    <w:r>
      <w:rPr>
        <w:noProof/>
        <w:lang w:eastAsia="en-GB"/>
      </w:rPr>
      <w:drawing>
        <wp:inline distT="0" distB="0" distL="0" distR="0" wp14:anchorId="4707F090" wp14:editId="16A4AEB7">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inline>
      </w:drawing>
    </w:r>
    <w:r>
      <w:rPr>
        <w:noProof/>
        <w:lang w:eastAsia="en-GB"/>
      </w:rPr>
      <w:drawing>
        <wp:anchor distT="0" distB="0" distL="114300" distR="114300" simplePos="0" relativeHeight="251655168" behindDoc="1" locked="0" layoutInCell="1" allowOverlap="1" wp14:anchorId="46CF5342" wp14:editId="1AB9EE5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36A7" w14:textId="77777777" w:rsidR="00C31068" w:rsidRDefault="00C310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31068" w:rsidRPr="002F4496" w14:paraId="725ACDD5" w14:textId="77777777" w:rsidTr="000C06C9">
      <w:trPr>
        <w:trHeight w:val="284"/>
      </w:trPr>
      <w:tc>
        <w:tcPr>
          <w:tcW w:w="8460" w:type="dxa"/>
        </w:tcPr>
        <w:p w14:paraId="30EFE120" w14:textId="77777777" w:rsidR="00C31068" w:rsidRPr="000C3B6D" w:rsidRDefault="00C31068" w:rsidP="000C06C9">
          <w:pPr>
            <w:pStyle w:val="00Footer"/>
            <w:rPr>
              <w:lang w:val="fr-FR"/>
            </w:rPr>
          </w:pPr>
        </w:p>
      </w:tc>
      <w:tc>
        <w:tcPr>
          <w:tcW w:w="952" w:type="dxa"/>
        </w:tcPr>
        <w:p w14:paraId="7D9C5AF8" w14:textId="77777777" w:rsidR="00C31068" w:rsidRPr="00146B34" w:rsidRDefault="00C31068" w:rsidP="000C06C9">
          <w:pPr>
            <w:pStyle w:val="00aPagenumber"/>
            <w:rPr>
              <w:lang w:val="fr-FR"/>
            </w:rPr>
          </w:pPr>
        </w:p>
      </w:tc>
    </w:tr>
  </w:tbl>
  <w:p w14:paraId="20975A65" w14:textId="77777777" w:rsidR="00C31068" w:rsidRPr="00DB46C3" w:rsidRDefault="00C31068">
    <w:pPr>
      <w:rPr>
        <w:lang w:val="fr-FR"/>
      </w:rPr>
    </w:pPr>
  </w:p>
  <w:p w14:paraId="69738B76" w14:textId="77777777" w:rsidR="00C31068" w:rsidRPr="002F4496" w:rsidRDefault="00C31068">
    <w:pPr>
      <w:pStyle w:val="Header"/>
      <w:rPr>
        <w:lang w:val="fr-FR"/>
      </w:rPr>
    </w:pPr>
  </w:p>
  <w:p w14:paraId="10BA259B" w14:textId="77777777" w:rsidR="00C31068" w:rsidRPr="002F4496" w:rsidRDefault="00C31068" w:rsidP="000C06C9">
    <w:pPr>
      <w:pStyle w:val="Header"/>
      <w:tabs>
        <w:tab w:val="clear" w:pos="4536"/>
        <w:tab w:val="clear" w:pos="9072"/>
        <w:tab w:val="left" w:pos="8227"/>
      </w:tabs>
      <w:rPr>
        <w:lang w:val="fr-FR"/>
      </w:rPr>
    </w:pPr>
  </w:p>
  <w:p w14:paraId="504168D3" w14:textId="77777777" w:rsidR="00C31068" w:rsidRPr="002F4496" w:rsidRDefault="00C31068" w:rsidP="000C06C9">
    <w:pPr>
      <w:pStyle w:val="Header"/>
      <w:tabs>
        <w:tab w:val="clear" w:pos="4536"/>
        <w:tab w:val="clear" w:pos="9072"/>
        <w:tab w:val="left" w:pos="8227"/>
      </w:tabs>
      <w:rPr>
        <w:lang w:val="fr-FR"/>
      </w:rPr>
    </w:pPr>
  </w:p>
  <w:p w14:paraId="785F455C" w14:textId="77777777" w:rsidR="00C31068" w:rsidRPr="002F4496" w:rsidRDefault="00C31068">
    <w:pPr>
      <w:pStyle w:val="Header"/>
      <w:rPr>
        <w:lang w:val="fr-FR"/>
      </w:rPr>
    </w:pPr>
  </w:p>
  <w:p w14:paraId="79F4CB09" w14:textId="77777777" w:rsidR="00C31068" w:rsidRPr="002F4496" w:rsidRDefault="00C31068">
    <w:pPr>
      <w:pStyle w:val="Header"/>
      <w:rPr>
        <w:lang w:val="fr-FR"/>
      </w:rPr>
    </w:pPr>
  </w:p>
  <w:p w14:paraId="3F1E18C6" w14:textId="77777777" w:rsidR="00C31068" w:rsidRPr="002F4496" w:rsidRDefault="00C31068">
    <w:pPr>
      <w:pStyle w:val="Header"/>
      <w:rPr>
        <w:lang w:val="fr-FR"/>
      </w:rPr>
    </w:pPr>
  </w:p>
  <w:p w14:paraId="00A92B31" w14:textId="77777777" w:rsidR="00C31068" w:rsidRPr="002F4496" w:rsidRDefault="00C31068">
    <w:pPr>
      <w:pStyle w:val="Header"/>
      <w:rPr>
        <w:lang w:val="fr-FR"/>
      </w:rPr>
    </w:pPr>
  </w:p>
  <w:p w14:paraId="74EAA04F" w14:textId="77777777" w:rsidR="00C31068" w:rsidRPr="002F4496" w:rsidRDefault="00C31068">
    <w:pPr>
      <w:pStyle w:val="Header"/>
      <w:rPr>
        <w:highlight w:val="yellow"/>
        <w:lang w:val="fr-FR"/>
      </w:rPr>
    </w:pPr>
  </w:p>
  <w:p w14:paraId="6814E8AA" w14:textId="30699164" w:rsidR="00C31068" w:rsidRDefault="00D154ED">
    <w:pPr>
      <w:pStyle w:val="Header"/>
    </w:pPr>
    <w:r>
      <w:rPr>
        <w:noProof/>
        <w:lang w:eastAsia="en-GB"/>
      </w:rPr>
      <mc:AlternateContent>
        <mc:Choice Requires="wps">
          <w:drawing>
            <wp:anchor distT="0" distB="0" distL="114298" distR="114298" simplePos="0" relativeHeight="251660288" behindDoc="0" locked="0" layoutInCell="1" allowOverlap="1" wp14:anchorId="69F9072C" wp14:editId="7F1053BE">
              <wp:simplePos x="0" y="0"/>
              <wp:positionH relativeFrom="page">
                <wp:posOffset>5040629</wp:posOffset>
              </wp:positionH>
              <wp:positionV relativeFrom="page">
                <wp:posOffset>612140</wp:posOffset>
              </wp:positionV>
              <wp:extent cx="0" cy="899795"/>
              <wp:effectExtent l="0" t="0" r="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BFBF9"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C31068">
      <w:rPr>
        <w:noProof/>
        <w:lang w:eastAsia="en-GB"/>
      </w:rPr>
      <w:drawing>
        <wp:inline distT="0" distB="0" distL="0" distR="0" wp14:anchorId="11950A17" wp14:editId="1DB0C570">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6A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6B5"/>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07B"/>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3E61"/>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97A71"/>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58CC"/>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C3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248"/>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068"/>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16A3"/>
    <w:rsid w:val="00C85387"/>
    <w:rsid w:val="00C85E52"/>
    <w:rsid w:val="00C8621B"/>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54ED"/>
    <w:rsid w:val="00D16EDC"/>
    <w:rsid w:val="00D17FDE"/>
    <w:rsid w:val="00D201CB"/>
    <w:rsid w:val="00D22786"/>
    <w:rsid w:val="00D228B4"/>
    <w:rsid w:val="00D2526E"/>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1C4"/>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18E"/>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370"/>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7CA5AF56"/>
  <w15:docId w15:val="{1D8D0814-B648-488C-AAA3-40FC95E7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sma.europa.eu/legal-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iopa.europa.eu/Pages/Links/Legal-notice.aspx" TargetMode="External"/><Relationship Id="rId2" Type="http://schemas.openxmlformats.org/officeDocument/2006/relationships/customXml" Target="../customXml/item2.xml"/><Relationship Id="rId16" Type="http://schemas.openxmlformats.org/officeDocument/2006/relationships/hyperlink" Target="http://www.eba.europa.eu/legal-notic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press-news/consulta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6E02ABDF8AE40A422BB8A7F93200D" ma:contentTypeVersion="10" ma:contentTypeDescription="Crée un document." ma:contentTypeScope="" ma:versionID="85110a1f4dd783e75bbc8f97317ed743">
  <xsd:schema xmlns:xsd="http://www.w3.org/2001/XMLSchema" xmlns:xs="http://www.w3.org/2001/XMLSchema" xmlns:p="http://schemas.microsoft.com/office/2006/metadata/properties" xmlns:ns3="29b7235a-3dfc-4bd9-ab60-76d7383e91c2" xmlns:ns4="eefc78b4-efbc-40eb-8080-0ed98ffd5c4c" targetNamespace="http://schemas.microsoft.com/office/2006/metadata/properties" ma:root="true" ma:fieldsID="5cbe8eb23dbb572aa49abeebaafe8b72" ns3:_="" ns4:_="">
    <xsd:import namespace="29b7235a-3dfc-4bd9-ab60-76d7383e91c2"/>
    <xsd:import namespace="eefc78b4-efbc-40eb-8080-0ed98ffd5c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235a-3dfc-4bd9-ab60-76d7383e9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c78b4-efbc-40eb-8080-0ed98ffd5c4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5886-2141-4D8D-B417-25BCCA8B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235a-3dfc-4bd9-ab60-76d7383e91c2"/>
    <ds:schemaRef ds:uri="eefc78b4-efbc-40eb-8080-0ed98ffd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29b7235a-3dfc-4bd9-ab60-76d7383e91c2"/>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eefc78b4-efbc-40eb-8080-0ed98ffd5c4c"/>
    <ds:schemaRef ds:uri="http://www.w3.org/XML/1998/namespace"/>
    <ds:schemaRef ds:uri="http://purl.org/dc/dcmitype/"/>
  </ds:schemaRefs>
</ds:datastoreItem>
</file>

<file path=customXml/itemProps4.xml><?xml version="1.0" encoding="utf-8"?>
<ds:datastoreItem xmlns:ds="http://schemas.openxmlformats.org/officeDocument/2006/customXml" ds:itemID="{B6427FA0-3FA8-4B48-BEAA-D685A55494C2}">
  <ds:schemaRefs>
    <ds:schemaRef ds:uri="http://schemas.openxmlformats.org/officeDocument/2006/bibliography"/>
  </ds:schemaRefs>
</ds:datastoreItem>
</file>

<file path=customXml/itemProps5.xml><?xml version="1.0" encoding="utf-8"?>
<ds:datastoreItem xmlns:ds="http://schemas.openxmlformats.org/officeDocument/2006/customXml" ds:itemID="{88A734C2-E03E-4836-95CC-17F8AAE0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6889</Words>
  <Characters>38022</Characters>
  <Application>Microsoft Office Word</Application>
  <DocSecurity>12</DocSecurity>
  <Lines>316</Lines>
  <Paragraphs>89</Paragraphs>
  <ScaleCrop>false</ScaleCrop>
  <HeadingPairs>
    <vt:vector size="10"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44822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Monique Schuilenburg</cp:lastModifiedBy>
  <cp:revision>2</cp:revision>
  <cp:lastPrinted>2015-02-18T11:01:00Z</cp:lastPrinted>
  <dcterms:created xsi:type="dcterms:W3CDTF">2020-01-13T14:26:00Z</dcterms:created>
  <dcterms:modified xsi:type="dcterms:W3CDTF">2020-01-13T14:26:00Z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0x01010088F6E02ABDF8AE40A422BB8A7F93200D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