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rsidTr="00210E59">
        <w:trPr>
          <w:trHeight w:hRule="exact" w:val="1620"/>
        </w:trPr>
        <w:tc>
          <w:tcPr>
            <w:tcW w:w="10051" w:type="dxa"/>
            <w:vAlign w:val="bottom"/>
          </w:tcPr>
          <w:p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rsidR="006F4535" w:rsidRPr="009A053D" w:rsidRDefault="006F4535" w:rsidP="00210E59">
            <w:pPr>
              <w:pStyle w:val="01aDBTitle"/>
              <w:jc w:val="left"/>
              <w:rPr>
                <w:rFonts w:cs="Arial"/>
                <w:sz w:val="32"/>
              </w:rPr>
            </w:pPr>
          </w:p>
        </w:tc>
      </w:tr>
      <w:tr w:rsidR="006F4535" w:rsidRPr="00616B9B" w:rsidTr="00210E59">
        <w:trPr>
          <w:trHeight w:hRule="exact" w:val="809"/>
        </w:trPr>
        <w:tc>
          <w:tcPr>
            <w:tcW w:w="10051"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rsidR="00704EED" w:rsidRPr="004E49B0" w:rsidRDefault="00704EED" w:rsidP="00337A3F">
            <w:pPr>
              <w:pStyle w:val="02Date"/>
              <w:rPr>
                <w:rFonts w:cs="Arial"/>
              </w:rPr>
            </w:pPr>
            <w:r>
              <w:rPr>
                <w:rFonts w:cs="Arial"/>
                <w:shd w:val="clear" w:color="auto" w:fill="FFFFFF" w:themeFill="background1"/>
              </w:rPr>
              <w:t>ESMA 30-201-535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rsidR="00197794" w:rsidRPr="00197794" w:rsidRDefault="00197794" w:rsidP="00197794">
      <w:pPr>
        <w:jc w:val="both"/>
        <w:rPr>
          <w:rStyle w:val="SchwacheHervorhebung"/>
          <w:b w:val="0"/>
          <w:sz w:val="22"/>
        </w:rPr>
      </w:pPr>
    </w:p>
    <w:p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rsidR="00197794" w:rsidRDefault="00197794" w:rsidP="00197794">
      <w:pPr>
        <w:jc w:val="both"/>
        <w:rPr>
          <w:rStyle w:val="SchwacheHervorhebung"/>
          <w:b w:val="0"/>
          <w:sz w:val="22"/>
        </w:rPr>
      </w:pPr>
    </w:p>
    <w:p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rsidR="00197794" w:rsidRDefault="00197794" w:rsidP="00197794">
      <w:pPr>
        <w:jc w:val="both"/>
        <w:rPr>
          <w:rStyle w:val="SchwacheHervorhebung"/>
          <w:b w:val="0"/>
          <w:sz w:val="22"/>
        </w:rPr>
      </w:pPr>
    </w:p>
    <w:p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w:t>
      </w:r>
      <w:r w:rsidRPr="00197794">
        <w:rPr>
          <w:rStyle w:val="SchwacheHervorhebung"/>
          <w:b w:val="0"/>
          <w:sz w:val="22"/>
        </w:rPr>
        <w:t>u</w:t>
      </w:r>
      <w:r w:rsidRPr="00197794">
        <w:rPr>
          <w:rStyle w:val="SchwacheHervorhebung"/>
          <w:b w:val="0"/>
          <w:sz w:val="22"/>
        </w:rPr>
        <w:t xml:space="preserve">lation”). </w:t>
      </w:r>
    </w:p>
    <w:p w:rsidR="00EC1154" w:rsidRDefault="00EC1154" w:rsidP="00AF38AF">
      <w:pPr>
        <w:rPr>
          <w:rStyle w:val="SchwacheHervorhebung"/>
          <w:b w:val="0"/>
          <w:sz w:val="22"/>
        </w:rPr>
      </w:pPr>
    </w:p>
    <w:p w:rsidR="009A3017" w:rsidRPr="00E40A5C" w:rsidRDefault="009A3017" w:rsidP="009A3017">
      <w:pPr>
        <w:spacing w:after="120"/>
        <w:jc w:val="both"/>
        <w:rPr>
          <w:rStyle w:val="SchwacheHervorhebung"/>
          <w:sz w:val="22"/>
        </w:rPr>
      </w:pPr>
      <w:r w:rsidRPr="00E40A5C">
        <w:rPr>
          <w:rStyle w:val="SchwacheHervorhebung"/>
          <w:sz w:val="22"/>
        </w:rPr>
        <w:t>Instructions</w:t>
      </w:r>
    </w:p>
    <w:p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t>
      </w:r>
      <w:r w:rsidRPr="00E40A5C">
        <w:rPr>
          <w:rStyle w:val="SchwacheHervorhebung"/>
          <w:b w:val="0"/>
          <w:sz w:val="22"/>
        </w:rPr>
        <w:t>w</w:t>
      </w:r>
      <w:r w:rsidRPr="00E40A5C">
        <w:rPr>
          <w:rStyle w:val="SchwacheHervorhebung"/>
          <w:b w:val="0"/>
          <w:sz w:val="22"/>
        </w:rPr>
        <w:t>ing convention: ESA_</w:t>
      </w:r>
      <w:r w:rsidR="00197794">
        <w:rPr>
          <w:rStyle w:val="SchwacheHervorhebung"/>
          <w:b w:val="0"/>
          <w:sz w:val="22"/>
        </w:rPr>
        <w:t>PKID</w:t>
      </w:r>
      <w:r w:rsidRPr="00E40A5C">
        <w:rPr>
          <w:rStyle w:val="SchwacheHervorhebung"/>
          <w:b w:val="0"/>
          <w:sz w:val="22"/>
        </w:rPr>
        <w:t>_nameofrespondent_RESPONSEFORM. For example, for a r</w:t>
      </w:r>
      <w:r w:rsidRPr="00E40A5C">
        <w:rPr>
          <w:rStyle w:val="SchwacheHervorhebung"/>
          <w:b w:val="0"/>
          <w:sz w:val="22"/>
        </w:rPr>
        <w:t>e</w:t>
      </w:r>
      <w:r w:rsidRPr="00E40A5C">
        <w:rPr>
          <w:rStyle w:val="SchwacheHervorhebung"/>
          <w:b w:val="0"/>
          <w:sz w:val="22"/>
        </w:rPr>
        <w:t>spondent named ABCD, the response form would be entitled ESA_</w:t>
      </w:r>
      <w:r w:rsidR="00197794">
        <w:rPr>
          <w:rStyle w:val="SchwacheHervorhebung"/>
          <w:b w:val="0"/>
          <w:sz w:val="22"/>
        </w:rPr>
        <w:t>PKID</w:t>
      </w:r>
      <w:r w:rsidRPr="00E40A5C">
        <w:rPr>
          <w:rStyle w:val="SchwacheHervorhebung"/>
          <w:b w:val="0"/>
          <w:sz w:val="22"/>
        </w:rPr>
        <w:t>_ABCD_RESPONSEFORM.</w:t>
      </w:r>
    </w:p>
    <w:p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w:t>
      </w:r>
      <w:r w:rsidR="00764042">
        <w:rPr>
          <w:rStyle w:val="SchwacheHervorhebung"/>
          <w:b w:val="0"/>
          <w:sz w:val="22"/>
        </w:rPr>
        <w:t>m</w:t>
      </w:r>
      <w:r w:rsidR="00764042">
        <w:rPr>
          <w:rStyle w:val="SchwacheHervorhebung"/>
          <w:b w:val="0"/>
          <w:sz w:val="22"/>
        </w:rPr>
        <w:t>mittee</w:t>
      </w:r>
      <w:r w:rsidRPr="00197794">
        <w:rPr>
          <w:rStyle w:val="SchwacheHervorhebung"/>
          <w:b w:val="0"/>
          <w:sz w:val="22"/>
        </w:rPr>
        <w:t xml:space="preserve">. Comments on this consultation paper can be sent using the response form, via the </w:t>
      </w:r>
      <w:hyperlink r:id="rId17"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rsidR="00197794" w:rsidRPr="00197794" w:rsidRDefault="00197794" w:rsidP="00197794">
      <w:pPr>
        <w:spacing w:after="240" w:line="276" w:lineRule="auto"/>
        <w:jc w:val="both"/>
        <w:rPr>
          <w:rStyle w:val="SchwacheHervorhebung"/>
          <w:b w:val="0"/>
          <w:sz w:val="22"/>
        </w:rPr>
      </w:pPr>
    </w:p>
    <w:p w:rsidR="00210E59" w:rsidRPr="00210E59" w:rsidRDefault="00210E59" w:rsidP="00210E59">
      <w:pPr>
        <w:spacing w:after="120"/>
        <w:jc w:val="both"/>
        <w:rPr>
          <w:rStyle w:val="SchwacheHervorhebung"/>
          <w:sz w:val="22"/>
        </w:rPr>
      </w:pPr>
      <w:r w:rsidRPr="00210E59">
        <w:rPr>
          <w:rStyle w:val="SchwacheHervorhebung"/>
          <w:sz w:val="22"/>
        </w:rPr>
        <w:t>Publication of responses</w:t>
      </w:r>
    </w:p>
    <w:p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rsidR="00197794" w:rsidRDefault="00197794" w:rsidP="004E6AE4">
      <w:pPr>
        <w:rPr>
          <w:rStyle w:val="SchwacheHervorhebung"/>
          <w:sz w:val="22"/>
          <w:lang w:eastAsia="en-GB"/>
        </w:rPr>
      </w:pPr>
    </w:p>
    <w:p w:rsidR="00197794" w:rsidRDefault="00197794" w:rsidP="004E6AE4">
      <w:pPr>
        <w:rPr>
          <w:rStyle w:val="SchwacheHervorhebung"/>
          <w:sz w:val="22"/>
          <w:lang w:eastAsia="en-GB"/>
        </w:rPr>
      </w:pPr>
    </w:p>
    <w:p w:rsidR="009A3017" w:rsidRPr="00E40A5C" w:rsidRDefault="009A3017" w:rsidP="004E6AE4">
      <w:pPr>
        <w:rPr>
          <w:rStyle w:val="SchwacheHervorhebung"/>
          <w:sz w:val="22"/>
          <w:lang w:eastAsia="en-GB"/>
        </w:rPr>
      </w:pPr>
      <w:r w:rsidRPr="00E40A5C">
        <w:rPr>
          <w:rStyle w:val="SchwacheHervorhebung"/>
          <w:sz w:val="22"/>
          <w:lang w:eastAsia="en-GB"/>
        </w:rPr>
        <w:t>Data protection</w:t>
      </w:r>
    </w:p>
    <w:p w:rsidR="00197794" w:rsidRDefault="00197794" w:rsidP="00210E59">
      <w:pPr>
        <w:rPr>
          <w:sz w:val="22"/>
        </w:rPr>
      </w:pPr>
    </w:p>
    <w:p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18" w:history="1">
        <w:r w:rsidRPr="00197794">
          <w:rPr>
            <w:rStyle w:val="Hyperlink"/>
            <w:rFonts w:cs="Arial"/>
            <w:sz w:val="22"/>
          </w:rPr>
          <w:t>Legal notice</w:t>
        </w:r>
      </w:hyperlink>
      <w:r w:rsidRPr="00197794">
        <w:rPr>
          <w:rFonts w:cs="Arial"/>
          <w:sz w:val="22"/>
        </w:rPr>
        <w:t xml:space="preserve"> section of the EBA website and under the </w:t>
      </w:r>
      <w:hyperlink r:id="rId19" w:history="1">
        <w:r w:rsidRPr="00197794">
          <w:rPr>
            <w:rStyle w:val="Hyperlink"/>
            <w:rFonts w:cs="Arial"/>
            <w:sz w:val="22"/>
          </w:rPr>
          <w:t>Legal notice</w:t>
        </w:r>
      </w:hyperlink>
      <w:r w:rsidRPr="00197794">
        <w:rPr>
          <w:rFonts w:cs="Arial"/>
          <w:sz w:val="22"/>
        </w:rPr>
        <w:t xml:space="preserve"> section of the EIOPA website and under the </w:t>
      </w:r>
      <w:hyperlink r:id="rId20" w:history="1">
        <w:r w:rsidRPr="00197794">
          <w:rPr>
            <w:rStyle w:val="Hyperlink"/>
            <w:rFonts w:cs="Arial"/>
            <w:sz w:val="22"/>
          </w:rPr>
          <w:t>Legal notice</w:t>
        </w:r>
      </w:hyperlink>
      <w:r w:rsidRPr="00197794">
        <w:rPr>
          <w:rFonts w:cs="Arial"/>
          <w:sz w:val="22"/>
        </w:rPr>
        <w:t xml:space="preserve"> section of the ESMA website.</w:t>
      </w:r>
    </w:p>
    <w:p w:rsidR="00210E59" w:rsidRDefault="00210E59" w:rsidP="009A3017">
      <w:pPr>
        <w:spacing w:after="120"/>
        <w:jc w:val="both"/>
        <w:rPr>
          <w:rStyle w:val="SchwacheHervorhebung"/>
          <w:sz w:val="22"/>
          <w:lang w:eastAsia="en-GB"/>
        </w:rPr>
      </w:pPr>
    </w:p>
    <w:bookmarkEnd w:id="0"/>
    <w:p w:rsidR="002E4F86" w:rsidRPr="00EC1154" w:rsidRDefault="002E4F86" w:rsidP="00EC1154">
      <w:pPr>
        <w:rPr>
          <w:sz w:val="22"/>
        </w:rPr>
      </w:pPr>
    </w:p>
    <w:p w:rsidR="00332304" w:rsidRDefault="00332304" w:rsidP="004E6AE4">
      <w:pPr>
        <w:rPr>
          <w:rFonts w:cs="Arial"/>
          <w:b/>
          <w:bCs/>
          <w:kern w:val="32"/>
          <w:sz w:val="24"/>
          <w:szCs w:val="32"/>
        </w:rPr>
      </w:pPr>
      <w:r>
        <w:br w:type="page"/>
      </w:r>
    </w:p>
    <w:p w:rsidR="00B327E9" w:rsidRPr="00AB6D88" w:rsidRDefault="00B327E9" w:rsidP="00B327E9">
      <w:pPr>
        <w:pStyle w:val="berschrift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BD174C">
        <w:tc>
          <w:tcPr>
            <w:tcW w:w="3929" w:type="dxa"/>
            <w:shd w:val="clear" w:color="auto" w:fill="auto"/>
          </w:tcPr>
          <w:p w:rsidR="00B327E9" w:rsidRPr="00E40A5C" w:rsidRDefault="00B327E9" w:rsidP="00BD174C">
            <w:pPr>
              <w:rPr>
                <w:rFonts w:cs="Arial"/>
                <w:sz w:val="22"/>
              </w:rPr>
            </w:pPr>
            <w:permStart w:id="2041004092"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rsidR="00B327E9" w:rsidRPr="00AB6D88" w:rsidRDefault="0037647D" w:rsidP="0037647D">
                <w:pPr>
                  <w:rPr>
                    <w:rStyle w:val="Platzhaltertext"/>
                    <w:rFonts w:cs="Arial"/>
                  </w:rPr>
                </w:pPr>
                <w:r>
                  <w:rPr>
                    <w:rStyle w:val="Platzhaltertext"/>
                    <w:rFonts w:cs="Arial"/>
                  </w:rPr>
                  <w:t>Allianz Group</w:t>
                </w:r>
              </w:p>
            </w:tc>
          </w:sdtContent>
        </w:sdt>
      </w:tr>
      <w:tr w:rsidR="00B327E9" w:rsidRPr="00AB6D88" w:rsidTr="00BD174C">
        <w:tc>
          <w:tcPr>
            <w:tcW w:w="3929" w:type="dxa"/>
            <w:shd w:val="clear" w:color="auto" w:fill="auto"/>
          </w:tcPr>
          <w:p w:rsidR="00B327E9" w:rsidRPr="00E40A5C" w:rsidRDefault="00B327E9" w:rsidP="00BD174C">
            <w:pPr>
              <w:rPr>
                <w:rFonts w:cs="Arial"/>
                <w:sz w:val="22"/>
              </w:rPr>
            </w:pPr>
            <w:permStart w:id="2138062114" w:edGrp="everyone" w:colFirst="1" w:colLast="1"/>
            <w:permEnd w:id="2041004092"/>
            <w:r w:rsidRPr="00E40A5C">
              <w:rPr>
                <w:rFonts w:cs="Arial"/>
                <w:sz w:val="22"/>
              </w:rPr>
              <w:t>Activity</w:t>
            </w:r>
          </w:p>
        </w:tc>
        <w:tc>
          <w:tcPr>
            <w:tcW w:w="5595" w:type="dxa"/>
            <w:shd w:val="clear" w:color="auto" w:fill="auto"/>
          </w:tcPr>
          <w:p w:rsidR="00B327E9" w:rsidRPr="00AB6D88" w:rsidRDefault="0037647D" w:rsidP="00BD174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Insurance and Pension</w:t>
                </w:r>
              </w:sdtContent>
            </w:sdt>
          </w:p>
        </w:tc>
      </w:tr>
      <w:tr w:rsidR="00B327E9" w:rsidRPr="00AB6D88" w:rsidTr="00BD174C">
        <w:tc>
          <w:tcPr>
            <w:tcW w:w="3929" w:type="dxa"/>
            <w:shd w:val="clear" w:color="auto" w:fill="auto"/>
          </w:tcPr>
          <w:p w:rsidR="00B327E9" w:rsidRPr="00E40A5C" w:rsidRDefault="00B327E9" w:rsidP="00BD174C">
            <w:pPr>
              <w:rPr>
                <w:rFonts w:cs="Arial"/>
                <w:sz w:val="22"/>
              </w:rPr>
            </w:pPr>
            <w:permStart w:id="1555320232" w:edGrp="everyone" w:colFirst="1" w:colLast="1"/>
            <w:permEnd w:id="2138062114"/>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B327E9" w:rsidRPr="00AB6D88" w:rsidRDefault="00B327E9" w:rsidP="00BD174C">
                <w:pPr>
                  <w:rPr>
                    <w:rFonts w:cs="Arial"/>
                  </w:rPr>
                </w:pPr>
                <w:r>
                  <w:rPr>
                    <w:rFonts w:ascii="MS Gothic" w:eastAsia="MS Gothic" w:hAnsi="MS Gothic" w:cs="Arial" w:hint="eastAsia"/>
                  </w:rPr>
                  <w:t>☐</w:t>
                </w:r>
              </w:p>
            </w:tc>
          </w:sdtContent>
        </w:sdt>
      </w:tr>
      <w:tr w:rsidR="00B327E9" w:rsidRPr="00AB6D88" w:rsidTr="00BD174C">
        <w:tc>
          <w:tcPr>
            <w:tcW w:w="3929" w:type="dxa"/>
            <w:shd w:val="clear" w:color="auto" w:fill="auto"/>
          </w:tcPr>
          <w:p w:rsidR="00B327E9" w:rsidRPr="00E40A5C" w:rsidRDefault="00B327E9" w:rsidP="00BD174C">
            <w:pPr>
              <w:rPr>
                <w:rFonts w:cs="Arial"/>
                <w:sz w:val="22"/>
              </w:rPr>
            </w:pPr>
            <w:permStart w:id="1338389071" w:edGrp="everyone" w:colFirst="1" w:colLast="1"/>
            <w:permEnd w:id="1555320232"/>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37647D" w:rsidP="00BD174C">
                <w:pPr>
                  <w:rPr>
                    <w:rFonts w:cs="Arial"/>
                  </w:rPr>
                </w:pPr>
                <w:r>
                  <w:rPr>
                    <w:rFonts w:cs="Arial"/>
                  </w:rPr>
                  <w:t>International</w:t>
                </w:r>
              </w:p>
            </w:tc>
          </w:sdtContent>
        </w:sdt>
      </w:tr>
      <w:permEnd w:id="1338389071"/>
    </w:tbl>
    <w:p w:rsidR="00B327E9" w:rsidRDefault="00B327E9" w:rsidP="00B327E9">
      <w:pPr>
        <w:spacing w:after="120" w:line="264" w:lineRule="auto"/>
      </w:pPr>
    </w:p>
    <w:p w:rsidR="00B327E9" w:rsidRDefault="00B327E9" w:rsidP="00B327E9">
      <w:pPr>
        <w:pStyle w:val="berschrift1"/>
        <w:numPr>
          <w:ilvl w:val="0"/>
          <w:numId w:val="0"/>
        </w:numPr>
        <w:ind w:left="431" w:hanging="431"/>
      </w:pPr>
      <w:r>
        <w:t>Introduction</w:t>
      </w:r>
      <w:bookmarkStart w:id="1" w:name="_GoBack"/>
      <w:bookmarkEnd w:id="1"/>
    </w:p>
    <w:p w:rsidR="00B327E9" w:rsidRPr="00E40A5C" w:rsidRDefault="00B327E9" w:rsidP="00B327E9">
      <w:pPr>
        <w:rPr>
          <w:rStyle w:val="IntensiveHervorhebung"/>
          <w:sz w:val="22"/>
        </w:rPr>
      </w:pPr>
      <w:r w:rsidRPr="00E40A5C">
        <w:rPr>
          <w:rStyle w:val="IntensiveHervorhebung"/>
          <w:sz w:val="22"/>
        </w:rPr>
        <w:t>Please make your introductory comments below, if any:</w:t>
      </w:r>
    </w:p>
    <w:p w:rsidR="00B327E9" w:rsidRPr="00BF28DA" w:rsidRDefault="00B327E9" w:rsidP="00B327E9"/>
    <w:p w:rsidR="00B327E9" w:rsidRPr="006F4535" w:rsidRDefault="00B327E9" w:rsidP="00B327E9">
      <w:r w:rsidRPr="006F4535">
        <w:t>&lt;ESA_COMMENT_</w:t>
      </w:r>
      <w:r w:rsidR="00197794">
        <w:rPr>
          <w:rStyle w:val="SchwacheHervorhebung"/>
          <w:b w:val="0"/>
          <w:sz w:val="22"/>
        </w:rPr>
        <w:t>PKID</w:t>
      </w:r>
      <w:r w:rsidRPr="006F4535">
        <w:t>_1&gt;</w:t>
      </w:r>
    </w:p>
    <w:p w:rsidR="008F298E" w:rsidRDefault="008F298E" w:rsidP="008F298E">
      <w:pPr>
        <w:rPr>
          <w:lang w:val="en-US"/>
        </w:rPr>
      </w:pPr>
      <w:permStart w:id="426519915" w:edGrp="everyone"/>
      <w:r>
        <w:rPr>
          <w:lang w:val="en-US"/>
        </w:rPr>
        <w:t xml:space="preserve">Allianz supports the overarching PRIIPs objectives of promoting </w:t>
      </w:r>
      <w:r w:rsidRPr="008F298E">
        <w:rPr>
          <w:lang w:val="en-US"/>
        </w:rPr>
        <w:t>transparency</w:t>
      </w:r>
      <w:r>
        <w:rPr>
          <w:color w:val="FF0000"/>
          <w:lang w:val="en-US"/>
        </w:rPr>
        <w:t>,</w:t>
      </w:r>
      <w:r>
        <w:rPr>
          <w:color w:val="1F497D"/>
          <w:lang w:val="en-US"/>
        </w:rPr>
        <w:t xml:space="preserve"> </w:t>
      </w:r>
      <w:r>
        <w:rPr>
          <w:lang w:val="en-US"/>
        </w:rPr>
        <w:t>comparability and compr</w:t>
      </w:r>
      <w:r>
        <w:rPr>
          <w:lang w:val="en-US"/>
        </w:rPr>
        <w:t>e</w:t>
      </w:r>
      <w:r>
        <w:rPr>
          <w:lang w:val="en-US"/>
        </w:rPr>
        <w:t>hensibility. Allianz also welcomes the review of the PRIIPs Level 2 Regulation as an opportunity to a</w:t>
      </w:r>
      <w:r>
        <w:rPr>
          <w:lang w:val="en-US"/>
        </w:rPr>
        <w:t>d</w:t>
      </w:r>
      <w:r>
        <w:rPr>
          <w:lang w:val="en-US"/>
        </w:rPr>
        <w:t>dress shortcomings of the KIDs on a technical level. However, to make the review an effective and eff</w:t>
      </w:r>
      <w:r>
        <w:rPr>
          <w:lang w:val="en-US"/>
        </w:rPr>
        <w:t>i</w:t>
      </w:r>
      <w:r>
        <w:rPr>
          <w:lang w:val="en-US"/>
        </w:rPr>
        <w:t>cient exercise, the Level 2 review should be performed in sync with the planned Level 1 review allowing for:</w:t>
      </w:r>
    </w:p>
    <w:p w:rsidR="008F298E" w:rsidRDefault="008F298E" w:rsidP="008F298E">
      <w:pPr>
        <w:rPr>
          <w:lang w:val="en-US"/>
        </w:rPr>
      </w:pPr>
    </w:p>
    <w:p w:rsidR="008F298E" w:rsidRDefault="008F298E" w:rsidP="008F298E">
      <w:pPr>
        <w:rPr>
          <w:lang w:val="en-US"/>
        </w:rPr>
      </w:pPr>
      <w:r>
        <w:rPr>
          <w:lang w:val="en-US"/>
        </w:rPr>
        <w:t>- A holistic assessment of whether the overarching objectives of the KIDs are actually achieved in practical application.</w:t>
      </w:r>
    </w:p>
    <w:p w:rsidR="008F298E" w:rsidRDefault="008F298E" w:rsidP="008F298E">
      <w:pPr>
        <w:rPr>
          <w:lang w:val="en-US"/>
        </w:rPr>
      </w:pPr>
      <w:r>
        <w:rPr>
          <w:lang w:val="en-US"/>
        </w:rPr>
        <w:t>- A long-term solution for UCITS (duplicate information requirements) beyond temporary exemptions until end of 2021.</w:t>
      </w:r>
    </w:p>
    <w:p w:rsidR="008F298E" w:rsidRDefault="008F298E" w:rsidP="008F298E">
      <w:pPr>
        <w:rPr>
          <w:lang w:val="en-US"/>
        </w:rPr>
      </w:pPr>
    </w:p>
    <w:p w:rsidR="008F298E" w:rsidRDefault="008F298E" w:rsidP="008F298E">
      <w:pPr>
        <w:rPr>
          <w:lang w:val="en-US"/>
        </w:rPr>
      </w:pPr>
      <w:r>
        <w:rPr>
          <w:lang w:val="en-US"/>
        </w:rPr>
        <w:t xml:space="preserve">Basically, we propose to </w:t>
      </w:r>
      <w:r w:rsidRPr="008F298E">
        <w:rPr>
          <w:lang w:val="en-US"/>
        </w:rPr>
        <w:t xml:space="preserve">start </w:t>
      </w:r>
      <w:r>
        <w:rPr>
          <w:lang w:val="en-US"/>
        </w:rPr>
        <w:t>a holistic review in 2020 so that sufficient practical experience is available</w:t>
      </w:r>
      <w:r w:rsidR="007D723A">
        <w:rPr>
          <w:lang w:val="en-US"/>
        </w:rPr>
        <w:t>.</w:t>
      </w:r>
      <w:r>
        <w:rPr>
          <w:lang w:val="en-US"/>
        </w:rPr>
        <w:t xml:space="preserve"> Any regulatory linkage between different financial products must sufficiently take account of their diffe</w:t>
      </w:r>
      <w:r>
        <w:rPr>
          <w:lang w:val="en-US"/>
        </w:rPr>
        <w:t>r</w:t>
      </w:r>
      <w:r>
        <w:rPr>
          <w:lang w:val="en-US"/>
        </w:rPr>
        <w:t>ences in the interests of the customers and the product providers.</w:t>
      </w:r>
    </w:p>
    <w:p w:rsidR="008F298E" w:rsidRDefault="008F298E" w:rsidP="008F298E">
      <w:pPr>
        <w:rPr>
          <w:lang w:val="en-US"/>
        </w:rPr>
      </w:pPr>
    </w:p>
    <w:p w:rsidR="008F298E" w:rsidRDefault="008F298E" w:rsidP="008F298E">
      <w:pPr>
        <w:rPr>
          <w:lang w:val="en-US"/>
        </w:rPr>
      </w:pPr>
      <w:r>
        <w:rPr>
          <w:lang w:val="en-US"/>
        </w:rPr>
        <w:t>Allianz recognizes the challenge, which is imposed by the wide variety of products in the PRIIPs scope. It is important that the methodology works for the whole range of products. Solutions should be preferred which work across the product scope. In the best case, the chosen methodology works for the whole range of products. The methodology has to be versatile enough to yield meaningful results for long term as well as for short term products; for single payments as well as regular payments; market traded pro</w:t>
      </w:r>
      <w:r>
        <w:rPr>
          <w:lang w:val="en-US"/>
        </w:rPr>
        <w:t>d</w:t>
      </w:r>
      <w:r>
        <w:rPr>
          <w:lang w:val="en-US"/>
        </w:rPr>
        <w:t>ucts as well as products where the retail investor is only indirectly exposed to the market. A fully co</w:t>
      </w:r>
      <w:r>
        <w:rPr>
          <w:lang w:val="en-US"/>
        </w:rPr>
        <w:t>n</w:t>
      </w:r>
      <w:r>
        <w:rPr>
          <w:lang w:val="en-US"/>
        </w:rPr>
        <w:t>sistent approach and presentation of risk indicator, performance scenarios and costs is essential to e</w:t>
      </w:r>
      <w:r>
        <w:rPr>
          <w:lang w:val="en-US"/>
        </w:rPr>
        <w:t>n</w:t>
      </w:r>
      <w:r>
        <w:rPr>
          <w:lang w:val="en-US"/>
        </w:rPr>
        <w:t>hance comprehensibility and comparability for retail customers.</w:t>
      </w:r>
    </w:p>
    <w:p w:rsidR="008F298E" w:rsidRDefault="008F298E" w:rsidP="008F298E">
      <w:pPr>
        <w:rPr>
          <w:lang w:val="en-US"/>
        </w:rPr>
      </w:pPr>
    </w:p>
    <w:p w:rsidR="008F298E" w:rsidRDefault="008F298E" w:rsidP="008F298E">
      <w:pPr>
        <w:rPr>
          <w:lang w:val="en-US"/>
        </w:rPr>
      </w:pPr>
      <w:r>
        <w:rPr>
          <w:lang w:val="en-US"/>
        </w:rPr>
        <w:t>Besides transparency and comprehensibility for consumers, comparability of all products is one of the cornerstones of the PRIIP regulation. However, past performance (which observes only one scenario) may not be available and suitable for many of the products in scope. To evaluate potential product fe</w:t>
      </w:r>
      <w:r>
        <w:rPr>
          <w:lang w:val="en-US"/>
        </w:rPr>
        <w:t>a</w:t>
      </w:r>
      <w:r>
        <w:rPr>
          <w:lang w:val="en-US"/>
        </w:rPr>
        <w:t>tures it may be necessary to look at many different possible scenarios. This allows assessing how pro</w:t>
      </w:r>
      <w:r>
        <w:rPr>
          <w:lang w:val="en-US"/>
        </w:rPr>
        <w:t>d</w:t>
      </w:r>
      <w:r>
        <w:rPr>
          <w:lang w:val="en-US"/>
        </w:rPr>
        <w:t>ucts could cope with and behave in diverse market scenarios. Provided comparability between all pro</w:t>
      </w:r>
      <w:r>
        <w:rPr>
          <w:lang w:val="en-US"/>
        </w:rPr>
        <w:t>d</w:t>
      </w:r>
      <w:r>
        <w:rPr>
          <w:lang w:val="en-US"/>
        </w:rPr>
        <w:t>ucts remains one of the basic principles of the KID then past performance may not be a suitable indicator. Hence, a holistic review will be required.</w:t>
      </w:r>
    </w:p>
    <w:permEnd w:id="426519915"/>
    <w:p w:rsidR="00B327E9" w:rsidRPr="00BF28DA" w:rsidRDefault="00B327E9" w:rsidP="00B327E9">
      <w:r w:rsidRPr="00BF28DA">
        <w:t>&lt;ESA_COMMENT_</w:t>
      </w:r>
      <w:r w:rsidR="00197794">
        <w:rPr>
          <w:rStyle w:val="SchwacheHervorhebung"/>
          <w:b w:val="0"/>
          <w:sz w:val="22"/>
        </w:rPr>
        <w:t>PKID</w:t>
      </w:r>
      <w:r w:rsidR="000A58BE">
        <w:t>_</w:t>
      </w:r>
      <w:r w:rsidRPr="00BF28DA">
        <w:t>1&gt;</w:t>
      </w:r>
    </w:p>
    <w:p w:rsidR="00F31E57" w:rsidRPr="00BF28DA" w:rsidRDefault="00F31E57" w:rsidP="00D34282"/>
    <w:p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rsidR="003E573C" w:rsidRDefault="003E573C" w:rsidP="003E573C">
      <w:pPr>
        <w:rPr>
          <w:rFonts w:cs="Arial"/>
        </w:rPr>
      </w:pPr>
      <w:r>
        <w:rPr>
          <w:rFonts w:cs="Arial"/>
        </w:rPr>
        <w:t>&lt;ESA_QUESTION_PKID_1&gt;</w:t>
      </w:r>
    </w:p>
    <w:p w:rsidR="003E573C" w:rsidRDefault="00A07067" w:rsidP="003E573C">
      <w:pPr>
        <w:rPr>
          <w:rFonts w:cs="Arial"/>
        </w:rPr>
      </w:pPr>
      <w:permStart w:id="88107715" w:edGrp="everyone"/>
      <w:r>
        <w:rPr>
          <w:rFonts w:cs="Arial"/>
        </w:rPr>
        <w:t xml:space="preserve">Indirectly – the KID has to be presented in paper to the consumer. Thus any digital presentation can only be </w:t>
      </w:r>
      <w:proofErr w:type="gramStart"/>
      <w:r>
        <w:rPr>
          <w:rFonts w:cs="Arial"/>
        </w:rPr>
        <w:t>an add</w:t>
      </w:r>
      <w:proofErr w:type="gramEnd"/>
      <w:r>
        <w:rPr>
          <w:rFonts w:cs="Arial"/>
        </w:rPr>
        <w:t xml:space="preserve"> on but cannot replace a KID on paper.</w:t>
      </w:r>
    </w:p>
    <w:permEnd w:id="88107715"/>
    <w:p w:rsidR="003E573C" w:rsidRDefault="003E573C" w:rsidP="003E573C">
      <w:pPr>
        <w:rPr>
          <w:rFonts w:cs="Arial"/>
        </w:rPr>
      </w:pPr>
      <w:r>
        <w:rPr>
          <w:rFonts w:cs="Arial"/>
        </w:rPr>
        <w:t>&lt;ESA_QUESTION_PKID_1&gt;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rsidR="003E573C" w:rsidRDefault="003E573C" w:rsidP="003E573C">
      <w:pPr>
        <w:rPr>
          <w:rFonts w:cs="Arial"/>
        </w:rPr>
      </w:pPr>
      <w:r>
        <w:rPr>
          <w:rFonts w:cs="Arial"/>
        </w:rPr>
        <w:t>&lt;ESA_QUESTION_PKID_2&gt;</w:t>
      </w:r>
    </w:p>
    <w:p w:rsidR="00FC0ED8" w:rsidRDefault="00FC0ED8" w:rsidP="003E573C">
      <w:pPr>
        <w:rPr>
          <w:rFonts w:cs="Arial"/>
        </w:rPr>
      </w:pPr>
      <w:permStart w:id="1383991398" w:edGrp="everyone"/>
      <w:r>
        <w:rPr>
          <w:rFonts w:cs="Arial"/>
        </w:rPr>
        <w:t>That d</w:t>
      </w:r>
      <w:r w:rsidR="00A07067">
        <w:rPr>
          <w:rFonts w:cs="Arial"/>
        </w:rPr>
        <w:t xml:space="preserve">epends what this is used for. A simplistic comparison just based on a few indicators cannot replace advice and a deeper understanding of product features. </w:t>
      </w:r>
    </w:p>
    <w:p w:rsidR="003E573C" w:rsidRDefault="00A07067" w:rsidP="003E573C">
      <w:pPr>
        <w:rPr>
          <w:rFonts w:cs="Arial"/>
        </w:rPr>
      </w:pPr>
      <w:r>
        <w:rPr>
          <w:rFonts w:cs="Arial"/>
        </w:rPr>
        <w:t>Using an IT tool would entail that all KIDs are available centrally. Also tables and such could not be int</w:t>
      </w:r>
      <w:r>
        <w:rPr>
          <w:rFonts w:cs="Arial"/>
        </w:rPr>
        <w:t>e</w:t>
      </w:r>
      <w:r>
        <w:rPr>
          <w:rFonts w:cs="Arial"/>
        </w:rPr>
        <w:t>grated as a graphic into the PDFs</w:t>
      </w:r>
      <w:r w:rsidR="00FC0ED8">
        <w:rPr>
          <w:rFonts w:cs="Arial"/>
        </w:rPr>
        <w:t xml:space="preserve"> any longer</w:t>
      </w:r>
      <w:r>
        <w:rPr>
          <w:rFonts w:cs="Arial"/>
        </w:rPr>
        <w:t xml:space="preserve">. This </w:t>
      </w:r>
      <w:r w:rsidR="00FC0ED8">
        <w:rPr>
          <w:rFonts w:cs="Arial"/>
        </w:rPr>
        <w:t>would require</w:t>
      </w:r>
      <w:r>
        <w:rPr>
          <w:rFonts w:cs="Arial"/>
        </w:rPr>
        <w:t xml:space="preserve"> a high degree of standardisation for the PDF generation</w:t>
      </w:r>
      <w:r w:rsidR="00FC0ED8">
        <w:rPr>
          <w:rFonts w:cs="Arial"/>
        </w:rPr>
        <w:t xml:space="preserve"> in the future</w:t>
      </w:r>
      <w:r w:rsidR="00053DFF">
        <w:rPr>
          <w:rFonts w:cs="Arial"/>
        </w:rPr>
        <w:t>.</w:t>
      </w:r>
    </w:p>
    <w:permEnd w:id="1383991398"/>
    <w:p w:rsidR="003E573C" w:rsidRDefault="003E573C" w:rsidP="003E573C">
      <w:pPr>
        <w:rPr>
          <w:rFonts w:cs="Arial"/>
        </w:rPr>
      </w:pPr>
      <w:r>
        <w:rPr>
          <w:rFonts w:cs="Arial"/>
        </w:rPr>
        <w:t>&lt;ESA_QUESTION_PKID_2&gt;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rsidR="003E573C" w:rsidRDefault="003E573C" w:rsidP="003E573C">
      <w:pPr>
        <w:rPr>
          <w:rFonts w:cs="Arial"/>
        </w:rPr>
      </w:pPr>
      <w:r>
        <w:rPr>
          <w:rFonts w:cs="Arial"/>
        </w:rPr>
        <w:t>&lt;ESA_QUESTION_PKID_3&gt;</w:t>
      </w:r>
    </w:p>
    <w:p w:rsidR="003E573C" w:rsidRDefault="00C05F4E" w:rsidP="003E573C">
      <w:pPr>
        <w:rPr>
          <w:rFonts w:cs="Arial"/>
        </w:rPr>
      </w:pPr>
      <w:permStart w:id="1321956094" w:edGrp="everyone"/>
      <w:r>
        <w:rPr>
          <w:rFonts w:cs="Arial"/>
        </w:rPr>
        <w:t>It is important that there is enough time to analyse and implement the changes. Therefore it is better to use the latest date possible.</w:t>
      </w:r>
    </w:p>
    <w:permEnd w:id="1321956094"/>
    <w:p w:rsidR="003E573C" w:rsidRDefault="003E573C" w:rsidP="003E573C">
      <w:pPr>
        <w:rPr>
          <w:rFonts w:cs="Arial"/>
        </w:rPr>
      </w:pPr>
      <w:r>
        <w:rPr>
          <w:rFonts w:cs="Arial"/>
        </w:rPr>
        <w:t>&lt;ESA_QUESTION_PKID_3&gt;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rsidR="003E573C" w:rsidRDefault="003E573C" w:rsidP="003E573C">
      <w:pPr>
        <w:rPr>
          <w:rFonts w:cs="Arial"/>
        </w:rPr>
      </w:pPr>
      <w:r>
        <w:rPr>
          <w:rFonts w:cs="Arial"/>
        </w:rPr>
        <w:t>&lt;ESA_QUESTION_PKID_4&gt;</w:t>
      </w:r>
    </w:p>
    <w:p w:rsidR="003E573C" w:rsidRDefault="00E00237" w:rsidP="003E573C">
      <w:pPr>
        <w:rPr>
          <w:rFonts w:cs="Arial"/>
        </w:rPr>
      </w:pPr>
      <w:permStart w:id="1544620738" w:edGrp="everyone"/>
      <w:r>
        <w:rPr>
          <w:rFonts w:cs="Arial"/>
        </w:rPr>
        <w:t>A graduated approach will increase the implementation costs significantly. More importantly changing the KID in short intervals is confusing for intermediaries and for those consumers who buy products in co</w:t>
      </w:r>
      <w:r>
        <w:rPr>
          <w:rFonts w:cs="Arial"/>
        </w:rPr>
        <w:t>n</w:t>
      </w:r>
      <w:r>
        <w:rPr>
          <w:rFonts w:cs="Arial"/>
        </w:rPr>
        <w:t xml:space="preserve">secutive years. Every change makes it harder to comprehend the KID and to </w:t>
      </w:r>
      <w:r w:rsidR="00FC0ED8">
        <w:rPr>
          <w:rFonts w:cs="Arial"/>
        </w:rPr>
        <w:t xml:space="preserve">compare to </w:t>
      </w:r>
      <w:r>
        <w:rPr>
          <w:rFonts w:cs="Arial"/>
        </w:rPr>
        <w:t>KIDs from prev</w:t>
      </w:r>
      <w:r>
        <w:rPr>
          <w:rFonts w:cs="Arial"/>
        </w:rPr>
        <w:t>i</w:t>
      </w:r>
      <w:r>
        <w:rPr>
          <w:rFonts w:cs="Arial"/>
        </w:rPr>
        <w:t>ous years. Customers and intermediaries will find it difficult to differentiate between changes in the pro</w:t>
      </w:r>
      <w:r>
        <w:rPr>
          <w:rFonts w:cs="Arial"/>
        </w:rPr>
        <w:t>d</w:t>
      </w:r>
      <w:r>
        <w:rPr>
          <w:rFonts w:cs="Arial"/>
        </w:rPr>
        <w:t>ucts themselves and changes in methodology.</w:t>
      </w:r>
      <w:r w:rsidR="00936E61">
        <w:rPr>
          <w:rFonts w:cs="Arial"/>
        </w:rPr>
        <w:t xml:space="preserve"> Therefore we favour one holistic review instead of a grad</w:t>
      </w:r>
      <w:r w:rsidR="00936E61">
        <w:rPr>
          <w:rFonts w:cs="Arial"/>
        </w:rPr>
        <w:t>u</w:t>
      </w:r>
      <w:r w:rsidR="00936E61">
        <w:rPr>
          <w:rFonts w:cs="Arial"/>
        </w:rPr>
        <w:t>ated approach.</w:t>
      </w:r>
    </w:p>
    <w:permEnd w:id="1544620738"/>
    <w:p w:rsidR="003E573C" w:rsidRDefault="003E573C" w:rsidP="003E573C">
      <w:pPr>
        <w:rPr>
          <w:rFonts w:cs="Arial"/>
        </w:rPr>
      </w:pPr>
      <w:r>
        <w:rPr>
          <w:rFonts w:cs="Arial"/>
        </w:rPr>
        <w:t>&lt;ESA_QUESTION_PKID_4&gt;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rsidR="003E573C" w:rsidRDefault="003E573C" w:rsidP="003E573C">
      <w:pPr>
        <w:rPr>
          <w:rFonts w:cs="Arial"/>
        </w:rPr>
      </w:pPr>
      <w:r>
        <w:rPr>
          <w:rFonts w:cs="Arial"/>
        </w:rPr>
        <w:t>&lt;ESA_QUESTION_PKID_5&gt;</w:t>
      </w:r>
    </w:p>
    <w:p w:rsidR="00546764" w:rsidRPr="00AD714C" w:rsidRDefault="00546764" w:rsidP="00546764">
      <w:pPr>
        <w:autoSpaceDE w:val="0"/>
        <w:autoSpaceDN w:val="0"/>
        <w:adjustRightInd w:val="0"/>
        <w:rPr>
          <w:rFonts w:cs="Arial"/>
        </w:rPr>
      </w:pPr>
      <w:permStart w:id="1936600966" w:edGrp="everyone"/>
      <w:r w:rsidRPr="00AD714C">
        <w:rPr>
          <w:rFonts w:cs="Arial"/>
        </w:rPr>
        <w:t xml:space="preserve">Allianz proposes to determine the return based on the average long-term historical risk/reward trade-off. Ideal would be using a mapping to risk factors which are calibrated on long term market data. </w:t>
      </w:r>
    </w:p>
    <w:p w:rsidR="00546764" w:rsidRPr="00AD714C" w:rsidRDefault="00546764" w:rsidP="00546764">
      <w:pPr>
        <w:autoSpaceDE w:val="0"/>
        <w:autoSpaceDN w:val="0"/>
        <w:adjustRightInd w:val="0"/>
        <w:rPr>
          <w:rFonts w:cs="Arial"/>
        </w:rPr>
      </w:pPr>
    </w:p>
    <w:p w:rsidR="00546764" w:rsidRPr="00AD714C" w:rsidRDefault="00546764" w:rsidP="00546764">
      <w:pPr>
        <w:autoSpaceDE w:val="0"/>
        <w:autoSpaceDN w:val="0"/>
        <w:adjustRightInd w:val="0"/>
        <w:rPr>
          <w:rFonts w:cs="Arial"/>
        </w:rPr>
      </w:pPr>
      <w:r w:rsidRPr="00AD714C">
        <w:rPr>
          <w:rFonts w:cs="Arial"/>
        </w:rPr>
        <w:t>We propose the use of just one methodology for all products as far as possible in order to provide co</w:t>
      </w:r>
      <w:r w:rsidRPr="00AD714C">
        <w:rPr>
          <w:rFonts w:cs="Arial"/>
        </w:rPr>
        <w:t>n</w:t>
      </w:r>
      <w:r w:rsidRPr="00AD714C">
        <w:rPr>
          <w:rFonts w:cs="Arial"/>
        </w:rPr>
        <w:t xml:space="preserve">sumers with meaningful information and ensure proper comparability of different products. Forward-looking stochastic modelling is the most suitable option for determining the risk/reward indicator for such a </w:t>
      </w:r>
      <w:r w:rsidRPr="00AD714C">
        <w:rPr>
          <w:rFonts w:cs="Arial"/>
        </w:rPr>
        <w:lastRenderedPageBreak/>
        <w:t>broad range of products from different sectors. When establishing uniform rules, it is important that all details are prescribed on the EU level as far as possible, including models and parameters. This would enhance the comparability of the PRIIPs and lead to legal certainty. The forward-looking stochastic mode</w:t>
      </w:r>
      <w:r w:rsidRPr="00AD714C">
        <w:rPr>
          <w:rFonts w:cs="Arial"/>
        </w:rPr>
        <w:t>l</w:t>
      </w:r>
      <w:r w:rsidRPr="00AD714C">
        <w:rPr>
          <w:rFonts w:cs="Arial"/>
        </w:rPr>
        <w:t>ling approach was already suggested in the Technical Discussion Paper (see consultation paper from 10th November 2015). Standard textbook methodology should be preferred instead of the current methodology which is in many places not consistent, like e.g. the requirement for discounting with the risk free rate which does not reflect market risk.</w:t>
      </w:r>
    </w:p>
    <w:p w:rsidR="00546764" w:rsidRPr="00AD714C" w:rsidRDefault="00546764" w:rsidP="00546764">
      <w:pPr>
        <w:autoSpaceDE w:val="0"/>
        <w:autoSpaceDN w:val="0"/>
        <w:adjustRightInd w:val="0"/>
        <w:rPr>
          <w:rFonts w:cs="Arial"/>
        </w:rPr>
      </w:pPr>
    </w:p>
    <w:p w:rsidR="007178B6" w:rsidRPr="00AD714C" w:rsidRDefault="00546764" w:rsidP="00546764">
      <w:pPr>
        <w:autoSpaceDE w:val="0"/>
        <w:autoSpaceDN w:val="0"/>
        <w:adjustRightInd w:val="0"/>
        <w:rPr>
          <w:rFonts w:cs="Arial"/>
        </w:rPr>
      </w:pPr>
      <w:r w:rsidRPr="00AD714C">
        <w:rPr>
          <w:rFonts w:cs="Arial"/>
        </w:rPr>
        <w:t>While stochastic modelling is very well suited to derive a risk indicator it cannot be used to make absolute long term predictions for future performance. Any system that gives the impression on predicting the future is not well suited for performance scenarios. What-if scenarios with prescribed scenarios are much better suited for retail investors. It is important that the retail investors understand the limitations of performance scenarios. Therefore, deterministic modelling with a selection of suitable scenarios is preferable to illu</w:t>
      </w:r>
      <w:r w:rsidRPr="00AD714C">
        <w:rPr>
          <w:rFonts w:cs="Arial"/>
        </w:rPr>
        <w:t>s</w:t>
      </w:r>
      <w:r w:rsidRPr="00AD714C">
        <w:rPr>
          <w:rFonts w:cs="Arial"/>
        </w:rPr>
        <w:t>trate possible pay-outs. It is important not to give the impression that the performance scenarios can predict the future. We consider it misleading to label them. It is better to give a range of scenarios without assigning probabilities to them. The higher the MRM the broader the range of scenarios should be to illustrate the higher uncertainty for customers. Also the connection between risk and reward can be illu</w:t>
      </w:r>
      <w:r w:rsidRPr="00AD714C">
        <w:rPr>
          <w:rFonts w:cs="Arial"/>
        </w:rPr>
        <w:t>s</w:t>
      </w:r>
      <w:r w:rsidRPr="00AD714C">
        <w:rPr>
          <w:rFonts w:cs="Arial"/>
        </w:rPr>
        <w:t>trated.</w:t>
      </w:r>
    </w:p>
    <w:permEnd w:id="1936600966"/>
    <w:p w:rsidR="003E573C" w:rsidRDefault="003E573C" w:rsidP="003E573C">
      <w:pPr>
        <w:rPr>
          <w:rFonts w:cs="Arial"/>
        </w:rPr>
      </w:pPr>
      <w:r>
        <w:rPr>
          <w:rFonts w:cs="Arial"/>
        </w:rPr>
        <w:t>&lt;ESA_QUESTION_PKID_5&gt;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rsidR="003E573C" w:rsidRDefault="003E573C" w:rsidP="003E573C">
      <w:pPr>
        <w:rPr>
          <w:rFonts w:cs="Arial"/>
        </w:rPr>
      </w:pPr>
      <w:r>
        <w:rPr>
          <w:rFonts w:cs="Arial"/>
        </w:rPr>
        <w:t>&lt;ESA_QUESTION_PKID_6&gt;</w:t>
      </w:r>
    </w:p>
    <w:p w:rsidR="007178B6" w:rsidRPr="007178B6" w:rsidRDefault="007178B6" w:rsidP="007178B6">
      <w:pPr>
        <w:rPr>
          <w:rFonts w:cs="Arial"/>
        </w:rPr>
      </w:pPr>
      <w:permStart w:id="1056777089" w:edGrp="everyone"/>
      <w:r w:rsidRPr="00BA7CDD">
        <w:rPr>
          <w:rFonts w:cs="Arial"/>
          <w:lang w:val="en-US"/>
        </w:rPr>
        <w:t xml:space="preserve">No probabilities </w:t>
      </w:r>
      <w:r w:rsidR="00F05CFF" w:rsidRPr="00BA7CDD">
        <w:rPr>
          <w:rFonts w:cs="Arial"/>
          <w:lang w:val="en-US"/>
        </w:rPr>
        <w:t xml:space="preserve">should be given </w:t>
      </w:r>
      <w:r w:rsidRPr="00BA7CDD">
        <w:rPr>
          <w:rFonts w:cs="Arial"/>
          <w:lang w:val="en-US"/>
        </w:rPr>
        <w:t xml:space="preserve">for performance scenarios. </w:t>
      </w:r>
      <w:r>
        <w:rPr>
          <w:rFonts w:cs="Arial"/>
        </w:rPr>
        <w:t>No one can attach definite probabilities to future events.</w:t>
      </w:r>
      <w:r w:rsidR="00F05CFF">
        <w:rPr>
          <w:rFonts w:cs="Arial"/>
        </w:rPr>
        <w:t xml:space="preserve"> Th</w:t>
      </w:r>
      <w:r w:rsidR="001B6C58">
        <w:rPr>
          <w:rFonts w:cs="Arial"/>
        </w:rPr>
        <w:t>e probabilities strongly depend</w:t>
      </w:r>
      <w:r w:rsidR="00F05CFF">
        <w:rPr>
          <w:rFonts w:cs="Arial"/>
        </w:rPr>
        <w:t xml:space="preserve"> on the model used and its parameters.</w:t>
      </w:r>
    </w:p>
    <w:permEnd w:id="1056777089"/>
    <w:p w:rsidR="003E573C" w:rsidRDefault="003E573C" w:rsidP="003E573C">
      <w:pPr>
        <w:rPr>
          <w:rFonts w:cs="Arial"/>
        </w:rPr>
      </w:pPr>
      <w:r>
        <w:rPr>
          <w:rFonts w:cs="Arial"/>
        </w:rPr>
        <w:t>&lt;ESA_QUESTION_PKID_6&gt;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rsidR="003E573C" w:rsidRDefault="003E573C" w:rsidP="003E573C">
      <w:pPr>
        <w:rPr>
          <w:rFonts w:cs="Arial"/>
        </w:rPr>
      </w:pPr>
      <w:r>
        <w:rPr>
          <w:rFonts w:cs="Arial"/>
        </w:rPr>
        <w:t>&lt;ESA_QUESTION_PKID_7&gt;</w:t>
      </w:r>
    </w:p>
    <w:p w:rsidR="003E573C" w:rsidRDefault="003E573C" w:rsidP="003E573C">
      <w:pPr>
        <w:rPr>
          <w:rFonts w:cs="Arial"/>
        </w:rPr>
      </w:pPr>
      <w:permStart w:id="1953381816" w:edGrp="everyone"/>
      <w:r>
        <w:rPr>
          <w:rFonts w:cs="Arial"/>
        </w:rPr>
        <w:t>TYPE YOUR TEXT HERE</w:t>
      </w:r>
    </w:p>
    <w:permEnd w:id="1953381816"/>
    <w:p w:rsidR="003E573C" w:rsidRDefault="003E573C" w:rsidP="003E573C">
      <w:pPr>
        <w:rPr>
          <w:rFonts w:cs="Arial"/>
        </w:rPr>
      </w:pPr>
      <w:r>
        <w:rPr>
          <w:rFonts w:cs="Arial"/>
        </w:rPr>
        <w:t>&lt;ESA_QUESTION_PKID_7&gt;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rsidR="003E573C" w:rsidRDefault="003E573C" w:rsidP="003E573C">
      <w:pPr>
        <w:rPr>
          <w:rFonts w:cs="Arial"/>
        </w:rPr>
      </w:pPr>
      <w:r>
        <w:rPr>
          <w:rFonts w:cs="Arial"/>
        </w:rPr>
        <w:t>&lt;ESA_QUESTION_PKID_8&gt;</w:t>
      </w:r>
    </w:p>
    <w:p w:rsidR="003E573C" w:rsidRDefault="003E573C" w:rsidP="003E573C">
      <w:pPr>
        <w:rPr>
          <w:rFonts w:cs="Arial"/>
        </w:rPr>
      </w:pPr>
      <w:permStart w:id="963339335" w:edGrp="everyone"/>
      <w:permEnd w:id="963339335"/>
      <w:r>
        <w:rPr>
          <w:rFonts w:cs="Arial"/>
        </w:rPr>
        <w:t>&lt;ESA_QUESTION_PKID_8&gt;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rsidR="003E573C" w:rsidRDefault="003E573C" w:rsidP="003E573C">
      <w:pPr>
        <w:rPr>
          <w:rFonts w:cs="Arial"/>
        </w:rPr>
      </w:pPr>
      <w:r>
        <w:rPr>
          <w:rFonts w:cs="Arial"/>
        </w:rPr>
        <w:t>&lt;ESA_QUESTION_PKID_9&gt;</w:t>
      </w:r>
    </w:p>
    <w:p w:rsidR="00AD714C" w:rsidRDefault="007178B6" w:rsidP="00AD714C">
      <w:pPr>
        <w:pStyle w:val="Kommentartext"/>
      </w:pPr>
      <w:permStart w:id="39808887" w:edGrp="everyone"/>
      <w:r>
        <w:rPr>
          <w:rFonts w:cs="Arial"/>
        </w:rPr>
        <w:t>The methodology yields different results for countries inside the Eurozone. That does no</w:t>
      </w:r>
      <w:r w:rsidR="00053DFF">
        <w:rPr>
          <w:rFonts w:cs="Arial"/>
        </w:rPr>
        <w:t>t</w:t>
      </w:r>
      <w:r>
        <w:rPr>
          <w:rFonts w:cs="Arial"/>
        </w:rPr>
        <w:t xml:space="preserve"> appear to be consistent.</w:t>
      </w:r>
      <w:r w:rsidR="00AD714C">
        <w:rPr>
          <w:rFonts w:cs="Arial"/>
        </w:rPr>
        <w:t xml:space="preserve"> </w:t>
      </w:r>
      <w:r w:rsidR="00AD714C">
        <w:t xml:space="preserve">Most of the methodologies discussed in the consultation paper depend on data on single instrument level or at least on some kind of bucketing.  </w:t>
      </w:r>
    </w:p>
    <w:p w:rsidR="000A38C0" w:rsidRDefault="000A38C0" w:rsidP="000A38C0">
      <w:pPr>
        <w:pStyle w:val="Kommentartext"/>
      </w:pPr>
      <w:r>
        <w:rPr>
          <w:rFonts w:cs="Arial"/>
        </w:rPr>
        <w:t xml:space="preserve"> </w:t>
      </w:r>
      <w:r>
        <w:t>This leads to a significant increase in operational complexity:</w:t>
      </w:r>
    </w:p>
    <w:p w:rsidR="000A38C0" w:rsidRDefault="000A38C0" w:rsidP="000A38C0">
      <w:pPr>
        <w:pStyle w:val="Kommentartext"/>
      </w:pPr>
      <w:r>
        <w:t>•        How to deal with instruments for which no sufficient data are available, or which cannot be properly classified?</w:t>
      </w:r>
    </w:p>
    <w:p w:rsidR="000A38C0" w:rsidRDefault="000A38C0" w:rsidP="000A38C0">
      <w:pPr>
        <w:pStyle w:val="Kommentartext"/>
      </w:pPr>
      <w:r>
        <w:t>•        Generally, how to deal with derivatives?</w:t>
      </w:r>
    </w:p>
    <w:p w:rsidR="000A38C0" w:rsidRDefault="000A38C0" w:rsidP="000A38C0">
      <w:pPr>
        <w:pStyle w:val="Kommentartext"/>
      </w:pPr>
      <w:r>
        <w:lastRenderedPageBreak/>
        <w:t>•        For market funds which more or less follow a benchmark, data on benchmark level might be used; but what would be reasonable data for other funds (Absolute Return or Total Return Funds in the UCITS KIID world)?</w:t>
      </w:r>
    </w:p>
    <w:p w:rsidR="000A38C0" w:rsidRDefault="000A38C0" w:rsidP="000A38C0">
      <w:pPr>
        <w:pStyle w:val="Kommentartext"/>
      </w:pPr>
      <w:r>
        <w:t>These effects do not only increase complexity, but might also lead to inconsistent results when comparing different manufacturers.</w:t>
      </w:r>
    </w:p>
    <w:p w:rsidR="000A38C0" w:rsidRDefault="000A38C0" w:rsidP="000A38C0">
      <w:pPr>
        <w:pStyle w:val="Kommentartext"/>
      </w:pPr>
    </w:p>
    <w:p w:rsidR="000A38C0" w:rsidRDefault="00FC0ED8" w:rsidP="000A38C0">
      <w:pPr>
        <w:pStyle w:val="Kommentartext"/>
      </w:pPr>
      <w:r>
        <w:t>Furthermore the methodology does not appear to take into account that investments are made worldwide.</w:t>
      </w:r>
    </w:p>
    <w:p w:rsidR="003E573C" w:rsidRDefault="003E573C" w:rsidP="003E573C">
      <w:pPr>
        <w:rPr>
          <w:rFonts w:cs="Arial"/>
        </w:rPr>
      </w:pPr>
    </w:p>
    <w:permEnd w:id="39808887"/>
    <w:p w:rsidR="003E573C" w:rsidRDefault="003E573C" w:rsidP="003E573C">
      <w:pPr>
        <w:rPr>
          <w:rFonts w:cs="Arial"/>
        </w:rPr>
      </w:pPr>
      <w:r>
        <w:rPr>
          <w:rFonts w:cs="Arial"/>
        </w:rPr>
        <w:t>&lt;ESA_QUESTION_PKID_9&gt;</w:t>
      </w:r>
    </w:p>
    <w:p w:rsidR="003E573C" w:rsidRDefault="003E573C" w:rsidP="003E573C">
      <w:pPr>
        <w:rPr>
          <w:rFonts w:cs="Arial"/>
        </w:rPr>
      </w:pPr>
    </w:p>
    <w:p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rsidR="003E573C" w:rsidRDefault="003E573C" w:rsidP="003E573C">
      <w:pPr>
        <w:rPr>
          <w:rFonts w:cs="Arial"/>
        </w:rPr>
      </w:pPr>
      <w:r>
        <w:rPr>
          <w:rFonts w:cs="Arial"/>
        </w:rPr>
        <w:t>&lt;ESA_QUESTION_PKID_10&gt;</w:t>
      </w:r>
    </w:p>
    <w:p w:rsidR="003E573C" w:rsidRDefault="007178B6" w:rsidP="007178B6">
      <w:pPr>
        <w:rPr>
          <w:rFonts w:cs="Arial"/>
        </w:rPr>
      </w:pPr>
      <w:permStart w:id="81147200" w:edGrp="everyone"/>
      <w:r w:rsidRPr="007178B6">
        <w:rPr>
          <w:rFonts w:cs="Arial"/>
        </w:rPr>
        <w:t xml:space="preserve">It is not clear </w:t>
      </w:r>
      <w:r w:rsidR="00F667FD">
        <w:rPr>
          <w:rFonts w:cs="Arial"/>
        </w:rPr>
        <w:t xml:space="preserve">that </w:t>
      </w:r>
      <w:r w:rsidRPr="007178B6">
        <w:rPr>
          <w:rFonts w:cs="Arial"/>
        </w:rPr>
        <w:t>the described approach delivers consistent results for all products.</w:t>
      </w:r>
      <w:r>
        <w:rPr>
          <w:rFonts w:cs="Arial"/>
        </w:rPr>
        <w:t xml:space="preserve"> Especially combining Cornish-Fisher and the new risk premium approach could not be found in academic literature. Is this</w:t>
      </w:r>
      <w:r w:rsidR="00F14E27">
        <w:rPr>
          <w:rFonts w:cs="Arial"/>
        </w:rPr>
        <w:t xml:space="preserve"> </w:t>
      </w:r>
      <w:proofErr w:type="gramStart"/>
      <w:r w:rsidR="00F14E27">
        <w:rPr>
          <w:rFonts w:cs="Arial"/>
        </w:rPr>
        <w:t xml:space="preserve">approach </w:t>
      </w:r>
      <w:r>
        <w:rPr>
          <w:rFonts w:cs="Arial"/>
        </w:rPr>
        <w:t xml:space="preserve"> well</w:t>
      </w:r>
      <w:proofErr w:type="gramEnd"/>
      <w:r>
        <w:rPr>
          <w:rFonts w:cs="Arial"/>
        </w:rPr>
        <w:t xml:space="preserve"> understood? The graph on page 22 suggest that for instance volatility is altered significan</w:t>
      </w:r>
      <w:r>
        <w:rPr>
          <w:rFonts w:cs="Arial"/>
        </w:rPr>
        <w:t>t</w:t>
      </w:r>
      <w:r>
        <w:rPr>
          <w:rFonts w:cs="Arial"/>
        </w:rPr>
        <w:t>ly giving a false impression of a low risk.</w:t>
      </w:r>
    </w:p>
    <w:p w:rsidR="007178B6" w:rsidRDefault="007178B6" w:rsidP="007178B6">
      <w:pPr>
        <w:rPr>
          <w:rFonts w:cs="Arial"/>
        </w:rPr>
      </w:pPr>
      <w:r>
        <w:rPr>
          <w:rFonts w:cs="Arial"/>
        </w:rPr>
        <w:t>High granularity seems to yield spurious results and high implementation and ongoing costs.</w:t>
      </w:r>
    </w:p>
    <w:p w:rsidR="00AD714C" w:rsidRPr="00AD714C" w:rsidRDefault="00AD714C" w:rsidP="00AD714C">
      <w:pPr>
        <w:rPr>
          <w:rFonts w:cs="Arial"/>
        </w:rPr>
      </w:pPr>
      <w:r w:rsidRPr="00AD714C">
        <w:rPr>
          <w:rFonts w:cs="Arial"/>
        </w:rPr>
        <w:t xml:space="preserve">It seems that to apply the proposed methodology a look-though on single investment level is necessary. </w:t>
      </w:r>
    </w:p>
    <w:p w:rsidR="00AD714C" w:rsidRPr="00AD714C" w:rsidRDefault="00AD714C" w:rsidP="00AD714C">
      <w:pPr>
        <w:rPr>
          <w:rFonts w:cs="Arial"/>
        </w:rPr>
      </w:pPr>
      <w:r w:rsidRPr="00AD714C">
        <w:rPr>
          <w:rFonts w:cs="Arial"/>
        </w:rPr>
        <w:t>There will be a huge effort necessary to gather all relevant information: The more detailed the method, the more data is needed – problem: look-through may not be feasible easily – how to apply derivatives and hedging instruments. What happens in case of not listed investments, derivatives is not specified.</w:t>
      </w:r>
    </w:p>
    <w:p w:rsidR="00AD714C" w:rsidRPr="00AD714C" w:rsidRDefault="00AD714C" w:rsidP="00AD714C">
      <w:pPr>
        <w:rPr>
          <w:rFonts w:cs="Arial"/>
        </w:rPr>
      </w:pPr>
      <w:r w:rsidRPr="00AD714C">
        <w:rPr>
          <w:rFonts w:cs="Arial"/>
        </w:rPr>
        <w:t xml:space="preserve">There will be difficulty to establish and gather (update) information about risk </w:t>
      </w:r>
      <w:proofErr w:type="spellStart"/>
      <w:r w:rsidRPr="00AD714C">
        <w:rPr>
          <w:rFonts w:cs="Arial"/>
        </w:rPr>
        <w:t>premia</w:t>
      </w:r>
      <w:proofErr w:type="spellEnd"/>
      <w:r w:rsidRPr="00AD714C">
        <w:rPr>
          <w:rFonts w:cs="Arial"/>
        </w:rPr>
        <w:t xml:space="preserve"> (central organization determining figures valid for all countries, country specific)</w:t>
      </w:r>
    </w:p>
    <w:p w:rsidR="00AD714C" w:rsidRPr="00AD714C" w:rsidRDefault="00AD714C" w:rsidP="00AD714C">
      <w:pPr>
        <w:rPr>
          <w:rFonts w:cs="Arial"/>
        </w:rPr>
      </w:pPr>
      <w:r w:rsidRPr="00AD714C">
        <w:rPr>
          <w:rFonts w:cs="Arial"/>
        </w:rPr>
        <w:t>The general question is: has the proposed methodology the necessary power that the benefit justifies the effort?</w:t>
      </w:r>
    </w:p>
    <w:p w:rsidR="00AD714C" w:rsidRPr="00AD714C" w:rsidRDefault="00AD714C" w:rsidP="00AD714C">
      <w:pPr>
        <w:rPr>
          <w:rFonts w:cs="Arial"/>
        </w:rPr>
      </w:pPr>
    </w:p>
    <w:p w:rsidR="00AD714C" w:rsidRPr="00AD714C" w:rsidRDefault="00AD714C" w:rsidP="00AD714C">
      <w:pPr>
        <w:rPr>
          <w:rFonts w:cs="Arial"/>
        </w:rPr>
      </w:pPr>
      <w:r w:rsidRPr="00AD714C">
        <w:rPr>
          <w:rFonts w:cs="Arial"/>
        </w:rPr>
        <w:t xml:space="preserve">Furthermore, market data is required – so license agreements with external market data provider need to be in place: Possible license issues (major increase in </w:t>
      </w:r>
      <w:proofErr w:type="gramStart"/>
      <w:r w:rsidRPr="00AD714C">
        <w:rPr>
          <w:rFonts w:cs="Arial"/>
        </w:rPr>
        <w:t>costs  such</w:t>
      </w:r>
      <w:proofErr w:type="gramEnd"/>
      <w:r w:rsidRPr="00AD714C">
        <w:rPr>
          <w:rFonts w:cs="Arial"/>
        </w:rPr>
        <w:t xml:space="preserve"> as license costs, implementation  and maintenance costs, dependencies, …) need to be taken into account.</w:t>
      </w:r>
    </w:p>
    <w:p w:rsidR="00AD714C" w:rsidRPr="00AD714C" w:rsidRDefault="00AD714C" w:rsidP="00AD714C">
      <w:pPr>
        <w:rPr>
          <w:rFonts w:cs="Arial"/>
        </w:rPr>
      </w:pPr>
    </w:p>
    <w:p w:rsidR="00AD714C" w:rsidRPr="00AD714C" w:rsidRDefault="003B5C6E" w:rsidP="00AD714C">
      <w:pPr>
        <w:rPr>
          <w:rFonts w:cs="Arial"/>
        </w:rPr>
      </w:pPr>
      <w:r>
        <w:rPr>
          <w:rFonts w:cs="Arial"/>
        </w:rPr>
        <w:t>The d</w:t>
      </w:r>
      <w:r w:rsidR="00AD714C" w:rsidRPr="00AD714C">
        <w:rPr>
          <w:rFonts w:cs="Arial"/>
        </w:rPr>
        <w:t xml:space="preserve">egree of granularity </w:t>
      </w:r>
      <w:proofErr w:type="gramStart"/>
      <w:r>
        <w:rPr>
          <w:rFonts w:cs="Arial"/>
        </w:rPr>
        <w:t>would need</w:t>
      </w:r>
      <w:proofErr w:type="gramEnd"/>
      <w:r w:rsidR="00AD714C" w:rsidRPr="00AD714C">
        <w:rPr>
          <w:rFonts w:cs="Arial"/>
        </w:rPr>
        <w:t xml:space="preserve"> be defined by regulators to ensure comparability; it should not be too granular to minimize complexity and data issues.</w:t>
      </w:r>
    </w:p>
    <w:p w:rsidR="00AD714C" w:rsidRDefault="00273211" w:rsidP="00AD714C">
      <w:pPr>
        <w:rPr>
          <w:rFonts w:cs="Arial"/>
        </w:rPr>
      </w:pPr>
      <w:r w:rsidRPr="00273211">
        <w:rPr>
          <w:rFonts w:cs="Arial"/>
        </w:rPr>
        <w:t>It is unclear how funds which are not Market Funds but Absolute or Total Return Funds (in the sense of the UCITS KIID) should be treated, e.g. so-called “liquid alternatives” such as long-short strategies.</w:t>
      </w:r>
    </w:p>
    <w:p w:rsidR="00273211" w:rsidRPr="00AD714C" w:rsidRDefault="00273211" w:rsidP="00AD714C">
      <w:pPr>
        <w:rPr>
          <w:rFonts w:cs="Arial"/>
        </w:rPr>
      </w:pPr>
    </w:p>
    <w:p w:rsidR="00AD714C" w:rsidRPr="00AD714C" w:rsidRDefault="00AD714C" w:rsidP="00AD714C">
      <w:pPr>
        <w:rPr>
          <w:rFonts w:cs="Arial"/>
        </w:rPr>
      </w:pPr>
      <w:r w:rsidRPr="00AD714C">
        <w:rPr>
          <w:rFonts w:cs="Arial"/>
        </w:rPr>
        <w:t>It is necessary to establish a central provider of unique figures to be used (otherwise comparability is not granted)</w:t>
      </w:r>
    </w:p>
    <w:p w:rsidR="00AD714C" w:rsidRPr="00AD714C" w:rsidRDefault="00AD714C" w:rsidP="007178B6">
      <w:pPr>
        <w:rPr>
          <w:rFonts w:cs="Arial"/>
          <w:lang w:val="en-US"/>
        </w:rPr>
      </w:pPr>
    </w:p>
    <w:permEnd w:id="81147200"/>
    <w:p w:rsidR="003E573C" w:rsidRDefault="003E573C" w:rsidP="003E573C">
      <w:pPr>
        <w:rPr>
          <w:rFonts w:cs="Arial"/>
        </w:rPr>
      </w:pPr>
      <w:r>
        <w:rPr>
          <w:rFonts w:cs="Arial"/>
        </w:rPr>
        <w:t>&lt;ESA_QUESTION_PKID_10&gt;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w:t>
      </w:r>
      <w:r w:rsidRPr="00763760">
        <w:t>a</w:t>
      </w:r>
      <w:r w:rsidRPr="00763760">
        <w:t>lyst reports. How should the expected dividend rates be determined?</w:t>
      </w:r>
    </w:p>
    <w:p w:rsidR="003E573C" w:rsidRDefault="003E573C" w:rsidP="003E573C">
      <w:pPr>
        <w:rPr>
          <w:rFonts w:cs="Arial"/>
        </w:rPr>
      </w:pPr>
      <w:r>
        <w:rPr>
          <w:rFonts w:cs="Arial"/>
        </w:rPr>
        <w:t>&lt;ESA_QUESTION_PKID_11&gt;</w:t>
      </w:r>
    </w:p>
    <w:p w:rsidR="003E573C" w:rsidRDefault="00E1363A" w:rsidP="003E573C">
      <w:pPr>
        <w:rPr>
          <w:rFonts w:cs="Arial"/>
        </w:rPr>
      </w:pPr>
      <w:permStart w:id="1396259068" w:edGrp="everyone"/>
      <w:r>
        <w:rPr>
          <w:rFonts w:cs="Arial"/>
        </w:rPr>
        <w:t>We are not in favour of the dividend approach as it does not seem fit for this purpose.</w:t>
      </w:r>
    </w:p>
    <w:permEnd w:id="1396259068"/>
    <w:p w:rsidR="003E573C" w:rsidRDefault="003E573C" w:rsidP="003E573C">
      <w:pPr>
        <w:rPr>
          <w:rFonts w:cs="Arial"/>
        </w:rPr>
      </w:pPr>
      <w:r>
        <w:rPr>
          <w:rFonts w:cs="Arial"/>
        </w:rPr>
        <w:t>&lt;ESA_QUESTION_PKID_11&gt;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How should share buyback rates be estimated?</w:t>
      </w:r>
    </w:p>
    <w:p w:rsidR="003E573C" w:rsidRDefault="003E573C" w:rsidP="003E573C">
      <w:pPr>
        <w:rPr>
          <w:rFonts w:cs="Arial"/>
        </w:rPr>
      </w:pPr>
      <w:r>
        <w:rPr>
          <w:rFonts w:cs="Arial"/>
        </w:rPr>
        <w:lastRenderedPageBreak/>
        <w:t>&lt;ESA_QUESTION_PKID_12&gt;</w:t>
      </w:r>
    </w:p>
    <w:p w:rsidR="003E573C" w:rsidRDefault="003E573C" w:rsidP="003E573C">
      <w:pPr>
        <w:rPr>
          <w:rFonts w:cs="Arial"/>
        </w:rPr>
      </w:pPr>
      <w:permStart w:id="698775390" w:edGrp="everyone"/>
      <w:r>
        <w:rPr>
          <w:rFonts w:cs="Arial"/>
        </w:rPr>
        <w:t>TYPE YOUR TEXT HERE</w:t>
      </w:r>
    </w:p>
    <w:permEnd w:id="698775390"/>
    <w:p w:rsidR="003E573C" w:rsidRDefault="003E573C" w:rsidP="003E573C">
      <w:pPr>
        <w:rPr>
          <w:rFonts w:cs="Arial"/>
        </w:rPr>
      </w:pPr>
      <w:r>
        <w:rPr>
          <w:rFonts w:cs="Arial"/>
        </w:rPr>
        <w:t>&lt;ESA_QUESTION_PKID_12&gt;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rsidR="003E573C" w:rsidRDefault="003E573C" w:rsidP="003E573C">
      <w:pPr>
        <w:rPr>
          <w:rFonts w:cs="Arial"/>
        </w:rPr>
      </w:pPr>
      <w:r>
        <w:rPr>
          <w:rFonts w:cs="Arial"/>
        </w:rPr>
        <w:t>&lt;ESA_QUESTION_PKID_13&gt;</w:t>
      </w:r>
    </w:p>
    <w:p w:rsidR="003E573C" w:rsidRDefault="00B222AE" w:rsidP="003E573C">
      <w:pPr>
        <w:rPr>
          <w:rFonts w:cs="Arial"/>
        </w:rPr>
      </w:pPr>
      <w:permStart w:id="354620120" w:edGrp="everyone"/>
      <w:r>
        <w:rPr>
          <w:rFonts w:cs="Arial"/>
        </w:rPr>
        <w:t>A more detailed guideline would be required here.</w:t>
      </w:r>
    </w:p>
    <w:permEnd w:id="354620120"/>
    <w:p w:rsidR="003E573C" w:rsidRDefault="003E573C" w:rsidP="003E573C">
      <w:pPr>
        <w:rPr>
          <w:rFonts w:cs="Arial"/>
        </w:rPr>
      </w:pPr>
      <w:r>
        <w:rPr>
          <w:rFonts w:cs="Arial"/>
        </w:rPr>
        <w:t>&lt;ESA_QUESTION_PKID_13&gt;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w:t>
      </w:r>
      <w:r w:rsidRPr="00763760">
        <w:t>i</w:t>
      </w:r>
      <w:r w:rsidRPr="00763760">
        <w:t>mate should be used if option prices are not available for a particular asset (equities namely)?</w:t>
      </w:r>
    </w:p>
    <w:p w:rsidR="003E573C" w:rsidRDefault="003E573C" w:rsidP="003E573C">
      <w:pPr>
        <w:rPr>
          <w:rFonts w:cs="Arial"/>
        </w:rPr>
      </w:pPr>
      <w:r>
        <w:rPr>
          <w:rFonts w:cs="Arial"/>
        </w:rPr>
        <w:t>&lt;ESA_QUESTION_PKID_14&gt;</w:t>
      </w:r>
    </w:p>
    <w:p w:rsidR="003E573C" w:rsidRDefault="003E573C" w:rsidP="003E573C">
      <w:pPr>
        <w:rPr>
          <w:rFonts w:cs="Arial"/>
        </w:rPr>
      </w:pPr>
      <w:permStart w:id="2004947211" w:edGrp="everyone"/>
      <w:r>
        <w:rPr>
          <w:rFonts w:cs="Arial"/>
        </w:rPr>
        <w:t>TYPE YOUR TEXT HERE</w:t>
      </w:r>
    </w:p>
    <w:permEnd w:id="2004947211"/>
    <w:p w:rsidR="003E573C" w:rsidRDefault="003E573C" w:rsidP="003E573C">
      <w:pPr>
        <w:rPr>
          <w:rFonts w:cs="Arial"/>
        </w:rPr>
      </w:pPr>
      <w:r>
        <w:rPr>
          <w:rFonts w:cs="Arial"/>
        </w:rPr>
        <w:t>&lt;ESA_QUESTION_PKID_14&gt;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rsidR="003E573C" w:rsidRDefault="003E573C" w:rsidP="003E573C">
      <w:pPr>
        <w:rPr>
          <w:rFonts w:cs="Arial"/>
        </w:rPr>
      </w:pPr>
      <w:r>
        <w:rPr>
          <w:rFonts w:cs="Arial"/>
        </w:rPr>
        <w:t>&lt;ESA_QUESTION_PKID_15&gt;</w:t>
      </w:r>
    </w:p>
    <w:p w:rsidR="00A317E1" w:rsidRDefault="00A317E1" w:rsidP="003E573C">
      <w:pPr>
        <w:rPr>
          <w:rFonts w:cs="Arial"/>
        </w:rPr>
      </w:pPr>
      <w:permStart w:id="1112830294" w:edGrp="everyone"/>
      <w:r>
        <w:rPr>
          <w:rFonts w:cs="Arial"/>
        </w:rPr>
        <w:t>We would prefer better tested methodology altogether. It remains unclear why this methodology is consi</w:t>
      </w:r>
      <w:r>
        <w:rPr>
          <w:rFonts w:cs="Arial"/>
        </w:rPr>
        <w:t>d</w:t>
      </w:r>
      <w:r>
        <w:rPr>
          <w:rFonts w:cs="Arial"/>
        </w:rPr>
        <w:t>ered to be fitting for this purpose. It is not clear how unforeseen problems can be compensated for ex ante.</w:t>
      </w:r>
    </w:p>
    <w:permEnd w:id="1112830294"/>
    <w:p w:rsidR="003E573C" w:rsidRDefault="003E573C" w:rsidP="003E573C">
      <w:pPr>
        <w:rPr>
          <w:rFonts w:cs="Arial"/>
        </w:rPr>
      </w:pPr>
      <w:r>
        <w:rPr>
          <w:rFonts w:cs="Arial"/>
        </w:rPr>
        <w:t>&lt;ESA_QUESTION_PKID_15&gt;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rsidR="003E573C" w:rsidRDefault="003E573C" w:rsidP="003E573C">
      <w:pPr>
        <w:rPr>
          <w:rFonts w:cs="Arial"/>
        </w:rPr>
      </w:pPr>
      <w:r>
        <w:rPr>
          <w:rFonts w:cs="Arial"/>
        </w:rPr>
        <w:t>&lt;ESA_QUESTION_PKID_16&gt;</w:t>
      </w:r>
    </w:p>
    <w:p w:rsidR="003E573C" w:rsidRDefault="00A317E1" w:rsidP="003E573C">
      <w:pPr>
        <w:rPr>
          <w:rFonts w:cs="Arial"/>
        </w:rPr>
      </w:pPr>
      <w:permStart w:id="1847936063" w:edGrp="everyone"/>
      <w:r>
        <w:rPr>
          <w:rFonts w:cs="Arial"/>
        </w:rPr>
        <w:t>We have severe doubts that the options allow for comparability.</w:t>
      </w:r>
    </w:p>
    <w:permEnd w:id="1847936063"/>
    <w:p w:rsidR="003E573C" w:rsidRDefault="003E573C" w:rsidP="003E573C">
      <w:pPr>
        <w:rPr>
          <w:rFonts w:cs="Arial"/>
        </w:rPr>
      </w:pPr>
      <w:r>
        <w:rPr>
          <w:rFonts w:cs="Arial"/>
        </w:rPr>
        <w:t>&lt;ESA_QUESTION_PKID_16&gt;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compensatory mechanisms that could address unforeseen methodolog</w:t>
      </w:r>
      <w:r w:rsidRPr="00763760">
        <w:t>i</w:t>
      </w:r>
      <w:r w:rsidRPr="00763760">
        <w:t>cal faults? If yes, please explain the mechanism; explain how it ensures that scenario info</w:t>
      </w:r>
      <w:r w:rsidRPr="00763760">
        <w:t>r</w:t>
      </w:r>
      <w:r w:rsidRPr="00763760">
        <w:t>mation in the KID allows investors to compare PRIIPs, and explain how the information for similar products from different manufacturers remains sufficiently consistent.</w:t>
      </w:r>
    </w:p>
    <w:p w:rsidR="003E573C" w:rsidRDefault="003E573C" w:rsidP="003E573C">
      <w:pPr>
        <w:rPr>
          <w:rFonts w:cs="Arial"/>
        </w:rPr>
      </w:pPr>
      <w:r>
        <w:rPr>
          <w:rFonts w:cs="Arial"/>
        </w:rPr>
        <w:t>&lt;ESA_QUESTION_PKID_17&gt;</w:t>
      </w:r>
    </w:p>
    <w:p w:rsidR="003E573C" w:rsidRDefault="003E573C" w:rsidP="003E573C">
      <w:pPr>
        <w:rPr>
          <w:rFonts w:cs="Arial"/>
        </w:rPr>
      </w:pPr>
      <w:permStart w:id="1407341552" w:edGrp="everyone"/>
      <w:r>
        <w:rPr>
          <w:rFonts w:cs="Arial"/>
        </w:rPr>
        <w:t>TYPE YOUR TEXT HERE</w:t>
      </w:r>
    </w:p>
    <w:permEnd w:id="1407341552"/>
    <w:p w:rsidR="003E573C" w:rsidRDefault="003E573C" w:rsidP="003E573C">
      <w:pPr>
        <w:rPr>
          <w:rFonts w:cs="Arial"/>
        </w:rPr>
      </w:pPr>
      <w:r>
        <w:rPr>
          <w:rFonts w:cs="Arial"/>
        </w:rPr>
        <w:t>&lt;ESA_QUESTION_PKID_17&gt;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What are your views on the use of a simplified approach such as the one detailed above, instead of the use of probabilistic methodologies with more granular asset specific requir</w:t>
      </w:r>
      <w:r w:rsidRPr="00763760">
        <w:t>e</w:t>
      </w:r>
      <w:r w:rsidRPr="00763760">
        <w:t xml:space="preserve">ments? </w:t>
      </w:r>
    </w:p>
    <w:p w:rsidR="003E573C" w:rsidRDefault="003E573C" w:rsidP="003E573C">
      <w:pPr>
        <w:rPr>
          <w:rFonts w:cs="Arial"/>
        </w:rPr>
      </w:pPr>
      <w:r>
        <w:rPr>
          <w:rFonts w:cs="Arial"/>
        </w:rPr>
        <w:t>&lt;ESA_QUESTION_PKID_18&gt;</w:t>
      </w:r>
    </w:p>
    <w:p w:rsidR="003E573C" w:rsidRDefault="00A536E5" w:rsidP="003E573C">
      <w:pPr>
        <w:rPr>
          <w:rFonts w:cs="Arial"/>
        </w:rPr>
      </w:pPr>
      <w:permStart w:id="83184578" w:edGrp="everyone"/>
      <w:r>
        <w:rPr>
          <w:rFonts w:cs="Arial"/>
        </w:rPr>
        <w:t>The description of the approach is too vague to give an assessment. What are the growth rate being used for? How to you get probabilistic results from fixed growth rates?</w:t>
      </w:r>
    </w:p>
    <w:permEnd w:id="83184578"/>
    <w:p w:rsidR="003E573C" w:rsidRDefault="003E573C" w:rsidP="003E573C">
      <w:pPr>
        <w:rPr>
          <w:rFonts w:cs="Arial"/>
        </w:rPr>
      </w:pPr>
      <w:r>
        <w:rPr>
          <w:rFonts w:cs="Arial"/>
        </w:rPr>
        <w:lastRenderedPageBreak/>
        <w:t>&lt;ESA_QUESTION_PKID_18&gt;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rsidR="003E573C" w:rsidRDefault="003E573C" w:rsidP="003E573C">
      <w:pPr>
        <w:rPr>
          <w:rFonts w:cs="Arial"/>
        </w:rPr>
      </w:pPr>
      <w:r>
        <w:rPr>
          <w:rFonts w:cs="Arial"/>
        </w:rPr>
        <w:t>&lt;ESA_QUESTION_PKID_19&gt;</w:t>
      </w:r>
    </w:p>
    <w:p w:rsidR="003E573C" w:rsidRDefault="003E573C" w:rsidP="003E573C">
      <w:pPr>
        <w:rPr>
          <w:rFonts w:cs="Arial"/>
        </w:rPr>
      </w:pPr>
      <w:permStart w:id="1757832901" w:edGrp="everyone"/>
      <w:r>
        <w:rPr>
          <w:rFonts w:cs="Arial"/>
        </w:rPr>
        <w:t>TYPE YOUR TEXT HERE</w:t>
      </w:r>
    </w:p>
    <w:permEnd w:id="1757832901"/>
    <w:p w:rsidR="003E573C" w:rsidRDefault="003E573C" w:rsidP="003E573C">
      <w:pPr>
        <w:rPr>
          <w:rFonts w:cs="Arial"/>
        </w:rPr>
      </w:pPr>
      <w:r>
        <w:rPr>
          <w:rFonts w:cs="Arial"/>
        </w:rPr>
        <w:t>&lt;ESA_QUESTION_PKID_19&gt;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w:t>
      </w:r>
      <w:r w:rsidRPr="00763760">
        <w:t>b</w:t>
      </w:r>
      <w:r w:rsidRPr="00763760">
        <w:t>abilistic methodology and to present the results to investors?</w:t>
      </w:r>
    </w:p>
    <w:p w:rsidR="003E573C" w:rsidRDefault="003E573C" w:rsidP="003E573C">
      <w:pPr>
        <w:rPr>
          <w:rFonts w:cs="Arial"/>
        </w:rPr>
      </w:pPr>
      <w:r>
        <w:rPr>
          <w:rFonts w:cs="Arial"/>
        </w:rPr>
        <w:t>&lt;ESA_QUESTION_PKID_20&gt;</w:t>
      </w:r>
    </w:p>
    <w:p w:rsidR="00A536E5" w:rsidRDefault="00A536E5" w:rsidP="003E573C">
      <w:pPr>
        <w:rPr>
          <w:rFonts w:cs="Arial"/>
        </w:rPr>
      </w:pPr>
      <w:permStart w:id="621624191" w:edGrp="everyone"/>
      <w:r w:rsidRPr="00A536E5">
        <w:rPr>
          <w:rFonts w:cs="Arial"/>
        </w:rPr>
        <w:t>We propose the use of just one methodology for all products as far as possible in order to</w:t>
      </w:r>
      <w:r w:rsidR="001A0E61">
        <w:rPr>
          <w:rFonts w:cs="Arial"/>
        </w:rPr>
        <w:t xml:space="preserve"> </w:t>
      </w:r>
      <w:r w:rsidRPr="00A536E5">
        <w:rPr>
          <w:rFonts w:cs="Arial"/>
        </w:rPr>
        <w:t>provide co</w:t>
      </w:r>
      <w:r w:rsidRPr="00A536E5">
        <w:rPr>
          <w:rFonts w:cs="Arial"/>
        </w:rPr>
        <w:t>n</w:t>
      </w:r>
      <w:r w:rsidRPr="00A536E5">
        <w:rPr>
          <w:rFonts w:cs="Arial"/>
        </w:rPr>
        <w:t>sumers with meaningful information and ensure proper comparability of different</w:t>
      </w:r>
      <w:r w:rsidR="001A0E61">
        <w:rPr>
          <w:rFonts w:cs="Arial"/>
        </w:rPr>
        <w:t xml:space="preserve"> </w:t>
      </w:r>
      <w:r w:rsidRPr="00A536E5">
        <w:rPr>
          <w:rFonts w:cs="Arial"/>
        </w:rPr>
        <w:t>products.</w:t>
      </w:r>
    </w:p>
    <w:permEnd w:id="621624191"/>
    <w:p w:rsidR="003E573C" w:rsidRDefault="003E573C" w:rsidP="003E573C">
      <w:pPr>
        <w:rPr>
          <w:rFonts w:cs="Arial"/>
        </w:rPr>
      </w:pPr>
      <w:r>
        <w:rPr>
          <w:rFonts w:cs="Arial"/>
        </w:rPr>
        <w:t>&lt;ESA_QUESTION_PKID_20&gt;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rsidR="003E573C" w:rsidRDefault="003E573C" w:rsidP="003E573C">
      <w:pPr>
        <w:rPr>
          <w:rFonts w:cs="Arial"/>
        </w:rPr>
      </w:pPr>
      <w:r>
        <w:rPr>
          <w:rFonts w:cs="Arial"/>
        </w:rPr>
        <w:t>&lt;ESA_QUESTION_PKID_21&gt;</w:t>
      </w:r>
    </w:p>
    <w:p w:rsidR="00A536E5" w:rsidRPr="00A536E5" w:rsidRDefault="00A536E5" w:rsidP="00A536E5">
      <w:pPr>
        <w:rPr>
          <w:rFonts w:cs="Arial"/>
          <w:sz w:val="21"/>
          <w:szCs w:val="21"/>
          <w:lang w:val="en-US" w:eastAsia="en-GB"/>
        </w:rPr>
      </w:pPr>
      <w:permStart w:id="905514983" w:edGrp="everyone"/>
      <w:r>
        <w:rPr>
          <w:rFonts w:cs="Arial"/>
          <w:sz w:val="21"/>
          <w:szCs w:val="21"/>
          <w:lang w:val="en-US" w:eastAsia="en-GB"/>
        </w:rPr>
        <w:t xml:space="preserve">No, we </w:t>
      </w:r>
      <w:r w:rsidR="00EC5820">
        <w:rPr>
          <w:rFonts w:cs="Arial"/>
          <w:sz w:val="21"/>
          <w:szCs w:val="21"/>
          <w:lang w:val="en-US" w:eastAsia="en-GB"/>
        </w:rPr>
        <w:t xml:space="preserve">would </w:t>
      </w:r>
      <w:r>
        <w:rPr>
          <w:rFonts w:cs="Arial"/>
          <w:sz w:val="21"/>
          <w:szCs w:val="21"/>
          <w:lang w:val="en-US" w:eastAsia="en-GB"/>
        </w:rPr>
        <w:t>prefer a</w:t>
      </w:r>
      <w:r w:rsidR="00EC5820">
        <w:rPr>
          <w:rFonts w:cs="Arial"/>
          <w:sz w:val="21"/>
          <w:szCs w:val="21"/>
          <w:lang w:val="en-US" w:eastAsia="en-GB"/>
        </w:rPr>
        <w:t>n</w:t>
      </w:r>
      <w:r>
        <w:rPr>
          <w:rFonts w:cs="Arial"/>
          <w:sz w:val="21"/>
          <w:szCs w:val="21"/>
          <w:lang w:val="en-US" w:eastAsia="en-GB"/>
        </w:rPr>
        <w:t xml:space="preserve"> approach</w:t>
      </w:r>
      <w:r w:rsidR="00EC5820">
        <w:rPr>
          <w:rFonts w:cs="Arial"/>
          <w:sz w:val="21"/>
          <w:szCs w:val="21"/>
          <w:lang w:val="en-US" w:eastAsia="en-GB"/>
        </w:rPr>
        <w:t xml:space="preserve"> which works better across the broad scope of PRIIPs</w:t>
      </w:r>
      <w:r>
        <w:rPr>
          <w:rFonts w:cs="Arial"/>
          <w:sz w:val="21"/>
          <w:szCs w:val="21"/>
          <w:lang w:val="en-US" w:eastAsia="en-GB"/>
        </w:rPr>
        <w:t>.</w:t>
      </w:r>
    </w:p>
    <w:permEnd w:id="905514983"/>
    <w:p w:rsidR="003E573C" w:rsidRDefault="003E573C" w:rsidP="003E573C">
      <w:pPr>
        <w:rPr>
          <w:rFonts w:cs="Arial"/>
        </w:rPr>
      </w:pPr>
      <w:r>
        <w:rPr>
          <w:rFonts w:cs="Arial"/>
        </w:rPr>
        <w:t>&lt;ESA_QUESTION_PKID_21&gt;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rsidR="003E573C" w:rsidRDefault="003E573C" w:rsidP="003E573C">
      <w:pPr>
        <w:rPr>
          <w:rFonts w:cs="Arial"/>
        </w:rPr>
      </w:pPr>
      <w:r>
        <w:rPr>
          <w:rFonts w:cs="Arial"/>
        </w:rPr>
        <w:t>&lt;ESA_QUESTION_PKID_22&gt;</w:t>
      </w:r>
    </w:p>
    <w:p w:rsidR="00A536E5" w:rsidRPr="0026039F" w:rsidRDefault="00A536E5" w:rsidP="001A0E61">
      <w:pPr>
        <w:autoSpaceDE w:val="0"/>
        <w:autoSpaceDN w:val="0"/>
        <w:adjustRightInd w:val="0"/>
        <w:rPr>
          <w:rFonts w:cs="Arial"/>
        </w:rPr>
      </w:pPr>
      <w:permStart w:id="1966948745" w:edGrp="everyone"/>
      <w:r w:rsidRPr="0026039F">
        <w:rPr>
          <w:rFonts w:cs="Arial"/>
        </w:rPr>
        <w:t>Forward-looking stochastic modelling is the most suitable option for determining</w:t>
      </w:r>
      <w:r w:rsidR="001A0E61" w:rsidRPr="0026039F">
        <w:rPr>
          <w:rFonts w:cs="Arial"/>
        </w:rPr>
        <w:t xml:space="preserve"> </w:t>
      </w:r>
      <w:r w:rsidRPr="0026039F">
        <w:rPr>
          <w:rFonts w:cs="Arial"/>
        </w:rPr>
        <w:t>the risk/reward indicator for such a broad range of products from different sectors. When</w:t>
      </w:r>
      <w:r w:rsidR="001A0E61" w:rsidRPr="0026039F">
        <w:rPr>
          <w:rFonts w:cs="Arial"/>
        </w:rPr>
        <w:t xml:space="preserve"> </w:t>
      </w:r>
      <w:r w:rsidRPr="0026039F">
        <w:rPr>
          <w:rFonts w:cs="Arial"/>
        </w:rPr>
        <w:t>establishing uniform rules, it is important that all details are prescribed on the EU level as far</w:t>
      </w:r>
      <w:r w:rsidR="001A0E61" w:rsidRPr="0026039F">
        <w:rPr>
          <w:rFonts w:cs="Arial"/>
        </w:rPr>
        <w:t xml:space="preserve"> </w:t>
      </w:r>
      <w:r w:rsidRPr="0026039F">
        <w:rPr>
          <w:rFonts w:cs="Arial"/>
        </w:rPr>
        <w:t>as possible, including models and parameters. This would enhance the comparability of the</w:t>
      </w:r>
      <w:r w:rsidR="001A0E61" w:rsidRPr="0026039F">
        <w:rPr>
          <w:rFonts w:cs="Arial"/>
        </w:rPr>
        <w:t xml:space="preserve"> </w:t>
      </w:r>
      <w:r w:rsidRPr="0026039F">
        <w:rPr>
          <w:rFonts w:cs="Arial"/>
        </w:rPr>
        <w:t>PRIIPs and lead to legal certainty. The forward-looking stochastic modelling approach was</w:t>
      </w:r>
      <w:r w:rsidR="001A0E61" w:rsidRPr="0026039F">
        <w:rPr>
          <w:rFonts w:cs="Arial"/>
        </w:rPr>
        <w:t xml:space="preserve"> </w:t>
      </w:r>
      <w:r w:rsidRPr="0026039F">
        <w:rPr>
          <w:rFonts w:cs="Arial"/>
        </w:rPr>
        <w:t>already suggested in the Technical Discussion Paper (see consultation paper from 10th</w:t>
      </w:r>
      <w:r w:rsidR="001A0E61" w:rsidRPr="0026039F">
        <w:rPr>
          <w:rFonts w:cs="Arial"/>
        </w:rPr>
        <w:t xml:space="preserve"> </w:t>
      </w:r>
      <w:r w:rsidRPr="0026039F">
        <w:rPr>
          <w:rFonts w:cs="Arial"/>
        </w:rPr>
        <w:t>November 2015). Standard textbook methodology should be preferred instead of the current</w:t>
      </w:r>
      <w:r w:rsidR="001A0E61" w:rsidRPr="0026039F">
        <w:rPr>
          <w:rFonts w:cs="Arial"/>
        </w:rPr>
        <w:t xml:space="preserve"> </w:t>
      </w:r>
      <w:r w:rsidRPr="0026039F">
        <w:rPr>
          <w:rFonts w:cs="Arial"/>
        </w:rPr>
        <w:t>methodology which is in many places not consistent, like e.g. the requirement for discounting</w:t>
      </w:r>
      <w:r w:rsidR="001A0E61" w:rsidRPr="0026039F">
        <w:rPr>
          <w:rFonts w:cs="Arial"/>
        </w:rPr>
        <w:t xml:space="preserve"> </w:t>
      </w:r>
      <w:r w:rsidRPr="0026039F">
        <w:rPr>
          <w:rFonts w:cs="Arial"/>
        </w:rPr>
        <w:t>with the risk free rate which does not reflect market risk.</w:t>
      </w:r>
    </w:p>
    <w:p w:rsidR="001A0E61" w:rsidRPr="0026039F" w:rsidRDefault="001A0E61" w:rsidP="001A0E61">
      <w:pPr>
        <w:autoSpaceDE w:val="0"/>
        <w:autoSpaceDN w:val="0"/>
        <w:adjustRightInd w:val="0"/>
        <w:rPr>
          <w:rFonts w:cs="Arial"/>
        </w:rPr>
      </w:pPr>
    </w:p>
    <w:p w:rsidR="00A536E5" w:rsidRPr="0026039F" w:rsidRDefault="00A536E5" w:rsidP="001A0E61">
      <w:pPr>
        <w:autoSpaceDE w:val="0"/>
        <w:autoSpaceDN w:val="0"/>
        <w:adjustRightInd w:val="0"/>
        <w:rPr>
          <w:rFonts w:cs="Arial"/>
        </w:rPr>
      </w:pPr>
      <w:r w:rsidRPr="0026039F">
        <w:rPr>
          <w:rFonts w:cs="Arial"/>
        </w:rPr>
        <w:t>While stochastic modelling is very well suited to derive a risk indicator it cannot be used to</w:t>
      </w:r>
      <w:r w:rsidR="001A0E61" w:rsidRPr="0026039F">
        <w:rPr>
          <w:rFonts w:cs="Arial"/>
        </w:rPr>
        <w:t xml:space="preserve"> </w:t>
      </w:r>
      <w:r w:rsidRPr="0026039F">
        <w:rPr>
          <w:rFonts w:cs="Arial"/>
        </w:rPr>
        <w:t>make absolute long term predictions for future performance. Any system that gives the</w:t>
      </w:r>
      <w:r w:rsidR="001A0E61" w:rsidRPr="0026039F">
        <w:rPr>
          <w:rFonts w:cs="Arial"/>
        </w:rPr>
        <w:t xml:space="preserve"> </w:t>
      </w:r>
      <w:r w:rsidRPr="0026039F">
        <w:rPr>
          <w:rFonts w:cs="Arial"/>
        </w:rPr>
        <w:t>impression on predicting the future is not well suited for performance scenarios. What-if</w:t>
      </w:r>
      <w:r w:rsidR="001A0E61" w:rsidRPr="0026039F">
        <w:rPr>
          <w:rFonts w:cs="Arial"/>
        </w:rPr>
        <w:t xml:space="preserve"> </w:t>
      </w:r>
      <w:r w:rsidRPr="0026039F">
        <w:rPr>
          <w:rFonts w:cs="Arial"/>
        </w:rPr>
        <w:t>scenarios with prescribed scenarios are much better suited for retail investors. It is important</w:t>
      </w:r>
      <w:r w:rsidR="001A0E61" w:rsidRPr="0026039F">
        <w:rPr>
          <w:rFonts w:cs="Arial"/>
        </w:rPr>
        <w:t xml:space="preserve"> </w:t>
      </w:r>
      <w:r w:rsidRPr="0026039F">
        <w:rPr>
          <w:rFonts w:cs="Arial"/>
        </w:rPr>
        <w:t>that the retail investors understand the limitations of performance scenarios. Therefore,</w:t>
      </w:r>
      <w:r w:rsidR="001A0E61" w:rsidRPr="0026039F">
        <w:rPr>
          <w:rFonts w:cs="Arial"/>
        </w:rPr>
        <w:t xml:space="preserve"> </w:t>
      </w:r>
      <w:r w:rsidRPr="0026039F">
        <w:rPr>
          <w:rFonts w:cs="Arial"/>
        </w:rPr>
        <w:t>deterministic modelling with a selection of suitable scenarios is preferable to illu</w:t>
      </w:r>
      <w:r w:rsidRPr="0026039F">
        <w:rPr>
          <w:rFonts w:cs="Arial"/>
        </w:rPr>
        <w:t>s</w:t>
      </w:r>
      <w:r w:rsidRPr="0026039F">
        <w:rPr>
          <w:rFonts w:cs="Arial"/>
        </w:rPr>
        <w:t>trate</w:t>
      </w:r>
      <w:r w:rsidR="001A0E61" w:rsidRPr="0026039F">
        <w:rPr>
          <w:rFonts w:cs="Arial"/>
        </w:rPr>
        <w:t xml:space="preserve"> </w:t>
      </w:r>
      <w:r w:rsidRPr="0026039F">
        <w:rPr>
          <w:rFonts w:cs="Arial"/>
        </w:rPr>
        <w:t>possible pay-outs. It is important not to give the impression that the performance scenarios</w:t>
      </w:r>
      <w:r w:rsidR="001A0E61" w:rsidRPr="0026039F">
        <w:rPr>
          <w:rFonts w:cs="Arial"/>
        </w:rPr>
        <w:t xml:space="preserve"> </w:t>
      </w:r>
      <w:r w:rsidRPr="0026039F">
        <w:rPr>
          <w:rFonts w:cs="Arial"/>
        </w:rPr>
        <w:t>can predict the future. We consider it misleading to label them. It is better to give a range of</w:t>
      </w:r>
      <w:r w:rsidR="001A0E61" w:rsidRPr="0026039F">
        <w:rPr>
          <w:rFonts w:cs="Arial"/>
        </w:rPr>
        <w:t xml:space="preserve"> </w:t>
      </w:r>
      <w:r w:rsidRPr="0026039F">
        <w:rPr>
          <w:rFonts w:cs="Arial"/>
        </w:rPr>
        <w:t>scenarios without assigning probabilities to them. The higher the MRM the broader the range</w:t>
      </w:r>
      <w:r w:rsidR="001A0E61" w:rsidRPr="0026039F">
        <w:rPr>
          <w:rFonts w:cs="Arial"/>
        </w:rPr>
        <w:t xml:space="preserve"> </w:t>
      </w:r>
      <w:r w:rsidRPr="0026039F">
        <w:rPr>
          <w:rFonts w:cs="Arial"/>
        </w:rPr>
        <w:t>of scenarios should be to illustrate the higher uncertainty for customers. Also the connection</w:t>
      </w:r>
      <w:r w:rsidR="001A0E61" w:rsidRPr="0026039F">
        <w:rPr>
          <w:rFonts w:cs="Arial"/>
        </w:rPr>
        <w:t xml:space="preserve"> </w:t>
      </w:r>
      <w:r w:rsidRPr="0026039F">
        <w:rPr>
          <w:rFonts w:cs="Arial"/>
        </w:rPr>
        <w:t>between risk and reward can be illu</w:t>
      </w:r>
      <w:r w:rsidRPr="0026039F">
        <w:rPr>
          <w:rFonts w:cs="Arial"/>
        </w:rPr>
        <w:t>s</w:t>
      </w:r>
      <w:r w:rsidRPr="0026039F">
        <w:rPr>
          <w:rFonts w:cs="Arial"/>
        </w:rPr>
        <w:t>trated.</w:t>
      </w:r>
    </w:p>
    <w:permEnd w:id="1966948745"/>
    <w:p w:rsidR="003E573C" w:rsidRDefault="003E573C" w:rsidP="003E573C">
      <w:pPr>
        <w:rPr>
          <w:rFonts w:cs="Arial"/>
        </w:rPr>
      </w:pPr>
      <w:r>
        <w:rPr>
          <w:rFonts w:cs="Arial"/>
        </w:rPr>
        <w:t>&lt;ESA_QUESTION_PKID_22&gt;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illustrative scenarios should be included in the KID as well as probabilistic sc</w:t>
      </w:r>
      <w:r w:rsidRPr="00763760">
        <w:t>e</w:t>
      </w:r>
      <w:r w:rsidRPr="00763760">
        <w:t>narios for structured products?</w:t>
      </w:r>
    </w:p>
    <w:p w:rsidR="003E573C" w:rsidRDefault="003E573C" w:rsidP="003E573C">
      <w:pPr>
        <w:rPr>
          <w:rFonts w:cs="Arial"/>
        </w:rPr>
      </w:pPr>
      <w:r>
        <w:rPr>
          <w:rFonts w:cs="Arial"/>
        </w:rPr>
        <w:lastRenderedPageBreak/>
        <w:t>&lt;ESA_QUESTION_PKID_23&gt;</w:t>
      </w:r>
    </w:p>
    <w:p w:rsidR="001A0E61" w:rsidRDefault="00546764" w:rsidP="003E573C">
      <w:pPr>
        <w:rPr>
          <w:rFonts w:cs="Arial"/>
        </w:rPr>
      </w:pPr>
      <w:permStart w:id="1075447122" w:edGrp="everyone"/>
      <w:r>
        <w:rPr>
          <w:rFonts w:cs="Arial"/>
        </w:rPr>
        <w:t>They should replace probabilistic scenarios for all products</w:t>
      </w:r>
      <w:r w:rsidR="00EE67F5">
        <w:rPr>
          <w:rFonts w:cs="Arial"/>
        </w:rPr>
        <w:t xml:space="preserve">. </w:t>
      </w:r>
      <w:r w:rsidR="001A0E61" w:rsidRPr="001A0E61">
        <w:rPr>
          <w:rFonts w:cs="Arial"/>
        </w:rPr>
        <w:t>Any system that gives the</w:t>
      </w:r>
      <w:r w:rsidR="001A0E61">
        <w:rPr>
          <w:rFonts w:cs="Arial"/>
        </w:rPr>
        <w:t xml:space="preserve"> </w:t>
      </w:r>
      <w:r w:rsidR="001A0E61" w:rsidRPr="001A0E61">
        <w:rPr>
          <w:rFonts w:cs="Arial"/>
        </w:rPr>
        <w:t>impression on predicting the future is not well suited for performance scenarios. What-if</w:t>
      </w:r>
      <w:r w:rsidR="001A0E61">
        <w:rPr>
          <w:rFonts w:cs="Arial"/>
        </w:rPr>
        <w:t xml:space="preserve"> </w:t>
      </w:r>
      <w:r w:rsidR="001A0E61" w:rsidRPr="001A0E61">
        <w:rPr>
          <w:rFonts w:cs="Arial"/>
        </w:rPr>
        <w:t>scenarios with prescribed sc</w:t>
      </w:r>
      <w:r w:rsidR="001A0E61" w:rsidRPr="001A0E61">
        <w:rPr>
          <w:rFonts w:cs="Arial"/>
        </w:rPr>
        <w:t>e</w:t>
      </w:r>
      <w:r w:rsidR="001A0E61" w:rsidRPr="001A0E61">
        <w:rPr>
          <w:rFonts w:cs="Arial"/>
        </w:rPr>
        <w:t>narios are much better suited for retail investors. It is important</w:t>
      </w:r>
      <w:r w:rsidR="001A0E61">
        <w:rPr>
          <w:rFonts w:cs="Arial"/>
        </w:rPr>
        <w:t xml:space="preserve"> </w:t>
      </w:r>
      <w:r w:rsidR="001A0E61" w:rsidRPr="001A0E61">
        <w:rPr>
          <w:rFonts w:cs="Arial"/>
        </w:rPr>
        <w:t>that the retail investors understand the limitations of performance scenarios. Therefore,</w:t>
      </w:r>
      <w:r w:rsidR="001A0E61">
        <w:rPr>
          <w:rFonts w:cs="Arial"/>
        </w:rPr>
        <w:t xml:space="preserve"> </w:t>
      </w:r>
      <w:r w:rsidR="001A0E61" w:rsidRPr="001A0E61">
        <w:rPr>
          <w:rFonts w:cs="Arial"/>
        </w:rPr>
        <w:t>deterministic modelling with a selection of suitable sc</w:t>
      </w:r>
      <w:r w:rsidR="001A0E61" w:rsidRPr="001A0E61">
        <w:rPr>
          <w:rFonts w:cs="Arial"/>
        </w:rPr>
        <w:t>e</w:t>
      </w:r>
      <w:r w:rsidR="001A0E61" w:rsidRPr="001A0E61">
        <w:rPr>
          <w:rFonts w:cs="Arial"/>
        </w:rPr>
        <w:t>narios is preferable to illustrate</w:t>
      </w:r>
      <w:r w:rsidR="001A0E61">
        <w:rPr>
          <w:rFonts w:cs="Arial"/>
        </w:rPr>
        <w:t xml:space="preserve"> </w:t>
      </w:r>
      <w:r w:rsidR="001A0E61" w:rsidRPr="001A0E61">
        <w:rPr>
          <w:rFonts w:cs="Arial"/>
        </w:rPr>
        <w:t>possible pay-outs. It is important not to give the impression that the pe</w:t>
      </w:r>
      <w:r w:rsidR="001A0E61" w:rsidRPr="001A0E61">
        <w:rPr>
          <w:rFonts w:cs="Arial"/>
        </w:rPr>
        <w:t>r</w:t>
      </w:r>
      <w:r w:rsidR="001A0E61" w:rsidRPr="001A0E61">
        <w:rPr>
          <w:rFonts w:cs="Arial"/>
        </w:rPr>
        <w:t>formance scenarios</w:t>
      </w:r>
      <w:r w:rsidR="001A0E61">
        <w:rPr>
          <w:rFonts w:cs="Arial"/>
        </w:rPr>
        <w:t xml:space="preserve"> </w:t>
      </w:r>
      <w:r w:rsidR="001A0E61" w:rsidRPr="001A0E61">
        <w:rPr>
          <w:rFonts w:cs="Arial"/>
        </w:rPr>
        <w:t>can predict the future. We consider it misleading to label them. It is better to give a range of</w:t>
      </w:r>
      <w:r w:rsidR="001A0E61">
        <w:rPr>
          <w:rFonts w:cs="Arial"/>
        </w:rPr>
        <w:t xml:space="preserve"> </w:t>
      </w:r>
      <w:r w:rsidR="001A0E61" w:rsidRPr="001A0E61">
        <w:rPr>
          <w:rFonts w:cs="Arial"/>
        </w:rPr>
        <w:t>scenarios without assigning probabilities to them. The higher the MRM the broader the range</w:t>
      </w:r>
      <w:r w:rsidR="001A0E61">
        <w:rPr>
          <w:rFonts w:cs="Arial"/>
        </w:rPr>
        <w:t xml:space="preserve"> </w:t>
      </w:r>
      <w:r w:rsidR="001A0E61" w:rsidRPr="001A0E61">
        <w:rPr>
          <w:rFonts w:cs="Arial"/>
        </w:rPr>
        <w:t xml:space="preserve">of scenarios should be to illustrate the higher uncertainty for customers. </w:t>
      </w:r>
    </w:p>
    <w:permEnd w:id="1075447122"/>
    <w:p w:rsidR="003E573C" w:rsidRDefault="003E573C" w:rsidP="003E573C">
      <w:pPr>
        <w:rPr>
          <w:rFonts w:cs="Arial"/>
        </w:rPr>
      </w:pPr>
      <w:r>
        <w:rPr>
          <w:rFonts w:cs="Arial"/>
        </w:rPr>
        <w:t>&lt;ESA_QUESTION_PKID_23&gt;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rsidR="003E573C" w:rsidRDefault="003E573C" w:rsidP="003E573C">
      <w:pPr>
        <w:rPr>
          <w:rFonts w:cs="Arial"/>
        </w:rPr>
      </w:pPr>
      <w:r>
        <w:rPr>
          <w:rFonts w:cs="Arial"/>
        </w:rPr>
        <w:t>&lt;ESA_QUESTION_PKID_24&gt;</w:t>
      </w:r>
    </w:p>
    <w:p w:rsidR="003E573C" w:rsidRDefault="00EE67F5" w:rsidP="003E573C">
      <w:pPr>
        <w:rPr>
          <w:rFonts w:cs="Arial"/>
        </w:rPr>
      </w:pPr>
      <w:permStart w:id="1274507052" w:edGrp="everyone"/>
      <w:proofErr w:type="gramStart"/>
      <w:r>
        <w:rPr>
          <w:rFonts w:cs="Arial"/>
        </w:rPr>
        <w:t>Not only for structured products but consistently across the whole scope.</w:t>
      </w:r>
      <w:proofErr w:type="gramEnd"/>
    </w:p>
    <w:permEnd w:id="1274507052"/>
    <w:p w:rsidR="003E573C" w:rsidRDefault="003E573C" w:rsidP="003E573C">
      <w:pPr>
        <w:rPr>
          <w:rFonts w:cs="Arial"/>
        </w:rPr>
      </w:pPr>
      <w:r>
        <w:rPr>
          <w:rFonts w:cs="Arial"/>
        </w:rPr>
        <w:t>&lt;ESA_QUESTION_PKID_24&gt;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rsidR="003E573C" w:rsidRDefault="003E573C" w:rsidP="003E573C">
      <w:pPr>
        <w:rPr>
          <w:rFonts w:cs="Arial"/>
        </w:rPr>
      </w:pPr>
      <w:r>
        <w:rPr>
          <w:rFonts w:cs="Arial"/>
        </w:rPr>
        <w:t>&lt;ESA_QUESTION_PKID_25&gt;</w:t>
      </w:r>
    </w:p>
    <w:p w:rsidR="003E573C" w:rsidRDefault="0005181D" w:rsidP="003E573C">
      <w:pPr>
        <w:rPr>
          <w:rFonts w:cs="Arial"/>
        </w:rPr>
      </w:pPr>
      <w:permStart w:id="658012061" w:edGrp="everyone"/>
      <w:r>
        <w:rPr>
          <w:rFonts w:cs="Arial"/>
        </w:rPr>
        <w:t>We generally oppose the idea of different methodology for different products. Comparability and co</w:t>
      </w:r>
      <w:r>
        <w:rPr>
          <w:rFonts w:cs="Arial"/>
        </w:rPr>
        <w:t>n</w:t>
      </w:r>
      <w:r>
        <w:rPr>
          <w:rFonts w:cs="Arial"/>
        </w:rPr>
        <w:t>sistency across the whole scope is a cornerstone of PRIIPs</w:t>
      </w:r>
      <w:r w:rsidR="00572366">
        <w:rPr>
          <w:rFonts w:cs="Arial"/>
        </w:rPr>
        <w:t xml:space="preserve"> regulation</w:t>
      </w:r>
      <w:r>
        <w:rPr>
          <w:rFonts w:cs="Arial"/>
        </w:rPr>
        <w:t>.</w:t>
      </w:r>
    </w:p>
    <w:permEnd w:id="658012061"/>
    <w:p w:rsidR="003E573C" w:rsidRDefault="003E573C" w:rsidP="003E573C">
      <w:pPr>
        <w:rPr>
          <w:rFonts w:cs="Arial"/>
        </w:rPr>
      </w:pPr>
      <w:r>
        <w:rPr>
          <w:rFonts w:cs="Arial"/>
        </w:rPr>
        <w:t>&lt;ESA_QUESTION_PKID_25&gt;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Would you be in favour of including information on past performance in the KID?</w:t>
      </w:r>
    </w:p>
    <w:p w:rsidR="003E573C" w:rsidRDefault="003E573C" w:rsidP="003E573C">
      <w:pPr>
        <w:rPr>
          <w:rFonts w:cs="Arial"/>
        </w:rPr>
      </w:pPr>
      <w:r>
        <w:rPr>
          <w:rFonts w:cs="Arial"/>
        </w:rPr>
        <w:t>&lt;ESA_QUESTION_PKID_26&gt;</w:t>
      </w:r>
    </w:p>
    <w:p w:rsidR="0005181D" w:rsidRDefault="0005181D" w:rsidP="0005181D">
      <w:pPr>
        <w:autoSpaceDE w:val="0"/>
        <w:autoSpaceDN w:val="0"/>
        <w:adjustRightInd w:val="0"/>
        <w:rPr>
          <w:rFonts w:cs="Arial"/>
          <w:sz w:val="21"/>
          <w:szCs w:val="21"/>
          <w:lang w:val="en-US" w:eastAsia="en-GB"/>
        </w:rPr>
      </w:pPr>
      <w:permStart w:id="1094078857" w:edGrp="everyone"/>
      <w:r w:rsidRPr="0005181D">
        <w:rPr>
          <w:rFonts w:cs="Arial"/>
          <w:sz w:val="21"/>
          <w:szCs w:val="21"/>
          <w:lang w:val="en-US" w:eastAsia="en-GB"/>
        </w:rPr>
        <w:t>Besides transparency and comprehensibility for consumers, comparability of all products is</w:t>
      </w:r>
      <w:r>
        <w:rPr>
          <w:rFonts w:cs="Arial"/>
          <w:sz w:val="21"/>
          <w:szCs w:val="21"/>
          <w:lang w:val="en-US" w:eastAsia="en-GB"/>
        </w:rPr>
        <w:t xml:space="preserve"> </w:t>
      </w:r>
      <w:r w:rsidRPr="0005181D">
        <w:rPr>
          <w:rFonts w:cs="Arial"/>
          <w:sz w:val="21"/>
          <w:szCs w:val="21"/>
          <w:lang w:val="en-US" w:eastAsia="en-GB"/>
        </w:rPr>
        <w:t>one of the cornerstones of the PRIIP regulation. However, past performance (which observes</w:t>
      </w:r>
      <w:r>
        <w:rPr>
          <w:rFonts w:cs="Arial"/>
          <w:sz w:val="21"/>
          <w:szCs w:val="21"/>
          <w:lang w:val="en-US" w:eastAsia="en-GB"/>
        </w:rPr>
        <w:t xml:space="preserve"> </w:t>
      </w:r>
      <w:r w:rsidRPr="0005181D">
        <w:rPr>
          <w:rFonts w:cs="Arial"/>
          <w:sz w:val="21"/>
          <w:szCs w:val="21"/>
          <w:lang w:val="en-US" w:eastAsia="en-GB"/>
        </w:rPr>
        <w:t>only one scenario) may not be available and suitable for many of the products in scope</w:t>
      </w:r>
      <w:r>
        <w:rPr>
          <w:rFonts w:cs="Arial"/>
          <w:sz w:val="21"/>
          <w:szCs w:val="21"/>
          <w:lang w:val="en-US" w:eastAsia="en-GB"/>
        </w:rPr>
        <w:t>. Adding information that is not available in meaningful way for all products in scope contradicts the idea of a uniform information document.</w:t>
      </w:r>
    </w:p>
    <w:p w:rsidR="0005181D" w:rsidRDefault="0005181D" w:rsidP="0005181D">
      <w:pPr>
        <w:autoSpaceDE w:val="0"/>
        <w:autoSpaceDN w:val="0"/>
        <w:adjustRightInd w:val="0"/>
        <w:rPr>
          <w:rFonts w:cs="Arial"/>
          <w:sz w:val="21"/>
          <w:szCs w:val="21"/>
          <w:lang w:val="en-US" w:eastAsia="en-GB"/>
        </w:rPr>
      </w:pPr>
    </w:p>
    <w:p w:rsidR="0005181D" w:rsidRDefault="0005181D" w:rsidP="0005181D">
      <w:pPr>
        <w:autoSpaceDE w:val="0"/>
        <w:autoSpaceDN w:val="0"/>
        <w:adjustRightInd w:val="0"/>
        <w:rPr>
          <w:rFonts w:cs="Arial"/>
          <w:sz w:val="21"/>
          <w:szCs w:val="21"/>
          <w:lang w:val="en-US" w:eastAsia="en-GB"/>
        </w:rPr>
      </w:pPr>
      <w:r>
        <w:rPr>
          <w:rFonts w:cs="Arial"/>
          <w:sz w:val="21"/>
          <w:szCs w:val="21"/>
          <w:lang w:val="en-US" w:eastAsia="en-GB"/>
        </w:rPr>
        <w:t>Furthermore, the combination of forward looking methodology with past performance is difficult to interpret for consumers.</w:t>
      </w:r>
    </w:p>
    <w:p w:rsidR="0005181D" w:rsidRDefault="0005181D" w:rsidP="0005181D">
      <w:pPr>
        <w:autoSpaceDE w:val="0"/>
        <w:autoSpaceDN w:val="0"/>
        <w:adjustRightInd w:val="0"/>
        <w:rPr>
          <w:rFonts w:cs="Arial"/>
          <w:sz w:val="21"/>
          <w:szCs w:val="21"/>
          <w:lang w:val="en-US" w:eastAsia="en-GB"/>
        </w:rPr>
      </w:pPr>
    </w:p>
    <w:permEnd w:id="1094078857"/>
    <w:p w:rsidR="003E573C" w:rsidRDefault="003E573C" w:rsidP="003E573C">
      <w:pPr>
        <w:rPr>
          <w:rFonts w:cs="Arial"/>
        </w:rPr>
      </w:pPr>
      <w:r>
        <w:rPr>
          <w:rFonts w:cs="Arial"/>
        </w:rPr>
        <w:t>&lt;ESA_QUESTION_PKID_26&gt;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rsidR="003E573C" w:rsidRDefault="003E573C" w:rsidP="003E573C">
      <w:pPr>
        <w:rPr>
          <w:rFonts w:cs="Arial"/>
        </w:rPr>
      </w:pPr>
      <w:r>
        <w:rPr>
          <w:rFonts w:cs="Arial"/>
        </w:rPr>
        <w:t>&lt;ESA_QUESTION_PKID_27&gt;</w:t>
      </w:r>
    </w:p>
    <w:p w:rsidR="003E573C" w:rsidRDefault="006624BB" w:rsidP="003E573C">
      <w:pPr>
        <w:rPr>
          <w:rFonts w:cs="Arial"/>
        </w:rPr>
      </w:pPr>
      <w:permStart w:id="234685963" w:edGrp="everyone"/>
      <w:r>
        <w:rPr>
          <w:rFonts w:cs="Arial"/>
        </w:rPr>
        <w:t>No, we would prefer a comprehensive review to quick-changes of single Articles.</w:t>
      </w:r>
    </w:p>
    <w:permEnd w:id="234685963"/>
    <w:p w:rsidR="003E573C" w:rsidRDefault="003E573C" w:rsidP="003E573C">
      <w:pPr>
        <w:rPr>
          <w:rFonts w:cs="Arial"/>
        </w:rPr>
      </w:pPr>
      <w:r>
        <w:rPr>
          <w:rFonts w:cs="Arial"/>
        </w:rPr>
        <w:t>&lt;ESA_QUESTION_PKID_27&gt;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rsidR="003E573C" w:rsidRDefault="003E573C" w:rsidP="003E573C">
      <w:pPr>
        <w:rPr>
          <w:rFonts w:cs="Arial"/>
        </w:rPr>
      </w:pPr>
      <w:r>
        <w:rPr>
          <w:rFonts w:cs="Arial"/>
        </w:rPr>
        <w:lastRenderedPageBreak/>
        <w:t>&lt;ESA_QUESTION_PKID_28&gt;</w:t>
      </w:r>
    </w:p>
    <w:p w:rsidR="003E573C" w:rsidRDefault="006624BB" w:rsidP="003E573C">
      <w:pPr>
        <w:rPr>
          <w:rFonts w:cs="Arial"/>
        </w:rPr>
      </w:pPr>
      <w:permStart w:id="366499222" w:edGrp="everyone"/>
      <w:r>
        <w:rPr>
          <w:rFonts w:cs="Arial"/>
        </w:rPr>
        <w:t>Why would this be an improvement? The information on the volatility in the past would be lost.</w:t>
      </w:r>
    </w:p>
    <w:permEnd w:id="366499222"/>
    <w:p w:rsidR="003E573C" w:rsidRDefault="003E573C" w:rsidP="003E573C">
      <w:pPr>
        <w:rPr>
          <w:rFonts w:cs="Arial"/>
        </w:rPr>
      </w:pPr>
      <w:r>
        <w:rPr>
          <w:rFonts w:cs="Arial"/>
        </w:rPr>
        <w:t>&lt;ESA_QUESTION_PKID_28&gt;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rsidR="003E573C" w:rsidRDefault="003E573C" w:rsidP="003E573C">
      <w:pPr>
        <w:rPr>
          <w:rFonts w:cs="Arial"/>
        </w:rPr>
      </w:pPr>
      <w:r>
        <w:rPr>
          <w:rFonts w:cs="Arial"/>
        </w:rPr>
        <w:t>&lt;ESA_QUESTION_PKID_29&gt;</w:t>
      </w:r>
    </w:p>
    <w:p w:rsidR="003E573C" w:rsidRDefault="003E573C" w:rsidP="003E573C">
      <w:pPr>
        <w:rPr>
          <w:rFonts w:cs="Arial"/>
        </w:rPr>
      </w:pPr>
      <w:permStart w:id="1999907144" w:edGrp="everyone"/>
      <w:r>
        <w:rPr>
          <w:rFonts w:cs="Arial"/>
        </w:rPr>
        <w:t>TYPE YOUR TEXT HERE</w:t>
      </w:r>
    </w:p>
    <w:permEnd w:id="1999907144"/>
    <w:p w:rsidR="003E573C" w:rsidRDefault="003E573C" w:rsidP="003E573C">
      <w:pPr>
        <w:rPr>
          <w:rFonts w:cs="Arial"/>
        </w:rPr>
      </w:pPr>
      <w:r>
        <w:rPr>
          <w:rFonts w:cs="Arial"/>
        </w:rPr>
        <w:t>&lt;ESA_QUESTION_PKID_29&gt;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rsidR="003E573C" w:rsidRDefault="003E573C" w:rsidP="003E573C">
      <w:pPr>
        <w:rPr>
          <w:rFonts w:cs="Arial"/>
        </w:rPr>
      </w:pPr>
      <w:r>
        <w:rPr>
          <w:rFonts w:cs="Arial"/>
        </w:rPr>
        <w:t>&lt;ESA_QUESTION_PKID_30&gt;</w:t>
      </w:r>
    </w:p>
    <w:p w:rsidR="003E573C" w:rsidRDefault="006624BB" w:rsidP="003E573C">
      <w:pPr>
        <w:rPr>
          <w:rFonts w:cs="Arial"/>
        </w:rPr>
      </w:pPr>
      <w:permStart w:id="981689872" w:edGrp="everyone"/>
      <w:r>
        <w:rPr>
          <w:rFonts w:cs="Arial"/>
        </w:rPr>
        <w:t>Past performance and future performance should not be displayed together.</w:t>
      </w:r>
      <w:r w:rsidR="00AA30E7">
        <w:rPr>
          <w:rFonts w:cs="Arial"/>
        </w:rPr>
        <w:t xml:space="preserve"> This would be confusing for many consumers.</w:t>
      </w:r>
    </w:p>
    <w:permEnd w:id="981689872"/>
    <w:p w:rsidR="003E573C" w:rsidRDefault="003E573C" w:rsidP="003E573C">
      <w:pPr>
        <w:rPr>
          <w:rFonts w:cs="Arial"/>
        </w:rPr>
      </w:pPr>
      <w:r>
        <w:rPr>
          <w:rFonts w:cs="Arial"/>
        </w:rPr>
        <w:t>&lt;ESA_QUESTION_PKID_30&gt;</w:t>
      </w:r>
    </w:p>
    <w:p w:rsidR="003E573C" w:rsidRDefault="003E573C" w:rsidP="003E573C">
      <w:pPr>
        <w:rPr>
          <w:rFonts w:cs="Arial"/>
        </w:rPr>
      </w:pPr>
    </w:p>
    <w:p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rsidR="003E573C" w:rsidRDefault="003E573C" w:rsidP="003E573C">
      <w:pPr>
        <w:rPr>
          <w:rFonts w:cs="Arial"/>
        </w:rPr>
      </w:pPr>
      <w:r>
        <w:rPr>
          <w:rFonts w:cs="Arial"/>
        </w:rPr>
        <w:t>&lt;ESA_QUESTION_PKID_31&gt;</w:t>
      </w:r>
    </w:p>
    <w:p w:rsidR="003E573C" w:rsidRDefault="003E573C" w:rsidP="003E573C">
      <w:pPr>
        <w:rPr>
          <w:rFonts w:cs="Arial"/>
        </w:rPr>
      </w:pPr>
      <w:permStart w:id="279406602" w:edGrp="everyone"/>
      <w:r>
        <w:rPr>
          <w:rFonts w:cs="Arial"/>
        </w:rPr>
        <w:t>TYPE YOUR TEXT HERE</w:t>
      </w:r>
    </w:p>
    <w:permEnd w:id="279406602"/>
    <w:p w:rsidR="003E573C" w:rsidRDefault="003E573C" w:rsidP="003E573C">
      <w:pPr>
        <w:rPr>
          <w:rFonts w:cs="Arial"/>
        </w:rPr>
      </w:pPr>
      <w:r>
        <w:rPr>
          <w:rFonts w:cs="Arial"/>
        </w:rPr>
        <w:t>&lt;ESA_QUESTION_PKID_31&gt;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see the need to add additional provisions for linear unit-linked insurance-based i</w:t>
      </w:r>
      <w:r w:rsidRPr="00763760">
        <w:t>n</w:t>
      </w:r>
      <w:r w:rsidRPr="00763760">
        <w:t xml:space="preserve">vestment products or linear internal funds? </w:t>
      </w:r>
    </w:p>
    <w:p w:rsidR="003E573C" w:rsidRDefault="003E573C" w:rsidP="003E573C">
      <w:pPr>
        <w:rPr>
          <w:rFonts w:cs="Arial"/>
        </w:rPr>
      </w:pPr>
      <w:r>
        <w:rPr>
          <w:rFonts w:cs="Arial"/>
        </w:rPr>
        <w:t>&lt;ESA_QUESTION_PKID_32&gt;</w:t>
      </w:r>
    </w:p>
    <w:p w:rsidR="00AA30E7" w:rsidRDefault="00AA30E7" w:rsidP="00AA30E7">
      <w:pPr>
        <w:rPr>
          <w:rFonts w:cs="Arial"/>
        </w:rPr>
      </w:pPr>
      <w:permStart w:id="687804010" w:edGrp="everyone"/>
      <w:r>
        <w:rPr>
          <w:rFonts w:cs="Arial"/>
        </w:rPr>
        <w:t>We prefer a fully consistent and comparable approach across all products.</w:t>
      </w:r>
    </w:p>
    <w:permEnd w:id="687804010"/>
    <w:p w:rsidR="003E573C" w:rsidRDefault="003E573C" w:rsidP="003E573C">
      <w:pPr>
        <w:rPr>
          <w:rFonts w:cs="Arial"/>
        </w:rPr>
      </w:pPr>
      <w:r>
        <w:rPr>
          <w:rFonts w:cs="Arial"/>
        </w:rPr>
        <w:t>&lt;ESA_QUESTION_PKID_32&gt;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rsidR="003E573C" w:rsidRDefault="003E573C" w:rsidP="003E573C">
      <w:pPr>
        <w:rPr>
          <w:rFonts w:cs="Arial"/>
        </w:rPr>
      </w:pPr>
      <w:r>
        <w:rPr>
          <w:rFonts w:cs="Arial"/>
        </w:rPr>
        <w:t>&lt;ESA_QUESTION_PKID_33&gt;</w:t>
      </w:r>
    </w:p>
    <w:p w:rsidR="004B6828" w:rsidRDefault="004B6828" w:rsidP="004B6828">
      <w:pPr>
        <w:rPr>
          <w:rFonts w:cs="Arial"/>
        </w:rPr>
      </w:pPr>
      <w:permStart w:id="1946319549" w:edGrp="everyone"/>
      <w:r w:rsidRPr="004B6828">
        <w:rPr>
          <w:rFonts w:cs="Arial"/>
        </w:rPr>
        <w:t>-</w:t>
      </w:r>
      <w:r>
        <w:rPr>
          <w:rFonts w:cs="Arial"/>
        </w:rPr>
        <w:t xml:space="preserve"> </w:t>
      </w:r>
      <w:r w:rsidR="00135E1B" w:rsidRPr="004B6828">
        <w:rPr>
          <w:rFonts w:cs="Arial"/>
        </w:rPr>
        <w:t xml:space="preserve">The value of intermediate scenarios for consumers is not clear. </w:t>
      </w:r>
      <w:r w:rsidRPr="004B6828">
        <w:rPr>
          <w:rFonts w:cs="Arial"/>
        </w:rPr>
        <w:t xml:space="preserve">Intermediate scenarios do not yield the same values as a product with that term. </w:t>
      </w:r>
      <w:r w:rsidR="00135E1B" w:rsidRPr="004B6828">
        <w:rPr>
          <w:rFonts w:cs="Arial"/>
        </w:rPr>
        <w:t xml:space="preserve">E.g. for a product with a term of 20 years </w:t>
      </w:r>
      <w:r w:rsidRPr="004B6828">
        <w:rPr>
          <w:rFonts w:cs="Arial"/>
        </w:rPr>
        <w:t xml:space="preserve">the costs at year 10 are not </w:t>
      </w:r>
      <w:r w:rsidR="0080158B">
        <w:rPr>
          <w:rFonts w:cs="Arial"/>
        </w:rPr>
        <w:t xml:space="preserve">necessarily </w:t>
      </w:r>
      <w:r w:rsidRPr="004B6828">
        <w:rPr>
          <w:rFonts w:cs="Arial"/>
        </w:rPr>
        <w:t>the same as for a product with a term of 10 years</w:t>
      </w:r>
    </w:p>
    <w:p w:rsidR="004B6828" w:rsidRPr="004B6828" w:rsidRDefault="004B6828" w:rsidP="004B6828">
      <w:pPr>
        <w:rPr>
          <w:rFonts w:cs="Arial"/>
        </w:rPr>
      </w:pPr>
      <w:r>
        <w:rPr>
          <w:rFonts w:cs="Arial"/>
        </w:rPr>
        <w:t>- As the RHP is not the same for different products people will be tempted to compare via the intermediate scenarios if those are fixed. That can be quite misleading.</w:t>
      </w:r>
    </w:p>
    <w:permEnd w:id="1946319549"/>
    <w:p w:rsidR="003E573C" w:rsidRDefault="003E573C" w:rsidP="003E573C">
      <w:pPr>
        <w:rPr>
          <w:rFonts w:cs="Arial"/>
        </w:rPr>
      </w:pPr>
      <w:r>
        <w:rPr>
          <w:rFonts w:cs="Arial"/>
        </w:rPr>
        <w:t>&lt;ESA_QUESTION_PKID_33&gt;</w:t>
      </w:r>
    </w:p>
    <w:p w:rsidR="003E573C" w:rsidRDefault="003E573C" w:rsidP="003E573C">
      <w:pPr>
        <w:rPr>
          <w:rFonts w:cs="Arial"/>
        </w:rPr>
      </w:pPr>
    </w:p>
    <w:p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rsidR="003E573C" w:rsidRDefault="003E573C" w:rsidP="003E573C">
      <w:pPr>
        <w:rPr>
          <w:rFonts w:cs="Arial"/>
        </w:rPr>
      </w:pPr>
      <w:r>
        <w:rPr>
          <w:rFonts w:cs="Arial"/>
        </w:rPr>
        <w:t>&lt;ESA_QUESTION_PKID_34&gt;</w:t>
      </w:r>
    </w:p>
    <w:p w:rsidR="003E573C" w:rsidRDefault="0080158B" w:rsidP="003E573C">
      <w:pPr>
        <w:rPr>
          <w:rFonts w:cs="Arial"/>
        </w:rPr>
      </w:pPr>
      <w:permStart w:id="1331973750" w:edGrp="everyone"/>
      <w:r>
        <w:rPr>
          <w:rFonts w:cs="Arial"/>
        </w:rPr>
        <w:t>5 years s</w:t>
      </w:r>
      <w:r w:rsidR="006B476F">
        <w:rPr>
          <w:rFonts w:cs="Arial"/>
        </w:rPr>
        <w:t xml:space="preserve">eems rather short for some products. </w:t>
      </w:r>
      <w:r>
        <w:rPr>
          <w:rFonts w:cs="Arial"/>
        </w:rPr>
        <w:t xml:space="preserve">It is doubtful whether a fixed period can be found which makes sense for all products. </w:t>
      </w:r>
      <w:r w:rsidR="006B476F">
        <w:rPr>
          <w:rFonts w:cs="Arial"/>
        </w:rPr>
        <w:t>Also cf. Q33</w:t>
      </w:r>
    </w:p>
    <w:permEnd w:id="1331973750"/>
    <w:p w:rsidR="003E573C" w:rsidRDefault="003E573C" w:rsidP="003E573C">
      <w:pPr>
        <w:rPr>
          <w:rFonts w:cs="Arial"/>
        </w:rPr>
      </w:pPr>
      <w:r>
        <w:rPr>
          <w:rFonts w:cs="Arial"/>
        </w:rPr>
        <w:t>&lt;ESA_QUESTION_PKID_34&gt;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it would be relevant to either (i) use an annual average cost figure at the re</w:t>
      </w:r>
      <w:r w:rsidRPr="00763760">
        <w:t>c</w:t>
      </w:r>
      <w:r w:rsidRPr="00763760">
        <w:t>ommended holding period, or (ii) to present both an annual average cost figure and a total (a</w:t>
      </w:r>
      <w:r w:rsidRPr="00763760">
        <w:t>c</w:t>
      </w:r>
      <w:r w:rsidRPr="00763760">
        <w:t>cumulated) costs figure?</w:t>
      </w:r>
    </w:p>
    <w:p w:rsidR="003E573C" w:rsidRDefault="003E573C" w:rsidP="003E573C">
      <w:pPr>
        <w:rPr>
          <w:rFonts w:cs="Arial"/>
        </w:rPr>
      </w:pPr>
      <w:r>
        <w:rPr>
          <w:rFonts w:cs="Arial"/>
        </w:rPr>
        <w:t>&lt;ESA_QUESTION_PKID_35&gt;</w:t>
      </w:r>
    </w:p>
    <w:p w:rsidR="00376412" w:rsidRDefault="00E349B4" w:rsidP="003E573C">
      <w:pPr>
        <w:rPr>
          <w:rFonts w:cs="Arial"/>
        </w:rPr>
      </w:pPr>
      <w:permStart w:id="1209165715" w:edGrp="everyone"/>
      <w:r>
        <w:rPr>
          <w:rFonts w:cs="Arial"/>
        </w:rPr>
        <w:t xml:space="preserve">- </w:t>
      </w:r>
      <w:r w:rsidR="00376412">
        <w:rPr>
          <w:rFonts w:cs="Arial"/>
        </w:rPr>
        <w:t xml:space="preserve">An annual average costs figure like RIY is easier to interpret for consumers. Since the KID is on the product level and not on an individual contract level an accumulated costs figure will almost never fit for the individual contract. It is almost impossible for customers to correctly convert an accumulated figure </w:t>
      </w:r>
      <w:r w:rsidR="004400DD">
        <w:rPr>
          <w:rFonts w:cs="Arial"/>
        </w:rPr>
        <w:t>when</w:t>
      </w:r>
      <w:r w:rsidR="00376412">
        <w:rPr>
          <w:rFonts w:cs="Arial"/>
        </w:rPr>
        <w:t xml:space="preserve"> the cost</w:t>
      </w:r>
      <w:r w:rsidR="00F4296D">
        <w:rPr>
          <w:rFonts w:cs="Arial"/>
        </w:rPr>
        <w:t xml:space="preserve"> </w:t>
      </w:r>
      <w:r w:rsidR="00376412">
        <w:rPr>
          <w:rFonts w:cs="Arial"/>
        </w:rPr>
        <w:t>s</w:t>
      </w:r>
      <w:r w:rsidR="00F4296D">
        <w:rPr>
          <w:rFonts w:cs="Arial"/>
        </w:rPr>
        <w:t>tructure is</w:t>
      </w:r>
      <w:r w:rsidR="00376412">
        <w:rPr>
          <w:rFonts w:cs="Arial"/>
        </w:rPr>
        <w:t xml:space="preserve"> not linear.</w:t>
      </w:r>
    </w:p>
    <w:p w:rsidR="00E349B4" w:rsidRDefault="00E349B4" w:rsidP="00E349B4">
      <w:pPr>
        <w:rPr>
          <w:rFonts w:cs="Arial"/>
        </w:rPr>
      </w:pPr>
      <w:r w:rsidRPr="00E349B4">
        <w:rPr>
          <w:rFonts w:cs="Arial"/>
        </w:rPr>
        <w:t>-</w:t>
      </w:r>
      <w:r>
        <w:rPr>
          <w:rFonts w:cs="Arial"/>
        </w:rPr>
        <w:t xml:space="preserve"> With accumulated costs figures products with longer RHP automatically appear more expensive. Co</w:t>
      </w:r>
      <w:r>
        <w:rPr>
          <w:rFonts w:cs="Arial"/>
        </w:rPr>
        <w:t>m</w:t>
      </w:r>
      <w:r>
        <w:rPr>
          <w:rFonts w:cs="Arial"/>
        </w:rPr>
        <w:t>paring costs between products with different holding periods becomes very difficult for consumers.</w:t>
      </w:r>
    </w:p>
    <w:p w:rsidR="00361216" w:rsidRPr="00361216" w:rsidRDefault="00361216" w:rsidP="00E349B4">
      <w:pPr>
        <w:rPr>
          <w:rFonts w:cs="Arial"/>
        </w:rPr>
      </w:pPr>
      <w:r>
        <w:rPr>
          <w:rFonts w:cs="Arial"/>
        </w:rPr>
        <w:t xml:space="preserve">- </w:t>
      </w:r>
      <w:r w:rsidRPr="00361216">
        <w:rPr>
          <w:rFonts w:cs="Arial"/>
        </w:rPr>
        <w:t>Considering total costs (</w:t>
      </w:r>
      <w:r w:rsidR="00F4296D">
        <w:rPr>
          <w:rFonts w:cs="Arial"/>
        </w:rPr>
        <w:t xml:space="preserve">if </w:t>
      </w:r>
      <w:r w:rsidRPr="00361216">
        <w:rPr>
          <w:rFonts w:cs="Arial"/>
        </w:rPr>
        <w:t xml:space="preserve">defined as difference of gross and net returns), the average costs of a long-term product would be higher than those of a short-term product, all else equal. </w:t>
      </w:r>
      <w:r w:rsidR="007061A4">
        <w:rPr>
          <w:rFonts w:cs="Arial"/>
        </w:rPr>
        <w:t>Effects like that can be misleading for consumers</w:t>
      </w:r>
      <w:r w:rsidRPr="00361216">
        <w:rPr>
          <w:rFonts w:cs="Arial"/>
        </w:rPr>
        <w:t>.</w:t>
      </w:r>
    </w:p>
    <w:permEnd w:id="1209165715"/>
    <w:p w:rsidR="003E573C" w:rsidRDefault="003E573C" w:rsidP="003E573C">
      <w:pPr>
        <w:rPr>
          <w:rFonts w:cs="Arial"/>
        </w:rPr>
      </w:pPr>
      <w:r>
        <w:rPr>
          <w:rFonts w:cs="Arial"/>
        </w:rPr>
        <w:t>&lt;ESA_QUESTION_PKID_35&gt;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rsidR="003E573C" w:rsidRDefault="003E573C" w:rsidP="003E573C">
      <w:pPr>
        <w:rPr>
          <w:rFonts w:cs="Arial"/>
        </w:rPr>
      </w:pPr>
      <w:r>
        <w:rPr>
          <w:rFonts w:cs="Arial"/>
        </w:rPr>
        <w:t>&lt;ESA_QUESTION_PKID_36&gt;</w:t>
      </w:r>
    </w:p>
    <w:p w:rsidR="003E573C" w:rsidRDefault="0064548D" w:rsidP="003E573C">
      <w:pPr>
        <w:rPr>
          <w:rFonts w:cs="Arial"/>
        </w:rPr>
      </w:pPr>
      <w:permStart w:id="73405133" w:edGrp="everyone"/>
      <w:r>
        <w:rPr>
          <w:rFonts w:cs="Arial"/>
        </w:rPr>
        <w:t>In terms of comparability it is not helpful for consumers if different figures are used for different products.</w:t>
      </w:r>
      <w:r w:rsidR="00A12824">
        <w:rPr>
          <w:rFonts w:cs="Arial"/>
        </w:rPr>
        <w:t xml:space="preserve"> A consistent approach across all products in scope is preferable. Furthermore RIY is also compatible with MiFID II requirements.</w:t>
      </w:r>
    </w:p>
    <w:p w:rsidR="00957381" w:rsidRPr="00957381" w:rsidRDefault="00957381" w:rsidP="00957381">
      <w:pPr>
        <w:rPr>
          <w:rFonts w:cs="Arial"/>
        </w:rPr>
      </w:pPr>
      <w:r w:rsidRPr="00957381">
        <w:rPr>
          <w:rFonts w:cs="Arial"/>
        </w:rPr>
        <w:t>The total costs in percent of the invested amount can be very high and even exceed 100% for long RHPs, which is absurd.</w:t>
      </w:r>
    </w:p>
    <w:p w:rsidR="00957381" w:rsidRPr="00957381" w:rsidRDefault="00957381" w:rsidP="003E573C">
      <w:pPr>
        <w:rPr>
          <w:rFonts w:cs="Arial"/>
        </w:rPr>
      </w:pPr>
      <w:r w:rsidRPr="00957381">
        <w:rPr>
          <w:rFonts w:cs="Arial"/>
        </w:rPr>
        <w:t>Even if we consider accrued costs (i.e. the amount actually paid), then the average in Q.35 would just be [RIY]*[invested amount] (which provides n</w:t>
      </w:r>
      <w:r w:rsidR="00FC7500">
        <w:rPr>
          <w:rFonts w:cs="Arial"/>
        </w:rPr>
        <w:t xml:space="preserve">o new information), and </w:t>
      </w:r>
      <w:r w:rsidRPr="00957381">
        <w:rPr>
          <w:rFonts w:cs="Arial"/>
        </w:rPr>
        <w:t>we’d also have the effect that total costs in percent of invested amount can be very high.</w:t>
      </w:r>
    </w:p>
    <w:permEnd w:id="73405133"/>
    <w:p w:rsidR="003E573C" w:rsidRDefault="003E573C" w:rsidP="003E573C">
      <w:pPr>
        <w:rPr>
          <w:rFonts w:cs="Arial"/>
        </w:rPr>
      </w:pPr>
      <w:r>
        <w:rPr>
          <w:rFonts w:cs="Arial"/>
        </w:rPr>
        <w:t>&lt;ESA_QUESTION_PKID_36&gt;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rsidR="003E573C" w:rsidRDefault="003E573C" w:rsidP="003E573C">
      <w:pPr>
        <w:rPr>
          <w:rFonts w:cs="Arial"/>
        </w:rPr>
      </w:pPr>
      <w:r>
        <w:rPr>
          <w:rFonts w:cs="Arial"/>
        </w:rPr>
        <w:t>&lt;ESA_QUESTION_PKID_37&gt;</w:t>
      </w:r>
    </w:p>
    <w:p w:rsidR="003E573C" w:rsidRDefault="003E573C" w:rsidP="003E573C">
      <w:pPr>
        <w:rPr>
          <w:rFonts w:cs="Arial"/>
        </w:rPr>
      </w:pPr>
      <w:permStart w:id="1872168188" w:edGrp="everyone"/>
      <w:r>
        <w:rPr>
          <w:rFonts w:cs="Arial"/>
        </w:rPr>
        <w:t>TYPE YOUR TEXT HERE</w:t>
      </w:r>
    </w:p>
    <w:permEnd w:id="1872168188"/>
    <w:p w:rsidR="003E573C" w:rsidRDefault="003E573C" w:rsidP="003E573C">
      <w:pPr>
        <w:rPr>
          <w:rFonts w:cs="Arial"/>
        </w:rPr>
      </w:pPr>
      <w:r>
        <w:rPr>
          <w:rFonts w:cs="Arial"/>
        </w:rPr>
        <w:t>&lt;ESA_QUESTION_PKID_37&gt;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rsidR="003E573C" w:rsidRDefault="003E573C" w:rsidP="003E573C">
      <w:pPr>
        <w:rPr>
          <w:rFonts w:cs="Arial"/>
        </w:rPr>
      </w:pPr>
      <w:r>
        <w:rPr>
          <w:rFonts w:cs="Arial"/>
        </w:rPr>
        <w:t>&lt;ESA_QUESTION_PKID_38&gt;</w:t>
      </w:r>
    </w:p>
    <w:p w:rsidR="003E573C" w:rsidRDefault="003E573C" w:rsidP="003E573C">
      <w:pPr>
        <w:rPr>
          <w:rFonts w:cs="Arial"/>
        </w:rPr>
      </w:pPr>
      <w:permStart w:id="1015630450" w:edGrp="everyone"/>
      <w:r>
        <w:rPr>
          <w:rFonts w:cs="Arial"/>
        </w:rPr>
        <w:t>TYPE YOUR TEXT HERE</w:t>
      </w:r>
    </w:p>
    <w:permEnd w:id="1015630450"/>
    <w:p w:rsidR="003E573C" w:rsidRDefault="003E573C" w:rsidP="003E573C">
      <w:pPr>
        <w:rPr>
          <w:rFonts w:cs="Arial"/>
        </w:rPr>
      </w:pPr>
      <w:r>
        <w:rPr>
          <w:rFonts w:cs="Arial"/>
        </w:rPr>
        <w:lastRenderedPageBreak/>
        <w:t>&lt;ESA_QUESTION_PKID_38&gt;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with the ESAs’ preferred option 3 to revise the cost tables?</w:t>
      </w:r>
    </w:p>
    <w:p w:rsidR="003E573C" w:rsidRDefault="003E573C" w:rsidP="003E573C">
      <w:pPr>
        <w:rPr>
          <w:rFonts w:cs="Arial"/>
        </w:rPr>
      </w:pPr>
      <w:r>
        <w:rPr>
          <w:rFonts w:cs="Arial"/>
        </w:rPr>
        <w:t>&lt;ESA_QUESTION_PKID_39&gt;</w:t>
      </w:r>
    </w:p>
    <w:p w:rsidR="003E573C" w:rsidRDefault="006D489C" w:rsidP="003E573C">
      <w:pPr>
        <w:rPr>
          <w:rFonts w:cs="Arial"/>
        </w:rPr>
      </w:pPr>
      <w:permStart w:id="1627332041" w:edGrp="everyone"/>
      <w:r>
        <w:rPr>
          <w:rFonts w:cs="Arial"/>
        </w:rPr>
        <w:t>No, it does not appear like an improvement of the current version. Many insurance products have several different reference values for costs</w:t>
      </w:r>
      <w:r w:rsidR="006F75A6">
        <w:rPr>
          <w:rFonts w:cs="Arial"/>
        </w:rPr>
        <w:t xml:space="preserve"> (e.g. premiums, sum of premiums, </w:t>
      </w:r>
      <w:proofErr w:type="spellStart"/>
      <w:r w:rsidR="006F75A6">
        <w:rPr>
          <w:rFonts w:cs="Arial"/>
        </w:rPr>
        <w:t>AuM</w:t>
      </w:r>
      <w:proofErr w:type="spellEnd"/>
      <w:r w:rsidR="006F75A6">
        <w:rPr>
          <w:rFonts w:cs="Arial"/>
        </w:rPr>
        <w:t>, fixed)</w:t>
      </w:r>
      <w:r>
        <w:rPr>
          <w:rFonts w:cs="Arial"/>
        </w:rPr>
        <w:t>. This would make the table very long and difficult to comprehend for consumers. In our experience consumers are often unable to calculate with several reference values.</w:t>
      </w:r>
    </w:p>
    <w:permEnd w:id="1627332041"/>
    <w:p w:rsidR="003E573C" w:rsidRDefault="003E573C" w:rsidP="003E573C">
      <w:pPr>
        <w:rPr>
          <w:rFonts w:cs="Arial"/>
        </w:rPr>
      </w:pPr>
      <w:r>
        <w:rPr>
          <w:rFonts w:cs="Arial"/>
        </w:rPr>
        <w:t>&lt;ESA_QUESTION_PKID_39&gt;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not, which option do you prefer, and why?</w:t>
      </w:r>
    </w:p>
    <w:p w:rsidR="003E573C" w:rsidRDefault="003E573C" w:rsidP="003E573C">
      <w:pPr>
        <w:rPr>
          <w:rFonts w:cs="Arial"/>
        </w:rPr>
      </w:pPr>
      <w:r>
        <w:rPr>
          <w:rFonts w:cs="Arial"/>
        </w:rPr>
        <w:t>&lt;ESA_QUESTION_PKID_40&gt;</w:t>
      </w:r>
    </w:p>
    <w:p w:rsidR="003E573C" w:rsidRDefault="00DC6912" w:rsidP="003E573C">
      <w:pPr>
        <w:rPr>
          <w:rFonts w:cs="Arial"/>
        </w:rPr>
      </w:pPr>
      <w:permStart w:id="1052338998" w:edGrp="everyone"/>
      <w:r>
        <w:rPr>
          <w:rFonts w:cs="Arial"/>
        </w:rPr>
        <w:t xml:space="preserve">None of the four options is an improvement. We prefer the current </w:t>
      </w:r>
      <w:r w:rsidR="00447FBF">
        <w:rPr>
          <w:rFonts w:cs="Arial"/>
        </w:rPr>
        <w:t>methodology</w:t>
      </w:r>
      <w:r w:rsidR="00485B1E">
        <w:rPr>
          <w:rFonts w:cs="Arial"/>
        </w:rPr>
        <w:t xml:space="preserve"> with RIY in both tables</w:t>
      </w:r>
      <w:r w:rsidR="00447FBF">
        <w:rPr>
          <w:rFonts w:cs="Arial"/>
        </w:rPr>
        <w:t>, as it is more comprehensible and comparable than any of the new options.</w:t>
      </w:r>
      <w:r w:rsidR="00072638">
        <w:rPr>
          <w:rFonts w:cs="Arial"/>
        </w:rPr>
        <w:t xml:space="preserve"> </w:t>
      </w:r>
    </w:p>
    <w:p w:rsidR="00072638" w:rsidRDefault="00072638" w:rsidP="003E573C">
      <w:pPr>
        <w:rPr>
          <w:rFonts w:cs="Arial"/>
        </w:rPr>
      </w:pPr>
      <w:r>
        <w:rPr>
          <w:rFonts w:cs="Arial"/>
        </w:rPr>
        <w:t xml:space="preserve">A real improvement would be to make the tables less complex. The impact of the costs on the return is enough for most customers. The </w:t>
      </w:r>
      <w:r w:rsidR="00572366">
        <w:rPr>
          <w:rFonts w:cs="Arial"/>
        </w:rPr>
        <w:t xml:space="preserve">monetary amounts </w:t>
      </w:r>
      <w:r>
        <w:rPr>
          <w:rFonts w:cs="Arial"/>
        </w:rPr>
        <w:t>are often hard to interpret because the neither fit the premiums nor the holdings periods that the consumers are planning. The breakdown in table 2 is often seen as too detailed. Consumers find it hard to make sense and to appropriately priories the significance of the many different costs figures presented. Less is more in this context.</w:t>
      </w:r>
    </w:p>
    <w:permEnd w:id="1052338998"/>
    <w:p w:rsidR="003E573C" w:rsidRDefault="003E573C" w:rsidP="003E573C">
      <w:pPr>
        <w:rPr>
          <w:rFonts w:cs="Arial"/>
        </w:rPr>
      </w:pPr>
      <w:r>
        <w:rPr>
          <w:rFonts w:cs="Arial"/>
        </w:rPr>
        <w:t>&lt;ESA_QUESTION_PKID_40&gt;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rsidR="003E573C" w:rsidRDefault="003E573C" w:rsidP="003E573C">
      <w:pPr>
        <w:rPr>
          <w:rFonts w:cs="Arial"/>
        </w:rPr>
      </w:pPr>
      <w:r>
        <w:rPr>
          <w:rFonts w:cs="Arial"/>
        </w:rPr>
        <w:t>&lt;ESA_QUESTION_PKID_41&gt;</w:t>
      </w:r>
    </w:p>
    <w:p w:rsidR="003E573C" w:rsidRDefault="005B0822" w:rsidP="003E573C">
      <w:pPr>
        <w:rPr>
          <w:rFonts w:cs="Arial"/>
        </w:rPr>
      </w:pPr>
      <w:permStart w:id="405473390" w:edGrp="everyone"/>
      <w:r>
        <w:rPr>
          <w:rFonts w:cs="Arial"/>
        </w:rPr>
        <w:t xml:space="preserve">Generally it is a good idea to improve the explanation of RIY. Overall the costs disclosure should rather be simplified. The impact of the costs on the return is enough for most customers. The </w:t>
      </w:r>
      <w:r w:rsidR="00572366">
        <w:rPr>
          <w:rFonts w:cs="Arial"/>
        </w:rPr>
        <w:t>monetary amounts</w:t>
      </w:r>
      <w:r>
        <w:rPr>
          <w:rFonts w:cs="Arial"/>
        </w:rPr>
        <w:t xml:space="preserve"> are often hard to interpret because the</w:t>
      </w:r>
      <w:r w:rsidR="001B6C58">
        <w:rPr>
          <w:rFonts w:cs="Arial"/>
        </w:rPr>
        <w:t>y</w:t>
      </w:r>
      <w:r>
        <w:rPr>
          <w:rFonts w:cs="Arial"/>
        </w:rPr>
        <w:t xml:space="preserve"> neither f</w:t>
      </w:r>
      <w:r w:rsidR="001B6C58">
        <w:rPr>
          <w:rFonts w:cs="Arial"/>
        </w:rPr>
        <w:t>it the premiums nor the holding</w:t>
      </w:r>
      <w:r>
        <w:rPr>
          <w:rFonts w:cs="Arial"/>
        </w:rPr>
        <w:t xml:space="preserve"> periods that the consumers are planning. The breakdown in table 2 is often seen as too detailed. Consumers find it hard to make sense </w:t>
      </w:r>
      <w:r w:rsidR="00D06570">
        <w:rPr>
          <w:rFonts w:cs="Arial"/>
        </w:rPr>
        <w:t xml:space="preserve">of </w:t>
      </w:r>
      <w:r>
        <w:rPr>
          <w:rFonts w:cs="Arial"/>
        </w:rPr>
        <w:t xml:space="preserve">and to appropriately </w:t>
      </w:r>
      <w:r w:rsidR="001B6C58">
        <w:rPr>
          <w:rFonts w:cs="Arial"/>
        </w:rPr>
        <w:t>priori</w:t>
      </w:r>
      <w:r w:rsidR="00D06570">
        <w:rPr>
          <w:rFonts w:cs="Arial"/>
        </w:rPr>
        <w:t>ti</w:t>
      </w:r>
      <w:r w:rsidR="001B6C58">
        <w:rPr>
          <w:rFonts w:cs="Arial"/>
        </w:rPr>
        <w:t>se</w:t>
      </w:r>
      <w:r>
        <w:rPr>
          <w:rFonts w:cs="Arial"/>
        </w:rPr>
        <w:t xml:space="preserve"> the significance of the many different costs figures presented. Less is more in this context.</w:t>
      </w:r>
    </w:p>
    <w:permEnd w:id="405473390"/>
    <w:p w:rsidR="003E573C" w:rsidRDefault="003E573C" w:rsidP="003E573C">
      <w:pPr>
        <w:rPr>
          <w:rFonts w:cs="Arial"/>
        </w:rPr>
      </w:pPr>
      <w:r>
        <w:rPr>
          <w:rFonts w:cs="Arial"/>
        </w:rPr>
        <w:t>&lt;ESA_QUESTION_PKID_41&gt;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have other comments on the proposed changes to the cost tables?</w:t>
      </w:r>
    </w:p>
    <w:p w:rsidR="003E573C" w:rsidRDefault="003E573C" w:rsidP="003E573C">
      <w:pPr>
        <w:rPr>
          <w:rFonts w:cs="Arial"/>
        </w:rPr>
      </w:pPr>
      <w:r>
        <w:rPr>
          <w:rFonts w:cs="Arial"/>
        </w:rPr>
        <w:t>&lt;ESA_QUESTION_PKID_42&gt;</w:t>
      </w:r>
    </w:p>
    <w:p w:rsidR="003E573C" w:rsidRDefault="009C5EF5" w:rsidP="003E573C">
      <w:pPr>
        <w:rPr>
          <w:rFonts w:cs="Arial"/>
        </w:rPr>
      </w:pPr>
      <w:permStart w:id="2010535567" w:edGrp="everyone"/>
      <w:r>
        <w:rPr>
          <w:rFonts w:cs="Arial"/>
        </w:rPr>
        <w:t>Changes to the tables have to fit fo</w:t>
      </w:r>
      <w:r w:rsidR="00671448">
        <w:rPr>
          <w:rFonts w:cs="Arial"/>
        </w:rPr>
        <w:t>r all products. Changes that fit</w:t>
      </w:r>
      <w:r>
        <w:rPr>
          <w:rFonts w:cs="Arial"/>
        </w:rPr>
        <w:t xml:space="preserve"> only for part of the scope limit compar</w:t>
      </w:r>
      <w:r>
        <w:rPr>
          <w:rFonts w:cs="Arial"/>
        </w:rPr>
        <w:t>a</w:t>
      </w:r>
      <w:r>
        <w:rPr>
          <w:rFonts w:cs="Arial"/>
        </w:rPr>
        <w:t>bility.</w:t>
      </w:r>
    </w:p>
    <w:permEnd w:id="2010535567"/>
    <w:p w:rsidR="003E573C" w:rsidRDefault="003E573C" w:rsidP="003E573C">
      <w:pPr>
        <w:rPr>
          <w:rFonts w:cs="Arial"/>
        </w:rPr>
      </w:pPr>
      <w:r>
        <w:rPr>
          <w:rFonts w:cs="Arial"/>
        </w:rPr>
        <w:t>&lt;ESA_QUESTION_PKID_42&gt;</w:t>
      </w:r>
    </w:p>
    <w:p w:rsidR="003E573C" w:rsidRDefault="003E573C" w:rsidP="003E573C">
      <w:pPr>
        <w:rPr>
          <w:rFonts w:cs="Arial"/>
        </w:rPr>
      </w:pPr>
    </w:p>
    <w:p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w:t>
      </w:r>
      <w:r>
        <w:t>a</w:t>
      </w:r>
      <w:r>
        <w:t>tion for your response.</w:t>
      </w:r>
    </w:p>
    <w:p w:rsidR="003E573C" w:rsidRDefault="003E573C" w:rsidP="003E573C">
      <w:pPr>
        <w:rPr>
          <w:rFonts w:cs="Arial"/>
        </w:rPr>
      </w:pPr>
      <w:r>
        <w:rPr>
          <w:rFonts w:cs="Arial"/>
        </w:rPr>
        <w:t>&lt;ESA_QUESTION_PKID_43&gt;</w:t>
      </w:r>
    </w:p>
    <w:p w:rsidR="003014F0" w:rsidRDefault="003014F0" w:rsidP="003014F0">
      <w:pPr>
        <w:rPr>
          <w:rFonts w:ascii="Calibri" w:hAnsi="Calibri"/>
          <w:szCs w:val="22"/>
          <w:lang w:val="en-US"/>
        </w:rPr>
      </w:pPr>
      <w:permStart w:id="1353978198" w:edGrp="everyone"/>
      <w:r>
        <w:t>O</w:t>
      </w:r>
      <w:r>
        <w:rPr>
          <w:lang w:val="en-US"/>
        </w:rPr>
        <w:t>n transaction costs, we would like to comment broader than just to the point of this single question.</w:t>
      </w:r>
    </w:p>
    <w:p w:rsidR="003014F0" w:rsidRDefault="003014F0" w:rsidP="003014F0">
      <w:pPr>
        <w:autoSpaceDE w:val="0"/>
        <w:autoSpaceDN w:val="0"/>
        <w:rPr>
          <w:sz w:val="21"/>
          <w:szCs w:val="21"/>
          <w:lang w:val="en-US" w:eastAsia="en-GB"/>
        </w:rPr>
      </w:pPr>
      <w:r>
        <w:rPr>
          <w:sz w:val="21"/>
          <w:szCs w:val="21"/>
          <w:lang w:val="en-US" w:eastAsia="en-GB"/>
        </w:rPr>
        <w:t>We welcome providing transparency of costs to investors and the inclusion of transaction</w:t>
      </w:r>
    </w:p>
    <w:p w:rsidR="003014F0" w:rsidRDefault="003014F0" w:rsidP="003014F0">
      <w:pPr>
        <w:autoSpaceDE w:val="0"/>
        <w:autoSpaceDN w:val="0"/>
        <w:rPr>
          <w:sz w:val="21"/>
          <w:szCs w:val="21"/>
          <w:lang w:val="en-US" w:eastAsia="en-GB"/>
        </w:rPr>
      </w:pPr>
      <w:proofErr w:type="gramStart"/>
      <w:r>
        <w:rPr>
          <w:sz w:val="21"/>
          <w:szCs w:val="21"/>
          <w:lang w:val="en-US" w:eastAsia="en-GB"/>
        </w:rPr>
        <w:t>costs</w:t>
      </w:r>
      <w:proofErr w:type="gramEnd"/>
      <w:r>
        <w:rPr>
          <w:sz w:val="21"/>
          <w:szCs w:val="21"/>
          <w:lang w:val="en-US" w:eastAsia="en-GB"/>
        </w:rPr>
        <w:t xml:space="preserve"> into the total cost figure. However, different to other costs being disclosed, transaction</w:t>
      </w:r>
    </w:p>
    <w:p w:rsidR="003014F0" w:rsidRDefault="003014F0" w:rsidP="003014F0">
      <w:pPr>
        <w:autoSpaceDE w:val="0"/>
        <w:autoSpaceDN w:val="0"/>
        <w:rPr>
          <w:sz w:val="21"/>
          <w:szCs w:val="21"/>
          <w:lang w:val="en-US" w:eastAsia="en-GB"/>
        </w:rPr>
      </w:pPr>
      <w:proofErr w:type="gramStart"/>
      <w:r>
        <w:rPr>
          <w:sz w:val="21"/>
          <w:szCs w:val="21"/>
          <w:lang w:val="en-US" w:eastAsia="en-GB"/>
        </w:rPr>
        <w:t>costs</w:t>
      </w:r>
      <w:proofErr w:type="gramEnd"/>
      <w:r>
        <w:rPr>
          <w:sz w:val="21"/>
          <w:szCs w:val="21"/>
          <w:lang w:val="en-US" w:eastAsia="en-GB"/>
        </w:rPr>
        <w:t xml:space="preserve"> contain an implicit cost factor that is neither invoiced nor reflected in any accounting</w:t>
      </w:r>
    </w:p>
    <w:p w:rsidR="003014F0" w:rsidRDefault="003014F0" w:rsidP="003014F0">
      <w:pPr>
        <w:autoSpaceDE w:val="0"/>
        <w:autoSpaceDN w:val="0"/>
        <w:rPr>
          <w:sz w:val="21"/>
          <w:szCs w:val="21"/>
          <w:lang w:val="en-US" w:eastAsia="en-GB"/>
        </w:rPr>
      </w:pPr>
      <w:proofErr w:type="gramStart"/>
      <w:r>
        <w:rPr>
          <w:sz w:val="21"/>
          <w:szCs w:val="21"/>
          <w:lang w:val="en-US" w:eastAsia="en-GB"/>
        </w:rPr>
        <w:t>records</w:t>
      </w:r>
      <w:proofErr w:type="gramEnd"/>
      <w:r>
        <w:rPr>
          <w:sz w:val="21"/>
          <w:szCs w:val="21"/>
          <w:lang w:val="en-US" w:eastAsia="en-GB"/>
        </w:rPr>
        <w:t>. Further, given the nature of this implicit cost factor and the present calculation</w:t>
      </w:r>
    </w:p>
    <w:p w:rsidR="003014F0" w:rsidRDefault="003014F0" w:rsidP="003014F0">
      <w:pPr>
        <w:autoSpaceDE w:val="0"/>
        <w:autoSpaceDN w:val="0"/>
        <w:rPr>
          <w:sz w:val="21"/>
          <w:szCs w:val="21"/>
          <w:lang w:val="en-US" w:eastAsia="en-GB"/>
        </w:rPr>
      </w:pPr>
      <w:proofErr w:type="gramStart"/>
      <w:r>
        <w:rPr>
          <w:sz w:val="21"/>
          <w:szCs w:val="21"/>
          <w:lang w:val="en-US" w:eastAsia="en-GB"/>
        </w:rPr>
        <w:t>method</w:t>
      </w:r>
      <w:proofErr w:type="gramEnd"/>
      <w:r>
        <w:rPr>
          <w:sz w:val="21"/>
          <w:szCs w:val="21"/>
          <w:lang w:val="en-US" w:eastAsia="en-GB"/>
        </w:rPr>
        <w:t>, it may be highly volatile and lead to incorrect distortions of the total cost figure.</w:t>
      </w:r>
    </w:p>
    <w:p w:rsidR="003014F0" w:rsidRDefault="003014F0" w:rsidP="003014F0">
      <w:pPr>
        <w:autoSpaceDE w:val="0"/>
        <w:autoSpaceDN w:val="0"/>
        <w:rPr>
          <w:sz w:val="21"/>
          <w:szCs w:val="21"/>
          <w:lang w:val="en-US" w:eastAsia="en-GB"/>
        </w:rPr>
      </w:pPr>
      <w:r>
        <w:rPr>
          <w:sz w:val="21"/>
          <w:szCs w:val="21"/>
          <w:lang w:val="en-US" w:eastAsia="en-GB"/>
        </w:rPr>
        <w:t xml:space="preserve">Therefore, we recommend </w:t>
      </w:r>
      <w:proofErr w:type="gramStart"/>
      <w:r>
        <w:rPr>
          <w:sz w:val="21"/>
          <w:szCs w:val="21"/>
          <w:lang w:val="en-US" w:eastAsia="en-GB"/>
        </w:rPr>
        <w:t>to re-think</w:t>
      </w:r>
      <w:proofErr w:type="gramEnd"/>
      <w:r>
        <w:rPr>
          <w:sz w:val="21"/>
          <w:szCs w:val="21"/>
          <w:lang w:val="en-US" w:eastAsia="en-GB"/>
        </w:rPr>
        <w:t xml:space="preserve"> the presentation of transaction costs and to only</w:t>
      </w:r>
    </w:p>
    <w:p w:rsidR="003014F0" w:rsidRDefault="003014F0" w:rsidP="003014F0">
      <w:pPr>
        <w:autoSpaceDE w:val="0"/>
        <w:autoSpaceDN w:val="0"/>
        <w:rPr>
          <w:sz w:val="21"/>
          <w:szCs w:val="21"/>
          <w:lang w:val="en-US" w:eastAsia="en-GB"/>
        </w:rPr>
      </w:pPr>
      <w:proofErr w:type="gramStart"/>
      <w:r>
        <w:rPr>
          <w:sz w:val="21"/>
          <w:szCs w:val="21"/>
          <w:lang w:val="en-US" w:eastAsia="en-GB"/>
        </w:rPr>
        <w:lastRenderedPageBreak/>
        <w:t>include</w:t>
      </w:r>
      <w:proofErr w:type="gramEnd"/>
      <w:r>
        <w:rPr>
          <w:sz w:val="21"/>
          <w:szCs w:val="21"/>
          <w:lang w:val="en-US" w:eastAsia="en-GB"/>
        </w:rPr>
        <w:t xml:space="preserve"> explicit transaction costs (e.g. broker commissions, stamp duty, which are invoiced,</w:t>
      </w:r>
    </w:p>
    <w:p w:rsidR="003014F0" w:rsidRDefault="003014F0" w:rsidP="003014F0">
      <w:pPr>
        <w:autoSpaceDE w:val="0"/>
        <w:autoSpaceDN w:val="0"/>
        <w:rPr>
          <w:sz w:val="21"/>
          <w:szCs w:val="21"/>
          <w:lang w:val="en-US" w:eastAsia="en-GB"/>
        </w:rPr>
      </w:pPr>
      <w:proofErr w:type="gramStart"/>
      <w:r>
        <w:rPr>
          <w:sz w:val="21"/>
          <w:szCs w:val="21"/>
          <w:lang w:val="en-US" w:eastAsia="en-GB"/>
        </w:rPr>
        <w:t>accounted</w:t>
      </w:r>
      <w:proofErr w:type="gramEnd"/>
      <w:r>
        <w:rPr>
          <w:sz w:val="21"/>
          <w:szCs w:val="21"/>
          <w:lang w:val="en-US" w:eastAsia="en-GB"/>
        </w:rPr>
        <w:t xml:space="preserve"> for and audited) into the total cost figure, while we would recommend to display</w:t>
      </w:r>
    </w:p>
    <w:p w:rsidR="003014F0" w:rsidRDefault="003014F0" w:rsidP="003014F0">
      <w:pPr>
        <w:autoSpaceDE w:val="0"/>
        <w:autoSpaceDN w:val="0"/>
        <w:rPr>
          <w:sz w:val="21"/>
          <w:szCs w:val="21"/>
          <w:lang w:val="en-US" w:eastAsia="en-GB"/>
        </w:rPr>
      </w:pPr>
      <w:proofErr w:type="gramStart"/>
      <w:r>
        <w:rPr>
          <w:sz w:val="21"/>
          <w:szCs w:val="21"/>
          <w:lang w:val="en-US" w:eastAsia="en-GB"/>
        </w:rPr>
        <w:t>the</w:t>
      </w:r>
      <w:proofErr w:type="gramEnd"/>
      <w:r>
        <w:rPr>
          <w:sz w:val="21"/>
          <w:szCs w:val="21"/>
          <w:lang w:val="en-US" w:eastAsia="en-GB"/>
        </w:rPr>
        <w:t xml:space="preserve"> implicit costs separately with a respective explanation that allows retail clients to</w:t>
      </w:r>
    </w:p>
    <w:p w:rsidR="003014F0" w:rsidRDefault="003014F0" w:rsidP="003014F0">
      <w:pPr>
        <w:autoSpaceDE w:val="0"/>
        <w:autoSpaceDN w:val="0"/>
        <w:rPr>
          <w:sz w:val="21"/>
          <w:szCs w:val="21"/>
          <w:lang w:val="en-US" w:eastAsia="en-GB"/>
        </w:rPr>
      </w:pPr>
      <w:proofErr w:type="gramStart"/>
      <w:r>
        <w:rPr>
          <w:sz w:val="21"/>
          <w:szCs w:val="21"/>
          <w:lang w:val="en-US" w:eastAsia="en-GB"/>
        </w:rPr>
        <w:t>comprehend</w:t>
      </w:r>
      <w:proofErr w:type="gramEnd"/>
      <w:r>
        <w:rPr>
          <w:sz w:val="21"/>
          <w:szCs w:val="21"/>
          <w:lang w:val="en-US" w:eastAsia="en-GB"/>
        </w:rPr>
        <w:t xml:space="preserve"> this disclosure.</w:t>
      </w:r>
      <w:r>
        <w:rPr>
          <w:sz w:val="21"/>
          <w:szCs w:val="21"/>
          <w:lang w:val="en-US" w:eastAsia="en-GB"/>
        </w:rPr>
        <w:br/>
        <w:t>On the arrival price methodology, we still believe that the slippage method presents challenges to provide reasonable and meaningful results as it still captures market movements and is incorrect for certain trading strategies. In order to minimize before mentioned challenges, the arrival price should</w:t>
      </w:r>
    </w:p>
    <w:p w:rsidR="003014F0" w:rsidRDefault="003014F0" w:rsidP="003014F0">
      <w:pPr>
        <w:autoSpaceDE w:val="0"/>
        <w:autoSpaceDN w:val="0"/>
        <w:rPr>
          <w:sz w:val="21"/>
          <w:szCs w:val="21"/>
          <w:lang w:val="en-US" w:eastAsia="en-GB"/>
        </w:rPr>
      </w:pPr>
      <w:proofErr w:type="gramStart"/>
      <w:r>
        <w:rPr>
          <w:sz w:val="21"/>
          <w:szCs w:val="21"/>
          <w:lang w:val="en-US" w:eastAsia="en-GB"/>
        </w:rPr>
        <w:t>rather</w:t>
      </w:r>
      <w:proofErr w:type="gramEnd"/>
      <w:r>
        <w:rPr>
          <w:sz w:val="21"/>
          <w:szCs w:val="21"/>
          <w:lang w:val="en-US" w:eastAsia="en-GB"/>
        </w:rPr>
        <w:t xml:space="preserve"> be determined by referring to half the bid/ask spread at the point in time of order</w:t>
      </w:r>
    </w:p>
    <w:p w:rsidR="003014F0" w:rsidRDefault="003014F0" w:rsidP="003014F0">
      <w:pPr>
        <w:rPr>
          <w:sz w:val="21"/>
          <w:szCs w:val="21"/>
          <w:lang w:val="en-US" w:eastAsia="en-GB"/>
        </w:rPr>
      </w:pPr>
      <w:proofErr w:type="gramStart"/>
      <w:r>
        <w:rPr>
          <w:sz w:val="21"/>
          <w:szCs w:val="21"/>
          <w:lang w:val="en-US" w:eastAsia="en-GB"/>
        </w:rPr>
        <w:t>execution</w:t>
      </w:r>
      <w:proofErr w:type="gramEnd"/>
      <w:r>
        <w:rPr>
          <w:sz w:val="21"/>
          <w:szCs w:val="21"/>
          <w:lang w:val="en-US" w:eastAsia="en-GB"/>
        </w:rPr>
        <w:t xml:space="preserve"> than the point in time of order submission to the broker.</w:t>
      </w:r>
    </w:p>
    <w:p w:rsidR="003014F0" w:rsidRDefault="003014F0" w:rsidP="003014F0">
      <w:pPr>
        <w:rPr>
          <w:szCs w:val="20"/>
        </w:rPr>
      </w:pPr>
      <w:r>
        <w:rPr>
          <w:lang w:val="en-US"/>
        </w:rPr>
        <w:t>For real assets, we appreciate the suggested approach on taking into account explicit costs only.</w:t>
      </w:r>
    </w:p>
    <w:p w:rsidR="003E573C" w:rsidRPr="003014F0" w:rsidRDefault="003E573C" w:rsidP="003E573C">
      <w:pPr>
        <w:rPr>
          <w:rFonts w:cs="Arial"/>
          <w:lang w:val="en-US"/>
        </w:rPr>
      </w:pPr>
    </w:p>
    <w:permEnd w:id="1353978198"/>
    <w:p w:rsidR="003E573C" w:rsidRDefault="003E573C" w:rsidP="003E573C">
      <w:pPr>
        <w:rPr>
          <w:rFonts w:cs="Arial"/>
        </w:rPr>
      </w:pPr>
      <w:r>
        <w:rPr>
          <w:rFonts w:cs="Arial"/>
        </w:rPr>
        <w:t>&lt;ESA_QUESTION_PKID_43&gt;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w:t>
      </w:r>
      <w:r w:rsidRPr="00763760">
        <w:t>r</w:t>
      </w:r>
      <w:r w:rsidRPr="00763760">
        <w:t>natively, are you of the view that professional investors under the UCITS Directive should r</w:t>
      </w:r>
      <w:r w:rsidRPr="00763760">
        <w:t>e</w:t>
      </w:r>
      <w:r w:rsidRPr="00763760">
        <w:t>ceive a PRIIPs KID (if UCITS would fall in the scope of the PRIIPs Regulation)?</w:t>
      </w:r>
    </w:p>
    <w:p w:rsidR="003E573C" w:rsidRDefault="003E573C" w:rsidP="003E573C">
      <w:pPr>
        <w:rPr>
          <w:rFonts w:cs="Arial"/>
        </w:rPr>
      </w:pPr>
      <w:r>
        <w:rPr>
          <w:rFonts w:cs="Arial"/>
        </w:rPr>
        <w:t>&lt;ESA_QUESTION_PKID_44&gt;</w:t>
      </w:r>
    </w:p>
    <w:p w:rsidR="00203DDD" w:rsidRDefault="00203DDD" w:rsidP="003E573C">
      <w:pPr>
        <w:rPr>
          <w:rFonts w:cs="Arial"/>
        </w:rPr>
      </w:pPr>
      <w:permStart w:id="1796096013" w:edGrp="everyone"/>
      <w:r w:rsidRPr="00203DDD">
        <w:rPr>
          <w:rFonts w:cs="Arial"/>
        </w:rPr>
        <w:t xml:space="preserve">We don’t see any merit in maintaining the UCITS KII beside the PRIIPs KID. Once UCITS managers need to provide the PRIIPs KID to retail investors, the UCITS KII should be abolished. In addition both MIFID and AIFMD have led to complaints from professional investors about the amount of information they have to receive and cannot waive to receive. Since both the UCITS KII and the PRIIPs KID were invented for retail investors, it should therefore suffice </w:t>
      </w:r>
      <w:proofErr w:type="gramStart"/>
      <w:r w:rsidRPr="00203DDD">
        <w:rPr>
          <w:rFonts w:cs="Arial"/>
        </w:rPr>
        <w:t>that</w:t>
      </w:r>
      <w:proofErr w:type="gramEnd"/>
      <w:r w:rsidRPr="00203DDD">
        <w:rPr>
          <w:rFonts w:cs="Arial"/>
        </w:rPr>
        <w:t xml:space="preserve"> PRIIPs providers are required to publish the PRIIPs KID on their website.</w:t>
      </w:r>
    </w:p>
    <w:permEnd w:id="1796096013"/>
    <w:p w:rsidR="003E573C" w:rsidRDefault="003E573C" w:rsidP="003E573C">
      <w:pPr>
        <w:rPr>
          <w:rFonts w:cs="Arial"/>
        </w:rPr>
      </w:pPr>
      <w:r>
        <w:rPr>
          <w:rFonts w:cs="Arial"/>
        </w:rPr>
        <w:t>&lt;ESA_QUESTION_PKID_44&gt;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What are your views on the issue mentioned above for regular savings plans and the pote</w:t>
      </w:r>
      <w:r w:rsidRPr="00763760">
        <w:t>n</w:t>
      </w:r>
      <w:r w:rsidRPr="00763760">
        <w:t>tial ways to address this issue?</w:t>
      </w:r>
    </w:p>
    <w:p w:rsidR="003E573C" w:rsidRDefault="003E573C" w:rsidP="003E573C">
      <w:pPr>
        <w:rPr>
          <w:rFonts w:cs="Arial"/>
        </w:rPr>
      </w:pPr>
      <w:r>
        <w:rPr>
          <w:rFonts w:cs="Arial"/>
        </w:rPr>
        <w:t>&lt;ESA_QUESTION_PKID_45&gt;</w:t>
      </w:r>
    </w:p>
    <w:p w:rsidR="00580777" w:rsidRPr="00580777" w:rsidRDefault="00580777" w:rsidP="00580777">
      <w:pPr>
        <w:rPr>
          <w:rFonts w:cs="Arial"/>
        </w:rPr>
      </w:pPr>
      <w:permStart w:id="1397315978" w:edGrp="everyone"/>
      <w:r w:rsidRPr="00580777">
        <w:rPr>
          <w:rFonts w:cs="Arial"/>
        </w:rPr>
        <w:t xml:space="preserve">We strongly support and would welcome an adjustment of the PRIIPs Level 2 Regulation in line with the existing UCITS requirements. Payments which are already an element of a contract should not trigger a new KID. This is especially true for regular premiums. The KID is designed as a pre-contractual document. Further premiums do not constitute a new contract. </w:t>
      </w:r>
      <w:proofErr w:type="gramStart"/>
      <w:r w:rsidRPr="00580777">
        <w:rPr>
          <w:rFonts w:cs="Arial"/>
        </w:rPr>
        <w:t>The is</w:t>
      </w:r>
      <w:proofErr w:type="gramEnd"/>
      <w:r w:rsidRPr="00580777">
        <w:rPr>
          <w:rFonts w:cs="Arial"/>
        </w:rPr>
        <w:t xml:space="preserve"> no pre-contractual element here. The KID is not suitable as an ongoing information document.</w:t>
      </w:r>
    </w:p>
    <w:p w:rsidR="00580777" w:rsidRDefault="00580777" w:rsidP="003E573C">
      <w:pPr>
        <w:rPr>
          <w:rFonts w:cs="Arial"/>
        </w:rPr>
      </w:pPr>
      <w:r w:rsidRPr="00580777">
        <w:rPr>
          <w:rFonts w:cs="Arial"/>
        </w:rPr>
        <w:t>Furthermore, a significant number of retail investors is still only be reachable via postal mail, i.e. sending PRIIPs updates at the very least yearly will not only be costly but will also harm the environment due to the paper which would be used.</w:t>
      </w:r>
    </w:p>
    <w:permEnd w:id="1397315978"/>
    <w:p w:rsidR="003E573C" w:rsidRDefault="003E573C" w:rsidP="003E573C">
      <w:pPr>
        <w:rPr>
          <w:rFonts w:cs="Arial"/>
        </w:rPr>
      </w:pPr>
      <w:r>
        <w:rPr>
          <w:rFonts w:cs="Arial"/>
        </w:rPr>
        <w:t>&lt;ESA_QUESTION_PKID_45&gt;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rsidR="003E573C" w:rsidRDefault="003E573C" w:rsidP="003E573C">
      <w:pPr>
        <w:rPr>
          <w:rFonts w:cs="Arial"/>
        </w:rPr>
      </w:pPr>
      <w:r>
        <w:rPr>
          <w:rFonts w:cs="Arial"/>
        </w:rPr>
        <w:lastRenderedPageBreak/>
        <w:t>&lt;ESA_QUESTION_PKID_46&gt;</w:t>
      </w:r>
    </w:p>
    <w:p w:rsidR="003E573C" w:rsidRDefault="003E573C" w:rsidP="003E573C">
      <w:pPr>
        <w:rPr>
          <w:rFonts w:cs="Arial"/>
        </w:rPr>
      </w:pPr>
      <w:permStart w:id="1145528818" w:edGrp="everyone"/>
      <w:r>
        <w:rPr>
          <w:rFonts w:cs="Arial"/>
        </w:rPr>
        <w:t>TYPE YOUR TEXT HERE</w:t>
      </w:r>
    </w:p>
    <w:permEnd w:id="1145528818"/>
    <w:p w:rsidR="003E573C" w:rsidRDefault="003E573C" w:rsidP="003E573C">
      <w:pPr>
        <w:rPr>
          <w:rFonts w:cs="Arial"/>
        </w:rPr>
      </w:pPr>
      <w:r>
        <w:rPr>
          <w:rFonts w:cs="Arial"/>
        </w:rPr>
        <w:t>&lt;ESA_QUESTION_PKID_46&gt;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rsidR="003E573C" w:rsidRDefault="003E573C" w:rsidP="003E573C">
      <w:pPr>
        <w:rPr>
          <w:rFonts w:cs="Arial"/>
        </w:rPr>
      </w:pPr>
      <w:r>
        <w:rPr>
          <w:rFonts w:cs="Arial"/>
        </w:rPr>
        <w:t>&lt;ESA_QUESTION_PKID_47&gt;</w:t>
      </w:r>
    </w:p>
    <w:p w:rsidR="003E573C" w:rsidRDefault="003E573C" w:rsidP="003E573C">
      <w:pPr>
        <w:rPr>
          <w:rFonts w:cs="Arial"/>
        </w:rPr>
      </w:pPr>
      <w:permStart w:id="1041376466" w:edGrp="everyone"/>
      <w:r>
        <w:rPr>
          <w:rFonts w:cs="Arial"/>
        </w:rPr>
        <w:t>TYPE YOUR TEXT HERE</w:t>
      </w:r>
    </w:p>
    <w:permEnd w:id="1041376466"/>
    <w:p w:rsidR="003E573C" w:rsidRDefault="003E573C" w:rsidP="003E573C">
      <w:pPr>
        <w:rPr>
          <w:rFonts w:cs="Arial"/>
        </w:rPr>
      </w:pPr>
      <w:r>
        <w:rPr>
          <w:rFonts w:cs="Arial"/>
        </w:rPr>
        <w:t>&lt;ESA_QUESTION_PKID_47&gt;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rsidR="003E573C" w:rsidRDefault="003E573C" w:rsidP="003E573C">
      <w:pPr>
        <w:rPr>
          <w:rFonts w:cs="Arial"/>
        </w:rPr>
      </w:pPr>
      <w:r>
        <w:rPr>
          <w:rFonts w:cs="Arial"/>
        </w:rPr>
        <w:t>&lt;ESA_QUESTION_PKID_48&gt;</w:t>
      </w:r>
    </w:p>
    <w:p w:rsidR="003E573C" w:rsidRDefault="003E573C" w:rsidP="003E573C">
      <w:pPr>
        <w:rPr>
          <w:rFonts w:cs="Arial"/>
        </w:rPr>
      </w:pPr>
      <w:permStart w:id="693110437" w:edGrp="everyone"/>
      <w:r>
        <w:rPr>
          <w:rFonts w:cs="Arial"/>
        </w:rPr>
        <w:t>TYPE YOUR TEXT HERE</w:t>
      </w:r>
    </w:p>
    <w:permEnd w:id="693110437"/>
    <w:p w:rsidR="003E573C" w:rsidRDefault="003E573C" w:rsidP="003E573C">
      <w:pPr>
        <w:rPr>
          <w:rFonts w:cs="Arial"/>
        </w:rPr>
      </w:pPr>
      <w:r>
        <w:rPr>
          <w:rFonts w:cs="Arial"/>
        </w:rPr>
        <w:t>&lt;ESA_QUESTION_PKID_48&gt;</w:t>
      </w:r>
    </w:p>
    <w:p w:rsidR="003E573C" w:rsidRDefault="003E573C" w:rsidP="003E573C">
      <w:pPr>
        <w:rPr>
          <w:rFonts w:cs="Arial"/>
        </w:rPr>
      </w:pPr>
    </w:p>
    <w:p w:rsidR="003E573C" w:rsidRDefault="003E573C" w:rsidP="003E573C">
      <w:pPr>
        <w:pStyle w:val="Questionstyle"/>
        <w:numPr>
          <w:ilvl w:val="0"/>
          <w:numId w:val="39"/>
        </w:numPr>
      </w:pPr>
      <w:r>
        <w:t xml:space="preserve">: </w:t>
      </w:r>
      <w:r w:rsidRPr="009A68ED">
        <w:t>Do you have any comments on the proposed approaches in relation to the analysis and pr</w:t>
      </w:r>
      <w:r w:rsidRPr="009A68ED">
        <w:t>o</w:t>
      </w:r>
      <w:r w:rsidRPr="009A68ED">
        <w:t>posals in this Section, and in particular on the extent to which some of the abovementioned requirements should be extended to other types of PRIIPs?</w:t>
      </w:r>
    </w:p>
    <w:p w:rsidR="003E573C" w:rsidRDefault="003E573C" w:rsidP="003E573C">
      <w:pPr>
        <w:rPr>
          <w:rFonts w:cs="Arial"/>
        </w:rPr>
      </w:pPr>
      <w:r>
        <w:rPr>
          <w:rFonts w:cs="Arial"/>
        </w:rPr>
        <w:t>&lt;ESA_QUESTION_PKID_49&gt;</w:t>
      </w:r>
    </w:p>
    <w:p w:rsidR="003E573C" w:rsidRDefault="003E573C" w:rsidP="003E573C">
      <w:pPr>
        <w:rPr>
          <w:rFonts w:cs="Arial"/>
        </w:rPr>
      </w:pPr>
      <w:permStart w:id="1184572329" w:edGrp="everyone"/>
      <w:r>
        <w:rPr>
          <w:rFonts w:cs="Arial"/>
        </w:rPr>
        <w:t>TYPE YOUR TEXT HERE</w:t>
      </w:r>
    </w:p>
    <w:permEnd w:id="1184572329"/>
    <w:p w:rsidR="003E573C" w:rsidRDefault="003E573C" w:rsidP="003E573C">
      <w:pPr>
        <w:rPr>
          <w:rFonts w:cs="Arial"/>
        </w:rPr>
      </w:pPr>
      <w:r>
        <w:rPr>
          <w:rFonts w:cs="Arial"/>
        </w:rPr>
        <w:t>&lt;ESA_QUESTION_PKID_49&gt;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&lt;ESA_QUESTION_PKID_50&gt;</w:t>
      </w:r>
    </w:p>
    <w:p w:rsidR="00E9048C" w:rsidRPr="00E9048C" w:rsidRDefault="005820A3" w:rsidP="00E9048C">
      <w:pPr>
        <w:rPr>
          <w:rFonts w:cs="Arial"/>
        </w:rPr>
      </w:pPr>
      <w:permStart w:id="1073240908" w:edGrp="everyone"/>
      <w:r>
        <w:rPr>
          <w:rFonts w:cs="Arial"/>
        </w:rPr>
        <w:t>While it might be an improvement for some products it does not appear to be an improvement in general. On the contrary the proposal for commonly selected options introduces another type of information doc</w:t>
      </w:r>
      <w:r>
        <w:rPr>
          <w:rFonts w:cs="Arial"/>
        </w:rPr>
        <w:t>u</w:t>
      </w:r>
      <w:r>
        <w:rPr>
          <w:rFonts w:cs="Arial"/>
        </w:rPr>
        <w:t>ment, the “total” information. Thus the 10a and 10b approaches would be mixed. The customers would have to understand the differences and the significance of the generic KID, the specific information and the total information. Furthermore the most common option will usually be different depending on sales channel. Also customers might mistake the focus on the most common options as a recommendation.</w:t>
      </w:r>
      <w:r w:rsidR="00E9048C" w:rsidRPr="00E9048C">
        <w:t xml:space="preserve"> </w:t>
      </w:r>
      <w:r w:rsidR="00E9048C" w:rsidRPr="00E9048C">
        <w:rPr>
          <w:rFonts w:cs="Arial"/>
        </w:rPr>
        <w:t>Providing detailed information on and producing PRIIP</w:t>
      </w:r>
      <w:r w:rsidR="00E9048C">
        <w:rPr>
          <w:rFonts w:cs="Arial"/>
        </w:rPr>
        <w:t>s KIDs for some specific invest</w:t>
      </w:r>
      <w:r w:rsidR="00E9048C" w:rsidRPr="00E9048C">
        <w:rPr>
          <w:rFonts w:cs="Arial"/>
        </w:rPr>
        <w:t xml:space="preserve">ment options or some combinations could be seen as a recommendation from the PRIIPs manufacturer to the client to invest in this option or combination (which should be depending on the risk appetite of the client). </w:t>
      </w:r>
    </w:p>
    <w:p w:rsidR="003E573C" w:rsidRDefault="00E9048C" w:rsidP="00E9048C">
      <w:pPr>
        <w:rPr>
          <w:rFonts w:cs="Arial"/>
        </w:rPr>
      </w:pPr>
      <w:r w:rsidRPr="00E9048C">
        <w:rPr>
          <w:rFonts w:cs="Arial"/>
        </w:rPr>
        <w:t xml:space="preserve">Clients will most probably choose the </w:t>
      </w:r>
      <w:r w:rsidR="008B6212">
        <w:rPr>
          <w:rFonts w:cs="Arial"/>
        </w:rPr>
        <w:t>highlighted</w:t>
      </w:r>
      <w:r w:rsidRPr="00E9048C">
        <w:rPr>
          <w:rFonts w:cs="Arial"/>
        </w:rPr>
        <w:t xml:space="preserve"> combinations and thus limiting the client to certain i</w:t>
      </w:r>
      <w:r w:rsidRPr="00E9048C">
        <w:rPr>
          <w:rFonts w:cs="Arial"/>
        </w:rPr>
        <w:t>n</w:t>
      </w:r>
      <w:r w:rsidRPr="00E9048C">
        <w:rPr>
          <w:rFonts w:cs="Arial"/>
        </w:rPr>
        <w:t xml:space="preserve">vestments/investment combinations. Additionally </w:t>
      </w:r>
      <w:r w:rsidR="008B6212">
        <w:rPr>
          <w:rFonts w:cs="Arial"/>
        </w:rPr>
        <w:t>some</w:t>
      </w:r>
      <w:r w:rsidRPr="00E9048C">
        <w:rPr>
          <w:rFonts w:cs="Arial"/>
        </w:rPr>
        <w:t xml:space="preserve"> PRIIP manufacturer</w:t>
      </w:r>
      <w:r w:rsidR="008B6212">
        <w:rPr>
          <w:rFonts w:cs="Arial"/>
        </w:rPr>
        <w:t>s</w:t>
      </w:r>
      <w:r w:rsidRPr="00E9048C">
        <w:rPr>
          <w:rFonts w:cs="Arial"/>
        </w:rPr>
        <w:t xml:space="preserve"> might be </w:t>
      </w:r>
      <w:r w:rsidR="008B6212">
        <w:rPr>
          <w:rFonts w:cs="Arial"/>
        </w:rPr>
        <w:t>tempted to</w:t>
      </w:r>
      <w:r w:rsidRPr="00E9048C">
        <w:rPr>
          <w:rFonts w:cs="Arial"/>
        </w:rPr>
        <w:t xml:space="preserve"> choos</w:t>
      </w:r>
      <w:r w:rsidR="008B6212">
        <w:rPr>
          <w:rFonts w:cs="Arial"/>
        </w:rPr>
        <w:t>e</w:t>
      </w:r>
      <w:r w:rsidRPr="00E9048C">
        <w:rPr>
          <w:rFonts w:cs="Arial"/>
        </w:rPr>
        <w:t xml:space="preserve"> only the options where </w:t>
      </w:r>
      <w:r w:rsidR="008B6212">
        <w:rPr>
          <w:rFonts w:cs="Arial"/>
        </w:rPr>
        <w:t>they</w:t>
      </w:r>
      <w:r w:rsidRPr="00E9048C">
        <w:rPr>
          <w:rFonts w:cs="Arial"/>
        </w:rPr>
        <w:t xml:space="preserve"> would </w:t>
      </w:r>
      <w:r w:rsidR="008B6212">
        <w:rPr>
          <w:rFonts w:cs="Arial"/>
        </w:rPr>
        <w:t>benefit</w:t>
      </w:r>
      <w:r w:rsidRPr="00E9048C">
        <w:rPr>
          <w:rFonts w:cs="Arial"/>
        </w:rPr>
        <w:t xml:space="preserve"> the most.</w:t>
      </w:r>
      <w:r>
        <w:rPr>
          <w:rFonts w:cs="Arial"/>
        </w:rPr>
        <w:t xml:space="preserve"> </w:t>
      </w:r>
      <w:r w:rsidR="005820A3">
        <w:rPr>
          <w:rFonts w:cs="Arial"/>
        </w:rPr>
        <w:t xml:space="preserve"> </w:t>
      </w:r>
    </w:p>
    <w:permEnd w:id="1073240908"/>
    <w:p w:rsidR="003E573C" w:rsidRDefault="003E573C" w:rsidP="003E573C">
      <w:pPr>
        <w:rPr>
          <w:rFonts w:cs="Arial"/>
        </w:rPr>
      </w:pPr>
      <w:r>
        <w:rPr>
          <w:rFonts w:cs="Arial"/>
        </w:rPr>
        <w:t>&lt;ESA_QUESTION_PKID_50&gt;</w:t>
      </w:r>
    </w:p>
    <w:p w:rsidR="003E573C" w:rsidRDefault="003E573C" w:rsidP="003E573C">
      <w:pPr>
        <w:rPr>
          <w:rFonts w:cs="Arial"/>
        </w:rPr>
      </w:pPr>
    </w:p>
    <w:p w:rsidR="003E573C" w:rsidRDefault="003E573C" w:rsidP="003E573C">
      <w:pPr>
        <w:pStyle w:val="Questionstyle"/>
        <w:numPr>
          <w:ilvl w:val="0"/>
          <w:numId w:val="39"/>
        </w:numPr>
      </w:pPr>
      <w:r>
        <w:t>: Do you envisage significant practical challenges to apply this approach, for example for pro</w:t>
      </w:r>
      <w:r>
        <w:t>d</w:t>
      </w:r>
      <w:r>
        <w:t>ucts which allow the investor to choose between a wide range or large number of options?</w:t>
      </w:r>
    </w:p>
    <w:p w:rsidR="003E573C" w:rsidRDefault="003E573C" w:rsidP="003E573C">
      <w:pPr>
        <w:rPr>
          <w:rFonts w:cs="Arial"/>
        </w:rPr>
      </w:pPr>
      <w:r>
        <w:rPr>
          <w:rFonts w:cs="Arial"/>
        </w:rPr>
        <w:t>&lt;ESA_QUESTION_PKID_51&gt;</w:t>
      </w:r>
    </w:p>
    <w:p w:rsidR="003E573C" w:rsidRDefault="00842C9A" w:rsidP="003E573C">
      <w:pPr>
        <w:rPr>
          <w:rFonts w:cs="Arial"/>
        </w:rPr>
      </w:pPr>
      <w:permStart w:id="1755334603" w:edGrp="everyone"/>
      <w:r>
        <w:rPr>
          <w:rFonts w:cs="Arial"/>
        </w:rPr>
        <w:t xml:space="preserve">Yes, the numbers of KIDs increases. Especially in the case where a product manufacturer offers several KIDs per product with different RHPs or types of premium payment this number quickly multiplies. If different common options for different distributions channels have to be taken into account the number increases again. </w:t>
      </w:r>
    </w:p>
    <w:p w:rsidR="00842C9A" w:rsidRDefault="00842C9A" w:rsidP="003E573C">
      <w:pPr>
        <w:rPr>
          <w:rFonts w:cs="Arial"/>
        </w:rPr>
      </w:pPr>
      <w:r>
        <w:rPr>
          <w:rFonts w:cs="Arial"/>
        </w:rPr>
        <w:lastRenderedPageBreak/>
        <w:t xml:space="preserve">Also the use of the </w:t>
      </w:r>
      <w:r w:rsidR="00572366">
        <w:rPr>
          <w:rFonts w:cs="Arial"/>
        </w:rPr>
        <w:t>UCITS</w:t>
      </w:r>
      <w:r>
        <w:rPr>
          <w:rFonts w:cs="Arial"/>
        </w:rPr>
        <w:t xml:space="preserve"> exception becomes very difficult for the common options as the information from the product level calculated via PRIIPs methodology would have to be inserted into the </w:t>
      </w:r>
      <w:r w:rsidR="00572366">
        <w:rPr>
          <w:rFonts w:cs="Arial"/>
        </w:rPr>
        <w:t>UCITS</w:t>
      </w:r>
      <w:r>
        <w:rPr>
          <w:rFonts w:cs="Arial"/>
        </w:rPr>
        <w:t xml:space="preserve"> info</w:t>
      </w:r>
      <w:r>
        <w:rPr>
          <w:rFonts w:cs="Arial"/>
        </w:rPr>
        <w:t>r</w:t>
      </w:r>
      <w:r>
        <w:rPr>
          <w:rFonts w:cs="Arial"/>
        </w:rPr>
        <w:t>mation.</w:t>
      </w:r>
    </w:p>
    <w:permEnd w:id="1755334603"/>
    <w:p w:rsidR="003E573C" w:rsidRDefault="003E573C" w:rsidP="003E573C">
      <w:pPr>
        <w:rPr>
          <w:rFonts w:cs="Arial"/>
        </w:rPr>
      </w:pPr>
      <w:r>
        <w:rPr>
          <w:rFonts w:cs="Arial"/>
        </w:rPr>
        <w:t>&lt;ESA_QUESTION_PKID_51&gt;</w:t>
      </w:r>
    </w:p>
    <w:p w:rsidR="003E573C" w:rsidRDefault="003E573C" w:rsidP="003E573C">
      <w:pPr>
        <w:rPr>
          <w:rFonts w:cs="Arial"/>
        </w:rPr>
      </w:pPr>
    </w:p>
    <w:p w:rsidR="003E573C" w:rsidRDefault="003E573C" w:rsidP="003E573C">
      <w:pPr>
        <w:pStyle w:val="Questionstyle"/>
        <w:numPr>
          <w:ilvl w:val="0"/>
          <w:numId w:val="39"/>
        </w:numPr>
      </w:pPr>
      <w:r>
        <w:t xml:space="preserve">: </w:t>
      </w:r>
      <w:r w:rsidRPr="00763760">
        <w:t>Do you see any risks or issues arising from this approach in relation to consumer understan</w:t>
      </w:r>
      <w:r w:rsidRPr="00763760">
        <w:t>d</w:t>
      </w:r>
      <w:r w:rsidRPr="00763760">
        <w:t>ing, for instance whether the consumer will understand that other combinations of investment options are also possible?</w:t>
      </w:r>
    </w:p>
    <w:p w:rsidR="003E573C" w:rsidRDefault="003E573C" w:rsidP="003E573C">
      <w:pPr>
        <w:rPr>
          <w:rFonts w:cs="Arial"/>
        </w:rPr>
      </w:pPr>
      <w:r>
        <w:rPr>
          <w:rFonts w:cs="Arial"/>
        </w:rPr>
        <w:t>&lt;ESA_QUESTION_PKID_52&gt;</w:t>
      </w:r>
    </w:p>
    <w:p w:rsidR="00785192" w:rsidRDefault="00785192" w:rsidP="003E573C">
      <w:pPr>
        <w:rPr>
          <w:rFonts w:cs="Arial"/>
        </w:rPr>
      </w:pPr>
      <w:permStart w:id="1835277889" w:edGrp="everyone"/>
      <w:r>
        <w:rPr>
          <w:rFonts w:cs="Arial"/>
        </w:rPr>
        <w:t xml:space="preserve">Yes, as already indicated in the question the consumer misinterpret the additional information. Consumers might wrongly assume that the highlighted options are recommendations although they might not be a good fit for everyone. </w:t>
      </w:r>
    </w:p>
    <w:p w:rsidR="003E573C" w:rsidRDefault="00785192" w:rsidP="003E573C">
      <w:pPr>
        <w:rPr>
          <w:rFonts w:cs="Arial"/>
        </w:rPr>
      </w:pPr>
      <w:r>
        <w:rPr>
          <w:rFonts w:cs="Arial"/>
        </w:rPr>
        <w:t>Furthermore the proposal for commonly selected options introduces another type of information doc</w:t>
      </w:r>
      <w:r>
        <w:rPr>
          <w:rFonts w:cs="Arial"/>
        </w:rPr>
        <w:t>u</w:t>
      </w:r>
      <w:r>
        <w:rPr>
          <w:rFonts w:cs="Arial"/>
        </w:rPr>
        <w:t>ment, the “total” information. Thus the 10a and 10b approaches would be mixed. The customers would have to understand the differences and the significance of the generic KID, the specific information and the total information. This adds an additional level of complexity.</w:t>
      </w:r>
    </w:p>
    <w:permEnd w:id="1835277889"/>
    <w:p w:rsidR="003E573C" w:rsidRDefault="003E573C" w:rsidP="003E573C">
      <w:pPr>
        <w:rPr>
          <w:rFonts w:cs="Arial"/>
        </w:rPr>
      </w:pPr>
      <w:r>
        <w:rPr>
          <w:rFonts w:cs="Arial"/>
        </w:rPr>
        <w:t>&lt;ESA_QUESTION_PKID_52&gt;</w:t>
      </w:r>
    </w:p>
    <w:p w:rsidR="003E573C" w:rsidRDefault="003E573C" w:rsidP="003E573C">
      <w:pPr>
        <w:rPr>
          <w:rFonts w:cs="Arial"/>
        </w:rPr>
      </w:pPr>
    </w:p>
    <w:p w:rsidR="003E573C" w:rsidRDefault="003E573C" w:rsidP="003E573C">
      <w:pPr>
        <w:pStyle w:val="Questionstyle"/>
        <w:numPr>
          <w:ilvl w:val="0"/>
          <w:numId w:val="39"/>
        </w:numPr>
      </w:pPr>
      <w:r>
        <w:t xml:space="preserve">: </w:t>
      </w:r>
      <w:r w:rsidRPr="00B44C44">
        <w:t>Do you think this proposal would be an improvement on the current approach?</w:t>
      </w:r>
    </w:p>
    <w:p w:rsidR="003E573C" w:rsidRDefault="003E573C" w:rsidP="003E573C">
      <w:pPr>
        <w:rPr>
          <w:rFonts w:cs="Arial"/>
        </w:rPr>
      </w:pPr>
      <w:r>
        <w:rPr>
          <w:rFonts w:cs="Arial"/>
        </w:rPr>
        <w:t>&lt;ESA_QUESTION_PKID_53&gt;</w:t>
      </w:r>
    </w:p>
    <w:p w:rsidR="003E573C" w:rsidRDefault="005820A3" w:rsidP="00E9048C">
      <w:pPr>
        <w:rPr>
          <w:rFonts w:cs="Arial"/>
        </w:rPr>
      </w:pPr>
      <w:permStart w:id="1693213281" w:edGrp="everyone"/>
      <w:r>
        <w:rPr>
          <w:rFonts w:cs="Arial"/>
        </w:rPr>
        <w:t>The idea of costs ranges within the generic KID is not necessarily an improvement. The cost of a fund often depends more on t</w:t>
      </w:r>
      <w:r w:rsidR="00BA7CDD">
        <w:rPr>
          <w:rFonts w:cs="Arial"/>
        </w:rPr>
        <w:t>he level of management (e.g. ETF</w:t>
      </w:r>
      <w:r>
        <w:rPr>
          <w:rFonts w:cs="Arial"/>
        </w:rPr>
        <w:t xml:space="preserve"> vs. fully managed) than the risk class. Ther</w:t>
      </w:r>
      <w:r>
        <w:rPr>
          <w:rFonts w:cs="Arial"/>
        </w:rPr>
        <w:t>e</w:t>
      </w:r>
      <w:r>
        <w:rPr>
          <w:rFonts w:cs="Arial"/>
        </w:rPr>
        <w:t>fore the ranges do not necessarily become significantly smaller with this approach. But the consumers have the added burden to make sense of the clustering</w:t>
      </w:r>
      <w:r w:rsidR="00E9048C">
        <w:rPr>
          <w:rFonts w:cs="Arial"/>
        </w:rPr>
        <w:t>.</w:t>
      </w:r>
      <w:r w:rsidR="00E9048C" w:rsidRPr="00E9048C">
        <w:t xml:space="preserve"> </w:t>
      </w:r>
      <w:r w:rsidR="00E9048C" w:rsidRPr="00E9048C">
        <w:rPr>
          <w:rFonts w:cs="Arial"/>
        </w:rPr>
        <w:t>This approach would create a lot of information (maybe al</w:t>
      </w:r>
      <w:r w:rsidR="00E9048C">
        <w:rPr>
          <w:rFonts w:cs="Arial"/>
        </w:rPr>
        <w:t>so seen as an overload of infor</w:t>
      </w:r>
      <w:r w:rsidR="00E9048C" w:rsidRPr="00E9048C">
        <w:rPr>
          <w:rFonts w:cs="Arial"/>
        </w:rPr>
        <w:t xml:space="preserve">mation) risking </w:t>
      </w:r>
      <w:proofErr w:type="gramStart"/>
      <w:r w:rsidR="00E9048C" w:rsidRPr="00E9048C">
        <w:rPr>
          <w:rFonts w:cs="Arial"/>
        </w:rPr>
        <w:t>to exceed</w:t>
      </w:r>
      <w:proofErr w:type="gramEnd"/>
      <w:r w:rsidR="00E9048C" w:rsidRPr="00E9048C">
        <w:rPr>
          <w:rFonts w:cs="Arial"/>
        </w:rPr>
        <w:t xml:space="preserve"> the 3 DIN A4 pages, but it might be useful for customers who select their product by SRI.</w:t>
      </w:r>
      <w:r w:rsidR="00E9048C">
        <w:rPr>
          <w:rFonts w:cs="Arial"/>
        </w:rPr>
        <w:t xml:space="preserve"> </w:t>
      </w:r>
    </w:p>
    <w:permEnd w:id="1693213281"/>
    <w:p w:rsidR="003E573C" w:rsidRDefault="003E573C" w:rsidP="003E573C">
      <w:pPr>
        <w:rPr>
          <w:rFonts w:cs="Arial"/>
        </w:rPr>
      </w:pPr>
      <w:r>
        <w:rPr>
          <w:rFonts w:cs="Arial"/>
        </w:rPr>
        <w:t>&lt;ESA_QUESTION_PKID_53&gt;</w:t>
      </w:r>
    </w:p>
    <w:p w:rsidR="003E573C" w:rsidRDefault="003E573C" w:rsidP="003E573C">
      <w:pPr>
        <w:rPr>
          <w:rFonts w:cs="Arial"/>
        </w:rPr>
      </w:pPr>
    </w:p>
    <w:p w:rsidR="003E573C" w:rsidRDefault="003E573C" w:rsidP="003E573C">
      <w:pPr>
        <w:pStyle w:val="Questionstyle"/>
        <w:numPr>
          <w:ilvl w:val="0"/>
          <w:numId w:val="39"/>
        </w:numPr>
      </w:pPr>
      <w:r>
        <w:t>: Are there other approaches or revisions to the requirements for MOPs that should be consi</w:t>
      </w:r>
      <w:r>
        <w:t>d</w:t>
      </w:r>
      <w:r>
        <w:t>ered?</w:t>
      </w:r>
    </w:p>
    <w:p w:rsidR="003E573C" w:rsidRDefault="003E573C" w:rsidP="003E573C">
      <w:pPr>
        <w:rPr>
          <w:rFonts w:cs="Arial"/>
        </w:rPr>
      </w:pPr>
      <w:r>
        <w:rPr>
          <w:rFonts w:cs="Arial"/>
        </w:rPr>
        <w:t>&lt;ESA_QUESTION_PKID_54&gt;</w:t>
      </w:r>
    </w:p>
    <w:p w:rsidR="003E573C" w:rsidRDefault="003E573C" w:rsidP="003E573C">
      <w:pPr>
        <w:rPr>
          <w:rFonts w:cs="Arial"/>
        </w:rPr>
      </w:pPr>
      <w:permStart w:id="1042223176" w:edGrp="everyone"/>
      <w:r>
        <w:rPr>
          <w:rFonts w:cs="Arial"/>
        </w:rPr>
        <w:t>TYPE YOUR TEXT HERE</w:t>
      </w:r>
    </w:p>
    <w:permEnd w:id="1042223176"/>
    <w:p w:rsidR="003E573C" w:rsidRDefault="003E573C" w:rsidP="003E573C">
      <w:pPr>
        <w:rPr>
          <w:rFonts w:cs="Arial"/>
        </w:rPr>
      </w:pPr>
      <w:r>
        <w:rPr>
          <w:rFonts w:cs="Arial"/>
        </w:rPr>
        <w:t>&lt;ESA_QUESTION_PKID_54&gt;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rsidR="003E573C" w:rsidRDefault="003E573C" w:rsidP="003E573C">
      <w:pPr>
        <w:rPr>
          <w:rFonts w:cs="Arial"/>
        </w:rPr>
      </w:pPr>
      <w:r>
        <w:rPr>
          <w:rFonts w:cs="Arial"/>
        </w:rPr>
        <w:t>&lt;ESA_QUESTION_PKID_55&gt;</w:t>
      </w:r>
    </w:p>
    <w:p w:rsidR="00E9048C" w:rsidRPr="00E9048C" w:rsidRDefault="00E9048C" w:rsidP="00E9048C">
      <w:pPr>
        <w:rPr>
          <w:rFonts w:cs="Arial"/>
        </w:rPr>
      </w:pPr>
      <w:permStart w:id="1828155655" w:edGrp="everyone"/>
      <w:r w:rsidRPr="00E9048C">
        <w:rPr>
          <w:rFonts w:cs="Arial"/>
        </w:rPr>
        <w:t>Due to the fact that methodologies are quite indefinite, it is currently not possible to estimate efforts and costs</w:t>
      </w:r>
      <w:r w:rsidR="00FC59E5">
        <w:rPr>
          <w:rFonts w:cs="Arial"/>
        </w:rPr>
        <w:t xml:space="preserve"> in detail</w:t>
      </w:r>
      <w:r w:rsidRPr="00E9048C">
        <w:rPr>
          <w:rFonts w:cs="Arial"/>
        </w:rPr>
        <w:t>.</w:t>
      </w:r>
      <w:r w:rsidR="00FC59E5">
        <w:rPr>
          <w:rFonts w:cs="Arial"/>
        </w:rPr>
        <w:t xml:space="preserve"> Although some changes appear minor a lot of systems have to be changed to implement these changes. This can be both internal as well as external systems. Before these changes stand the analysis how the changes fit into the existing systems. Furthermore intermediaries will have to be advised on the changes. Materials for customers have to be updated. Altogether the implementation costs will be rather significant. Additionally t</w:t>
      </w:r>
      <w:r w:rsidRPr="00E9048C">
        <w:rPr>
          <w:rFonts w:cs="Arial"/>
        </w:rPr>
        <w:t xml:space="preserve">here will be </w:t>
      </w:r>
      <w:r w:rsidR="00FC59E5">
        <w:rPr>
          <w:rFonts w:cs="Arial"/>
        </w:rPr>
        <w:t xml:space="preserve">an increase in ongoing </w:t>
      </w:r>
      <w:r w:rsidRPr="00E9048C">
        <w:rPr>
          <w:rFonts w:cs="Arial"/>
        </w:rPr>
        <w:t>costs</w:t>
      </w:r>
      <w:r w:rsidR="00FC59E5">
        <w:rPr>
          <w:rFonts w:cs="Arial"/>
        </w:rPr>
        <w:t>. Some examples are:</w:t>
      </w:r>
      <w:r w:rsidRPr="00E9048C">
        <w:rPr>
          <w:rFonts w:cs="Arial"/>
        </w:rPr>
        <w:t xml:space="preserve"> </w:t>
      </w:r>
    </w:p>
    <w:p w:rsidR="00E9048C" w:rsidRPr="00E9048C" w:rsidRDefault="00E9048C" w:rsidP="00E9048C">
      <w:pPr>
        <w:rPr>
          <w:rFonts w:cs="Arial"/>
        </w:rPr>
      </w:pPr>
      <w:r w:rsidRPr="00E9048C">
        <w:rPr>
          <w:rFonts w:cs="Arial"/>
        </w:rPr>
        <w:t>•Look-Through on single assets/ allocation significantly increases complexity. (</w:t>
      </w:r>
      <w:proofErr w:type="gramStart"/>
      <w:r w:rsidRPr="00E9048C">
        <w:rPr>
          <w:rFonts w:cs="Arial"/>
        </w:rPr>
        <w:t>implementation</w:t>
      </w:r>
      <w:proofErr w:type="gramEnd"/>
      <w:r w:rsidRPr="00E9048C">
        <w:rPr>
          <w:rFonts w:cs="Arial"/>
        </w:rPr>
        <w:t>, operating)</w:t>
      </w:r>
    </w:p>
    <w:p w:rsidR="00E9048C" w:rsidRPr="00E9048C" w:rsidRDefault="00E9048C" w:rsidP="00E9048C">
      <w:pPr>
        <w:rPr>
          <w:rFonts w:cs="Arial"/>
        </w:rPr>
      </w:pPr>
      <w:r w:rsidRPr="00E9048C">
        <w:rPr>
          <w:rFonts w:cs="Arial"/>
        </w:rPr>
        <w:t>•Additional information needs to be added to EPTs. (</w:t>
      </w:r>
      <w:proofErr w:type="gramStart"/>
      <w:r w:rsidRPr="00E9048C">
        <w:rPr>
          <w:rFonts w:cs="Arial"/>
        </w:rPr>
        <w:t>implementation</w:t>
      </w:r>
      <w:proofErr w:type="gramEnd"/>
      <w:r w:rsidRPr="00E9048C">
        <w:rPr>
          <w:rFonts w:cs="Arial"/>
        </w:rPr>
        <w:t>)</w:t>
      </w:r>
    </w:p>
    <w:p w:rsidR="003E573C" w:rsidRDefault="00E9048C" w:rsidP="00E9048C">
      <w:pPr>
        <w:rPr>
          <w:rFonts w:cs="Arial"/>
        </w:rPr>
      </w:pPr>
      <w:r w:rsidRPr="00E9048C">
        <w:rPr>
          <w:rFonts w:cs="Arial"/>
        </w:rPr>
        <w:t>•Usage of market data (e.g. reference indices) increases license costs.</w:t>
      </w:r>
    </w:p>
    <w:permEnd w:id="1828155655"/>
    <w:p w:rsidR="003E573C" w:rsidRDefault="003E573C" w:rsidP="003E573C">
      <w:pPr>
        <w:rPr>
          <w:rFonts w:cs="Arial"/>
        </w:rPr>
      </w:pPr>
      <w:r>
        <w:rPr>
          <w:rFonts w:cs="Arial"/>
        </w:rPr>
        <w:t>&lt;ESA_QUESTION_PKID_55&gt;</w:t>
      </w:r>
    </w:p>
    <w:p w:rsidR="003E573C" w:rsidRDefault="003E573C" w:rsidP="003E573C">
      <w:pPr>
        <w:rPr>
          <w:rFonts w:cs="Arial"/>
        </w:rPr>
      </w:pPr>
    </w:p>
    <w:p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rsidR="003E573C" w:rsidRDefault="003E573C" w:rsidP="003E573C">
      <w:pPr>
        <w:rPr>
          <w:rFonts w:cs="Arial"/>
        </w:rPr>
      </w:pPr>
      <w:r>
        <w:rPr>
          <w:rFonts w:cs="Arial"/>
        </w:rPr>
        <w:lastRenderedPageBreak/>
        <w:t>&lt;ESA_QUESTION_PKID_56&gt;</w:t>
      </w:r>
    </w:p>
    <w:p w:rsidR="003E573C" w:rsidRDefault="003E573C" w:rsidP="003E573C">
      <w:pPr>
        <w:rPr>
          <w:rFonts w:cs="Arial"/>
        </w:rPr>
      </w:pPr>
      <w:permStart w:id="87036448" w:edGrp="everyone"/>
      <w:r>
        <w:rPr>
          <w:rFonts w:cs="Arial"/>
        </w:rPr>
        <w:t>TYPE YOUR TEXT HERE</w:t>
      </w:r>
    </w:p>
    <w:permEnd w:id="87036448"/>
    <w:p w:rsidR="003E573C" w:rsidRDefault="003E573C" w:rsidP="003E573C">
      <w:pPr>
        <w:rPr>
          <w:rFonts w:cs="Arial"/>
        </w:rPr>
      </w:pPr>
      <w:r>
        <w:rPr>
          <w:rFonts w:cs="Arial"/>
        </w:rPr>
        <w:t>&lt;ESA_QUESTION_PKID_56&gt;</w:t>
      </w:r>
    </w:p>
    <w:p w:rsidR="003E573C" w:rsidRDefault="003E573C" w:rsidP="003E573C">
      <w:pPr>
        <w:rPr>
          <w:rFonts w:cs="Arial"/>
        </w:rPr>
      </w:pPr>
    </w:p>
    <w:p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rsidR="003E573C" w:rsidRDefault="003E573C" w:rsidP="003E573C">
      <w:pPr>
        <w:rPr>
          <w:rFonts w:cs="Arial"/>
        </w:rPr>
      </w:pPr>
      <w:r>
        <w:rPr>
          <w:rFonts w:cs="Arial"/>
        </w:rPr>
        <w:t>&lt;ESA_QUESTION_PKID_57&gt;</w:t>
      </w:r>
    </w:p>
    <w:p w:rsidR="003E573C" w:rsidRDefault="003E573C" w:rsidP="003E573C">
      <w:pPr>
        <w:rPr>
          <w:rFonts w:cs="Arial"/>
        </w:rPr>
      </w:pPr>
      <w:permStart w:id="317600294" w:edGrp="everyone"/>
      <w:r>
        <w:rPr>
          <w:rFonts w:cs="Arial"/>
        </w:rPr>
        <w:t>TYPE YOUR TEXT HERE</w:t>
      </w:r>
    </w:p>
    <w:permEnd w:id="317600294"/>
    <w:p w:rsidR="003E573C" w:rsidRDefault="003E573C" w:rsidP="003E573C">
      <w:pPr>
        <w:rPr>
          <w:rFonts w:cs="Arial"/>
        </w:rPr>
      </w:pPr>
      <w:r>
        <w:rPr>
          <w:rFonts w:cs="Arial"/>
        </w:rPr>
        <w:t>&lt;ESA_QUESTION_PKID_57&gt;</w:t>
      </w:r>
    </w:p>
    <w:p w:rsidR="003E573C" w:rsidRDefault="003E573C" w:rsidP="003E573C">
      <w:pPr>
        <w:rPr>
          <w:rFonts w:cs="Arial"/>
        </w:rPr>
      </w:pPr>
    </w:p>
    <w:p w:rsidR="003E573C" w:rsidRDefault="003E573C" w:rsidP="003E573C">
      <w:pPr>
        <w:rPr>
          <w:rFonts w:cs="Arial"/>
        </w:rPr>
      </w:pPr>
    </w:p>
    <w:p w:rsidR="003E573C" w:rsidRPr="007B52B2" w:rsidRDefault="003E573C" w:rsidP="003E573C">
      <w:pPr>
        <w:rPr>
          <w:rFonts w:cs="Arial"/>
        </w:rPr>
      </w:pPr>
    </w:p>
    <w:p w:rsidR="00820CBA" w:rsidRPr="00820CBA" w:rsidRDefault="00820CBA" w:rsidP="003E573C">
      <w:pPr>
        <w:pStyle w:val="Questionstyle"/>
        <w:ind w:left="720"/>
      </w:pPr>
    </w:p>
    <w:sectPr w:rsidR="00820CBA" w:rsidRPr="00820CBA"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6F5" w:rsidRDefault="009726F5">
      <w:r>
        <w:separator/>
      </w:r>
    </w:p>
    <w:p w:rsidR="009726F5" w:rsidRDefault="009726F5"/>
  </w:endnote>
  <w:endnote w:type="continuationSeparator" w:id="0">
    <w:p w:rsidR="009726F5" w:rsidRDefault="009726F5">
      <w:r>
        <w:continuationSeparator/>
      </w:r>
    </w:p>
    <w:p w:rsidR="009726F5" w:rsidRDefault="009726F5"/>
  </w:endnote>
  <w:endnote w:type="continuationNotice" w:id="1">
    <w:p w:rsidR="009726F5" w:rsidRDefault="0097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APL2 Unicode"/>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4296D" w:rsidRPr="00616B9B" w:rsidTr="00315E96">
      <w:trPr>
        <w:trHeight w:val="284"/>
      </w:trPr>
      <w:tc>
        <w:tcPr>
          <w:tcW w:w="8460" w:type="dxa"/>
        </w:tcPr>
        <w:p w:rsidR="00F4296D" w:rsidRPr="00315E96" w:rsidRDefault="00F4296D" w:rsidP="00315E96">
          <w:pPr>
            <w:pStyle w:val="00Footer"/>
            <w:rPr>
              <w:lang w:val="fr-FR"/>
            </w:rPr>
          </w:pPr>
        </w:p>
      </w:tc>
      <w:tc>
        <w:tcPr>
          <w:tcW w:w="952" w:type="dxa"/>
        </w:tcPr>
        <w:p w:rsidR="00F4296D" w:rsidRPr="00616B9B" w:rsidRDefault="00F4296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7647D">
            <w:rPr>
              <w:rFonts w:cs="Arial"/>
              <w:noProof/>
              <w:sz w:val="22"/>
              <w:szCs w:val="22"/>
            </w:rPr>
            <w:t>4</w:t>
          </w:r>
          <w:r w:rsidRPr="00616B9B">
            <w:rPr>
              <w:rFonts w:cs="Arial"/>
              <w:noProof/>
              <w:sz w:val="22"/>
              <w:szCs w:val="22"/>
            </w:rPr>
            <w:fldChar w:fldCharType="end"/>
          </w:r>
        </w:p>
      </w:tc>
    </w:tr>
  </w:tbl>
  <w:p w:rsidR="00F4296D" w:rsidRDefault="00F4296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6D" w:rsidRDefault="00F429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6F5" w:rsidRDefault="009726F5">
      <w:r>
        <w:separator/>
      </w:r>
    </w:p>
    <w:p w:rsidR="009726F5" w:rsidRDefault="009726F5"/>
  </w:footnote>
  <w:footnote w:type="continuationSeparator" w:id="0">
    <w:p w:rsidR="009726F5" w:rsidRDefault="009726F5">
      <w:r>
        <w:continuationSeparator/>
      </w:r>
    </w:p>
    <w:p w:rsidR="009726F5" w:rsidRDefault="009726F5"/>
  </w:footnote>
  <w:footnote w:type="continuationNotice" w:id="1">
    <w:p w:rsidR="009726F5" w:rsidRDefault="009726F5"/>
  </w:footnote>
  <w:footnote w:id="2">
    <w:p w:rsidR="00F4296D" w:rsidRPr="009E1A8D" w:rsidRDefault="00F4296D"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rsidR="00F4296D" w:rsidRDefault="00F4296D"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rsidR="00F4296D" w:rsidRDefault="00F4296D"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rsidR="00F4296D" w:rsidRPr="00653F3B" w:rsidRDefault="00F4296D"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6D" w:rsidRDefault="00F4296D">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99A2F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6D" w:rsidRDefault="00F4296D"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6D" w:rsidRDefault="00F429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4296D" w:rsidRPr="002F4496" w:rsidTr="000C06C9">
      <w:trPr>
        <w:trHeight w:val="284"/>
      </w:trPr>
      <w:tc>
        <w:tcPr>
          <w:tcW w:w="8460" w:type="dxa"/>
        </w:tcPr>
        <w:p w:rsidR="00F4296D" w:rsidRPr="000C3B6D" w:rsidRDefault="00F4296D" w:rsidP="000C06C9">
          <w:pPr>
            <w:pStyle w:val="00Footer"/>
            <w:rPr>
              <w:lang w:val="fr-FR"/>
            </w:rPr>
          </w:pPr>
        </w:p>
      </w:tc>
      <w:tc>
        <w:tcPr>
          <w:tcW w:w="952" w:type="dxa"/>
        </w:tcPr>
        <w:p w:rsidR="00F4296D" w:rsidRPr="00146B34" w:rsidRDefault="00F4296D" w:rsidP="000C06C9">
          <w:pPr>
            <w:pStyle w:val="00aPagenumber"/>
            <w:rPr>
              <w:lang w:val="fr-FR"/>
            </w:rPr>
          </w:pPr>
        </w:p>
      </w:tc>
    </w:tr>
  </w:tbl>
  <w:p w:rsidR="00F4296D" w:rsidRPr="00DB46C3" w:rsidRDefault="00F4296D">
    <w:pPr>
      <w:rPr>
        <w:lang w:val="fr-FR"/>
      </w:rPr>
    </w:pPr>
  </w:p>
  <w:p w:rsidR="00F4296D" w:rsidRPr="002F4496" w:rsidRDefault="00F4296D">
    <w:pPr>
      <w:pStyle w:val="Kopfzeile"/>
      <w:rPr>
        <w:lang w:val="fr-FR"/>
      </w:rPr>
    </w:pPr>
  </w:p>
  <w:p w:rsidR="00F4296D" w:rsidRPr="002F4496" w:rsidRDefault="00F4296D" w:rsidP="000C06C9">
    <w:pPr>
      <w:pStyle w:val="Kopfzeile"/>
      <w:tabs>
        <w:tab w:val="clear" w:pos="4536"/>
        <w:tab w:val="clear" w:pos="9072"/>
        <w:tab w:val="left" w:pos="8227"/>
      </w:tabs>
      <w:rPr>
        <w:lang w:val="fr-FR"/>
      </w:rPr>
    </w:pPr>
  </w:p>
  <w:p w:rsidR="00F4296D" w:rsidRPr="002F4496" w:rsidRDefault="00F4296D" w:rsidP="000C06C9">
    <w:pPr>
      <w:pStyle w:val="Kopfzeile"/>
      <w:tabs>
        <w:tab w:val="clear" w:pos="4536"/>
        <w:tab w:val="clear" w:pos="9072"/>
        <w:tab w:val="left" w:pos="8227"/>
      </w:tabs>
      <w:rPr>
        <w:lang w:val="fr-FR"/>
      </w:rPr>
    </w:pPr>
  </w:p>
  <w:p w:rsidR="00F4296D" w:rsidRPr="002F4496" w:rsidRDefault="00F4296D">
    <w:pPr>
      <w:pStyle w:val="Kopfzeile"/>
      <w:rPr>
        <w:lang w:val="fr-FR"/>
      </w:rPr>
    </w:pPr>
  </w:p>
  <w:p w:rsidR="00F4296D" w:rsidRPr="002F4496" w:rsidRDefault="00F4296D">
    <w:pPr>
      <w:pStyle w:val="Kopfzeile"/>
      <w:rPr>
        <w:lang w:val="fr-FR"/>
      </w:rPr>
    </w:pPr>
  </w:p>
  <w:p w:rsidR="00F4296D" w:rsidRPr="002F4496" w:rsidRDefault="00F4296D">
    <w:pPr>
      <w:pStyle w:val="Kopfzeile"/>
      <w:rPr>
        <w:lang w:val="fr-FR"/>
      </w:rPr>
    </w:pPr>
  </w:p>
  <w:p w:rsidR="00F4296D" w:rsidRPr="002F4496" w:rsidRDefault="00F4296D">
    <w:pPr>
      <w:pStyle w:val="Kopfzeile"/>
      <w:rPr>
        <w:lang w:val="fr-FR"/>
      </w:rPr>
    </w:pPr>
  </w:p>
  <w:p w:rsidR="00F4296D" w:rsidRPr="002F4496" w:rsidRDefault="00F4296D">
    <w:pPr>
      <w:pStyle w:val="Kopfzeile"/>
      <w:rPr>
        <w:highlight w:val="yellow"/>
        <w:lang w:val="fr-FR"/>
      </w:rPr>
    </w:pPr>
  </w:p>
  <w:p w:rsidR="00F4296D" w:rsidRDefault="00F4296D">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3A191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EF496B"/>
    <w:multiLevelType w:val="hybridMultilevel"/>
    <w:tmpl w:val="80167110"/>
    <w:lvl w:ilvl="0" w:tplc="1FCC492C">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94F309C"/>
    <w:multiLevelType w:val="multilevel"/>
    <w:tmpl w:val="13E6E5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9"/>
  </w:num>
  <w:num w:numId="21">
    <w:abstractNumId w:val="38"/>
  </w:num>
  <w:num w:numId="22">
    <w:abstractNumId w:val="27"/>
  </w:num>
  <w:num w:numId="23">
    <w:abstractNumId w:val="8"/>
  </w:num>
  <w:num w:numId="24">
    <w:abstractNumId w:val="32"/>
  </w:num>
  <w:num w:numId="25">
    <w:abstractNumId w:val="31"/>
  </w:num>
  <w:num w:numId="26">
    <w:abstractNumId w:val="20"/>
  </w:num>
  <w:num w:numId="27">
    <w:abstractNumId w:val="35"/>
  </w:num>
  <w:num w:numId="28">
    <w:abstractNumId w:val="40"/>
  </w:num>
  <w:num w:numId="29">
    <w:abstractNumId w:val="6"/>
  </w:num>
  <w:num w:numId="30">
    <w:abstractNumId w:val="3"/>
  </w:num>
  <w:num w:numId="31">
    <w:abstractNumId w:val="23"/>
  </w:num>
  <w:num w:numId="32">
    <w:abstractNumId w:val="22"/>
  </w:num>
  <w:num w:numId="33">
    <w:abstractNumId w:val="37"/>
  </w:num>
  <w:num w:numId="34">
    <w:abstractNumId w:val="36"/>
  </w:num>
  <w:num w:numId="35">
    <w:abstractNumId w:val="10"/>
  </w:num>
  <w:num w:numId="36">
    <w:abstractNumId w:val="11"/>
  </w:num>
  <w:num w:numId="37">
    <w:abstractNumId w:val="13"/>
  </w:num>
  <w:num w:numId="38">
    <w:abstractNumId w:val="26"/>
  </w:num>
  <w:num w:numId="39">
    <w:abstractNumId w:val="21"/>
  </w:num>
  <w:num w:numId="4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198D"/>
    <w:rsid w:val="0004389E"/>
    <w:rsid w:val="000439D8"/>
    <w:rsid w:val="000463A6"/>
    <w:rsid w:val="00046CC9"/>
    <w:rsid w:val="00046E91"/>
    <w:rsid w:val="000502FE"/>
    <w:rsid w:val="0005126D"/>
    <w:rsid w:val="0005181D"/>
    <w:rsid w:val="00051992"/>
    <w:rsid w:val="00051DFE"/>
    <w:rsid w:val="00051E9A"/>
    <w:rsid w:val="000521A7"/>
    <w:rsid w:val="00052F47"/>
    <w:rsid w:val="0005399B"/>
    <w:rsid w:val="00053DFF"/>
    <w:rsid w:val="00054DE6"/>
    <w:rsid w:val="0005663F"/>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638"/>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3993"/>
    <w:rsid w:val="00094C4C"/>
    <w:rsid w:val="00096762"/>
    <w:rsid w:val="000969C8"/>
    <w:rsid w:val="0009752D"/>
    <w:rsid w:val="00097AEE"/>
    <w:rsid w:val="000A014A"/>
    <w:rsid w:val="000A04B6"/>
    <w:rsid w:val="000A0E36"/>
    <w:rsid w:val="000A1BD2"/>
    <w:rsid w:val="000A2127"/>
    <w:rsid w:val="000A358F"/>
    <w:rsid w:val="000A38C0"/>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4411"/>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E1B"/>
    <w:rsid w:val="00135F2B"/>
    <w:rsid w:val="001372DD"/>
    <w:rsid w:val="001405BA"/>
    <w:rsid w:val="00141497"/>
    <w:rsid w:val="0014253A"/>
    <w:rsid w:val="001425C8"/>
    <w:rsid w:val="001431AE"/>
    <w:rsid w:val="00143B87"/>
    <w:rsid w:val="001459E3"/>
    <w:rsid w:val="00146A0B"/>
    <w:rsid w:val="0014761E"/>
    <w:rsid w:val="00151907"/>
    <w:rsid w:val="001544C8"/>
    <w:rsid w:val="00154BA0"/>
    <w:rsid w:val="00155FAB"/>
    <w:rsid w:val="001567A1"/>
    <w:rsid w:val="00156857"/>
    <w:rsid w:val="00157E79"/>
    <w:rsid w:val="00157EED"/>
    <w:rsid w:val="0016087A"/>
    <w:rsid w:val="00160A5C"/>
    <w:rsid w:val="001613EC"/>
    <w:rsid w:val="001631DA"/>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0E61"/>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C58"/>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3DDD"/>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39F"/>
    <w:rsid w:val="00261D56"/>
    <w:rsid w:val="00261FD3"/>
    <w:rsid w:val="00264077"/>
    <w:rsid w:val="00266B9A"/>
    <w:rsid w:val="00270E54"/>
    <w:rsid w:val="00273211"/>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17C"/>
    <w:rsid w:val="002E4F86"/>
    <w:rsid w:val="002E7113"/>
    <w:rsid w:val="002E7F4B"/>
    <w:rsid w:val="002E7FB3"/>
    <w:rsid w:val="002F0C91"/>
    <w:rsid w:val="002F0E3E"/>
    <w:rsid w:val="002F1B19"/>
    <w:rsid w:val="002F1FBF"/>
    <w:rsid w:val="002F4139"/>
    <w:rsid w:val="00300624"/>
    <w:rsid w:val="00300F56"/>
    <w:rsid w:val="00301006"/>
    <w:rsid w:val="003014F0"/>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1216"/>
    <w:rsid w:val="003623B9"/>
    <w:rsid w:val="0036538D"/>
    <w:rsid w:val="00365D12"/>
    <w:rsid w:val="0037018D"/>
    <w:rsid w:val="00372299"/>
    <w:rsid w:val="00372F02"/>
    <w:rsid w:val="00373729"/>
    <w:rsid w:val="00373C91"/>
    <w:rsid w:val="003748F0"/>
    <w:rsid w:val="003755C6"/>
    <w:rsid w:val="00375AEF"/>
    <w:rsid w:val="00376367"/>
    <w:rsid w:val="00376412"/>
    <w:rsid w:val="0037647D"/>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5C6E"/>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6E90"/>
    <w:rsid w:val="00427D52"/>
    <w:rsid w:val="00430412"/>
    <w:rsid w:val="00430497"/>
    <w:rsid w:val="0043173B"/>
    <w:rsid w:val="00432A91"/>
    <w:rsid w:val="004332A4"/>
    <w:rsid w:val="0043453F"/>
    <w:rsid w:val="00434A74"/>
    <w:rsid w:val="00436A79"/>
    <w:rsid w:val="00437929"/>
    <w:rsid w:val="00437A4A"/>
    <w:rsid w:val="004400DD"/>
    <w:rsid w:val="00440541"/>
    <w:rsid w:val="0044162D"/>
    <w:rsid w:val="0044277A"/>
    <w:rsid w:val="004433AB"/>
    <w:rsid w:val="004456DC"/>
    <w:rsid w:val="00447FBE"/>
    <w:rsid w:val="00447FBF"/>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5B1E"/>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6828"/>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46764"/>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2366"/>
    <w:rsid w:val="00573569"/>
    <w:rsid w:val="00573871"/>
    <w:rsid w:val="0057389E"/>
    <w:rsid w:val="005738DE"/>
    <w:rsid w:val="005762EC"/>
    <w:rsid w:val="005765C0"/>
    <w:rsid w:val="005778DE"/>
    <w:rsid w:val="00580777"/>
    <w:rsid w:val="00580B3F"/>
    <w:rsid w:val="005820A3"/>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822"/>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548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24BB"/>
    <w:rsid w:val="006630CF"/>
    <w:rsid w:val="00663EFF"/>
    <w:rsid w:val="00666F74"/>
    <w:rsid w:val="00667FEA"/>
    <w:rsid w:val="006710D2"/>
    <w:rsid w:val="00671448"/>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476F"/>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89C"/>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75A6"/>
    <w:rsid w:val="00700247"/>
    <w:rsid w:val="00701051"/>
    <w:rsid w:val="007021C2"/>
    <w:rsid w:val="00702502"/>
    <w:rsid w:val="007033A8"/>
    <w:rsid w:val="0070421B"/>
    <w:rsid w:val="007043F0"/>
    <w:rsid w:val="0070482E"/>
    <w:rsid w:val="00704D25"/>
    <w:rsid w:val="00704EED"/>
    <w:rsid w:val="007061A4"/>
    <w:rsid w:val="00710519"/>
    <w:rsid w:val="00710F6E"/>
    <w:rsid w:val="00711663"/>
    <w:rsid w:val="007116B4"/>
    <w:rsid w:val="00712580"/>
    <w:rsid w:val="007133E4"/>
    <w:rsid w:val="00713788"/>
    <w:rsid w:val="00713940"/>
    <w:rsid w:val="007151A2"/>
    <w:rsid w:val="00716774"/>
    <w:rsid w:val="007178B6"/>
    <w:rsid w:val="007209DD"/>
    <w:rsid w:val="00721396"/>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192"/>
    <w:rsid w:val="00791EB4"/>
    <w:rsid w:val="007928F1"/>
    <w:rsid w:val="0079357D"/>
    <w:rsid w:val="007937CC"/>
    <w:rsid w:val="00793A31"/>
    <w:rsid w:val="00794979"/>
    <w:rsid w:val="007956B7"/>
    <w:rsid w:val="00795AC9"/>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396"/>
    <w:rsid w:val="007D3E8D"/>
    <w:rsid w:val="007D5519"/>
    <w:rsid w:val="007D5915"/>
    <w:rsid w:val="007D5B4F"/>
    <w:rsid w:val="007D5C30"/>
    <w:rsid w:val="007D723A"/>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158B"/>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2C9A"/>
    <w:rsid w:val="00844515"/>
    <w:rsid w:val="0084465A"/>
    <w:rsid w:val="00844DFF"/>
    <w:rsid w:val="00845132"/>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1DA"/>
    <w:rsid w:val="0089442C"/>
    <w:rsid w:val="00895818"/>
    <w:rsid w:val="008A2585"/>
    <w:rsid w:val="008A2718"/>
    <w:rsid w:val="008A4CF6"/>
    <w:rsid w:val="008A4E42"/>
    <w:rsid w:val="008A51AA"/>
    <w:rsid w:val="008A6A12"/>
    <w:rsid w:val="008B0DC6"/>
    <w:rsid w:val="008B2B9E"/>
    <w:rsid w:val="008B31F5"/>
    <w:rsid w:val="008B4C79"/>
    <w:rsid w:val="008B5D2D"/>
    <w:rsid w:val="008B6212"/>
    <w:rsid w:val="008B6361"/>
    <w:rsid w:val="008C0320"/>
    <w:rsid w:val="008C2A81"/>
    <w:rsid w:val="008C3863"/>
    <w:rsid w:val="008C4BDC"/>
    <w:rsid w:val="008C50FF"/>
    <w:rsid w:val="008C5435"/>
    <w:rsid w:val="008C6BD1"/>
    <w:rsid w:val="008C783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298E"/>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48CB"/>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6E61"/>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381"/>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26F5"/>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5EF5"/>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07067"/>
    <w:rsid w:val="00A10148"/>
    <w:rsid w:val="00A104FE"/>
    <w:rsid w:val="00A10776"/>
    <w:rsid w:val="00A113FD"/>
    <w:rsid w:val="00A11DDE"/>
    <w:rsid w:val="00A127A7"/>
    <w:rsid w:val="00A12824"/>
    <w:rsid w:val="00A129F4"/>
    <w:rsid w:val="00A136F4"/>
    <w:rsid w:val="00A150F7"/>
    <w:rsid w:val="00A160D3"/>
    <w:rsid w:val="00A16DC9"/>
    <w:rsid w:val="00A20225"/>
    <w:rsid w:val="00A24269"/>
    <w:rsid w:val="00A243E4"/>
    <w:rsid w:val="00A25ED4"/>
    <w:rsid w:val="00A263DA"/>
    <w:rsid w:val="00A26C5C"/>
    <w:rsid w:val="00A30BDE"/>
    <w:rsid w:val="00A3131C"/>
    <w:rsid w:val="00A317E1"/>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36E5"/>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87474"/>
    <w:rsid w:val="00A903D3"/>
    <w:rsid w:val="00A91682"/>
    <w:rsid w:val="00A91E16"/>
    <w:rsid w:val="00A92E4A"/>
    <w:rsid w:val="00A958CA"/>
    <w:rsid w:val="00A966B6"/>
    <w:rsid w:val="00A96B46"/>
    <w:rsid w:val="00A96C55"/>
    <w:rsid w:val="00AA003B"/>
    <w:rsid w:val="00AA016B"/>
    <w:rsid w:val="00AA15DD"/>
    <w:rsid w:val="00AA1C09"/>
    <w:rsid w:val="00AA2F67"/>
    <w:rsid w:val="00AA30E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14C"/>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B6A"/>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22AE"/>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A7CDD"/>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174C"/>
    <w:rsid w:val="00BD3C97"/>
    <w:rsid w:val="00BD45A4"/>
    <w:rsid w:val="00BD4A5F"/>
    <w:rsid w:val="00BD59AA"/>
    <w:rsid w:val="00BD65E6"/>
    <w:rsid w:val="00BD6AF7"/>
    <w:rsid w:val="00BE19EF"/>
    <w:rsid w:val="00BE3DBD"/>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5F4E"/>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570"/>
    <w:rsid w:val="00D06F8F"/>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6912"/>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0237"/>
    <w:rsid w:val="00E04548"/>
    <w:rsid w:val="00E0484E"/>
    <w:rsid w:val="00E063F8"/>
    <w:rsid w:val="00E079AF"/>
    <w:rsid w:val="00E114D6"/>
    <w:rsid w:val="00E1166E"/>
    <w:rsid w:val="00E11DBD"/>
    <w:rsid w:val="00E13211"/>
    <w:rsid w:val="00E1363A"/>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9B4"/>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48C"/>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89C"/>
    <w:rsid w:val="00EB6CB7"/>
    <w:rsid w:val="00EC078B"/>
    <w:rsid w:val="00EC07A0"/>
    <w:rsid w:val="00EC08E4"/>
    <w:rsid w:val="00EC1154"/>
    <w:rsid w:val="00EC1A23"/>
    <w:rsid w:val="00EC3CB4"/>
    <w:rsid w:val="00EC443E"/>
    <w:rsid w:val="00EC4D83"/>
    <w:rsid w:val="00EC4EEE"/>
    <w:rsid w:val="00EC5820"/>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67F5"/>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CFF"/>
    <w:rsid w:val="00F06211"/>
    <w:rsid w:val="00F10A54"/>
    <w:rsid w:val="00F123D0"/>
    <w:rsid w:val="00F13200"/>
    <w:rsid w:val="00F13411"/>
    <w:rsid w:val="00F143BA"/>
    <w:rsid w:val="00F14D98"/>
    <w:rsid w:val="00F14E27"/>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96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67FD"/>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6A75"/>
    <w:rsid w:val="00FB7A97"/>
    <w:rsid w:val="00FC0ED8"/>
    <w:rsid w:val="00FC1B9B"/>
    <w:rsid w:val="00FC318D"/>
    <w:rsid w:val="00FC36CF"/>
    <w:rsid w:val="00FC40BC"/>
    <w:rsid w:val="00FC41FC"/>
    <w:rsid w:val="00FC4F6E"/>
    <w:rsid w:val="00FC506C"/>
    <w:rsid w:val="00FC578C"/>
    <w:rsid w:val="00FC59E5"/>
    <w:rsid w:val="00FC5A37"/>
    <w:rsid w:val="00FC7223"/>
    <w:rsid w:val="00FC7500"/>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6121864">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14066721">
      <w:bodyDiv w:val="1"/>
      <w:marLeft w:val="0"/>
      <w:marRight w:val="0"/>
      <w:marTop w:val="0"/>
      <w:marBottom w:val="0"/>
      <w:divBdr>
        <w:top w:val="none" w:sz="0" w:space="0" w:color="auto"/>
        <w:left w:val="none" w:sz="0" w:space="0" w:color="auto"/>
        <w:bottom w:val="none" w:sz="0" w:space="0" w:color="auto"/>
        <w:right w:val="none" w:sz="0" w:space="0" w:color="auto"/>
      </w:divBdr>
    </w:div>
    <w:div w:id="1015380249">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56461169">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55573836">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66640951">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08460383">
      <w:bodyDiv w:val="1"/>
      <w:marLeft w:val="0"/>
      <w:marRight w:val="0"/>
      <w:marTop w:val="0"/>
      <w:marBottom w:val="0"/>
      <w:divBdr>
        <w:top w:val="none" w:sz="0" w:space="0" w:color="auto"/>
        <w:left w:val="none" w:sz="0" w:space="0" w:color="auto"/>
        <w:bottom w:val="none" w:sz="0" w:space="0" w:color="auto"/>
        <w:right w:val="none" w:sz="0" w:space="0" w:color="auto"/>
      </w:divBdr>
    </w:div>
    <w:div w:id="146997963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7364023">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41248266">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330599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00041766">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ba.europa.eu/legal-notic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esma.europa.eu/press-news/consult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sm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eiopa.europa.eu/Pages/Links/Legal-notice.aspx"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E86FB-7A23-4A69-A6C3-73C398A8C8F3}">
  <ds:schemaRefs>
    <ds:schemaRef ds:uri="http://schemas.openxmlformats.org/officeDocument/2006/bibliography"/>
  </ds:schemaRefs>
</ds:datastoreItem>
</file>

<file path=customXml/itemProps6.xml><?xml version="1.0" encoding="utf-8"?>
<ds:datastoreItem xmlns:ds="http://schemas.openxmlformats.org/officeDocument/2006/customXml" ds:itemID="{53EA345A-89BE-4F84-B205-E4FFAF5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6181</Words>
  <Characters>34434</Characters>
  <Application>Microsoft Office Word</Application>
  <DocSecurity>8</DocSecurity>
  <Lines>286</Lines>
  <Paragraphs>81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40534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Rieck, Dr. Tobias (Allianz Deutschland)</cp:lastModifiedBy>
  <cp:revision>3</cp:revision>
  <cp:lastPrinted>2019-12-02T14:43:00Z</cp:lastPrinted>
  <dcterms:created xsi:type="dcterms:W3CDTF">2019-12-16T16:34:00Z</dcterms:created>
  <dcterms:modified xsi:type="dcterms:W3CDTF">2019-12-19T08:53:00Z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