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CF8E8" w14:textId="0A92753F"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F21154">
        <w:rPr>
          <w:rFonts w:asciiTheme="majorHAnsi" w:hAnsiTheme="majorHAnsi"/>
          <w:b/>
          <w:sz w:val="26"/>
          <w:szCs w:val="26"/>
        </w:rPr>
        <w:t>202</w:t>
      </w:r>
      <w:r w:rsidR="00111FB6">
        <w:rPr>
          <w:rFonts w:asciiTheme="majorHAnsi" w:hAnsiTheme="majorHAnsi"/>
          <w:b/>
          <w:sz w:val="26"/>
          <w:szCs w:val="26"/>
        </w:rPr>
        <w:t>4</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proofErr w:type="spellStart"/>
      <w:r w:rsidRPr="006062AA">
        <w:rPr>
          <w:rFonts w:asciiTheme="majorHAnsi" w:hAnsiTheme="majorHAnsi"/>
          <w:b/>
          <w:i/>
          <w:sz w:val="26"/>
          <w:lang w:val="fr-BE"/>
        </w:rPr>
        <w:t>Response</w:t>
      </w:r>
      <w:proofErr w:type="spellEnd"/>
      <w:r w:rsidRPr="006062AA">
        <w:rPr>
          <w:rFonts w:asciiTheme="majorHAnsi" w:hAnsiTheme="majorHAnsi"/>
          <w:b/>
          <w:i/>
          <w:sz w:val="26"/>
          <w:lang w:val="fr-BE"/>
        </w:rPr>
        <w:t xml:space="preserve"> </w:t>
      </w:r>
      <w:proofErr w:type="spellStart"/>
      <w:r w:rsidRPr="006062AA">
        <w:rPr>
          <w:rFonts w:asciiTheme="majorHAnsi" w:hAnsiTheme="majorHAnsi"/>
          <w:b/>
          <w:i/>
          <w:sz w:val="26"/>
          <w:lang w:val="fr-BE"/>
        </w:rPr>
        <w:t>template</w:t>
      </w:r>
      <w:proofErr w:type="spellEnd"/>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7518E43A"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111FB6">
        <w:rPr>
          <w:rFonts w:asciiTheme="majorHAnsi" w:hAnsiTheme="majorHAnsi"/>
          <w:i/>
          <w:sz w:val="22"/>
          <w:szCs w:val="22"/>
        </w:rPr>
        <w:t>2024</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w:t>
      </w:r>
      <w:proofErr w:type="gramStart"/>
      <w:r>
        <w:rPr>
          <w:rFonts w:asciiTheme="majorHAnsi" w:hAnsiTheme="majorHAnsi"/>
          <w:sz w:val="22"/>
          <w:szCs w:val="22"/>
        </w:rPr>
        <w:t>succinct, but</w:t>
      </w:r>
      <w:proofErr w:type="gramEnd"/>
      <w:r>
        <w:rPr>
          <w:rFonts w:asciiTheme="majorHAnsi" w:hAnsiTheme="majorHAnsi"/>
          <w:sz w:val="22"/>
          <w:szCs w:val="22"/>
        </w:rPr>
        <w:t xml:space="preserve">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w:t>
      </w:r>
      <w:proofErr w:type="gramStart"/>
      <w:r w:rsidRPr="00911730">
        <w:rPr>
          <w:rFonts w:asciiTheme="majorHAnsi" w:hAnsiTheme="majorHAnsi"/>
          <w:sz w:val="22"/>
          <w:szCs w:val="22"/>
        </w:rPr>
        <w:t>all of</w:t>
      </w:r>
      <w:proofErr w:type="gramEnd"/>
      <w:r w:rsidRPr="00911730">
        <w:rPr>
          <w:rFonts w:asciiTheme="majorHAnsi" w:hAnsiTheme="majorHAnsi"/>
          <w:sz w:val="22"/>
          <w:szCs w:val="22"/>
        </w:rPr>
        <w:t xml:space="preserve">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w:t>
      </w:r>
      <w:proofErr w:type="gramStart"/>
      <w:r w:rsidR="00E27F5E">
        <w:rPr>
          <w:rFonts w:asciiTheme="majorHAnsi" w:hAnsiTheme="majorHAnsi"/>
          <w:sz w:val="22"/>
          <w:szCs w:val="22"/>
        </w:rPr>
        <w:t>time period</w:t>
      </w:r>
      <w:proofErr w:type="gramEnd"/>
      <w:r w:rsidR="00E27F5E">
        <w:rPr>
          <w:rFonts w:asciiTheme="majorHAnsi" w:hAnsiTheme="majorHAnsi"/>
          <w:sz w:val="22"/>
          <w:szCs w:val="22"/>
        </w:rPr>
        <w:t xml:space="preserve">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w:t>
      </w:r>
      <w:proofErr w:type="spellStart"/>
      <w:r w:rsidR="0096252C" w:rsidRPr="00EA231F">
        <w:rPr>
          <w:rFonts w:asciiTheme="majorHAnsi" w:hAnsiTheme="majorHAnsi"/>
          <w:sz w:val="22"/>
          <w:szCs w:val="22"/>
        </w:rPr>
        <w:t>i</w:t>
      </w:r>
      <w:proofErr w:type="spellEnd"/>
      <w:r w:rsidR="0096252C" w:rsidRPr="00EA231F">
        <w:rPr>
          <w:rFonts w:asciiTheme="majorHAnsi" w:hAnsiTheme="majorHAnsi"/>
          <w:sz w:val="22"/>
          <w:szCs w:val="22"/>
        </w:rPr>
        <w:t>)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proofErr w:type="gramStart"/>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proofErr w:type="gramEnd"/>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w:t>
      </w:r>
      <w:proofErr w:type="spellStart"/>
      <w:r w:rsidR="00C0007B" w:rsidRPr="00507A37">
        <w:rPr>
          <w:rFonts w:asciiTheme="majorHAnsi" w:hAnsiTheme="majorHAnsi"/>
          <w:i/>
          <w:sz w:val="22"/>
          <w:szCs w:val="22"/>
        </w:rPr>
        <w:t>VaR</w:t>
      </w:r>
      <w:proofErr w:type="spellEnd"/>
      <w:r w:rsidR="00C0007B" w:rsidRPr="00507A37">
        <w:rPr>
          <w:rFonts w:asciiTheme="majorHAnsi" w:hAnsiTheme="majorHAnsi"/>
          <w:i/>
          <w:sz w:val="22"/>
          <w:szCs w:val="22"/>
        </w:rPr>
        <w:t>)</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 xml:space="preserve">also comprise the absence of liabilities and tax effects according to the definition of the modelled </w:t>
      </w:r>
      <w:proofErr w:type="spellStart"/>
      <w:r w:rsidR="00B668AA">
        <w:rPr>
          <w:rFonts w:asciiTheme="majorHAnsi" w:hAnsiTheme="majorHAnsi"/>
          <w:sz w:val="22"/>
          <w:szCs w:val="22"/>
        </w:rPr>
        <w:t>VaR.</w:t>
      </w:r>
      <w:proofErr w:type="spellEnd"/>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xml:space="preserve">. For integrated approaches furthermore, over the risk horizon also migration and default </w:t>
      </w:r>
      <w:proofErr w:type="gramStart"/>
      <w:r w:rsidR="009F0BDC" w:rsidRPr="009F0BDC">
        <w:rPr>
          <w:rFonts w:asciiTheme="majorHAnsi" w:hAnsiTheme="majorHAnsi"/>
          <w:sz w:val="22"/>
          <w:szCs w:val="22"/>
        </w:rPr>
        <w:t>takes</w:t>
      </w:r>
      <w:proofErr w:type="gramEnd"/>
      <w:r w:rsidR="009F0BDC" w:rsidRPr="009F0BDC">
        <w:rPr>
          <w:rFonts w:asciiTheme="majorHAnsi" w:hAnsiTheme="majorHAnsi"/>
          <w:sz w:val="22"/>
          <w:szCs w:val="22"/>
        </w:rPr>
        <w:t xml:space="preserve">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proofErr w:type="gramStart"/>
      <w:r w:rsidRPr="002D14ED">
        <w:rPr>
          <w:rFonts w:asciiTheme="majorHAnsi" w:hAnsiTheme="majorHAnsi"/>
          <w:sz w:val="22"/>
          <w:szCs w:val="22"/>
        </w:rPr>
        <w:t>In order to</w:t>
      </w:r>
      <w:proofErr w:type="gramEnd"/>
      <w:r w:rsidRPr="002D14ED">
        <w:rPr>
          <w:rFonts w:asciiTheme="majorHAnsi" w:hAnsiTheme="majorHAnsi"/>
          <w:sz w:val="22"/>
          <w:szCs w:val="22"/>
        </w:rPr>
        <w:t xml:space="preserve">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181A94CC"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lastRenderedPageBreak/>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w:t>
      </w:r>
      <w:r w:rsidR="00111FB6">
        <w:rPr>
          <w:rFonts w:asciiTheme="majorHAnsi" w:hAnsiTheme="majorHAnsi"/>
          <w:b/>
          <w:sz w:val="22"/>
          <w:szCs w:val="22"/>
        </w:rPr>
        <w:t>2024</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CF01B9"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CF01B9" w:rsidRDefault="00C12FB8" w:rsidP="005C4545">
            <w:pPr>
              <w:rPr>
                <w:rFonts w:asciiTheme="majorHAnsi" w:hAnsiTheme="majorHAnsi"/>
                <w:sz w:val="22"/>
                <w:lang w:val="it-IT" w:eastAsia="de-DE"/>
              </w:rPr>
            </w:pPr>
            <w:r w:rsidRPr="00CF01B9">
              <w:rPr>
                <w:rFonts w:asciiTheme="majorHAnsi" w:hAnsiTheme="majorHAnsi"/>
                <w:sz w:val="22"/>
                <w:lang w:val="it-IT"/>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CF01B9" w:rsidRDefault="00C12FB8" w:rsidP="005C4545">
            <w:pPr>
              <w:rPr>
                <w:rFonts w:asciiTheme="majorHAnsi" w:hAnsiTheme="majorHAnsi"/>
                <w:sz w:val="22"/>
                <w:lang w:val="it-IT"/>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CF01B9" w:rsidRDefault="00C12FB8" w:rsidP="005C4545">
            <w:pPr>
              <w:rPr>
                <w:rFonts w:asciiTheme="majorHAnsi" w:hAnsiTheme="majorHAnsi"/>
                <w:sz w:val="22"/>
                <w:lang w:val="it-IT"/>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CF01B9" w:rsidRDefault="00C12FB8" w:rsidP="005C4545">
            <w:pPr>
              <w:rPr>
                <w:rFonts w:asciiTheme="majorHAnsi" w:hAnsiTheme="majorHAnsi"/>
                <w:sz w:val="22"/>
                <w:lang w:val="it-IT"/>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CF01B9" w:rsidRDefault="00C12FB8" w:rsidP="005C4545">
            <w:pPr>
              <w:rPr>
                <w:rFonts w:asciiTheme="majorHAnsi" w:hAnsiTheme="majorHAnsi"/>
                <w:sz w:val="22"/>
                <w:lang w:val="it-IT"/>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CF01B9" w:rsidRDefault="00C12FB8" w:rsidP="005C4545">
            <w:pPr>
              <w:rPr>
                <w:rFonts w:asciiTheme="majorHAnsi" w:hAnsiTheme="majorHAnsi"/>
                <w:sz w:val="22"/>
                <w:lang w:val="it-IT"/>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w:t>
      </w:r>
      <w:proofErr w:type="gramStart"/>
      <w:r w:rsidRPr="00C12FB8">
        <w:rPr>
          <w:rFonts w:asciiTheme="majorHAnsi" w:hAnsiTheme="majorHAnsi"/>
          <w:sz w:val="22"/>
          <w:lang w:val="en-US"/>
        </w:rPr>
        <w:t>related“ means</w:t>
      </w:r>
      <w:proofErr w:type="gramEnd"/>
      <w:r w:rsidRPr="00C12FB8">
        <w:rPr>
          <w:rFonts w:asciiTheme="majorHAnsi" w:hAnsiTheme="majorHAnsi"/>
          <w:sz w:val="22"/>
          <w:lang w:val="en-US"/>
        </w:rPr>
        <w:t xml:space="preserve">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 xml:space="preserve">Please note: the German government bond is used as a proxy for a (nearly) credit risk free instrument. In case you consider something else as a relevant proxy for a </w:t>
      </w:r>
      <w:proofErr w:type="gramStart"/>
      <w:r w:rsidRPr="00C12FB8">
        <w:rPr>
          <w:rFonts w:asciiTheme="majorHAnsi" w:hAnsiTheme="majorHAnsi"/>
          <w:sz w:val="22"/>
          <w:lang w:val="en-US"/>
        </w:rPr>
        <w:t>risk free</w:t>
      </w:r>
      <w:proofErr w:type="gramEnd"/>
      <w:r w:rsidRPr="00C12FB8">
        <w:rPr>
          <w:rFonts w:asciiTheme="majorHAnsi" w:hAnsiTheme="majorHAnsi"/>
          <w:sz w:val="22"/>
          <w:lang w:val="en-US"/>
        </w:rPr>
        <w:t xml:space="preserv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w:t>
      </w:r>
      <w:proofErr w:type="spellStart"/>
      <w:r>
        <w:rPr>
          <w:rFonts w:asciiTheme="majorHAnsi" w:hAnsiTheme="majorHAnsi"/>
          <w:sz w:val="22"/>
          <w:szCs w:val="22"/>
        </w:rPr>
        <w:t>i</w:t>
      </w:r>
      <w:proofErr w:type="spellEnd"/>
      <w:r>
        <w:rPr>
          <w:rFonts w:asciiTheme="majorHAnsi" w:hAnsiTheme="majorHAnsi"/>
          <w:sz w:val="22"/>
          <w:szCs w:val="22"/>
        </w:rPr>
        <w:t>)</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proofErr w:type="gramStart"/>
      <w:r w:rsidR="001106C8">
        <w:rPr>
          <w:rFonts w:asciiTheme="majorHAnsi" w:hAnsiTheme="majorHAnsi"/>
          <w:sz w:val="22"/>
          <w:szCs w:val="22"/>
        </w:rPr>
        <w:t>);</w:t>
      </w:r>
      <w:proofErr w:type="gramEnd"/>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0"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0"/>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13C21360" w:rsidR="004700B7" w:rsidRDefault="004700B7" w:rsidP="00FB6978">
      <w:pPr>
        <w:pStyle w:val="ListParagraph"/>
        <w:keepNext/>
        <w:spacing w:before="120" w:after="120"/>
        <w:ind w:left="493"/>
        <w:jc w:val="both"/>
        <w:rPr>
          <w:rFonts w:asciiTheme="majorHAnsi" w:hAnsiTheme="majorHAnsi"/>
          <w:sz w:val="22"/>
          <w:szCs w:val="22"/>
        </w:rPr>
      </w:pPr>
    </w:p>
    <w:p w14:paraId="39E04B18" w14:textId="1258D7E4" w:rsidR="00F420A8" w:rsidRPr="00945D8F" w:rsidRDefault="00F420A8" w:rsidP="00945D8F">
      <w:pPr>
        <w:pStyle w:val="ListParagraph"/>
        <w:keepNext/>
        <w:numPr>
          <w:ilvl w:val="0"/>
          <w:numId w:val="1"/>
        </w:numPr>
        <w:spacing w:before="120" w:after="120"/>
        <w:ind w:left="493" w:hanging="493"/>
        <w:jc w:val="both"/>
        <w:rPr>
          <w:rFonts w:asciiTheme="majorHAnsi" w:hAnsiTheme="majorHAnsi"/>
          <w:sz w:val="22"/>
          <w:szCs w:val="22"/>
        </w:rPr>
      </w:pPr>
      <w:r w:rsidRPr="00F420A8">
        <w:rPr>
          <w:rFonts w:asciiTheme="majorHAnsi" w:hAnsiTheme="majorHAnsi"/>
          <w:sz w:val="22"/>
          <w:szCs w:val="22"/>
        </w:rPr>
        <w:t xml:space="preserve">Each corporate and sovereign instrument should correspond to one single issuer, i.e. no diversification assumptions should be taken per instrument (neither from the single instrument nor from the BMP perspective). </w:t>
      </w:r>
      <w:proofErr w:type="gramStart"/>
      <w:r w:rsidRPr="00F420A8">
        <w:rPr>
          <w:rFonts w:asciiTheme="majorHAnsi" w:hAnsiTheme="majorHAnsi"/>
          <w:sz w:val="22"/>
          <w:szCs w:val="22"/>
        </w:rPr>
        <w:t>Also</w:t>
      </w:r>
      <w:proofErr w:type="gramEnd"/>
      <w:r w:rsidRPr="00F420A8">
        <w:rPr>
          <w:rFonts w:asciiTheme="majorHAnsi" w:hAnsiTheme="majorHAnsi"/>
          <w:sz w:val="22"/>
          <w:szCs w:val="22"/>
        </w:rPr>
        <w:t xml:space="preserve"> the different maturities should be considered to be issued from the same issuer. Please confirm that your model can comply with this expectation. In case not, please explain the assumptions followed.</w:t>
      </w:r>
    </w:p>
    <w:p w14:paraId="6CADB1A1" w14:textId="77777777" w:rsidR="00F420A8" w:rsidRPr="00EA231F" w:rsidRDefault="00F420A8" w:rsidP="00F420A8">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F420A8" w:rsidRPr="00EA231F" w14:paraId="5272ED80" w14:textId="77777777" w:rsidTr="000D2E04">
        <w:trPr>
          <w:trHeight w:val="720"/>
        </w:trPr>
        <w:tc>
          <w:tcPr>
            <w:tcW w:w="9116" w:type="dxa"/>
          </w:tcPr>
          <w:p w14:paraId="5E846C7D"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942F31F"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38759B78"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2DA0EB5" w14:textId="77777777" w:rsidR="00F420A8" w:rsidRPr="00EA231F" w:rsidRDefault="00F420A8" w:rsidP="000D2E04">
            <w:pPr>
              <w:pStyle w:val="ListParagraph"/>
              <w:spacing w:before="120" w:after="120"/>
              <w:ind w:left="50"/>
              <w:jc w:val="both"/>
              <w:rPr>
                <w:rFonts w:asciiTheme="majorHAnsi" w:hAnsiTheme="majorHAnsi"/>
                <w:sz w:val="22"/>
                <w:szCs w:val="22"/>
              </w:rPr>
            </w:pPr>
          </w:p>
        </w:tc>
      </w:tr>
    </w:tbl>
    <w:p w14:paraId="176E0C1D" w14:textId="77777777" w:rsidR="00F420A8" w:rsidRDefault="00F420A8" w:rsidP="00FB6978">
      <w:pPr>
        <w:pStyle w:val="ListParagraph"/>
        <w:keepNext/>
        <w:spacing w:before="120" w:after="120"/>
        <w:ind w:left="493"/>
        <w:jc w:val="both"/>
        <w:rPr>
          <w:rFonts w:asciiTheme="majorHAnsi" w:hAnsiTheme="majorHAnsi"/>
          <w:sz w:val="22"/>
          <w:szCs w:val="22"/>
        </w:rPr>
      </w:pPr>
    </w:p>
    <w:p w14:paraId="40EC40A2" w14:textId="77777777" w:rsidR="00F420A8" w:rsidRDefault="00F420A8" w:rsidP="00FB6978">
      <w:pPr>
        <w:pStyle w:val="ListParagraph"/>
        <w:keepNext/>
        <w:spacing w:before="120" w:after="120"/>
        <w:ind w:left="493"/>
        <w:jc w:val="both"/>
        <w:rPr>
          <w:rFonts w:asciiTheme="majorHAnsi" w:hAnsiTheme="majorHAnsi"/>
          <w:sz w:val="22"/>
          <w:szCs w:val="22"/>
        </w:rPr>
      </w:pPr>
    </w:p>
    <w:p w14:paraId="22468B3A" w14:textId="7E3BE5E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w:t>
      </w:r>
      <w:r w:rsidR="00772C91">
        <w:rPr>
          <w:rFonts w:asciiTheme="majorHAnsi" w:hAnsiTheme="majorHAnsi"/>
          <w:sz w:val="22"/>
          <w:szCs w:val="22"/>
        </w:rPr>
        <w:t xml:space="preserve">cash-flows </w:t>
      </w:r>
      <w:r>
        <w:rPr>
          <w:rFonts w:asciiTheme="majorHAnsi" w:hAnsiTheme="majorHAnsi"/>
          <w:sz w:val="22"/>
          <w:szCs w:val="22"/>
        </w:rPr>
        <w:t xml:space="preserve">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2B0479F2"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w:t>
      </w:r>
      <w:r w:rsidR="00772C91">
        <w:rPr>
          <w:rFonts w:asciiTheme="majorHAnsi" w:hAnsiTheme="majorHAnsi"/>
          <w:sz w:val="22"/>
          <w:szCs w:val="22"/>
        </w:rPr>
        <w:t xml:space="preserve">if the modelling </w:t>
      </w:r>
      <w:r w:rsidR="0002008E">
        <w:rPr>
          <w:rFonts w:asciiTheme="majorHAnsi" w:hAnsiTheme="majorHAnsi"/>
          <w:sz w:val="22"/>
          <w:szCs w:val="22"/>
        </w:rPr>
        <w:t>of</w:t>
      </w:r>
      <w:r w:rsidR="00772C91">
        <w:rPr>
          <w:rFonts w:asciiTheme="majorHAnsi" w:hAnsiTheme="majorHAnsi"/>
          <w:sz w:val="22"/>
          <w:szCs w:val="22"/>
        </w:rPr>
        <w:t xml:space="preserve"> </w:t>
      </w:r>
      <w:r w:rsidR="00C8267D">
        <w:rPr>
          <w:rFonts w:asciiTheme="majorHAnsi" w:hAnsiTheme="majorHAnsi"/>
          <w:sz w:val="22"/>
          <w:szCs w:val="22"/>
        </w:rPr>
        <w:t xml:space="preserve">Consumer Price Index (CPI) inflation </w:t>
      </w:r>
      <w:r w:rsidR="00E3510E">
        <w:rPr>
          <w:rFonts w:asciiTheme="majorHAnsi" w:hAnsiTheme="majorHAnsi"/>
          <w:sz w:val="22"/>
          <w:szCs w:val="22"/>
        </w:rPr>
        <w:t xml:space="preserve">is </w:t>
      </w:r>
      <w:r w:rsidR="00772C91">
        <w:rPr>
          <w:rFonts w:asciiTheme="majorHAnsi" w:hAnsiTheme="majorHAnsi"/>
          <w:sz w:val="22"/>
          <w:szCs w:val="22"/>
        </w:rPr>
        <w:t>captured in your market and credit risk model</w:t>
      </w:r>
      <w:r w:rsidR="00C8267D">
        <w:rPr>
          <w:rFonts w:asciiTheme="majorHAnsi" w:hAnsiTheme="majorHAnsi"/>
          <w:sz w:val="22"/>
          <w:szCs w:val="22"/>
        </w:rPr>
        <w:t>.</w:t>
      </w:r>
    </w:p>
    <w:p w14:paraId="588EFCBA" w14:textId="7236A8EE" w:rsidR="00C8267D" w:rsidRPr="00945D8F" w:rsidRDefault="00772C91" w:rsidP="00DF570B">
      <w:pPr>
        <w:pStyle w:val="ListParagraph"/>
        <w:numPr>
          <w:ilvl w:val="0"/>
          <w:numId w:val="4"/>
        </w:numPr>
        <w:spacing w:before="120" w:after="120"/>
        <w:jc w:val="both"/>
      </w:pPr>
      <w:r>
        <w:rPr>
          <w:rFonts w:asciiTheme="majorHAnsi" w:hAnsiTheme="majorHAnsi"/>
          <w:sz w:val="22"/>
          <w:szCs w:val="22"/>
        </w:rPr>
        <w:lastRenderedPageBreak/>
        <w:t xml:space="preserve">Please clarify what cash-flows of your Best Estimate of Liabilities are impacted by CPI inflation. Please make a distinction between different products (Life Retail, Life Group, P&amp;C, and Health) and between different cash flows (Future Benefits, Future Expenses and other cash out-flows, Future premiums, </w:t>
      </w:r>
      <w:proofErr w:type="gramStart"/>
      <w:r>
        <w:rPr>
          <w:rFonts w:asciiTheme="majorHAnsi" w:hAnsiTheme="majorHAnsi"/>
          <w:sz w:val="22"/>
          <w:szCs w:val="22"/>
        </w:rPr>
        <w:t>Other</w:t>
      </w:r>
      <w:proofErr w:type="gramEnd"/>
      <w:r>
        <w:rPr>
          <w:rFonts w:asciiTheme="majorHAnsi" w:hAnsiTheme="majorHAnsi"/>
          <w:sz w:val="22"/>
          <w:szCs w:val="22"/>
        </w:rPr>
        <w:t xml:space="preserve"> cash in-flows, Total recoverable from reinsurance (after the adjustment))</w:t>
      </w:r>
      <w:r w:rsidR="005B3317">
        <w:rPr>
          <w:rFonts w:asciiTheme="majorHAnsi" w:hAnsiTheme="majorHAnsi"/>
          <w:sz w:val="22"/>
          <w:szCs w:val="22"/>
        </w:rPr>
        <w:t>.</w:t>
      </w:r>
    </w:p>
    <w:p w14:paraId="2257E6D6" w14:textId="0EF66DE2" w:rsidR="00DD6B79" w:rsidRPr="00DF570B" w:rsidRDefault="00466C1E" w:rsidP="00945D8F">
      <w:pPr>
        <w:pStyle w:val="ListParagraph"/>
        <w:spacing w:before="120" w:after="120"/>
        <w:ind w:left="1213"/>
        <w:jc w:val="both"/>
      </w:pPr>
      <w:r>
        <w:rPr>
          <w:rFonts w:asciiTheme="majorHAnsi" w:hAnsiTheme="majorHAnsi"/>
          <w:sz w:val="22"/>
          <w:szCs w:val="22"/>
        </w:rPr>
        <w:t xml:space="preserve">Please clarify further </w:t>
      </w:r>
      <w:r w:rsidR="00021B1B">
        <w:rPr>
          <w:rFonts w:asciiTheme="majorHAnsi" w:hAnsiTheme="majorHAnsi"/>
          <w:sz w:val="22"/>
          <w:szCs w:val="22"/>
        </w:rPr>
        <w:t xml:space="preserve">which of these </w:t>
      </w:r>
      <w:r w:rsidR="00A1276D">
        <w:rPr>
          <w:rFonts w:asciiTheme="majorHAnsi" w:hAnsiTheme="majorHAnsi"/>
          <w:sz w:val="22"/>
          <w:szCs w:val="22"/>
        </w:rPr>
        <w:t xml:space="preserve">products and </w:t>
      </w:r>
      <w:r w:rsidR="00021B1B">
        <w:rPr>
          <w:rFonts w:asciiTheme="majorHAnsi" w:hAnsiTheme="majorHAnsi"/>
          <w:sz w:val="22"/>
          <w:szCs w:val="22"/>
        </w:rPr>
        <w:t xml:space="preserve">cash-flows </w:t>
      </w:r>
      <w:r w:rsidR="00A1276D">
        <w:rPr>
          <w:rFonts w:asciiTheme="majorHAnsi" w:hAnsiTheme="majorHAnsi"/>
          <w:sz w:val="22"/>
          <w:szCs w:val="22"/>
        </w:rPr>
        <w:t xml:space="preserve">are most material for </w:t>
      </w:r>
      <w:r w:rsidR="00E022C5">
        <w:rPr>
          <w:rFonts w:asciiTheme="majorHAnsi" w:hAnsiTheme="majorHAnsi"/>
          <w:sz w:val="22"/>
          <w:szCs w:val="22"/>
        </w:rPr>
        <w:t>your risk profile in the context of market and inflation risks.</w:t>
      </w:r>
      <w:r w:rsidR="00021B1B">
        <w:rPr>
          <w:rFonts w:asciiTheme="majorHAnsi" w:hAnsiTheme="majorHAnsi"/>
          <w:sz w:val="22"/>
          <w:szCs w:val="22"/>
        </w:rPr>
        <w:t xml:space="preserve"> </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2B25">
        <w:trPr>
          <w:trHeight w:val="720"/>
        </w:trPr>
        <w:tc>
          <w:tcPr>
            <w:tcW w:w="9116"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504C648" w14:textId="69F082CD" w:rsidR="000B2B25" w:rsidRPr="00C12FB8" w:rsidRDefault="000B2B25" w:rsidP="005A0BDB">
      <w:pPr>
        <w:pStyle w:val="ListParagraph"/>
        <w:numPr>
          <w:ilvl w:val="0"/>
          <w:numId w:val="4"/>
        </w:numPr>
        <w:spacing w:before="120" w:after="120"/>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 xml:space="preserve">provide the following information for </w:t>
      </w:r>
      <w:r>
        <w:rPr>
          <w:rFonts w:asciiTheme="majorHAnsi" w:hAnsiTheme="majorHAnsi"/>
          <w:sz w:val="22"/>
          <w:szCs w:val="22"/>
        </w:rPr>
        <w:t xml:space="preserve">your Best Estimate, for the </w:t>
      </w:r>
      <w:r w:rsidR="005A0BDB">
        <w:rPr>
          <w:rFonts w:asciiTheme="majorHAnsi" w:hAnsiTheme="majorHAnsi"/>
          <w:sz w:val="22"/>
          <w:szCs w:val="22"/>
        </w:rPr>
        <w:t>reference</w:t>
      </w:r>
      <w:r w:rsidRPr="005A0BDB">
        <w:rPr>
          <w:rFonts w:asciiTheme="majorHAnsi" w:hAnsiTheme="majorHAnsi"/>
          <w:sz w:val="22"/>
          <w:szCs w:val="22"/>
        </w:rPr>
        <w:t xml:space="preserve"> date of the study</w:t>
      </w:r>
      <w:r w:rsidRPr="00C12FB8">
        <w:rPr>
          <w:rFonts w:asciiTheme="majorHAnsi" w:hAnsiTheme="majorHAnsi"/>
          <w:sz w:val="22"/>
          <w:szCs w:val="22"/>
        </w:rPr>
        <w:t>:</w:t>
      </w:r>
    </w:p>
    <w:tbl>
      <w:tblPr>
        <w:tblW w:w="9781" w:type="dxa"/>
        <w:tblInd w:w="-10" w:type="dxa"/>
        <w:tblCellMar>
          <w:left w:w="0" w:type="dxa"/>
          <w:right w:w="0" w:type="dxa"/>
        </w:tblCellMar>
        <w:tblLook w:val="04A0" w:firstRow="1" w:lastRow="0" w:firstColumn="1" w:lastColumn="0" w:noHBand="0" w:noVBand="1"/>
      </w:tblPr>
      <w:tblGrid>
        <w:gridCol w:w="1550"/>
        <w:gridCol w:w="1578"/>
        <w:gridCol w:w="1697"/>
        <w:gridCol w:w="1696"/>
        <w:gridCol w:w="1701"/>
        <w:gridCol w:w="1559"/>
      </w:tblGrid>
      <w:tr w:rsidR="000B2B25" w:rsidRPr="00C12FB8" w14:paraId="20254466" w14:textId="76B6ACB4" w:rsidTr="005A0BDB">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777EC" w14:textId="2B511871" w:rsidR="000B2B25" w:rsidRPr="00C12FB8" w:rsidRDefault="000B2B25" w:rsidP="000B2B25">
            <w:pPr>
              <w:rPr>
                <w:rFonts w:asciiTheme="majorHAnsi" w:hAnsiTheme="majorHAnsi"/>
                <w:sz w:val="22"/>
              </w:rPr>
            </w:pPr>
          </w:p>
        </w:tc>
        <w:tc>
          <w:tcPr>
            <w:tcW w:w="1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CB044" w14:textId="77777777" w:rsidR="000B2B25" w:rsidRDefault="000B2B25" w:rsidP="000B2B25">
            <w:pPr>
              <w:rPr>
                <w:rFonts w:asciiTheme="majorHAnsi" w:hAnsiTheme="majorHAnsi"/>
                <w:sz w:val="22"/>
              </w:rPr>
            </w:pPr>
            <w:r>
              <w:rPr>
                <w:rFonts w:asciiTheme="majorHAnsi" w:hAnsiTheme="majorHAnsi"/>
                <w:sz w:val="22"/>
              </w:rPr>
              <w:t>Base Case</w:t>
            </w:r>
          </w:p>
          <w:p w14:paraId="42006250" w14:textId="2ECF3FBB" w:rsidR="000B2B25" w:rsidRPr="00C12FB8" w:rsidRDefault="000B2B25" w:rsidP="000B2B25">
            <w:pPr>
              <w:rPr>
                <w:rFonts w:asciiTheme="majorHAnsi" w:hAnsiTheme="majorHAnsi"/>
                <w:sz w:val="22"/>
              </w:rPr>
            </w:pPr>
            <w:r>
              <w:rPr>
                <w:rFonts w:asciiTheme="majorHAnsi" w:hAnsiTheme="majorHAnsi"/>
                <w:sz w:val="22"/>
              </w:rPr>
              <w:t>(as in Market Value Balance Sheet)</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281D" w14:textId="475FAAA0"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23C87F24" w14:textId="3F4E3CDF" w:rsidR="000B2B25" w:rsidRPr="00C12FB8" w:rsidRDefault="000B2B25">
            <w:pPr>
              <w:rPr>
                <w:rFonts w:asciiTheme="majorHAnsi" w:hAnsiTheme="majorHAnsi"/>
                <w:sz w:val="22"/>
              </w:rPr>
            </w:pPr>
            <w:r>
              <w:rPr>
                <w:rFonts w:asciiTheme="majorHAnsi" w:hAnsiTheme="majorHAnsi"/>
                <w:sz w:val="22"/>
              </w:rPr>
              <w:t>parallel shock of +0.5% incl. after LLP</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FC5EA" w14:textId="7464EEEB"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5DC24704" w14:textId="54A06670" w:rsidR="000B2B25" w:rsidRPr="00C12FB8" w:rsidRDefault="000B2B25" w:rsidP="000B2B25">
            <w:pPr>
              <w:rPr>
                <w:rFonts w:asciiTheme="majorHAnsi" w:hAnsiTheme="majorHAnsi"/>
                <w:sz w:val="22"/>
              </w:rPr>
            </w:pPr>
            <w:r>
              <w:rPr>
                <w:rFonts w:asciiTheme="majorHAnsi" w:hAnsiTheme="majorHAnsi"/>
                <w:sz w:val="22"/>
              </w:rPr>
              <w:t>parallel shock of +1.0% incl. after LLP</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AF0C5" w14:textId="75DF0C8B"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012B547A" w14:textId="78D21340" w:rsidR="000B2B25" w:rsidRPr="00C12FB8" w:rsidRDefault="000B2B25" w:rsidP="000B2B25">
            <w:pPr>
              <w:rPr>
                <w:rFonts w:asciiTheme="majorHAnsi" w:hAnsiTheme="majorHAnsi"/>
                <w:sz w:val="22"/>
              </w:rPr>
            </w:pPr>
            <w:r>
              <w:rPr>
                <w:rFonts w:asciiTheme="majorHAnsi" w:hAnsiTheme="majorHAnsi"/>
                <w:sz w:val="22"/>
              </w:rPr>
              <w:t>parallel shock of +0.5%</w:t>
            </w:r>
          </w:p>
        </w:tc>
        <w:tc>
          <w:tcPr>
            <w:tcW w:w="1559" w:type="dxa"/>
            <w:tcBorders>
              <w:top w:val="single" w:sz="8" w:space="0" w:color="auto"/>
              <w:left w:val="nil"/>
              <w:bottom w:val="single" w:sz="8" w:space="0" w:color="auto"/>
              <w:right w:val="single" w:sz="8" w:space="0" w:color="auto"/>
            </w:tcBorders>
          </w:tcPr>
          <w:p w14:paraId="3BD13F1B" w14:textId="622E8769"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590C7FC8" w14:textId="3299EDDA" w:rsidR="000B2B25" w:rsidRDefault="000B2B25" w:rsidP="00053900">
            <w:pPr>
              <w:rPr>
                <w:rFonts w:asciiTheme="majorHAnsi" w:hAnsiTheme="majorHAnsi"/>
                <w:sz w:val="22"/>
              </w:rPr>
            </w:pPr>
            <w:r>
              <w:rPr>
                <w:rFonts w:asciiTheme="majorHAnsi" w:hAnsiTheme="majorHAnsi"/>
                <w:sz w:val="22"/>
              </w:rPr>
              <w:t>parallel shock of +1.0%</w:t>
            </w:r>
          </w:p>
        </w:tc>
      </w:tr>
      <w:tr w:rsidR="000B2B25" w:rsidRPr="002E0513" w14:paraId="42E5A57F" w14:textId="0A634D0A" w:rsidTr="005A0BDB">
        <w:tc>
          <w:tcPr>
            <w:tcW w:w="15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48E81C" w14:textId="1852240D" w:rsidR="000B2B25" w:rsidRPr="00C12FB8" w:rsidRDefault="000B2B25" w:rsidP="00E01B5F">
            <w:pPr>
              <w:rPr>
                <w:rFonts w:asciiTheme="majorHAnsi" w:hAnsiTheme="majorHAnsi"/>
                <w:sz w:val="22"/>
                <w:lang w:val="de-DE" w:eastAsia="de-DE"/>
              </w:rPr>
            </w:pPr>
            <w:r>
              <w:rPr>
                <w:rFonts w:asciiTheme="majorHAnsi" w:hAnsiTheme="majorHAnsi"/>
                <w:sz w:val="22"/>
              </w:rPr>
              <w:t>Total Best Estimate</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FD2DCD" w14:textId="77777777" w:rsidR="000B2B25" w:rsidRPr="00C12FB8" w:rsidRDefault="000B2B25" w:rsidP="00E01B5F">
            <w:pPr>
              <w:rPr>
                <w:rFonts w:asciiTheme="majorHAnsi" w:hAnsiTheme="majorHAnsi"/>
                <w:sz w:val="22"/>
                <w:lang w:val="de-DE"/>
              </w:rPr>
            </w:pPr>
          </w:p>
        </w:tc>
        <w:tc>
          <w:tcPr>
            <w:tcW w:w="169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2CAB7" w14:textId="77777777" w:rsidR="000B2B25" w:rsidRPr="00C12FB8" w:rsidRDefault="000B2B25" w:rsidP="00E01B5F">
            <w:pPr>
              <w:rPr>
                <w:rFonts w:asciiTheme="majorHAnsi" w:hAnsiTheme="majorHAnsi"/>
                <w:sz w:val="22"/>
                <w:lang w:val="de-DE"/>
              </w:rPr>
            </w:pPr>
          </w:p>
        </w:tc>
        <w:tc>
          <w:tcPr>
            <w:tcW w:w="169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0B7C5FE" w14:textId="77777777" w:rsidR="000B2B25" w:rsidRPr="00C12FB8" w:rsidRDefault="000B2B25" w:rsidP="00E01B5F">
            <w:pPr>
              <w:rPr>
                <w:rFonts w:asciiTheme="majorHAnsi" w:hAnsiTheme="majorHAnsi"/>
                <w:sz w:val="22"/>
                <w:lang w:val="de-DE"/>
              </w:rPr>
            </w:pP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533703F" w14:textId="77777777" w:rsidR="000B2B25" w:rsidRPr="00C12FB8" w:rsidRDefault="000B2B25" w:rsidP="00E01B5F">
            <w:pPr>
              <w:rPr>
                <w:rFonts w:asciiTheme="majorHAnsi" w:hAnsiTheme="majorHAnsi"/>
                <w:sz w:val="22"/>
                <w:lang w:val="de-DE"/>
              </w:rPr>
            </w:pPr>
          </w:p>
        </w:tc>
        <w:tc>
          <w:tcPr>
            <w:tcW w:w="1559" w:type="dxa"/>
            <w:tcBorders>
              <w:top w:val="single" w:sz="8" w:space="0" w:color="auto"/>
              <w:left w:val="nil"/>
              <w:bottom w:val="single" w:sz="4" w:space="0" w:color="auto"/>
              <w:right w:val="single" w:sz="8" w:space="0" w:color="auto"/>
            </w:tcBorders>
          </w:tcPr>
          <w:p w14:paraId="1E8F322E" w14:textId="77777777" w:rsidR="000B2B25" w:rsidRPr="00C12FB8" w:rsidRDefault="000B2B25" w:rsidP="00E01B5F">
            <w:pPr>
              <w:rPr>
                <w:rFonts w:asciiTheme="majorHAnsi" w:hAnsiTheme="majorHAnsi"/>
                <w:sz w:val="22"/>
                <w:lang w:val="de-DE"/>
              </w:rPr>
            </w:pPr>
          </w:p>
        </w:tc>
      </w:tr>
      <w:tr w:rsidR="000B2B25" w:rsidRPr="002E0513" w14:paraId="57ACC2B5" w14:textId="77777777" w:rsidTr="005A0BDB">
        <w:tc>
          <w:tcPr>
            <w:tcW w:w="15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D82717" w14:textId="3FC8147F" w:rsidR="000B2B25" w:rsidRDefault="000B2B25" w:rsidP="00E01B5F">
            <w:pPr>
              <w:rPr>
                <w:rFonts w:asciiTheme="majorHAnsi" w:hAnsiTheme="majorHAnsi"/>
                <w:sz w:val="22"/>
              </w:rPr>
            </w:pPr>
            <w:r>
              <w:rPr>
                <w:rFonts w:asciiTheme="majorHAnsi" w:hAnsiTheme="majorHAnsi"/>
                <w:sz w:val="22"/>
              </w:rPr>
              <w:t>Delta with Base Case Best Estimate</w:t>
            </w:r>
          </w:p>
        </w:tc>
        <w:tc>
          <w:tcPr>
            <w:tcW w:w="1578"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E605F97" w14:textId="77777777" w:rsidR="000B2B25" w:rsidRPr="005A0BDB" w:rsidRDefault="000B2B25" w:rsidP="00E01B5F">
            <w:pPr>
              <w:rPr>
                <w:rFonts w:asciiTheme="majorHAnsi" w:hAnsiTheme="majorHAnsi"/>
                <w:sz w:val="22"/>
              </w:rPr>
            </w:pPr>
          </w:p>
        </w:tc>
        <w:tc>
          <w:tcPr>
            <w:tcW w:w="16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401393" w14:textId="77777777" w:rsidR="000B2B25" w:rsidRPr="005A0BDB" w:rsidRDefault="000B2B25" w:rsidP="00E01B5F">
            <w:pPr>
              <w:rPr>
                <w:rFonts w:asciiTheme="majorHAnsi" w:hAnsiTheme="majorHAnsi"/>
                <w:sz w:val="22"/>
              </w:rPr>
            </w:pPr>
          </w:p>
        </w:tc>
        <w:tc>
          <w:tcPr>
            <w:tcW w:w="169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BC1A5" w14:textId="77777777" w:rsidR="000B2B25" w:rsidRPr="005A0BDB" w:rsidRDefault="000B2B25" w:rsidP="00E01B5F">
            <w:pPr>
              <w:rPr>
                <w:rFonts w:asciiTheme="majorHAnsi" w:hAnsiTheme="majorHAnsi"/>
                <w:sz w:val="22"/>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80CF94" w14:textId="77777777" w:rsidR="000B2B25" w:rsidRPr="005A0BDB" w:rsidRDefault="000B2B25" w:rsidP="00E01B5F">
            <w:pPr>
              <w:rPr>
                <w:rFonts w:asciiTheme="majorHAnsi" w:hAnsiTheme="majorHAnsi"/>
                <w:sz w:val="22"/>
              </w:rPr>
            </w:pPr>
          </w:p>
        </w:tc>
        <w:tc>
          <w:tcPr>
            <w:tcW w:w="1559" w:type="dxa"/>
            <w:tcBorders>
              <w:top w:val="single" w:sz="4" w:space="0" w:color="auto"/>
              <w:left w:val="nil"/>
              <w:bottom w:val="single" w:sz="8" w:space="0" w:color="auto"/>
              <w:right w:val="single" w:sz="8" w:space="0" w:color="auto"/>
            </w:tcBorders>
          </w:tcPr>
          <w:p w14:paraId="12A82554" w14:textId="77777777" w:rsidR="000B2B25" w:rsidRPr="005A0BDB" w:rsidRDefault="000B2B25" w:rsidP="00E01B5F">
            <w:pPr>
              <w:rPr>
                <w:rFonts w:asciiTheme="majorHAnsi" w:hAnsiTheme="majorHAnsi"/>
                <w:sz w:val="22"/>
              </w:rPr>
            </w:pPr>
          </w:p>
        </w:tc>
      </w:tr>
    </w:tbl>
    <w:p w14:paraId="4BC24439" w14:textId="77777777" w:rsidR="00F85CFA" w:rsidRDefault="00F85CFA" w:rsidP="002553EF">
      <w:pPr>
        <w:pStyle w:val="ListParagraph"/>
        <w:keepNext/>
        <w:spacing w:before="120" w:after="120"/>
        <w:ind w:left="493"/>
        <w:jc w:val="both"/>
        <w:rPr>
          <w:rFonts w:asciiTheme="majorHAnsi" w:hAnsiTheme="majorHAnsi"/>
          <w:sz w:val="22"/>
          <w:szCs w:val="22"/>
        </w:rPr>
      </w:pPr>
    </w:p>
    <w:p w14:paraId="7CF45F37" w14:textId="542EEC5B" w:rsidR="00F85CFA" w:rsidRDefault="00F85CFA" w:rsidP="00F85CFA">
      <w:pPr>
        <w:pStyle w:val="ListParagraph"/>
        <w:keepNext/>
        <w:numPr>
          <w:ilvl w:val="0"/>
          <w:numId w:val="1"/>
        </w:numPr>
        <w:spacing w:before="120" w:after="120"/>
        <w:ind w:left="493" w:hanging="493"/>
        <w:jc w:val="both"/>
        <w:rPr>
          <w:rFonts w:asciiTheme="majorHAnsi" w:hAnsiTheme="majorHAnsi"/>
          <w:sz w:val="22"/>
          <w:szCs w:val="22"/>
        </w:rPr>
      </w:pPr>
      <w:r w:rsidRPr="00F85CFA">
        <w:rPr>
          <w:rFonts w:asciiTheme="majorHAnsi" w:hAnsiTheme="majorHAnsi"/>
          <w:sz w:val="22"/>
          <w:szCs w:val="22"/>
        </w:rPr>
        <w:t>Concerning the modelling of asset classes (i.e. bonds, loans, equity, derivatives, …) in the internal model, we would like to know whether your market risk model ensures consistency between valuation of assets in the balance sheet (i.e. Solvency II purposes) and the internal model at the valuation date. If so, briefly explain how this is done per asset class. In particular,</w:t>
      </w:r>
    </w:p>
    <w:p w14:paraId="4392DE86" w14:textId="77777777" w:rsidR="00F85CFA" w:rsidRDefault="00F85CFA" w:rsidP="00F85CFA">
      <w:pPr>
        <w:pStyle w:val="ListParagraph"/>
        <w:ind w:left="1004"/>
        <w:jc w:val="both"/>
        <w:rPr>
          <w:rFonts w:asciiTheme="majorHAnsi" w:hAnsiTheme="majorHAnsi"/>
          <w:sz w:val="22"/>
          <w:szCs w:val="22"/>
        </w:rPr>
      </w:pPr>
    </w:p>
    <w:p w14:paraId="746F90D8"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Is a deterministic correction performed to assure consistency between the pricing in the Solvency II Market Value Balance Sheet and the value in the internal model at t = 0? If so, please explain.</w:t>
      </w:r>
    </w:p>
    <w:p w14:paraId="7714AA52" w14:textId="77777777" w:rsidR="00F85CFA" w:rsidRDefault="00F85CFA" w:rsidP="00F85CFA">
      <w:pPr>
        <w:pStyle w:val="ListParagraph"/>
        <w:ind w:left="1004"/>
        <w:jc w:val="both"/>
        <w:rPr>
          <w:rFonts w:asciiTheme="majorHAnsi" w:hAnsiTheme="majorHAnsi"/>
          <w:sz w:val="22"/>
          <w:szCs w:val="22"/>
        </w:rPr>
      </w:pPr>
    </w:p>
    <w:p w14:paraId="6ED715BB"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stochastic processes for basis risk modelled to capture differences between generic indices and the idiosyncratic movements of individual instruments (e.g. specific credit spreads, deep Out-of-the-Money Implied Volatility, etc.)? If so, please explain.</w:t>
      </w:r>
    </w:p>
    <w:p w14:paraId="4C699035" w14:textId="77777777" w:rsidR="00F85CFA" w:rsidRDefault="00F85CFA" w:rsidP="00F85CFA">
      <w:pPr>
        <w:pStyle w:val="ListParagraph"/>
        <w:jc w:val="both"/>
        <w:rPr>
          <w:rFonts w:asciiTheme="majorHAnsi" w:hAnsiTheme="majorHAnsi"/>
          <w:sz w:val="22"/>
          <w:szCs w:val="22"/>
        </w:rPr>
      </w:pPr>
    </w:p>
    <w:p w14:paraId="08CE230A"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specific correlation settings introduced between stochastic process for basis risk and other risk factors to account for specific movements in times of stress (e.g. resulting in imperfect hedging)? If so, please explain.</w:t>
      </w:r>
    </w:p>
    <w:p w14:paraId="6722EBAE" w14:textId="77777777" w:rsidR="00F85CFA" w:rsidRDefault="00F85CFA" w:rsidP="00F85CFA">
      <w:pPr>
        <w:ind w:left="284"/>
        <w:rPr>
          <w:rFonts w:asciiTheme="majorHAnsi" w:hAnsiTheme="majorHAnsi"/>
          <w:sz w:val="22"/>
          <w:szCs w:val="22"/>
        </w:rPr>
      </w:pPr>
    </w:p>
    <w:p w14:paraId="41B86321" w14:textId="77777777" w:rsidR="00F85CFA" w:rsidRDefault="00F85CFA" w:rsidP="00F85CFA">
      <w:pPr>
        <w:ind w:left="284"/>
        <w:rPr>
          <w:lang w:val="en-US"/>
        </w:rPr>
      </w:pPr>
      <w:r>
        <w:rPr>
          <w:rFonts w:asciiTheme="majorHAnsi" w:hAnsiTheme="majorHAnsi"/>
          <w:sz w:val="22"/>
          <w:szCs w:val="22"/>
        </w:rPr>
        <w:t>On the other hand, if the consistency is not ensured, could you explain whether there is any correction on the probability distribution forecast of the own funds?</w:t>
      </w:r>
    </w:p>
    <w:p w14:paraId="6BCEA7AA" w14:textId="77777777" w:rsidR="00F85CFA" w:rsidRDefault="00F85CFA" w:rsidP="00F85CFA">
      <w:pPr>
        <w:rPr>
          <w:lang w:val="en-US"/>
        </w:rPr>
      </w:pPr>
    </w:p>
    <w:p w14:paraId="720305CA" w14:textId="77777777" w:rsidR="00F85CFA" w:rsidRDefault="00F85CFA" w:rsidP="00F85CFA">
      <w:pPr>
        <w:keepNext/>
        <w:spacing w:before="120" w:after="120"/>
        <w:ind w:firstLine="360"/>
        <w:rPr>
          <w:rFonts w:asciiTheme="majorHAnsi" w:hAnsiTheme="majorHAnsi"/>
          <w:sz w:val="22"/>
          <w:szCs w:val="22"/>
        </w:rPr>
      </w:pPr>
      <w:r>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6"/>
      </w:tblGrid>
      <w:tr w:rsidR="00F85CFA" w14:paraId="20A4AD22" w14:textId="77777777" w:rsidTr="00F85CFA">
        <w:trPr>
          <w:trHeight w:val="720"/>
        </w:trPr>
        <w:tc>
          <w:tcPr>
            <w:tcW w:w="9184" w:type="dxa"/>
            <w:tcBorders>
              <w:top w:val="single" w:sz="4" w:space="0" w:color="auto"/>
              <w:left w:val="single" w:sz="4" w:space="0" w:color="auto"/>
              <w:bottom w:val="single" w:sz="4" w:space="0" w:color="auto"/>
              <w:right w:val="single" w:sz="4" w:space="0" w:color="auto"/>
            </w:tcBorders>
          </w:tcPr>
          <w:p w14:paraId="7901F8E9" w14:textId="77777777" w:rsidR="00F85CFA" w:rsidRDefault="00F85CFA">
            <w:pPr>
              <w:pStyle w:val="ListParagraph"/>
              <w:spacing w:before="120" w:after="120"/>
              <w:ind w:left="50"/>
              <w:jc w:val="both"/>
              <w:rPr>
                <w:rFonts w:asciiTheme="majorHAnsi" w:hAnsiTheme="majorHAnsi"/>
                <w:sz w:val="22"/>
                <w:szCs w:val="22"/>
                <w:lang w:val="nl-BE" w:eastAsia="nl-BE"/>
              </w:rPr>
            </w:pPr>
          </w:p>
          <w:p w14:paraId="5BB6FD73" w14:textId="77777777" w:rsidR="00F85CFA" w:rsidRDefault="00F85CFA">
            <w:pPr>
              <w:pStyle w:val="ListParagraph"/>
              <w:spacing w:before="120" w:after="120"/>
              <w:ind w:left="50"/>
              <w:jc w:val="both"/>
              <w:rPr>
                <w:rFonts w:asciiTheme="majorHAnsi" w:hAnsiTheme="majorHAnsi"/>
                <w:sz w:val="22"/>
                <w:szCs w:val="22"/>
                <w:lang w:val="nl-BE" w:eastAsia="nl-BE"/>
              </w:rPr>
            </w:pPr>
          </w:p>
          <w:p w14:paraId="162619E5" w14:textId="77777777" w:rsidR="00F85CFA" w:rsidRDefault="00F85CFA">
            <w:pPr>
              <w:pStyle w:val="ListParagraph"/>
              <w:spacing w:before="120" w:after="120"/>
              <w:ind w:left="50"/>
              <w:jc w:val="both"/>
              <w:rPr>
                <w:rFonts w:asciiTheme="majorHAnsi" w:hAnsiTheme="majorHAnsi"/>
                <w:sz w:val="22"/>
                <w:szCs w:val="22"/>
                <w:lang w:val="nl-BE" w:eastAsia="nl-BE"/>
              </w:rPr>
            </w:pPr>
          </w:p>
          <w:p w14:paraId="4EBC15FF" w14:textId="77777777" w:rsidR="00F85CFA" w:rsidRDefault="00F85CFA">
            <w:pPr>
              <w:pStyle w:val="ListParagraph"/>
              <w:spacing w:before="120" w:after="120"/>
              <w:ind w:left="50"/>
              <w:jc w:val="both"/>
              <w:rPr>
                <w:rFonts w:asciiTheme="majorHAnsi" w:hAnsiTheme="majorHAnsi"/>
                <w:sz w:val="22"/>
                <w:szCs w:val="22"/>
                <w:lang w:val="nl-BE" w:eastAsia="nl-BE"/>
              </w:rPr>
            </w:pPr>
          </w:p>
        </w:tc>
      </w:tr>
    </w:tbl>
    <w:p w14:paraId="27FF374B" w14:textId="6137577E"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lastRenderedPageBreak/>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xml:space="preserve">                                 </w:t>
      </w:r>
      <w:proofErr w:type="spellStart"/>
      <w:r w:rsidRPr="00354B8A">
        <w:rPr>
          <w:rFonts w:asciiTheme="majorHAnsi" w:hAnsiTheme="majorHAnsi"/>
          <w:sz w:val="22"/>
          <w:szCs w:val="22"/>
          <w:lang w:val="en-IE"/>
        </w:rPr>
        <w:t>i</w:t>
      </w:r>
      <w:proofErr w:type="spellEnd"/>
      <w:r w:rsidRPr="00354B8A">
        <w:rPr>
          <w:rFonts w:asciiTheme="majorHAnsi" w:hAnsiTheme="majorHAnsi"/>
          <w:sz w:val="22"/>
          <w:szCs w:val="22"/>
          <w:lang w:val="en-IE"/>
        </w:rPr>
        <w:t>.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 xml:space="preserve">Please provide this information from a Group perspective and for the three most material entities in terms of market risk. Please </w:t>
      </w:r>
      <w:proofErr w:type="gramStart"/>
      <w:r w:rsidRPr="002B7080">
        <w:rPr>
          <w:rFonts w:asciiTheme="majorHAnsi" w:hAnsiTheme="majorHAnsi"/>
          <w:sz w:val="22"/>
          <w:szCs w:val="22"/>
        </w:rPr>
        <w:t>take into account</w:t>
      </w:r>
      <w:proofErr w:type="gramEnd"/>
      <w:r w:rsidRPr="002B7080">
        <w:rPr>
          <w:rFonts w:asciiTheme="majorHAnsi" w:hAnsiTheme="majorHAnsi"/>
          <w:sz w:val="22"/>
          <w:szCs w:val="22"/>
        </w:rPr>
        <w:t xml:space="preserve">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lastRenderedPageBreak/>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 xml:space="preserve">Do </w:t>
      </w:r>
      <w:proofErr w:type="spellStart"/>
      <w:r w:rsidRPr="001B755C">
        <w:rPr>
          <w:rFonts w:asciiTheme="majorHAnsi" w:hAnsiTheme="majorHAnsi"/>
          <w:sz w:val="22"/>
          <w:szCs w:val="22"/>
        </w:rPr>
        <w:t>you</w:t>
      </w:r>
      <w:proofErr w:type="spellEnd"/>
      <w:r w:rsidRPr="001B755C">
        <w:rPr>
          <w:rFonts w:asciiTheme="majorHAnsi" w:hAnsiTheme="majorHAnsi"/>
          <w:sz w:val="22"/>
          <w:szCs w:val="22"/>
        </w:rPr>
        <w:t xml:space="preserve">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2"/>
      <w:headerReference w:type="default" r:id="rId13"/>
      <w:footerReference w:type="default" r:id="rId14"/>
      <w:headerReference w:type="first" r:id="rId15"/>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D8FBA" w14:textId="5CA8C920"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E5D42"/>
    <w:multiLevelType w:val="hybridMultilevel"/>
    <w:tmpl w:val="CB8A23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abstractNum w:abstractNumId="10" w15:restartNumberingAfterBreak="0">
    <w:nsid w:val="4489074A"/>
    <w:multiLevelType w:val="hybridMultilevel"/>
    <w:tmpl w:val="985EDC9A"/>
    <w:lvl w:ilvl="0" w:tplc="08130019">
      <w:start w:val="1"/>
      <w:numFmt w:val="lowerLetter"/>
      <w:lvlText w:val="%1."/>
      <w:lvlJc w:val="left"/>
      <w:pPr>
        <w:ind w:left="1004" w:hanging="360"/>
      </w:pPr>
    </w:lvl>
    <w:lvl w:ilvl="1" w:tplc="08130019">
      <w:start w:val="1"/>
      <w:numFmt w:val="lowerLetter"/>
      <w:lvlText w:val="%2."/>
      <w:lvlJc w:val="left"/>
      <w:pPr>
        <w:ind w:left="1724" w:hanging="360"/>
      </w:pPr>
    </w:lvl>
    <w:lvl w:ilvl="2" w:tplc="0813001B">
      <w:start w:val="1"/>
      <w:numFmt w:val="lowerRoman"/>
      <w:lvlText w:val="%3."/>
      <w:lvlJc w:val="right"/>
      <w:pPr>
        <w:ind w:left="2444" w:hanging="180"/>
      </w:pPr>
    </w:lvl>
    <w:lvl w:ilvl="3" w:tplc="0813000F">
      <w:start w:val="1"/>
      <w:numFmt w:val="decimal"/>
      <w:lvlText w:val="%4."/>
      <w:lvlJc w:val="left"/>
      <w:pPr>
        <w:ind w:left="3164" w:hanging="360"/>
      </w:pPr>
    </w:lvl>
    <w:lvl w:ilvl="4" w:tplc="08130019">
      <w:start w:val="1"/>
      <w:numFmt w:val="lowerLetter"/>
      <w:lvlText w:val="%5."/>
      <w:lvlJc w:val="left"/>
      <w:pPr>
        <w:ind w:left="3884" w:hanging="360"/>
      </w:pPr>
    </w:lvl>
    <w:lvl w:ilvl="5" w:tplc="0813001B">
      <w:start w:val="1"/>
      <w:numFmt w:val="lowerRoman"/>
      <w:lvlText w:val="%6."/>
      <w:lvlJc w:val="right"/>
      <w:pPr>
        <w:ind w:left="4604" w:hanging="180"/>
      </w:pPr>
    </w:lvl>
    <w:lvl w:ilvl="6" w:tplc="0813000F">
      <w:start w:val="1"/>
      <w:numFmt w:val="decimal"/>
      <w:lvlText w:val="%7."/>
      <w:lvlJc w:val="left"/>
      <w:pPr>
        <w:ind w:left="5324" w:hanging="360"/>
      </w:pPr>
    </w:lvl>
    <w:lvl w:ilvl="7" w:tplc="08130019">
      <w:start w:val="1"/>
      <w:numFmt w:val="lowerLetter"/>
      <w:lvlText w:val="%8."/>
      <w:lvlJc w:val="left"/>
      <w:pPr>
        <w:ind w:left="6044" w:hanging="360"/>
      </w:pPr>
    </w:lvl>
    <w:lvl w:ilvl="8" w:tplc="0813001B">
      <w:start w:val="1"/>
      <w:numFmt w:val="lowerRoman"/>
      <w:lvlText w:val="%9."/>
      <w:lvlJc w:val="right"/>
      <w:pPr>
        <w:ind w:left="6764" w:hanging="180"/>
      </w:pPr>
    </w:lvl>
  </w:abstractNum>
  <w:abstractNum w:abstractNumId="11" w15:restartNumberingAfterBreak="0">
    <w:nsid w:val="6EDF246A"/>
    <w:multiLevelType w:val="hybridMultilevel"/>
    <w:tmpl w:val="457CF494"/>
    <w:lvl w:ilvl="0" w:tplc="FFFFFFFF">
      <w:start w:val="1"/>
      <w:numFmt w:val="lowerLetter"/>
      <w:lvlText w:val="%1."/>
      <w:lvlJc w:val="left"/>
      <w:pPr>
        <w:ind w:left="1213" w:hanging="360"/>
      </w:pPr>
      <w:rPr>
        <w:rFonts w:hint="default"/>
      </w:rPr>
    </w:lvl>
    <w:lvl w:ilvl="1" w:tplc="FFFFFFFF" w:tentative="1">
      <w:start w:val="1"/>
      <w:numFmt w:val="bullet"/>
      <w:lvlText w:val="o"/>
      <w:lvlJc w:val="left"/>
      <w:pPr>
        <w:ind w:left="1933" w:hanging="360"/>
      </w:pPr>
      <w:rPr>
        <w:rFonts w:ascii="Courier New" w:hAnsi="Courier New" w:cs="Courier New" w:hint="default"/>
      </w:rPr>
    </w:lvl>
    <w:lvl w:ilvl="2" w:tplc="FFFFFFFF" w:tentative="1">
      <w:start w:val="1"/>
      <w:numFmt w:val="bullet"/>
      <w:lvlText w:val=""/>
      <w:lvlJc w:val="left"/>
      <w:pPr>
        <w:ind w:left="2653" w:hanging="360"/>
      </w:pPr>
      <w:rPr>
        <w:rFonts w:ascii="Wingdings" w:hAnsi="Wingdings" w:hint="default"/>
      </w:rPr>
    </w:lvl>
    <w:lvl w:ilvl="3" w:tplc="FFFFFFFF" w:tentative="1">
      <w:start w:val="1"/>
      <w:numFmt w:val="bullet"/>
      <w:lvlText w:val=""/>
      <w:lvlJc w:val="left"/>
      <w:pPr>
        <w:ind w:left="3373" w:hanging="360"/>
      </w:pPr>
      <w:rPr>
        <w:rFonts w:ascii="Symbol" w:hAnsi="Symbol" w:hint="default"/>
      </w:rPr>
    </w:lvl>
    <w:lvl w:ilvl="4" w:tplc="FFFFFFFF" w:tentative="1">
      <w:start w:val="1"/>
      <w:numFmt w:val="bullet"/>
      <w:lvlText w:val="o"/>
      <w:lvlJc w:val="left"/>
      <w:pPr>
        <w:ind w:left="4093" w:hanging="360"/>
      </w:pPr>
      <w:rPr>
        <w:rFonts w:ascii="Courier New" w:hAnsi="Courier New" w:cs="Courier New" w:hint="default"/>
      </w:rPr>
    </w:lvl>
    <w:lvl w:ilvl="5" w:tplc="FFFFFFFF" w:tentative="1">
      <w:start w:val="1"/>
      <w:numFmt w:val="bullet"/>
      <w:lvlText w:val=""/>
      <w:lvlJc w:val="left"/>
      <w:pPr>
        <w:ind w:left="4813" w:hanging="360"/>
      </w:pPr>
      <w:rPr>
        <w:rFonts w:ascii="Wingdings" w:hAnsi="Wingdings" w:hint="default"/>
      </w:rPr>
    </w:lvl>
    <w:lvl w:ilvl="6" w:tplc="FFFFFFFF" w:tentative="1">
      <w:start w:val="1"/>
      <w:numFmt w:val="bullet"/>
      <w:lvlText w:val=""/>
      <w:lvlJc w:val="left"/>
      <w:pPr>
        <w:ind w:left="5533" w:hanging="360"/>
      </w:pPr>
      <w:rPr>
        <w:rFonts w:ascii="Symbol" w:hAnsi="Symbol" w:hint="default"/>
      </w:rPr>
    </w:lvl>
    <w:lvl w:ilvl="7" w:tplc="FFFFFFFF" w:tentative="1">
      <w:start w:val="1"/>
      <w:numFmt w:val="bullet"/>
      <w:lvlText w:val="o"/>
      <w:lvlJc w:val="left"/>
      <w:pPr>
        <w:ind w:left="6253" w:hanging="360"/>
      </w:pPr>
      <w:rPr>
        <w:rFonts w:ascii="Courier New" w:hAnsi="Courier New" w:cs="Courier New" w:hint="default"/>
      </w:rPr>
    </w:lvl>
    <w:lvl w:ilvl="8" w:tplc="FFFFFFFF" w:tentative="1">
      <w:start w:val="1"/>
      <w:numFmt w:val="bullet"/>
      <w:lvlText w:val=""/>
      <w:lvlJc w:val="left"/>
      <w:pPr>
        <w:ind w:left="6973" w:hanging="360"/>
      </w:pPr>
      <w:rPr>
        <w:rFonts w:ascii="Wingdings" w:hAnsi="Wingdings" w:hint="default"/>
      </w:rPr>
    </w:lvl>
  </w:abstractNum>
  <w:num w:numId="1" w16cid:durableId="1177770336">
    <w:abstractNumId w:val="9"/>
  </w:num>
  <w:num w:numId="2" w16cid:durableId="1018506070">
    <w:abstractNumId w:val="6"/>
  </w:num>
  <w:num w:numId="3" w16cid:durableId="367802431">
    <w:abstractNumId w:val="5"/>
  </w:num>
  <w:num w:numId="4" w16cid:durableId="1229606481">
    <w:abstractNumId w:val="4"/>
  </w:num>
  <w:num w:numId="5" w16cid:durableId="740715535">
    <w:abstractNumId w:val="1"/>
  </w:num>
  <w:num w:numId="6" w16cid:durableId="1588268211">
    <w:abstractNumId w:val="2"/>
  </w:num>
  <w:num w:numId="7" w16cid:durableId="1972634644">
    <w:abstractNumId w:val="3"/>
  </w:num>
  <w:num w:numId="8" w16cid:durableId="2031030718">
    <w:abstractNumId w:val="7"/>
  </w:num>
  <w:num w:numId="9" w16cid:durableId="1829711261">
    <w:abstractNumId w:val="0"/>
  </w:num>
  <w:num w:numId="10" w16cid:durableId="114914172">
    <w:abstractNumId w:val="11"/>
  </w:num>
  <w:num w:numId="11" w16cid:durableId="207575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581816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fr-BE"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8"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08E"/>
    <w:rsid w:val="00020382"/>
    <w:rsid w:val="00021004"/>
    <w:rsid w:val="00021853"/>
    <w:rsid w:val="00021B1B"/>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900"/>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2B25"/>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041"/>
    <w:rsid w:val="00104B33"/>
    <w:rsid w:val="001054F1"/>
    <w:rsid w:val="00107197"/>
    <w:rsid w:val="00107237"/>
    <w:rsid w:val="00107DD7"/>
    <w:rsid w:val="001103A7"/>
    <w:rsid w:val="001106C8"/>
    <w:rsid w:val="00111B44"/>
    <w:rsid w:val="00111B8E"/>
    <w:rsid w:val="00111F0D"/>
    <w:rsid w:val="00111FB6"/>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53EF"/>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83"/>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66C1E"/>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0BDB"/>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2C91"/>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043E"/>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4DC5"/>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5D8F"/>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76D"/>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2FB8"/>
    <w:rsid w:val="00C13503"/>
    <w:rsid w:val="00C14371"/>
    <w:rsid w:val="00C14D5E"/>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1B9"/>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D6B79"/>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2C5"/>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154"/>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0A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CFA"/>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474105318">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12205793">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2" ma:contentTypeDescription="Create a new document." ma:contentTypeScope="" ma:versionID="278a96de2f389753895f87381f49c202">
  <xsd:schema xmlns:xsd="http://www.w3.org/2001/XMLSchema" xmlns:xs="http://www.w3.org/2001/XMLSchema" xmlns:p="http://schemas.microsoft.com/office/2006/metadata/properties" xmlns:ns2="ab8f74c7-0748-4175-b0a7-798791edd7a4" targetNamespace="http://schemas.microsoft.com/office/2006/metadata/properties" ma:root="true" ma:fieldsID="4cf04c6d2e0e4faf8608092b28e14397" ns2:_="">
    <xsd:import namespace="ab8f74c7-0748-4175-b0a7-798791edd7a4"/>
    <xsd:element name="properties">
      <xsd:complexType>
        <xsd:sequence>
          <xsd:element name="documentManagement">
            <xsd:complexType>
              <xsd:all>
                <xsd:element ref="ns2:bc77dcd2bf4f4077b5153d8986ab7c79" minOccurs="0"/>
                <xsd:element ref="ns2:TaxCatchAll" minOccurs="0"/>
                <xsd:element ref="ns2:TaxCatchAllLabel" minOccurs="0"/>
                <xsd:element ref="ns2: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8"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5acebc8-3968-4877-907b-ba72243fc274}" ma:internalName="TaxCatchAll" ma:showField="CatchAllData"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5acebc8-3968-4877-907b-ba72243fc274}" ma:internalName="TaxCatchAllLabel" ma:readOnly="true" ma:showField="CatchAllDataLabel"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2"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b1776d1-ae3b-49f8-a97b-1474fa7fa346"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4B783-7F1C-433F-98EF-391F3E10F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53A5C-BE49-46C1-9DE6-36BA6A635942}">
  <ds:schemaRefs>
    <ds:schemaRef ds:uri="Microsoft.SharePoint.Taxonomy.ContentTypeSync"/>
  </ds:schemaRefs>
</ds:datastoreItem>
</file>

<file path=customXml/itemProps3.xml><?xml version="1.0" encoding="utf-8"?>
<ds:datastoreItem xmlns:ds="http://schemas.openxmlformats.org/officeDocument/2006/customXml" ds:itemID="{2F3AE41A-9B50-40E6-9DDA-8AEC6ED754C1}">
  <ds:schemaRefs>
    <ds:schemaRef ds:uri="http://schemas.openxmlformats.org/officeDocument/2006/bibliography"/>
  </ds:schemaRefs>
</ds:datastoreItem>
</file>

<file path=customXml/itemProps4.xml><?xml version="1.0" encoding="utf-8"?>
<ds:datastoreItem xmlns:ds="http://schemas.openxmlformats.org/officeDocument/2006/customXml" ds:itemID="{50556BAA-5F4F-49FA-8CF9-AA3FE2FD5B2D}">
  <ds:schemaRefs>
    <ds:schemaRef ds:uri="http://purl.org/dc/elements/1.1/"/>
    <ds:schemaRef ds:uri="ab8f74c7-0748-4175-b0a7-798791edd7a4"/>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32C88758-C3E8-4F2B-8D3B-137572E1B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2368</Words>
  <Characters>13067</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2024-12-19T12:54:00Z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y fmtid="{D5CDD505-2E9C-101B-9397-08002B2CF9AE}" pid="34" name="_dlc_policyId">
    <vt:lpwstr>0x0101004995A9BA3DFD43489908A1D72CC7935D|-708745469</vt:lpwstr>
  </property>
  <property fmtid="{D5CDD505-2E9C-101B-9397-08002B2CF9AE}" pid="35" name="ItemRetentionFormula">
    <vt:lpwstr>&lt;formula offset="1" unit="days" /&gt;</vt:lpwstr>
  </property>
  <property fmtid="{D5CDD505-2E9C-101B-9397-08002B2CF9AE}" pid="36" name="_dlc_LastRun">
    <vt:lpwstr>12/10/2022 23:12:53</vt:lpwstr>
  </property>
  <property fmtid="{D5CDD505-2E9C-101B-9397-08002B2CF9AE}" pid="37" name="_dlc_ItemStageId">
    <vt:lpwstr>1</vt:lpwstr>
  </property>
  <property fmtid="{D5CDD505-2E9C-101B-9397-08002B2CF9AE}" pid="38" name="ERISKeywords">
    <vt:lpwstr/>
  </property>
  <property fmtid="{D5CDD505-2E9C-101B-9397-08002B2CF9AE}" pid="39" name="ERISDocumentType">
    <vt:lpwstr/>
  </property>
</Properties>
</file>