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Accentuationlgre"/>
          <w:b w:val="0"/>
          <w:sz w:val="22"/>
        </w:rPr>
      </w:pPr>
      <w:r w:rsidRPr="00197794">
        <w:rPr>
          <w:rStyle w:val="Accentuationlgre"/>
          <w:b w:val="0"/>
          <w:sz w:val="22"/>
        </w:rPr>
        <w:t>The European Supervisory Authorities (ESAs) welcome comments on this consultation paper setting out proposed amendments to Commission Delegated Regulation (EU) 2017/653 of 8 March 2017</w:t>
      </w:r>
      <w:r w:rsidRPr="00197794">
        <w:rPr>
          <w:rStyle w:val="Accentuationlgre"/>
          <w:b w:val="0"/>
          <w:sz w:val="22"/>
        </w:rPr>
        <w:footnoteReference w:id="2"/>
      </w:r>
      <w:r w:rsidRPr="00197794">
        <w:rPr>
          <w:rStyle w:val="Accentuationlgre"/>
          <w:b w:val="0"/>
          <w:sz w:val="22"/>
        </w:rPr>
        <w:t xml:space="preserve"> (hereinafter “PRIIPs Delegated Regulation”).</w:t>
      </w:r>
    </w:p>
    <w:p w14:paraId="10C2617A" w14:textId="77777777" w:rsidR="00197794" w:rsidRPr="00197794" w:rsidRDefault="00197794" w:rsidP="00197794">
      <w:pPr>
        <w:jc w:val="both"/>
        <w:rPr>
          <w:rStyle w:val="Accentuationlgre"/>
          <w:b w:val="0"/>
          <w:sz w:val="22"/>
        </w:rPr>
      </w:pPr>
    </w:p>
    <w:p w14:paraId="0C223EDE" w14:textId="77777777" w:rsidR="00197794" w:rsidRPr="00197794" w:rsidRDefault="00197794" w:rsidP="00197794">
      <w:pPr>
        <w:jc w:val="both"/>
        <w:rPr>
          <w:rStyle w:val="Accentuationlgre"/>
          <w:b w:val="0"/>
          <w:sz w:val="22"/>
        </w:rPr>
      </w:pPr>
      <w:r w:rsidRPr="00197794">
        <w:rPr>
          <w:rStyle w:val="Accentuationlgre"/>
          <w:b w:val="0"/>
          <w:sz w:val="22"/>
        </w:rPr>
        <w:t xml:space="preserve">The consultation package includes: </w:t>
      </w:r>
    </w:p>
    <w:p w14:paraId="18D2914F" w14:textId="1F1755EE"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The consultation paper</w:t>
      </w:r>
    </w:p>
    <w:p w14:paraId="10BDD12A" w14:textId="706C2321"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r>
      <w:r>
        <w:rPr>
          <w:rStyle w:val="Accentuationlgre"/>
          <w:b w:val="0"/>
          <w:sz w:val="22"/>
        </w:rPr>
        <w:t>Template for comments</w:t>
      </w:r>
    </w:p>
    <w:p w14:paraId="52DEC790" w14:textId="77777777" w:rsidR="00197794" w:rsidRDefault="00197794" w:rsidP="00197794">
      <w:pPr>
        <w:jc w:val="both"/>
        <w:rPr>
          <w:rStyle w:val="Accentuationlgre"/>
          <w:b w:val="0"/>
          <w:sz w:val="22"/>
        </w:rPr>
      </w:pPr>
    </w:p>
    <w:p w14:paraId="0582E623" w14:textId="7F8CAD3C" w:rsidR="00197794" w:rsidRPr="00197794" w:rsidRDefault="00197794" w:rsidP="00197794">
      <w:pPr>
        <w:jc w:val="both"/>
        <w:rPr>
          <w:rStyle w:val="Accentuationlgre"/>
          <w:b w:val="0"/>
          <w:sz w:val="22"/>
        </w:rPr>
      </w:pPr>
      <w:r w:rsidRPr="00197794">
        <w:rPr>
          <w:rStyle w:val="Accentuationlgre"/>
          <w:b w:val="0"/>
          <w:sz w:val="22"/>
        </w:rPr>
        <w:t>The ESAs invite comments on any aspect of this paper. Comments are most helpful if they:</w:t>
      </w:r>
    </w:p>
    <w:p w14:paraId="09C3854A"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contain a clear rationale; and</w:t>
      </w:r>
    </w:p>
    <w:p w14:paraId="2CDD20AE"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describe any alternatives the ESAs should consider.</w:t>
      </w:r>
    </w:p>
    <w:p w14:paraId="6D344FFC" w14:textId="77777777" w:rsidR="00197794" w:rsidRDefault="00197794" w:rsidP="00197794">
      <w:pPr>
        <w:jc w:val="both"/>
        <w:rPr>
          <w:rStyle w:val="Accentuationlgre"/>
          <w:b w:val="0"/>
          <w:sz w:val="22"/>
        </w:rPr>
      </w:pPr>
    </w:p>
    <w:p w14:paraId="17CD5259" w14:textId="6C7A8583" w:rsidR="00197794" w:rsidRPr="00197794" w:rsidRDefault="00197794" w:rsidP="00197794">
      <w:pPr>
        <w:spacing w:after="240"/>
        <w:jc w:val="both"/>
        <w:rPr>
          <w:rStyle w:val="Accentuationlgre"/>
          <w:b w:val="0"/>
          <w:sz w:val="22"/>
        </w:rPr>
      </w:pPr>
      <w:r w:rsidRPr="00197794">
        <w:rPr>
          <w:rStyle w:val="Accentuationlgre"/>
          <w:b w:val="0"/>
          <w:sz w:val="22"/>
        </w:rPr>
        <w:t xml:space="preserve">When describing alternative approaches the ESAs encourage stakeholders to consider how </w:t>
      </w:r>
      <w:r w:rsidR="004B1D0D">
        <w:rPr>
          <w:rStyle w:val="Accentuationlgre"/>
          <w:b w:val="0"/>
          <w:sz w:val="22"/>
        </w:rPr>
        <w:t xml:space="preserve">the </w:t>
      </w:r>
      <w:r w:rsidRPr="00197794">
        <w:rPr>
          <w:rStyle w:val="Accentuationlgre"/>
          <w:b w:val="0"/>
          <w:sz w:val="22"/>
        </w:rPr>
        <w:t>approach would achieve the aims of Regulation (EU) No 1286/2014</w:t>
      </w:r>
      <w:r w:rsidRPr="00197794">
        <w:rPr>
          <w:rStyle w:val="Accentuationlgre"/>
          <w:b w:val="0"/>
          <w:sz w:val="22"/>
        </w:rPr>
        <w:footnoteReference w:id="3"/>
      </w:r>
      <w:r w:rsidRPr="00197794">
        <w:rPr>
          <w:rStyle w:val="Accentuationlgre"/>
          <w:b w:val="0"/>
          <w:sz w:val="22"/>
        </w:rPr>
        <w:t xml:space="preserve"> (hereinafter “PRIIPs Regulation”). </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1534174"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197794">
        <w:rPr>
          <w:rStyle w:val="Accentuationlgre"/>
          <w:b w:val="0"/>
          <w:sz w:val="22"/>
        </w:rPr>
        <w:t>PKID</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197794">
        <w:rPr>
          <w:rStyle w:val="Accentuationlgre"/>
          <w:b w:val="0"/>
          <w:sz w:val="22"/>
        </w:rPr>
        <w:t>PKID</w:t>
      </w:r>
      <w:r w:rsidRPr="00E40A5C">
        <w:rPr>
          <w:rStyle w:val="Accentuationlgre"/>
          <w:b w:val="0"/>
          <w:sz w:val="22"/>
        </w:rPr>
        <w:t>_nameofrespondent_RESPONSEFORM. For example, for a respondent named ABCD, the response form would be entitled ESA_</w:t>
      </w:r>
      <w:r w:rsidR="00197794">
        <w:rPr>
          <w:rStyle w:val="Accentuationlgre"/>
          <w:b w:val="0"/>
          <w:sz w:val="22"/>
        </w:rPr>
        <w:t>PKID</w:t>
      </w:r>
      <w:r w:rsidRPr="00E40A5C">
        <w:rPr>
          <w:rStyle w:val="Accentuationlgre"/>
          <w:b w:val="0"/>
          <w:sz w:val="22"/>
        </w:rPr>
        <w:t>_ABCD_RESPONSEFORM.</w:t>
      </w:r>
    </w:p>
    <w:p w14:paraId="180C2205" w14:textId="7763E035" w:rsidR="00197794" w:rsidRP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lastRenderedPageBreak/>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9"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 xml:space="preserve">under the heading ‘Your input - Consultations’ by </w:t>
      </w:r>
      <w:r w:rsidRPr="00197794">
        <w:rPr>
          <w:rStyle w:val="Accentuationlgre"/>
          <w:sz w:val="22"/>
        </w:rPr>
        <w:t>13 January 2020</w:t>
      </w:r>
      <w:r w:rsidRPr="00197794">
        <w:rPr>
          <w:rStyle w:val="Accentuationlgr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4"/>
      </w:r>
      <w:r w:rsidRPr="00197794">
        <w:rPr>
          <w:rFonts w:cs="Arial"/>
          <w:sz w:val="22"/>
        </w:rPr>
        <w:t xml:space="preserve">. Further information on data protection can be found under the </w:t>
      </w:r>
      <w:hyperlink r:id="rId20" w:history="1">
        <w:r w:rsidRPr="00197794">
          <w:rPr>
            <w:rStyle w:val="Lienhypertexte"/>
            <w:rFonts w:cs="Arial"/>
            <w:sz w:val="22"/>
          </w:rPr>
          <w:t>Legal notice</w:t>
        </w:r>
      </w:hyperlink>
      <w:r w:rsidRPr="00197794">
        <w:rPr>
          <w:rFonts w:cs="Arial"/>
          <w:sz w:val="22"/>
        </w:rPr>
        <w:t xml:space="preserve"> section of the EBA website and under the </w:t>
      </w:r>
      <w:hyperlink r:id="rId21" w:history="1">
        <w:r w:rsidRPr="00197794">
          <w:rPr>
            <w:rStyle w:val="Lienhypertexte"/>
            <w:rFonts w:cs="Arial"/>
            <w:sz w:val="22"/>
          </w:rPr>
          <w:t>Legal notice</w:t>
        </w:r>
      </w:hyperlink>
      <w:r w:rsidRPr="00197794">
        <w:rPr>
          <w:rFonts w:cs="Arial"/>
          <w:sz w:val="22"/>
        </w:rPr>
        <w:t xml:space="preserve"> section of the EIOPA website and under the </w:t>
      </w:r>
      <w:hyperlink r:id="rId22"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lang w:val="fr-FR"/>
            </w:rPr>
            <w:id w:val="-1905066999"/>
            <w:text/>
          </w:sdtPr>
          <w:sdtEndPr>
            <w:rPr>
              <w:rStyle w:val="Textedelespacerserv"/>
            </w:rPr>
          </w:sdtEndPr>
          <w:sdtContent>
            <w:tc>
              <w:tcPr>
                <w:tcW w:w="5595" w:type="dxa"/>
                <w:shd w:val="clear" w:color="auto" w:fill="auto"/>
              </w:tcPr>
              <w:p w14:paraId="6A3CB051" w14:textId="4FC73732" w:rsidR="00B327E9" w:rsidRPr="00BC5DD7" w:rsidRDefault="00BC5DD7" w:rsidP="00F136AD">
                <w:pPr>
                  <w:rPr>
                    <w:rStyle w:val="Textedelespacerserv"/>
                    <w:rFonts w:cs="Arial"/>
                    <w:lang w:val="fr-FR"/>
                  </w:rPr>
                </w:pPr>
                <w:r w:rsidRPr="00BC5DD7">
                  <w:rPr>
                    <w:rStyle w:val="Textedelespacerserv"/>
                    <w:rFonts w:cs="Arial"/>
                    <w:lang w:val="fr-FR"/>
                  </w:rPr>
                  <w:t>A</w:t>
                </w:r>
                <w:r w:rsidRPr="00BC5DD7">
                  <w:rPr>
                    <w:rStyle w:val="Textedelespacerserv"/>
                    <w:lang w:val="fr-FR"/>
                  </w:rPr>
                  <w:t>SF (Association française de</w:t>
                </w:r>
                <w:r w:rsidR="00B11E22">
                  <w:rPr>
                    <w:rStyle w:val="Textedelespacerserv"/>
                    <w:lang w:val="fr-FR"/>
                  </w:rPr>
                  <w:t>s</w:t>
                </w:r>
                <w:r w:rsidRPr="00BC5DD7">
                  <w:rPr>
                    <w:rStyle w:val="Textedelespacerserv"/>
                    <w:lang w:val="fr-FR"/>
                  </w:rPr>
                  <w:t xml:space="preserve"> s</w:t>
                </w:r>
                <w:r>
                  <w:rPr>
                    <w:rStyle w:val="Textedelespacerserv"/>
                    <w:lang w:val="fr-FR"/>
                  </w:rPr>
                  <w:t>ociété</w:t>
                </w:r>
                <w:r w:rsidR="00B11E22">
                  <w:rPr>
                    <w:rStyle w:val="Textedelespacerserv"/>
                    <w:lang w:val="fr-FR"/>
                  </w:rPr>
                  <w:t>s</w:t>
                </w:r>
                <w:r>
                  <w:rPr>
                    <w:rStyle w:val="Textedelespacerserv"/>
                    <w:lang w:val="fr-FR"/>
                  </w:rPr>
                  <w:t xml:space="preserve"> financière</w:t>
                </w:r>
                <w:r w:rsidR="00B11E22">
                  <w:rPr>
                    <w:rStyle w:val="Textedelespacerserv"/>
                    <w:lang w:val="fr-FR"/>
                  </w:rPr>
                  <w:t>s</w:t>
                </w:r>
                <w:r>
                  <w:rPr>
                    <w:rStyle w:val="Textedelespacerserv"/>
                    <w:lang w:val="fr-FR"/>
                  </w:rPr>
                  <w:t xml:space="preserve"> – French association for financial companies</w:t>
                </w:r>
                <w:r w:rsidR="00B11E22">
                  <w:rPr>
                    <w:rStyle w:val="Textedelespacerserv"/>
                    <w:lang w:val="fr-FR"/>
                  </w:rPr>
                  <w:t>)</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FF70B82" w:rsidR="00B327E9" w:rsidRPr="00AB6D88" w:rsidRDefault="00A76F4B"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C5DD7">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47FBB34E" w:rsidR="00B327E9" w:rsidRPr="00AB6D88" w:rsidRDefault="00BC5DD7"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B5A96D5" w:rsidR="00B327E9" w:rsidRPr="00AB6D88" w:rsidRDefault="00BC5DD7" w:rsidP="00F136AD">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Accentuationlgre"/>
          <w:b w:val="0"/>
          <w:sz w:val="22"/>
        </w:rPr>
        <w:t>PKID</w:t>
      </w:r>
      <w:r w:rsidRPr="006F4535">
        <w:t>_1&gt;</w:t>
      </w:r>
    </w:p>
    <w:p w14:paraId="690638E6" w14:textId="17DC6E9B" w:rsidR="0015781B" w:rsidRDefault="005973C2" w:rsidP="000406F3">
      <w:pPr>
        <w:suppressAutoHyphens/>
        <w:jc w:val="both"/>
      </w:pPr>
      <w:permStart w:id="411981036" w:edGrp="everyone"/>
      <w:r>
        <w:t>T</w:t>
      </w:r>
      <w:r w:rsidR="0015781B">
        <w:t>he ASF note</w:t>
      </w:r>
      <w:r>
        <w:t>s</w:t>
      </w:r>
      <w:r w:rsidR="0015781B">
        <w:t xml:space="preserve"> that the implementation of the regulation has not met, at this stage, in the French market, the expectations of comparability of the various financial products nor those of clear identification of their total costs.</w:t>
      </w:r>
    </w:p>
    <w:p w14:paraId="2EC1D0F5" w14:textId="77777777" w:rsidR="0015781B" w:rsidRDefault="0015781B" w:rsidP="000406F3">
      <w:pPr>
        <w:suppressAutoHyphens/>
        <w:jc w:val="both"/>
      </w:pPr>
    </w:p>
    <w:p w14:paraId="33F0DDA2" w14:textId="60BFB962" w:rsidR="0015781B" w:rsidRDefault="0015781B" w:rsidP="000406F3">
      <w:pPr>
        <w:suppressAutoHyphens/>
        <w:jc w:val="both"/>
      </w:pPr>
      <w:r>
        <w:t>In general, we consider it essential for the harmonious implementation of this regulation, that the Commission takes into account the feedback and convergent testimonies which generally point to a particularly complex implementation, on the basis of sometimes inappropriate rules, for intermediaries, while the readability of information for the investor and his good understanding of the product, especially in terms of fees, is generally declining.</w:t>
      </w:r>
    </w:p>
    <w:p w14:paraId="3637BF31" w14:textId="325EA9A5" w:rsidR="0022197B" w:rsidRDefault="0022197B" w:rsidP="000406F3">
      <w:pPr>
        <w:suppressAutoHyphens/>
        <w:jc w:val="both"/>
      </w:pPr>
    </w:p>
    <w:p w14:paraId="749EDCAE" w14:textId="2F8F5EEB" w:rsidR="0022197B" w:rsidRDefault="0022197B" w:rsidP="000406F3">
      <w:pPr>
        <w:suppressAutoHyphens/>
        <w:jc w:val="both"/>
      </w:pPr>
      <w:r>
        <w:t>Our propositions concern in particular:</w:t>
      </w:r>
    </w:p>
    <w:p w14:paraId="01C35EEE" w14:textId="35F53BD7" w:rsidR="0022197B" w:rsidRPr="0022197B" w:rsidRDefault="0022197B" w:rsidP="000406F3">
      <w:pPr>
        <w:suppressAutoHyphens/>
        <w:ind w:left="284" w:hanging="284"/>
        <w:jc w:val="both"/>
        <w:rPr>
          <w:lang w:val="en-US"/>
        </w:rPr>
      </w:pPr>
      <w:r w:rsidRPr="0022197B">
        <w:rPr>
          <w:lang w:val="en-US"/>
        </w:rPr>
        <w:t>-</w:t>
      </w:r>
      <w:r w:rsidRPr="0022197B">
        <w:rPr>
          <w:lang w:val="en-US"/>
        </w:rPr>
        <w:tab/>
      </w:r>
      <w:r>
        <w:rPr>
          <w:lang w:val="en-US"/>
        </w:rPr>
        <w:t>The i</w:t>
      </w:r>
      <w:r w:rsidRPr="0022197B">
        <w:rPr>
          <w:lang w:val="en-US"/>
        </w:rPr>
        <w:t>ntegration of past performance information for products with a history. Even if they do not prejudge future performance, this information is essential to enable the saver to choose a product and a provider with full knowledge of the facts.</w:t>
      </w:r>
    </w:p>
    <w:p w14:paraId="3F1D916D" w14:textId="77777777" w:rsidR="0022197B" w:rsidRPr="0022197B" w:rsidRDefault="0022197B" w:rsidP="000406F3">
      <w:pPr>
        <w:suppressAutoHyphens/>
        <w:ind w:left="284" w:hanging="284"/>
        <w:jc w:val="both"/>
        <w:rPr>
          <w:lang w:val="en-US"/>
        </w:rPr>
      </w:pPr>
    </w:p>
    <w:p w14:paraId="1EEFD8E2" w14:textId="3AEDFEAE" w:rsidR="0022197B" w:rsidRPr="0022197B" w:rsidRDefault="0022197B" w:rsidP="000406F3">
      <w:pPr>
        <w:suppressAutoHyphens/>
        <w:ind w:left="284" w:hanging="284"/>
        <w:jc w:val="both"/>
        <w:rPr>
          <w:lang w:val="en-US"/>
        </w:rPr>
      </w:pPr>
      <w:r w:rsidRPr="0022197B">
        <w:rPr>
          <w:lang w:val="en-US"/>
        </w:rPr>
        <w:t>-</w:t>
      </w:r>
      <w:r w:rsidRPr="0022197B">
        <w:rPr>
          <w:lang w:val="en-US"/>
        </w:rPr>
        <w:tab/>
      </w:r>
      <w:r>
        <w:rPr>
          <w:lang w:val="en-US"/>
        </w:rPr>
        <w:t>The r</w:t>
      </w:r>
      <w:r w:rsidRPr="0022197B">
        <w:rPr>
          <w:lang w:val="en-US"/>
        </w:rPr>
        <w:t>emov</w:t>
      </w:r>
      <w:r>
        <w:rPr>
          <w:lang w:val="en-US"/>
        </w:rPr>
        <w:t>al of</w:t>
      </w:r>
      <w:r w:rsidRPr="0022197B">
        <w:rPr>
          <w:lang w:val="en-US"/>
        </w:rPr>
        <w:t xml:space="preserve"> the various</w:t>
      </w:r>
      <w:r>
        <w:rPr>
          <w:lang w:val="en-US"/>
        </w:rPr>
        <w:t xml:space="preserve"> future</w:t>
      </w:r>
      <w:r w:rsidRPr="0022197B">
        <w:rPr>
          <w:lang w:val="en-US"/>
        </w:rPr>
        <w:t xml:space="preserve"> performance scenarios that, because of their lack of transparency, give the investor incorrect information</w:t>
      </w:r>
      <w:r w:rsidR="005973C2">
        <w:rPr>
          <w:lang w:val="en-US"/>
        </w:rPr>
        <w:t xml:space="preserve"> and because they are in </w:t>
      </w:r>
      <w:r w:rsidR="005973C2" w:rsidRPr="0022197B">
        <w:rPr>
          <w:lang w:val="en-US"/>
        </w:rPr>
        <w:t>contradiction with provisions of the MIF Directive which provide that, if future performance is indicated, they must be accompanied by a warning that it is not a reliable indicator and should not be based on simulations of past performance</w:t>
      </w:r>
      <w:r w:rsidRPr="0022197B">
        <w:rPr>
          <w:lang w:val="en-US"/>
        </w:rPr>
        <w:t>. Indeed, a consumer investor is not able to understand the underlying statistical method of scenarios</w:t>
      </w:r>
      <w:r>
        <w:rPr>
          <w:lang w:val="en-US"/>
        </w:rPr>
        <w:t xml:space="preserve"> (which</w:t>
      </w:r>
      <w:r w:rsidRPr="0022197B">
        <w:rPr>
          <w:lang w:val="en-US"/>
        </w:rPr>
        <w:t xml:space="preserve"> is not explained in the document</w:t>
      </w:r>
      <w:r>
        <w:rPr>
          <w:lang w:val="en-US"/>
        </w:rPr>
        <w:t>)</w:t>
      </w:r>
      <w:r w:rsidR="005973C2">
        <w:rPr>
          <w:lang w:val="en-US"/>
        </w:rPr>
        <w:t>.</w:t>
      </w:r>
    </w:p>
    <w:permEnd w:id="411981036"/>
    <w:p w14:paraId="6A3CB062" w14:textId="52878472" w:rsidR="00B327E9" w:rsidRPr="00BF28DA" w:rsidRDefault="00B327E9" w:rsidP="00B327E9">
      <w:r w:rsidRPr="00BF28DA">
        <w:t>&lt;ESA_COMMENT_</w:t>
      </w:r>
      <w:r w:rsidR="00197794">
        <w:rPr>
          <w:rStyle w:val="Accentuationlgre"/>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68522780" w:rsidR="003E573C" w:rsidRDefault="0083498F" w:rsidP="003E573C">
      <w:pPr>
        <w:rPr>
          <w:rFonts w:cs="Arial"/>
        </w:rPr>
      </w:pPr>
      <w:permStart w:id="729947415" w:edGrp="everyone"/>
      <w:r>
        <w:rPr>
          <w:rFonts w:cs="Arial"/>
        </w:rPr>
        <w:t>YES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DA61D3E" w14:textId="05F2F404" w:rsidR="005973C2" w:rsidRDefault="005973C2" w:rsidP="005973C2">
      <w:pPr>
        <w:jc w:val="both"/>
        <w:rPr>
          <w:rFonts w:cs="Arial"/>
        </w:rPr>
      </w:pPr>
      <w:permStart w:id="677205538" w:edGrp="everyone"/>
      <w:r>
        <w:rPr>
          <w:rFonts w:cs="Arial"/>
        </w:rPr>
        <w:t>We are in favour of an implementation as early as possible insofar the revision aims to alleviating the rules.</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FBC9168" w14:textId="77777777" w:rsidR="005973C2" w:rsidRDefault="005973C2" w:rsidP="005973C2">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10619F16" w14:textId="0F375446" w:rsidR="000406F3" w:rsidRDefault="0022197B" w:rsidP="0022197B">
      <w:pPr>
        <w:jc w:val="both"/>
        <w:rPr>
          <w:lang w:val="en-US"/>
        </w:rPr>
      </w:pPr>
      <w:permStart w:id="418122716" w:edGrp="everyone"/>
      <w:r>
        <w:rPr>
          <w:rFonts w:cs="Arial"/>
        </w:rPr>
        <w:t xml:space="preserve">As said in the introduction, we advocate for the </w:t>
      </w:r>
      <w:r>
        <w:rPr>
          <w:lang w:val="en-US"/>
        </w:rPr>
        <w:t>r</w:t>
      </w:r>
      <w:r w:rsidRPr="0022197B">
        <w:rPr>
          <w:lang w:val="en-US"/>
        </w:rPr>
        <w:t>emov</w:t>
      </w:r>
      <w:r>
        <w:rPr>
          <w:lang w:val="en-US"/>
        </w:rPr>
        <w:t>al of</w:t>
      </w:r>
      <w:r w:rsidRPr="0022197B">
        <w:rPr>
          <w:lang w:val="en-US"/>
        </w:rPr>
        <w:t xml:space="preserve"> the various</w:t>
      </w:r>
      <w:r>
        <w:rPr>
          <w:lang w:val="en-US"/>
        </w:rPr>
        <w:t xml:space="preserve"> future</w:t>
      </w:r>
      <w:r w:rsidRPr="0022197B">
        <w:rPr>
          <w:lang w:val="en-US"/>
        </w:rPr>
        <w:t xml:space="preserve"> performance scenarios</w:t>
      </w:r>
      <w:r w:rsidR="000406F3">
        <w:rPr>
          <w:lang w:val="en-US"/>
        </w:rPr>
        <w:t>:</w:t>
      </w:r>
    </w:p>
    <w:p w14:paraId="36273D88" w14:textId="77777777" w:rsidR="000406F3" w:rsidRPr="000406F3" w:rsidRDefault="000406F3" w:rsidP="000406F3">
      <w:pPr>
        <w:jc w:val="both"/>
        <w:rPr>
          <w:lang w:val="en-US"/>
        </w:rPr>
      </w:pPr>
    </w:p>
    <w:p w14:paraId="63EB0042" w14:textId="041FD298" w:rsidR="000406F3" w:rsidRPr="000406F3" w:rsidRDefault="000406F3" w:rsidP="000406F3">
      <w:pPr>
        <w:jc w:val="both"/>
        <w:rPr>
          <w:lang w:val="en-US"/>
        </w:rPr>
      </w:pPr>
      <w:r w:rsidRPr="000406F3">
        <w:rPr>
          <w:lang w:val="en-US"/>
        </w:rPr>
        <w:t>We believe that the term "</w:t>
      </w:r>
      <w:r w:rsidRPr="00146C44">
        <w:rPr>
          <w:i/>
          <w:iCs/>
          <w:lang w:val="en-US"/>
        </w:rPr>
        <w:t>performance scenarios</w:t>
      </w:r>
      <w:r w:rsidRPr="000406F3">
        <w:rPr>
          <w:lang w:val="en-US"/>
        </w:rPr>
        <w:t>" has been taken so far in a narrow sense of "</w:t>
      </w:r>
      <w:r w:rsidRPr="00146C44">
        <w:rPr>
          <w:i/>
          <w:iCs/>
          <w:lang w:val="en-US"/>
        </w:rPr>
        <w:t>what will happen in the future</w:t>
      </w:r>
      <w:r w:rsidRPr="000406F3">
        <w:rPr>
          <w:lang w:val="en-US"/>
        </w:rPr>
        <w:t>". However, after years of study and exchange on this subject, no method achieves this objective.  That's why we're proposing a different approach to the term</w:t>
      </w:r>
      <w:r w:rsidR="00146C44">
        <w:rPr>
          <w:lang w:val="en-US"/>
        </w:rPr>
        <w:t xml:space="preserve"> </w:t>
      </w:r>
      <w:r w:rsidRPr="000406F3">
        <w:rPr>
          <w:lang w:val="en-US"/>
        </w:rPr>
        <w:t>"scenarios" included as illustrations of possible returns on the recommended investment horizon and based on clear assumptions.</w:t>
      </w:r>
    </w:p>
    <w:p w14:paraId="4541E9A0" w14:textId="2246E832" w:rsidR="000406F3" w:rsidRDefault="000406F3" w:rsidP="000406F3">
      <w:pPr>
        <w:jc w:val="both"/>
        <w:rPr>
          <w:lang w:val="en-US"/>
        </w:rPr>
      </w:pPr>
      <w:r w:rsidRPr="000406F3">
        <w:rPr>
          <w:lang w:val="en-US"/>
        </w:rPr>
        <w:t xml:space="preserve">Rather than giving improbable and </w:t>
      </w:r>
      <w:r w:rsidR="00146C44">
        <w:rPr>
          <w:lang w:val="en-US"/>
        </w:rPr>
        <w:t>unclear</w:t>
      </w:r>
      <w:r w:rsidRPr="000406F3">
        <w:rPr>
          <w:lang w:val="en-US"/>
        </w:rPr>
        <w:t xml:space="preserve"> scenarios, it is proposed to act of pedagogy and explain to the investor, in a narrative and/or possibly quantified way, the behavior of the product.</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lastRenderedPageBreak/>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 xml:space="preserve">More generally, do your views about the use of a probabilistic methodology vary depending on the type of product (e.g. structured products vs non-structured products, short-term </w:t>
      </w:r>
      <w:r w:rsidRPr="00763760">
        <w:lastRenderedPageBreak/>
        <w:t>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0B5D11D6" w:rsidR="003E573C" w:rsidRDefault="008D1815" w:rsidP="008D1815">
      <w:pPr>
        <w:suppressAutoHyphens/>
        <w:jc w:val="both"/>
        <w:rPr>
          <w:rFonts w:cs="Arial"/>
        </w:rPr>
      </w:pPr>
      <w:permStart w:id="624894902" w:edGrp="everyone"/>
      <w:r>
        <w:rPr>
          <w:rFonts w:cs="Arial"/>
        </w:rPr>
        <w:t xml:space="preserve">Yes, we are in favour </w:t>
      </w:r>
      <w:proofErr w:type="gramStart"/>
      <w:r>
        <w:rPr>
          <w:rFonts w:cs="Arial"/>
        </w:rPr>
        <w:t>of  including</w:t>
      </w:r>
      <w:proofErr w:type="gramEnd"/>
      <w:r>
        <w:rPr>
          <w:rFonts w:cs="Arial"/>
        </w:rPr>
        <w:t xml:space="preserve"> information on </w:t>
      </w:r>
      <w:r w:rsidRPr="008D1815">
        <w:rPr>
          <w:rFonts w:cs="Arial"/>
        </w:rPr>
        <w:t>past performance information for products with a history. Even</w:t>
      </w:r>
      <w:r>
        <w:rPr>
          <w:rFonts w:cs="Arial"/>
        </w:rPr>
        <w:t xml:space="preserve"> though</w:t>
      </w:r>
      <w:r w:rsidRPr="008D1815">
        <w:rPr>
          <w:rFonts w:cs="Arial"/>
        </w:rPr>
        <w:t xml:space="preserve"> they do not prejudge future performance, this information is essential to enable the saver to choose a product and a provider with full knowledge of the facts</w:t>
      </w:r>
      <w:r>
        <w:rPr>
          <w:rFonts w:cs="Arial"/>
        </w:rPr>
        <w:t>.</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6D1AF445" w14:textId="77777777" w:rsidR="00683010" w:rsidRDefault="00683010" w:rsidP="003E573C">
      <w:pPr>
        <w:rPr>
          <w:rFonts w:cs="Arial"/>
        </w:rPr>
      </w:pPr>
      <w:permStart w:id="419824169" w:edGrp="everyone"/>
      <w:r>
        <w:rPr>
          <w:rFonts w:cs="Arial"/>
        </w:rPr>
        <w:t>TYPE YOUR TEXT HERE</w:t>
      </w:r>
      <w:r>
        <w:rPr>
          <w:rFonts w:cs="Arial"/>
        </w:rPr>
        <w:t xml:space="preserve"> </w:t>
      </w:r>
    </w:p>
    <w:permEnd w:id="419824169"/>
    <w:p w14:paraId="0762C28A" w14:textId="2DDF5DB7"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64B033DB" w:rsidR="003E573C" w:rsidRDefault="00344B72" w:rsidP="003E573C">
      <w:pPr>
        <w:rPr>
          <w:rFonts w:cs="Arial"/>
        </w:rPr>
      </w:pPr>
      <w:permStart w:id="503522783" w:edGrp="everyone"/>
      <w:r>
        <w:rPr>
          <w:rFonts w:cs="Arial"/>
        </w:rPr>
        <w:t>Yes</w:t>
      </w:r>
      <w:r w:rsidR="007235C8">
        <w:rPr>
          <w:rFonts w:cs="Arial"/>
        </w:rPr>
        <w:t xml:space="preserve"> (if the future performance scenarios are maintained)</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Appelnotedebasdep"/>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lastRenderedPageBreak/>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159F92E5" w:rsidR="003E573C" w:rsidRDefault="007235C8" w:rsidP="003E573C">
      <w:pPr>
        <w:rPr>
          <w:rFonts w:cs="Arial"/>
        </w:rPr>
      </w:pPr>
      <w:permStart w:id="1802452064" w:edGrp="everyone"/>
      <w:r>
        <w:rPr>
          <w:rFonts w:cs="Arial"/>
        </w:rPr>
        <w:t xml:space="preserve">Yes (see response </w:t>
      </w:r>
      <w:r w:rsidR="00DD5398">
        <w:rPr>
          <w:rFonts w:cs="Arial"/>
        </w:rPr>
        <w:t>Q3</w:t>
      </w:r>
      <w:r w:rsidR="00A76F4B">
        <w:rPr>
          <w:rFonts w:cs="Arial"/>
        </w:rPr>
        <w:t>4</w:t>
      </w:r>
      <w:r w:rsidR="00DD5398">
        <w:rPr>
          <w:rFonts w:cs="Arial"/>
        </w:rPr>
        <w:t xml:space="preserve"> below for more explanation)</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02DF3A2D" w:rsidR="003E573C" w:rsidRDefault="00DD5398" w:rsidP="00DD5398">
      <w:pPr>
        <w:jc w:val="both"/>
        <w:rPr>
          <w:rFonts w:cs="Arial"/>
        </w:rPr>
      </w:pPr>
      <w:permStart w:id="1498437863" w:edGrp="everyone"/>
      <w:r>
        <w:rPr>
          <w:rFonts w:cs="Arial"/>
        </w:rPr>
        <w:t xml:space="preserve">We prefer a display with </w:t>
      </w:r>
      <w:r w:rsidRPr="00DD5398">
        <w:rPr>
          <w:rFonts w:cs="Arial"/>
        </w:rPr>
        <w:t xml:space="preserve">two selected </w:t>
      </w:r>
      <w:proofErr w:type="gramStart"/>
      <w:r w:rsidRPr="00DD5398">
        <w:rPr>
          <w:rFonts w:cs="Arial"/>
        </w:rPr>
        <w:t xml:space="preserve">periods </w:t>
      </w:r>
      <w:r>
        <w:rPr>
          <w:rFonts w:cs="Arial"/>
        </w:rPr>
        <w:t>:</w:t>
      </w:r>
      <w:proofErr w:type="gramEnd"/>
      <w:r>
        <w:rPr>
          <w:rFonts w:cs="Arial"/>
        </w:rPr>
        <w:t xml:space="preserve"> </w:t>
      </w:r>
      <w:r w:rsidRPr="00DD5398">
        <w:rPr>
          <w:rFonts w:cs="Arial"/>
        </w:rPr>
        <w:t>1 year and recommended period</w:t>
      </w:r>
      <w:r>
        <w:rPr>
          <w:rFonts w:cs="Arial"/>
        </w:rPr>
        <w:t xml:space="preserve">. </w:t>
      </w:r>
      <w:r w:rsidRPr="00DD5398">
        <w:rPr>
          <w:rFonts w:cs="Arial"/>
        </w:rPr>
        <w:t>The</w:t>
      </w:r>
      <w:r>
        <w:rPr>
          <w:rFonts w:cs="Arial"/>
        </w:rPr>
        <w:t>refore, the</w:t>
      </w:r>
      <w:r w:rsidRPr="00DD5398">
        <w:rPr>
          <w:rFonts w:cs="Arial"/>
        </w:rPr>
        <w:t xml:space="preserve"> posted costs are no longer "distorted" with performance assumptions for a given investment period. For better readability and comparability of information, actual annual costs </w:t>
      </w:r>
      <w:r>
        <w:rPr>
          <w:rFonts w:cs="Arial"/>
        </w:rPr>
        <w:t>should be</w:t>
      </w:r>
      <w:r w:rsidRPr="00DD5398">
        <w:rPr>
          <w:rFonts w:cs="Arial"/>
        </w:rPr>
        <w:t xml:space="preserve"> displayed in a readable way by returning to the TCR (Total Cost ratio) in a single table</w:t>
      </w:r>
      <w:r>
        <w:rPr>
          <w:rFonts w:cs="Arial"/>
        </w:rPr>
        <w:t>.</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lastRenderedPageBreak/>
        <w:t>&lt;ESA_QUESTION_PKID_39&gt;</w:t>
      </w:r>
    </w:p>
    <w:p w14:paraId="3B8CFC1A" w14:textId="26EF5F0B" w:rsidR="003E573C" w:rsidRDefault="00FA5065" w:rsidP="003E573C">
      <w:pPr>
        <w:rPr>
          <w:rFonts w:cs="Arial"/>
        </w:rPr>
      </w:pPr>
      <w:permStart w:id="777852593" w:edGrp="everyone"/>
      <w:r>
        <w:rPr>
          <w:rFonts w:cs="Arial"/>
        </w:rPr>
        <w:t>No.</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307725EB" w14:textId="07BE77C4" w:rsidR="00A76F4B" w:rsidRDefault="00FA5065" w:rsidP="00A76F4B">
      <w:pPr>
        <w:suppressAutoHyphens/>
        <w:jc w:val="both"/>
        <w:rPr>
          <w:rFonts w:cs="Arial"/>
        </w:rPr>
      </w:pPr>
      <w:permStart w:id="1928422042" w:edGrp="everyone"/>
      <w:r>
        <w:rPr>
          <w:rFonts w:cs="Arial"/>
        </w:rPr>
        <w:t>We disagree with keeping a RIY approach: we are in favour of a TCR approach and we consider that i</w:t>
      </w:r>
      <w:r w:rsidRPr="00FA5065">
        <w:rPr>
          <w:rFonts w:cs="Arial"/>
        </w:rPr>
        <w:t xml:space="preserve">mplicit transaction costs - which are theoretical costs - </w:t>
      </w:r>
      <w:r>
        <w:rPr>
          <w:rFonts w:cs="Arial"/>
        </w:rPr>
        <w:t>should</w:t>
      </w:r>
      <w:r w:rsidRPr="00FA5065">
        <w:rPr>
          <w:rFonts w:cs="Arial"/>
        </w:rPr>
        <w:t xml:space="preserve"> </w:t>
      </w:r>
      <w:r>
        <w:rPr>
          <w:rFonts w:cs="Arial"/>
        </w:rPr>
        <w:t>be</w:t>
      </w:r>
      <w:r w:rsidRPr="00FA5065">
        <w:rPr>
          <w:rFonts w:cs="Arial"/>
        </w:rPr>
        <w:t xml:space="preserve"> removed</w:t>
      </w:r>
      <w:r w:rsidR="00A76F4B">
        <w:rPr>
          <w:rFonts w:cs="Arial"/>
        </w:rPr>
        <w:t>.</w:t>
      </w:r>
      <w:bookmarkStart w:id="2" w:name="_GoBack"/>
      <w:bookmarkEnd w:id="2"/>
    </w:p>
    <w:permEnd w:id="1928422042"/>
    <w:p w14:paraId="74A0C740" w14:textId="2E3E8B6A"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lastRenderedPageBreak/>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lastRenderedPageBreak/>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Notedebasdepage"/>
      </w:pPr>
      <w:r>
        <w:rPr>
          <w:rStyle w:val="Appelnotedebasdep"/>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Notedebasdepage"/>
      </w:pPr>
      <w:r>
        <w:rPr>
          <w:rStyle w:val="Appelnotedebasdep"/>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Notedebasdepage"/>
      </w:pPr>
      <w:r>
        <w:rPr>
          <w:rStyle w:val="Appelnotedebasdep"/>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En-t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En-t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En-tte"/>
      <w:rPr>
        <w:lang w:val="fr-FR"/>
      </w:rPr>
    </w:pPr>
  </w:p>
  <w:p w14:paraId="6A3CB0F8" w14:textId="77777777" w:rsidR="00811EDA" w:rsidRPr="002F4496" w:rsidRDefault="00811EDA" w:rsidP="000C06C9">
    <w:pPr>
      <w:pStyle w:val="En-tte"/>
      <w:tabs>
        <w:tab w:val="clear" w:pos="4536"/>
        <w:tab w:val="clear" w:pos="9072"/>
        <w:tab w:val="left" w:pos="8227"/>
      </w:tabs>
      <w:rPr>
        <w:lang w:val="fr-FR"/>
      </w:rPr>
    </w:pPr>
  </w:p>
  <w:p w14:paraId="6A3CB0F9" w14:textId="77777777" w:rsidR="00811EDA" w:rsidRPr="002F4496" w:rsidRDefault="00811EDA" w:rsidP="000C06C9">
    <w:pPr>
      <w:pStyle w:val="En-tte"/>
      <w:tabs>
        <w:tab w:val="clear" w:pos="4536"/>
        <w:tab w:val="clear" w:pos="9072"/>
        <w:tab w:val="left" w:pos="8227"/>
      </w:tabs>
      <w:rPr>
        <w:lang w:val="fr-FR"/>
      </w:rPr>
    </w:pPr>
  </w:p>
  <w:p w14:paraId="6A3CB0FA" w14:textId="77777777" w:rsidR="00811EDA" w:rsidRPr="002F4496" w:rsidRDefault="00811EDA">
    <w:pPr>
      <w:pStyle w:val="En-tte"/>
      <w:rPr>
        <w:lang w:val="fr-FR"/>
      </w:rPr>
    </w:pPr>
  </w:p>
  <w:p w14:paraId="6A3CB0FB" w14:textId="77777777" w:rsidR="00811EDA" w:rsidRPr="002F4496" w:rsidRDefault="00811EDA">
    <w:pPr>
      <w:pStyle w:val="En-tte"/>
      <w:rPr>
        <w:lang w:val="fr-FR"/>
      </w:rPr>
    </w:pPr>
  </w:p>
  <w:p w14:paraId="6A3CB0FC" w14:textId="77777777" w:rsidR="00811EDA" w:rsidRPr="002F4496" w:rsidRDefault="00811EDA">
    <w:pPr>
      <w:pStyle w:val="En-tte"/>
      <w:rPr>
        <w:lang w:val="fr-FR"/>
      </w:rPr>
    </w:pPr>
  </w:p>
  <w:p w14:paraId="6A3CB0FD" w14:textId="77777777" w:rsidR="00811EDA" w:rsidRPr="002F4496" w:rsidRDefault="00811EDA">
    <w:pPr>
      <w:pStyle w:val="En-tte"/>
      <w:rPr>
        <w:lang w:val="fr-FR"/>
      </w:rPr>
    </w:pPr>
  </w:p>
  <w:p w14:paraId="6A3CB0FE" w14:textId="77777777" w:rsidR="00811EDA" w:rsidRPr="002F4496" w:rsidRDefault="00811EDA">
    <w:pPr>
      <w:pStyle w:val="En-tte"/>
      <w:rPr>
        <w:highlight w:val="yellow"/>
        <w:lang w:val="fr-FR"/>
      </w:rPr>
    </w:pPr>
  </w:p>
  <w:p w14:paraId="6A3CB0FF" w14:textId="05D5FF53"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06F3"/>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6C44"/>
    <w:rsid w:val="0014761E"/>
    <w:rsid w:val="00151907"/>
    <w:rsid w:val="001544C8"/>
    <w:rsid w:val="00155FAB"/>
    <w:rsid w:val="001567A1"/>
    <w:rsid w:val="00156857"/>
    <w:rsid w:val="0015781B"/>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197B"/>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4B72"/>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973C2"/>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212"/>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47C6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010"/>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5C8"/>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498F"/>
    <w:rsid w:val="008352A6"/>
    <w:rsid w:val="00835B01"/>
    <w:rsid w:val="00835B5B"/>
    <w:rsid w:val="008367AE"/>
    <w:rsid w:val="00836E50"/>
    <w:rsid w:val="00840477"/>
    <w:rsid w:val="0084121D"/>
    <w:rsid w:val="008419C1"/>
    <w:rsid w:val="00844515"/>
    <w:rsid w:val="0084465A"/>
    <w:rsid w:val="00844CDB"/>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1815"/>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6F4B"/>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1E22"/>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5DD7"/>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398"/>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065"/>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64063D55-81B2-41E5-8D62-AE9D70095E4B}">
  <ds:schemaRefs>
    <ds:schemaRef ds:uri="http://schemas.openxmlformats.org/officeDocument/2006/bibliography"/>
  </ds:schemaRefs>
</ds:datastoreItem>
</file>

<file path=customXml/itemProps6.xml><?xml version="1.0" encoding="utf-8"?>
<ds:datastoreItem xmlns:ds="http://schemas.openxmlformats.org/officeDocument/2006/customXml" ds:itemID="{A4A204A3-E22A-4AF4-9214-52BF4308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3139</Words>
  <Characters>17887</Characters>
  <Application>Microsoft Office Word</Application>
  <DocSecurity>8</DocSecurity>
  <Lines>149</Lines>
  <Paragraphs>41</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20985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Alexia DALENÇON</cp:lastModifiedBy>
  <cp:revision>5</cp:revision>
  <cp:lastPrinted>2015-02-18T11:01:00Z</cp:lastPrinted>
  <dcterms:created xsi:type="dcterms:W3CDTF">2019-11-29T14:42:00Z</dcterms:created>
  <dcterms:modified xsi:type="dcterms:W3CDTF">2019-11-29T14:50:00Z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