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2"/>
          <w:headerReference w:type="default" r:id="rId13"/>
          <w:footerReference w:type="even" r:id="rId14"/>
          <w:footerReference w:type="default" r:id="rId15"/>
          <w:headerReference w:type="first" r:id="rId16"/>
          <w:footerReference w:type="first" r:id="rId17"/>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Enfasidelicata"/>
          <w:b w:val="0"/>
          <w:sz w:val="22"/>
        </w:rPr>
      </w:pPr>
      <w:r w:rsidRPr="00197794">
        <w:rPr>
          <w:rStyle w:val="Enfasidelicata"/>
          <w:b w:val="0"/>
          <w:sz w:val="22"/>
        </w:rPr>
        <w:t>The European Supervisory Authorities (ESAs) welcome comments on this consultation paper setting out proposed amendments to Commission Delegated Regulation (EU) 2017/653 of 8 March 2017</w:t>
      </w:r>
      <w:r w:rsidRPr="00197794">
        <w:rPr>
          <w:rStyle w:val="Enfasidelicata"/>
          <w:b w:val="0"/>
          <w:sz w:val="22"/>
        </w:rPr>
        <w:footnoteReference w:id="2"/>
      </w:r>
      <w:r w:rsidRPr="00197794">
        <w:rPr>
          <w:rStyle w:val="Enfasidelicata"/>
          <w:b w:val="0"/>
          <w:sz w:val="22"/>
        </w:rPr>
        <w:t xml:space="preserve"> (hereinafter “PRIIPs Delegated Regulation”).</w:t>
      </w:r>
    </w:p>
    <w:p w14:paraId="10C2617A" w14:textId="77777777" w:rsidR="00197794" w:rsidRPr="00197794" w:rsidRDefault="00197794" w:rsidP="00197794">
      <w:pPr>
        <w:jc w:val="both"/>
        <w:rPr>
          <w:rStyle w:val="Enfasidelicata"/>
          <w:b w:val="0"/>
          <w:sz w:val="22"/>
        </w:rPr>
      </w:pPr>
    </w:p>
    <w:p w14:paraId="0C223EDE" w14:textId="77777777" w:rsidR="00197794" w:rsidRPr="00197794" w:rsidRDefault="00197794" w:rsidP="00197794">
      <w:pPr>
        <w:jc w:val="both"/>
        <w:rPr>
          <w:rStyle w:val="Enfasidelicata"/>
          <w:b w:val="0"/>
          <w:sz w:val="22"/>
        </w:rPr>
      </w:pPr>
      <w:r w:rsidRPr="00197794">
        <w:rPr>
          <w:rStyle w:val="Enfasidelicata"/>
          <w:b w:val="0"/>
          <w:sz w:val="22"/>
        </w:rPr>
        <w:t xml:space="preserve">The consultation package includes: </w:t>
      </w:r>
    </w:p>
    <w:p w14:paraId="18D2914F" w14:textId="1F1755EE" w:rsidR="00197794" w:rsidRDefault="00197794" w:rsidP="00197794">
      <w:pPr>
        <w:jc w:val="both"/>
        <w:rPr>
          <w:rStyle w:val="Enfasidelicata"/>
          <w:b w:val="0"/>
          <w:sz w:val="22"/>
        </w:rPr>
      </w:pPr>
      <w:r w:rsidRPr="00197794">
        <w:rPr>
          <w:rStyle w:val="Enfasidelicata"/>
          <w:b w:val="0"/>
          <w:sz w:val="22"/>
        </w:rPr>
        <w:t>•</w:t>
      </w:r>
      <w:r w:rsidRPr="00197794">
        <w:rPr>
          <w:rStyle w:val="Enfasidelicata"/>
          <w:b w:val="0"/>
          <w:sz w:val="22"/>
        </w:rPr>
        <w:tab/>
        <w:t>The consultation paper</w:t>
      </w:r>
    </w:p>
    <w:p w14:paraId="10BDD12A" w14:textId="706C2321" w:rsidR="00197794" w:rsidRDefault="00197794" w:rsidP="00197794">
      <w:pPr>
        <w:jc w:val="both"/>
        <w:rPr>
          <w:rStyle w:val="Enfasidelicata"/>
          <w:b w:val="0"/>
          <w:sz w:val="22"/>
        </w:rPr>
      </w:pPr>
      <w:r w:rsidRPr="00197794">
        <w:rPr>
          <w:rStyle w:val="Enfasidelicata"/>
          <w:b w:val="0"/>
          <w:sz w:val="22"/>
        </w:rPr>
        <w:t>•</w:t>
      </w:r>
      <w:r w:rsidRPr="00197794">
        <w:rPr>
          <w:rStyle w:val="Enfasidelicata"/>
          <w:b w:val="0"/>
          <w:sz w:val="22"/>
        </w:rPr>
        <w:tab/>
      </w:r>
      <w:r>
        <w:rPr>
          <w:rStyle w:val="Enfasidelicata"/>
          <w:b w:val="0"/>
          <w:sz w:val="22"/>
        </w:rPr>
        <w:t>Template for comments</w:t>
      </w:r>
    </w:p>
    <w:p w14:paraId="52DEC790" w14:textId="77777777" w:rsidR="00197794" w:rsidRDefault="00197794" w:rsidP="00197794">
      <w:pPr>
        <w:jc w:val="both"/>
        <w:rPr>
          <w:rStyle w:val="Enfasidelicata"/>
          <w:b w:val="0"/>
          <w:sz w:val="22"/>
        </w:rPr>
      </w:pPr>
    </w:p>
    <w:p w14:paraId="0582E623" w14:textId="7F8CAD3C" w:rsidR="00197794" w:rsidRPr="00197794" w:rsidRDefault="00197794" w:rsidP="00197794">
      <w:pPr>
        <w:jc w:val="both"/>
        <w:rPr>
          <w:rStyle w:val="Enfasidelicata"/>
          <w:b w:val="0"/>
          <w:sz w:val="22"/>
        </w:rPr>
      </w:pPr>
      <w:r w:rsidRPr="00197794">
        <w:rPr>
          <w:rStyle w:val="Enfasidelicata"/>
          <w:b w:val="0"/>
          <w:sz w:val="22"/>
        </w:rPr>
        <w:t>The ESAs invite comments on any aspect of this paper. Comments are most helpful if they:</w:t>
      </w:r>
    </w:p>
    <w:p w14:paraId="09C3854A" w14:textId="77777777" w:rsidR="00197794" w:rsidRPr="00197794" w:rsidRDefault="00197794" w:rsidP="00197794">
      <w:pPr>
        <w:jc w:val="both"/>
        <w:rPr>
          <w:rStyle w:val="Enfasidelicata"/>
          <w:b w:val="0"/>
          <w:sz w:val="22"/>
        </w:rPr>
      </w:pPr>
      <w:r w:rsidRPr="00197794">
        <w:rPr>
          <w:rStyle w:val="Enfasidelicata"/>
          <w:b w:val="0"/>
          <w:sz w:val="22"/>
        </w:rPr>
        <w:t>•</w:t>
      </w:r>
      <w:r w:rsidRPr="00197794">
        <w:rPr>
          <w:rStyle w:val="Enfasidelicata"/>
          <w:b w:val="0"/>
          <w:sz w:val="22"/>
        </w:rPr>
        <w:tab/>
        <w:t>contain a clear rationale; and</w:t>
      </w:r>
    </w:p>
    <w:p w14:paraId="2CDD20AE" w14:textId="77777777" w:rsidR="00197794" w:rsidRPr="00197794" w:rsidRDefault="00197794" w:rsidP="00197794">
      <w:pPr>
        <w:jc w:val="both"/>
        <w:rPr>
          <w:rStyle w:val="Enfasidelicata"/>
          <w:b w:val="0"/>
          <w:sz w:val="22"/>
        </w:rPr>
      </w:pPr>
      <w:r w:rsidRPr="00197794">
        <w:rPr>
          <w:rStyle w:val="Enfasidelicata"/>
          <w:b w:val="0"/>
          <w:sz w:val="22"/>
        </w:rPr>
        <w:t>•</w:t>
      </w:r>
      <w:r w:rsidRPr="00197794">
        <w:rPr>
          <w:rStyle w:val="Enfasidelicata"/>
          <w:b w:val="0"/>
          <w:sz w:val="22"/>
        </w:rPr>
        <w:tab/>
        <w:t>describe any alternatives the ESAs should consider.</w:t>
      </w:r>
    </w:p>
    <w:p w14:paraId="6D344FFC" w14:textId="77777777" w:rsidR="00197794" w:rsidRDefault="00197794" w:rsidP="00197794">
      <w:pPr>
        <w:jc w:val="both"/>
        <w:rPr>
          <w:rStyle w:val="Enfasidelicata"/>
          <w:b w:val="0"/>
          <w:sz w:val="22"/>
        </w:rPr>
      </w:pPr>
    </w:p>
    <w:p w14:paraId="17CD5259" w14:textId="6C7A8583" w:rsidR="00197794" w:rsidRPr="00197794" w:rsidRDefault="00197794" w:rsidP="00197794">
      <w:pPr>
        <w:spacing w:after="240"/>
        <w:jc w:val="both"/>
        <w:rPr>
          <w:rStyle w:val="Enfasidelicata"/>
          <w:b w:val="0"/>
          <w:sz w:val="22"/>
        </w:rPr>
      </w:pPr>
      <w:r w:rsidRPr="00197794">
        <w:rPr>
          <w:rStyle w:val="Enfasidelicata"/>
          <w:b w:val="0"/>
          <w:sz w:val="22"/>
        </w:rPr>
        <w:t xml:space="preserve">When describing alternative approaches the ESAs encourage stakeholders to consider how </w:t>
      </w:r>
      <w:r w:rsidR="004B1D0D">
        <w:rPr>
          <w:rStyle w:val="Enfasidelicata"/>
          <w:b w:val="0"/>
          <w:sz w:val="22"/>
        </w:rPr>
        <w:t xml:space="preserve">the </w:t>
      </w:r>
      <w:r w:rsidRPr="00197794">
        <w:rPr>
          <w:rStyle w:val="Enfasidelicata"/>
          <w:b w:val="0"/>
          <w:sz w:val="22"/>
        </w:rPr>
        <w:t>approach would achieve the aims of Regulation (EU) No 1286/2014</w:t>
      </w:r>
      <w:r w:rsidRPr="00197794">
        <w:rPr>
          <w:rStyle w:val="Enfasidelicata"/>
          <w:b w:val="0"/>
          <w:sz w:val="22"/>
        </w:rPr>
        <w:footnoteReference w:id="3"/>
      </w:r>
      <w:r w:rsidRPr="00197794">
        <w:rPr>
          <w:rStyle w:val="Enfasidelicata"/>
          <w:b w:val="0"/>
          <w:sz w:val="22"/>
        </w:rPr>
        <w:t xml:space="preserve"> (hereinafter “PRIIPs Regulation”). </w:t>
      </w:r>
    </w:p>
    <w:p w14:paraId="62803BA4" w14:textId="77777777" w:rsidR="00EC1154" w:rsidRDefault="00EC1154" w:rsidP="00AF38AF">
      <w:pPr>
        <w:rPr>
          <w:rStyle w:val="Enfasidelicata"/>
          <w:b w:val="0"/>
          <w:sz w:val="22"/>
        </w:rPr>
      </w:pPr>
    </w:p>
    <w:p w14:paraId="6A3CB03F" w14:textId="77777777" w:rsidR="009A3017" w:rsidRPr="00E40A5C" w:rsidRDefault="009A3017" w:rsidP="009A3017">
      <w:pPr>
        <w:spacing w:after="120"/>
        <w:jc w:val="both"/>
        <w:rPr>
          <w:rStyle w:val="Enfasidelicata"/>
          <w:sz w:val="22"/>
        </w:rPr>
      </w:pPr>
      <w:r w:rsidRPr="00E40A5C">
        <w:rPr>
          <w:rStyle w:val="Enfasidelicata"/>
          <w:sz w:val="22"/>
        </w:rPr>
        <w:t>Instructions</w:t>
      </w:r>
    </w:p>
    <w:p w14:paraId="6A3CB040" w14:textId="77777777" w:rsidR="009A3017" w:rsidRPr="00E40A5C" w:rsidRDefault="009A3017" w:rsidP="009A3017">
      <w:pPr>
        <w:spacing w:after="240"/>
        <w:jc w:val="both"/>
        <w:rPr>
          <w:rStyle w:val="Enfasidelicata"/>
          <w:b w:val="0"/>
          <w:sz w:val="22"/>
        </w:rPr>
      </w:pPr>
      <w:r w:rsidRPr="00E40A5C">
        <w:rPr>
          <w:rStyle w:val="Enfasidelicata"/>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Paragrafoelenco"/>
        <w:numPr>
          <w:ilvl w:val="0"/>
          <w:numId w:val="37"/>
        </w:numPr>
        <w:spacing w:after="240" w:line="276" w:lineRule="auto"/>
        <w:ind w:left="567" w:hanging="567"/>
        <w:contextualSpacing w:val="0"/>
        <w:jc w:val="both"/>
        <w:rPr>
          <w:rStyle w:val="Enfasidelicata"/>
          <w:b w:val="0"/>
          <w:sz w:val="22"/>
        </w:rPr>
      </w:pPr>
      <w:r w:rsidRPr="00E40A5C">
        <w:rPr>
          <w:rStyle w:val="Enfasidelicata"/>
          <w:b w:val="0"/>
          <w:sz w:val="22"/>
        </w:rPr>
        <w:t xml:space="preserve">Insert your responses to the questions in the Consultation Paper in </w:t>
      </w:r>
      <w:r w:rsidR="00963D60">
        <w:rPr>
          <w:rStyle w:val="Enfasidelicata"/>
          <w:b w:val="0"/>
          <w:sz w:val="22"/>
        </w:rPr>
        <w:t>the present</w:t>
      </w:r>
      <w:r w:rsidR="00963D60" w:rsidRPr="00E40A5C">
        <w:rPr>
          <w:rStyle w:val="Enfasidelicata"/>
          <w:b w:val="0"/>
          <w:sz w:val="22"/>
        </w:rPr>
        <w:t xml:space="preserve"> </w:t>
      </w:r>
      <w:r w:rsidR="00315895">
        <w:rPr>
          <w:rStyle w:val="Enfasidelicata"/>
          <w:b w:val="0"/>
          <w:sz w:val="22"/>
        </w:rPr>
        <w:t xml:space="preserve">response </w:t>
      </w:r>
      <w:r w:rsidRPr="00E40A5C">
        <w:rPr>
          <w:rStyle w:val="Enfasidelicata"/>
          <w:b w:val="0"/>
          <w:sz w:val="22"/>
        </w:rPr>
        <w:t>form</w:t>
      </w:r>
      <w:r w:rsidR="00963D60">
        <w:rPr>
          <w:rStyle w:val="Enfasidelicata"/>
          <w:b w:val="0"/>
          <w:sz w:val="22"/>
        </w:rPr>
        <w:t>.</w:t>
      </w:r>
      <w:r w:rsidRPr="00E40A5C">
        <w:rPr>
          <w:rStyle w:val="Enfasidelicata"/>
          <w:b w:val="0"/>
          <w:sz w:val="22"/>
        </w:rPr>
        <w:t xml:space="preserve"> </w:t>
      </w:r>
    </w:p>
    <w:p w14:paraId="6A3CB042" w14:textId="71534174" w:rsidR="009A3017" w:rsidRPr="00E40A5C" w:rsidRDefault="009A3017" w:rsidP="00967674">
      <w:pPr>
        <w:pStyle w:val="Paragrafoelenco"/>
        <w:numPr>
          <w:ilvl w:val="0"/>
          <w:numId w:val="37"/>
        </w:numPr>
        <w:spacing w:after="240" w:line="276" w:lineRule="auto"/>
        <w:ind w:left="567" w:hanging="567"/>
        <w:contextualSpacing w:val="0"/>
        <w:jc w:val="both"/>
        <w:rPr>
          <w:rStyle w:val="Enfasidelicata"/>
          <w:b w:val="0"/>
          <w:sz w:val="22"/>
        </w:rPr>
      </w:pPr>
      <w:r w:rsidRPr="00E40A5C">
        <w:rPr>
          <w:rStyle w:val="Enfasidelicata"/>
          <w:b w:val="0"/>
          <w:sz w:val="22"/>
        </w:rPr>
        <w:t>Please do not remove tags of the type &lt;ESA_QUESTION_</w:t>
      </w:r>
      <w:r w:rsidR="00197794">
        <w:rPr>
          <w:rStyle w:val="Enfasidelicata"/>
          <w:b w:val="0"/>
          <w:sz w:val="22"/>
        </w:rPr>
        <w:t>PKID</w:t>
      </w:r>
      <w:r w:rsidRPr="00E40A5C">
        <w:rPr>
          <w:rStyle w:val="Enfasidelicata"/>
          <w:b w:val="0"/>
          <w:sz w:val="22"/>
        </w:rPr>
        <w:t>_1&gt;. Your response to each question has to be framed by the two tags corresponding to the question.</w:t>
      </w:r>
    </w:p>
    <w:p w14:paraId="6A3CB043" w14:textId="77777777" w:rsidR="009A3017" w:rsidRPr="00E40A5C" w:rsidRDefault="009A3017" w:rsidP="00967674">
      <w:pPr>
        <w:pStyle w:val="Paragrafoelenco"/>
        <w:numPr>
          <w:ilvl w:val="0"/>
          <w:numId w:val="37"/>
        </w:numPr>
        <w:spacing w:after="240" w:line="276" w:lineRule="auto"/>
        <w:ind w:left="567" w:hanging="567"/>
        <w:contextualSpacing w:val="0"/>
        <w:jc w:val="both"/>
        <w:rPr>
          <w:rStyle w:val="Enfasidelicata"/>
          <w:b w:val="0"/>
          <w:sz w:val="22"/>
        </w:rPr>
      </w:pPr>
      <w:r w:rsidRPr="00E40A5C">
        <w:rPr>
          <w:rStyle w:val="Enfasidelicata"/>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Paragrafoelenco"/>
        <w:numPr>
          <w:ilvl w:val="0"/>
          <w:numId w:val="37"/>
        </w:numPr>
        <w:spacing w:after="240" w:line="276" w:lineRule="auto"/>
        <w:ind w:left="567" w:hanging="567"/>
        <w:contextualSpacing w:val="0"/>
        <w:jc w:val="both"/>
        <w:rPr>
          <w:rStyle w:val="Enfasidelicata"/>
          <w:b w:val="0"/>
          <w:sz w:val="22"/>
        </w:rPr>
      </w:pPr>
      <w:r w:rsidRPr="00E40A5C">
        <w:rPr>
          <w:rStyle w:val="Enfasidelicata"/>
          <w:b w:val="0"/>
          <w:sz w:val="22"/>
        </w:rPr>
        <w:t>When you have drafted your response, name your response form according to the following convention: ESA_</w:t>
      </w:r>
      <w:r w:rsidR="00197794">
        <w:rPr>
          <w:rStyle w:val="Enfasidelicata"/>
          <w:b w:val="0"/>
          <w:sz w:val="22"/>
        </w:rPr>
        <w:t>PKID</w:t>
      </w:r>
      <w:r w:rsidRPr="00E40A5C">
        <w:rPr>
          <w:rStyle w:val="Enfasidelicata"/>
          <w:b w:val="0"/>
          <w:sz w:val="22"/>
        </w:rPr>
        <w:t>_nameofrespondent_RESPONSEFORM. For example, for a respondent named ABCD, the response form would be entitled ESA_</w:t>
      </w:r>
      <w:r w:rsidR="00197794">
        <w:rPr>
          <w:rStyle w:val="Enfasidelicata"/>
          <w:b w:val="0"/>
          <w:sz w:val="22"/>
        </w:rPr>
        <w:t>PKID</w:t>
      </w:r>
      <w:r w:rsidRPr="00E40A5C">
        <w:rPr>
          <w:rStyle w:val="Enfasidelicata"/>
          <w:b w:val="0"/>
          <w:sz w:val="22"/>
        </w:rPr>
        <w:t>_ABCD_RESPONSEFORM.</w:t>
      </w:r>
    </w:p>
    <w:p w14:paraId="180C2205" w14:textId="7763E035" w:rsidR="00197794" w:rsidRPr="00197794" w:rsidRDefault="00197794" w:rsidP="00197794">
      <w:pPr>
        <w:pStyle w:val="Paragrafoelenco"/>
        <w:numPr>
          <w:ilvl w:val="0"/>
          <w:numId w:val="37"/>
        </w:numPr>
        <w:spacing w:after="240" w:line="276" w:lineRule="auto"/>
        <w:ind w:left="567" w:hanging="567"/>
        <w:contextualSpacing w:val="0"/>
        <w:jc w:val="both"/>
        <w:rPr>
          <w:rStyle w:val="Enfasidelicata"/>
          <w:b w:val="0"/>
          <w:sz w:val="22"/>
        </w:rPr>
      </w:pPr>
      <w:r w:rsidRPr="00197794">
        <w:rPr>
          <w:rStyle w:val="Enfasidelicata"/>
          <w:b w:val="0"/>
          <w:sz w:val="22"/>
        </w:rPr>
        <w:lastRenderedPageBreak/>
        <w:t>The consultation paper is available on the websites of the three ESAs</w:t>
      </w:r>
      <w:r w:rsidR="00764042">
        <w:rPr>
          <w:rStyle w:val="Enfasidelicata"/>
          <w:b w:val="0"/>
          <w:sz w:val="22"/>
        </w:rPr>
        <w:t xml:space="preserve"> and the Joint Committee</w:t>
      </w:r>
      <w:r w:rsidRPr="00197794">
        <w:rPr>
          <w:rStyle w:val="Enfasidelicata"/>
          <w:b w:val="0"/>
          <w:sz w:val="22"/>
        </w:rPr>
        <w:t xml:space="preserve">. Comments on this consultation paper can be sent using the response form, via the </w:t>
      </w:r>
      <w:hyperlink r:id="rId18" w:history="1">
        <w:r w:rsidRPr="00197794">
          <w:rPr>
            <w:rStyle w:val="Collegamentoipertestuale"/>
            <w:rFonts w:cs="Arial"/>
            <w:sz w:val="22"/>
          </w:rPr>
          <w:t>ESMA website</w:t>
        </w:r>
      </w:hyperlink>
      <w:r w:rsidRPr="00197794">
        <w:rPr>
          <w:rStyle w:val="Enfasidelicata"/>
          <w:b w:val="0"/>
          <w:sz w:val="24"/>
        </w:rPr>
        <w:t xml:space="preserve"> </w:t>
      </w:r>
      <w:r w:rsidRPr="00197794">
        <w:rPr>
          <w:rStyle w:val="Enfasidelicata"/>
          <w:b w:val="0"/>
          <w:sz w:val="22"/>
        </w:rPr>
        <w:t xml:space="preserve">under the heading ‘Your input - Consultations’ by </w:t>
      </w:r>
      <w:r w:rsidRPr="00197794">
        <w:rPr>
          <w:rStyle w:val="Enfasidelicata"/>
          <w:sz w:val="22"/>
        </w:rPr>
        <w:t>13 January 2020</w:t>
      </w:r>
      <w:r w:rsidRPr="00197794">
        <w:rPr>
          <w:rStyle w:val="Enfasidelicata"/>
          <w:b w:val="0"/>
          <w:sz w:val="22"/>
        </w:rPr>
        <w:t>.</w:t>
      </w:r>
    </w:p>
    <w:p w14:paraId="2481E1E6" w14:textId="67CDDA3F" w:rsidR="00197794" w:rsidRDefault="00197794" w:rsidP="00197794">
      <w:pPr>
        <w:pStyle w:val="Paragrafoelenco"/>
        <w:numPr>
          <w:ilvl w:val="0"/>
          <w:numId w:val="37"/>
        </w:numPr>
        <w:spacing w:after="240" w:line="276" w:lineRule="auto"/>
        <w:ind w:left="567" w:hanging="567"/>
        <w:contextualSpacing w:val="0"/>
        <w:jc w:val="both"/>
        <w:rPr>
          <w:rStyle w:val="Enfasidelicata"/>
          <w:b w:val="0"/>
          <w:sz w:val="22"/>
        </w:rPr>
      </w:pPr>
      <w:r w:rsidRPr="00197794">
        <w:rPr>
          <w:rStyle w:val="Enfasidelicata"/>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Enfasidelicata"/>
          <w:b w:val="0"/>
          <w:sz w:val="22"/>
        </w:rPr>
      </w:pPr>
    </w:p>
    <w:p w14:paraId="6A3CB046" w14:textId="77777777" w:rsidR="00210E59" w:rsidRPr="00210E59" w:rsidRDefault="00210E59" w:rsidP="00210E59">
      <w:pPr>
        <w:spacing w:after="120"/>
        <w:jc w:val="both"/>
        <w:rPr>
          <w:rStyle w:val="Enfasidelicata"/>
          <w:sz w:val="22"/>
        </w:rPr>
      </w:pPr>
      <w:r w:rsidRPr="00210E59">
        <w:rPr>
          <w:rStyle w:val="Enfasidelicata"/>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Enfasidelicata"/>
          <w:sz w:val="22"/>
          <w:lang w:eastAsia="en-GB"/>
        </w:rPr>
      </w:pPr>
    </w:p>
    <w:p w14:paraId="3561D6A6" w14:textId="77777777" w:rsidR="00197794" w:rsidRDefault="00197794" w:rsidP="004E6AE4">
      <w:pPr>
        <w:rPr>
          <w:rStyle w:val="Enfasidelicata"/>
          <w:sz w:val="22"/>
          <w:lang w:eastAsia="en-GB"/>
        </w:rPr>
      </w:pPr>
    </w:p>
    <w:p w14:paraId="6A3CB048" w14:textId="1D432EA9" w:rsidR="009A3017" w:rsidRPr="00E40A5C" w:rsidRDefault="009A3017" w:rsidP="004E6AE4">
      <w:pPr>
        <w:rPr>
          <w:rStyle w:val="Enfasidelicata"/>
          <w:sz w:val="22"/>
          <w:lang w:eastAsia="en-GB"/>
        </w:rPr>
      </w:pPr>
      <w:r w:rsidRPr="00E40A5C">
        <w:rPr>
          <w:rStyle w:val="Enfasidelicata"/>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Rimandonotaapidipagina"/>
          <w:rFonts w:cs="Arial"/>
          <w:sz w:val="22"/>
        </w:rPr>
        <w:footnoteReference w:id="4"/>
      </w:r>
      <w:r w:rsidRPr="00197794">
        <w:rPr>
          <w:rFonts w:cs="Arial"/>
          <w:sz w:val="22"/>
        </w:rPr>
        <w:t xml:space="preserve">. Further information on data protection can be found under the </w:t>
      </w:r>
      <w:hyperlink r:id="rId19" w:history="1">
        <w:r w:rsidRPr="00197794">
          <w:rPr>
            <w:rStyle w:val="Collegamentoipertestuale"/>
            <w:rFonts w:cs="Arial"/>
            <w:sz w:val="22"/>
          </w:rPr>
          <w:t>Legal notice</w:t>
        </w:r>
      </w:hyperlink>
      <w:r w:rsidRPr="00197794">
        <w:rPr>
          <w:rFonts w:cs="Arial"/>
          <w:sz w:val="22"/>
        </w:rPr>
        <w:t xml:space="preserve"> section of the EBA website and under the </w:t>
      </w:r>
      <w:hyperlink r:id="rId20" w:history="1">
        <w:r w:rsidRPr="00197794">
          <w:rPr>
            <w:rStyle w:val="Collegamentoipertestuale"/>
            <w:rFonts w:cs="Arial"/>
            <w:sz w:val="22"/>
          </w:rPr>
          <w:t>Legal notice</w:t>
        </w:r>
      </w:hyperlink>
      <w:r w:rsidRPr="00197794">
        <w:rPr>
          <w:rFonts w:cs="Arial"/>
          <w:sz w:val="22"/>
        </w:rPr>
        <w:t xml:space="preserve"> section of the EIOPA website and under the </w:t>
      </w:r>
      <w:hyperlink r:id="rId21" w:history="1">
        <w:r w:rsidRPr="00197794">
          <w:rPr>
            <w:rStyle w:val="Collegamentoipertestuale"/>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Enfasidelicata"/>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Titolo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136AD">
        <w:tc>
          <w:tcPr>
            <w:tcW w:w="3929" w:type="dxa"/>
            <w:shd w:val="clear" w:color="auto" w:fill="auto"/>
          </w:tcPr>
          <w:p w14:paraId="6A3CB050" w14:textId="77777777" w:rsidR="00B327E9" w:rsidRPr="00E40A5C" w:rsidRDefault="00B327E9" w:rsidP="00F136AD">
            <w:pPr>
              <w:rPr>
                <w:rFonts w:cs="Arial"/>
                <w:sz w:val="22"/>
              </w:rPr>
            </w:pPr>
            <w:permStart w:id="233722365" w:edGrp="everyone" w:colFirst="1" w:colLast="1"/>
            <w:r w:rsidRPr="00E40A5C">
              <w:rPr>
                <w:rFonts w:cs="Arial"/>
                <w:sz w:val="22"/>
              </w:rPr>
              <w:t>Name of the company / organisation</w:t>
            </w:r>
          </w:p>
        </w:tc>
        <w:sdt>
          <w:sdtPr>
            <w:rPr>
              <w:rStyle w:val="Testosegnaposto"/>
              <w:rFonts w:cs="Arial"/>
            </w:rPr>
            <w:id w:val="-1905066999"/>
            <w:text/>
          </w:sdtPr>
          <w:sdtEndPr>
            <w:rPr>
              <w:rStyle w:val="Testosegnaposto"/>
            </w:rPr>
          </w:sdtEndPr>
          <w:sdtContent>
            <w:tc>
              <w:tcPr>
                <w:tcW w:w="5595" w:type="dxa"/>
                <w:shd w:val="clear" w:color="auto" w:fill="auto"/>
              </w:tcPr>
              <w:p w14:paraId="6A3CB051" w14:textId="3D287349" w:rsidR="00B327E9" w:rsidRPr="00AB6D88" w:rsidRDefault="007D4CEE" w:rsidP="00F136AD">
                <w:pPr>
                  <w:rPr>
                    <w:rStyle w:val="Testosegnaposto"/>
                    <w:rFonts w:cs="Arial"/>
                  </w:rPr>
                </w:pPr>
                <w:r>
                  <w:rPr>
                    <w:rStyle w:val="Testosegnaposto"/>
                    <w:rFonts w:cs="Arial"/>
                  </w:rPr>
                  <w:t>ASSOGESTIONI</w:t>
                </w:r>
              </w:p>
            </w:tc>
          </w:sdtContent>
        </w:sdt>
      </w:tr>
      <w:tr w:rsidR="00B327E9" w:rsidRPr="00AB6D88" w14:paraId="6A3CB055" w14:textId="77777777" w:rsidTr="00F136AD">
        <w:tc>
          <w:tcPr>
            <w:tcW w:w="3929" w:type="dxa"/>
            <w:shd w:val="clear" w:color="auto" w:fill="auto"/>
          </w:tcPr>
          <w:p w14:paraId="6A3CB053" w14:textId="77777777" w:rsidR="00B327E9" w:rsidRPr="00E40A5C" w:rsidRDefault="00B327E9" w:rsidP="00F136AD">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453721C3" w:rsidR="00B327E9" w:rsidRPr="00AB6D88" w:rsidRDefault="00DA3AA0"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E47785">
                  <w:rPr>
                    <w:rFonts w:cs="Arial"/>
                  </w:rPr>
                  <w:t>Investment Services</w:t>
                </w:r>
              </w:sdtContent>
            </w:sdt>
          </w:p>
        </w:tc>
      </w:tr>
      <w:tr w:rsidR="00B327E9" w:rsidRPr="00AB6D88" w14:paraId="6A3CB058" w14:textId="77777777" w:rsidTr="00F136AD">
        <w:tc>
          <w:tcPr>
            <w:tcW w:w="3929" w:type="dxa"/>
            <w:shd w:val="clear" w:color="auto" w:fill="auto"/>
          </w:tcPr>
          <w:p w14:paraId="6A3CB056" w14:textId="77777777" w:rsidR="00B327E9" w:rsidRPr="00E40A5C" w:rsidRDefault="00B327E9" w:rsidP="00F136AD">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1F4F66B5" w:rsidR="00B327E9" w:rsidRPr="00AB6D88" w:rsidRDefault="00E47785" w:rsidP="00F136AD">
                <w:pPr>
                  <w:rPr>
                    <w:rFonts w:cs="Arial"/>
                  </w:rPr>
                </w:pPr>
                <w:r>
                  <w:rPr>
                    <w:rFonts w:ascii="MS Gothic" w:eastAsia="MS Gothic" w:hAnsi="MS Gothic" w:cs="Arial" w:hint="eastAsia"/>
                  </w:rPr>
                  <w:t>☒</w:t>
                </w:r>
              </w:p>
            </w:tc>
          </w:sdtContent>
        </w:sdt>
      </w:tr>
      <w:tr w:rsidR="00B327E9" w:rsidRPr="00AB6D88" w14:paraId="6A3CB05B" w14:textId="77777777" w:rsidTr="00F136AD">
        <w:tc>
          <w:tcPr>
            <w:tcW w:w="3929" w:type="dxa"/>
            <w:shd w:val="clear" w:color="auto" w:fill="auto"/>
          </w:tcPr>
          <w:p w14:paraId="6A3CB059" w14:textId="77777777" w:rsidR="00B327E9" w:rsidRPr="00E40A5C" w:rsidRDefault="00B327E9" w:rsidP="00F136AD">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5715CD38" w:rsidR="00B327E9" w:rsidRPr="00AB6D88" w:rsidRDefault="00E47785" w:rsidP="00F136AD">
                <w:pPr>
                  <w:rPr>
                    <w:rFonts w:cs="Arial"/>
                  </w:rPr>
                </w:pPr>
                <w:r>
                  <w:rPr>
                    <w:rFonts w:cs="Arial"/>
                  </w:rPr>
                  <w:t>Italy</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Titolo1"/>
        <w:numPr>
          <w:ilvl w:val="0"/>
          <w:numId w:val="0"/>
        </w:numPr>
        <w:ind w:left="431" w:hanging="431"/>
      </w:pPr>
      <w:r>
        <w:t>Introduction</w:t>
      </w:r>
    </w:p>
    <w:p w14:paraId="6A3CB05E" w14:textId="77777777" w:rsidR="00B327E9" w:rsidRPr="00E40A5C" w:rsidRDefault="00B327E9" w:rsidP="00B327E9">
      <w:pPr>
        <w:rPr>
          <w:rStyle w:val="Enfasiintensa"/>
          <w:sz w:val="22"/>
        </w:rPr>
      </w:pPr>
      <w:r w:rsidRPr="00E40A5C">
        <w:rPr>
          <w:rStyle w:val="Enfasiintensa"/>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Enfasidelicata"/>
          <w:b w:val="0"/>
          <w:sz w:val="22"/>
        </w:rPr>
        <w:t>PKID</w:t>
      </w:r>
      <w:r w:rsidRPr="006F4535">
        <w:t>_1&gt;</w:t>
      </w:r>
    </w:p>
    <w:p w14:paraId="2620BE02" w14:textId="161ECF88" w:rsidR="00CD46B7" w:rsidRPr="00373E2E" w:rsidRDefault="00CD46B7" w:rsidP="00CD46B7">
      <w:pPr>
        <w:pStyle w:val="FCAHeadingLevel2"/>
        <w:spacing w:before="120" w:after="120" w:line="240" w:lineRule="auto"/>
        <w:rPr>
          <w:rFonts w:ascii="Lucida Sans" w:hAnsi="Lucida Sans"/>
          <w:b w:val="0"/>
          <w:color w:val="auto"/>
          <w:sz w:val="20"/>
          <w:szCs w:val="20"/>
          <w:u w:val="none"/>
        </w:rPr>
      </w:pPr>
      <w:permStart w:id="411981036" w:edGrp="everyone"/>
      <w:r w:rsidRPr="00373E2E">
        <w:rPr>
          <w:rFonts w:ascii="Lucida Sans" w:hAnsi="Lucida Sans"/>
          <w:b w:val="0"/>
          <w:color w:val="auto"/>
          <w:sz w:val="20"/>
          <w:szCs w:val="20"/>
          <w:u w:val="none"/>
        </w:rPr>
        <w:t>Assogestioni</w:t>
      </w:r>
      <w:r w:rsidRPr="00373E2E">
        <w:rPr>
          <w:rStyle w:val="Rimandonotaapidipagina"/>
          <w:rFonts w:ascii="Lucida Sans" w:hAnsi="Lucida Sans"/>
          <w:b w:val="0"/>
          <w:color w:val="auto"/>
          <w:sz w:val="20"/>
          <w:szCs w:val="20"/>
          <w:u w:val="none"/>
        </w:rPr>
        <w:footnoteReference w:id="5"/>
      </w:r>
      <w:r w:rsidRPr="00373E2E">
        <w:rPr>
          <w:rFonts w:ascii="Lucida Sans" w:hAnsi="Lucida Sans"/>
          <w:b w:val="0"/>
          <w:color w:val="auto"/>
          <w:sz w:val="20"/>
          <w:szCs w:val="20"/>
          <w:u w:val="none"/>
        </w:rPr>
        <w:t xml:space="preserve"> welcomes this new opportunity to express views about the future of PRIIPs regulation. We fully appreciate the huge effort undertaken by ESAs to address very complex topics and revise a document that is meant, first, to enhance retail investors’ understanding of a </w:t>
      </w:r>
      <w:proofErr w:type="gramStart"/>
      <w:r w:rsidRPr="00373E2E">
        <w:rPr>
          <w:rFonts w:ascii="Lucida Sans" w:hAnsi="Lucida Sans"/>
          <w:b w:val="0"/>
          <w:color w:val="auto"/>
          <w:sz w:val="20"/>
          <w:szCs w:val="20"/>
          <w:u w:val="none"/>
        </w:rPr>
        <w:t>particular product</w:t>
      </w:r>
      <w:proofErr w:type="gramEnd"/>
      <w:r w:rsidRPr="00373E2E">
        <w:rPr>
          <w:rFonts w:ascii="Lucida Sans" w:hAnsi="Lucida Sans"/>
          <w:b w:val="0"/>
          <w:color w:val="auto"/>
          <w:sz w:val="20"/>
          <w:szCs w:val="20"/>
          <w:u w:val="none"/>
        </w:rPr>
        <w:t xml:space="preserve"> and, second, to allow investors to compare different products and different types of products.</w:t>
      </w:r>
    </w:p>
    <w:p w14:paraId="51262A9E" w14:textId="26CF9302" w:rsidR="00CD46B7" w:rsidRPr="00373E2E" w:rsidRDefault="00CD46B7" w:rsidP="00CD46B7">
      <w:pPr>
        <w:pStyle w:val="FCAHeadingLevel2"/>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 xml:space="preserve">We very much </w:t>
      </w:r>
      <w:r w:rsidRPr="00373E2E">
        <w:rPr>
          <w:rFonts w:ascii="Lucida Sans" w:hAnsi="Lucida Sans"/>
          <w:color w:val="auto"/>
          <w:sz w:val="20"/>
          <w:szCs w:val="20"/>
          <w:u w:val="none"/>
        </w:rPr>
        <w:t>welcome</w:t>
      </w:r>
      <w:r w:rsidRPr="00373E2E">
        <w:rPr>
          <w:rFonts w:ascii="Lucida Sans" w:hAnsi="Lucida Sans"/>
          <w:b w:val="0"/>
          <w:color w:val="auto"/>
          <w:sz w:val="20"/>
          <w:szCs w:val="20"/>
          <w:u w:val="none"/>
        </w:rPr>
        <w:t xml:space="preserve"> the proposals to include the presentation of costs and past performance used in the UCITS KIID in the PRIIPs KIID and </w:t>
      </w:r>
      <w:r w:rsidR="00F12E35">
        <w:rPr>
          <w:rFonts w:ascii="Lucida Sans" w:hAnsi="Lucida Sans"/>
          <w:b w:val="0"/>
          <w:color w:val="auto"/>
          <w:sz w:val="20"/>
          <w:szCs w:val="20"/>
          <w:u w:val="none"/>
        </w:rPr>
        <w:t>which</w:t>
      </w:r>
      <w:r w:rsidR="00D713E2">
        <w:rPr>
          <w:rFonts w:ascii="Lucida Sans" w:hAnsi="Lucida Sans"/>
          <w:b w:val="0"/>
          <w:color w:val="auto"/>
          <w:sz w:val="20"/>
          <w:szCs w:val="20"/>
          <w:u w:val="none"/>
        </w:rPr>
        <w:t xml:space="preserve"> m</w:t>
      </w:r>
      <w:r w:rsidR="00F12E35">
        <w:rPr>
          <w:rFonts w:ascii="Lucida Sans" w:hAnsi="Lucida Sans"/>
          <w:b w:val="0"/>
          <w:color w:val="auto"/>
          <w:sz w:val="20"/>
          <w:szCs w:val="20"/>
          <w:u w:val="none"/>
        </w:rPr>
        <w:t>ay feasible</w:t>
      </w:r>
      <w:r w:rsidRPr="00373E2E">
        <w:rPr>
          <w:rFonts w:ascii="Lucida Sans" w:hAnsi="Lucida Sans"/>
          <w:b w:val="0"/>
          <w:color w:val="auto"/>
          <w:sz w:val="20"/>
          <w:szCs w:val="20"/>
          <w:u w:val="none"/>
        </w:rPr>
        <w:t xml:space="preserve"> to </w:t>
      </w:r>
      <w:r w:rsidR="00E26473">
        <w:rPr>
          <w:rFonts w:ascii="Lucida Sans" w:hAnsi="Lucida Sans"/>
          <w:b w:val="0"/>
          <w:color w:val="auto"/>
          <w:sz w:val="20"/>
          <w:szCs w:val="20"/>
          <w:u w:val="none"/>
        </w:rPr>
        <w:t>meet</w:t>
      </w:r>
      <w:r w:rsidRPr="00373E2E">
        <w:rPr>
          <w:rFonts w:ascii="Lucida Sans" w:hAnsi="Lucida Sans"/>
          <w:b w:val="0"/>
          <w:color w:val="auto"/>
          <w:sz w:val="20"/>
          <w:szCs w:val="20"/>
          <w:u w:val="none"/>
        </w:rPr>
        <w:t xml:space="preserve"> MiFID disclosure obligations. However, let us mention that we have </w:t>
      </w:r>
      <w:r w:rsidRPr="00373E2E">
        <w:rPr>
          <w:rFonts w:ascii="Lucida Sans" w:hAnsi="Lucida Sans"/>
          <w:color w:val="auto"/>
          <w:sz w:val="20"/>
          <w:szCs w:val="20"/>
          <w:u w:val="none"/>
        </w:rPr>
        <w:t>also strong concerns</w:t>
      </w:r>
      <w:r w:rsidRPr="00373E2E">
        <w:rPr>
          <w:rFonts w:ascii="Lucida Sans" w:hAnsi="Lucida Sans"/>
          <w:b w:val="0"/>
          <w:color w:val="auto"/>
          <w:sz w:val="20"/>
          <w:szCs w:val="20"/>
          <w:u w:val="none"/>
        </w:rPr>
        <w:t xml:space="preserve"> about the ESAs favourite solution regarding the key elements of the PRIIPs KID related to performance scenarios and costs as we consider it would not be beneficial for all actors, especially if UCITS KIID is phased-out. </w:t>
      </w:r>
    </w:p>
    <w:p w14:paraId="403DCBB6" w14:textId="77777777" w:rsidR="00CD46B7" w:rsidRPr="00373E2E" w:rsidRDefault="00CD46B7" w:rsidP="00CD46B7">
      <w:pPr>
        <w:pStyle w:val="FCAHeadingLevel2"/>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 xml:space="preserve">We fully understand the timing constraints placed on the ESAs, nevertheless we caution against a too rushed process that could lead to unworkable or not appropriate proposals. As regards the scenario proposal, the ESAs appear to be aware that the methodology based on the dividend yield approach is onerous and complex and not been fully back-tested across different types of products. On the costs side, four type of presentations, that increase the number of cost points, from the current 12 up to 32, should give investors an appropriate presentation of costs, but the </w:t>
      </w:r>
      <w:proofErr w:type="gramStart"/>
      <w:r w:rsidRPr="00373E2E">
        <w:rPr>
          <w:rFonts w:ascii="Lucida Sans" w:hAnsi="Lucida Sans"/>
          <w:b w:val="0"/>
          <w:color w:val="auto"/>
          <w:sz w:val="20"/>
          <w:szCs w:val="20"/>
          <w:u w:val="none"/>
        </w:rPr>
        <w:t>final results</w:t>
      </w:r>
      <w:proofErr w:type="gramEnd"/>
      <w:r w:rsidRPr="00373E2E">
        <w:rPr>
          <w:rFonts w:ascii="Lucida Sans" w:hAnsi="Lucida Sans"/>
          <w:b w:val="0"/>
          <w:color w:val="auto"/>
          <w:sz w:val="20"/>
          <w:szCs w:val="20"/>
          <w:u w:val="none"/>
        </w:rPr>
        <w:t xml:space="preserve"> may become incomprehensible for the average investor. On the transaction costs calculation, the slippage method is still maintained, but its more flawed effect is removed to avoid transaction costs becoming negative and therefore not understandable by investor (as they would become a revenue and not a cost any longer). This is simply masking the conceptual flaw and practical implications.</w:t>
      </w:r>
    </w:p>
    <w:p w14:paraId="1DBCD691" w14:textId="5BCE10D7" w:rsidR="00CD46B7" w:rsidRPr="00373E2E" w:rsidRDefault="00CD46B7" w:rsidP="00CD46B7">
      <w:pPr>
        <w:pStyle w:val="FCAHeadingLevel2"/>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 xml:space="preserve">In addition, </w:t>
      </w:r>
      <w:r w:rsidRPr="00373E2E">
        <w:rPr>
          <w:rFonts w:ascii="Lucida Sans" w:hAnsi="Lucida Sans"/>
          <w:color w:val="auto"/>
          <w:sz w:val="20"/>
          <w:szCs w:val="20"/>
          <w:u w:val="none"/>
        </w:rPr>
        <w:t>the proposed amendment to the PRIIPs KID should be tested with the consumer</w:t>
      </w:r>
      <w:r w:rsidRPr="00373E2E">
        <w:rPr>
          <w:rFonts w:ascii="Lucida Sans" w:hAnsi="Lucida Sans"/>
          <w:b w:val="0"/>
          <w:color w:val="auto"/>
          <w:sz w:val="20"/>
          <w:szCs w:val="20"/>
          <w:u w:val="none"/>
        </w:rPr>
        <w:t xml:space="preserve">, to understand if the revised document </w:t>
      </w:r>
      <w:r w:rsidR="00E66269">
        <w:rPr>
          <w:rFonts w:ascii="Lucida Sans" w:hAnsi="Lucida Sans"/>
          <w:b w:val="0"/>
          <w:color w:val="auto"/>
          <w:sz w:val="20"/>
          <w:szCs w:val="20"/>
          <w:u w:val="none"/>
        </w:rPr>
        <w:t xml:space="preserve">is </w:t>
      </w:r>
      <w:r w:rsidRPr="00373E2E">
        <w:rPr>
          <w:rFonts w:ascii="Lucida Sans" w:hAnsi="Lucida Sans"/>
          <w:b w:val="0"/>
          <w:color w:val="auto"/>
          <w:sz w:val="20"/>
          <w:szCs w:val="20"/>
          <w:u w:val="none"/>
        </w:rPr>
        <w:t xml:space="preserve">fit for purpose. Consumer testing is key here to understand the preferences and interpretation of the retail investor, but the current consumer testing, being undertaken in parallel by the European Commission, deals only with the illustration of the performance scenarios and not the whole (revised) PRIIPs KID. </w:t>
      </w:r>
    </w:p>
    <w:p w14:paraId="70803D28" w14:textId="77777777" w:rsidR="00CD46B7" w:rsidRPr="00373E2E" w:rsidRDefault="00CD46B7" w:rsidP="00CD46B7">
      <w:pPr>
        <w:pStyle w:val="FCAHeadingLevel2"/>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 xml:space="preserve">A potentially unsuitable PRIIPs KID is a source of deep concern for us as we have an </w:t>
      </w:r>
      <w:r w:rsidRPr="00373E2E">
        <w:rPr>
          <w:rFonts w:ascii="Lucida Sans" w:hAnsi="Lucida Sans"/>
          <w:color w:val="auto"/>
          <w:sz w:val="20"/>
          <w:szCs w:val="20"/>
          <w:u w:val="none"/>
        </w:rPr>
        <w:t xml:space="preserve">extremely positive </w:t>
      </w:r>
      <w:r w:rsidRPr="00373E2E">
        <w:rPr>
          <w:rFonts w:ascii="Lucida Sans" w:hAnsi="Lucida Sans"/>
          <w:b w:val="0"/>
          <w:color w:val="auto"/>
          <w:sz w:val="20"/>
          <w:szCs w:val="20"/>
          <w:u w:val="none"/>
        </w:rPr>
        <w:t xml:space="preserve">experience with the very </w:t>
      </w:r>
      <w:r w:rsidRPr="00373E2E">
        <w:rPr>
          <w:rFonts w:ascii="Lucida Sans" w:hAnsi="Lucida Sans"/>
          <w:color w:val="auto"/>
          <w:sz w:val="20"/>
          <w:szCs w:val="20"/>
          <w:u w:val="none"/>
        </w:rPr>
        <w:t>simple, but fair pre-contractual information given to investors through the UCITS KIID</w:t>
      </w:r>
      <w:r w:rsidRPr="00373E2E">
        <w:rPr>
          <w:rFonts w:ascii="Lucida Sans" w:hAnsi="Lucida Sans"/>
          <w:b w:val="0"/>
          <w:color w:val="auto"/>
          <w:sz w:val="20"/>
          <w:szCs w:val="20"/>
          <w:u w:val="none"/>
        </w:rPr>
        <w:t>, a document that it is expected to be dismissed at the end of 2021.</w:t>
      </w:r>
    </w:p>
    <w:p w14:paraId="02B7287D" w14:textId="77777777" w:rsidR="00CD46B7" w:rsidRPr="00373E2E" w:rsidRDefault="00CD46B7" w:rsidP="00CD46B7">
      <w:pPr>
        <w:pStyle w:val="FCAHeadingLevel2"/>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 xml:space="preserve">In this context, </w:t>
      </w:r>
      <w:r w:rsidRPr="00373E2E">
        <w:rPr>
          <w:rFonts w:ascii="Lucida Sans" w:hAnsi="Lucida Sans"/>
          <w:color w:val="auto"/>
          <w:sz w:val="20"/>
          <w:szCs w:val="20"/>
          <w:u w:val="none"/>
        </w:rPr>
        <w:t>we would like to insist on the fact that technical choices should be based on proved, tested, well understood and clear techniques</w:t>
      </w:r>
      <w:r w:rsidRPr="00373E2E">
        <w:rPr>
          <w:rFonts w:ascii="Lucida Sans" w:hAnsi="Lucida Sans"/>
          <w:b w:val="0"/>
          <w:color w:val="auto"/>
          <w:sz w:val="20"/>
          <w:szCs w:val="20"/>
          <w:u w:val="none"/>
        </w:rPr>
        <w:t xml:space="preserve">. Indeed, even if the discussion is intellectually interesting, PRIIPs is not the place for experimentation. Focusing too much on providing comparable information between widely different investment products, the information presented is in same case irrelevant at best and misleading at worst. We strongly believe that in the face of such a challenge, the objective cannot be </w:t>
      </w:r>
      <w:r w:rsidRPr="00373E2E">
        <w:rPr>
          <w:rFonts w:ascii="Lucida Sans" w:hAnsi="Lucida Sans"/>
          <w:color w:val="auto"/>
          <w:sz w:val="20"/>
          <w:szCs w:val="20"/>
          <w:u w:val="none"/>
        </w:rPr>
        <w:t>to get</w:t>
      </w:r>
      <w:r w:rsidRPr="00373E2E">
        <w:rPr>
          <w:rFonts w:ascii="Lucida Sans" w:hAnsi="Lucida Sans"/>
          <w:b w:val="0"/>
          <w:color w:val="auto"/>
          <w:sz w:val="20"/>
          <w:szCs w:val="20"/>
          <w:u w:val="none"/>
        </w:rPr>
        <w:t xml:space="preserve"> the “perfect solution”, but </w:t>
      </w:r>
      <w:r w:rsidRPr="00373E2E">
        <w:rPr>
          <w:rFonts w:ascii="Lucida Sans" w:hAnsi="Lucida Sans"/>
          <w:color w:val="auto"/>
          <w:sz w:val="20"/>
          <w:szCs w:val="20"/>
          <w:u w:val="none"/>
        </w:rPr>
        <w:t xml:space="preserve">a solution </w:t>
      </w:r>
      <w:r w:rsidRPr="00373E2E">
        <w:rPr>
          <w:rFonts w:ascii="Lucida Sans" w:hAnsi="Lucida Sans"/>
          <w:b w:val="0"/>
          <w:color w:val="auto"/>
          <w:sz w:val="20"/>
          <w:szCs w:val="20"/>
          <w:u w:val="none"/>
        </w:rPr>
        <w:t xml:space="preserve">which is </w:t>
      </w:r>
      <w:r w:rsidRPr="00373E2E">
        <w:rPr>
          <w:rFonts w:ascii="Lucida Sans" w:hAnsi="Lucida Sans"/>
          <w:color w:val="auto"/>
          <w:sz w:val="20"/>
          <w:szCs w:val="20"/>
          <w:u w:val="none"/>
        </w:rPr>
        <w:t xml:space="preserve">“understandable, not misleading, not increasing asymmetry” for investors </w:t>
      </w:r>
      <w:r w:rsidRPr="00373E2E">
        <w:rPr>
          <w:rFonts w:ascii="Lucida Sans" w:hAnsi="Lucida Sans"/>
          <w:b w:val="0"/>
          <w:color w:val="auto"/>
          <w:sz w:val="20"/>
          <w:szCs w:val="20"/>
          <w:u w:val="none"/>
        </w:rPr>
        <w:t>and that is</w:t>
      </w:r>
      <w:r w:rsidRPr="00373E2E">
        <w:rPr>
          <w:rFonts w:ascii="Lucida Sans" w:hAnsi="Lucida Sans"/>
          <w:color w:val="auto"/>
          <w:sz w:val="20"/>
          <w:szCs w:val="20"/>
          <w:u w:val="none"/>
        </w:rPr>
        <w:t xml:space="preserve"> cost effective for all PRIIPs manufactures, </w:t>
      </w:r>
      <w:r w:rsidRPr="00373E2E">
        <w:rPr>
          <w:rFonts w:ascii="Lucida Sans" w:hAnsi="Lucida Sans"/>
          <w:b w:val="0"/>
          <w:color w:val="auto"/>
          <w:sz w:val="20"/>
          <w:szCs w:val="20"/>
          <w:u w:val="none"/>
        </w:rPr>
        <w:t>included asset managers.</w:t>
      </w:r>
    </w:p>
    <w:p w14:paraId="4798E7C0" w14:textId="77777777" w:rsidR="00CD46B7" w:rsidRPr="00373E2E" w:rsidRDefault="00CD46B7" w:rsidP="00CD46B7">
      <w:pPr>
        <w:pStyle w:val="FCAHeadingLevel2"/>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 xml:space="preserve">A more comprehensive review of the PRIIPs should </w:t>
      </w:r>
      <w:r w:rsidRPr="00373E2E">
        <w:rPr>
          <w:rFonts w:ascii="Lucida Sans" w:hAnsi="Lucida Sans"/>
          <w:color w:val="auto"/>
          <w:sz w:val="20"/>
          <w:szCs w:val="20"/>
          <w:u w:val="none"/>
        </w:rPr>
        <w:t>start with the appropriate review of the PRIIPs Regulation</w:t>
      </w:r>
      <w:r w:rsidRPr="00373E2E">
        <w:rPr>
          <w:rFonts w:ascii="Lucida Sans" w:hAnsi="Lucida Sans"/>
          <w:b w:val="0"/>
          <w:color w:val="auto"/>
          <w:sz w:val="20"/>
          <w:szCs w:val="20"/>
          <w:u w:val="none"/>
        </w:rPr>
        <w:t xml:space="preserve"> (in the light also of the MiFID II experience) by the European Commission. </w:t>
      </w:r>
    </w:p>
    <w:p w14:paraId="4FFF8E43" w14:textId="77777777" w:rsidR="00CD46B7" w:rsidRPr="00373E2E" w:rsidRDefault="00CD46B7" w:rsidP="00CD46B7">
      <w:pPr>
        <w:pStyle w:val="FCAHeadingLevel2"/>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lastRenderedPageBreak/>
        <w:t>Therefore, please find here below our recommendations.</w:t>
      </w:r>
    </w:p>
    <w:p w14:paraId="1A018532" w14:textId="77777777" w:rsidR="00CD46B7" w:rsidRPr="00373E2E" w:rsidRDefault="00CD46B7" w:rsidP="00CD46B7">
      <w:pPr>
        <w:pStyle w:val="FCAHeadingLevel2"/>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With specific regards to the review of level 1 legislation that ESAs should consider requesting, we recommend the ESAs the following.</w:t>
      </w:r>
    </w:p>
    <w:p w14:paraId="38F23EEB" w14:textId="77777777" w:rsidR="00CD46B7" w:rsidRPr="00373E2E" w:rsidRDefault="00CD46B7" w:rsidP="00303D05">
      <w:pPr>
        <w:pStyle w:val="FCAHeadingLevel2"/>
        <w:numPr>
          <w:ilvl w:val="1"/>
          <w:numId w:val="40"/>
        </w:numPr>
        <w:autoSpaceDE w:val="0"/>
        <w:autoSpaceDN w:val="0"/>
        <w:adjustRightInd w:val="0"/>
        <w:spacing w:before="120" w:after="120" w:line="240" w:lineRule="auto"/>
        <w:ind w:left="426"/>
        <w:rPr>
          <w:rFonts w:ascii="Lucida Sans" w:hAnsi="Lucida Sans"/>
          <w:b w:val="0"/>
          <w:color w:val="auto"/>
          <w:sz w:val="20"/>
          <w:szCs w:val="20"/>
          <w:u w:val="none"/>
        </w:rPr>
      </w:pPr>
      <w:r w:rsidRPr="00373E2E">
        <w:rPr>
          <w:rFonts w:ascii="Lucida Sans" w:hAnsi="Lucida Sans"/>
          <w:color w:val="auto"/>
          <w:sz w:val="20"/>
          <w:szCs w:val="20"/>
          <w:u w:val="none"/>
        </w:rPr>
        <w:t>review the “concept” of the appropriate performance scenario</w:t>
      </w:r>
      <w:r w:rsidRPr="00373E2E">
        <w:rPr>
          <w:rFonts w:ascii="Lucida Sans" w:hAnsi="Lucida Sans"/>
          <w:b w:val="0"/>
          <w:color w:val="auto"/>
          <w:sz w:val="20"/>
          <w:szCs w:val="20"/>
          <w:u w:val="none"/>
        </w:rPr>
        <w:t>, since future estimation are always challenging (art. 8(3)(d)(iii) PRIIPs);</w:t>
      </w:r>
    </w:p>
    <w:p w14:paraId="40649C4E" w14:textId="77777777" w:rsidR="00CD46B7" w:rsidRPr="00373E2E" w:rsidRDefault="00CD46B7" w:rsidP="00303D05">
      <w:pPr>
        <w:pStyle w:val="FCAHeadingLevel2"/>
        <w:numPr>
          <w:ilvl w:val="1"/>
          <w:numId w:val="40"/>
        </w:numPr>
        <w:autoSpaceDE w:val="0"/>
        <w:autoSpaceDN w:val="0"/>
        <w:adjustRightInd w:val="0"/>
        <w:spacing w:before="120" w:after="120" w:line="240" w:lineRule="auto"/>
        <w:ind w:left="426"/>
        <w:rPr>
          <w:rFonts w:ascii="Lucida Sans" w:hAnsi="Lucida Sans"/>
          <w:b w:val="0"/>
          <w:color w:val="auto"/>
          <w:sz w:val="20"/>
          <w:szCs w:val="20"/>
          <w:u w:val="none"/>
        </w:rPr>
      </w:pPr>
      <w:r w:rsidRPr="00373E2E">
        <w:rPr>
          <w:rFonts w:ascii="Lucida Sans" w:hAnsi="Lucida Sans"/>
          <w:color w:val="auto"/>
          <w:sz w:val="20"/>
          <w:szCs w:val="20"/>
          <w:u w:val="none"/>
        </w:rPr>
        <w:t>exclude from the “total aggregate cost” indicator the type of costs coming from (also) actively managed investment funds that cannot be precisely calculated neither ex-ante</w:t>
      </w:r>
      <w:r w:rsidRPr="00373E2E">
        <w:rPr>
          <w:rFonts w:ascii="Lucida Sans" w:hAnsi="Lucida Sans"/>
          <w:b w:val="0"/>
          <w:color w:val="auto"/>
          <w:sz w:val="20"/>
          <w:szCs w:val="20"/>
          <w:u w:val="none"/>
        </w:rPr>
        <w:t xml:space="preserve"> (transaction costs and performance fees) </w:t>
      </w:r>
      <w:r w:rsidRPr="00373E2E">
        <w:rPr>
          <w:rFonts w:ascii="Lucida Sans" w:hAnsi="Lucida Sans"/>
          <w:color w:val="auto"/>
          <w:sz w:val="20"/>
          <w:szCs w:val="20"/>
          <w:u w:val="none"/>
        </w:rPr>
        <w:t>nor ex-post</w:t>
      </w:r>
      <w:r w:rsidRPr="00373E2E">
        <w:rPr>
          <w:rFonts w:ascii="Lucida Sans" w:hAnsi="Lucida Sans"/>
          <w:b w:val="0"/>
          <w:color w:val="auto"/>
          <w:sz w:val="20"/>
          <w:szCs w:val="20"/>
          <w:u w:val="none"/>
        </w:rPr>
        <w:t xml:space="preserve"> (implicit transactions costs) and ask for a separate disclosure (in line with performance fee disclosure under the UCITS KIID) (art. 8(3)(f) PRIIPs);</w:t>
      </w:r>
    </w:p>
    <w:p w14:paraId="0BC0BD6A" w14:textId="77777777" w:rsidR="00007249" w:rsidRDefault="00CD46B7" w:rsidP="00303D05">
      <w:pPr>
        <w:pStyle w:val="FCAHeadingLevel2"/>
        <w:numPr>
          <w:ilvl w:val="1"/>
          <w:numId w:val="40"/>
        </w:numPr>
        <w:autoSpaceDE w:val="0"/>
        <w:autoSpaceDN w:val="0"/>
        <w:adjustRightInd w:val="0"/>
        <w:spacing w:before="120" w:after="120" w:line="240" w:lineRule="auto"/>
        <w:ind w:left="426"/>
        <w:rPr>
          <w:rFonts w:ascii="Lucida Sans" w:hAnsi="Lucida Sans"/>
          <w:b w:val="0"/>
          <w:color w:val="auto"/>
          <w:sz w:val="20"/>
          <w:szCs w:val="20"/>
          <w:u w:val="none"/>
        </w:rPr>
      </w:pPr>
      <w:r w:rsidRPr="00373E2E">
        <w:rPr>
          <w:rFonts w:ascii="Lucida Sans" w:hAnsi="Lucida Sans"/>
          <w:color w:val="auto"/>
          <w:sz w:val="20"/>
          <w:szCs w:val="20"/>
          <w:u w:val="none"/>
        </w:rPr>
        <w:t xml:space="preserve">provide, if necessary, the legal basis for the regular updating by the ESAs of common reference parameters </w:t>
      </w:r>
      <w:r w:rsidRPr="00373E2E">
        <w:rPr>
          <w:rFonts w:ascii="Lucida Sans" w:hAnsi="Lucida Sans"/>
          <w:b w:val="0"/>
          <w:color w:val="auto"/>
          <w:sz w:val="20"/>
          <w:szCs w:val="20"/>
          <w:u w:val="none"/>
        </w:rPr>
        <w:t xml:space="preserve">for example a spread table for transaction costs calculation and the standard growth rates, </w:t>
      </w:r>
      <w:r w:rsidR="00471471">
        <w:rPr>
          <w:rFonts w:ascii="Lucida Sans" w:hAnsi="Lucida Sans"/>
          <w:b w:val="0"/>
          <w:color w:val="auto"/>
          <w:sz w:val="20"/>
          <w:szCs w:val="20"/>
          <w:u w:val="none"/>
        </w:rPr>
        <w:t>if</w:t>
      </w:r>
      <w:r w:rsidRPr="00373E2E">
        <w:rPr>
          <w:rFonts w:ascii="Lucida Sans" w:hAnsi="Lucida Sans"/>
          <w:b w:val="0"/>
          <w:color w:val="auto"/>
          <w:sz w:val="20"/>
          <w:szCs w:val="20"/>
          <w:u w:val="none"/>
        </w:rPr>
        <w:t xml:space="preserve"> the dividend methodology would be requested</w:t>
      </w:r>
      <w:r w:rsidR="00007249">
        <w:rPr>
          <w:rFonts w:ascii="Lucida Sans" w:hAnsi="Lucida Sans"/>
          <w:b w:val="0"/>
          <w:color w:val="auto"/>
          <w:sz w:val="20"/>
          <w:szCs w:val="20"/>
          <w:u w:val="none"/>
        </w:rPr>
        <w:t>;</w:t>
      </w:r>
    </w:p>
    <w:p w14:paraId="6ECD3B7E" w14:textId="1F7F4028" w:rsidR="00CD46B7" w:rsidRPr="00007249" w:rsidRDefault="00007249" w:rsidP="00007249">
      <w:pPr>
        <w:pStyle w:val="Paragrafoelenco"/>
        <w:numPr>
          <w:ilvl w:val="1"/>
          <w:numId w:val="40"/>
        </w:numPr>
        <w:spacing w:before="120" w:after="120"/>
        <w:ind w:left="426"/>
        <w:jc w:val="both"/>
        <w:rPr>
          <w:rFonts w:ascii="Lucida Sans" w:hAnsi="Lucida Sans"/>
          <w:szCs w:val="20"/>
        </w:rPr>
      </w:pPr>
      <w:r w:rsidRPr="00373E2E">
        <w:rPr>
          <w:rFonts w:ascii="Lucida Sans" w:hAnsi="Lucida Sans"/>
          <w:b/>
          <w:szCs w:val="20"/>
        </w:rPr>
        <w:t>align the obligation to provide PRIIP KIDs in the context of regular saving plans with the current supervisory practice under the UCITS framework</w:t>
      </w:r>
      <w:r w:rsidRPr="00373E2E">
        <w:rPr>
          <w:rFonts w:ascii="Lucida Sans" w:hAnsi="Lucida Sans"/>
          <w:szCs w:val="20"/>
        </w:rPr>
        <w:t xml:space="preserve"> (art. 13(4) PRIIPs)</w:t>
      </w:r>
      <w:r>
        <w:rPr>
          <w:rFonts w:ascii="Lucida Sans" w:hAnsi="Lucida Sans"/>
          <w:szCs w:val="20"/>
        </w:rPr>
        <w:t>.</w:t>
      </w:r>
      <w:r w:rsidR="00CD46B7" w:rsidRPr="00007249">
        <w:rPr>
          <w:rFonts w:ascii="Lucida Sans" w:hAnsi="Lucida Sans"/>
          <w:szCs w:val="20"/>
        </w:rPr>
        <w:t xml:space="preserve"> </w:t>
      </w:r>
    </w:p>
    <w:p w14:paraId="527044D6" w14:textId="77777777" w:rsidR="00CD46B7" w:rsidRPr="00373E2E" w:rsidRDefault="00CD46B7" w:rsidP="00CD46B7">
      <w:pPr>
        <w:pStyle w:val="FCAHeadingLevel2"/>
        <w:spacing w:before="120" w:after="120" w:line="240" w:lineRule="auto"/>
        <w:rPr>
          <w:rFonts w:ascii="Lucida Sans" w:hAnsi="Lucida Sans"/>
          <w:b w:val="0"/>
          <w:color w:val="auto"/>
          <w:sz w:val="20"/>
          <w:szCs w:val="20"/>
        </w:rPr>
      </w:pPr>
    </w:p>
    <w:p w14:paraId="380DAD85" w14:textId="77777777" w:rsidR="00CD46B7" w:rsidRPr="00373E2E" w:rsidRDefault="00CD46B7" w:rsidP="00CD46B7">
      <w:pPr>
        <w:pStyle w:val="FCAHeadingLevel2"/>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With specific regards to the Delegated Regulation, we recommend the ESAs the following:</w:t>
      </w:r>
    </w:p>
    <w:p w14:paraId="7FC690BE" w14:textId="771017B3" w:rsidR="00CD46B7" w:rsidRPr="00373E2E" w:rsidRDefault="00CD46B7" w:rsidP="00303D05">
      <w:pPr>
        <w:pStyle w:val="FCAHeadingLevel2"/>
        <w:numPr>
          <w:ilvl w:val="0"/>
          <w:numId w:val="39"/>
        </w:numPr>
        <w:spacing w:before="120" w:after="120" w:line="240" w:lineRule="auto"/>
        <w:rPr>
          <w:rFonts w:ascii="Lucida Sans" w:hAnsi="Lucida Sans"/>
          <w:b w:val="0"/>
          <w:color w:val="auto"/>
          <w:sz w:val="20"/>
          <w:szCs w:val="20"/>
          <w:u w:val="none"/>
        </w:rPr>
      </w:pPr>
      <w:r w:rsidRPr="00373E2E">
        <w:rPr>
          <w:rFonts w:ascii="Lucida Sans" w:hAnsi="Lucida Sans"/>
          <w:color w:val="auto"/>
          <w:sz w:val="20"/>
          <w:szCs w:val="20"/>
          <w:u w:val="none"/>
        </w:rPr>
        <w:t>(continue) to keep the illustration of the historical returns</w:t>
      </w:r>
      <w:r w:rsidRPr="00373E2E">
        <w:rPr>
          <w:rFonts w:ascii="Lucida Sans" w:hAnsi="Lucida Sans"/>
          <w:b w:val="0"/>
          <w:color w:val="auto"/>
          <w:sz w:val="20"/>
          <w:szCs w:val="20"/>
          <w:u w:val="none"/>
        </w:rPr>
        <w:t xml:space="preserve"> (where appropriate): experience with the UCITS KIID shows that investors wish to see the product’s history of returns; </w:t>
      </w:r>
    </w:p>
    <w:p w14:paraId="7FABC986" w14:textId="77777777" w:rsidR="00CD46B7" w:rsidRPr="00373E2E" w:rsidRDefault="00CD46B7" w:rsidP="00303D05">
      <w:pPr>
        <w:pStyle w:val="FCAHeadingLevel2"/>
        <w:numPr>
          <w:ilvl w:val="0"/>
          <w:numId w:val="39"/>
        </w:numPr>
        <w:spacing w:before="120" w:after="120" w:line="240" w:lineRule="auto"/>
        <w:rPr>
          <w:rFonts w:ascii="Lucida Sans" w:hAnsi="Lucida Sans"/>
          <w:b w:val="0"/>
          <w:color w:val="auto"/>
          <w:sz w:val="20"/>
          <w:szCs w:val="20"/>
          <w:u w:val="none"/>
        </w:rPr>
      </w:pPr>
      <w:r w:rsidRPr="00373E2E">
        <w:rPr>
          <w:rFonts w:ascii="Lucida Sans" w:hAnsi="Lucida Sans"/>
          <w:color w:val="auto"/>
          <w:sz w:val="20"/>
          <w:szCs w:val="20"/>
          <w:u w:val="none"/>
        </w:rPr>
        <w:t>should a performance quantitative scenario still be required, extend the historical return series used in the actual method from 5 to, at least, 10 years</w:t>
      </w:r>
      <w:r w:rsidRPr="00373E2E">
        <w:rPr>
          <w:rFonts w:ascii="Lucida Sans" w:hAnsi="Lucida Sans"/>
          <w:b w:val="0"/>
          <w:color w:val="auto"/>
          <w:sz w:val="20"/>
          <w:szCs w:val="20"/>
          <w:u w:val="none"/>
        </w:rPr>
        <w:t xml:space="preserve">. Further improvements of estimation may simply require an adjustment to reflect the current risk-free rate. Supplementary alternatives are included in our response: scenario based on historical observations, </w:t>
      </w:r>
      <w:proofErr w:type="gramStart"/>
      <w:r w:rsidRPr="00373E2E">
        <w:rPr>
          <w:rFonts w:ascii="Lucida Sans" w:hAnsi="Lucida Sans"/>
          <w:b w:val="0"/>
          <w:color w:val="auto"/>
          <w:sz w:val="20"/>
          <w:szCs w:val="20"/>
          <w:u w:val="none"/>
        </w:rPr>
        <w:t>volatility based</w:t>
      </w:r>
      <w:proofErr w:type="gramEnd"/>
      <w:r w:rsidRPr="00373E2E">
        <w:rPr>
          <w:rFonts w:ascii="Lucida Sans" w:hAnsi="Lucida Sans"/>
          <w:b w:val="0"/>
          <w:color w:val="auto"/>
          <w:sz w:val="20"/>
          <w:szCs w:val="20"/>
          <w:u w:val="none"/>
        </w:rPr>
        <w:t xml:space="preserve"> Sharpe risk premia and - as a last resort -standardised growth rate provided by ESAs.</w:t>
      </w:r>
    </w:p>
    <w:p w14:paraId="7C5F074C" w14:textId="77777777" w:rsidR="00CD46B7" w:rsidRPr="00373E2E" w:rsidRDefault="00CD46B7" w:rsidP="00303D05">
      <w:pPr>
        <w:pStyle w:val="FCAHeadingLevel2"/>
        <w:numPr>
          <w:ilvl w:val="0"/>
          <w:numId w:val="39"/>
        </w:numPr>
        <w:spacing w:before="120" w:after="120" w:line="240" w:lineRule="auto"/>
        <w:rPr>
          <w:rFonts w:ascii="Lucida Sans" w:hAnsi="Lucida Sans"/>
          <w:b w:val="0"/>
          <w:color w:val="auto"/>
          <w:sz w:val="20"/>
          <w:szCs w:val="20"/>
          <w:u w:val="none"/>
        </w:rPr>
      </w:pPr>
      <w:r w:rsidRPr="00373E2E">
        <w:rPr>
          <w:rFonts w:ascii="Lucida Sans" w:hAnsi="Lucida Sans"/>
          <w:color w:val="auto"/>
          <w:sz w:val="20"/>
          <w:szCs w:val="20"/>
          <w:u w:val="none"/>
        </w:rPr>
        <w:t>keep the illustration of costs as simple as possible, and in line with MiFID II disclosure</w:t>
      </w:r>
      <w:r w:rsidRPr="00373E2E">
        <w:rPr>
          <w:rFonts w:ascii="Lucida Sans" w:hAnsi="Lucida Sans"/>
          <w:b w:val="0"/>
          <w:color w:val="auto"/>
          <w:sz w:val="20"/>
          <w:szCs w:val="20"/>
          <w:u w:val="none"/>
        </w:rPr>
        <w:t>: present aggregate cost figures, without RIY approach, together with the relevant costs of the product in percentage of the value of the subscription/redemption or the net asset. This approach would lead also to firms distributing investment products to rely on the disclosure of product costs provided in the PRIIPs KID for the purpose of computing their aggregated cost figure comprising charges of both product and service;</w:t>
      </w:r>
    </w:p>
    <w:p w14:paraId="64A7E4EB" w14:textId="77777777" w:rsidR="00CD46B7" w:rsidRPr="00373E2E" w:rsidRDefault="00CD46B7" w:rsidP="00303D05">
      <w:pPr>
        <w:pStyle w:val="FCAHeadingLevel2"/>
        <w:numPr>
          <w:ilvl w:val="0"/>
          <w:numId w:val="39"/>
        </w:numPr>
        <w:spacing w:before="120" w:after="120" w:line="240" w:lineRule="auto"/>
        <w:rPr>
          <w:rFonts w:ascii="Lucida Sans" w:hAnsi="Lucida Sans"/>
          <w:b w:val="0"/>
          <w:color w:val="auto"/>
          <w:sz w:val="20"/>
          <w:szCs w:val="20"/>
          <w:u w:val="none"/>
        </w:rPr>
      </w:pPr>
      <w:r w:rsidRPr="00373E2E">
        <w:rPr>
          <w:rFonts w:ascii="Lucida Sans" w:hAnsi="Lucida Sans"/>
          <w:color w:val="auto"/>
          <w:sz w:val="20"/>
          <w:szCs w:val="20"/>
          <w:u w:val="none"/>
        </w:rPr>
        <w:t>as regard the methodology for calculating transaction costs, provide two options:</w:t>
      </w:r>
      <w:r w:rsidRPr="00373E2E">
        <w:rPr>
          <w:rFonts w:ascii="Lucida Sans" w:hAnsi="Lucida Sans"/>
          <w:b w:val="0"/>
          <w:color w:val="auto"/>
          <w:sz w:val="20"/>
          <w:szCs w:val="20"/>
          <w:u w:val="none"/>
        </w:rPr>
        <w:t xml:space="preserve"> </w:t>
      </w:r>
    </w:p>
    <w:p w14:paraId="18060462" w14:textId="0375CDDD" w:rsidR="00CD46B7" w:rsidRPr="00373E2E" w:rsidRDefault="00CD46B7" w:rsidP="00303D05">
      <w:pPr>
        <w:pStyle w:val="FCAHeadingLevel2"/>
        <w:numPr>
          <w:ilvl w:val="1"/>
          <w:numId w:val="39"/>
        </w:numPr>
        <w:spacing w:before="120" w:after="120" w:line="240" w:lineRule="auto"/>
        <w:rPr>
          <w:rFonts w:ascii="Lucida Sans" w:hAnsi="Lucida Sans"/>
          <w:b w:val="0"/>
          <w:color w:val="auto"/>
          <w:sz w:val="20"/>
          <w:szCs w:val="20"/>
          <w:u w:val="none"/>
        </w:rPr>
      </w:pPr>
      <w:r w:rsidRPr="00373E2E">
        <w:rPr>
          <w:rFonts w:ascii="Lucida Sans" w:hAnsi="Lucida Sans"/>
          <w:color w:val="auto"/>
          <w:sz w:val="20"/>
          <w:szCs w:val="20"/>
          <w:u w:val="none"/>
        </w:rPr>
        <w:t>use standardised transaction costs figures</w:t>
      </w:r>
      <w:r w:rsidRPr="00373E2E">
        <w:rPr>
          <w:rFonts w:ascii="Lucida Sans" w:hAnsi="Lucida Sans"/>
          <w:b w:val="0"/>
          <w:color w:val="auto"/>
          <w:sz w:val="20"/>
          <w:szCs w:val="20"/>
          <w:u w:val="none"/>
        </w:rPr>
        <w:t xml:space="preserve">, improving the proposed methodology applied for new PRIIPs. In line with a proportional regulatory approach, a “simplified” method where the ESAs provide the relevant figures, would require cheaper, less time consuming, more reliable systems, given the challenge of what </w:t>
      </w:r>
      <w:proofErr w:type="gramStart"/>
      <w:r w:rsidRPr="00373E2E">
        <w:rPr>
          <w:rFonts w:ascii="Lucida Sans" w:hAnsi="Lucida Sans"/>
          <w:b w:val="0"/>
          <w:color w:val="auto"/>
          <w:sz w:val="20"/>
          <w:szCs w:val="20"/>
          <w:u w:val="none"/>
        </w:rPr>
        <w:t>has to</w:t>
      </w:r>
      <w:proofErr w:type="gramEnd"/>
      <w:r w:rsidRPr="00373E2E">
        <w:rPr>
          <w:rFonts w:ascii="Lucida Sans" w:hAnsi="Lucida Sans"/>
          <w:b w:val="0"/>
          <w:color w:val="auto"/>
          <w:sz w:val="20"/>
          <w:szCs w:val="20"/>
          <w:u w:val="none"/>
        </w:rPr>
        <w:t xml:space="preserve"> be measured. The above would be in line also with the systems already applied by asset managers to provide transaction cost</w:t>
      </w:r>
      <w:r w:rsidR="00284162">
        <w:rPr>
          <w:rFonts w:ascii="Lucida Sans" w:hAnsi="Lucida Sans"/>
          <w:b w:val="0"/>
          <w:color w:val="auto"/>
          <w:sz w:val="20"/>
          <w:szCs w:val="20"/>
          <w:u w:val="none"/>
        </w:rPr>
        <w:t>s</w:t>
      </w:r>
      <w:r w:rsidRPr="00373E2E">
        <w:rPr>
          <w:rFonts w:ascii="Lucida Sans" w:hAnsi="Lucida Sans"/>
          <w:b w:val="0"/>
          <w:color w:val="auto"/>
          <w:sz w:val="20"/>
          <w:szCs w:val="20"/>
          <w:u w:val="none"/>
        </w:rPr>
        <w:t xml:space="preserve"> figures for the purpose of MiFID II disclosure; </w:t>
      </w:r>
    </w:p>
    <w:p w14:paraId="39E2E47D" w14:textId="77777777" w:rsidR="00CD46B7" w:rsidRPr="00373E2E" w:rsidRDefault="00CD46B7" w:rsidP="00303D05">
      <w:pPr>
        <w:pStyle w:val="FCAHeadingLevel2"/>
        <w:numPr>
          <w:ilvl w:val="1"/>
          <w:numId w:val="39"/>
        </w:numPr>
        <w:spacing w:before="120" w:after="120" w:line="240" w:lineRule="auto"/>
        <w:rPr>
          <w:rFonts w:ascii="Lucida Sans" w:hAnsi="Lucida Sans"/>
          <w:b w:val="0"/>
          <w:color w:val="auto"/>
          <w:sz w:val="20"/>
          <w:szCs w:val="20"/>
          <w:u w:val="none"/>
        </w:rPr>
      </w:pPr>
      <w:r w:rsidRPr="00373E2E">
        <w:rPr>
          <w:rFonts w:ascii="Lucida Sans" w:hAnsi="Lucida Sans"/>
          <w:color w:val="auto"/>
          <w:sz w:val="20"/>
          <w:szCs w:val="20"/>
          <w:u w:val="none"/>
        </w:rPr>
        <w:t xml:space="preserve">use a more empirical calculation that avoids the slippage drawdown </w:t>
      </w:r>
      <w:r w:rsidRPr="00373E2E">
        <w:rPr>
          <w:rFonts w:ascii="Lucida Sans" w:hAnsi="Lucida Sans"/>
          <w:b w:val="0"/>
          <w:color w:val="auto"/>
          <w:sz w:val="20"/>
          <w:szCs w:val="20"/>
          <w:u w:val="none"/>
        </w:rPr>
        <w:t xml:space="preserve">i.e. compare the execution price against the mid-market price when a trade takes place, rather than against the arrival price. This aspect is of specific relevance for the treatment of costs resulting from the market impact of transactions which shall be disregarded for the purpose of MiFID II disclosure. </w:t>
      </w:r>
    </w:p>
    <w:p w14:paraId="506474CA" w14:textId="77777777" w:rsidR="00CD46B7" w:rsidRPr="00373E2E" w:rsidRDefault="00CD46B7" w:rsidP="00303D05">
      <w:pPr>
        <w:pStyle w:val="Memberscomments"/>
        <w:numPr>
          <w:ilvl w:val="0"/>
          <w:numId w:val="39"/>
        </w:numPr>
        <w:spacing w:after="120" w:line="240" w:lineRule="auto"/>
        <w:rPr>
          <w:rFonts w:ascii="Lucida Sans" w:hAnsi="Lucida Sans"/>
          <w:color w:val="auto"/>
          <w:sz w:val="20"/>
          <w:szCs w:val="20"/>
        </w:rPr>
      </w:pPr>
      <w:r w:rsidRPr="00373E2E">
        <w:rPr>
          <w:rFonts w:ascii="Lucida Sans" w:hAnsi="Lucida Sans"/>
          <w:b/>
          <w:color w:val="auto"/>
          <w:sz w:val="20"/>
          <w:szCs w:val="20"/>
        </w:rPr>
        <w:t>review/clarify the scenario and cost presentations:</w:t>
      </w:r>
    </w:p>
    <w:p w14:paraId="38E13A02" w14:textId="77777777" w:rsidR="00CD46B7" w:rsidRPr="00373E2E" w:rsidRDefault="00CD46B7" w:rsidP="00303D05">
      <w:pPr>
        <w:pStyle w:val="Memberscomments"/>
        <w:numPr>
          <w:ilvl w:val="1"/>
          <w:numId w:val="39"/>
        </w:numPr>
        <w:spacing w:after="120" w:line="240" w:lineRule="auto"/>
        <w:rPr>
          <w:rFonts w:ascii="Lucida Sans" w:hAnsi="Lucida Sans"/>
          <w:color w:val="auto"/>
          <w:sz w:val="20"/>
          <w:szCs w:val="20"/>
        </w:rPr>
      </w:pPr>
      <w:r w:rsidRPr="00373E2E">
        <w:rPr>
          <w:rFonts w:ascii="Lucida Sans" w:hAnsi="Lucida Sans"/>
          <w:b/>
          <w:color w:val="auto"/>
          <w:sz w:val="20"/>
          <w:szCs w:val="20"/>
        </w:rPr>
        <w:t xml:space="preserve">for closed-ended fund. </w:t>
      </w:r>
      <w:r w:rsidRPr="00373E2E">
        <w:rPr>
          <w:rFonts w:ascii="Lucida Sans" w:hAnsi="Lucida Sans"/>
          <w:color w:val="auto"/>
          <w:sz w:val="20"/>
          <w:szCs w:val="20"/>
        </w:rPr>
        <w:t>The information presented in the PRIIP KID should reflect the PRIIP’s lifetime (RHP) and be based on the business forecast given for these highly individualised funds (e.g. ELTIF, EUVECA, EUSEF, real estate and other private equity or debt funds). This would facilitate retail investors’ understanding of the financial characteristic of these PRIIPs and encourage long-term investments in line with the CMU objectives;</w:t>
      </w:r>
    </w:p>
    <w:p w14:paraId="337B2349" w14:textId="77777777" w:rsidR="00CD46B7" w:rsidRPr="00373E2E" w:rsidRDefault="00CD46B7" w:rsidP="00303D05">
      <w:pPr>
        <w:pStyle w:val="Memberscomments"/>
        <w:numPr>
          <w:ilvl w:val="1"/>
          <w:numId w:val="39"/>
        </w:numPr>
        <w:spacing w:after="120" w:line="240" w:lineRule="auto"/>
        <w:rPr>
          <w:rFonts w:ascii="Lucida Sans" w:hAnsi="Lucida Sans"/>
          <w:color w:val="auto"/>
          <w:sz w:val="20"/>
          <w:szCs w:val="20"/>
        </w:rPr>
      </w:pPr>
      <w:r w:rsidRPr="00373E2E">
        <w:rPr>
          <w:rFonts w:ascii="Lucida Sans" w:hAnsi="Lucida Sans"/>
          <w:b/>
          <w:color w:val="auto"/>
          <w:sz w:val="20"/>
          <w:szCs w:val="20"/>
        </w:rPr>
        <w:lastRenderedPageBreak/>
        <w:t>for funds that provides single investment or regular investments</w:t>
      </w:r>
      <w:r w:rsidRPr="00373E2E">
        <w:rPr>
          <w:rFonts w:ascii="Lucida Sans" w:hAnsi="Lucida Sans"/>
          <w:color w:val="auto"/>
          <w:sz w:val="20"/>
          <w:szCs w:val="20"/>
        </w:rPr>
        <w:t>:</w:t>
      </w:r>
      <w:r w:rsidRPr="00373E2E">
        <w:rPr>
          <w:rFonts w:ascii="Lucida Sans" w:hAnsi="Lucida Sans"/>
          <w:sz w:val="20"/>
          <w:szCs w:val="20"/>
        </w:rPr>
        <w:t xml:space="preserve"> </w:t>
      </w:r>
      <w:r w:rsidRPr="00373E2E">
        <w:rPr>
          <w:rFonts w:ascii="Lucida Sans" w:hAnsi="Lucida Sans"/>
          <w:color w:val="auto"/>
          <w:sz w:val="20"/>
          <w:szCs w:val="20"/>
        </w:rPr>
        <w:t xml:space="preserve">only the information based on single investment should be reflected in the PRIIP KID since it is potentially the most unfavourable one as it does not </w:t>
      </w:r>
      <w:proofErr w:type="gramStart"/>
      <w:r w:rsidRPr="00373E2E">
        <w:rPr>
          <w:rFonts w:ascii="Lucida Sans" w:hAnsi="Lucida Sans"/>
          <w:color w:val="auto"/>
          <w:sz w:val="20"/>
          <w:szCs w:val="20"/>
        </w:rPr>
        <w:t>take into account</w:t>
      </w:r>
      <w:proofErr w:type="gramEnd"/>
      <w:r w:rsidRPr="00373E2E">
        <w:rPr>
          <w:rFonts w:ascii="Lucida Sans" w:hAnsi="Lucida Sans"/>
          <w:color w:val="auto"/>
          <w:sz w:val="20"/>
          <w:szCs w:val="20"/>
        </w:rPr>
        <w:t xml:space="preserve"> the mitigations offered by a regular investment (market timing).</w:t>
      </w:r>
    </w:p>
    <w:p w14:paraId="16058914" w14:textId="77777777" w:rsidR="00CD46B7" w:rsidRPr="00373E2E" w:rsidRDefault="00CD46B7" w:rsidP="00CD46B7">
      <w:pPr>
        <w:spacing w:before="120" w:after="120"/>
        <w:jc w:val="both"/>
        <w:rPr>
          <w:rFonts w:ascii="Lucida Sans" w:hAnsi="Lucida Sans"/>
          <w:szCs w:val="20"/>
        </w:rPr>
      </w:pPr>
    </w:p>
    <w:p w14:paraId="6D688AC5" w14:textId="77777777" w:rsidR="00CD46B7" w:rsidRPr="00373E2E" w:rsidRDefault="00CD46B7" w:rsidP="00CD46B7">
      <w:pPr>
        <w:pStyle w:val="FCAHeadingLevel2"/>
        <w:autoSpaceDE w:val="0"/>
        <w:autoSpaceDN w:val="0"/>
        <w:adjustRightInd w:val="0"/>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 xml:space="preserve">Last, but not least, </w:t>
      </w:r>
      <w:r w:rsidRPr="00373E2E">
        <w:rPr>
          <w:rFonts w:ascii="Lucida Sans" w:hAnsi="Lucida Sans"/>
          <w:color w:val="auto"/>
          <w:sz w:val="20"/>
          <w:szCs w:val="20"/>
          <w:u w:val="none"/>
        </w:rPr>
        <w:t xml:space="preserve">a review of the disclosure regime for UCITS should be applied, </w:t>
      </w:r>
      <w:r w:rsidRPr="00373E2E">
        <w:rPr>
          <w:rFonts w:ascii="Lucida Sans" w:hAnsi="Lucida Sans"/>
          <w:b w:val="0"/>
          <w:color w:val="auto"/>
          <w:sz w:val="20"/>
          <w:szCs w:val="20"/>
          <w:u w:val="none"/>
        </w:rPr>
        <w:t xml:space="preserve">since it would be inappropriate and costly to make the UCITS KIID (only) for professional investors (which are not in the scope of PRIIPs) who </w:t>
      </w:r>
      <w:proofErr w:type="gramStart"/>
      <w:r w:rsidRPr="00373E2E">
        <w:rPr>
          <w:rFonts w:ascii="Lucida Sans" w:hAnsi="Lucida Sans"/>
          <w:b w:val="0"/>
          <w:color w:val="auto"/>
          <w:sz w:val="20"/>
          <w:szCs w:val="20"/>
          <w:u w:val="none"/>
        </w:rPr>
        <w:t>are capable of analysing</w:t>
      </w:r>
      <w:proofErr w:type="gramEnd"/>
      <w:r w:rsidRPr="00373E2E">
        <w:rPr>
          <w:rFonts w:ascii="Lucida Sans" w:hAnsi="Lucida Sans"/>
          <w:b w:val="0"/>
          <w:color w:val="auto"/>
          <w:sz w:val="20"/>
          <w:szCs w:val="20"/>
          <w:u w:val="none"/>
        </w:rPr>
        <w:t xml:space="preserve"> more complex information beyond UCITS KIID or PRIIP KID.</w:t>
      </w:r>
    </w:p>
    <w:p w14:paraId="6A3CB061" w14:textId="276699A3" w:rsidR="00B327E9" w:rsidRDefault="00B327E9" w:rsidP="00B327E9"/>
    <w:permEnd w:id="411981036"/>
    <w:p w14:paraId="6A3CB062" w14:textId="1DA6EC94" w:rsidR="00B327E9" w:rsidRPr="00BF28DA" w:rsidRDefault="00B327E9" w:rsidP="00B327E9">
      <w:r w:rsidRPr="00BF28DA">
        <w:t>&lt;ESA_COMMENT_</w:t>
      </w:r>
      <w:r w:rsidR="00197794">
        <w:rPr>
          <w:rStyle w:val="Enfasidelicata"/>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2731FDC7" w14:textId="77777777" w:rsidR="00A67FFC" w:rsidRPr="00373E2E" w:rsidRDefault="00A67FFC" w:rsidP="00A67FFC">
      <w:pPr>
        <w:spacing w:before="120" w:after="120"/>
        <w:jc w:val="both"/>
        <w:rPr>
          <w:rFonts w:ascii="Lucida Sans" w:hAnsi="Lucida Sans"/>
          <w:szCs w:val="20"/>
        </w:rPr>
      </w:pPr>
      <w:permStart w:id="1221819945" w:edGrp="everyone"/>
      <w:r w:rsidRPr="00373E2E">
        <w:rPr>
          <w:rFonts w:ascii="Lucida Sans" w:hAnsi="Lucida Sans"/>
          <w:szCs w:val="20"/>
        </w:rPr>
        <w:t>We generally support rules that enable digital solutions, however, in order to provide digital solutions, the whole PRIIPs framework should be reviewed. For time being, many provisions refer to “paper” or “hardcopy” documents.</w:t>
      </w:r>
    </w:p>
    <w:p w14:paraId="43E18E9D" w14:textId="77777777" w:rsidR="00A67FFC" w:rsidRPr="00373E2E" w:rsidRDefault="00A67FFC" w:rsidP="00A67FFC">
      <w:pPr>
        <w:spacing w:before="120" w:after="120"/>
        <w:jc w:val="both"/>
        <w:rPr>
          <w:rFonts w:ascii="Lucida Sans" w:hAnsi="Lucida Sans"/>
          <w:szCs w:val="20"/>
        </w:rPr>
      </w:pPr>
      <w:r w:rsidRPr="00373E2E">
        <w:rPr>
          <w:rFonts w:ascii="Lucida Sans" w:hAnsi="Lucida Sans"/>
          <w:szCs w:val="20"/>
        </w:rPr>
        <w:t>In this specific regard, for example, art. 13 of the PRIIP Regulation, while acknowledging the possibility of using a durable medium or a website for the supply of the KID, allows these methods only if pre-established conditions are met and art. 17 of the Delegated Regulation provides for the "delivery" of the KID.</w:t>
      </w:r>
    </w:p>
    <w:p w14:paraId="6496FAC5" w14:textId="1B1C493A" w:rsidR="003E573C" w:rsidRDefault="003E573C" w:rsidP="003E573C">
      <w:pPr>
        <w:rPr>
          <w:rFonts w:cs="Arial"/>
        </w:rPr>
      </w:pP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7A09C6A0" w14:textId="5989A44C" w:rsidR="003E573C" w:rsidRDefault="003E573C" w:rsidP="003E573C">
      <w:pPr>
        <w:rPr>
          <w:rFonts w:cs="Arial"/>
        </w:rPr>
      </w:pPr>
      <w:permStart w:id="729947415" w:edGrp="everyone"/>
    </w:p>
    <w:p w14:paraId="537356B3" w14:textId="77777777" w:rsidR="00F23768" w:rsidRPr="00373E2E" w:rsidRDefault="00F23768" w:rsidP="007D37F7">
      <w:pPr>
        <w:pStyle w:val="Testocommento"/>
        <w:spacing w:after="120"/>
        <w:jc w:val="both"/>
        <w:rPr>
          <w:rFonts w:ascii="Lucida Sans" w:hAnsi="Lucida Sans"/>
        </w:rPr>
      </w:pPr>
      <w:r w:rsidRPr="00373E2E">
        <w:rPr>
          <w:rFonts w:ascii="Lucida Sans" w:hAnsi="Lucida Sans"/>
        </w:rPr>
        <w:t>Even if we generally agree with the idea of foreseeing digital solution in order to provide information to the investors through the PRIIPs KID, we believe that it should be coordinated and aligned to the PRIIPs KID underlying ratio and so the need of providing accurate, fair, clear and not misleading information in order to provide the retail investors for an understandable document.</w:t>
      </w:r>
    </w:p>
    <w:p w14:paraId="0AD1E600" w14:textId="77777777" w:rsidR="00F23768" w:rsidRPr="00373E2E" w:rsidRDefault="00F23768" w:rsidP="00F23768">
      <w:pPr>
        <w:spacing w:before="120" w:after="120"/>
        <w:jc w:val="both"/>
        <w:rPr>
          <w:rFonts w:ascii="Lucida Sans" w:hAnsi="Lucida Sans"/>
          <w:szCs w:val="20"/>
        </w:rPr>
      </w:pPr>
      <w:r w:rsidRPr="00373E2E">
        <w:rPr>
          <w:rFonts w:ascii="Lucida Sans" w:hAnsi="Lucida Sans"/>
          <w:szCs w:val="20"/>
        </w:rPr>
        <w:t>We wonder what the ESAs would consider an “IT tool” and we believe the creation of data standards is no trivial task and should be fully thought through by the ESAs.</w:t>
      </w:r>
    </w:p>
    <w:p w14:paraId="1070D3A0" w14:textId="77777777" w:rsidR="00F23768" w:rsidRDefault="00F23768" w:rsidP="003E573C">
      <w:pPr>
        <w:rPr>
          <w:rFonts w:cs="Arial"/>
        </w:rPr>
      </w:pP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72A23BA0" w14:textId="64A3A315" w:rsidR="003E573C" w:rsidRDefault="003E573C" w:rsidP="003E573C">
      <w:pPr>
        <w:rPr>
          <w:rFonts w:cs="Arial"/>
        </w:rPr>
      </w:pPr>
      <w:permStart w:id="677205538" w:edGrp="everyone"/>
    </w:p>
    <w:p w14:paraId="41720191" w14:textId="77777777" w:rsidR="0081604D" w:rsidRPr="00373E2E" w:rsidRDefault="0081604D" w:rsidP="0081604D">
      <w:pPr>
        <w:spacing w:before="120" w:after="120"/>
        <w:jc w:val="both"/>
        <w:rPr>
          <w:rFonts w:ascii="Lucida Sans" w:hAnsi="Lucida Sans"/>
          <w:szCs w:val="20"/>
        </w:rPr>
      </w:pPr>
      <w:r w:rsidRPr="00373E2E">
        <w:rPr>
          <w:rFonts w:ascii="Lucida Sans" w:hAnsi="Lucida Sans"/>
          <w:szCs w:val="20"/>
        </w:rPr>
        <w:t xml:space="preserve">We do believe that it should be better </w:t>
      </w:r>
      <w:r w:rsidRPr="00373E2E">
        <w:rPr>
          <w:rFonts w:ascii="Lucida Sans" w:hAnsi="Lucida Sans"/>
          <w:b/>
          <w:szCs w:val="20"/>
        </w:rPr>
        <w:t>to postpone the implementation of the amendments</w:t>
      </w:r>
      <w:r w:rsidRPr="00373E2E">
        <w:rPr>
          <w:rFonts w:ascii="Lucida Sans" w:hAnsi="Lucida Sans"/>
          <w:szCs w:val="20"/>
        </w:rPr>
        <w:t xml:space="preserve"> recommended in the CP </w:t>
      </w:r>
      <w:r w:rsidRPr="00373E2E">
        <w:rPr>
          <w:rFonts w:ascii="Lucida Sans" w:hAnsi="Lucida Sans"/>
          <w:b/>
          <w:szCs w:val="20"/>
        </w:rPr>
        <w:t>to the beginning of January 2022,</w:t>
      </w:r>
      <w:r w:rsidRPr="00373E2E">
        <w:rPr>
          <w:rFonts w:ascii="Lucida Sans" w:hAnsi="Lucida Sans"/>
          <w:szCs w:val="20"/>
        </w:rPr>
        <w:t xml:space="preserve"> in line with the UCITS possible phase-out. </w:t>
      </w:r>
    </w:p>
    <w:p w14:paraId="4DB2EEF7" w14:textId="77777777" w:rsidR="0081604D" w:rsidRPr="00373E2E" w:rsidRDefault="0081604D" w:rsidP="0081604D">
      <w:pPr>
        <w:spacing w:before="120" w:after="120"/>
        <w:jc w:val="both"/>
        <w:rPr>
          <w:rFonts w:ascii="Lucida Sans" w:hAnsi="Lucida Sans"/>
          <w:szCs w:val="20"/>
        </w:rPr>
      </w:pPr>
      <w:r w:rsidRPr="00373E2E">
        <w:rPr>
          <w:rFonts w:ascii="Lucida Sans" w:hAnsi="Lucida Sans"/>
          <w:szCs w:val="20"/>
        </w:rPr>
        <w:t>From an operational perspective, one must also consider that the proposed amendments to the Level 2 Regulation will not be approved before the second half of 2020 (at the earliest). Thus, January 2022 may leave market participants with little more than one year to implement all changes. It is essential that they are given enough time for implementation, which will include, among other things, fundamental changes to the underlying IT infrastructures as well as training of financial advisers.</w:t>
      </w:r>
    </w:p>
    <w:p w14:paraId="74B43C16" w14:textId="77777777" w:rsidR="0081604D" w:rsidRDefault="0081604D" w:rsidP="003E573C">
      <w:pPr>
        <w:rPr>
          <w:rFonts w:cs="Arial"/>
        </w:rPr>
      </w:pP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51DE7B7E" w14:textId="77777777" w:rsidR="00E668FA" w:rsidRPr="00373E2E" w:rsidRDefault="00E668FA" w:rsidP="00E668FA">
      <w:pPr>
        <w:spacing w:before="120" w:after="120"/>
        <w:jc w:val="both"/>
        <w:rPr>
          <w:rFonts w:ascii="Lucida Sans" w:hAnsi="Lucida Sans"/>
          <w:szCs w:val="20"/>
        </w:rPr>
      </w:pPr>
      <w:permStart w:id="1220688604" w:edGrp="everyone"/>
      <w:r w:rsidRPr="00373E2E">
        <w:rPr>
          <w:rFonts w:ascii="Lucida Sans" w:hAnsi="Lucida Sans"/>
          <w:szCs w:val="20"/>
        </w:rPr>
        <w:t>A gradual approach to introducing amendments is not helpful. As in the replied to Q3, our preference is that all changes should be implemented at the beginning of 2022.</w:t>
      </w:r>
    </w:p>
    <w:p w14:paraId="784D9858" w14:textId="7669BF58" w:rsidR="003E573C" w:rsidRDefault="003E573C" w:rsidP="003E573C">
      <w:pPr>
        <w:rPr>
          <w:rFonts w:cs="Arial"/>
        </w:rPr>
      </w:pP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0314F461" w14:textId="77777777" w:rsidR="00CD2439" w:rsidRPr="00373E2E" w:rsidRDefault="00CD2439" w:rsidP="00CD2439">
      <w:pPr>
        <w:pStyle w:val="Memberscomments"/>
        <w:spacing w:after="120" w:line="240" w:lineRule="auto"/>
        <w:rPr>
          <w:rFonts w:ascii="Lucida Sans" w:hAnsi="Lucida Sans"/>
          <w:color w:val="auto"/>
          <w:sz w:val="20"/>
          <w:szCs w:val="20"/>
        </w:rPr>
      </w:pPr>
      <w:permStart w:id="209390932" w:edGrp="everyone"/>
      <w:r w:rsidRPr="00373E2E">
        <w:rPr>
          <w:rFonts w:ascii="Lucida Sans" w:hAnsi="Lucida Sans"/>
          <w:color w:val="auto"/>
          <w:sz w:val="20"/>
          <w:szCs w:val="20"/>
        </w:rPr>
        <w:t>As regards the PRIIPs Delegate Regulation, we would like to raise the following issues:</w:t>
      </w:r>
    </w:p>
    <w:p w14:paraId="55EFE8CE" w14:textId="20B4BDF0" w:rsidR="00CD2439" w:rsidRPr="00373E2E" w:rsidRDefault="00CD2439" w:rsidP="00303D05">
      <w:pPr>
        <w:pStyle w:val="Memberscomments"/>
        <w:numPr>
          <w:ilvl w:val="0"/>
          <w:numId w:val="42"/>
        </w:numPr>
        <w:spacing w:after="120" w:line="240" w:lineRule="auto"/>
        <w:rPr>
          <w:rFonts w:ascii="Lucida Sans" w:hAnsi="Lucida Sans"/>
          <w:color w:val="auto"/>
          <w:sz w:val="20"/>
          <w:szCs w:val="20"/>
        </w:rPr>
      </w:pPr>
      <w:r w:rsidRPr="00373E2E">
        <w:rPr>
          <w:rFonts w:ascii="Lucida Sans" w:hAnsi="Lucida Sans"/>
          <w:b/>
          <w:i/>
          <w:color w:val="auto"/>
          <w:sz w:val="20"/>
          <w:szCs w:val="20"/>
        </w:rPr>
        <w:t>Scenario and cost presentations for closed-ended fund only at RHP</w:t>
      </w:r>
      <w:r w:rsidRPr="00373E2E">
        <w:rPr>
          <w:rFonts w:ascii="Lucida Sans" w:hAnsi="Lucida Sans"/>
          <w:color w:val="auto"/>
          <w:sz w:val="20"/>
          <w:szCs w:val="20"/>
        </w:rPr>
        <w:t xml:space="preserve">.  With specific regards to closed-ended fund that are not tradable or redeemable before the RHP we believe that nor the </w:t>
      </w:r>
      <w:proofErr w:type="gramStart"/>
      <w:r w:rsidRPr="00373E2E">
        <w:rPr>
          <w:rFonts w:ascii="Lucida Sans" w:hAnsi="Lucida Sans"/>
          <w:color w:val="auto"/>
          <w:sz w:val="20"/>
          <w:szCs w:val="20"/>
        </w:rPr>
        <w:t>1 year</w:t>
      </w:r>
      <w:proofErr w:type="gramEnd"/>
      <w:r w:rsidRPr="00373E2E">
        <w:rPr>
          <w:rFonts w:ascii="Lucida Sans" w:hAnsi="Lucida Sans"/>
          <w:color w:val="auto"/>
          <w:sz w:val="20"/>
          <w:szCs w:val="20"/>
        </w:rPr>
        <w:t xml:space="preserve"> period neither the intermediate one is valuable for them. In such case the scenario should be given only at RHP. Similar considerations can be made for ELTIF </w:t>
      </w:r>
      <w:bookmarkStart w:id="1" w:name="_Hlk29556949"/>
      <w:r w:rsidRPr="00373E2E">
        <w:rPr>
          <w:rFonts w:ascii="Lucida Sans" w:hAnsi="Lucida Sans"/>
          <w:color w:val="auto"/>
          <w:sz w:val="20"/>
          <w:szCs w:val="20"/>
        </w:rPr>
        <w:t>which minor redemptions would be possible before the end of</w:t>
      </w:r>
      <w:r w:rsidR="00362B16">
        <w:rPr>
          <w:rFonts w:ascii="Lucida Sans" w:hAnsi="Lucida Sans"/>
          <w:color w:val="auto"/>
          <w:sz w:val="20"/>
          <w:szCs w:val="20"/>
        </w:rPr>
        <w:t xml:space="preserve"> its</w:t>
      </w:r>
      <w:r w:rsidRPr="00373E2E">
        <w:rPr>
          <w:rFonts w:ascii="Lucida Sans" w:hAnsi="Lucida Sans"/>
          <w:color w:val="auto"/>
          <w:sz w:val="20"/>
          <w:szCs w:val="20"/>
        </w:rPr>
        <w:t xml:space="preserve"> life </w:t>
      </w:r>
      <w:bookmarkEnd w:id="1"/>
      <w:r w:rsidRPr="00373E2E">
        <w:rPr>
          <w:rFonts w:ascii="Lucida Sans" w:hAnsi="Lucida Sans"/>
          <w:color w:val="auto"/>
          <w:sz w:val="20"/>
          <w:szCs w:val="20"/>
        </w:rPr>
        <w:t xml:space="preserve">or for Category 1 closed-end funds admitted to trading on the secondary market whose value is linked to the NAV or have a relevant liquidity risk (please see our response to Q7). </w:t>
      </w:r>
    </w:p>
    <w:p w14:paraId="6FC3102F" w14:textId="77777777" w:rsidR="00CD2439" w:rsidRPr="00373E2E" w:rsidRDefault="00CD2439" w:rsidP="00303D05">
      <w:pPr>
        <w:pStyle w:val="Memberscomments"/>
        <w:numPr>
          <w:ilvl w:val="0"/>
          <w:numId w:val="42"/>
        </w:numPr>
        <w:spacing w:after="120" w:line="240" w:lineRule="auto"/>
        <w:rPr>
          <w:rFonts w:ascii="Lucida Sans" w:hAnsi="Lucida Sans"/>
          <w:bCs/>
          <w:i/>
          <w:iCs/>
          <w:color w:val="auto"/>
          <w:sz w:val="20"/>
          <w:szCs w:val="20"/>
          <w:u w:val="single"/>
        </w:rPr>
      </w:pPr>
      <w:r w:rsidRPr="00373E2E">
        <w:rPr>
          <w:rFonts w:ascii="Lucida Sans" w:hAnsi="Lucida Sans"/>
          <w:b/>
          <w:bCs/>
          <w:i/>
          <w:iCs/>
          <w:color w:val="auto"/>
          <w:sz w:val="20"/>
          <w:szCs w:val="20"/>
        </w:rPr>
        <w:t xml:space="preserve">Scenario and cost presentations for funds that </w:t>
      </w:r>
      <w:r w:rsidRPr="00373E2E">
        <w:rPr>
          <w:rFonts w:ascii="Lucida Sans" w:hAnsi="Lucida Sans"/>
          <w:b/>
          <w:i/>
          <w:color w:val="auto"/>
          <w:sz w:val="20"/>
          <w:szCs w:val="20"/>
        </w:rPr>
        <w:t>provides single investment or regular investments</w:t>
      </w:r>
      <w:r w:rsidRPr="00373E2E">
        <w:rPr>
          <w:rFonts w:ascii="Lucida Sans" w:hAnsi="Lucida Sans"/>
          <w:i/>
          <w:color w:val="auto"/>
          <w:sz w:val="20"/>
          <w:szCs w:val="20"/>
        </w:rPr>
        <w:t xml:space="preserve"> (Delegated Regulation Annex IV, par. 32, Annex V, part. II, Annex VI, par. 90, Annex VII).</w:t>
      </w:r>
      <w:r w:rsidRPr="00373E2E">
        <w:rPr>
          <w:rFonts w:ascii="Lucida Sans" w:hAnsi="Lucida Sans"/>
          <w:color w:val="auto"/>
          <w:sz w:val="20"/>
          <w:szCs w:val="20"/>
        </w:rPr>
        <w:t xml:space="preserve"> There may be also a need for a clarification where two different subscription methods, at the option of the investor, are offered by the same fund: single investment or regular investments. In such a case, it should be clarified that the information based on single investment should be reflected in the PRIIP KID only since it is potentially the most unfavourable one as it does not </w:t>
      </w:r>
      <w:proofErr w:type="gramStart"/>
      <w:r w:rsidRPr="00373E2E">
        <w:rPr>
          <w:rFonts w:ascii="Lucida Sans" w:hAnsi="Lucida Sans"/>
          <w:color w:val="auto"/>
          <w:sz w:val="20"/>
          <w:szCs w:val="20"/>
        </w:rPr>
        <w:t>take into account</w:t>
      </w:r>
      <w:proofErr w:type="gramEnd"/>
      <w:r w:rsidRPr="00373E2E">
        <w:rPr>
          <w:rFonts w:ascii="Lucida Sans" w:hAnsi="Lucida Sans"/>
          <w:color w:val="auto"/>
          <w:sz w:val="20"/>
          <w:szCs w:val="20"/>
        </w:rPr>
        <w:t xml:space="preserve"> the mitigations offered by a regular investment (market timing). This also in line with the combined provision of the contents of par. 32 of Annex IV of the PRIIP Delegated Regulation 2017/653 and Annex VI, point 90, which refer, except for insurance products, to the sole method of payment in a single investment. Furthermore, also in the representation of the costs referred to in Annex VII, reference is made exclusively to the regular “premium” (not regular investment), therefore with exclusive regard to insurance products. In line with above, the presentation of the template </w:t>
      </w:r>
      <w:proofErr w:type="gramStart"/>
      <w:r w:rsidRPr="00373E2E">
        <w:rPr>
          <w:rFonts w:ascii="Lucida Sans" w:hAnsi="Lucida Sans"/>
          <w:color w:val="auto"/>
          <w:sz w:val="20"/>
          <w:szCs w:val="20"/>
        </w:rPr>
        <w:t>named ”Regular</w:t>
      </w:r>
      <w:proofErr w:type="gramEnd"/>
      <w:r w:rsidRPr="00373E2E">
        <w:rPr>
          <w:rFonts w:ascii="Lucida Sans" w:hAnsi="Lucida Sans"/>
          <w:color w:val="auto"/>
          <w:sz w:val="20"/>
          <w:szCs w:val="20"/>
        </w:rPr>
        <w:t xml:space="preserve"> investment paid” in Annex V, Part II, Template B should be eliminated. Should the ESAs require both presentations (single and regular investments) for PRIIPs different from regular premium insurance-based investment products, a coordination is needed between Annexes IV, V, VI and VII</w:t>
      </w:r>
      <w:r w:rsidRPr="00373E2E">
        <w:rPr>
          <w:rFonts w:ascii="Lucida Sans" w:hAnsi="Lucida Sans"/>
          <w:sz w:val="20"/>
          <w:szCs w:val="20"/>
        </w:rPr>
        <w:t>.</w:t>
      </w:r>
    </w:p>
    <w:p w14:paraId="2950DAC1" w14:textId="77777777" w:rsidR="00CD2439" w:rsidRPr="00373E2E" w:rsidRDefault="00CD2439" w:rsidP="00CD2439">
      <w:pPr>
        <w:pStyle w:val="Memberscomments"/>
        <w:spacing w:after="120" w:line="240" w:lineRule="auto"/>
        <w:rPr>
          <w:rFonts w:ascii="Lucida Sans" w:hAnsi="Lucida Sans"/>
          <w:sz w:val="20"/>
          <w:szCs w:val="20"/>
        </w:rPr>
      </w:pPr>
    </w:p>
    <w:p w14:paraId="1DE4E55F" w14:textId="77777777" w:rsidR="00CD2439" w:rsidRPr="00373E2E" w:rsidRDefault="00CD2439" w:rsidP="00CD2439">
      <w:pPr>
        <w:jc w:val="both"/>
        <w:rPr>
          <w:rFonts w:ascii="Lucida Sans" w:hAnsi="Lucida Sans"/>
          <w:szCs w:val="20"/>
        </w:rPr>
      </w:pPr>
      <w:r w:rsidRPr="00373E2E">
        <w:rPr>
          <w:rFonts w:ascii="Lucida Sans" w:hAnsi="Lucida Sans"/>
          <w:szCs w:val="20"/>
        </w:rPr>
        <w:t>On a technical level, further clarity must also be provided with regards to the following:</w:t>
      </w:r>
    </w:p>
    <w:p w14:paraId="71403D62" w14:textId="77777777" w:rsidR="00CD2439" w:rsidRPr="00373E2E" w:rsidRDefault="00CD2439" w:rsidP="00303D05">
      <w:pPr>
        <w:pStyle w:val="Paragrafoelenco"/>
        <w:numPr>
          <w:ilvl w:val="0"/>
          <w:numId w:val="41"/>
        </w:numPr>
        <w:spacing w:before="120" w:after="200"/>
        <w:jc w:val="both"/>
        <w:rPr>
          <w:rFonts w:ascii="Lucida Sans" w:hAnsi="Lucida Sans"/>
          <w:szCs w:val="20"/>
        </w:rPr>
      </w:pPr>
      <w:r w:rsidRPr="00373E2E">
        <w:rPr>
          <w:rFonts w:ascii="Lucida Sans" w:hAnsi="Lucida Sans"/>
          <w:szCs w:val="20"/>
          <w:u w:val="single"/>
        </w:rPr>
        <w:t xml:space="preserve">Minimum data requirement </w:t>
      </w:r>
      <w:r w:rsidRPr="00373E2E">
        <w:rPr>
          <w:rFonts w:ascii="Lucida Sans" w:hAnsi="Lucida Sans"/>
          <w:szCs w:val="20"/>
        </w:rPr>
        <w:t>(Delegated Regulation, Annex II, para. 10, flow chart - 4. Flow Diagrams, A. SRI, Section 2, Part 2 on page 6, Q&amp;A #11</w:t>
      </w:r>
      <w:r w:rsidRPr="00373E2E">
        <w:rPr>
          <w:rStyle w:val="Rimandonotaapidipagina"/>
          <w:rFonts w:ascii="Lucida Sans" w:hAnsi="Lucida Sans"/>
          <w:szCs w:val="20"/>
        </w:rPr>
        <w:footnoteReference w:id="6"/>
      </w:r>
      <w:r w:rsidRPr="00373E2E">
        <w:rPr>
          <w:rFonts w:ascii="Lucida Sans" w:hAnsi="Lucida Sans"/>
          <w:szCs w:val="20"/>
        </w:rPr>
        <w:t xml:space="preserve"> ). Para. 10 of Annex II of the Delegated Regulation states that “</w:t>
      </w:r>
      <w:r w:rsidRPr="00373E2E">
        <w:rPr>
          <w:rFonts w:ascii="Lucida Sans" w:hAnsi="Lucida Sans"/>
          <w:i/>
          <w:szCs w:val="20"/>
        </w:rPr>
        <w:t>where data on daily pricing covering a period of 5 years are not available, a shorter period may be used. For daily observations of a PRIIP’s or its benchmark or proxy’s price, there shall be at least 2 years of observed returns</w:t>
      </w:r>
      <w:r w:rsidRPr="00373E2E">
        <w:rPr>
          <w:rFonts w:ascii="Lucida Sans" w:hAnsi="Lucida Sans"/>
          <w:szCs w:val="20"/>
        </w:rPr>
        <w:t>.”</w:t>
      </w:r>
      <w:r w:rsidRPr="00373E2E">
        <w:t xml:space="preserve"> It </w:t>
      </w:r>
      <w:r w:rsidRPr="00373E2E">
        <w:rPr>
          <w:rFonts w:ascii="Lucida Sans" w:hAnsi="Lucida Sans"/>
          <w:szCs w:val="20"/>
        </w:rPr>
        <w:t xml:space="preserve">is not clear what the minimum data requirement is where a benchmark/proxy is available for 5 years: 2 years or 5 years? It appears that the use of 5 years historical return is possible but not mandatory and that the historical 2 years can also be used (as “the minimum”). This could create level playing field problems. For example, if in the last 5 years, the more recent 2 are been characterised by a lower market volatility, funds that haven’t got 5 (or not concatenate up to 5) years historical data would have a lower MRM than already operating funds that have 5 years of price (NAV). Therefore, to prevent the MRM of similar funds from differing, it should be clarified that the minimum requirement period is always 5 years (and not 2 years) when 5 years data would be available with appropriate benchmarks or available proxies. We suggest </w:t>
      </w:r>
      <w:r w:rsidRPr="00373E2E">
        <w:rPr>
          <w:rFonts w:ascii="Lucida Sans" w:hAnsi="Lucida Sans"/>
          <w:szCs w:val="20"/>
        </w:rPr>
        <w:lastRenderedPageBreak/>
        <w:t>updating para. 10 as follow: “</w:t>
      </w:r>
      <w:r w:rsidRPr="00373E2E">
        <w:rPr>
          <w:rFonts w:ascii="Lucida Sans" w:hAnsi="Lucida Sans"/>
          <w:i/>
          <w:szCs w:val="20"/>
        </w:rPr>
        <w:t xml:space="preserve">where data on daily pricing covering a period of 5 years are not available </w:t>
      </w:r>
      <w:r w:rsidRPr="00373E2E">
        <w:rPr>
          <w:rFonts w:ascii="Lucida Sans" w:hAnsi="Lucida Sans"/>
          <w:i/>
          <w:color w:val="FF0000"/>
          <w:szCs w:val="20"/>
        </w:rPr>
        <w:t xml:space="preserve">(including concatenation with representative benchmark or available proxy data) </w:t>
      </w:r>
      <w:r w:rsidRPr="00373E2E">
        <w:rPr>
          <w:rFonts w:ascii="Lucida Sans" w:hAnsi="Lucida Sans"/>
          <w:i/>
          <w:szCs w:val="20"/>
        </w:rPr>
        <w:t>…”</w:t>
      </w:r>
    </w:p>
    <w:p w14:paraId="487FCA91" w14:textId="77777777" w:rsidR="00CD2439" w:rsidRPr="00373E2E" w:rsidRDefault="00CD2439" w:rsidP="00CD2439">
      <w:pPr>
        <w:pStyle w:val="Paragrafoelenco"/>
        <w:rPr>
          <w:rFonts w:ascii="Lucida Sans" w:hAnsi="Lucida Sans"/>
          <w:szCs w:val="20"/>
        </w:rPr>
      </w:pPr>
    </w:p>
    <w:p w14:paraId="698B0127" w14:textId="77777777" w:rsidR="00CD2439" w:rsidRPr="00373E2E" w:rsidRDefault="00CD2439" w:rsidP="00303D05">
      <w:pPr>
        <w:pStyle w:val="Paragrafoelenco"/>
        <w:numPr>
          <w:ilvl w:val="0"/>
          <w:numId w:val="41"/>
        </w:numPr>
        <w:spacing w:before="120" w:after="200"/>
        <w:jc w:val="both"/>
        <w:rPr>
          <w:rFonts w:ascii="Lucida Sans" w:hAnsi="Lucida Sans"/>
          <w:szCs w:val="20"/>
        </w:rPr>
      </w:pPr>
      <w:r w:rsidRPr="00373E2E">
        <w:rPr>
          <w:rFonts w:ascii="Lucida Sans" w:hAnsi="Lucida Sans"/>
          <w:szCs w:val="20"/>
          <w:u w:val="single"/>
        </w:rPr>
        <w:t>MRM update</w:t>
      </w:r>
      <w:r w:rsidRPr="00373E2E">
        <w:rPr>
          <w:rFonts w:ascii="Lucida Sans" w:hAnsi="Lucida Sans"/>
          <w:szCs w:val="20"/>
        </w:rPr>
        <w:t xml:space="preserve"> (Delegated Regulation, Annex II, para. 53). The provisions in relation to the MRM “risk bucket” updates are different between the UCITS KIID and the PRIIP KID. In the UCITS KIID, the update </w:t>
      </w:r>
      <w:proofErr w:type="gramStart"/>
      <w:r w:rsidRPr="00373E2E">
        <w:rPr>
          <w:rFonts w:ascii="Lucida Sans" w:hAnsi="Lucida Sans"/>
          <w:szCs w:val="20"/>
        </w:rPr>
        <w:t>has to</w:t>
      </w:r>
      <w:proofErr w:type="gramEnd"/>
      <w:r w:rsidRPr="00373E2E">
        <w:rPr>
          <w:rFonts w:ascii="Lucida Sans" w:hAnsi="Lucida Sans"/>
          <w:szCs w:val="20"/>
        </w:rPr>
        <w:t xml:space="preserve"> be carried out when the MRM falls outside its bucket on each weekly or monthly data reference point over the preceding four months. In the PRIIP KID, the update is driven by </w:t>
      </w:r>
      <w:proofErr w:type="gramStart"/>
      <w:r w:rsidRPr="00373E2E">
        <w:rPr>
          <w:rFonts w:ascii="Lucida Sans" w:hAnsi="Lucida Sans"/>
          <w:szCs w:val="20"/>
        </w:rPr>
        <w:t>the majority of</w:t>
      </w:r>
      <w:proofErr w:type="gramEnd"/>
      <w:r w:rsidRPr="00373E2E">
        <w:rPr>
          <w:rFonts w:ascii="Lucida Sans" w:hAnsi="Lucida Sans"/>
          <w:szCs w:val="20"/>
        </w:rPr>
        <w:t xml:space="preserve"> evidence of the last four months, regardless of the time pattern of the series. This could lead to a more frequent risk class update for funds that fall in between two MRM class. We believe that RTS should be updated in line with UCITS rules. </w:t>
      </w:r>
    </w:p>
    <w:p w14:paraId="14B82543" w14:textId="77777777" w:rsidR="00CD2439" w:rsidRPr="00373E2E" w:rsidRDefault="00CD2439" w:rsidP="00CD2439">
      <w:pPr>
        <w:pStyle w:val="Paragrafoelenco"/>
        <w:rPr>
          <w:rFonts w:ascii="Lucida Sans" w:hAnsi="Lucida Sans"/>
          <w:szCs w:val="20"/>
        </w:rPr>
      </w:pPr>
    </w:p>
    <w:p w14:paraId="777A4AFC" w14:textId="77777777" w:rsidR="00CD2439" w:rsidRPr="00373E2E" w:rsidRDefault="00CD2439" w:rsidP="00303D05">
      <w:pPr>
        <w:pStyle w:val="Paragrafoelenco"/>
        <w:numPr>
          <w:ilvl w:val="0"/>
          <w:numId w:val="41"/>
        </w:numPr>
        <w:spacing w:before="120" w:after="200"/>
        <w:jc w:val="both"/>
        <w:rPr>
          <w:rFonts w:ascii="Lucida Sans" w:hAnsi="Lucida Sans"/>
          <w:szCs w:val="20"/>
        </w:rPr>
      </w:pPr>
      <w:r w:rsidRPr="00373E2E">
        <w:rPr>
          <w:rFonts w:ascii="Lucida Sans" w:hAnsi="Lucida Sans"/>
          <w:szCs w:val="20"/>
          <w:u w:val="single"/>
        </w:rPr>
        <w:t>Cost of acquiring or disposing of units in UCITS or AIF</w:t>
      </w:r>
      <w:r w:rsidRPr="00373E2E">
        <w:rPr>
          <w:rFonts w:ascii="Lucida Sans" w:hAnsi="Lucida Sans"/>
          <w:szCs w:val="20"/>
        </w:rPr>
        <w:t xml:space="preserve"> (Delegate Regulation, Annex VI, para. 5, lit. l and m). The provisions should exclude the reference to the summary cost indicator to avoid an overestimation of the costs to be presented to investors, especially if entry fee </w:t>
      </w:r>
      <w:proofErr w:type="gramStart"/>
      <w:r w:rsidRPr="00373E2E">
        <w:rPr>
          <w:rFonts w:ascii="Lucida Sans" w:hAnsi="Lucida Sans"/>
          <w:szCs w:val="20"/>
        </w:rPr>
        <w:t>are</w:t>
      </w:r>
      <w:proofErr w:type="gramEnd"/>
      <w:r w:rsidRPr="00373E2E">
        <w:rPr>
          <w:rFonts w:ascii="Lucida Sans" w:hAnsi="Lucida Sans"/>
          <w:szCs w:val="20"/>
        </w:rPr>
        <w:t xml:space="preserve"> calculated as their maximum values, even if not paid by an asset manager (please see also our response to Q39. In addition, such figure currently </w:t>
      </w:r>
      <w:proofErr w:type="gramStart"/>
      <w:r w:rsidRPr="00373E2E">
        <w:rPr>
          <w:rFonts w:ascii="Lucida Sans" w:hAnsi="Lucida Sans"/>
          <w:szCs w:val="20"/>
        </w:rPr>
        <w:t>include</w:t>
      </w:r>
      <w:proofErr w:type="gramEnd"/>
      <w:r w:rsidRPr="00373E2E">
        <w:rPr>
          <w:rFonts w:ascii="Lucida Sans" w:hAnsi="Lucida Sans"/>
          <w:szCs w:val="20"/>
        </w:rPr>
        <w:t xml:space="preserve"> a time horizon and a yield assumption (moderate performance scenarios). </w:t>
      </w:r>
    </w:p>
    <w:p w14:paraId="4EE27C0A" w14:textId="7775F3C0" w:rsidR="003E573C" w:rsidRDefault="003E573C" w:rsidP="003E573C">
      <w:pPr>
        <w:rPr>
          <w:rFonts w:cs="Arial"/>
        </w:rPr>
      </w:pP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65249214" w14:textId="77777777" w:rsidR="00607C6D" w:rsidRPr="00373E2E" w:rsidRDefault="00607C6D" w:rsidP="00607C6D">
      <w:pPr>
        <w:spacing w:before="120" w:after="120"/>
        <w:ind w:left="360"/>
        <w:jc w:val="both"/>
        <w:rPr>
          <w:rFonts w:ascii="Lucida Sans" w:hAnsi="Lucida Sans"/>
          <w:szCs w:val="20"/>
        </w:rPr>
      </w:pPr>
      <w:permStart w:id="418122716" w:edGrp="everyone"/>
      <w:r w:rsidRPr="00373E2E">
        <w:rPr>
          <w:rFonts w:ascii="Lucida Sans" w:hAnsi="Lucida Sans"/>
          <w:szCs w:val="20"/>
        </w:rPr>
        <w:t>In general, consumer testing is a cornerstone for “Better Regulation”. Regulatory changes should be based on thorough and in-depth consumer testing processes.</w:t>
      </w:r>
    </w:p>
    <w:p w14:paraId="4704F1A4" w14:textId="77777777" w:rsidR="00607C6D" w:rsidRPr="00373E2E" w:rsidRDefault="00607C6D" w:rsidP="00607C6D">
      <w:pPr>
        <w:spacing w:before="120" w:after="120"/>
        <w:ind w:left="360"/>
        <w:jc w:val="both"/>
        <w:rPr>
          <w:rFonts w:ascii="Lucida Sans" w:hAnsi="Lucida Sans"/>
          <w:color w:val="31849B" w:themeColor="accent5" w:themeShade="BF"/>
          <w:szCs w:val="20"/>
        </w:rPr>
      </w:pPr>
      <w:r w:rsidRPr="00373E2E">
        <w:rPr>
          <w:rFonts w:ascii="Lucida Sans" w:hAnsi="Lucida Sans"/>
          <w:szCs w:val="20"/>
        </w:rPr>
        <w:t>With that in mind, we consider the value of this consumer testing exercise highly questionable. The ESAs themselves explain that “within the timeframe of the current review of the PRIIPs Delegated Regulation, it will not be possible to test all aspects of the KID”</w:t>
      </w:r>
      <w:r w:rsidRPr="00373E2E">
        <w:rPr>
          <w:rStyle w:val="Rimandonotaapidipagina"/>
          <w:rFonts w:ascii="Lucida Sans" w:hAnsi="Lucida Sans"/>
          <w:szCs w:val="20"/>
        </w:rPr>
        <w:footnoteReference w:id="7"/>
      </w:r>
      <w:r w:rsidRPr="00373E2E">
        <w:rPr>
          <w:rFonts w:ascii="Lucida Sans" w:hAnsi="Lucida Sans"/>
          <w:szCs w:val="20"/>
        </w:rPr>
        <w:t>. However, a proper full-scale consumer testing exercise by the European Commission would have allowed insight into the functioning of the current PRIIP KID and provide important understandings for both this technical review and the more fundamental Level 1 review.</w:t>
      </w:r>
    </w:p>
    <w:p w14:paraId="23B6FB65" w14:textId="77777777" w:rsidR="00607C6D" w:rsidRPr="00373E2E" w:rsidRDefault="00607C6D" w:rsidP="00607C6D">
      <w:pPr>
        <w:spacing w:before="120" w:after="120"/>
        <w:ind w:left="360"/>
        <w:jc w:val="both"/>
        <w:rPr>
          <w:rFonts w:ascii="Lucida Sans" w:hAnsi="Lucida Sans"/>
          <w:szCs w:val="20"/>
        </w:rPr>
      </w:pPr>
      <w:r w:rsidRPr="00373E2E">
        <w:rPr>
          <w:rFonts w:ascii="Lucida Sans" w:hAnsi="Lucida Sans"/>
          <w:szCs w:val="20"/>
        </w:rPr>
        <w:t>We understand that only (certain) performance scenarios are being consumer tested. Unfortunately, none of the substantial changes to the presentation of costs is subject to any consumer testing.</w:t>
      </w:r>
    </w:p>
    <w:p w14:paraId="3DD70ADD" w14:textId="77777777" w:rsidR="00607C6D" w:rsidRPr="00373E2E" w:rsidRDefault="00607C6D" w:rsidP="00607C6D">
      <w:pPr>
        <w:spacing w:before="120" w:after="120"/>
        <w:ind w:left="360"/>
        <w:jc w:val="both"/>
        <w:rPr>
          <w:rFonts w:ascii="Lucida Sans" w:hAnsi="Lucida Sans"/>
          <w:szCs w:val="20"/>
        </w:rPr>
      </w:pPr>
      <w:r w:rsidRPr="00373E2E">
        <w:rPr>
          <w:rFonts w:ascii="Lucida Sans" w:hAnsi="Lucida Sans"/>
          <w:szCs w:val="20"/>
        </w:rPr>
        <w:t>With specific regards to disclosing probabilities in the performance scenarios, pending the outcome of the consumer testing, we would like to raise our concerns on the suggested addition of a new column entitled “estimated chance the scenario occurs”. In our views this figures (probabilities) may again provide investors with unrealistic expectations about the future outcome of their investments. We, therefore, suggest not to include such information in the PRIIP KID.</w:t>
      </w:r>
    </w:p>
    <w:p w14:paraId="7DC88A76" w14:textId="77777777" w:rsidR="00607C6D" w:rsidRPr="00373E2E" w:rsidRDefault="00607C6D" w:rsidP="00607C6D">
      <w:pPr>
        <w:spacing w:before="120" w:after="120"/>
        <w:ind w:left="360"/>
        <w:jc w:val="both"/>
        <w:rPr>
          <w:rFonts w:ascii="Lucida Sans" w:hAnsi="Lucida Sans"/>
          <w:szCs w:val="20"/>
        </w:rPr>
      </w:pPr>
      <w:r w:rsidRPr="00373E2E">
        <w:rPr>
          <w:rFonts w:ascii="Lucida Sans" w:hAnsi="Lucida Sans"/>
          <w:szCs w:val="20"/>
        </w:rPr>
        <w:t>In any case, the KID should clearly state that future scenarios are for illustrative purposes only, so that potential investors have a better understanding of the expected return (and risk) of the PRIIP.</w:t>
      </w:r>
    </w:p>
    <w:p w14:paraId="46FB187E" w14:textId="3601263C" w:rsidR="003E573C" w:rsidRDefault="003E573C" w:rsidP="003E573C">
      <w:pPr>
        <w:rPr>
          <w:rFonts w:cs="Arial"/>
        </w:rPr>
      </w:pP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lastRenderedPageBreak/>
        <w:t>&lt;ESA_QUESTION_PKID_7&gt;</w:t>
      </w:r>
    </w:p>
    <w:p w14:paraId="18727E73" w14:textId="77777777" w:rsidR="00955288" w:rsidRPr="00373E2E" w:rsidRDefault="00955288" w:rsidP="00955288">
      <w:pPr>
        <w:spacing w:before="120" w:after="120"/>
        <w:jc w:val="both"/>
        <w:rPr>
          <w:rFonts w:ascii="Lucida Sans" w:hAnsi="Lucida Sans"/>
          <w:szCs w:val="20"/>
        </w:rPr>
      </w:pPr>
      <w:permStart w:id="569465455" w:edGrp="everyone"/>
      <w:r w:rsidRPr="00373E2E">
        <w:rPr>
          <w:rFonts w:ascii="Lucida Sans" w:hAnsi="Lucida Sans"/>
          <w:szCs w:val="20"/>
        </w:rPr>
        <w:t xml:space="preserve">We agree with removing the intermediate performance scenarios from the future performance scenarios for all types of PRIIPs not just for Category 3 PRIIPs. </w:t>
      </w:r>
    </w:p>
    <w:p w14:paraId="7B69C476" w14:textId="77777777" w:rsidR="00955288" w:rsidRPr="00373E2E" w:rsidRDefault="00955288" w:rsidP="00955288">
      <w:pPr>
        <w:spacing w:before="120" w:after="120"/>
        <w:jc w:val="both"/>
        <w:rPr>
          <w:rFonts w:ascii="Lucida Sans" w:hAnsi="Lucida Sans"/>
          <w:szCs w:val="20"/>
        </w:rPr>
      </w:pPr>
      <w:r w:rsidRPr="00373E2E">
        <w:rPr>
          <w:rFonts w:ascii="Lucida Sans" w:hAnsi="Lucida Sans"/>
          <w:szCs w:val="20"/>
        </w:rPr>
        <w:t xml:space="preserve">In general, two holding periods, i.e. 1-year and the recommended holding period (RHP), should be </w:t>
      </w:r>
      <w:proofErr w:type="gramStart"/>
      <w:r w:rsidRPr="00373E2E">
        <w:rPr>
          <w:rFonts w:ascii="Lucida Sans" w:hAnsi="Lucida Sans"/>
          <w:szCs w:val="20"/>
        </w:rPr>
        <w:t>sufficient</w:t>
      </w:r>
      <w:proofErr w:type="gramEnd"/>
      <w:r w:rsidRPr="00373E2E">
        <w:rPr>
          <w:rFonts w:ascii="Lucida Sans" w:hAnsi="Lucida Sans"/>
          <w:szCs w:val="20"/>
        </w:rPr>
        <w:t xml:space="preserve">. We believe that the 1-year holding period already provides </w:t>
      </w:r>
      <w:proofErr w:type="gramStart"/>
      <w:r w:rsidRPr="00373E2E">
        <w:rPr>
          <w:rFonts w:ascii="Lucida Sans" w:hAnsi="Lucida Sans"/>
          <w:szCs w:val="20"/>
        </w:rPr>
        <w:t>sufficient</w:t>
      </w:r>
      <w:proofErr w:type="gramEnd"/>
      <w:r w:rsidRPr="00373E2E">
        <w:rPr>
          <w:rFonts w:ascii="Lucida Sans" w:hAnsi="Lucida Sans"/>
          <w:szCs w:val="20"/>
        </w:rPr>
        <w:t xml:space="preserve"> information to retail investors about the implications of ending the investment before the end of RHP.</w:t>
      </w:r>
    </w:p>
    <w:p w14:paraId="23A2D609" w14:textId="77777777" w:rsidR="00955288" w:rsidRPr="00373E2E" w:rsidRDefault="00955288" w:rsidP="00955288">
      <w:pPr>
        <w:spacing w:before="120" w:after="120"/>
        <w:jc w:val="both"/>
        <w:rPr>
          <w:rFonts w:ascii="Lucida Sans" w:hAnsi="Lucida Sans"/>
          <w:szCs w:val="20"/>
        </w:rPr>
      </w:pPr>
      <w:r w:rsidRPr="00373E2E">
        <w:rPr>
          <w:rFonts w:ascii="Lucida Sans" w:hAnsi="Lucida Sans"/>
          <w:szCs w:val="20"/>
        </w:rPr>
        <w:t xml:space="preserve">In addition, we believe a derogation in the presentation of performance scenario (and costs) should be introduced for </w:t>
      </w:r>
      <w:r w:rsidRPr="00373E2E">
        <w:rPr>
          <w:rFonts w:ascii="Lucida Sans" w:hAnsi="Lucida Sans"/>
          <w:b/>
          <w:szCs w:val="20"/>
        </w:rPr>
        <w:t xml:space="preserve">closed-ended fund not traded on secondary markets </w:t>
      </w:r>
      <w:r w:rsidRPr="00373E2E">
        <w:rPr>
          <w:rFonts w:ascii="Lucida Sans" w:hAnsi="Lucida Sans"/>
          <w:szCs w:val="20"/>
        </w:rPr>
        <w:t>where investors may not step out until the natural end of the fund (contractual nature)</w:t>
      </w:r>
      <w:r w:rsidRPr="00373E2E">
        <w:rPr>
          <w:rFonts w:ascii="Lucida Sans" w:hAnsi="Lucida Sans"/>
          <w:b/>
          <w:szCs w:val="20"/>
        </w:rPr>
        <w:t>.</w:t>
      </w:r>
      <w:r w:rsidRPr="00373E2E">
        <w:rPr>
          <w:rFonts w:ascii="Lucida Sans" w:hAnsi="Lucida Sans"/>
          <w:szCs w:val="20"/>
        </w:rPr>
        <w:t xml:space="preserve"> </w:t>
      </w:r>
    </w:p>
    <w:p w14:paraId="38F9D1CA" w14:textId="44554DA2" w:rsidR="00955288" w:rsidRPr="00373E2E" w:rsidRDefault="00955288" w:rsidP="00955288">
      <w:pPr>
        <w:pStyle w:val="Memberscomments"/>
        <w:spacing w:after="120" w:line="240" w:lineRule="auto"/>
        <w:rPr>
          <w:rFonts w:ascii="Lucida Sans" w:hAnsi="Lucida Sans"/>
          <w:color w:val="auto"/>
          <w:sz w:val="20"/>
          <w:szCs w:val="20"/>
        </w:rPr>
      </w:pPr>
      <w:r w:rsidRPr="00373E2E">
        <w:rPr>
          <w:rFonts w:ascii="Lucida Sans" w:hAnsi="Lucida Sans"/>
          <w:color w:val="auto"/>
          <w:sz w:val="20"/>
          <w:szCs w:val="20"/>
        </w:rPr>
        <w:t xml:space="preserve">The investment activity, trading behaviour and cost structures in these funds differ very substantially from a UCITS fund. These funds are </w:t>
      </w:r>
      <w:proofErr w:type="gramStart"/>
      <w:r w:rsidRPr="00373E2E">
        <w:rPr>
          <w:rFonts w:ascii="Lucida Sans" w:hAnsi="Lucida Sans"/>
          <w:color w:val="auto"/>
          <w:sz w:val="20"/>
          <w:szCs w:val="20"/>
        </w:rPr>
        <w:t>by definition aimed</w:t>
      </w:r>
      <w:proofErr w:type="gramEnd"/>
      <w:r w:rsidRPr="00373E2E">
        <w:rPr>
          <w:rFonts w:ascii="Lucida Sans" w:hAnsi="Lucida Sans"/>
          <w:color w:val="auto"/>
          <w:sz w:val="20"/>
          <w:szCs w:val="20"/>
        </w:rPr>
        <w:t xml:space="preserve"> at illiquid investments attracting patient capital and where the valuation may vary considerably over time (so the impact of costs). The raising capital, especially when there are retail investors, usually takes some time and the drawn commitment is driven by the target investment; the base of calculation of costs differ over time (usually total commitment over the investment period – NAV afterwards). The information presented in the PRIIPs KID should reflect all the PRIIP lifetime and be based on the business forecast given the highly individualised nature of these funds (ELTIF, EUVECA, EUSEF, real estate and other private equity or debt funds). This would facilitate retail investors in understanding the financial characteristic of the PRIIP and it could incentivize long-term investments in line with the objectives of the CMU. A KID PRIIPs with a presentation that does not deal with these factors could make the fund unattractive to investors. </w:t>
      </w:r>
    </w:p>
    <w:p w14:paraId="62F206E6" w14:textId="77777777" w:rsidR="00955288" w:rsidRPr="00373E2E" w:rsidRDefault="00955288" w:rsidP="00955288">
      <w:pPr>
        <w:pStyle w:val="Memberscomments"/>
        <w:spacing w:after="120" w:line="240" w:lineRule="auto"/>
        <w:rPr>
          <w:rFonts w:ascii="Lucida Sans" w:hAnsi="Lucida Sans"/>
          <w:color w:val="auto"/>
          <w:sz w:val="20"/>
          <w:szCs w:val="20"/>
        </w:rPr>
      </w:pPr>
      <w:r w:rsidRPr="00373E2E">
        <w:rPr>
          <w:rFonts w:ascii="Lucida Sans" w:hAnsi="Lucida Sans"/>
          <w:color w:val="auto"/>
          <w:sz w:val="20"/>
          <w:szCs w:val="20"/>
        </w:rPr>
        <w:t xml:space="preserve">Therefore, we believe that it makes no sense to take a presentation of performance (and costs) at the end of the first year and at the half of the recommended holding period (if the latter would be kept) and we ask for a revision of the relevant provision to clarify that such presentation in these circumstances are not applicable.  For example, illustrative tables could be the same but the column header at 1y (or ½ RHP) states “not applicable”. </w:t>
      </w:r>
    </w:p>
    <w:p w14:paraId="79FFA18F" w14:textId="77777777" w:rsidR="00955288" w:rsidRPr="00373E2E" w:rsidRDefault="00955288" w:rsidP="00955288">
      <w:pPr>
        <w:pStyle w:val="Memberscomments"/>
        <w:spacing w:after="120" w:line="240" w:lineRule="auto"/>
        <w:rPr>
          <w:rFonts w:ascii="Lucida Sans" w:hAnsi="Lucida Sans"/>
          <w:color w:val="auto"/>
          <w:sz w:val="20"/>
          <w:szCs w:val="20"/>
        </w:rPr>
      </w:pPr>
      <w:r w:rsidRPr="00373E2E">
        <w:rPr>
          <w:rFonts w:ascii="Lucida Sans" w:hAnsi="Lucida Sans"/>
          <w:color w:val="auto"/>
          <w:sz w:val="20"/>
          <w:szCs w:val="20"/>
        </w:rPr>
        <w:t xml:space="preserve">In addition, we also believe that the forward-looking principle should be used even if the fund will reopen subscription at some point in its life: using historical value instead of a business forecast could be misleading. </w:t>
      </w:r>
    </w:p>
    <w:p w14:paraId="5EE5DC64" w14:textId="77777777" w:rsidR="00955288" w:rsidRPr="00373E2E" w:rsidRDefault="00955288" w:rsidP="00955288">
      <w:pPr>
        <w:pStyle w:val="Memberscomments"/>
        <w:spacing w:after="120" w:line="240" w:lineRule="auto"/>
        <w:rPr>
          <w:rFonts w:ascii="Lucida Sans" w:hAnsi="Lucida Sans"/>
          <w:color w:val="auto"/>
          <w:sz w:val="20"/>
          <w:szCs w:val="20"/>
        </w:rPr>
      </w:pPr>
      <w:r w:rsidRPr="00373E2E">
        <w:rPr>
          <w:rFonts w:ascii="Lucida Sans" w:hAnsi="Lucida Sans"/>
          <w:color w:val="auto"/>
          <w:sz w:val="20"/>
          <w:szCs w:val="20"/>
        </w:rPr>
        <w:t xml:space="preserve">Finally, </w:t>
      </w:r>
      <w:r w:rsidRPr="00373E2E">
        <w:rPr>
          <w:rFonts w:ascii="Lucida Sans" w:hAnsi="Lucida Sans"/>
          <w:b/>
          <w:color w:val="auto"/>
          <w:sz w:val="20"/>
          <w:szCs w:val="20"/>
        </w:rPr>
        <w:t>similar considerations can be made even for ELTIF</w:t>
      </w:r>
      <w:r w:rsidRPr="00373E2E">
        <w:t xml:space="preserve"> </w:t>
      </w:r>
      <w:r w:rsidRPr="00373E2E">
        <w:rPr>
          <w:rFonts w:ascii="Lucida Sans" w:hAnsi="Lucida Sans"/>
          <w:b/>
          <w:color w:val="auto"/>
          <w:sz w:val="20"/>
          <w:szCs w:val="20"/>
        </w:rPr>
        <w:t>which minor redemptions would be possible before the end of life and closed-ended fund admitted to trading on the secondary market where one of the following characteristics is present</w:t>
      </w:r>
      <w:r w:rsidRPr="00373E2E">
        <w:rPr>
          <w:rFonts w:ascii="Lucida Sans" w:hAnsi="Lucida Sans"/>
          <w:color w:val="auto"/>
          <w:sz w:val="20"/>
          <w:szCs w:val="20"/>
        </w:rPr>
        <w:t>:</w:t>
      </w:r>
    </w:p>
    <w:p w14:paraId="3344C278" w14:textId="77777777" w:rsidR="00955288" w:rsidRPr="00373E2E" w:rsidRDefault="00955288" w:rsidP="00303D05">
      <w:pPr>
        <w:pStyle w:val="Memberscomments"/>
        <w:numPr>
          <w:ilvl w:val="0"/>
          <w:numId w:val="39"/>
        </w:numPr>
        <w:spacing w:after="120" w:line="240" w:lineRule="auto"/>
        <w:rPr>
          <w:rFonts w:ascii="Lucida Sans" w:hAnsi="Lucida Sans"/>
          <w:color w:val="auto"/>
          <w:sz w:val="20"/>
          <w:szCs w:val="20"/>
        </w:rPr>
      </w:pPr>
      <w:r w:rsidRPr="00373E2E">
        <w:rPr>
          <w:rFonts w:ascii="Lucida Sans" w:hAnsi="Lucida Sans"/>
          <w:color w:val="auto"/>
          <w:sz w:val="20"/>
          <w:szCs w:val="20"/>
        </w:rPr>
        <w:t>the PRIIP is in Category 1 (c), i.e. when the underlying investments of PRIIPs are priced on a less regular basis than monthly;</w:t>
      </w:r>
    </w:p>
    <w:p w14:paraId="6FE53CC6" w14:textId="77777777" w:rsidR="00955288" w:rsidRPr="00373E2E" w:rsidRDefault="00955288" w:rsidP="00303D05">
      <w:pPr>
        <w:pStyle w:val="Memberscomments"/>
        <w:numPr>
          <w:ilvl w:val="0"/>
          <w:numId w:val="39"/>
        </w:numPr>
        <w:spacing w:after="120" w:line="240" w:lineRule="auto"/>
        <w:rPr>
          <w:rFonts w:ascii="Lucida Sans" w:hAnsi="Lucida Sans"/>
          <w:color w:val="auto"/>
          <w:sz w:val="20"/>
          <w:szCs w:val="20"/>
        </w:rPr>
      </w:pPr>
      <w:r w:rsidRPr="00373E2E">
        <w:rPr>
          <w:rFonts w:ascii="Lucida Sans" w:hAnsi="Lucida Sans"/>
          <w:color w:val="auto"/>
          <w:sz w:val="20"/>
          <w:szCs w:val="20"/>
        </w:rPr>
        <w:t>trading value linked to the NAV;</w:t>
      </w:r>
    </w:p>
    <w:p w14:paraId="48596733" w14:textId="77777777" w:rsidR="00955288" w:rsidRPr="00373E2E" w:rsidRDefault="00955288" w:rsidP="00303D05">
      <w:pPr>
        <w:pStyle w:val="Memberscomments"/>
        <w:numPr>
          <w:ilvl w:val="0"/>
          <w:numId w:val="39"/>
        </w:numPr>
        <w:spacing w:after="120" w:line="240" w:lineRule="auto"/>
        <w:rPr>
          <w:rFonts w:ascii="Lucida Sans" w:hAnsi="Lucida Sans"/>
          <w:color w:val="auto"/>
          <w:sz w:val="20"/>
          <w:szCs w:val="20"/>
        </w:rPr>
      </w:pPr>
      <w:r w:rsidRPr="00373E2E">
        <w:rPr>
          <w:rFonts w:ascii="Lucida Sans" w:hAnsi="Lucida Sans"/>
          <w:color w:val="auto"/>
          <w:sz w:val="20"/>
          <w:szCs w:val="20"/>
        </w:rPr>
        <w:t>relevant liquidity risk.</w:t>
      </w:r>
    </w:p>
    <w:p w14:paraId="28D8DF54" w14:textId="77777777" w:rsidR="00955288" w:rsidRPr="00373E2E" w:rsidRDefault="00955288" w:rsidP="00955288">
      <w:pPr>
        <w:spacing w:before="120" w:after="120"/>
        <w:jc w:val="both"/>
        <w:rPr>
          <w:rFonts w:ascii="Lucida Sans" w:hAnsi="Lucida Sans"/>
          <w:szCs w:val="20"/>
        </w:rPr>
      </w:pPr>
    </w:p>
    <w:p w14:paraId="22FC5E27" w14:textId="77777777" w:rsidR="00955288" w:rsidRPr="00373E2E" w:rsidRDefault="00955288" w:rsidP="00955288">
      <w:pPr>
        <w:spacing w:before="120" w:after="120"/>
        <w:jc w:val="both"/>
        <w:rPr>
          <w:rFonts w:ascii="Lucida Sans" w:hAnsi="Lucida Sans"/>
          <w:szCs w:val="20"/>
        </w:rPr>
      </w:pPr>
      <w:r w:rsidRPr="00373E2E">
        <w:rPr>
          <w:rFonts w:ascii="Lucida Sans" w:hAnsi="Lucida Sans"/>
          <w:b/>
          <w:szCs w:val="20"/>
        </w:rPr>
        <w:t>As regard the interaction between performance scenario and the cost section</w:t>
      </w:r>
      <w:r w:rsidRPr="00373E2E">
        <w:rPr>
          <w:rFonts w:ascii="Lucida Sans" w:hAnsi="Lucida Sans"/>
          <w:szCs w:val="20"/>
        </w:rPr>
        <w:t>, i.e. the figure coming from the moderate performance should be used for the calculation of the reduction in yield (RIY), we believe that in the revised Delegated regulation the following solution could be possible if the illustration of costs at the ½ RHP would not be eliminated:</w:t>
      </w:r>
    </w:p>
    <w:p w14:paraId="46B4C054" w14:textId="77777777" w:rsidR="00955288" w:rsidRPr="00373E2E" w:rsidRDefault="00955288" w:rsidP="00303D05">
      <w:pPr>
        <w:pStyle w:val="Paragrafoelenco"/>
        <w:numPr>
          <w:ilvl w:val="0"/>
          <w:numId w:val="43"/>
        </w:numPr>
        <w:spacing w:before="120" w:after="120"/>
        <w:jc w:val="both"/>
        <w:rPr>
          <w:rFonts w:ascii="Lucida Sans" w:hAnsi="Lucida Sans"/>
          <w:szCs w:val="20"/>
        </w:rPr>
      </w:pPr>
      <w:r w:rsidRPr="00373E2E">
        <w:rPr>
          <w:rFonts w:ascii="Lucida Sans" w:hAnsi="Lucida Sans"/>
          <w:szCs w:val="20"/>
        </w:rPr>
        <w:t xml:space="preserve">the disclosure of the aggregate costs in a RIY format should be replaced by a total cost indicator over time: the return used would be equal to the PRIIP’s costs i.e. using a net return assumption of zero </w:t>
      </w:r>
      <w:proofErr w:type="gramStart"/>
      <w:r w:rsidRPr="00373E2E">
        <w:rPr>
          <w:rFonts w:ascii="Lucida Sans" w:hAnsi="Lucida Sans"/>
          <w:szCs w:val="20"/>
        </w:rPr>
        <w:t>assuming that</w:t>
      </w:r>
      <w:proofErr w:type="gramEnd"/>
      <w:r w:rsidRPr="00373E2E">
        <w:rPr>
          <w:rFonts w:ascii="Lucida Sans" w:hAnsi="Lucida Sans"/>
          <w:szCs w:val="20"/>
        </w:rPr>
        <w:t xml:space="preserve"> the investors get back their original investment. </w:t>
      </w:r>
    </w:p>
    <w:p w14:paraId="1F433F45" w14:textId="77777777" w:rsidR="00955288" w:rsidRPr="00373E2E" w:rsidRDefault="00955288" w:rsidP="00955288">
      <w:pPr>
        <w:spacing w:before="120" w:after="120"/>
        <w:jc w:val="both"/>
        <w:rPr>
          <w:rFonts w:ascii="Lucida Sans" w:hAnsi="Lucida Sans"/>
          <w:szCs w:val="20"/>
        </w:rPr>
      </w:pPr>
      <w:r w:rsidRPr="00373E2E">
        <w:rPr>
          <w:rFonts w:ascii="Lucida Sans" w:hAnsi="Lucida Sans"/>
          <w:szCs w:val="20"/>
        </w:rPr>
        <w:t xml:space="preserve">With this approach figures coming from performance scenarios are no longer needed. Such assumptions would align the cost disclosures in the 1-year column with the ex-ante cost disclosures under MiFID II, thus creating a crucial link for retail investors. </w:t>
      </w:r>
    </w:p>
    <w:p w14:paraId="71DEEAFE" w14:textId="77777777" w:rsidR="00955288" w:rsidRPr="00373E2E" w:rsidRDefault="00955288" w:rsidP="00955288">
      <w:pPr>
        <w:spacing w:before="120" w:after="120"/>
        <w:jc w:val="both"/>
        <w:rPr>
          <w:rFonts w:ascii="Lucida Sans" w:hAnsi="Lucida Sans"/>
          <w:szCs w:val="20"/>
        </w:rPr>
      </w:pPr>
      <w:r w:rsidRPr="00373E2E">
        <w:rPr>
          <w:rFonts w:ascii="Lucida Sans" w:hAnsi="Lucida Sans"/>
          <w:szCs w:val="20"/>
        </w:rPr>
        <w:t>Please see also our response to Q40.</w:t>
      </w:r>
    </w:p>
    <w:p w14:paraId="74EF7BA7" w14:textId="09B8FA99" w:rsidR="003E573C" w:rsidRDefault="003E573C" w:rsidP="003E573C">
      <w:pPr>
        <w:rPr>
          <w:rFonts w:cs="Arial"/>
        </w:rPr>
      </w:pP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lastRenderedPageBreak/>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2454E19" w14:textId="77777777" w:rsidR="00EA07CA" w:rsidRPr="00373E2E" w:rsidRDefault="00EA07CA" w:rsidP="00EA07CA">
      <w:pPr>
        <w:spacing w:before="120" w:after="120"/>
        <w:jc w:val="both"/>
        <w:rPr>
          <w:rFonts w:ascii="Lucida Sans" w:hAnsi="Lucida Sans"/>
          <w:szCs w:val="20"/>
        </w:rPr>
      </w:pPr>
      <w:permStart w:id="1713528049" w:edGrp="everyone"/>
      <w:r w:rsidRPr="00373E2E">
        <w:rPr>
          <w:rFonts w:ascii="Lucida Sans" w:hAnsi="Lucida Sans"/>
          <w:szCs w:val="20"/>
        </w:rPr>
        <w:t xml:space="preserve">With an improved methodology for the calculation of performance scenario, we believe that stress scenario should not be necessary anymore. A short disclaimer may be added to emphasise, once more, to investors that the unfavourable scenario does not reflect the worst possible outcome </w:t>
      </w:r>
    </w:p>
    <w:p w14:paraId="57D1E0D5" w14:textId="77777777" w:rsidR="00EA07CA" w:rsidRPr="00373E2E" w:rsidRDefault="00EA07CA" w:rsidP="00EA07CA">
      <w:pPr>
        <w:spacing w:before="120" w:after="120"/>
        <w:jc w:val="both"/>
        <w:rPr>
          <w:rFonts w:ascii="Lucida Sans" w:hAnsi="Lucida Sans"/>
          <w:szCs w:val="20"/>
        </w:rPr>
      </w:pPr>
      <w:r w:rsidRPr="00373E2E">
        <w:rPr>
          <w:rFonts w:ascii="Lucida Sans" w:hAnsi="Lucida Sans"/>
          <w:szCs w:val="20"/>
        </w:rPr>
        <w:t xml:space="preserve">The unfavourable, moderate and favourable scenarios presentation should be </w:t>
      </w:r>
      <w:proofErr w:type="gramStart"/>
      <w:r w:rsidRPr="00373E2E">
        <w:rPr>
          <w:rFonts w:ascii="Lucida Sans" w:hAnsi="Lucida Sans"/>
          <w:szCs w:val="20"/>
        </w:rPr>
        <w:t>sufficient</w:t>
      </w:r>
      <w:proofErr w:type="gramEnd"/>
      <w:r w:rsidRPr="00373E2E">
        <w:rPr>
          <w:rFonts w:ascii="Lucida Sans" w:hAnsi="Lucida Sans"/>
          <w:szCs w:val="20"/>
        </w:rPr>
        <w:t>.</w:t>
      </w:r>
    </w:p>
    <w:p w14:paraId="20440D29" w14:textId="5F74E36A" w:rsidR="003E573C" w:rsidRDefault="003E573C" w:rsidP="003E573C">
      <w:pPr>
        <w:rPr>
          <w:rFonts w:cs="Arial"/>
        </w:rPr>
      </w:pP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7E1A58CF" w14:textId="77777777" w:rsidR="00406015" w:rsidRPr="00373E2E" w:rsidRDefault="00406015" w:rsidP="00406015">
      <w:pPr>
        <w:spacing w:before="120" w:after="120"/>
        <w:jc w:val="both"/>
        <w:rPr>
          <w:rFonts w:ascii="Lucida Sans" w:hAnsi="Lucida Sans"/>
          <w:i/>
          <w:iCs/>
          <w:szCs w:val="20"/>
          <w:u w:val="single"/>
        </w:rPr>
      </w:pPr>
      <w:permStart w:id="221670941" w:edGrp="everyone"/>
      <w:r w:rsidRPr="00373E2E">
        <w:rPr>
          <w:rFonts w:ascii="Lucida Sans" w:hAnsi="Lucida Sans"/>
          <w:i/>
          <w:iCs/>
          <w:szCs w:val="20"/>
          <w:u w:val="single"/>
        </w:rPr>
        <w:t xml:space="preserve">General remarks on future performance scenarios </w:t>
      </w:r>
    </w:p>
    <w:p w14:paraId="53CDFA54" w14:textId="77777777" w:rsidR="00406015" w:rsidRPr="00373E2E" w:rsidRDefault="00406015" w:rsidP="00406015">
      <w:pPr>
        <w:pStyle w:val="FCAHeadingLevel2"/>
        <w:autoSpaceDE w:val="0"/>
        <w:autoSpaceDN w:val="0"/>
        <w:adjustRightInd w:val="0"/>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w:t>
      </w:r>
      <w:r w:rsidRPr="00373E2E">
        <w:rPr>
          <w:rFonts w:ascii="Lucida Sans" w:hAnsi="Lucida Sans"/>
          <w:b w:val="0"/>
          <w:i/>
          <w:color w:val="auto"/>
          <w:sz w:val="20"/>
          <w:szCs w:val="20"/>
          <w:u w:val="none"/>
        </w:rPr>
        <w:t>Appropriate performance scenarios, and the assumptions made to produce them”</w:t>
      </w:r>
      <w:r w:rsidRPr="00373E2E">
        <w:rPr>
          <w:rFonts w:ascii="Lucida Sans" w:hAnsi="Lucida Sans"/>
          <w:b w:val="0"/>
          <w:color w:val="auto"/>
          <w:sz w:val="20"/>
          <w:szCs w:val="20"/>
          <w:u w:val="none"/>
        </w:rPr>
        <w:t xml:space="preserve"> should be included, in the PRIIPs KID according to the Level 1 text under the section titled ‘What are the risks and what could I get in return?’ (art. 8(3)(d)(iii) PRIIPs Regulation).</w:t>
      </w:r>
    </w:p>
    <w:p w14:paraId="20094F8B" w14:textId="77777777" w:rsidR="00406015" w:rsidRPr="00373E2E" w:rsidRDefault="00406015" w:rsidP="00406015">
      <w:pPr>
        <w:pStyle w:val="FCAHeadingLevel2"/>
        <w:autoSpaceDE w:val="0"/>
        <w:autoSpaceDN w:val="0"/>
        <w:adjustRightInd w:val="0"/>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 xml:space="preserve">Since future estimates are always challenging, we believe that focusing too much on providing comparable information between widely different investment products would lead in same case too irrelevant and in other cases misleading information. </w:t>
      </w:r>
    </w:p>
    <w:p w14:paraId="203D57F9" w14:textId="77777777" w:rsidR="00406015" w:rsidRPr="00373E2E" w:rsidRDefault="00406015" w:rsidP="00406015">
      <w:pPr>
        <w:pStyle w:val="FCAHeadingLevel2"/>
        <w:autoSpaceDE w:val="0"/>
        <w:autoSpaceDN w:val="0"/>
        <w:adjustRightInd w:val="0"/>
        <w:spacing w:before="120" w:after="120" w:line="240" w:lineRule="auto"/>
        <w:rPr>
          <w:rFonts w:ascii="Lucida Sans" w:hAnsi="Lucida Sans"/>
          <w:color w:val="auto"/>
          <w:sz w:val="20"/>
          <w:szCs w:val="20"/>
          <w:u w:val="none"/>
        </w:rPr>
      </w:pPr>
      <w:r w:rsidRPr="00373E2E">
        <w:rPr>
          <w:rFonts w:ascii="Lucida Sans" w:hAnsi="Lucida Sans"/>
          <w:b w:val="0"/>
          <w:color w:val="auto"/>
          <w:sz w:val="20"/>
          <w:szCs w:val="20"/>
          <w:u w:val="none"/>
        </w:rPr>
        <w:t xml:space="preserve">We strongly believe that in front of such a challenge, the objective cannot be to get the “perfect solution”, but </w:t>
      </w:r>
      <w:r w:rsidRPr="00373E2E">
        <w:rPr>
          <w:rFonts w:ascii="Lucida Sans" w:hAnsi="Lucida Sans"/>
          <w:color w:val="auto"/>
          <w:sz w:val="20"/>
          <w:szCs w:val="20"/>
          <w:u w:val="none"/>
        </w:rPr>
        <w:t xml:space="preserve">a solution which is “understandable, not misleading, not increasing asymmetry” to investors </w:t>
      </w:r>
      <w:r w:rsidRPr="00373E2E">
        <w:rPr>
          <w:rFonts w:ascii="Lucida Sans" w:hAnsi="Lucida Sans"/>
          <w:b w:val="0"/>
          <w:color w:val="auto"/>
          <w:sz w:val="20"/>
          <w:szCs w:val="20"/>
          <w:u w:val="none"/>
        </w:rPr>
        <w:t>and which provides the relevant information and the features of the product that should enable the investor to make an informed decision before purchasing a</w:t>
      </w:r>
      <w:r w:rsidRPr="00373E2E">
        <w:rPr>
          <w:rFonts w:ascii="Lucida Sans" w:hAnsi="Lucida Sans"/>
          <w:color w:val="auto"/>
          <w:sz w:val="20"/>
          <w:szCs w:val="20"/>
          <w:u w:val="none"/>
        </w:rPr>
        <w:t xml:space="preserve"> </w:t>
      </w:r>
      <w:r w:rsidRPr="00373E2E">
        <w:rPr>
          <w:rFonts w:ascii="Lucida Sans" w:hAnsi="Lucida Sans"/>
          <w:b w:val="0"/>
          <w:color w:val="auto"/>
          <w:sz w:val="20"/>
          <w:szCs w:val="20"/>
          <w:u w:val="none"/>
        </w:rPr>
        <w:t>PRIIP</w:t>
      </w:r>
      <w:r w:rsidRPr="00373E2E">
        <w:rPr>
          <w:rFonts w:ascii="Lucida Sans" w:hAnsi="Lucida Sans"/>
          <w:color w:val="auto"/>
          <w:sz w:val="20"/>
          <w:szCs w:val="20"/>
          <w:u w:val="none"/>
        </w:rPr>
        <w:t xml:space="preserve">. </w:t>
      </w:r>
    </w:p>
    <w:p w14:paraId="6C64A214" w14:textId="77777777" w:rsidR="00406015" w:rsidRPr="00373E2E" w:rsidRDefault="00406015" w:rsidP="00406015">
      <w:pPr>
        <w:pStyle w:val="FCAHeadingLevel2"/>
        <w:autoSpaceDE w:val="0"/>
        <w:autoSpaceDN w:val="0"/>
        <w:adjustRightInd w:val="0"/>
        <w:spacing w:before="120" w:after="120" w:line="240" w:lineRule="auto"/>
        <w:rPr>
          <w:rFonts w:ascii="Lucida Sans" w:hAnsi="Lucida Sans"/>
          <w:b w:val="0"/>
          <w:color w:val="auto"/>
          <w:sz w:val="20"/>
          <w:szCs w:val="20"/>
          <w:u w:val="none"/>
        </w:rPr>
      </w:pPr>
      <w:r w:rsidRPr="00373E2E">
        <w:rPr>
          <w:rFonts w:ascii="Lucida Sans" w:hAnsi="Lucida Sans"/>
          <w:color w:val="auto"/>
          <w:sz w:val="20"/>
          <w:szCs w:val="20"/>
          <w:u w:val="none"/>
        </w:rPr>
        <w:t xml:space="preserve">Such solution should also be cost effective for all PRIIPs manufactures, included asset managers: </w:t>
      </w:r>
      <w:r w:rsidRPr="00373E2E">
        <w:rPr>
          <w:rFonts w:ascii="Lucida Sans" w:hAnsi="Lucida Sans"/>
          <w:b w:val="0"/>
          <w:color w:val="auto"/>
          <w:sz w:val="20"/>
          <w:szCs w:val="20"/>
          <w:u w:val="none"/>
        </w:rPr>
        <w:t xml:space="preserve">the benefit to the investor of this approach must outweigh the costs incurred to deliver the new methodology. The approach taken should be pragmatic, simple as possible and avoid an unequal burden among PRIIPs manufacturers (small vs large number of underlying investments), or among the same PRIIP manufactures. This burden will be disproportionately larger for small and medium-size players and will further accelerate the trend to outsource the KID production. </w:t>
      </w:r>
    </w:p>
    <w:p w14:paraId="6BAAC310" w14:textId="77777777" w:rsidR="00406015" w:rsidRPr="00373E2E" w:rsidRDefault="00406015" w:rsidP="00406015">
      <w:pPr>
        <w:pStyle w:val="FCAHeadingLevel2"/>
        <w:autoSpaceDE w:val="0"/>
        <w:autoSpaceDN w:val="0"/>
        <w:adjustRightInd w:val="0"/>
        <w:spacing w:before="120" w:after="120" w:line="240" w:lineRule="auto"/>
        <w:rPr>
          <w:rFonts w:ascii="Lucida Sans" w:hAnsi="Lucida Sans"/>
          <w:color w:val="auto"/>
          <w:sz w:val="20"/>
          <w:szCs w:val="20"/>
          <w:u w:val="none"/>
        </w:rPr>
      </w:pPr>
      <w:r w:rsidRPr="00373E2E">
        <w:rPr>
          <w:rFonts w:ascii="Lucida Sans" w:hAnsi="Lucida Sans"/>
          <w:color w:val="auto"/>
          <w:sz w:val="20"/>
          <w:szCs w:val="20"/>
          <w:u w:val="none"/>
        </w:rPr>
        <w:t xml:space="preserve">We, therefore, believe it essential to revisit the theoretical concept behind the current methodology and go beyond the technical modifications. Simply put, comparability should not come at the cost of inappropriate or misleading information or less competition. Each type of PRIIP provides a different value proposition and thus necessitates slightly different disclosures in a pre-contractual document.  </w:t>
      </w:r>
    </w:p>
    <w:p w14:paraId="110A28F0" w14:textId="77777777" w:rsidR="00406015" w:rsidRPr="00373E2E" w:rsidRDefault="00406015" w:rsidP="00406015">
      <w:pPr>
        <w:spacing w:before="120" w:after="120"/>
        <w:jc w:val="both"/>
        <w:rPr>
          <w:rFonts w:ascii="Lucida Sans" w:hAnsi="Lucida Sans"/>
          <w:szCs w:val="20"/>
        </w:rPr>
      </w:pPr>
      <w:r w:rsidRPr="00373E2E">
        <w:rPr>
          <w:rFonts w:ascii="Lucida Sans" w:hAnsi="Lucida Sans"/>
          <w:szCs w:val="20"/>
        </w:rPr>
        <w:t xml:space="preserve">For example, for non-structured open-ended funds, historical performance through the fluctuation of the results over an appropriate time period is sufficient to show the effects of various market drivers and the role of the active asset management, if any, and costs;  while for structured funds, where the presentation of past information would be misleading, the explanation on how the structure will work in the future is valuable and, therefore, a “what if scenario” would be preferable. For closed-end funds a forward-looking </w:t>
      </w:r>
      <w:proofErr w:type="gramStart"/>
      <w:r w:rsidRPr="00373E2E">
        <w:rPr>
          <w:rFonts w:ascii="Lucida Sans" w:hAnsi="Lucida Sans"/>
          <w:szCs w:val="20"/>
        </w:rPr>
        <w:t>principle based</w:t>
      </w:r>
      <w:proofErr w:type="gramEnd"/>
      <w:r w:rsidRPr="00373E2E">
        <w:rPr>
          <w:rFonts w:ascii="Lucida Sans" w:hAnsi="Lucida Sans"/>
          <w:szCs w:val="20"/>
        </w:rPr>
        <w:t xml:space="preserve"> approach on business forecast might be appropriate.</w:t>
      </w:r>
    </w:p>
    <w:p w14:paraId="4DD136DC" w14:textId="77777777" w:rsidR="00406015" w:rsidRPr="00373E2E" w:rsidRDefault="00406015" w:rsidP="00406015">
      <w:pPr>
        <w:pStyle w:val="FCAHeadingLevel2"/>
        <w:autoSpaceDE w:val="0"/>
        <w:autoSpaceDN w:val="0"/>
        <w:adjustRightInd w:val="0"/>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Indeed, we share the point made by the ESAs in the letter sent to the European Commission on May 23</w:t>
      </w:r>
      <w:r w:rsidRPr="00373E2E">
        <w:rPr>
          <w:rFonts w:ascii="Lucida Sans" w:hAnsi="Lucida Sans"/>
          <w:b w:val="0"/>
          <w:color w:val="auto"/>
          <w:sz w:val="20"/>
          <w:szCs w:val="20"/>
          <w:u w:val="none"/>
          <w:vertAlign w:val="superscript"/>
        </w:rPr>
        <w:t>rd</w:t>
      </w:r>
      <w:r w:rsidRPr="00373E2E">
        <w:rPr>
          <w:rFonts w:ascii="Lucida Sans" w:hAnsi="Lucida Sans"/>
          <w:b w:val="0"/>
          <w:color w:val="auto"/>
          <w:sz w:val="20"/>
          <w:szCs w:val="20"/>
          <w:u w:val="none"/>
        </w:rPr>
        <w:t>, 2019 on the proposed performance scenario options for consumer testing where they states “</w:t>
      </w:r>
      <w:r w:rsidRPr="00373E2E">
        <w:rPr>
          <w:rFonts w:ascii="Lucida Sans" w:hAnsi="Lucida Sans"/>
          <w:b w:val="0"/>
          <w:i/>
          <w:color w:val="auto"/>
          <w:sz w:val="20"/>
          <w:szCs w:val="20"/>
          <w:u w:val="none"/>
        </w:rPr>
        <w:t>we consider Level 1 text to be drafted in a sufficiently open manner and the PRIIPs Level 2 text already provides for some product-specific approach, for example in relation to the pay-off graphs used for exchange-trade-derivatives</w:t>
      </w:r>
      <w:r w:rsidRPr="00373E2E">
        <w:rPr>
          <w:rFonts w:ascii="Lucida Sans" w:hAnsi="Lucida Sans"/>
          <w:b w:val="0"/>
          <w:color w:val="auto"/>
          <w:sz w:val="20"/>
          <w:szCs w:val="20"/>
          <w:u w:val="none"/>
        </w:rPr>
        <w:t xml:space="preserve">”.  </w:t>
      </w:r>
    </w:p>
    <w:p w14:paraId="6E326E2F" w14:textId="77777777" w:rsidR="00406015" w:rsidRPr="00373E2E" w:rsidRDefault="00406015" w:rsidP="00406015">
      <w:pPr>
        <w:pStyle w:val="FCAHeadingLevel2"/>
        <w:autoSpaceDE w:val="0"/>
        <w:autoSpaceDN w:val="0"/>
        <w:adjustRightInd w:val="0"/>
        <w:spacing w:before="120" w:after="120" w:line="240" w:lineRule="auto"/>
        <w:rPr>
          <w:rFonts w:ascii="Lucida Sans" w:hAnsi="Lucida Sans"/>
          <w:color w:val="auto"/>
          <w:sz w:val="20"/>
          <w:szCs w:val="20"/>
          <w:u w:val="none"/>
        </w:rPr>
      </w:pPr>
      <w:r w:rsidRPr="00373E2E">
        <w:rPr>
          <w:rFonts w:ascii="Lucida Sans" w:hAnsi="Lucida Sans"/>
          <w:color w:val="auto"/>
          <w:sz w:val="20"/>
          <w:szCs w:val="20"/>
          <w:u w:val="none"/>
        </w:rPr>
        <w:t>However, due constrains and time pressure, should a quantitative future performance scenario be kept, we believe that the ESAs preferred option, based on the dividend yield methodology, has many shortcomings and it should not be used for the presentation of the performance scenarios.</w:t>
      </w:r>
    </w:p>
    <w:p w14:paraId="1FBA003B" w14:textId="77777777" w:rsidR="00406015" w:rsidRPr="00373E2E" w:rsidRDefault="00406015" w:rsidP="00406015">
      <w:pPr>
        <w:pStyle w:val="FCAHeadingLevel2"/>
        <w:autoSpaceDE w:val="0"/>
        <w:autoSpaceDN w:val="0"/>
        <w:adjustRightInd w:val="0"/>
        <w:spacing w:before="120" w:after="120" w:line="240" w:lineRule="auto"/>
        <w:rPr>
          <w:rFonts w:ascii="Lucida Sans" w:hAnsi="Lucida Sans"/>
          <w:color w:val="auto"/>
          <w:sz w:val="20"/>
          <w:szCs w:val="20"/>
          <w:u w:val="none"/>
        </w:rPr>
      </w:pPr>
      <w:r w:rsidRPr="00373E2E">
        <w:rPr>
          <w:rFonts w:ascii="Lucida Sans" w:hAnsi="Lucida Sans"/>
          <w:color w:val="auto"/>
          <w:sz w:val="20"/>
          <w:szCs w:val="20"/>
          <w:u w:val="none"/>
        </w:rPr>
        <w:lastRenderedPageBreak/>
        <w:t>Broadly speaking we do not support the dividend yield methodology for the following reasons:</w:t>
      </w:r>
    </w:p>
    <w:p w14:paraId="3DA7945A" w14:textId="77777777" w:rsidR="00406015" w:rsidRPr="00373E2E" w:rsidRDefault="00406015" w:rsidP="00303D05">
      <w:pPr>
        <w:pStyle w:val="Paragrafoelenco"/>
        <w:numPr>
          <w:ilvl w:val="0"/>
          <w:numId w:val="44"/>
        </w:numPr>
        <w:spacing w:before="120" w:after="120"/>
        <w:jc w:val="both"/>
        <w:rPr>
          <w:rFonts w:ascii="Lucida Sans" w:hAnsi="Lucida Sans"/>
          <w:szCs w:val="20"/>
        </w:rPr>
      </w:pPr>
      <w:r w:rsidRPr="00373E2E">
        <w:rPr>
          <w:rFonts w:ascii="Lucida Sans" w:hAnsi="Lucida Sans"/>
          <w:szCs w:val="20"/>
        </w:rPr>
        <w:t xml:space="preserve">the methodology is too complex, which could lead to misunderstanding or mistakes o, in any case, to incomparable results between PRIIPs manufactures; </w:t>
      </w:r>
    </w:p>
    <w:p w14:paraId="60F30E05" w14:textId="77777777" w:rsidR="00406015" w:rsidRPr="00373E2E" w:rsidRDefault="00406015" w:rsidP="00303D05">
      <w:pPr>
        <w:pStyle w:val="Paragrafoelenco"/>
        <w:numPr>
          <w:ilvl w:val="0"/>
          <w:numId w:val="44"/>
        </w:numPr>
        <w:spacing w:before="120" w:after="120"/>
        <w:jc w:val="both"/>
        <w:rPr>
          <w:rFonts w:ascii="Lucida Sans" w:hAnsi="Lucida Sans"/>
          <w:szCs w:val="20"/>
        </w:rPr>
      </w:pPr>
      <w:r w:rsidRPr="00373E2E">
        <w:rPr>
          <w:rFonts w:ascii="Lucida Sans" w:hAnsi="Lucida Sans"/>
          <w:szCs w:val="20"/>
        </w:rPr>
        <w:t>it does not reflect the active management of funds;</w:t>
      </w:r>
    </w:p>
    <w:p w14:paraId="676DC109" w14:textId="77777777" w:rsidR="00406015" w:rsidRPr="00373E2E" w:rsidRDefault="00406015" w:rsidP="00303D05">
      <w:pPr>
        <w:pStyle w:val="Paragrafoelenco"/>
        <w:numPr>
          <w:ilvl w:val="0"/>
          <w:numId w:val="44"/>
        </w:numPr>
        <w:spacing w:before="120" w:after="120"/>
        <w:jc w:val="both"/>
        <w:rPr>
          <w:rFonts w:ascii="Lucida Sans" w:hAnsi="Lucida Sans"/>
          <w:szCs w:val="20"/>
        </w:rPr>
      </w:pPr>
      <w:r w:rsidRPr="00373E2E">
        <w:rPr>
          <w:rFonts w:ascii="Lucida Sans" w:hAnsi="Lucida Sans"/>
          <w:szCs w:val="20"/>
        </w:rPr>
        <w:t xml:space="preserve">it still presents misleading information to the investor: </w:t>
      </w:r>
    </w:p>
    <w:p w14:paraId="789373B2" w14:textId="77777777" w:rsidR="00406015" w:rsidRPr="00373E2E" w:rsidRDefault="00406015" w:rsidP="00303D05">
      <w:pPr>
        <w:pStyle w:val="Paragrafoelenco"/>
        <w:numPr>
          <w:ilvl w:val="1"/>
          <w:numId w:val="44"/>
        </w:numPr>
        <w:spacing w:before="120" w:after="120"/>
        <w:jc w:val="both"/>
        <w:rPr>
          <w:rFonts w:ascii="Lucida Sans" w:hAnsi="Lucida Sans"/>
          <w:szCs w:val="20"/>
        </w:rPr>
      </w:pPr>
      <w:r w:rsidRPr="00373E2E">
        <w:rPr>
          <w:rFonts w:ascii="Lucida Sans" w:hAnsi="Lucida Sans"/>
          <w:szCs w:val="20"/>
        </w:rPr>
        <w:t>to tackle the issue of procyclicality, it strongly smoothens its results, thus generating scenarios that may remain very constant over time;</w:t>
      </w:r>
    </w:p>
    <w:p w14:paraId="4BCA766A" w14:textId="77777777" w:rsidR="00406015" w:rsidRPr="00373E2E" w:rsidRDefault="00406015" w:rsidP="00303D05">
      <w:pPr>
        <w:pStyle w:val="Paragrafoelenco"/>
        <w:numPr>
          <w:ilvl w:val="0"/>
          <w:numId w:val="44"/>
        </w:numPr>
        <w:spacing w:before="120" w:after="120"/>
        <w:jc w:val="both"/>
        <w:rPr>
          <w:rFonts w:ascii="Lucida Sans" w:hAnsi="Lucida Sans"/>
          <w:szCs w:val="20"/>
        </w:rPr>
      </w:pPr>
      <w:r w:rsidRPr="00373E2E">
        <w:rPr>
          <w:rFonts w:ascii="Lucida Sans" w:hAnsi="Lucida Sans"/>
          <w:szCs w:val="20"/>
        </w:rPr>
        <w:t>it will give rise to significant market data costs:</w:t>
      </w:r>
    </w:p>
    <w:p w14:paraId="312D9900" w14:textId="77777777" w:rsidR="00406015" w:rsidRPr="00373E2E" w:rsidRDefault="00406015" w:rsidP="00303D05">
      <w:pPr>
        <w:pStyle w:val="Paragrafoelenco"/>
        <w:numPr>
          <w:ilvl w:val="1"/>
          <w:numId w:val="44"/>
        </w:numPr>
        <w:spacing w:before="120" w:after="120"/>
        <w:jc w:val="both"/>
        <w:rPr>
          <w:rFonts w:ascii="Lucida Sans" w:hAnsi="Lucida Sans"/>
          <w:szCs w:val="20"/>
        </w:rPr>
      </w:pPr>
      <w:r w:rsidRPr="00373E2E">
        <w:rPr>
          <w:rFonts w:ascii="Lucida Sans" w:hAnsi="Lucida Sans"/>
          <w:szCs w:val="20"/>
        </w:rPr>
        <w:t>very substantial amount of additional data points to be collected for each individual sector and country or even at individual instrument level;</w:t>
      </w:r>
    </w:p>
    <w:p w14:paraId="3D535C55" w14:textId="77777777" w:rsidR="00406015" w:rsidRPr="00373E2E" w:rsidRDefault="00406015" w:rsidP="00303D05">
      <w:pPr>
        <w:pStyle w:val="Paragrafoelenco"/>
        <w:numPr>
          <w:ilvl w:val="1"/>
          <w:numId w:val="44"/>
        </w:numPr>
        <w:spacing w:before="120" w:after="120"/>
        <w:jc w:val="both"/>
        <w:rPr>
          <w:rFonts w:ascii="Lucida Sans" w:hAnsi="Lucida Sans"/>
          <w:szCs w:val="20"/>
        </w:rPr>
      </w:pPr>
      <w:r w:rsidRPr="00373E2E">
        <w:rPr>
          <w:rFonts w:ascii="Lucida Sans" w:hAnsi="Lucida Sans"/>
          <w:szCs w:val="20"/>
        </w:rPr>
        <w:t>daily dividend yields (and share buyback) are currently not collected and/or stored by fund managers as part of their daily business activities and regulatory requirements. Even in cases where they are being collected, the current licence requirements do not allow these data to be used for the purpose of calculating and disclosing performance scenarios;</w:t>
      </w:r>
    </w:p>
    <w:p w14:paraId="4209FFB9" w14:textId="77777777" w:rsidR="00406015" w:rsidRPr="00373E2E" w:rsidRDefault="00406015" w:rsidP="00303D05">
      <w:pPr>
        <w:pStyle w:val="Paragrafoelenco"/>
        <w:numPr>
          <w:ilvl w:val="0"/>
          <w:numId w:val="44"/>
        </w:numPr>
        <w:spacing w:before="120" w:after="120"/>
        <w:jc w:val="both"/>
        <w:rPr>
          <w:rFonts w:ascii="Lucida Sans" w:hAnsi="Lucida Sans"/>
          <w:szCs w:val="20"/>
        </w:rPr>
      </w:pPr>
      <w:r w:rsidRPr="00373E2E">
        <w:rPr>
          <w:rFonts w:ascii="Lucida Sans" w:hAnsi="Lucida Sans"/>
          <w:szCs w:val="20"/>
        </w:rPr>
        <w:t xml:space="preserve">it is still based on historical data (compensation mechanism), which had to be removed from the model; </w:t>
      </w:r>
    </w:p>
    <w:p w14:paraId="14A423B1" w14:textId="77777777" w:rsidR="00406015" w:rsidRPr="00373E2E" w:rsidRDefault="00406015" w:rsidP="00303D05">
      <w:pPr>
        <w:pStyle w:val="Paragrafoelenco"/>
        <w:numPr>
          <w:ilvl w:val="0"/>
          <w:numId w:val="44"/>
        </w:numPr>
        <w:spacing w:before="120" w:after="120"/>
        <w:jc w:val="both"/>
        <w:rPr>
          <w:rFonts w:ascii="Lucida Sans" w:hAnsi="Lucida Sans"/>
          <w:szCs w:val="20"/>
        </w:rPr>
      </w:pPr>
      <w:r w:rsidRPr="00373E2E">
        <w:rPr>
          <w:rFonts w:ascii="Lucida Sans" w:hAnsi="Lucida Sans"/>
          <w:szCs w:val="20"/>
        </w:rPr>
        <w:t>we see no way meaningfully to explain to retail investors how the disclosed performance scenarios have been arrived at.</w:t>
      </w:r>
    </w:p>
    <w:p w14:paraId="77F9FBB7" w14:textId="77777777" w:rsidR="00406015" w:rsidRPr="00373E2E" w:rsidRDefault="00406015" w:rsidP="00406015">
      <w:pPr>
        <w:pStyle w:val="FCAHeadingLevel2"/>
        <w:autoSpaceDE w:val="0"/>
        <w:autoSpaceDN w:val="0"/>
        <w:adjustRightInd w:val="0"/>
        <w:spacing w:before="120" w:after="120" w:line="240" w:lineRule="auto"/>
        <w:rPr>
          <w:rFonts w:ascii="Lucida Sans" w:hAnsi="Lucida Sans"/>
          <w:color w:val="auto"/>
          <w:sz w:val="20"/>
          <w:szCs w:val="20"/>
          <w:u w:val="none"/>
        </w:rPr>
      </w:pPr>
      <w:r w:rsidRPr="00373E2E">
        <w:rPr>
          <w:rFonts w:ascii="Lucida Sans" w:hAnsi="Lucida Sans"/>
          <w:b w:val="0"/>
          <w:color w:val="auto"/>
          <w:sz w:val="20"/>
          <w:szCs w:val="20"/>
          <w:u w:val="none"/>
        </w:rPr>
        <w:t xml:space="preserve">The above comments show </w:t>
      </w:r>
      <w:r w:rsidRPr="00373E2E">
        <w:rPr>
          <w:rFonts w:ascii="Lucida Sans" w:hAnsi="Lucida Sans"/>
          <w:color w:val="auto"/>
          <w:sz w:val="20"/>
          <w:szCs w:val="20"/>
          <w:u w:val="none"/>
        </w:rPr>
        <w:t>that a much simpler and streamlined approach is needed</w:t>
      </w:r>
      <w:r w:rsidRPr="00373E2E">
        <w:rPr>
          <w:rFonts w:ascii="Lucida Sans" w:hAnsi="Lucida Sans"/>
          <w:b w:val="0"/>
          <w:color w:val="auto"/>
          <w:sz w:val="20"/>
          <w:szCs w:val="20"/>
          <w:u w:val="none"/>
        </w:rPr>
        <w:t xml:space="preserve">. As even a more complex methodology will not be able to predict the future more accurately, a balance must be struck between the overall complexity and the usefulness of the resulting disclosures to retail investors. </w:t>
      </w:r>
      <w:r w:rsidRPr="00373E2E">
        <w:rPr>
          <w:rFonts w:ascii="Lucida Sans" w:hAnsi="Lucida Sans"/>
          <w:color w:val="auto"/>
          <w:sz w:val="20"/>
          <w:szCs w:val="20"/>
          <w:u w:val="none"/>
        </w:rPr>
        <w:t>We believe that a solution that drastically reduces the complexity and costs of the current proposal is needed</w:t>
      </w:r>
      <w:r w:rsidRPr="00373E2E">
        <w:rPr>
          <w:rFonts w:ascii="Lucida Sans" w:hAnsi="Lucida Sans"/>
          <w:b w:val="0"/>
          <w:color w:val="auto"/>
          <w:sz w:val="20"/>
          <w:szCs w:val="20"/>
          <w:u w:val="none"/>
        </w:rPr>
        <w:t>. This approach should not require a look-through to the underlying assets and should not disadvantage fund managers that have fewer resources or are less able to incur additional data costs</w:t>
      </w:r>
    </w:p>
    <w:p w14:paraId="4C3A8115" w14:textId="77777777" w:rsidR="00406015" w:rsidRPr="00373E2E" w:rsidRDefault="00406015" w:rsidP="00406015">
      <w:pPr>
        <w:pStyle w:val="FCAHeadingLevel2"/>
        <w:autoSpaceDE w:val="0"/>
        <w:autoSpaceDN w:val="0"/>
        <w:adjustRightInd w:val="0"/>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Please see our responses to Q18-22 for more details.</w:t>
      </w:r>
    </w:p>
    <w:p w14:paraId="7B76E827" w14:textId="77777777" w:rsidR="00406015" w:rsidRPr="00373E2E" w:rsidRDefault="00406015" w:rsidP="00406015">
      <w:pPr>
        <w:pStyle w:val="FCAHeadingLevel2"/>
        <w:autoSpaceDE w:val="0"/>
        <w:autoSpaceDN w:val="0"/>
        <w:adjustRightInd w:val="0"/>
        <w:spacing w:before="120" w:after="120" w:line="240" w:lineRule="auto"/>
        <w:rPr>
          <w:rFonts w:ascii="Lucida Sans" w:hAnsi="Lucida Sans"/>
          <w:color w:val="auto"/>
          <w:sz w:val="20"/>
          <w:szCs w:val="20"/>
          <w:u w:val="none"/>
        </w:rPr>
      </w:pPr>
    </w:p>
    <w:p w14:paraId="1BB52518" w14:textId="77777777" w:rsidR="00406015" w:rsidRPr="00373E2E" w:rsidRDefault="00406015" w:rsidP="00406015">
      <w:pPr>
        <w:spacing w:before="120" w:after="120"/>
        <w:jc w:val="both"/>
        <w:rPr>
          <w:rFonts w:ascii="Lucida Sans" w:hAnsi="Lucida Sans"/>
          <w:i/>
          <w:iCs/>
          <w:szCs w:val="20"/>
          <w:u w:val="single"/>
        </w:rPr>
      </w:pPr>
      <w:r w:rsidRPr="00373E2E">
        <w:rPr>
          <w:rFonts w:ascii="Lucida Sans" w:hAnsi="Lucida Sans"/>
          <w:i/>
          <w:iCs/>
          <w:szCs w:val="20"/>
          <w:u w:val="single"/>
        </w:rPr>
        <w:t>Specific comments on ESAs preferred option: dividend yield methodology for probabilistic performance scenarios</w:t>
      </w:r>
    </w:p>
    <w:p w14:paraId="0F5CC630" w14:textId="77777777" w:rsidR="00406015" w:rsidRPr="00373E2E" w:rsidRDefault="00406015" w:rsidP="00406015">
      <w:pPr>
        <w:pStyle w:val="FCAHeadingLevel2"/>
        <w:autoSpaceDE w:val="0"/>
        <w:autoSpaceDN w:val="0"/>
        <w:adjustRightInd w:val="0"/>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It is a fact that any type of future projections will always remain educated guesses – no matter how complex the underlying methodologies would be, each will have its distinct advantages and disadvantages. Therefore, the performance scenario chosen should strike a balance between simplicity and meaningfulness for retail investors.</w:t>
      </w:r>
    </w:p>
    <w:p w14:paraId="752BE950" w14:textId="77777777" w:rsidR="00406015" w:rsidRPr="00373E2E" w:rsidRDefault="00406015" w:rsidP="00406015">
      <w:pPr>
        <w:pStyle w:val="Memberscomments"/>
        <w:spacing w:after="120" w:line="240" w:lineRule="auto"/>
        <w:rPr>
          <w:rFonts w:ascii="Lucida Sans" w:hAnsi="Lucida Sans"/>
          <w:color w:val="auto"/>
          <w:sz w:val="20"/>
          <w:szCs w:val="20"/>
        </w:rPr>
      </w:pPr>
      <w:r w:rsidRPr="00373E2E">
        <w:rPr>
          <w:rFonts w:ascii="Lucida Sans" w:hAnsi="Lucida Sans"/>
          <w:color w:val="auto"/>
          <w:sz w:val="20"/>
          <w:szCs w:val="20"/>
        </w:rPr>
        <w:t xml:space="preserve">While from a theoretical point of view it may seem appropriate to consider an estimator to determine the expected yield or risk premia of the asset class or product, we understand that the revised methodology is creating an even more complex and resource-intensive exercise (in comparison to the current one). </w:t>
      </w:r>
    </w:p>
    <w:p w14:paraId="30A2A603" w14:textId="77777777" w:rsidR="00406015" w:rsidRPr="00373E2E" w:rsidRDefault="00406015" w:rsidP="00406015">
      <w:pPr>
        <w:pStyle w:val="Memberscomments"/>
        <w:spacing w:after="120" w:line="240" w:lineRule="auto"/>
        <w:rPr>
          <w:rFonts w:ascii="Lucida Sans" w:hAnsi="Lucida Sans"/>
          <w:color w:val="auto"/>
          <w:sz w:val="20"/>
          <w:szCs w:val="20"/>
        </w:rPr>
      </w:pPr>
      <w:r w:rsidRPr="00373E2E">
        <w:rPr>
          <w:rFonts w:ascii="Lucida Sans" w:hAnsi="Lucida Sans"/>
          <w:color w:val="auto"/>
          <w:sz w:val="20"/>
          <w:szCs w:val="20"/>
        </w:rPr>
        <w:t xml:space="preserve">Applying best efforts to verify the ESAs’ assumptions and proposals, in our understanding, the proposed methodology requires a very substantial amount of additional data points to be collected for each individual sector and country or even at single instrument level. A look-through approach seems to be requested, thus heavily impacting investment </w:t>
      </w:r>
      <w:proofErr w:type="gramStart"/>
      <w:r w:rsidRPr="00373E2E">
        <w:rPr>
          <w:rFonts w:ascii="Lucida Sans" w:hAnsi="Lucida Sans"/>
          <w:color w:val="auto"/>
          <w:sz w:val="20"/>
          <w:szCs w:val="20"/>
        </w:rPr>
        <w:t>funds in particular</w:t>
      </w:r>
      <w:proofErr w:type="gramEnd"/>
      <w:r w:rsidRPr="00373E2E">
        <w:rPr>
          <w:rFonts w:ascii="Lucida Sans" w:hAnsi="Lucida Sans"/>
          <w:color w:val="auto"/>
          <w:sz w:val="20"/>
          <w:szCs w:val="20"/>
        </w:rPr>
        <w:t xml:space="preserve"> (especially funds of funds). A daily look-through approach could not be feasible for underlying third party funds: this does not reflect reality, as this information is not always available nor feasible in terms of competition (asset managers should share with third parties their daily portfolio composition). In any case, this does not reflect the fund exposure/strategy.</w:t>
      </w:r>
    </w:p>
    <w:p w14:paraId="6AC795FB" w14:textId="77777777" w:rsidR="00406015" w:rsidRPr="00373E2E" w:rsidRDefault="00406015" w:rsidP="00406015">
      <w:pPr>
        <w:spacing w:before="120" w:after="120"/>
        <w:jc w:val="both"/>
        <w:rPr>
          <w:rFonts w:ascii="Lucida Sans" w:hAnsi="Lucida Sans"/>
          <w:szCs w:val="20"/>
        </w:rPr>
      </w:pPr>
      <w:r w:rsidRPr="00373E2E">
        <w:rPr>
          <w:rFonts w:ascii="Lucida Sans" w:hAnsi="Lucida Sans"/>
          <w:szCs w:val="20"/>
        </w:rPr>
        <w:t xml:space="preserve">The methodology does not </w:t>
      </w:r>
      <w:proofErr w:type="gramStart"/>
      <w:r w:rsidRPr="00373E2E">
        <w:rPr>
          <w:rFonts w:ascii="Lucida Sans" w:hAnsi="Lucida Sans"/>
          <w:szCs w:val="20"/>
        </w:rPr>
        <w:t>take into account</w:t>
      </w:r>
      <w:proofErr w:type="gramEnd"/>
      <w:r w:rsidRPr="00373E2E">
        <w:rPr>
          <w:rFonts w:ascii="Lucida Sans" w:hAnsi="Lucida Sans"/>
          <w:szCs w:val="20"/>
        </w:rPr>
        <w:t xml:space="preserve"> a fund manager’s management style (used to achieve the mandate stated in the fund investment policy) as it assumes a static portfolio composition. In addition, the proposed method deals only with certain instruments and does not say how to deal with currency exposures, derivatives, shorts, etc…. Due to this, the following fundamental issues arise: </w:t>
      </w:r>
    </w:p>
    <w:p w14:paraId="05D1B6AC" w14:textId="77777777" w:rsidR="00406015" w:rsidRPr="00373E2E" w:rsidRDefault="00406015" w:rsidP="00303D05">
      <w:pPr>
        <w:pStyle w:val="Paragrafoelenco"/>
        <w:numPr>
          <w:ilvl w:val="0"/>
          <w:numId w:val="45"/>
        </w:numPr>
        <w:spacing w:before="120" w:after="120"/>
        <w:ind w:left="714" w:hanging="357"/>
        <w:contextualSpacing w:val="0"/>
        <w:jc w:val="both"/>
        <w:rPr>
          <w:rFonts w:ascii="Lucida Sans" w:hAnsi="Lucida Sans"/>
          <w:szCs w:val="20"/>
        </w:rPr>
      </w:pPr>
      <w:r w:rsidRPr="00373E2E">
        <w:rPr>
          <w:rFonts w:ascii="Lucida Sans" w:hAnsi="Lucida Sans"/>
          <w:szCs w:val="20"/>
        </w:rPr>
        <w:t xml:space="preserve">an estimator based on the market does not reflect the active management of funds: differences between actively and passively-managed funds are not reflected in the scenarios. In </w:t>
      </w:r>
      <w:r w:rsidRPr="00373E2E">
        <w:rPr>
          <w:rFonts w:ascii="Lucida Sans" w:hAnsi="Lucida Sans"/>
          <w:szCs w:val="20"/>
        </w:rPr>
        <w:lastRenderedPageBreak/>
        <w:t>addition, the scenarios are net of costs. Thus, active funds will always present worse performance scenarios than index-tracking funds with a similar market exposure</w:t>
      </w:r>
      <w:r w:rsidRPr="00373E2E">
        <w:rPr>
          <w:rStyle w:val="Rimandonotaapidipagina"/>
          <w:rFonts w:ascii="Lucida Sans" w:hAnsi="Lucida Sans"/>
          <w:szCs w:val="20"/>
        </w:rPr>
        <w:footnoteReference w:id="8"/>
      </w:r>
      <w:r w:rsidRPr="00373E2E">
        <w:rPr>
          <w:rFonts w:ascii="Lucida Sans" w:hAnsi="Lucida Sans"/>
          <w:szCs w:val="20"/>
        </w:rPr>
        <w:t xml:space="preserve">. </w:t>
      </w:r>
    </w:p>
    <w:p w14:paraId="59599AF5" w14:textId="77777777" w:rsidR="00406015" w:rsidRPr="00373E2E" w:rsidRDefault="00406015" w:rsidP="00303D05">
      <w:pPr>
        <w:pStyle w:val="Paragrafoelenco"/>
        <w:numPr>
          <w:ilvl w:val="0"/>
          <w:numId w:val="45"/>
        </w:numPr>
        <w:spacing w:before="120" w:after="120"/>
        <w:ind w:left="714" w:hanging="357"/>
        <w:contextualSpacing w:val="0"/>
        <w:jc w:val="both"/>
        <w:rPr>
          <w:rFonts w:ascii="Lucida Sans" w:hAnsi="Lucida Sans"/>
          <w:szCs w:val="20"/>
        </w:rPr>
      </w:pPr>
      <w:r w:rsidRPr="00373E2E">
        <w:rPr>
          <w:rFonts w:ascii="Lucida Sans" w:hAnsi="Lucida Sans"/>
          <w:szCs w:val="20"/>
        </w:rPr>
        <w:t xml:space="preserve">funds with a dynamic investment strategy change their asset allocation over time. Their holdings would be different depending on the point in time used for the calculation (equities vs bonds or strategies based on risk controls). Along the same lines, the appraisal of derivatives can also have profound effects on a fund’s allocation over time. Derivatives may change the fund’s exposure and </w:t>
      </w:r>
      <w:proofErr w:type="gramStart"/>
      <w:r w:rsidRPr="00373E2E">
        <w:rPr>
          <w:rFonts w:ascii="Lucida Sans" w:hAnsi="Lucida Sans"/>
          <w:szCs w:val="20"/>
        </w:rPr>
        <w:t>taking into account</w:t>
      </w:r>
      <w:proofErr w:type="gramEnd"/>
      <w:r w:rsidRPr="00373E2E">
        <w:rPr>
          <w:rFonts w:ascii="Lucida Sans" w:hAnsi="Lucida Sans"/>
          <w:szCs w:val="20"/>
        </w:rPr>
        <w:t xml:space="preserve"> the portfolio would be an issue, for example funds invested in (governments) bonds which swap it (all or part of it) with an equity exposure would base scenarios on a bond risk premium rather than an equity one. Therefore, we wonder how ex-ante information that could consistently change throughout the recommended holding period would be of any value to the investor in choosing the PRIIP. The change of portfolio composition also leads to another important issue, the (continuous) data feed required and the monitoring of the asset allocation in order to verify whether the portfolio’s change triggers the threshold that requires updating the KID PRIIPs.</w:t>
      </w:r>
    </w:p>
    <w:p w14:paraId="5D9A84DD" w14:textId="77777777" w:rsidR="00406015" w:rsidRPr="00373E2E" w:rsidRDefault="00406015" w:rsidP="00303D05">
      <w:pPr>
        <w:pStyle w:val="Paragrafoelenco"/>
        <w:numPr>
          <w:ilvl w:val="0"/>
          <w:numId w:val="45"/>
        </w:numPr>
        <w:spacing w:before="120" w:after="120"/>
        <w:ind w:left="714" w:hanging="357"/>
        <w:contextualSpacing w:val="0"/>
        <w:jc w:val="both"/>
        <w:rPr>
          <w:rFonts w:ascii="Lucida Sans" w:hAnsi="Lucida Sans"/>
          <w:szCs w:val="20"/>
        </w:rPr>
      </w:pPr>
      <w:r w:rsidRPr="00373E2E">
        <w:rPr>
          <w:rFonts w:ascii="Lucida Sans" w:hAnsi="Lucida Sans"/>
          <w:szCs w:val="20"/>
        </w:rPr>
        <w:t xml:space="preserve">for sectors that pays lower dividend, the methodology seems to be inappropriate: </w:t>
      </w:r>
    </w:p>
    <w:p w14:paraId="0BE806A7" w14:textId="77777777" w:rsidR="00406015" w:rsidRPr="00373E2E" w:rsidRDefault="00406015" w:rsidP="00406015">
      <w:pPr>
        <w:pStyle w:val="Paragrafoelenco"/>
        <w:spacing w:after="120"/>
        <w:ind w:left="714"/>
        <w:contextualSpacing w:val="0"/>
        <w:rPr>
          <w:rFonts w:ascii="Lucida Sans" w:hAnsi="Lucida Sans"/>
          <w:szCs w:val="20"/>
        </w:rPr>
      </w:pPr>
      <w:r w:rsidRPr="00373E2E">
        <w:rPr>
          <w:rFonts w:ascii="Lucida Sans" w:hAnsi="Lucida Sans"/>
          <w:noProof/>
          <w:szCs w:val="20"/>
        </w:rPr>
        <w:drawing>
          <wp:inline distT="0" distB="0" distL="0" distR="0" wp14:anchorId="081007FA" wp14:editId="6A0EBD03">
            <wp:extent cx="6096528" cy="3429297"/>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96528" cy="3429297"/>
                    </a:xfrm>
                    <a:prstGeom prst="rect">
                      <a:avLst/>
                    </a:prstGeom>
                  </pic:spPr>
                </pic:pic>
              </a:graphicData>
            </a:graphic>
          </wp:inline>
        </w:drawing>
      </w:r>
    </w:p>
    <w:p w14:paraId="5F53EB84" w14:textId="77777777" w:rsidR="00406015" w:rsidRPr="00373E2E" w:rsidRDefault="00406015" w:rsidP="00303D05">
      <w:pPr>
        <w:pStyle w:val="Paragrafoelenco"/>
        <w:numPr>
          <w:ilvl w:val="0"/>
          <w:numId w:val="45"/>
        </w:numPr>
        <w:spacing w:before="120" w:after="120"/>
        <w:ind w:left="714" w:hanging="357"/>
        <w:contextualSpacing w:val="0"/>
        <w:jc w:val="both"/>
        <w:rPr>
          <w:rFonts w:ascii="Lucida Sans" w:hAnsi="Lucida Sans"/>
          <w:szCs w:val="20"/>
        </w:rPr>
      </w:pPr>
      <w:r w:rsidRPr="00373E2E">
        <w:rPr>
          <w:rFonts w:ascii="Lucida Sans" w:hAnsi="Lucida Sans"/>
          <w:szCs w:val="20"/>
        </w:rPr>
        <w:t xml:space="preserve">In some cases, reference markets cannot always be correctly determined or ascertained in terms of investment policy (market neutral, long-short strategies, multi-manager funds, funds of hedge funds). Would a risk-free rate be the fall-back solution in such cases? But this would lead to inappropriate or even misleading information being disclosed to investors. </w:t>
      </w:r>
    </w:p>
    <w:p w14:paraId="317EFF4B" w14:textId="77777777" w:rsidR="00406015" w:rsidRPr="00373E2E" w:rsidRDefault="00406015" w:rsidP="00406015">
      <w:pPr>
        <w:pStyle w:val="Paragrafoelenco"/>
        <w:spacing w:after="120"/>
        <w:ind w:left="714"/>
        <w:contextualSpacing w:val="0"/>
        <w:rPr>
          <w:rFonts w:ascii="Lucida Sans" w:hAnsi="Lucida Sans"/>
          <w:szCs w:val="20"/>
        </w:rPr>
      </w:pPr>
    </w:p>
    <w:p w14:paraId="7014C000" w14:textId="77777777" w:rsidR="00406015" w:rsidRPr="00373E2E" w:rsidRDefault="00406015" w:rsidP="00406015">
      <w:pPr>
        <w:pStyle w:val="FCAHeadingLevel2"/>
        <w:autoSpaceDE w:val="0"/>
        <w:autoSpaceDN w:val="0"/>
        <w:adjustRightInd w:val="0"/>
        <w:spacing w:before="120" w:after="120" w:line="240" w:lineRule="auto"/>
        <w:rPr>
          <w:rFonts w:ascii="Lucida Sans" w:hAnsi="Lucida Sans"/>
          <w:b w:val="0"/>
          <w:color w:val="auto"/>
          <w:sz w:val="20"/>
          <w:szCs w:val="20"/>
          <w:u w:val="none"/>
        </w:rPr>
      </w:pPr>
    </w:p>
    <w:p w14:paraId="6716C572" w14:textId="77777777" w:rsidR="00406015" w:rsidRPr="00373E2E" w:rsidRDefault="00406015" w:rsidP="00406015">
      <w:pPr>
        <w:pStyle w:val="FCAHeadingLevel2"/>
        <w:autoSpaceDE w:val="0"/>
        <w:autoSpaceDN w:val="0"/>
        <w:adjustRightInd w:val="0"/>
        <w:spacing w:before="120" w:after="120" w:line="240" w:lineRule="auto"/>
        <w:rPr>
          <w:rFonts w:ascii="Lucida Sans" w:hAnsi="Lucida Sans"/>
          <w:b w:val="0"/>
          <w:color w:val="auto"/>
          <w:sz w:val="20"/>
          <w:szCs w:val="20"/>
          <w:u w:val="none"/>
        </w:rPr>
      </w:pPr>
      <w:r w:rsidRPr="00373E2E">
        <w:rPr>
          <w:rFonts w:ascii="Lucida Sans" w:hAnsi="Lucida Sans"/>
          <w:b w:val="0"/>
          <w:noProof/>
          <w:color w:val="auto"/>
          <w:sz w:val="20"/>
          <w:szCs w:val="20"/>
          <w:u w:val="none"/>
        </w:rPr>
        <w:lastRenderedPageBreak/>
        <w:drawing>
          <wp:inline distT="0" distB="0" distL="0" distR="0" wp14:anchorId="527608F6" wp14:editId="15429C49">
            <wp:extent cx="6096528" cy="3429297"/>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96528" cy="3429297"/>
                    </a:xfrm>
                    <a:prstGeom prst="rect">
                      <a:avLst/>
                    </a:prstGeom>
                  </pic:spPr>
                </pic:pic>
              </a:graphicData>
            </a:graphic>
          </wp:inline>
        </w:drawing>
      </w:r>
    </w:p>
    <w:p w14:paraId="6FA19395" w14:textId="77777777" w:rsidR="00406015" w:rsidRPr="00373E2E" w:rsidRDefault="00406015" w:rsidP="00406015">
      <w:pPr>
        <w:pStyle w:val="FCAHeadingLevel2"/>
        <w:autoSpaceDE w:val="0"/>
        <w:autoSpaceDN w:val="0"/>
        <w:adjustRightInd w:val="0"/>
        <w:spacing w:before="120" w:after="120" w:line="240" w:lineRule="auto"/>
        <w:rPr>
          <w:rFonts w:ascii="Lucida Sans" w:hAnsi="Lucida Sans"/>
          <w:b w:val="0"/>
          <w:color w:val="auto"/>
          <w:sz w:val="20"/>
          <w:szCs w:val="20"/>
          <w:u w:val="none"/>
        </w:rPr>
      </w:pPr>
    </w:p>
    <w:p w14:paraId="24A7ADEC" w14:textId="77777777" w:rsidR="00406015" w:rsidRPr="00373E2E" w:rsidRDefault="00406015" w:rsidP="00406015">
      <w:pPr>
        <w:pStyle w:val="FCAHeadingLevel2"/>
        <w:autoSpaceDE w:val="0"/>
        <w:autoSpaceDN w:val="0"/>
        <w:adjustRightInd w:val="0"/>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The ESAs seem to overlook the very real costs attached to collecting even more market data necessary for the underlying calculations. Some of the data needed, such as daily dividend yields (and share buyback), are currently not collected and/or stored by fund managers as part of their daily business activities and regulatory requirements. Even in cases where they are being collected, the current licence requirements do not allow these data to be used for the purpose of calculating and disclosing performance scenarios. Thus, the new requirements will significantly increase fund managers’ cost burden. This burden will be disproportionately larger for small and medium-sized players. This is a questionable direction of travel, given the huge increase in fees over the past years being paid by fund managers for market data.</w:t>
      </w:r>
    </w:p>
    <w:p w14:paraId="4FC7F4B3" w14:textId="77777777" w:rsidR="00406015" w:rsidRPr="00373E2E" w:rsidRDefault="00406015" w:rsidP="00406015">
      <w:pPr>
        <w:pStyle w:val="FCAHeadingLevel2"/>
        <w:autoSpaceDE w:val="0"/>
        <w:autoSpaceDN w:val="0"/>
        <w:adjustRightInd w:val="0"/>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Finally, the results of this complex mechanism could not be used if a compensatory mechanism apply i.e. when the output of the scenario will be not in line with the return observed in the past (which would be removed from the model) or with the asset manager evaluation. This effectively makes the expensive exercise to be carried out useless and, in any case, less comparable because each manufacturer should adjust the scenario.</w:t>
      </w:r>
    </w:p>
    <w:p w14:paraId="4503592F" w14:textId="77777777" w:rsidR="00406015" w:rsidRPr="00373E2E" w:rsidRDefault="00406015" w:rsidP="00406015">
      <w:pPr>
        <w:pStyle w:val="FCAHeadingLevel2"/>
        <w:autoSpaceDE w:val="0"/>
        <w:autoSpaceDN w:val="0"/>
        <w:adjustRightInd w:val="0"/>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So, we see no way meaningfully to explain to retail investors how the disclosed performance scenarios have been arrived at.</w:t>
      </w:r>
    </w:p>
    <w:p w14:paraId="2C8137F7" w14:textId="77777777" w:rsidR="00406015" w:rsidRPr="00373E2E" w:rsidRDefault="00406015" w:rsidP="00406015">
      <w:pPr>
        <w:pStyle w:val="FCAHeadingLevel2"/>
        <w:autoSpaceDE w:val="0"/>
        <w:autoSpaceDN w:val="0"/>
        <w:adjustRightInd w:val="0"/>
        <w:spacing w:before="120" w:after="120" w:line="240" w:lineRule="auto"/>
        <w:rPr>
          <w:rFonts w:ascii="Lucida Sans" w:hAnsi="Lucida Sans"/>
          <w:color w:val="auto"/>
          <w:sz w:val="20"/>
          <w:szCs w:val="20"/>
          <w:u w:val="none"/>
        </w:rPr>
      </w:pPr>
    </w:p>
    <w:p w14:paraId="744CDB0A" w14:textId="77777777" w:rsidR="00406015" w:rsidRPr="00373E2E" w:rsidRDefault="00406015" w:rsidP="00406015">
      <w:pPr>
        <w:pStyle w:val="Memberscomments"/>
        <w:spacing w:after="120" w:line="240" w:lineRule="auto"/>
        <w:rPr>
          <w:rFonts w:ascii="Lucida Sans" w:hAnsi="Lucida Sans"/>
          <w:i/>
          <w:iCs/>
          <w:color w:val="auto"/>
          <w:sz w:val="20"/>
          <w:szCs w:val="20"/>
          <w:u w:val="single"/>
        </w:rPr>
      </w:pPr>
      <w:r w:rsidRPr="00373E2E">
        <w:rPr>
          <w:rFonts w:ascii="Lucida Sans" w:hAnsi="Lucida Sans"/>
          <w:i/>
          <w:iCs/>
          <w:color w:val="auto"/>
          <w:sz w:val="20"/>
          <w:szCs w:val="20"/>
          <w:u w:val="single"/>
        </w:rPr>
        <w:t>Specific comments on the reference rate</w:t>
      </w:r>
    </w:p>
    <w:p w14:paraId="437C0671" w14:textId="77777777" w:rsidR="00406015" w:rsidRPr="00373E2E" w:rsidRDefault="00406015" w:rsidP="00406015">
      <w:pPr>
        <w:spacing w:before="120" w:after="120"/>
        <w:jc w:val="both"/>
        <w:rPr>
          <w:rFonts w:ascii="Lucida Sans" w:eastAsia="Arial Unicode MS" w:hAnsi="Lucida Sans"/>
          <w:szCs w:val="20"/>
        </w:rPr>
      </w:pPr>
      <w:r w:rsidRPr="00373E2E">
        <w:rPr>
          <w:rFonts w:ascii="Lucida Sans" w:eastAsia="Arial Unicode MS" w:hAnsi="Lucida Sans"/>
          <w:szCs w:val="20"/>
        </w:rPr>
        <w:t xml:space="preserve">The reference rate </w:t>
      </w:r>
      <w:proofErr w:type="gramStart"/>
      <w:r w:rsidRPr="00373E2E">
        <w:rPr>
          <w:rFonts w:ascii="Lucida Sans" w:eastAsia="Arial Unicode MS" w:hAnsi="Lucida Sans"/>
          <w:szCs w:val="20"/>
        </w:rPr>
        <w:t>has to</w:t>
      </w:r>
      <w:proofErr w:type="gramEnd"/>
      <w:r w:rsidRPr="00373E2E">
        <w:rPr>
          <w:rFonts w:ascii="Lucida Sans" w:eastAsia="Arial Unicode MS" w:hAnsi="Lucida Sans"/>
          <w:szCs w:val="20"/>
        </w:rPr>
        <w:t xml:space="preserve"> be calculated on an asset-weighted basis. The consultation paper does not go into detail on the maturity of the sovereign bond. It may be fixed, for example </w:t>
      </w:r>
      <w:r w:rsidRPr="00373E2E">
        <w:rPr>
          <w:rFonts w:ascii="Lucida Sans" w:hAnsi="Lucida Sans"/>
          <w:szCs w:val="20"/>
        </w:rPr>
        <w:t xml:space="preserve">using sovereign bonds with a 5-year maturity or it may depend on the recommend holding period. </w:t>
      </w:r>
      <w:r w:rsidRPr="00373E2E">
        <w:rPr>
          <w:rFonts w:ascii="Lucida Sans" w:eastAsia="Arial Unicode MS" w:hAnsi="Lucida Sans"/>
          <w:szCs w:val="20"/>
        </w:rPr>
        <w:t>This causes uncertainty for a correct testing. In addition, the reference rate is based on currency and country of the assets specific and issues comes for funds with certain geographical and or credit exposures, such as funds investing in emerging markets or for funds that use currency hedging strategies. The reference rate would be optimistic as it does not reflect the sovereign credit risk.</w:t>
      </w:r>
    </w:p>
    <w:p w14:paraId="0A4368BF" w14:textId="1D8478C8" w:rsidR="003E573C" w:rsidRDefault="003E573C" w:rsidP="003E573C">
      <w:pPr>
        <w:rPr>
          <w:rFonts w:cs="Arial"/>
        </w:rPr>
      </w:pP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2" w:name="_Hlk18829484"/>
      <w:r>
        <w:lastRenderedPageBreak/>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2"/>
    </w:p>
    <w:p w14:paraId="5C90E2A2" w14:textId="3A274DAD" w:rsidR="003E573C" w:rsidRDefault="003E573C" w:rsidP="003E573C">
      <w:pPr>
        <w:rPr>
          <w:rFonts w:cs="Arial"/>
        </w:rPr>
      </w:pPr>
      <w:r>
        <w:rPr>
          <w:rFonts w:cs="Arial"/>
        </w:rPr>
        <w:t>&lt;ESA_QUESTION_PKID_10&gt;</w:t>
      </w:r>
    </w:p>
    <w:p w14:paraId="389F07FE" w14:textId="77777777" w:rsidR="002730D1" w:rsidRPr="00373E2E" w:rsidRDefault="002730D1" w:rsidP="002730D1">
      <w:pPr>
        <w:spacing w:before="120" w:after="120"/>
        <w:jc w:val="both"/>
        <w:rPr>
          <w:rFonts w:ascii="Lucida Sans" w:hAnsi="Lucida Sans"/>
          <w:szCs w:val="20"/>
        </w:rPr>
      </w:pPr>
      <w:permStart w:id="610013876" w:edGrp="everyone"/>
      <w:r w:rsidRPr="00373E2E">
        <w:rPr>
          <w:rFonts w:ascii="Lucida Sans" w:hAnsi="Lucida Sans"/>
          <w:szCs w:val="20"/>
        </w:rPr>
        <w:t>As already explained in our reply to Q9, the proposed requirement for calculating the dividend yield of the equity is very complicated. The proposed methodology expects to use the average dividend yield for each country and sector represented, weighted by its representation. Furthermore, government bonds, corporate bonds and foreign exchange instruments would all be treated in a similar manner as equities.</w:t>
      </w:r>
    </w:p>
    <w:p w14:paraId="48027AE2" w14:textId="77777777" w:rsidR="002730D1" w:rsidRPr="00373E2E" w:rsidRDefault="002730D1" w:rsidP="002730D1">
      <w:pPr>
        <w:spacing w:before="120" w:after="120"/>
        <w:jc w:val="both"/>
        <w:rPr>
          <w:rFonts w:ascii="Lucida Sans" w:eastAsia="Arial Unicode MS" w:hAnsi="Lucida Sans"/>
          <w:szCs w:val="20"/>
        </w:rPr>
      </w:pPr>
      <w:proofErr w:type="gramStart"/>
      <w:r w:rsidRPr="00373E2E">
        <w:rPr>
          <w:rFonts w:ascii="Lucida Sans" w:hAnsi="Lucida Sans"/>
          <w:szCs w:val="20"/>
        </w:rPr>
        <w:t>In reality, such</w:t>
      </w:r>
      <w:proofErr w:type="gramEnd"/>
      <w:r w:rsidRPr="00373E2E">
        <w:rPr>
          <w:rFonts w:ascii="Lucida Sans" w:hAnsi="Lucida Sans"/>
          <w:szCs w:val="20"/>
        </w:rPr>
        <w:t xml:space="preserve"> an approach would be especially onerous for fund managers. </w:t>
      </w:r>
      <w:r w:rsidRPr="00373E2E">
        <w:rPr>
          <w:rFonts w:ascii="Lucida Sans" w:eastAsia="Arial Unicode MS" w:hAnsi="Lucida Sans"/>
          <w:szCs w:val="20"/>
        </w:rPr>
        <w:t xml:space="preserve">A globally diversified fund, with a reasonable spread of shares by sector, would end up requiring a </w:t>
      </w:r>
      <w:bookmarkStart w:id="3" w:name="_Hlk25582086"/>
      <w:r w:rsidRPr="00373E2E">
        <w:rPr>
          <w:rFonts w:ascii="Lucida Sans" w:eastAsia="Arial Unicode MS" w:hAnsi="Lucida Sans"/>
          <w:szCs w:val="20"/>
        </w:rPr>
        <w:t>complex calculation on an asset, country, currency and sector-weighted basis. The comparability of scenarios between PRIIPs would not be guaranteed in any case, given that the value of the estimators may be different depending on the source used.</w:t>
      </w:r>
    </w:p>
    <w:bookmarkEnd w:id="3"/>
    <w:p w14:paraId="22310140" w14:textId="77777777" w:rsidR="002730D1" w:rsidRPr="00373E2E" w:rsidRDefault="002730D1" w:rsidP="002730D1">
      <w:pPr>
        <w:spacing w:before="120" w:after="120"/>
        <w:jc w:val="both"/>
        <w:rPr>
          <w:rFonts w:ascii="Lucida Sans" w:hAnsi="Lucida Sans"/>
          <w:szCs w:val="20"/>
        </w:rPr>
      </w:pPr>
      <w:r w:rsidRPr="00373E2E">
        <w:rPr>
          <w:rFonts w:ascii="Lucida Sans" w:hAnsi="Lucida Sans"/>
          <w:szCs w:val="20"/>
        </w:rPr>
        <w:t xml:space="preserve">Furthermore, the consultation paper lacks clarity on </w:t>
      </w:r>
      <w:proofErr w:type="gramStart"/>
      <w:r w:rsidRPr="00373E2E">
        <w:rPr>
          <w:rFonts w:ascii="Lucida Sans" w:hAnsi="Lucida Sans"/>
          <w:szCs w:val="20"/>
        </w:rPr>
        <w:t>a number of</w:t>
      </w:r>
      <w:proofErr w:type="gramEnd"/>
      <w:r w:rsidRPr="00373E2E">
        <w:rPr>
          <w:rFonts w:ascii="Lucida Sans" w:hAnsi="Lucida Sans"/>
          <w:szCs w:val="20"/>
        </w:rPr>
        <w:t xml:space="preserve"> crucial issues:</w:t>
      </w:r>
    </w:p>
    <w:p w14:paraId="4D09C339" w14:textId="77777777" w:rsidR="002730D1" w:rsidRPr="00373E2E" w:rsidRDefault="002730D1" w:rsidP="00303D05">
      <w:pPr>
        <w:pStyle w:val="Paragrafoelenco"/>
        <w:numPr>
          <w:ilvl w:val="0"/>
          <w:numId w:val="45"/>
        </w:numPr>
        <w:spacing w:before="120" w:after="120"/>
        <w:ind w:left="714" w:hanging="357"/>
        <w:contextualSpacing w:val="0"/>
        <w:jc w:val="both"/>
        <w:rPr>
          <w:rFonts w:ascii="Lucida Sans" w:hAnsi="Lucida Sans"/>
          <w:szCs w:val="20"/>
        </w:rPr>
      </w:pPr>
      <w:r w:rsidRPr="00373E2E">
        <w:rPr>
          <w:rFonts w:ascii="Lucida Sans" w:hAnsi="Lucida Sans"/>
          <w:szCs w:val="20"/>
        </w:rPr>
        <w:t>It is not clear how to determine the country of origin of the asset, (i.e. primary listing, country of incorporation, country of headquarters, etc.). We understand that the ESAs are using the primary listing to determine the country of the asset in their own testing. Although the primary listing is often a key determinant of the country of the asset, this may diverge from the approach used by some investment managers and the data vendors.</w:t>
      </w:r>
    </w:p>
    <w:p w14:paraId="0A934CC8" w14:textId="77777777" w:rsidR="002730D1" w:rsidRPr="00373E2E" w:rsidRDefault="002730D1" w:rsidP="00303D05">
      <w:pPr>
        <w:pStyle w:val="Paragrafoelenco"/>
        <w:numPr>
          <w:ilvl w:val="0"/>
          <w:numId w:val="45"/>
        </w:numPr>
        <w:spacing w:before="120" w:after="120"/>
        <w:ind w:left="714" w:hanging="357"/>
        <w:contextualSpacing w:val="0"/>
        <w:jc w:val="both"/>
        <w:rPr>
          <w:rFonts w:ascii="Lucida Sans" w:hAnsi="Lucida Sans"/>
          <w:szCs w:val="20"/>
        </w:rPr>
      </w:pPr>
      <w:r w:rsidRPr="00373E2E">
        <w:rPr>
          <w:rFonts w:ascii="Lucida Sans" w:hAnsi="Lucida Sans"/>
          <w:szCs w:val="20"/>
        </w:rPr>
        <w:t>There is also no clarity on how the sector of the asset should be determined. Data vendors allocate assets to a sector but, there is no industry standard for assigning a sector.</w:t>
      </w:r>
    </w:p>
    <w:p w14:paraId="3D5354FE" w14:textId="407DE3F5" w:rsidR="003E573C" w:rsidRDefault="003E573C" w:rsidP="003E573C">
      <w:pPr>
        <w:rPr>
          <w:rFonts w:cs="Arial"/>
        </w:rPr>
      </w:pP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4F6B910D" w14:textId="77777777" w:rsidR="006E4C67" w:rsidRPr="00373E2E" w:rsidRDefault="006E4C67" w:rsidP="006E4C67">
      <w:pPr>
        <w:spacing w:before="120" w:after="120"/>
        <w:jc w:val="both"/>
        <w:rPr>
          <w:rFonts w:ascii="Lucida Sans" w:hAnsi="Lucida Sans"/>
          <w:szCs w:val="20"/>
        </w:rPr>
      </w:pPr>
      <w:permStart w:id="790175202" w:edGrp="everyone"/>
      <w:r w:rsidRPr="00373E2E">
        <w:rPr>
          <w:rFonts w:ascii="Lucida Sans" w:hAnsi="Lucida Sans"/>
          <w:szCs w:val="20"/>
        </w:rPr>
        <w:t>Given the highly relevant concerns around the access and pricing of market data, we are adamant that - if the dividend yield methodology is prescribed by the ESAs - these rates should be determined</w:t>
      </w:r>
      <w:r w:rsidRPr="00373E2E" w:rsidDel="00957285">
        <w:rPr>
          <w:rFonts w:ascii="Lucida Sans" w:hAnsi="Lucida Sans"/>
          <w:szCs w:val="20"/>
        </w:rPr>
        <w:t xml:space="preserve"> </w:t>
      </w:r>
      <w:r w:rsidRPr="00373E2E">
        <w:rPr>
          <w:rFonts w:ascii="Lucida Sans" w:hAnsi="Lucida Sans"/>
          <w:szCs w:val="20"/>
        </w:rPr>
        <w:t xml:space="preserve">and made publicly available by the ESAs or the NCAs. Such standardised rate tables would be essential, and they would help lower the very real costs of obtaining such market data from data providers and avoid all single European manufacturers, especially the medium-little one, to afford data licenses costs for the feeding process. </w:t>
      </w:r>
    </w:p>
    <w:p w14:paraId="6CA87D88" w14:textId="77777777" w:rsidR="006E4C67" w:rsidRPr="00373E2E" w:rsidRDefault="006E4C67" w:rsidP="006E4C67">
      <w:pPr>
        <w:spacing w:before="120" w:after="120"/>
        <w:jc w:val="both"/>
        <w:rPr>
          <w:rFonts w:ascii="Lucida Sans" w:hAnsi="Lucida Sans"/>
          <w:szCs w:val="20"/>
        </w:rPr>
      </w:pPr>
      <w:r w:rsidRPr="00373E2E">
        <w:rPr>
          <w:rFonts w:ascii="Lucida Sans" w:hAnsi="Lucida Sans"/>
          <w:szCs w:val="20"/>
        </w:rPr>
        <w:t>Such standard table should be granular enough to be applied for different types of PRIIPs and should be consistent with asset classes that might be used for the calculation of transactions costs (please see our response to Q43.</w:t>
      </w:r>
    </w:p>
    <w:p w14:paraId="16E4B422" w14:textId="77777777" w:rsidR="006E4C67" w:rsidRPr="00373E2E" w:rsidRDefault="006E4C67" w:rsidP="006E4C67">
      <w:pPr>
        <w:spacing w:before="120" w:after="120"/>
        <w:jc w:val="both"/>
        <w:rPr>
          <w:rFonts w:ascii="Lucida Sans" w:hAnsi="Lucida Sans"/>
          <w:szCs w:val="20"/>
        </w:rPr>
      </w:pPr>
      <w:r w:rsidRPr="00373E2E">
        <w:rPr>
          <w:rFonts w:ascii="Lucida Sans" w:hAnsi="Lucida Sans"/>
          <w:szCs w:val="20"/>
        </w:rPr>
        <w:t xml:space="preserve">We believe that no prescriptive rule for the estimation/calibration of the parameters should be included in the RTS, but only some general principle. Such as “The ESAs shall issue guidelines with common reference parameters for the methodology for performance scenarios. The guidelines shall be updated at least every year </w:t>
      </w:r>
      <w:proofErr w:type="gramStart"/>
      <w:r w:rsidRPr="00373E2E">
        <w:rPr>
          <w:rFonts w:ascii="Lucida Sans" w:hAnsi="Lucida Sans"/>
          <w:szCs w:val="20"/>
        </w:rPr>
        <w:t>taking into account</w:t>
      </w:r>
      <w:proofErr w:type="gramEnd"/>
      <w:r w:rsidRPr="00373E2E">
        <w:rPr>
          <w:rFonts w:ascii="Lucida Sans" w:hAnsi="Lucida Sans"/>
          <w:szCs w:val="20"/>
        </w:rPr>
        <w:t xml:space="preserve"> the latest market developments”. It is worth noting that it could be also valuable in the context of PRIIPs the exercise done by ESMA in defining and updating the common calibration to be used for MMF stress tests</w:t>
      </w:r>
      <w:r w:rsidRPr="00373E2E">
        <w:rPr>
          <w:rStyle w:val="Rimandonotaapidipagina"/>
          <w:rFonts w:ascii="Lucida Sans" w:hAnsi="Lucida Sans"/>
          <w:szCs w:val="20"/>
        </w:rPr>
        <w:footnoteReference w:id="9"/>
      </w:r>
      <w:r w:rsidRPr="00373E2E">
        <w:rPr>
          <w:rFonts w:ascii="Lucida Sans" w:hAnsi="Lucida Sans"/>
          <w:szCs w:val="20"/>
        </w:rPr>
        <w:t xml:space="preserve"> .</w:t>
      </w:r>
    </w:p>
    <w:p w14:paraId="5C070307" w14:textId="2BCF6BE9" w:rsidR="003E573C" w:rsidRDefault="003E573C" w:rsidP="003E573C">
      <w:pPr>
        <w:rPr>
          <w:rFonts w:cs="Arial"/>
        </w:rPr>
      </w:pPr>
    </w:p>
    <w:permEnd w:id="790175202"/>
    <w:p w14:paraId="140C09C0" w14:textId="5015C2BC" w:rsidR="003E573C" w:rsidRDefault="003E573C" w:rsidP="003E573C">
      <w:pPr>
        <w:rPr>
          <w:rFonts w:cs="Arial"/>
        </w:rPr>
      </w:pPr>
      <w:r>
        <w:rPr>
          <w:rFonts w:cs="Arial"/>
        </w:rPr>
        <w:lastRenderedPageBreak/>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7777777" w:rsidR="003E573C" w:rsidRDefault="003E573C" w:rsidP="003E573C">
      <w:pPr>
        <w:rPr>
          <w:rFonts w:cs="Arial"/>
        </w:rPr>
      </w:pPr>
      <w:permStart w:id="800330460" w:edGrp="everyone"/>
      <w:r>
        <w:rPr>
          <w:rFonts w:cs="Arial"/>
        </w:rPr>
        <w:t>TYPE YOUR TEXT HERE</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75B30281" w:rsidR="003E573C" w:rsidRDefault="00F8000E" w:rsidP="00F8000E">
      <w:pPr>
        <w:spacing w:before="120" w:after="120"/>
        <w:jc w:val="both"/>
        <w:rPr>
          <w:rFonts w:ascii="Lucida Sans" w:hAnsi="Lucida Sans"/>
          <w:szCs w:val="20"/>
        </w:rPr>
      </w:pPr>
      <w:permStart w:id="1179406826" w:edGrp="everyone"/>
      <w:r w:rsidRPr="00373E2E">
        <w:rPr>
          <w:rFonts w:ascii="Lucida Sans" w:hAnsi="Lucida Sans"/>
          <w:szCs w:val="20"/>
        </w:rPr>
        <w:t>While the approach on money market funds seems plausible, at first glance, it also contains an additional data points that needs to be properly sourced to be included in the overall methodology. This further exacerbates the problems already described above.</w:t>
      </w:r>
    </w:p>
    <w:p w14:paraId="6F7415BB" w14:textId="77777777" w:rsidR="00F8000E" w:rsidRPr="00F8000E" w:rsidRDefault="00F8000E" w:rsidP="00F8000E">
      <w:pPr>
        <w:spacing w:before="120" w:after="120"/>
        <w:jc w:val="both"/>
        <w:rPr>
          <w:rFonts w:ascii="Lucida Sans" w:hAnsi="Lucida Sans"/>
          <w:szCs w:val="20"/>
        </w:rPr>
      </w:pP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3B864FAB" w14:textId="77777777" w:rsidR="00A429CA" w:rsidRDefault="00A429CA" w:rsidP="00A429CA">
      <w:pPr>
        <w:spacing w:before="120" w:after="120"/>
        <w:jc w:val="both"/>
        <w:rPr>
          <w:rFonts w:ascii="Lucida Sans" w:hAnsi="Lucida Sans"/>
          <w:szCs w:val="20"/>
        </w:rPr>
      </w:pPr>
      <w:permStart w:id="1646396141" w:edGrp="everyone"/>
      <w:r w:rsidRPr="00373E2E">
        <w:rPr>
          <w:rFonts w:ascii="Lucida Sans" w:hAnsi="Lucida Sans"/>
          <w:szCs w:val="20"/>
        </w:rPr>
        <w:t>We are against the use of option prices to determine volatility. Options prices are not always available for equities. More importantly, though, this would require all PRIIPs manufacturers to have access to options data, which is not the case. Receiving access to option prices will again represent a significant additional cost.</w:t>
      </w:r>
    </w:p>
    <w:p w14:paraId="64454A0F" w14:textId="2AAB23BF" w:rsidR="00A429CA" w:rsidRPr="00373E2E" w:rsidRDefault="00A429CA" w:rsidP="00A429CA">
      <w:pPr>
        <w:spacing w:before="120" w:after="120"/>
        <w:jc w:val="both"/>
        <w:rPr>
          <w:rFonts w:ascii="Lucida Sans" w:hAnsi="Lucida Sans"/>
          <w:szCs w:val="20"/>
        </w:rPr>
      </w:pP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5D5E1B1A" w14:textId="77777777" w:rsidR="005C1FAF" w:rsidRPr="00373E2E" w:rsidRDefault="005C1FAF" w:rsidP="005C1FAF">
      <w:pPr>
        <w:spacing w:before="120" w:after="120"/>
        <w:jc w:val="both"/>
        <w:rPr>
          <w:rFonts w:ascii="Lucida Sans" w:hAnsi="Lucida Sans"/>
          <w:szCs w:val="20"/>
        </w:rPr>
      </w:pPr>
      <w:permStart w:id="1271138379" w:edGrp="everyone"/>
      <w:r w:rsidRPr="00373E2E">
        <w:rPr>
          <w:rFonts w:ascii="Lucida Sans" w:hAnsi="Lucida Sans"/>
          <w:szCs w:val="20"/>
        </w:rPr>
        <w:t>The ESAs’ proposal to include “compensatory mechanisms” highlights that there are fundamental issues in trying to project future outcomes with any sort of accuracy. This essential flaw cannot be masked by making the underlying methodology more and more complicated.</w:t>
      </w:r>
    </w:p>
    <w:p w14:paraId="7E4295D9" w14:textId="77777777" w:rsidR="005C1FAF" w:rsidRPr="00373E2E" w:rsidRDefault="005C1FAF" w:rsidP="005C1FAF">
      <w:pPr>
        <w:spacing w:before="120" w:after="120"/>
        <w:jc w:val="both"/>
        <w:rPr>
          <w:rFonts w:ascii="Lucida Sans" w:hAnsi="Lucida Sans"/>
          <w:szCs w:val="20"/>
        </w:rPr>
      </w:pPr>
      <w:r w:rsidRPr="00373E2E">
        <w:rPr>
          <w:rFonts w:ascii="Lucida Sans" w:hAnsi="Lucida Sans"/>
          <w:szCs w:val="20"/>
        </w:rPr>
        <w:t>Thus, having to consider additional “compensatory mechanisms for unforeseen methodological faults”, such as past performance, would simply be overkill, as it would make an already extremely complicated methodology even more complex and daunting. The original aim of this exercise (i.e. the disclosure of performance scenarios) was to strike a reasonable balance between retail investors being able to understand potential return outcomes while at the same time not making calculation too resource-intensive. The suggested approach risks becoming more and more academic in nature and losing sight of this all-important balance.</w:t>
      </w:r>
    </w:p>
    <w:p w14:paraId="441AFA85" w14:textId="0A64F029" w:rsidR="003E573C" w:rsidRDefault="003E573C" w:rsidP="003E573C">
      <w:pPr>
        <w:rPr>
          <w:rFonts w:cs="Arial"/>
        </w:rPr>
      </w:pP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FCF8DDC" w14:textId="77777777" w:rsidR="001951A1" w:rsidRPr="00373E2E" w:rsidRDefault="001951A1" w:rsidP="001951A1">
      <w:pPr>
        <w:spacing w:before="120" w:after="120"/>
        <w:jc w:val="both"/>
        <w:rPr>
          <w:rFonts w:ascii="Lucida Sans" w:hAnsi="Lucida Sans"/>
          <w:szCs w:val="20"/>
        </w:rPr>
      </w:pPr>
      <w:permStart w:id="739535953" w:edGrp="everyone"/>
      <w:r w:rsidRPr="00373E2E">
        <w:rPr>
          <w:rFonts w:ascii="Lucida Sans" w:hAnsi="Lucida Sans"/>
          <w:szCs w:val="20"/>
        </w:rPr>
        <w:lastRenderedPageBreak/>
        <w:t xml:space="preserve">We have issues with all options suggested by the ESAs. In terms of using past performance data, this may not be of relevance for all types of PRIIPs. Also, who would </w:t>
      </w:r>
      <w:proofErr w:type="gramStart"/>
      <w:r w:rsidRPr="00373E2E">
        <w:rPr>
          <w:rFonts w:ascii="Lucida Sans" w:hAnsi="Lucida Sans"/>
          <w:szCs w:val="20"/>
        </w:rPr>
        <w:t>be in charge of</w:t>
      </w:r>
      <w:proofErr w:type="gramEnd"/>
      <w:r w:rsidRPr="00373E2E">
        <w:rPr>
          <w:rFonts w:ascii="Lucida Sans" w:hAnsi="Lucida Sans"/>
          <w:szCs w:val="20"/>
        </w:rPr>
        <w:t xml:space="preserve"> their definition and keeping them updated to reflect prevailing market conditions?</w:t>
      </w:r>
    </w:p>
    <w:p w14:paraId="5882304C" w14:textId="77777777" w:rsidR="001951A1" w:rsidRPr="00373E2E" w:rsidRDefault="001951A1" w:rsidP="001951A1">
      <w:pPr>
        <w:spacing w:before="120" w:after="120"/>
        <w:jc w:val="both"/>
        <w:rPr>
          <w:rFonts w:ascii="Lucida Sans" w:hAnsi="Lucida Sans"/>
          <w:szCs w:val="20"/>
        </w:rPr>
      </w:pPr>
      <w:r w:rsidRPr="00373E2E">
        <w:rPr>
          <w:rFonts w:ascii="Lucida Sans" w:hAnsi="Lucida Sans"/>
          <w:szCs w:val="20"/>
        </w:rPr>
        <w:t>Using past performance data will not only make the calculation much more complicated, but the results would also be more difficult to explain to the investor due to the underlying assumptions used which may differ depending on the “compensatory mechanism” being applied or not.</w:t>
      </w:r>
    </w:p>
    <w:p w14:paraId="1583CBB9" w14:textId="77777777" w:rsidR="001951A1" w:rsidRPr="00373E2E" w:rsidRDefault="001951A1" w:rsidP="001951A1">
      <w:pPr>
        <w:spacing w:before="120" w:after="120"/>
        <w:jc w:val="both"/>
        <w:rPr>
          <w:rFonts w:ascii="Lucida Sans" w:hAnsi="Lucida Sans"/>
          <w:szCs w:val="20"/>
        </w:rPr>
      </w:pPr>
      <w:r w:rsidRPr="00373E2E">
        <w:rPr>
          <w:rFonts w:ascii="Lucida Sans" w:hAnsi="Lucida Sans"/>
          <w:szCs w:val="20"/>
        </w:rPr>
        <w:t>Furthermore, there could be significant confusion, particularly where the best and worst historical figures are calculated over a different time period than that on which the scenarios are based (i.e. 5 years). Moreover, there could still be a danger that the best and worst historical performances remain pro-cyclical, particularly where products do not have a long enough track record.</w:t>
      </w:r>
    </w:p>
    <w:p w14:paraId="7C2B3233" w14:textId="77777777" w:rsidR="001951A1" w:rsidRPr="00373E2E" w:rsidRDefault="001951A1" w:rsidP="001951A1">
      <w:pPr>
        <w:spacing w:before="120" w:after="120"/>
        <w:jc w:val="both"/>
        <w:rPr>
          <w:rFonts w:ascii="Lucida Sans" w:hAnsi="Lucida Sans"/>
          <w:szCs w:val="20"/>
        </w:rPr>
      </w:pPr>
      <w:r w:rsidRPr="00373E2E">
        <w:rPr>
          <w:rFonts w:ascii="Lucida Sans" w:hAnsi="Lucida Sans"/>
          <w:szCs w:val="20"/>
        </w:rPr>
        <w:t>Please see our suggested alternatives approaches laid out in our responses to Q18-22.</w:t>
      </w:r>
    </w:p>
    <w:p w14:paraId="7A4B7DC1" w14:textId="2513B33A" w:rsidR="003E573C" w:rsidRDefault="003E573C" w:rsidP="003E573C">
      <w:pPr>
        <w:rPr>
          <w:rFonts w:cs="Arial"/>
        </w:rPr>
      </w:pP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7BE27401" w14:textId="77777777" w:rsidR="00325B4D" w:rsidRPr="00373E2E" w:rsidRDefault="00325B4D" w:rsidP="00325B4D">
      <w:pPr>
        <w:spacing w:before="120" w:after="120"/>
        <w:jc w:val="both"/>
        <w:rPr>
          <w:rFonts w:ascii="Lucida Sans" w:hAnsi="Lucida Sans"/>
          <w:szCs w:val="20"/>
        </w:rPr>
      </w:pPr>
      <w:permStart w:id="225396737" w:edGrp="everyone"/>
      <w:r w:rsidRPr="00373E2E">
        <w:rPr>
          <w:rFonts w:ascii="Lucida Sans" w:hAnsi="Lucida Sans"/>
          <w:szCs w:val="20"/>
        </w:rPr>
        <w:t>As explained in our response to Q15, no additional compensatory mechanism should be introduced.</w:t>
      </w:r>
    </w:p>
    <w:p w14:paraId="0ADDC51A" w14:textId="19B97C4E" w:rsidR="003E573C" w:rsidRDefault="003E573C" w:rsidP="003E573C">
      <w:pPr>
        <w:rPr>
          <w:rFonts w:cs="Arial"/>
        </w:rPr>
      </w:pP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43AA542F" w14:textId="77777777" w:rsidR="008A57EA" w:rsidRPr="00373E2E" w:rsidRDefault="008A57EA" w:rsidP="008A57EA">
      <w:pPr>
        <w:spacing w:before="120" w:after="120"/>
        <w:jc w:val="both"/>
        <w:rPr>
          <w:rFonts w:ascii="Lucida Sans" w:hAnsi="Lucida Sans"/>
          <w:b/>
          <w:bCs/>
          <w:szCs w:val="20"/>
        </w:rPr>
      </w:pPr>
      <w:permStart w:id="1687822303" w:edGrp="everyone"/>
      <w:r w:rsidRPr="00373E2E">
        <w:rPr>
          <w:rFonts w:ascii="Lucida Sans" w:hAnsi="Lucida Sans"/>
          <w:szCs w:val="20"/>
        </w:rPr>
        <w:t xml:space="preserve">Due to the numerous shortcomings of the dividend yield methodology, we are strongly in favour of a </w:t>
      </w:r>
      <w:r w:rsidRPr="00373E2E">
        <w:rPr>
          <w:rFonts w:ascii="Lucida Sans" w:hAnsi="Lucida Sans"/>
          <w:b/>
          <w:bCs/>
          <w:szCs w:val="20"/>
        </w:rPr>
        <w:t>thoroughly simplified approach.</w:t>
      </w:r>
    </w:p>
    <w:p w14:paraId="786C5A73" w14:textId="77777777" w:rsidR="008A57EA" w:rsidRPr="00373E2E" w:rsidRDefault="008A57EA" w:rsidP="008A57EA">
      <w:pPr>
        <w:spacing w:before="120" w:after="120"/>
        <w:jc w:val="both"/>
        <w:rPr>
          <w:rFonts w:ascii="Lucida Sans" w:hAnsi="Lucida Sans"/>
          <w:b/>
          <w:bCs/>
          <w:szCs w:val="20"/>
        </w:rPr>
      </w:pPr>
      <w:r w:rsidRPr="00373E2E">
        <w:rPr>
          <w:rFonts w:ascii="Lucida Sans" w:hAnsi="Lucida Sans"/>
          <w:b/>
          <w:bCs/>
          <w:szCs w:val="20"/>
        </w:rPr>
        <w:t>We ask ESAs to look and consider the following alternatives (in order of preference).</w:t>
      </w:r>
    </w:p>
    <w:p w14:paraId="6FD6E3A3" w14:textId="77777777" w:rsidR="008A57EA" w:rsidRPr="00373E2E" w:rsidRDefault="008A57EA" w:rsidP="00303D05">
      <w:pPr>
        <w:pStyle w:val="Paragrafoelenco"/>
        <w:numPr>
          <w:ilvl w:val="0"/>
          <w:numId w:val="46"/>
        </w:numPr>
        <w:spacing w:before="120" w:after="120"/>
        <w:jc w:val="both"/>
        <w:rPr>
          <w:rFonts w:ascii="Lucida Sans" w:hAnsi="Lucida Sans"/>
          <w:szCs w:val="20"/>
        </w:rPr>
      </w:pPr>
      <w:r w:rsidRPr="00373E2E">
        <w:rPr>
          <w:rFonts w:ascii="Lucida Sans" w:hAnsi="Lucida Sans"/>
          <w:szCs w:val="20"/>
        </w:rPr>
        <w:t xml:space="preserve">Actual method, but extending the historical period and rate adjustment </w:t>
      </w:r>
    </w:p>
    <w:p w14:paraId="21E7D9C8" w14:textId="77777777" w:rsidR="008A57EA" w:rsidRPr="00373E2E" w:rsidRDefault="008A57EA" w:rsidP="00303D05">
      <w:pPr>
        <w:pStyle w:val="Paragrafoelenco"/>
        <w:numPr>
          <w:ilvl w:val="0"/>
          <w:numId w:val="46"/>
        </w:numPr>
        <w:spacing w:before="120" w:after="120"/>
        <w:jc w:val="both"/>
        <w:rPr>
          <w:rFonts w:ascii="Lucida Sans" w:hAnsi="Lucida Sans"/>
          <w:szCs w:val="20"/>
        </w:rPr>
      </w:pPr>
      <w:r w:rsidRPr="00373E2E">
        <w:rPr>
          <w:rFonts w:ascii="Lucida Sans" w:hAnsi="Lucida Sans"/>
          <w:szCs w:val="20"/>
        </w:rPr>
        <w:t>Scenario based on historical observations of the PRIIP over a period of two times the RHP</w:t>
      </w:r>
    </w:p>
    <w:p w14:paraId="569A80FB" w14:textId="77777777" w:rsidR="008A57EA" w:rsidRPr="00373E2E" w:rsidRDefault="008A57EA" w:rsidP="00303D05">
      <w:pPr>
        <w:pStyle w:val="Paragrafoelenco"/>
        <w:numPr>
          <w:ilvl w:val="0"/>
          <w:numId w:val="46"/>
        </w:numPr>
        <w:spacing w:before="120" w:after="120"/>
        <w:jc w:val="both"/>
        <w:rPr>
          <w:rFonts w:ascii="Lucida Sans" w:hAnsi="Lucida Sans"/>
          <w:szCs w:val="20"/>
        </w:rPr>
      </w:pPr>
      <w:r w:rsidRPr="00373E2E">
        <w:rPr>
          <w:rFonts w:ascii="Lucida Sans" w:hAnsi="Lucida Sans"/>
          <w:szCs w:val="20"/>
        </w:rPr>
        <w:t>Volatility based Sharpe risk premia</w:t>
      </w:r>
    </w:p>
    <w:p w14:paraId="00530749" w14:textId="77777777" w:rsidR="008A57EA" w:rsidRPr="00373E2E" w:rsidRDefault="008A57EA" w:rsidP="00303D05">
      <w:pPr>
        <w:pStyle w:val="Paragrafoelenco"/>
        <w:numPr>
          <w:ilvl w:val="0"/>
          <w:numId w:val="46"/>
        </w:numPr>
        <w:spacing w:before="120" w:after="120"/>
        <w:jc w:val="both"/>
        <w:rPr>
          <w:rFonts w:ascii="Lucida Sans" w:hAnsi="Lucida Sans"/>
          <w:szCs w:val="20"/>
        </w:rPr>
      </w:pPr>
      <w:r w:rsidRPr="00373E2E">
        <w:rPr>
          <w:rFonts w:ascii="Lucida Sans" w:hAnsi="Lucida Sans"/>
          <w:szCs w:val="20"/>
        </w:rPr>
        <w:t>Standardised growth rates</w:t>
      </w:r>
    </w:p>
    <w:p w14:paraId="0C4B36CB" w14:textId="77777777" w:rsidR="008A57EA" w:rsidRPr="00373E2E" w:rsidRDefault="008A57EA" w:rsidP="008A57EA">
      <w:pPr>
        <w:spacing w:before="120" w:after="120"/>
        <w:jc w:val="both"/>
        <w:rPr>
          <w:rFonts w:ascii="Lucida Sans" w:hAnsi="Lucida Sans"/>
          <w:b/>
          <w:bCs/>
          <w:szCs w:val="20"/>
        </w:rPr>
      </w:pPr>
    </w:p>
    <w:p w14:paraId="3C81B0DC" w14:textId="77777777" w:rsidR="008A57EA" w:rsidRPr="00373E2E" w:rsidRDefault="008A57EA" w:rsidP="008A57EA">
      <w:pPr>
        <w:spacing w:before="120" w:after="120"/>
        <w:jc w:val="both"/>
        <w:rPr>
          <w:rFonts w:ascii="Lucida Sans" w:hAnsi="Lucida Sans"/>
          <w:b/>
          <w:iCs/>
          <w:color w:val="FF0000"/>
          <w:szCs w:val="20"/>
        </w:rPr>
      </w:pPr>
      <w:r w:rsidRPr="00373E2E">
        <w:rPr>
          <w:rFonts w:ascii="Lucida Sans" w:hAnsi="Lucida Sans"/>
          <w:b/>
          <w:iCs/>
          <w:szCs w:val="20"/>
        </w:rPr>
        <w:t xml:space="preserve">1. Actual method, but extending the historical period and rate adjustment </w:t>
      </w:r>
    </w:p>
    <w:p w14:paraId="566AC918" w14:textId="77777777" w:rsidR="008A57EA" w:rsidRPr="00373E2E" w:rsidRDefault="008A57EA" w:rsidP="008A57EA">
      <w:pPr>
        <w:spacing w:before="120" w:after="120"/>
        <w:jc w:val="both"/>
        <w:rPr>
          <w:rFonts w:ascii="Lucida Sans" w:hAnsi="Lucida Sans"/>
          <w:szCs w:val="20"/>
        </w:rPr>
      </w:pPr>
      <w:r w:rsidRPr="00373E2E">
        <w:rPr>
          <w:rFonts w:ascii="Lucida Sans" w:hAnsi="Lucida Sans"/>
          <w:szCs w:val="20"/>
        </w:rPr>
        <w:t xml:space="preserve">We believe that the actual method, based on historical return could be improved extending the historical period used to measure performance from 5 years to 10 years (or 15 years to extend the market cycle). This would entail a change to the time periods specified in various points in Annex II of the Delegated Regulation. </w:t>
      </w:r>
    </w:p>
    <w:p w14:paraId="59B17ED3" w14:textId="77777777" w:rsidR="008A57EA" w:rsidRPr="00373E2E" w:rsidRDefault="008A57EA" w:rsidP="008A57EA">
      <w:pPr>
        <w:spacing w:before="120" w:after="120"/>
        <w:jc w:val="both"/>
        <w:rPr>
          <w:rFonts w:ascii="Lucida Sans" w:hAnsi="Lucida Sans"/>
          <w:szCs w:val="20"/>
        </w:rPr>
      </w:pPr>
      <w:r w:rsidRPr="00373E2E">
        <w:rPr>
          <w:rFonts w:ascii="Lucida Sans" w:hAnsi="Lucida Sans"/>
          <w:szCs w:val="20"/>
        </w:rPr>
        <w:t>Where the return time period extension might not be sufficient in improving the results, we propose also an adjustment of the growth rate to reflect the current market as follow: the growth rate (g) of all PRIIPs would be estimated as a historical average annual return of the PRIIPs over a longer reference period (10y), reduced by the average risk-free rate recorded over the same reference period (10y) and increased by the current risk-free rate.</w:t>
      </w:r>
    </w:p>
    <w:p w14:paraId="095B4E15" w14:textId="77777777" w:rsidR="008A57EA" w:rsidRPr="00373E2E" w:rsidRDefault="008A57EA" w:rsidP="008A57EA">
      <w:pPr>
        <w:spacing w:before="120" w:after="120"/>
        <w:jc w:val="both"/>
        <w:rPr>
          <w:rFonts w:ascii="Lucida Sans" w:hAnsi="Lucida Sans"/>
          <w:szCs w:val="20"/>
        </w:rPr>
      </w:pPr>
      <w:r w:rsidRPr="00373E2E">
        <w:rPr>
          <w:rFonts w:ascii="Lucida Sans" w:hAnsi="Lucida Sans"/>
          <w:szCs w:val="20"/>
        </w:rPr>
        <w:t xml:space="preserve">Extending the historical period of the PRIIP price, some evidence on a large stock index and a government index show a reduction in the estimated performance level and amplitude. In the following table the estimates are based on rolling return at 5, 10 and 15 years. To obtain sufficiently stable performance, the simulation should be done over at least 15 years. For funds which data are not </w:t>
      </w:r>
      <w:r w:rsidRPr="00373E2E">
        <w:rPr>
          <w:rFonts w:ascii="Lucida Sans" w:hAnsi="Lucida Sans"/>
          <w:szCs w:val="20"/>
        </w:rPr>
        <w:lastRenderedPageBreak/>
        <w:t xml:space="preserve">available for the whole period, proxies could be used. </w:t>
      </w:r>
      <w:proofErr w:type="gramStart"/>
      <w:r w:rsidRPr="00373E2E">
        <w:rPr>
          <w:rFonts w:ascii="Lucida Sans" w:hAnsi="Lucida Sans"/>
          <w:szCs w:val="20"/>
        </w:rPr>
        <w:t>Also</w:t>
      </w:r>
      <w:proofErr w:type="gramEnd"/>
      <w:r w:rsidRPr="00373E2E">
        <w:rPr>
          <w:rFonts w:ascii="Lucida Sans" w:hAnsi="Lucida Sans"/>
          <w:szCs w:val="20"/>
        </w:rPr>
        <w:t xml:space="preserve"> in this case there could be an issue with data feeding costs, but we believe that the cost of these data are lower than those incurred with the dividend yield methodology. </w:t>
      </w:r>
    </w:p>
    <w:p w14:paraId="0ECF1E8C" w14:textId="77777777" w:rsidR="008A57EA" w:rsidRPr="00373E2E" w:rsidRDefault="008A57EA" w:rsidP="008A57EA">
      <w:pPr>
        <w:spacing w:before="120" w:after="120"/>
        <w:jc w:val="both"/>
        <w:rPr>
          <w:rFonts w:ascii="Lucida Sans" w:hAnsi="Lucida Sans"/>
          <w:szCs w:val="20"/>
        </w:rPr>
      </w:pPr>
      <w:r w:rsidRPr="00373E2E">
        <w:rPr>
          <w:rFonts w:ascii="Lucida Sans" w:hAnsi="Lucida Sans"/>
          <w:szCs w:val="20"/>
        </w:rPr>
        <w:t>The simulations below do not reflect the rate adjustment.</w:t>
      </w:r>
    </w:p>
    <w:p w14:paraId="3AD3AD10" w14:textId="77777777" w:rsidR="008A57EA" w:rsidRPr="00373E2E" w:rsidRDefault="008A57EA" w:rsidP="008A57EA">
      <w:pPr>
        <w:spacing w:before="120" w:after="120"/>
        <w:jc w:val="both"/>
        <w:rPr>
          <w:rFonts w:ascii="Lucida Sans" w:hAnsi="Lucida Sans"/>
          <w:szCs w:val="20"/>
        </w:rPr>
      </w:pPr>
      <w:r w:rsidRPr="00373E2E">
        <w:rPr>
          <w:rFonts w:ascii="Lucida Sans" w:hAnsi="Lucida Sans"/>
          <w:noProof/>
          <w:szCs w:val="20"/>
        </w:rPr>
        <w:drawing>
          <wp:inline distT="0" distB="0" distL="0" distR="0" wp14:anchorId="1EB54660" wp14:editId="2B59A013">
            <wp:extent cx="5760720" cy="1612900"/>
            <wp:effectExtent l="0" t="0" r="0" b="635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1612900"/>
                    </a:xfrm>
                    <a:prstGeom prst="rect">
                      <a:avLst/>
                    </a:prstGeom>
                    <a:noFill/>
                    <a:ln>
                      <a:noFill/>
                    </a:ln>
                  </pic:spPr>
                </pic:pic>
              </a:graphicData>
            </a:graphic>
          </wp:inline>
        </w:drawing>
      </w:r>
    </w:p>
    <w:p w14:paraId="65A30E3C" w14:textId="77777777" w:rsidR="008A57EA" w:rsidRPr="00373E2E" w:rsidRDefault="008A57EA" w:rsidP="008A57EA">
      <w:pPr>
        <w:spacing w:before="120" w:after="120"/>
        <w:jc w:val="both"/>
        <w:rPr>
          <w:rFonts w:ascii="Lucida Sans" w:hAnsi="Lucida Sans"/>
          <w:szCs w:val="20"/>
        </w:rPr>
      </w:pPr>
    </w:p>
    <w:p w14:paraId="3B660251" w14:textId="77777777" w:rsidR="008A57EA" w:rsidRPr="00373E2E" w:rsidRDefault="008A57EA" w:rsidP="008A57EA">
      <w:pPr>
        <w:jc w:val="both"/>
        <w:rPr>
          <w:rFonts w:ascii="Lucida Sans" w:hAnsi="Lucida Sans"/>
          <w:szCs w:val="20"/>
        </w:rPr>
      </w:pPr>
      <w:r w:rsidRPr="00373E2E">
        <w:rPr>
          <w:rFonts w:ascii="Lucida Sans" w:hAnsi="Lucida Sans"/>
          <w:szCs w:val="20"/>
        </w:rPr>
        <w:t xml:space="preserve">The results are improved if rate adjustments are considered. Here below some evidences. </w:t>
      </w:r>
    </w:p>
    <w:p w14:paraId="5373B431" w14:textId="77777777" w:rsidR="008A57EA" w:rsidRPr="00373E2E" w:rsidRDefault="008A57EA" w:rsidP="008A57EA">
      <w:pPr>
        <w:jc w:val="both"/>
        <w:rPr>
          <w:rFonts w:ascii="Lucida Sans" w:hAnsi="Lucida Sans"/>
          <w:szCs w:val="20"/>
        </w:rPr>
      </w:pPr>
      <w:r w:rsidRPr="00373E2E">
        <w:rPr>
          <w:rFonts w:ascii="Lucida Sans" w:hAnsi="Lucida Sans"/>
          <w:szCs w:val="20"/>
        </w:rPr>
        <w:t>The recommended holding period is assumed to be 5 years (except for the Money Market fund that is 1 year). The below plot shows the money you could get back at the end of the RHP, under different scenarios, favourable, moderate and unfavourable scenario (red, yellow, violet line respectively) assuming that you invest EUR 1,0. An additional blue line, representing the actual cumulative return over the same RHP, allows to compare generated scenarios against actual returns. It is clear from the figures that pro-cyclicality is better addressed.</w:t>
      </w:r>
    </w:p>
    <w:p w14:paraId="18D4A2AE" w14:textId="77777777" w:rsidR="008A57EA" w:rsidRPr="00373E2E" w:rsidRDefault="008A57EA" w:rsidP="008A57EA">
      <w:pPr>
        <w:jc w:val="both"/>
        <w:rPr>
          <w:rFonts w:ascii="Lucida Sans" w:hAnsi="Lucida Sans"/>
          <w:szCs w:val="20"/>
        </w:rPr>
      </w:pPr>
    </w:p>
    <w:p w14:paraId="3071AFC0" w14:textId="77777777" w:rsidR="008A57EA" w:rsidRPr="00373E2E" w:rsidRDefault="008A57EA" w:rsidP="008A57EA">
      <w:pPr>
        <w:jc w:val="both"/>
        <w:rPr>
          <w:rFonts w:ascii="Lucida Sans" w:hAnsi="Lucida Sans"/>
          <w:szCs w:val="20"/>
        </w:rPr>
      </w:pPr>
      <w:r w:rsidRPr="00373E2E">
        <w:rPr>
          <w:rFonts w:ascii="Lucida Sans" w:hAnsi="Lucida Sans"/>
          <w:noProof/>
          <w:szCs w:val="20"/>
        </w:rPr>
        <w:drawing>
          <wp:inline distT="0" distB="0" distL="0" distR="0" wp14:anchorId="285ED285" wp14:editId="58BEF515">
            <wp:extent cx="6096635" cy="3211286"/>
            <wp:effectExtent l="0" t="0" r="0" b="825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3783" cy="3220318"/>
                    </a:xfrm>
                    <a:prstGeom prst="rect">
                      <a:avLst/>
                    </a:prstGeom>
                    <a:noFill/>
                  </pic:spPr>
                </pic:pic>
              </a:graphicData>
            </a:graphic>
          </wp:inline>
        </w:drawing>
      </w:r>
    </w:p>
    <w:p w14:paraId="1470179E" w14:textId="77777777" w:rsidR="008A57EA" w:rsidRPr="00373E2E" w:rsidRDefault="008A57EA" w:rsidP="008A57EA">
      <w:pPr>
        <w:jc w:val="both"/>
        <w:rPr>
          <w:rFonts w:ascii="Lucida Sans" w:hAnsi="Lucida Sans"/>
          <w:szCs w:val="20"/>
        </w:rPr>
      </w:pPr>
      <w:r w:rsidRPr="00373E2E">
        <w:rPr>
          <w:rFonts w:ascii="Lucida Sans" w:hAnsi="Lucida Sans"/>
          <w:noProof/>
          <w:szCs w:val="20"/>
        </w:rPr>
        <w:lastRenderedPageBreak/>
        <w:drawing>
          <wp:inline distT="0" distB="0" distL="0" distR="0" wp14:anchorId="30CD0C62" wp14:editId="4560D8B4">
            <wp:extent cx="6096528" cy="3429297"/>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96528" cy="3429297"/>
                    </a:xfrm>
                    <a:prstGeom prst="rect">
                      <a:avLst/>
                    </a:prstGeom>
                  </pic:spPr>
                </pic:pic>
              </a:graphicData>
            </a:graphic>
          </wp:inline>
        </w:drawing>
      </w:r>
    </w:p>
    <w:p w14:paraId="2B46CB16" w14:textId="77777777" w:rsidR="008A57EA" w:rsidRPr="00373E2E" w:rsidRDefault="008A57EA" w:rsidP="008A57EA">
      <w:pPr>
        <w:jc w:val="both"/>
        <w:rPr>
          <w:rFonts w:ascii="Lucida Sans" w:hAnsi="Lucida Sans"/>
          <w:szCs w:val="20"/>
        </w:rPr>
      </w:pPr>
      <w:r w:rsidRPr="00373E2E">
        <w:rPr>
          <w:rFonts w:ascii="Lucida Sans" w:hAnsi="Lucida Sans"/>
          <w:noProof/>
          <w:szCs w:val="20"/>
        </w:rPr>
        <w:drawing>
          <wp:inline distT="0" distB="0" distL="0" distR="0" wp14:anchorId="2F6647B6" wp14:editId="01D9CE30">
            <wp:extent cx="6096528" cy="3429297"/>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96528" cy="3429297"/>
                    </a:xfrm>
                    <a:prstGeom prst="rect">
                      <a:avLst/>
                    </a:prstGeom>
                  </pic:spPr>
                </pic:pic>
              </a:graphicData>
            </a:graphic>
          </wp:inline>
        </w:drawing>
      </w:r>
    </w:p>
    <w:p w14:paraId="55E9D7CB" w14:textId="77777777" w:rsidR="008A57EA" w:rsidRPr="00373E2E" w:rsidRDefault="008A57EA" w:rsidP="008A57EA">
      <w:pPr>
        <w:jc w:val="both"/>
        <w:rPr>
          <w:rFonts w:ascii="Lucida Sans" w:hAnsi="Lucida Sans"/>
          <w:szCs w:val="20"/>
        </w:rPr>
      </w:pPr>
      <w:r w:rsidRPr="00373E2E">
        <w:rPr>
          <w:rFonts w:ascii="Lucida Sans" w:hAnsi="Lucida Sans"/>
          <w:noProof/>
          <w:szCs w:val="20"/>
        </w:rPr>
        <w:lastRenderedPageBreak/>
        <w:drawing>
          <wp:inline distT="0" distB="0" distL="0" distR="0" wp14:anchorId="1BC7BC57" wp14:editId="58911239">
            <wp:extent cx="6096528" cy="3429297"/>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96528" cy="3429297"/>
                    </a:xfrm>
                    <a:prstGeom prst="rect">
                      <a:avLst/>
                    </a:prstGeom>
                  </pic:spPr>
                </pic:pic>
              </a:graphicData>
            </a:graphic>
          </wp:inline>
        </w:drawing>
      </w:r>
    </w:p>
    <w:p w14:paraId="0708678F" w14:textId="77777777" w:rsidR="008A57EA" w:rsidRPr="00373E2E" w:rsidRDefault="008A57EA" w:rsidP="008A57EA">
      <w:pPr>
        <w:jc w:val="both"/>
        <w:rPr>
          <w:rFonts w:ascii="Lucida Sans" w:hAnsi="Lucida Sans"/>
          <w:szCs w:val="20"/>
        </w:rPr>
      </w:pPr>
      <w:r w:rsidRPr="00373E2E">
        <w:rPr>
          <w:rFonts w:ascii="Lucida Sans" w:hAnsi="Lucida Sans"/>
          <w:noProof/>
          <w:szCs w:val="20"/>
        </w:rPr>
        <w:drawing>
          <wp:inline distT="0" distB="0" distL="0" distR="0" wp14:anchorId="50750386" wp14:editId="34151E52">
            <wp:extent cx="6096528" cy="3429297"/>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96528" cy="3429297"/>
                    </a:xfrm>
                    <a:prstGeom prst="rect">
                      <a:avLst/>
                    </a:prstGeom>
                  </pic:spPr>
                </pic:pic>
              </a:graphicData>
            </a:graphic>
          </wp:inline>
        </w:drawing>
      </w:r>
    </w:p>
    <w:p w14:paraId="68798022" w14:textId="77777777" w:rsidR="008A57EA" w:rsidRPr="00373E2E" w:rsidRDefault="008A57EA" w:rsidP="008A57EA">
      <w:pPr>
        <w:jc w:val="both"/>
        <w:rPr>
          <w:rFonts w:ascii="Lucida Sans" w:hAnsi="Lucida Sans"/>
          <w:szCs w:val="20"/>
        </w:rPr>
      </w:pPr>
      <w:r w:rsidRPr="00373E2E">
        <w:rPr>
          <w:rFonts w:ascii="Lucida Sans" w:hAnsi="Lucida Sans"/>
          <w:noProof/>
          <w:szCs w:val="20"/>
        </w:rPr>
        <w:lastRenderedPageBreak/>
        <w:drawing>
          <wp:inline distT="0" distB="0" distL="0" distR="0" wp14:anchorId="2939062F" wp14:editId="0BAEFD1D">
            <wp:extent cx="6096528" cy="3429297"/>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96528" cy="3429297"/>
                    </a:xfrm>
                    <a:prstGeom prst="rect">
                      <a:avLst/>
                    </a:prstGeom>
                  </pic:spPr>
                </pic:pic>
              </a:graphicData>
            </a:graphic>
          </wp:inline>
        </w:drawing>
      </w:r>
    </w:p>
    <w:p w14:paraId="1835987B" w14:textId="77777777" w:rsidR="008A57EA" w:rsidRPr="00373E2E" w:rsidRDefault="008A57EA" w:rsidP="008A57EA">
      <w:pPr>
        <w:jc w:val="both"/>
        <w:rPr>
          <w:rFonts w:ascii="Lucida Sans" w:hAnsi="Lucida Sans"/>
          <w:szCs w:val="20"/>
        </w:rPr>
      </w:pPr>
      <w:r w:rsidRPr="00373E2E">
        <w:rPr>
          <w:rFonts w:ascii="Lucida Sans" w:hAnsi="Lucida Sans"/>
          <w:noProof/>
          <w:szCs w:val="20"/>
        </w:rPr>
        <w:drawing>
          <wp:inline distT="0" distB="0" distL="0" distR="0" wp14:anchorId="5330F250" wp14:editId="17CCCA6C">
            <wp:extent cx="6096528" cy="3429297"/>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096528" cy="3429297"/>
                    </a:xfrm>
                    <a:prstGeom prst="rect">
                      <a:avLst/>
                    </a:prstGeom>
                  </pic:spPr>
                </pic:pic>
              </a:graphicData>
            </a:graphic>
          </wp:inline>
        </w:drawing>
      </w:r>
    </w:p>
    <w:p w14:paraId="5B277163" w14:textId="77777777" w:rsidR="008A57EA" w:rsidRPr="00373E2E" w:rsidRDefault="008A57EA" w:rsidP="008A57EA">
      <w:pPr>
        <w:spacing w:before="120" w:after="120"/>
        <w:jc w:val="both"/>
        <w:rPr>
          <w:rFonts w:ascii="Lucida Sans" w:hAnsi="Lucida Sans"/>
          <w:szCs w:val="20"/>
        </w:rPr>
      </w:pPr>
      <w:r w:rsidRPr="00373E2E">
        <w:rPr>
          <w:rFonts w:ascii="Lucida Sans" w:hAnsi="Lucida Sans"/>
          <w:szCs w:val="20"/>
        </w:rPr>
        <w:t>We are aware that also this method is not perfect and has some positive and negative. But we believe that, in the end, in a cost/benefit analysis the positive aspects exceed the negative ones</w:t>
      </w:r>
      <w:r w:rsidRPr="00373E2E">
        <w:rPr>
          <w:rFonts w:ascii="Lucida Sans" w:hAnsi="Lucida Sans"/>
          <w:color w:val="FF0000"/>
          <w:szCs w:val="20"/>
        </w:rPr>
        <w:t>:</w:t>
      </w:r>
    </w:p>
    <w:p w14:paraId="1335C07A" w14:textId="77777777" w:rsidR="008A57EA" w:rsidRPr="00373E2E" w:rsidRDefault="008A57EA" w:rsidP="00303D05">
      <w:pPr>
        <w:pStyle w:val="Paragrafoelenco"/>
        <w:numPr>
          <w:ilvl w:val="0"/>
          <w:numId w:val="45"/>
        </w:numPr>
        <w:spacing w:before="120" w:after="120"/>
        <w:jc w:val="both"/>
        <w:rPr>
          <w:rFonts w:ascii="Lucida Sans" w:hAnsi="Lucida Sans"/>
          <w:szCs w:val="20"/>
        </w:rPr>
      </w:pPr>
      <w:r w:rsidRPr="00373E2E">
        <w:rPr>
          <w:rFonts w:ascii="Lucida Sans" w:hAnsi="Lucida Sans"/>
          <w:szCs w:val="20"/>
        </w:rPr>
        <w:t>simple and objective method</w:t>
      </w:r>
    </w:p>
    <w:p w14:paraId="1025D62D" w14:textId="77777777" w:rsidR="008A57EA" w:rsidRPr="00373E2E" w:rsidRDefault="008A57EA" w:rsidP="00303D05">
      <w:pPr>
        <w:pStyle w:val="Paragrafoelenco"/>
        <w:numPr>
          <w:ilvl w:val="0"/>
          <w:numId w:val="45"/>
        </w:numPr>
        <w:spacing w:before="120" w:after="120"/>
        <w:jc w:val="both"/>
        <w:rPr>
          <w:rFonts w:ascii="Lucida Sans" w:hAnsi="Lucida Sans"/>
          <w:szCs w:val="20"/>
        </w:rPr>
      </w:pPr>
      <w:r w:rsidRPr="00373E2E">
        <w:rPr>
          <w:rFonts w:ascii="Lucida Sans" w:hAnsi="Lucida Sans"/>
          <w:szCs w:val="20"/>
        </w:rPr>
        <w:t>reflecting (also) the active management and the management style net of costs (based on NAV)</w:t>
      </w:r>
    </w:p>
    <w:p w14:paraId="16962543" w14:textId="77777777" w:rsidR="008A57EA" w:rsidRPr="00373E2E" w:rsidRDefault="008A57EA" w:rsidP="00303D05">
      <w:pPr>
        <w:pStyle w:val="Paragrafoelenco"/>
        <w:numPr>
          <w:ilvl w:val="0"/>
          <w:numId w:val="45"/>
        </w:numPr>
        <w:spacing w:before="120" w:after="120"/>
        <w:jc w:val="both"/>
        <w:rPr>
          <w:rFonts w:ascii="Lucida Sans" w:hAnsi="Lucida Sans"/>
          <w:szCs w:val="20"/>
        </w:rPr>
      </w:pPr>
      <w:r w:rsidRPr="00373E2E">
        <w:rPr>
          <w:rFonts w:ascii="Lucida Sans" w:hAnsi="Lucida Sans"/>
          <w:szCs w:val="20"/>
        </w:rPr>
        <w:t>no look through approach</w:t>
      </w:r>
    </w:p>
    <w:p w14:paraId="19203590" w14:textId="77777777" w:rsidR="008A57EA" w:rsidRPr="00373E2E" w:rsidRDefault="008A57EA" w:rsidP="00303D05">
      <w:pPr>
        <w:pStyle w:val="Paragrafoelenco"/>
        <w:numPr>
          <w:ilvl w:val="0"/>
          <w:numId w:val="45"/>
        </w:numPr>
        <w:spacing w:before="120" w:after="120"/>
        <w:jc w:val="both"/>
        <w:rPr>
          <w:rFonts w:ascii="Lucida Sans" w:hAnsi="Lucida Sans"/>
          <w:szCs w:val="20"/>
        </w:rPr>
      </w:pPr>
      <w:r w:rsidRPr="00373E2E">
        <w:rPr>
          <w:rFonts w:ascii="Lucida Sans" w:hAnsi="Lucida Sans"/>
          <w:szCs w:val="20"/>
        </w:rPr>
        <w:t>clear assumption for investors</w:t>
      </w:r>
    </w:p>
    <w:p w14:paraId="03B38DF6" w14:textId="77777777" w:rsidR="008A57EA" w:rsidRPr="00373E2E" w:rsidRDefault="008A57EA" w:rsidP="00303D05">
      <w:pPr>
        <w:pStyle w:val="Paragrafoelenco"/>
        <w:numPr>
          <w:ilvl w:val="0"/>
          <w:numId w:val="45"/>
        </w:numPr>
        <w:spacing w:before="120" w:after="120"/>
        <w:jc w:val="both"/>
        <w:rPr>
          <w:rFonts w:ascii="Lucida Sans" w:hAnsi="Lucida Sans"/>
          <w:szCs w:val="20"/>
        </w:rPr>
      </w:pPr>
      <w:r w:rsidRPr="00373E2E">
        <w:rPr>
          <w:rFonts w:ascii="Lucida Sans" w:hAnsi="Lucida Sans"/>
          <w:szCs w:val="20"/>
        </w:rPr>
        <w:t>reduced compliance costs (impact on implementation, procedure, data feed)</w:t>
      </w:r>
    </w:p>
    <w:p w14:paraId="1A59D622" w14:textId="77777777" w:rsidR="008A57EA" w:rsidRPr="00373E2E" w:rsidRDefault="008A57EA" w:rsidP="00303D05">
      <w:pPr>
        <w:pStyle w:val="Paragrafoelenco"/>
        <w:numPr>
          <w:ilvl w:val="0"/>
          <w:numId w:val="45"/>
        </w:numPr>
        <w:spacing w:before="120" w:after="120"/>
        <w:jc w:val="both"/>
        <w:rPr>
          <w:rFonts w:ascii="Lucida Sans" w:hAnsi="Lucida Sans"/>
          <w:szCs w:val="20"/>
        </w:rPr>
      </w:pPr>
      <w:r w:rsidRPr="00373E2E">
        <w:rPr>
          <w:rFonts w:ascii="Lucida Sans" w:hAnsi="Lucida Sans"/>
          <w:szCs w:val="20"/>
        </w:rPr>
        <w:t xml:space="preserve">less expensive for data supply (cost of data vendor) </w:t>
      </w:r>
    </w:p>
    <w:p w14:paraId="03789FEF" w14:textId="77777777" w:rsidR="008A57EA" w:rsidRPr="00373E2E" w:rsidRDefault="008A57EA" w:rsidP="00303D05">
      <w:pPr>
        <w:pStyle w:val="Paragrafoelenco"/>
        <w:numPr>
          <w:ilvl w:val="0"/>
          <w:numId w:val="45"/>
        </w:numPr>
        <w:spacing w:before="120" w:after="120"/>
        <w:jc w:val="both"/>
        <w:rPr>
          <w:rFonts w:ascii="Lucida Sans" w:hAnsi="Lucida Sans"/>
          <w:szCs w:val="20"/>
        </w:rPr>
      </w:pPr>
      <w:r w:rsidRPr="00373E2E">
        <w:rPr>
          <w:rFonts w:ascii="Lucida Sans" w:hAnsi="Lucida Sans"/>
          <w:szCs w:val="20"/>
        </w:rPr>
        <w:t xml:space="preserve">longer period reduces pro-cyclicality </w:t>
      </w:r>
    </w:p>
    <w:p w14:paraId="459C5589" w14:textId="77777777" w:rsidR="008A57EA" w:rsidRPr="00373E2E" w:rsidRDefault="008A57EA" w:rsidP="00303D05">
      <w:pPr>
        <w:pStyle w:val="Paragrafoelenco"/>
        <w:numPr>
          <w:ilvl w:val="0"/>
          <w:numId w:val="45"/>
        </w:numPr>
        <w:spacing w:before="120" w:after="120"/>
        <w:jc w:val="both"/>
        <w:rPr>
          <w:rFonts w:ascii="Lucida Sans" w:hAnsi="Lucida Sans"/>
          <w:szCs w:val="20"/>
        </w:rPr>
      </w:pPr>
      <w:r w:rsidRPr="00373E2E">
        <w:rPr>
          <w:rFonts w:ascii="Lucida Sans" w:hAnsi="Lucida Sans"/>
          <w:szCs w:val="20"/>
        </w:rPr>
        <w:t xml:space="preserve">no figures provided by ESAs or other independent third party </w:t>
      </w:r>
    </w:p>
    <w:p w14:paraId="198A4E13" w14:textId="77777777" w:rsidR="008A57EA" w:rsidRPr="00373E2E" w:rsidRDefault="008A57EA" w:rsidP="00303D05">
      <w:pPr>
        <w:pStyle w:val="Paragrafoelenco"/>
        <w:numPr>
          <w:ilvl w:val="0"/>
          <w:numId w:val="45"/>
        </w:numPr>
        <w:spacing w:before="120" w:after="120"/>
        <w:jc w:val="both"/>
        <w:rPr>
          <w:rFonts w:ascii="Lucida Sans" w:hAnsi="Lucida Sans"/>
          <w:szCs w:val="20"/>
        </w:rPr>
      </w:pPr>
      <w:r w:rsidRPr="00373E2E">
        <w:rPr>
          <w:rFonts w:ascii="Lucida Sans" w:hAnsi="Lucida Sans"/>
          <w:szCs w:val="20"/>
        </w:rPr>
        <w:t>method already implemented by PRIIPs</w:t>
      </w:r>
    </w:p>
    <w:p w14:paraId="69E1F88E" w14:textId="77777777" w:rsidR="008A57EA" w:rsidRPr="00373E2E" w:rsidRDefault="008A57EA" w:rsidP="008A57EA">
      <w:pPr>
        <w:spacing w:before="120" w:after="120"/>
        <w:jc w:val="both"/>
        <w:rPr>
          <w:rFonts w:ascii="Lucida Sans" w:hAnsi="Lucida Sans"/>
          <w:szCs w:val="20"/>
        </w:rPr>
      </w:pPr>
      <w:r w:rsidRPr="00373E2E">
        <w:rPr>
          <w:rFonts w:ascii="Lucida Sans" w:hAnsi="Lucida Sans"/>
          <w:szCs w:val="20"/>
        </w:rPr>
        <w:lastRenderedPageBreak/>
        <w:t>Negative:</w:t>
      </w:r>
    </w:p>
    <w:p w14:paraId="1D094EA2" w14:textId="77777777" w:rsidR="008A57EA" w:rsidRPr="00373E2E" w:rsidRDefault="008A57EA" w:rsidP="00303D05">
      <w:pPr>
        <w:pStyle w:val="Paragrafoelenco"/>
        <w:numPr>
          <w:ilvl w:val="0"/>
          <w:numId w:val="45"/>
        </w:numPr>
        <w:spacing w:before="120" w:after="120"/>
        <w:jc w:val="both"/>
        <w:rPr>
          <w:rFonts w:ascii="Lucida Sans" w:hAnsi="Lucida Sans"/>
          <w:szCs w:val="20"/>
        </w:rPr>
      </w:pPr>
      <w:r w:rsidRPr="00373E2E">
        <w:rPr>
          <w:rFonts w:ascii="Lucida Sans" w:hAnsi="Lucida Sans"/>
          <w:szCs w:val="20"/>
        </w:rPr>
        <w:t>past projected in the future</w:t>
      </w:r>
    </w:p>
    <w:p w14:paraId="091A57AD" w14:textId="77777777" w:rsidR="008A57EA" w:rsidRPr="00373E2E" w:rsidRDefault="008A57EA" w:rsidP="00303D05">
      <w:pPr>
        <w:pStyle w:val="Paragrafoelenco"/>
        <w:numPr>
          <w:ilvl w:val="0"/>
          <w:numId w:val="45"/>
        </w:numPr>
        <w:spacing w:before="120" w:after="120"/>
        <w:jc w:val="both"/>
        <w:rPr>
          <w:rFonts w:ascii="Lucida Sans" w:hAnsi="Lucida Sans"/>
          <w:szCs w:val="20"/>
        </w:rPr>
      </w:pPr>
      <w:r w:rsidRPr="00373E2E">
        <w:rPr>
          <w:rFonts w:ascii="Lucida Sans" w:hAnsi="Lucida Sans"/>
          <w:szCs w:val="20"/>
        </w:rPr>
        <w:t>proxy to be used for funds which data are not available for the whole period</w:t>
      </w:r>
    </w:p>
    <w:p w14:paraId="52A22B83" w14:textId="77777777" w:rsidR="008A57EA" w:rsidRPr="00373E2E" w:rsidRDefault="008A57EA" w:rsidP="00303D05">
      <w:pPr>
        <w:pStyle w:val="Paragrafoelenco"/>
        <w:numPr>
          <w:ilvl w:val="0"/>
          <w:numId w:val="45"/>
        </w:numPr>
        <w:spacing w:before="120" w:after="120"/>
        <w:jc w:val="both"/>
        <w:rPr>
          <w:rFonts w:ascii="Lucida Sans" w:hAnsi="Lucida Sans"/>
          <w:szCs w:val="20"/>
        </w:rPr>
      </w:pPr>
      <w:r w:rsidRPr="00373E2E">
        <w:rPr>
          <w:rFonts w:ascii="Lucida Sans" w:hAnsi="Lucida Sans"/>
          <w:szCs w:val="20"/>
        </w:rPr>
        <w:t>not fully eliminate pro-cyclicality</w:t>
      </w:r>
    </w:p>
    <w:p w14:paraId="326C2C1D" w14:textId="77777777" w:rsidR="008A57EA" w:rsidRPr="00373E2E" w:rsidRDefault="008A57EA" w:rsidP="008A57EA">
      <w:pPr>
        <w:spacing w:before="120" w:after="120"/>
        <w:jc w:val="both"/>
        <w:rPr>
          <w:rFonts w:ascii="Lucida Sans" w:hAnsi="Lucida Sans"/>
          <w:szCs w:val="20"/>
        </w:rPr>
      </w:pPr>
    </w:p>
    <w:p w14:paraId="7AE5211C" w14:textId="77777777" w:rsidR="008A57EA" w:rsidRPr="00373E2E" w:rsidRDefault="008A57EA" w:rsidP="008A57EA">
      <w:pPr>
        <w:jc w:val="both"/>
        <w:rPr>
          <w:rFonts w:ascii="Lucida Sans" w:hAnsi="Lucida Sans"/>
          <w:b/>
          <w:szCs w:val="20"/>
        </w:rPr>
      </w:pPr>
      <w:r w:rsidRPr="00373E2E">
        <w:rPr>
          <w:rFonts w:ascii="Lucida Sans" w:hAnsi="Lucida Sans"/>
          <w:b/>
          <w:szCs w:val="20"/>
        </w:rPr>
        <w:t>2. Scenario based on historical observations of the PRIIP over a period of two times the RHP</w:t>
      </w:r>
    </w:p>
    <w:p w14:paraId="43342170" w14:textId="77777777" w:rsidR="008A57EA" w:rsidRPr="00373E2E" w:rsidRDefault="008A57EA" w:rsidP="008A57EA">
      <w:pPr>
        <w:jc w:val="both"/>
        <w:rPr>
          <w:rFonts w:ascii="Lucida Sans" w:hAnsi="Lucida Sans"/>
          <w:szCs w:val="20"/>
        </w:rPr>
      </w:pPr>
      <w:r w:rsidRPr="00373E2E">
        <w:rPr>
          <w:rFonts w:ascii="Lucida Sans" w:hAnsi="Lucida Sans"/>
          <w:szCs w:val="20"/>
        </w:rPr>
        <w:t xml:space="preserve">The scenarios are based on historical observations of the PRIIP over a period of two times the RHP. </w:t>
      </w:r>
    </w:p>
    <w:p w14:paraId="41F39FAD" w14:textId="77777777" w:rsidR="008A57EA" w:rsidRPr="00373E2E" w:rsidRDefault="008A57EA" w:rsidP="008A57EA">
      <w:pPr>
        <w:rPr>
          <w:rFonts w:ascii="Lucida Sans" w:hAnsi="Lucida Sans"/>
          <w:szCs w:val="20"/>
        </w:rPr>
      </w:pPr>
      <w:r w:rsidRPr="00373E2E">
        <w:rPr>
          <w:rFonts w:ascii="Lucida Sans" w:hAnsi="Lucida Sans"/>
          <w:szCs w:val="20"/>
        </w:rPr>
        <w:t>The performance scenarios for a fund with a recommended holding period of 5 years could look as follows:</w:t>
      </w:r>
    </w:p>
    <w:tbl>
      <w:tblPr>
        <w:tblStyle w:val="Grigliatabella"/>
        <w:tblW w:w="9628" w:type="dxa"/>
        <w:tblCellMar>
          <w:left w:w="85" w:type="dxa"/>
          <w:right w:w="85" w:type="dxa"/>
        </w:tblCellMar>
        <w:tblLook w:val="04A0" w:firstRow="1" w:lastRow="0" w:firstColumn="1" w:lastColumn="0" w:noHBand="0" w:noVBand="1"/>
      </w:tblPr>
      <w:tblGrid>
        <w:gridCol w:w="2194"/>
        <w:gridCol w:w="3932"/>
        <w:gridCol w:w="1851"/>
        <w:gridCol w:w="1651"/>
      </w:tblGrid>
      <w:tr w:rsidR="008A57EA" w:rsidRPr="00373E2E" w14:paraId="1A9C5D30" w14:textId="77777777" w:rsidTr="00BF05DD">
        <w:trPr>
          <w:trHeight w:val="546"/>
        </w:trPr>
        <w:tc>
          <w:tcPr>
            <w:tcW w:w="2194" w:type="dxa"/>
          </w:tcPr>
          <w:p w14:paraId="3A418F75" w14:textId="77777777" w:rsidR="008A57EA" w:rsidRPr="00373E2E" w:rsidRDefault="008A57EA" w:rsidP="00BF05DD">
            <w:pPr>
              <w:rPr>
                <w:b/>
                <w:sz w:val="18"/>
                <w:szCs w:val="18"/>
              </w:rPr>
            </w:pPr>
            <w:r w:rsidRPr="00373E2E">
              <w:rPr>
                <w:b/>
                <w:sz w:val="18"/>
                <w:szCs w:val="18"/>
              </w:rPr>
              <w:t>Example scenarios based on historical observations of the last 10 years (i.e. twice the recommended holding period)</w:t>
            </w:r>
          </w:p>
        </w:tc>
        <w:tc>
          <w:tcPr>
            <w:tcW w:w="3932" w:type="dxa"/>
          </w:tcPr>
          <w:p w14:paraId="00294CA8" w14:textId="77777777" w:rsidR="008A57EA" w:rsidRPr="00373E2E" w:rsidRDefault="008A57EA" w:rsidP="00BF05DD">
            <w:pPr>
              <w:rPr>
                <w:b/>
                <w:sz w:val="18"/>
                <w:szCs w:val="18"/>
              </w:rPr>
            </w:pPr>
            <w:r w:rsidRPr="00373E2E">
              <w:rPr>
                <w:b/>
                <w:sz w:val="18"/>
                <w:szCs w:val="18"/>
              </w:rPr>
              <w:t>If you had invested € 10.000 for 5 years (i.e. the recommended holding period)</w:t>
            </w:r>
          </w:p>
        </w:tc>
        <w:tc>
          <w:tcPr>
            <w:tcW w:w="1851" w:type="dxa"/>
          </w:tcPr>
          <w:p w14:paraId="4B6E71A4" w14:textId="77777777" w:rsidR="008A57EA" w:rsidRPr="00373E2E" w:rsidRDefault="008A57EA" w:rsidP="00BF05DD">
            <w:pPr>
              <w:rPr>
                <w:b/>
                <w:sz w:val="18"/>
                <w:szCs w:val="18"/>
              </w:rPr>
            </w:pPr>
            <w:r w:rsidRPr="00373E2E">
              <w:rPr>
                <w:b/>
                <w:sz w:val="18"/>
                <w:szCs w:val="18"/>
              </w:rPr>
              <w:t>Observed results (i.e. over the recommended holding period)</w:t>
            </w:r>
          </w:p>
        </w:tc>
        <w:tc>
          <w:tcPr>
            <w:tcW w:w="1651" w:type="dxa"/>
          </w:tcPr>
          <w:p w14:paraId="670A8BA6" w14:textId="77777777" w:rsidR="008A57EA" w:rsidRPr="00373E2E" w:rsidRDefault="008A57EA" w:rsidP="00BF05DD">
            <w:pPr>
              <w:rPr>
                <w:b/>
                <w:sz w:val="18"/>
                <w:szCs w:val="18"/>
              </w:rPr>
            </w:pPr>
            <w:r w:rsidRPr="00373E2E">
              <w:rPr>
                <w:b/>
                <w:sz w:val="18"/>
                <w:szCs w:val="18"/>
              </w:rPr>
              <w:t xml:space="preserve">Results observed over a 5-year recommended holding period, based on the last 10 </w:t>
            </w:r>
            <w:proofErr w:type="gramStart"/>
            <w:r w:rsidRPr="00373E2E">
              <w:rPr>
                <w:b/>
                <w:sz w:val="18"/>
                <w:szCs w:val="18"/>
              </w:rPr>
              <w:t>years  of</w:t>
            </w:r>
            <w:proofErr w:type="gramEnd"/>
            <w:r w:rsidRPr="00373E2E">
              <w:rPr>
                <w:b/>
                <w:sz w:val="18"/>
                <w:szCs w:val="18"/>
              </w:rPr>
              <w:t xml:space="preserve"> the product’s life</w:t>
            </w:r>
          </w:p>
        </w:tc>
      </w:tr>
      <w:tr w:rsidR="008A57EA" w:rsidRPr="00373E2E" w14:paraId="5ACA9230" w14:textId="77777777" w:rsidTr="00BF05DD">
        <w:tc>
          <w:tcPr>
            <w:tcW w:w="2194" w:type="dxa"/>
            <w:vMerge w:val="restart"/>
            <w:vAlign w:val="center"/>
          </w:tcPr>
          <w:p w14:paraId="7BAFB3E7" w14:textId="77777777" w:rsidR="008A57EA" w:rsidRPr="00373E2E" w:rsidRDefault="008A57EA" w:rsidP="00BF05DD">
            <w:pPr>
              <w:rPr>
                <w:sz w:val="18"/>
                <w:szCs w:val="18"/>
              </w:rPr>
            </w:pPr>
            <w:r w:rsidRPr="00373E2E">
              <w:rPr>
                <w:sz w:val="18"/>
                <w:szCs w:val="18"/>
              </w:rPr>
              <w:t>Best performance</w:t>
            </w:r>
          </w:p>
        </w:tc>
        <w:tc>
          <w:tcPr>
            <w:tcW w:w="3932" w:type="dxa"/>
          </w:tcPr>
          <w:p w14:paraId="1E95B156" w14:textId="77777777" w:rsidR="008A57EA" w:rsidRPr="00373E2E" w:rsidRDefault="008A57EA" w:rsidP="00BF05DD">
            <w:pPr>
              <w:rPr>
                <w:sz w:val="18"/>
                <w:szCs w:val="18"/>
              </w:rPr>
            </w:pPr>
            <w:r w:rsidRPr="00373E2E">
              <w:rPr>
                <w:sz w:val="18"/>
                <w:szCs w:val="18"/>
              </w:rPr>
              <w:t>What you might have gotten back after costs after 5 years</w:t>
            </w:r>
          </w:p>
        </w:tc>
        <w:tc>
          <w:tcPr>
            <w:tcW w:w="1851" w:type="dxa"/>
            <w:vAlign w:val="center"/>
          </w:tcPr>
          <w:p w14:paraId="6FC0F300" w14:textId="77777777" w:rsidR="008A57EA" w:rsidRPr="00373E2E" w:rsidRDefault="008A57EA" w:rsidP="00BF05DD">
            <w:pPr>
              <w:rPr>
                <w:sz w:val="18"/>
                <w:szCs w:val="18"/>
              </w:rPr>
            </w:pPr>
            <w:r w:rsidRPr="00373E2E">
              <w:rPr>
                <w:sz w:val="18"/>
                <w:szCs w:val="18"/>
              </w:rPr>
              <w:t>XX XXX.XX EUR</w:t>
            </w:r>
          </w:p>
        </w:tc>
        <w:tc>
          <w:tcPr>
            <w:tcW w:w="1651" w:type="dxa"/>
            <w:vMerge w:val="restart"/>
          </w:tcPr>
          <w:p w14:paraId="58374122" w14:textId="77777777" w:rsidR="008A57EA" w:rsidRPr="00373E2E" w:rsidRDefault="008A57EA" w:rsidP="00BF05DD">
            <w:pPr>
              <w:rPr>
                <w:sz w:val="18"/>
                <w:szCs w:val="18"/>
              </w:rPr>
            </w:pPr>
            <w:r w:rsidRPr="00373E2E">
              <w:rPr>
                <w:sz w:val="18"/>
                <w:szCs w:val="18"/>
              </w:rPr>
              <w:t xml:space="preserve">Worst [5] year performance observed over the last [10] years  </w:t>
            </w:r>
          </w:p>
        </w:tc>
      </w:tr>
      <w:tr w:rsidR="008A57EA" w:rsidRPr="00373E2E" w14:paraId="4052F5A0" w14:textId="77777777" w:rsidTr="00BF05DD">
        <w:tc>
          <w:tcPr>
            <w:tcW w:w="2194" w:type="dxa"/>
            <w:vMerge/>
            <w:vAlign w:val="center"/>
          </w:tcPr>
          <w:p w14:paraId="2857174D" w14:textId="77777777" w:rsidR="008A57EA" w:rsidRPr="00373E2E" w:rsidRDefault="008A57EA" w:rsidP="00BF05DD">
            <w:pPr>
              <w:rPr>
                <w:sz w:val="18"/>
                <w:szCs w:val="18"/>
              </w:rPr>
            </w:pPr>
          </w:p>
        </w:tc>
        <w:tc>
          <w:tcPr>
            <w:tcW w:w="3932" w:type="dxa"/>
          </w:tcPr>
          <w:p w14:paraId="3025B2F9" w14:textId="77777777" w:rsidR="008A57EA" w:rsidRPr="00373E2E" w:rsidRDefault="008A57EA" w:rsidP="00BF05DD">
            <w:pPr>
              <w:rPr>
                <w:sz w:val="18"/>
                <w:szCs w:val="18"/>
              </w:rPr>
            </w:pPr>
            <w:r w:rsidRPr="00373E2E">
              <w:rPr>
                <w:sz w:val="18"/>
                <w:szCs w:val="18"/>
              </w:rPr>
              <w:t>Average yearly return</w:t>
            </w:r>
          </w:p>
        </w:tc>
        <w:tc>
          <w:tcPr>
            <w:tcW w:w="1851" w:type="dxa"/>
          </w:tcPr>
          <w:p w14:paraId="314FD7AB" w14:textId="77777777" w:rsidR="008A57EA" w:rsidRPr="00373E2E" w:rsidRDefault="008A57EA" w:rsidP="00BF05DD">
            <w:pPr>
              <w:rPr>
                <w:sz w:val="18"/>
                <w:szCs w:val="18"/>
              </w:rPr>
            </w:pPr>
            <w:r w:rsidRPr="00373E2E">
              <w:rPr>
                <w:sz w:val="18"/>
                <w:szCs w:val="18"/>
              </w:rPr>
              <w:t>XX.XX%</w:t>
            </w:r>
          </w:p>
        </w:tc>
        <w:tc>
          <w:tcPr>
            <w:tcW w:w="1651" w:type="dxa"/>
            <w:vMerge/>
          </w:tcPr>
          <w:p w14:paraId="5F119376" w14:textId="77777777" w:rsidR="008A57EA" w:rsidRPr="00373E2E" w:rsidRDefault="008A57EA" w:rsidP="00BF05DD">
            <w:pPr>
              <w:rPr>
                <w:sz w:val="18"/>
                <w:szCs w:val="18"/>
              </w:rPr>
            </w:pPr>
          </w:p>
        </w:tc>
      </w:tr>
      <w:tr w:rsidR="008A57EA" w:rsidRPr="00373E2E" w14:paraId="0BC45121" w14:textId="77777777" w:rsidTr="00BF05DD">
        <w:tc>
          <w:tcPr>
            <w:tcW w:w="2194" w:type="dxa"/>
            <w:vMerge w:val="restart"/>
            <w:vAlign w:val="center"/>
          </w:tcPr>
          <w:p w14:paraId="49A5DA35" w14:textId="77777777" w:rsidR="008A57EA" w:rsidRPr="00373E2E" w:rsidRDefault="008A57EA" w:rsidP="00BF05DD">
            <w:pPr>
              <w:rPr>
                <w:sz w:val="18"/>
                <w:szCs w:val="18"/>
              </w:rPr>
            </w:pPr>
            <w:r w:rsidRPr="00373E2E">
              <w:rPr>
                <w:sz w:val="18"/>
                <w:szCs w:val="18"/>
              </w:rPr>
              <w:t xml:space="preserve">Average performance </w:t>
            </w:r>
          </w:p>
        </w:tc>
        <w:tc>
          <w:tcPr>
            <w:tcW w:w="3932" w:type="dxa"/>
          </w:tcPr>
          <w:p w14:paraId="7AB11059" w14:textId="77777777" w:rsidR="008A57EA" w:rsidRPr="00373E2E" w:rsidRDefault="008A57EA" w:rsidP="00BF05DD">
            <w:pPr>
              <w:rPr>
                <w:sz w:val="18"/>
                <w:szCs w:val="18"/>
              </w:rPr>
            </w:pPr>
            <w:r w:rsidRPr="00373E2E">
              <w:rPr>
                <w:sz w:val="18"/>
                <w:szCs w:val="18"/>
              </w:rPr>
              <w:t>What you might have gotten back after costs after 5 years</w:t>
            </w:r>
          </w:p>
        </w:tc>
        <w:tc>
          <w:tcPr>
            <w:tcW w:w="1851" w:type="dxa"/>
            <w:vAlign w:val="center"/>
          </w:tcPr>
          <w:p w14:paraId="75CD1227" w14:textId="77777777" w:rsidR="008A57EA" w:rsidRPr="00373E2E" w:rsidRDefault="008A57EA" w:rsidP="00BF05DD">
            <w:pPr>
              <w:rPr>
                <w:sz w:val="18"/>
                <w:szCs w:val="18"/>
              </w:rPr>
            </w:pPr>
            <w:r w:rsidRPr="00373E2E">
              <w:rPr>
                <w:sz w:val="18"/>
                <w:szCs w:val="18"/>
              </w:rPr>
              <w:t>XX XXX.XX EUR</w:t>
            </w:r>
          </w:p>
        </w:tc>
        <w:tc>
          <w:tcPr>
            <w:tcW w:w="1651" w:type="dxa"/>
            <w:vMerge w:val="restart"/>
          </w:tcPr>
          <w:p w14:paraId="573E4AB1" w14:textId="77777777" w:rsidR="008A57EA" w:rsidRPr="00373E2E" w:rsidRDefault="008A57EA" w:rsidP="00BF05DD">
            <w:pPr>
              <w:rPr>
                <w:sz w:val="18"/>
                <w:szCs w:val="18"/>
              </w:rPr>
            </w:pPr>
            <w:r w:rsidRPr="00373E2E">
              <w:rPr>
                <w:sz w:val="18"/>
                <w:szCs w:val="18"/>
              </w:rPr>
              <w:t xml:space="preserve">Average [5] year performance observed over the last [10] years  </w:t>
            </w:r>
          </w:p>
        </w:tc>
      </w:tr>
      <w:tr w:rsidR="008A57EA" w:rsidRPr="00373E2E" w14:paraId="0AFBE5A0" w14:textId="77777777" w:rsidTr="00BF05DD">
        <w:tc>
          <w:tcPr>
            <w:tcW w:w="2194" w:type="dxa"/>
            <w:vMerge/>
            <w:vAlign w:val="center"/>
          </w:tcPr>
          <w:p w14:paraId="056916E4" w14:textId="77777777" w:rsidR="008A57EA" w:rsidRPr="00373E2E" w:rsidRDefault="008A57EA" w:rsidP="00BF05DD">
            <w:pPr>
              <w:rPr>
                <w:sz w:val="18"/>
                <w:szCs w:val="18"/>
              </w:rPr>
            </w:pPr>
          </w:p>
        </w:tc>
        <w:tc>
          <w:tcPr>
            <w:tcW w:w="3932" w:type="dxa"/>
          </w:tcPr>
          <w:p w14:paraId="2B9FC946" w14:textId="77777777" w:rsidR="008A57EA" w:rsidRPr="00373E2E" w:rsidRDefault="008A57EA" w:rsidP="00BF05DD">
            <w:pPr>
              <w:rPr>
                <w:sz w:val="18"/>
                <w:szCs w:val="18"/>
              </w:rPr>
            </w:pPr>
            <w:r w:rsidRPr="00373E2E">
              <w:rPr>
                <w:sz w:val="18"/>
                <w:szCs w:val="18"/>
              </w:rPr>
              <w:t>Average yearly return</w:t>
            </w:r>
          </w:p>
        </w:tc>
        <w:tc>
          <w:tcPr>
            <w:tcW w:w="1851" w:type="dxa"/>
          </w:tcPr>
          <w:p w14:paraId="2BF94EDC" w14:textId="77777777" w:rsidR="008A57EA" w:rsidRPr="00373E2E" w:rsidRDefault="008A57EA" w:rsidP="00BF05DD">
            <w:pPr>
              <w:rPr>
                <w:sz w:val="18"/>
                <w:szCs w:val="18"/>
              </w:rPr>
            </w:pPr>
            <w:r w:rsidRPr="00373E2E">
              <w:rPr>
                <w:sz w:val="18"/>
                <w:szCs w:val="18"/>
              </w:rPr>
              <w:t>XX.XX%</w:t>
            </w:r>
          </w:p>
        </w:tc>
        <w:tc>
          <w:tcPr>
            <w:tcW w:w="1651" w:type="dxa"/>
            <w:vMerge/>
          </w:tcPr>
          <w:p w14:paraId="16530BE4" w14:textId="77777777" w:rsidR="008A57EA" w:rsidRPr="00373E2E" w:rsidRDefault="008A57EA" w:rsidP="00BF05DD">
            <w:pPr>
              <w:rPr>
                <w:sz w:val="18"/>
                <w:szCs w:val="18"/>
              </w:rPr>
            </w:pPr>
          </w:p>
        </w:tc>
      </w:tr>
      <w:tr w:rsidR="008A57EA" w:rsidRPr="00373E2E" w14:paraId="1C6820D5" w14:textId="77777777" w:rsidTr="00BF05DD">
        <w:tc>
          <w:tcPr>
            <w:tcW w:w="2194" w:type="dxa"/>
            <w:vMerge w:val="restart"/>
            <w:vAlign w:val="center"/>
          </w:tcPr>
          <w:p w14:paraId="7CA4DCA6" w14:textId="77777777" w:rsidR="008A57EA" w:rsidRPr="00373E2E" w:rsidRDefault="008A57EA" w:rsidP="00BF05DD">
            <w:pPr>
              <w:rPr>
                <w:sz w:val="18"/>
                <w:szCs w:val="18"/>
              </w:rPr>
            </w:pPr>
            <w:r w:rsidRPr="00373E2E">
              <w:rPr>
                <w:sz w:val="18"/>
                <w:szCs w:val="18"/>
              </w:rPr>
              <w:t>Worst performance</w:t>
            </w:r>
          </w:p>
        </w:tc>
        <w:tc>
          <w:tcPr>
            <w:tcW w:w="3932" w:type="dxa"/>
          </w:tcPr>
          <w:p w14:paraId="5BB1CEFA" w14:textId="77777777" w:rsidR="008A57EA" w:rsidRPr="00373E2E" w:rsidRDefault="008A57EA" w:rsidP="00BF05DD">
            <w:pPr>
              <w:rPr>
                <w:sz w:val="18"/>
                <w:szCs w:val="18"/>
              </w:rPr>
            </w:pPr>
            <w:r w:rsidRPr="00373E2E">
              <w:rPr>
                <w:sz w:val="18"/>
                <w:szCs w:val="18"/>
              </w:rPr>
              <w:t>What you might have gotten back after costs after 5 years</w:t>
            </w:r>
          </w:p>
        </w:tc>
        <w:tc>
          <w:tcPr>
            <w:tcW w:w="1851" w:type="dxa"/>
            <w:vAlign w:val="center"/>
          </w:tcPr>
          <w:p w14:paraId="4F5E44A1" w14:textId="77777777" w:rsidR="008A57EA" w:rsidRPr="00373E2E" w:rsidRDefault="008A57EA" w:rsidP="00BF05DD">
            <w:pPr>
              <w:rPr>
                <w:sz w:val="18"/>
                <w:szCs w:val="18"/>
              </w:rPr>
            </w:pPr>
            <w:r w:rsidRPr="00373E2E">
              <w:rPr>
                <w:sz w:val="18"/>
                <w:szCs w:val="18"/>
              </w:rPr>
              <w:t>XX XXX.XX EUR</w:t>
            </w:r>
          </w:p>
        </w:tc>
        <w:tc>
          <w:tcPr>
            <w:tcW w:w="1651" w:type="dxa"/>
            <w:vMerge w:val="restart"/>
          </w:tcPr>
          <w:p w14:paraId="6E7BBF55" w14:textId="77777777" w:rsidR="008A57EA" w:rsidRPr="00373E2E" w:rsidRDefault="008A57EA" w:rsidP="00BF05DD">
            <w:pPr>
              <w:rPr>
                <w:sz w:val="18"/>
                <w:szCs w:val="18"/>
              </w:rPr>
            </w:pPr>
            <w:r w:rsidRPr="00373E2E">
              <w:rPr>
                <w:sz w:val="18"/>
                <w:szCs w:val="18"/>
              </w:rPr>
              <w:t xml:space="preserve">Best [5] year performance observed over the last [10] years  </w:t>
            </w:r>
          </w:p>
        </w:tc>
      </w:tr>
      <w:tr w:rsidR="008A57EA" w:rsidRPr="00373E2E" w14:paraId="1F3688E2" w14:textId="77777777" w:rsidTr="00BF05DD">
        <w:tc>
          <w:tcPr>
            <w:tcW w:w="2194" w:type="dxa"/>
            <w:vMerge/>
          </w:tcPr>
          <w:p w14:paraId="61C05615" w14:textId="77777777" w:rsidR="008A57EA" w:rsidRPr="00373E2E" w:rsidRDefault="008A57EA" w:rsidP="00BF05DD">
            <w:pPr>
              <w:rPr>
                <w:sz w:val="18"/>
                <w:szCs w:val="18"/>
              </w:rPr>
            </w:pPr>
          </w:p>
        </w:tc>
        <w:tc>
          <w:tcPr>
            <w:tcW w:w="3932" w:type="dxa"/>
          </w:tcPr>
          <w:p w14:paraId="2AB34124" w14:textId="77777777" w:rsidR="008A57EA" w:rsidRPr="00373E2E" w:rsidRDefault="008A57EA" w:rsidP="00BF05DD">
            <w:pPr>
              <w:rPr>
                <w:sz w:val="18"/>
                <w:szCs w:val="18"/>
              </w:rPr>
            </w:pPr>
            <w:r w:rsidRPr="00373E2E">
              <w:rPr>
                <w:sz w:val="18"/>
                <w:szCs w:val="18"/>
              </w:rPr>
              <w:t>Average yearly return</w:t>
            </w:r>
          </w:p>
        </w:tc>
        <w:tc>
          <w:tcPr>
            <w:tcW w:w="1851" w:type="dxa"/>
          </w:tcPr>
          <w:p w14:paraId="39D6CFEE" w14:textId="77777777" w:rsidR="008A57EA" w:rsidRPr="00373E2E" w:rsidRDefault="008A57EA" w:rsidP="00BF05DD">
            <w:pPr>
              <w:rPr>
                <w:sz w:val="18"/>
                <w:szCs w:val="18"/>
              </w:rPr>
            </w:pPr>
            <w:r w:rsidRPr="00373E2E">
              <w:rPr>
                <w:sz w:val="18"/>
                <w:szCs w:val="18"/>
              </w:rPr>
              <w:t>XX.XX%</w:t>
            </w:r>
          </w:p>
        </w:tc>
        <w:tc>
          <w:tcPr>
            <w:tcW w:w="1651" w:type="dxa"/>
            <w:vMerge/>
          </w:tcPr>
          <w:p w14:paraId="00F3ACBD" w14:textId="77777777" w:rsidR="008A57EA" w:rsidRPr="00373E2E" w:rsidRDefault="008A57EA" w:rsidP="00BF05DD">
            <w:pPr>
              <w:rPr>
                <w:sz w:val="18"/>
                <w:szCs w:val="18"/>
              </w:rPr>
            </w:pPr>
          </w:p>
        </w:tc>
      </w:tr>
    </w:tbl>
    <w:p w14:paraId="0A2DFEC1" w14:textId="77777777" w:rsidR="008A57EA" w:rsidRPr="00373E2E" w:rsidRDefault="008A57EA" w:rsidP="008A57EA"/>
    <w:p w14:paraId="2192D705" w14:textId="77777777" w:rsidR="008A57EA" w:rsidRPr="00373E2E" w:rsidRDefault="008A57EA" w:rsidP="008A57EA">
      <w:pPr>
        <w:jc w:val="both"/>
        <w:rPr>
          <w:rFonts w:ascii="Lucida Sans" w:hAnsi="Lucida Sans"/>
          <w:b/>
          <w:szCs w:val="20"/>
        </w:rPr>
      </w:pPr>
      <w:r w:rsidRPr="00373E2E">
        <w:rPr>
          <w:rFonts w:ascii="Lucida Sans" w:hAnsi="Lucida Sans"/>
          <w:szCs w:val="20"/>
        </w:rPr>
        <w:t xml:space="preserve">The observations to be used are derived from all the rolling five-year periods (in rolling monthly terms) observable over a 10-year period, twice the RHP. This method would have the benefit of being more likely understandable to an average retail investor. For funds with no </w:t>
      </w:r>
      <w:proofErr w:type="gramStart"/>
      <w:r w:rsidRPr="00373E2E">
        <w:rPr>
          <w:rFonts w:ascii="Lucida Sans" w:hAnsi="Lucida Sans"/>
          <w:szCs w:val="20"/>
        </w:rPr>
        <w:t>sufficient</w:t>
      </w:r>
      <w:proofErr w:type="gramEnd"/>
      <w:r w:rsidRPr="00373E2E">
        <w:rPr>
          <w:rFonts w:ascii="Lucida Sans" w:hAnsi="Lucida Sans"/>
          <w:szCs w:val="20"/>
        </w:rPr>
        <w:t xml:space="preserve"> history, proxies could be used as an example.</w:t>
      </w:r>
    </w:p>
    <w:p w14:paraId="194F8CAF" w14:textId="77777777" w:rsidR="008A57EA" w:rsidRPr="00373E2E" w:rsidRDefault="008A57EA" w:rsidP="008A57EA">
      <w:pPr>
        <w:jc w:val="both"/>
        <w:rPr>
          <w:rFonts w:ascii="Lucida Sans" w:hAnsi="Lucida Sans"/>
          <w:b/>
          <w:szCs w:val="20"/>
        </w:rPr>
      </w:pPr>
      <w:r w:rsidRPr="00373E2E">
        <w:rPr>
          <w:rFonts w:ascii="Lucida Sans" w:hAnsi="Lucida Sans"/>
          <w:b/>
          <w:szCs w:val="20"/>
        </w:rPr>
        <w:t>Positive:</w:t>
      </w:r>
    </w:p>
    <w:p w14:paraId="1BD4D7B3" w14:textId="77777777" w:rsidR="008A57EA" w:rsidRPr="00373E2E" w:rsidRDefault="008A57EA" w:rsidP="00303D05">
      <w:pPr>
        <w:pStyle w:val="Paragrafoelenco"/>
        <w:numPr>
          <w:ilvl w:val="0"/>
          <w:numId w:val="45"/>
        </w:numPr>
        <w:spacing w:before="120" w:after="200" w:line="276" w:lineRule="auto"/>
        <w:jc w:val="both"/>
        <w:rPr>
          <w:rFonts w:ascii="Lucida Sans" w:hAnsi="Lucida Sans"/>
          <w:szCs w:val="20"/>
        </w:rPr>
      </w:pPr>
      <w:r w:rsidRPr="00373E2E">
        <w:rPr>
          <w:rFonts w:ascii="Lucida Sans" w:hAnsi="Lucida Sans"/>
          <w:szCs w:val="20"/>
        </w:rPr>
        <w:t xml:space="preserve">allow retail investors to better understand how a certain product will function given certain market conditions </w:t>
      </w:r>
    </w:p>
    <w:p w14:paraId="4F63C01C" w14:textId="77777777" w:rsidR="008A57EA" w:rsidRPr="00373E2E" w:rsidRDefault="008A57EA" w:rsidP="00303D05">
      <w:pPr>
        <w:pStyle w:val="Paragrafoelenco"/>
        <w:numPr>
          <w:ilvl w:val="0"/>
          <w:numId w:val="45"/>
        </w:numPr>
        <w:spacing w:before="120" w:after="200" w:line="276" w:lineRule="auto"/>
        <w:jc w:val="both"/>
        <w:rPr>
          <w:rFonts w:ascii="Lucida Sans" w:hAnsi="Lucida Sans"/>
          <w:szCs w:val="20"/>
        </w:rPr>
      </w:pPr>
      <w:r w:rsidRPr="00373E2E">
        <w:rPr>
          <w:rFonts w:ascii="Lucida Sans" w:hAnsi="Lucida Sans"/>
          <w:szCs w:val="20"/>
        </w:rPr>
        <w:t>simple to explain to investor, without any probabilistic approach</w:t>
      </w:r>
    </w:p>
    <w:p w14:paraId="40CDDEB5" w14:textId="77777777" w:rsidR="008A57EA" w:rsidRPr="00373E2E" w:rsidRDefault="008A57EA" w:rsidP="008A57EA">
      <w:pPr>
        <w:jc w:val="both"/>
        <w:rPr>
          <w:rFonts w:ascii="Lucida Sans" w:hAnsi="Lucida Sans"/>
          <w:b/>
          <w:szCs w:val="20"/>
        </w:rPr>
      </w:pPr>
      <w:r w:rsidRPr="00373E2E">
        <w:rPr>
          <w:rFonts w:ascii="Lucida Sans" w:hAnsi="Lucida Sans"/>
          <w:b/>
          <w:szCs w:val="20"/>
        </w:rPr>
        <w:t>Negative:</w:t>
      </w:r>
    </w:p>
    <w:p w14:paraId="34E59089" w14:textId="77777777" w:rsidR="008A57EA" w:rsidRPr="00373E2E" w:rsidRDefault="008A57EA" w:rsidP="00303D05">
      <w:pPr>
        <w:pStyle w:val="Paragrafoelenco"/>
        <w:numPr>
          <w:ilvl w:val="0"/>
          <w:numId w:val="45"/>
        </w:numPr>
        <w:spacing w:before="120" w:after="200" w:line="276" w:lineRule="auto"/>
        <w:jc w:val="both"/>
        <w:rPr>
          <w:rFonts w:ascii="Lucida Sans" w:hAnsi="Lucida Sans"/>
          <w:szCs w:val="20"/>
        </w:rPr>
      </w:pPr>
      <w:r w:rsidRPr="00373E2E">
        <w:rPr>
          <w:rFonts w:ascii="Lucida Sans" w:hAnsi="Lucida Sans"/>
          <w:szCs w:val="20"/>
        </w:rPr>
        <w:t xml:space="preserve">work only for funds and other products with past performance data. </w:t>
      </w:r>
    </w:p>
    <w:p w14:paraId="65E695E2" w14:textId="77777777" w:rsidR="008A57EA" w:rsidRPr="00373E2E" w:rsidRDefault="008A57EA" w:rsidP="008A57EA">
      <w:pPr>
        <w:jc w:val="both"/>
        <w:rPr>
          <w:rFonts w:ascii="Lucida Sans" w:hAnsi="Lucida Sans"/>
          <w:szCs w:val="20"/>
        </w:rPr>
      </w:pPr>
      <w:r w:rsidRPr="00373E2E">
        <w:rPr>
          <w:rFonts w:ascii="Lucida Sans" w:hAnsi="Lucida Sans"/>
          <w:szCs w:val="20"/>
        </w:rPr>
        <w:t>However, we believe that if such scenarios do not provide meaningful results for other types of PRIIPs then different – more suitable – performance scenarios must be chosen for these types of PRIIPs.</w:t>
      </w:r>
    </w:p>
    <w:p w14:paraId="5A10EF31" w14:textId="77777777" w:rsidR="008A57EA" w:rsidRPr="00373E2E" w:rsidRDefault="008A57EA" w:rsidP="008A57EA">
      <w:pPr>
        <w:jc w:val="both"/>
        <w:rPr>
          <w:rFonts w:ascii="Lucida Sans" w:hAnsi="Lucida Sans"/>
          <w:b/>
          <w:szCs w:val="20"/>
        </w:rPr>
      </w:pPr>
    </w:p>
    <w:p w14:paraId="56B520D0" w14:textId="77777777" w:rsidR="008A57EA" w:rsidRPr="00373E2E" w:rsidRDefault="008A57EA" w:rsidP="008A57EA">
      <w:pPr>
        <w:jc w:val="both"/>
        <w:rPr>
          <w:rFonts w:ascii="Lucida Sans" w:hAnsi="Lucida Sans"/>
          <w:b/>
          <w:szCs w:val="20"/>
        </w:rPr>
      </w:pPr>
      <w:r w:rsidRPr="00373E2E">
        <w:rPr>
          <w:rFonts w:ascii="Lucida Sans" w:hAnsi="Lucida Sans"/>
          <w:b/>
          <w:szCs w:val="20"/>
        </w:rPr>
        <w:t xml:space="preserve">3. Volatility based Sharpe risk premia </w:t>
      </w:r>
    </w:p>
    <w:p w14:paraId="7DB8A89F" w14:textId="4CFEAC59" w:rsidR="008A57EA" w:rsidRDefault="008A57EA" w:rsidP="008A57EA">
      <w:pPr>
        <w:autoSpaceDE w:val="0"/>
        <w:autoSpaceDN w:val="0"/>
        <w:jc w:val="both"/>
        <w:rPr>
          <w:rFonts w:ascii="Lucida Sans" w:hAnsi="Lucida Sans"/>
          <w:i/>
          <w:szCs w:val="20"/>
        </w:rPr>
      </w:pPr>
      <w:r w:rsidRPr="00373E2E">
        <w:rPr>
          <w:rFonts w:ascii="Lucida Sans" w:hAnsi="Lucida Sans"/>
          <w:szCs w:val="20"/>
        </w:rPr>
        <w:t>As reported by the ESAs on page 28, JC 2019 63, Joint Consultation Paper concerning amendments to the PRIIPs KID, between the alternative option raised so far: “</w:t>
      </w:r>
      <w:r w:rsidRPr="00373E2E">
        <w:rPr>
          <w:rFonts w:ascii="Lucida Sans" w:hAnsi="Lucida Sans"/>
          <w:i/>
          <w:szCs w:val="20"/>
        </w:rPr>
        <w:t>b)</w:t>
      </w:r>
      <w:r w:rsidRPr="00373E2E">
        <w:rPr>
          <w:rFonts w:ascii="Lucida Sans" w:hAnsi="Lucida Sans"/>
          <w:i/>
          <w:color w:val="FF0000"/>
          <w:szCs w:val="20"/>
        </w:rPr>
        <w:t xml:space="preserve"> </w:t>
      </w:r>
      <w:r w:rsidRPr="00373E2E">
        <w:rPr>
          <w:rFonts w:ascii="Lucida Sans" w:hAnsi="Lucida Sans"/>
          <w:i/>
          <w:szCs w:val="20"/>
        </w:rPr>
        <w:t>A proposal to use volatility-based risk premia. The risk premium would depend on the Sharpe ratio for each asset class or fund class and the asset or fund specific volatility. The Sharpe ratio for each asset class or fund class could be derived using historic averages.”</w:t>
      </w:r>
    </w:p>
    <w:p w14:paraId="6126A700" w14:textId="77777777" w:rsidR="007D37F7" w:rsidRPr="00373E2E" w:rsidRDefault="007D37F7" w:rsidP="008A57EA">
      <w:pPr>
        <w:autoSpaceDE w:val="0"/>
        <w:autoSpaceDN w:val="0"/>
        <w:jc w:val="both"/>
        <w:rPr>
          <w:rFonts w:ascii="Lucida Sans" w:hAnsi="Lucida Sans"/>
          <w:szCs w:val="20"/>
        </w:rPr>
      </w:pPr>
    </w:p>
    <w:p w14:paraId="3029CC88" w14:textId="22E18E95" w:rsidR="008A57EA" w:rsidRDefault="008A57EA" w:rsidP="008A57EA">
      <w:pPr>
        <w:autoSpaceDE w:val="0"/>
        <w:autoSpaceDN w:val="0"/>
        <w:jc w:val="both"/>
        <w:rPr>
          <w:rFonts w:ascii="Lucida Sans" w:hAnsi="Lucida Sans"/>
          <w:szCs w:val="20"/>
        </w:rPr>
      </w:pPr>
      <w:r w:rsidRPr="00373E2E">
        <w:rPr>
          <w:rFonts w:ascii="Lucida Sans" w:hAnsi="Lucida Sans"/>
          <w:szCs w:val="20"/>
        </w:rPr>
        <w:t>The risk premia together with an appropriate reference rate results in the expected growth rate.</w:t>
      </w:r>
    </w:p>
    <w:p w14:paraId="4227ACF7" w14:textId="77777777" w:rsidR="007D37F7" w:rsidRPr="00373E2E" w:rsidRDefault="007D37F7" w:rsidP="008A57EA">
      <w:pPr>
        <w:autoSpaceDE w:val="0"/>
        <w:autoSpaceDN w:val="0"/>
        <w:jc w:val="both"/>
        <w:rPr>
          <w:rFonts w:ascii="Lucida Sans" w:hAnsi="Lucida Sans"/>
          <w:szCs w:val="20"/>
        </w:rPr>
      </w:pPr>
    </w:p>
    <w:p w14:paraId="4E983F1E" w14:textId="6F684A3F" w:rsidR="008A57EA" w:rsidRDefault="008A57EA" w:rsidP="008A57EA">
      <w:pPr>
        <w:autoSpaceDE w:val="0"/>
        <w:autoSpaceDN w:val="0"/>
        <w:jc w:val="both"/>
        <w:rPr>
          <w:rFonts w:ascii="Lucida Sans" w:hAnsi="Lucida Sans"/>
          <w:szCs w:val="20"/>
        </w:rPr>
      </w:pPr>
      <w:r w:rsidRPr="00373E2E">
        <w:rPr>
          <w:rFonts w:ascii="Lucida Sans" w:hAnsi="Lucida Sans"/>
          <w:szCs w:val="20"/>
        </w:rPr>
        <w:t xml:space="preserve">Of course, the correct estimation of the risk premium is challenging. In principle, the excess return over the risk-free rate (“excess return”) can be generated using the investment in risky asset classes and/or Alpha strategy, i.e. strategies that, by definition, have a negligible expected correlation with the returns of the risky asset classes. </w:t>
      </w:r>
    </w:p>
    <w:p w14:paraId="72528628" w14:textId="77777777" w:rsidR="007D37F7" w:rsidRPr="00373E2E" w:rsidRDefault="007D37F7" w:rsidP="008A57EA">
      <w:pPr>
        <w:autoSpaceDE w:val="0"/>
        <w:autoSpaceDN w:val="0"/>
        <w:jc w:val="both"/>
        <w:rPr>
          <w:rFonts w:ascii="Lucida Sans" w:hAnsi="Lucida Sans"/>
          <w:szCs w:val="20"/>
        </w:rPr>
      </w:pPr>
    </w:p>
    <w:p w14:paraId="41BA4734" w14:textId="60389793" w:rsidR="008A57EA" w:rsidRDefault="008A57EA" w:rsidP="008A57EA">
      <w:pPr>
        <w:autoSpaceDE w:val="0"/>
        <w:autoSpaceDN w:val="0"/>
        <w:jc w:val="both"/>
        <w:rPr>
          <w:rFonts w:ascii="Lucida Sans" w:hAnsi="Lucida Sans"/>
          <w:szCs w:val="20"/>
        </w:rPr>
      </w:pPr>
      <w:r w:rsidRPr="00373E2E">
        <w:rPr>
          <w:rFonts w:ascii="Lucida Sans" w:hAnsi="Lucida Sans"/>
          <w:szCs w:val="20"/>
        </w:rPr>
        <w:t>Differences between PRIIPs with declare</w:t>
      </w:r>
      <w:r w:rsidR="00E81115">
        <w:rPr>
          <w:rFonts w:ascii="Lucida Sans" w:hAnsi="Lucida Sans"/>
          <w:szCs w:val="20"/>
        </w:rPr>
        <w:t>d</w:t>
      </w:r>
      <w:r w:rsidRPr="00373E2E">
        <w:rPr>
          <w:rFonts w:ascii="Lucida Sans" w:hAnsi="Lucida Sans"/>
          <w:szCs w:val="20"/>
        </w:rPr>
        <w:t xml:space="preserve"> active management could be addressed in two different fields: one of them to estimate the potentialities arising from the only use of an investment in risky asset class (Beta), and the other to estimate the additional contribution resulting from the use of an active management (Alpha). In both cases, the goal would be to represent the estimat</w:t>
      </w:r>
      <w:r w:rsidR="008B4928">
        <w:rPr>
          <w:rFonts w:ascii="Lucida Sans" w:hAnsi="Lucida Sans"/>
          <w:szCs w:val="20"/>
        </w:rPr>
        <w:t>e</w:t>
      </w:r>
      <w:r w:rsidRPr="00373E2E">
        <w:rPr>
          <w:rFonts w:ascii="Lucida Sans" w:hAnsi="Lucida Sans"/>
          <w:szCs w:val="20"/>
        </w:rPr>
        <w:t xml:space="preserve"> of a frontier of expected Sharpe ratios, a low </w:t>
      </w:r>
      <w:r w:rsidR="00144F2A">
        <w:rPr>
          <w:rFonts w:ascii="Lucida Sans" w:hAnsi="Lucida Sans"/>
          <w:szCs w:val="20"/>
        </w:rPr>
        <w:t>boundary</w:t>
      </w:r>
      <w:r w:rsidRPr="00373E2E">
        <w:rPr>
          <w:rFonts w:ascii="Lucida Sans" w:hAnsi="Lucida Sans"/>
          <w:szCs w:val="20"/>
        </w:rPr>
        <w:t xml:space="preserve"> one arising from only the use of Beta strategies and a higher </w:t>
      </w:r>
      <w:r w:rsidR="000153F5">
        <w:rPr>
          <w:rFonts w:ascii="Lucida Sans" w:hAnsi="Lucida Sans"/>
          <w:szCs w:val="20"/>
        </w:rPr>
        <w:t>boundary</w:t>
      </w:r>
      <w:r w:rsidRPr="00373E2E">
        <w:rPr>
          <w:rFonts w:ascii="Lucida Sans" w:hAnsi="Lucida Sans"/>
          <w:szCs w:val="20"/>
        </w:rPr>
        <w:t xml:space="preserve"> arising from Beta plus Alpha strategies, for each level of SRI of the PRIIP. </w:t>
      </w:r>
    </w:p>
    <w:p w14:paraId="6AC1CDF5" w14:textId="77777777" w:rsidR="007D37F7" w:rsidRPr="00373E2E" w:rsidRDefault="007D37F7" w:rsidP="008A57EA">
      <w:pPr>
        <w:autoSpaceDE w:val="0"/>
        <w:autoSpaceDN w:val="0"/>
        <w:jc w:val="both"/>
        <w:rPr>
          <w:rFonts w:ascii="Lucida Sans" w:hAnsi="Lucida Sans"/>
          <w:szCs w:val="20"/>
        </w:rPr>
      </w:pPr>
    </w:p>
    <w:p w14:paraId="224A5F8C" w14:textId="688C0594" w:rsidR="008A57EA" w:rsidRDefault="008A57EA" w:rsidP="008A57EA">
      <w:pPr>
        <w:autoSpaceDE w:val="0"/>
        <w:autoSpaceDN w:val="0"/>
        <w:jc w:val="both"/>
        <w:rPr>
          <w:rFonts w:ascii="Lucida Sans" w:hAnsi="Lucida Sans"/>
          <w:szCs w:val="20"/>
        </w:rPr>
      </w:pPr>
      <w:r w:rsidRPr="00373E2E">
        <w:rPr>
          <w:rFonts w:ascii="Lucida Sans" w:hAnsi="Lucida Sans"/>
          <w:szCs w:val="20"/>
        </w:rPr>
        <w:t xml:space="preserve">As an example, the low level of Sharpe Ratio could be estimated over a long-term horizon, for which the historical series for a diversified set of risky asset classes are available (US government bonds, EMU government bonds, Investment Grade corporate bonds, High Yield corporate bonds, Emerging Markets government bonds, all country equities). </w:t>
      </w:r>
      <w:r w:rsidR="00312E5C">
        <w:rPr>
          <w:rFonts w:ascii="Lucida Sans" w:hAnsi="Lucida Sans"/>
          <w:szCs w:val="20"/>
        </w:rPr>
        <w:t>By w</w:t>
      </w:r>
      <w:r w:rsidRPr="00373E2E">
        <w:rPr>
          <w:rFonts w:ascii="Lucida Sans" w:hAnsi="Lucida Sans"/>
          <w:szCs w:val="20"/>
        </w:rPr>
        <w:t>eighting differently those asset classes with respect to the SRI (or VEV)</w:t>
      </w:r>
      <w:r w:rsidR="00312E5C">
        <w:rPr>
          <w:rFonts w:ascii="Lucida Sans" w:hAnsi="Lucida Sans"/>
          <w:szCs w:val="20"/>
        </w:rPr>
        <w:t>,</w:t>
      </w:r>
      <w:r w:rsidRPr="00373E2E">
        <w:rPr>
          <w:rFonts w:ascii="Lucida Sans" w:hAnsi="Lucida Sans"/>
          <w:szCs w:val="20"/>
        </w:rPr>
        <w:t xml:space="preserve"> it is possible to calibrate the </w:t>
      </w:r>
      <w:r w:rsidRPr="00373E2E">
        <w:rPr>
          <w:rFonts w:ascii="Calibri" w:hAnsi="Calibri" w:cs="Calibri"/>
          <w:szCs w:val="20"/>
        </w:rPr>
        <w:t>β</w:t>
      </w:r>
      <w:r w:rsidRPr="00373E2E">
        <w:rPr>
          <w:rFonts w:ascii="Lucida Sans" w:hAnsi="Lucida Sans"/>
          <w:szCs w:val="20"/>
        </w:rPr>
        <w:t xml:space="preserve"> Sharpe Ratio for each SRI (or VEV) level from the long-term historical return distribution of those balanced portfolios.</w:t>
      </w:r>
    </w:p>
    <w:p w14:paraId="352AA5F0" w14:textId="77777777" w:rsidR="007D37F7" w:rsidRPr="00373E2E" w:rsidRDefault="007D37F7" w:rsidP="008A57EA">
      <w:pPr>
        <w:autoSpaceDE w:val="0"/>
        <w:autoSpaceDN w:val="0"/>
        <w:jc w:val="both"/>
        <w:rPr>
          <w:rFonts w:ascii="Lucida Sans" w:hAnsi="Lucida Sans"/>
          <w:szCs w:val="20"/>
        </w:rPr>
      </w:pPr>
    </w:p>
    <w:p w14:paraId="1A40468B" w14:textId="402CB98F" w:rsidR="008A57EA" w:rsidRDefault="008A57EA" w:rsidP="008A57EA">
      <w:pPr>
        <w:autoSpaceDE w:val="0"/>
        <w:autoSpaceDN w:val="0"/>
        <w:jc w:val="both"/>
        <w:rPr>
          <w:rFonts w:ascii="Lucida Sans" w:hAnsi="Lucida Sans"/>
          <w:szCs w:val="20"/>
        </w:rPr>
      </w:pPr>
      <w:r w:rsidRPr="00373E2E">
        <w:rPr>
          <w:rFonts w:ascii="Lucida Sans" w:hAnsi="Lucida Sans"/>
          <w:szCs w:val="20"/>
        </w:rPr>
        <w:t>The high level of Sharpe Ratio (</w:t>
      </w:r>
      <w:r w:rsidRPr="00373E2E">
        <w:rPr>
          <w:rFonts w:ascii="Calibri" w:hAnsi="Calibri" w:cs="Calibri"/>
          <w:szCs w:val="20"/>
        </w:rPr>
        <w:t>β</w:t>
      </w:r>
      <w:r w:rsidRPr="00373E2E">
        <w:rPr>
          <w:rFonts w:ascii="Lucida Sans" w:hAnsi="Lucida Sans"/>
          <w:szCs w:val="20"/>
        </w:rPr>
        <w:t>+</w:t>
      </w:r>
      <w:r w:rsidRPr="00373E2E">
        <w:rPr>
          <w:rFonts w:ascii="Calibri" w:hAnsi="Calibri" w:cs="Calibri"/>
          <w:szCs w:val="20"/>
        </w:rPr>
        <w:t>α</w:t>
      </w:r>
      <w:r w:rsidRPr="00373E2E">
        <w:rPr>
          <w:rFonts w:ascii="Lucida Sans" w:hAnsi="Lucida Sans"/>
          <w:szCs w:val="20"/>
        </w:rPr>
        <w:t>) could instead be inferred directly from the evidence of the PRIIP or, for new PRIIP with no history</w:t>
      </w:r>
      <w:r>
        <w:rPr>
          <w:rFonts w:ascii="Lucida Sans" w:hAnsi="Lucida Sans"/>
          <w:szCs w:val="20"/>
        </w:rPr>
        <w:t>,</w:t>
      </w:r>
      <w:r w:rsidRPr="00373E2E">
        <w:rPr>
          <w:rFonts w:ascii="Lucida Sans" w:hAnsi="Lucida Sans"/>
          <w:szCs w:val="20"/>
        </w:rPr>
        <w:t xml:space="preserve"> with the analysis of the actual long period Sharpe Ratios made by a sample set of similar PRIIPs.</w:t>
      </w:r>
    </w:p>
    <w:p w14:paraId="0ED786D5" w14:textId="77777777" w:rsidR="007D37F7" w:rsidRPr="00373E2E" w:rsidRDefault="007D37F7" w:rsidP="008A57EA">
      <w:pPr>
        <w:autoSpaceDE w:val="0"/>
        <w:autoSpaceDN w:val="0"/>
        <w:jc w:val="both"/>
        <w:rPr>
          <w:rFonts w:ascii="Lucida Sans" w:hAnsi="Lucida Sans"/>
          <w:szCs w:val="20"/>
        </w:rPr>
      </w:pPr>
    </w:p>
    <w:p w14:paraId="2EDEFD51" w14:textId="77777777" w:rsidR="008A57EA" w:rsidRPr="00373E2E" w:rsidRDefault="008A57EA" w:rsidP="008A57EA">
      <w:pPr>
        <w:jc w:val="both"/>
        <w:rPr>
          <w:rFonts w:ascii="Lucida Sans" w:hAnsi="Lucida Sans"/>
          <w:szCs w:val="20"/>
        </w:rPr>
      </w:pPr>
      <w:r w:rsidRPr="00373E2E">
        <w:rPr>
          <w:rFonts w:ascii="Lucida Sans" w:hAnsi="Lucida Sans"/>
          <w:szCs w:val="20"/>
        </w:rPr>
        <w:t>The expected growth rate could be based on the sum of the Sharpe Ratio (</w:t>
      </w:r>
      <w:r w:rsidRPr="00373E2E">
        <w:rPr>
          <w:rFonts w:ascii="Calibri" w:hAnsi="Calibri" w:cs="Calibri"/>
          <w:szCs w:val="20"/>
        </w:rPr>
        <w:t>β</w:t>
      </w:r>
      <w:r w:rsidRPr="00373E2E">
        <w:rPr>
          <w:rFonts w:ascii="Lucida Sans" w:hAnsi="Lucida Sans"/>
          <w:szCs w:val="20"/>
        </w:rPr>
        <w:t>+</w:t>
      </w:r>
      <w:r w:rsidRPr="00373E2E">
        <w:rPr>
          <w:rFonts w:ascii="Calibri" w:hAnsi="Calibri" w:cs="Calibri"/>
          <w:szCs w:val="20"/>
        </w:rPr>
        <w:t>α</w:t>
      </w:r>
      <w:r w:rsidRPr="00373E2E">
        <w:rPr>
          <w:rFonts w:ascii="Lucida Sans" w:hAnsi="Lucida Sans"/>
          <w:szCs w:val="20"/>
        </w:rPr>
        <w:t>) (for PRIIPs actively managed) or the Sharpe Ratio (</w:t>
      </w:r>
      <w:r w:rsidRPr="00373E2E">
        <w:rPr>
          <w:rFonts w:ascii="Calibri" w:hAnsi="Calibri" w:cs="Calibri"/>
          <w:szCs w:val="20"/>
        </w:rPr>
        <w:t>β</w:t>
      </w:r>
      <w:r w:rsidRPr="00373E2E">
        <w:rPr>
          <w:rFonts w:ascii="Lucida Sans" w:hAnsi="Lucida Sans"/>
          <w:szCs w:val="20"/>
        </w:rPr>
        <w:t>) (for PRIIPs non actively managed), differently calibrated for each SRI (or VEV) bucket, multiplied by the volatility of the SRI plus the risk free component, equal for all SRI (or VEV) buckets.</w:t>
      </w:r>
    </w:p>
    <w:p w14:paraId="3BA8D675" w14:textId="181BCF88" w:rsidR="008A57EA" w:rsidRPr="00373E2E" w:rsidRDefault="00756840" w:rsidP="008A57EA">
      <w:pPr>
        <w:spacing w:before="120" w:after="120"/>
        <w:jc w:val="both"/>
        <w:rPr>
          <w:rFonts w:ascii="Lucida Sans" w:hAnsi="Lucida Sans"/>
          <w:szCs w:val="20"/>
        </w:rPr>
      </w:pPr>
      <w:r w:rsidRPr="00756840">
        <w:rPr>
          <w:rFonts w:ascii="Lucida Sans" w:hAnsi="Lucida Sans"/>
          <w:noProof/>
          <w:szCs w:val="20"/>
        </w:rPr>
        <w:drawing>
          <wp:inline distT="0" distB="0" distL="0" distR="0" wp14:anchorId="7DF5572A" wp14:editId="67785F43">
            <wp:extent cx="5976620" cy="3361690"/>
            <wp:effectExtent l="0" t="0" r="508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76620" cy="3361690"/>
                    </a:xfrm>
                    <a:prstGeom prst="rect">
                      <a:avLst/>
                    </a:prstGeom>
                  </pic:spPr>
                </pic:pic>
              </a:graphicData>
            </a:graphic>
          </wp:inline>
        </w:drawing>
      </w:r>
    </w:p>
    <w:p w14:paraId="57380BA9" w14:textId="77777777" w:rsidR="008A57EA" w:rsidRPr="00373E2E" w:rsidRDefault="008A57EA" w:rsidP="008A57EA">
      <w:pPr>
        <w:spacing w:before="120" w:after="120"/>
        <w:jc w:val="both"/>
        <w:rPr>
          <w:rFonts w:ascii="Lucida Sans" w:hAnsi="Lucida Sans"/>
          <w:szCs w:val="20"/>
        </w:rPr>
      </w:pPr>
    </w:p>
    <w:p w14:paraId="1C244556" w14:textId="77777777" w:rsidR="008A57EA" w:rsidRPr="00373E2E" w:rsidRDefault="008A57EA" w:rsidP="008A57EA">
      <w:pPr>
        <w:spacing w:before="120" w:after="120"/>
        <w:jc w:val="both"/>
        <w:rPr>
          <w:rFonts w:ascii="Lucida Sans" w:hAnsi="Lucida Sans"/>
          <w:b/>
          <w:szCs w:val="20"/>
        </w:rPr>
      </w:pPr>
      <w:r w:rsidRPr="00373E2E">
        <w:rPr>
          <w:rFonts w:ascii="Lucida Sans" w:hAnsi="Lucida Sans"/>
          <w:b/>
          <w:szCs w:val="20"/>
        </w:rPr>
        <w:t>4. Standardised growth rates</w:t>
      </w:r>
    </w:p>
    <w:p w14:paraId="3684C025" w14:textId="1A0B3F31" w:rsidR="008A57EA" w:rsidRPr="00373E2E" w:rsidRDefault="008A57EA" w:rsidP="008A57EA">
      <w:pPr>
        <w:spacing w:before="120" w:after="120"/>
        <w:jc w:val="both"/>
        <w:rPr>
          <w:rFonts w:ascii="Lucida Sans" w:hAnsi="Lucida Sans"/>
          <w:szCs w:val="20"/>
        </w:rPr>
      </w:pPr>
      <w:r w:rsidRPr="00373E2E">
        <w:rPr>
          <w:rFonts w:ascii="Lucida Sans" w:hAnsi="Lucida Sans"/>
          <w:szCs w:val="20"/>
        </w:rPr>
        <w:t xml:space="preserve">If the ESAs </w:t>
      </w:r>
      <w:r w:rsidR="00773EEA">
        <w:rPr>
          <w:rFonts w:ascii="Lucida Sans" w:hAnsi="Lucida Sans"/>
          <w:szCs w:val="20"/>
        </w:rPr>
        <w:t xml:space="preserve">maintain </w:t>
      </w:r>
      <w:r w:rsidRPr="00373E2E">
        <w:rPr>
          <w:rFonts w:ascii="Lucida Sans" w:hAnsi="Lucida Sans"/>
          <w:szCs w:val="20"/>
        </w:rPr>
        <w:t xml:space="preserve">the dividend yield approach, </w:t>
      </w:r>
      <w:r w:rsidR="00773EEA">
        <w:rPr>
          <w:rFonts w:ascii="Lucida Sans" w:hAnsi="Lucida Sans"/>
          <w:szCs w:val="20"/>
        </w:rPr>
        <w:t xml:space="preserve">at the very least, </w:t>
      </w:r>
      <w:r w:rsidRPr="00373E2E">
        <w:rPr>
          <w:rFonts w:ascii="Lucida Sans" w:hAnsi="Lucida Sans"/>
          <w:szCs w:val="20"/>
        </w:rPr>
        <w:t xml:space="preserve">we ask these </w:t>
      </w:r>
      <w:r w:rsidRPr="00373E2E">
        <w:rPr>
          <w:rFonts w:ascii="Lucida Sans" w:hAnsi="Lucida Sans"/>
          <w:b/>
          <w:bCs/>
          <w:szCs w:val="20"/>
        </w:rPr>
        <w:t>future performance scenarios</w:t>
      </w:r>
      <w:r w:rsidRPr="00373E2E">
        <w:rPr>
          <w:rFonts w:ascii="Lucida Sans" w:hAnsi="Lucida Sans"/>
          <w:szCs w:val="20"/>
        </w:rPr>
        <w:t xml:space="preserve"> </w:t>
      </w:r>
      <w:r w:rsidR="00773EEA">
        <w:rPr>
          <w:rFonts w:ascii="Lucida Sans" w:hAnsi="Lucida Sans"/>
          <w:szCs w:val="20"/>
        </w:rPr>
        <w:t xml:space="preserve">to </w:t>
      </w:r>
      <w:r w:rsidRPr="00373E2E">
        <w:rPr>
          <w:rFonts w:ascii="Lucida Sans" w:hAnsi="Lucida Sans"/>
          <w:szCs w:val="20"/>
        </w:rPr>
        <w:t xml:space="preserve">be </w:t>
      </w:r>
      <w:r w:rsidRPr="00373E2E">
        <w:rPr>
          <w:rFonts w:ascii="Lucida Sans" w:hAnsi="Lucida Sans"/>
          <w:b/>
          <w:bCs/>
          <w:szCs w:val="20"/>
        </w:rPr>
        <w:t>based</w:t>
      </w:r>
      <w:r w:rsidRPr="00373E2E">
        <w:rPr>
          <w:rFonts w:ascii="Lucida Sans" w:hAnsi="Lucida Sans"/>
          <w:szCs w:val="20"/>
        </w:rPr>
        <w:t xml:space="preserve"> </w:t>
      </w:r>
      <w:r w:rsidRPr="00373E2E">
        <w:rPr>
          <w:rFonts w:ascii="Lucida Sans" w:hAnsi="Lucida Sans"/>
          <w:b/>
          <w:bCs/>
          <w:szCs w:val="20"/>
        </w:rPr>
        <w:t>on standardised growth rates</w:t>
      </w:r>
      <w:r w:rsidRPr="00373E2E">
        <w:rPr>
          <w:rFonts w:ascii="Lucida Sans" w:hAnsi="Lucida Sans"/>
          <w:szCs w:val="20"/>
        </w:rPr>
        <w:t>.</w:t>
      </w:r>
    </w:p>
    <w:p w14:paraId="1DCC255C" w14:textId="77777777" w:rsidR="008A57EA" w:rsidRPr="00373E2E" w:rsidRDefault="008A57EA" w:rsidP="008A57EA">
      <w:pPr>
        <w:spacing w:before="120" w:after="120"/>
        <w:jc w:val="both"/>
        <w:rPr>
          <w:rFonts w:ascii="Lucida Sans" w:hAnsi="Lucida Sans"/>
          <w:szCs w:val="20"/>
        </w:rPr>
      </w:pPr>
      <w:r w:rsidRPr="00373E2E">
        <w:rPr>
          <w:rFonts w:ascii="Lucida Sans" w:hAnsi="Lucida Sans"/>
          <w:szCs w:val="20"/>
        </w:rPr>
        <w:t>These standardised rates, however, would need to have the following features to make them workable for PRIIPs manufacturers:</w:t>
      </w:r>
    </w:p>
    <w:p w14:paraId="3BC1ECB3" w14:textId="77777777" w:rsidR="008A57EA" w:rsidRPr="00373E2E" w:rsidRDefault="008A57EA" w:rsidP="00303D05">
      <w:pPr>
        <w:pStyle w:val="Paragrafoelenco"/>
        <w:numPr>
          <w:ilvl w:val="0"/>
          <w:numId w:val="47"/>
        </w:numPr>
        <w:spacing w:before="120" w:after="120"/>
        <w:jc w:val="both"/>
        <w:rPr>
          <w:rFonts w:ascii="Lucida Sans" w:hAnsi="Lucida Sans"/>
          <w:szCs w:val="20"/>
        </w:rPr>
      </w:pPr>
      <w:r w:rsidRPr="00373E2E">
        <w:rPr>
          <w:rFonts w:ascii="Lucida Sans" w:hAnsi="Lucida Sans"/>
          <w:szCs w:val="20"/>
        </w:rPr>
        <w:t xml:space="preserve">They must be </w:t>
      </w:r>
      <w:r w:rsidRPr="00373E2E">
        <w:rPr>
          <w:rFonts w:ascii="Lucida Sans" w:hAnsi="Lucida Sans"/>
          <w:b/>
          <w:szCs w:val="20"/>
        </w:rPr>
        <w:t>provided by an independent third party (such as the ESAs) free of charge</w:t>
      </w:r>
      <w:r w:rsidRPr="00373E2E">
        <w:rPr>
          <w:rFonts w:ascii="Lucida Sans" w:hAnsi="Lucida Sans"/>
          <w:szCs w:val="20"/>
        </w:rPr>
        <w:t xml:space="preserve">. This will avoid diverging growth rates being put forward by data providers and significantly reduce the costs of this individual data collection by PRIIPs manufacturers. These tables would have to be revised at regular intervals to properly reflect changing market conditions. </w:t>
      </w:r>
      <w:r w:rsidRPr="00373E2E">
        <w:rPr>
          <w:rFonts w:ascii="Lucida Sans" w:hAnsi="Lucida Sans"/>
          <w:szCs w:val="20"/>
        </w:rPr>
        <w:lastRenderedPageBreak/>
        <w:t>The Delegate regulation should only contain high-level principles. Further details of such data should form the part of ESAs guidelines that will allow timely (at least annual) updates. Such as “</w:t>
      </w:r>
      <w:r w:rsidRPr="00373E2E">
        <w:rPr>
          <w:rFonts w:ascii="Lucida Sans" w:hAnsi="Lucida Sans"/>
          <w:i/>
          <w:szCs w:val="20"/>
        </w:rPr>
        <w:t xml:space="preserve">The ESAs shall issue guidelines with common reference parameters for the methodology for performance scenarios (transaction costs). The guidelines shall be updated at least every year </w:t>
      </w:r>
      <w:proofErr w:type="gramStart"/>
      <w:r w:rsidRPr="00373E2E">
        <w:rPr>
          <w:rFonts w:ascii="Lucida Sans" w:hAnsi="Lucida Sans"/>
          <w:i/>
          <w:szCs w:val="20"/>
        </w:rPr>
        <w:t>taking into account</w:t>
      </w:r>
      <w:proofErr w:type="gramEnd"/>
      <w:r w:rsidRPr="00373E2E">
        <w:rPr>
          <w:rFonts w:ascii="Lucida Sans" w:hAnsi="Lucida Sans"/>
          <w:i/>
          <w:szCs w:val="20"/>
        </w:rPr>
        <w:t xml:space="preserve"> the latest market developments</w:t>
      </w:r>
      <w:r w:rsidRPr="00373E2E">
        <w:rPr>
          <w:rFonts w:ascii="Lucida Sans" w:hAnsi="Lucida Sans"/>
          <w:szCs w:val="20"/>
        </w:rPr>
        <w:t>”. It is worth noting that it could be also valuable in the context of PRIIPs the exercise done by ESMA in defining and updating the common calibration to be used for MMF stress tests</w:t>
      </w:r>
      <w:r w:rsidRPr="00373E2E">
        <w:rPr>
          <w:rStyle w:val="Rimandonotaapidipagina"/>
          <w:rFonts w:ascii="Lucida Sans" w:hAnsi="Lucida Sans"/>
          <w:szCs w:val="20"/>
        </w:rPr>
        <w:footnoteReference w:id="10"/>
      </w:r>
      <w:r w:rsidRPr="00373E2E">
        <w:rPr>
          <w:rFonts w:ascii="Lucida Sans" w:hAnsi="Lucida Sans"/>
          <w:szCs w:val="20"/>
        </w:rPr>
        <w:t>.</w:t>
      </w:r>
    </w:p>
    <w:p w14:paraId="19A2644C" w14:textId="77777777" w:rsidR="008A57EA" w:rsidRPr="00373E2E" w:rsidRDefault="008A57EA" w:rsidP="00303D05">
      <w:pPr>
        <w:pStyle w:val="Paragrafoelenco"/>
        <w:numPr>
          <w:ilvl w:val="0"/>
          <w:numId w:val="47"/>
        </w:numPr>
        <w:spacing w:before="120" w:after="120"/>
        <w:jc w:val="both"/>
        <w:rPr>
          <w:rFonts w:ascii="Lucida Sans" w:hAnsi="Lucida Sans"/>
          <w:szCs w:val="20"/>
        </w:rPr>
      </w:pPr>
      <w:r w:rsidRPr="00373E2E">
        <w:rPr>
          <w:rFonts w:ascii="Lucida Sans" w:hAnsi="Lucida Sans"/>
          <w:szCs w:val="20"/>
        </w:rPr>
        <w:t>The standardised rates should provide growth rates for the unfavourable, moderate and favourable scenarios.</w:t>
      </w:r>
    </w:p>
    <w:p w14:paraId="05EE8637" w14:textId="77777777" w:rsidR="008A57EA" w:rsidRPr="00373E2E" w:rsidRDefault="008A57EA" w:rsidP="00303D05">
      <w:pPr>
        <w:pStyle w:val="Paragrafoelenco"/>
        <w:numPr>
          <w:ilvl w:val="0"/>
          <w:numId w:val="47"/>
        </w:numPr>
        <w:spacing w:before="120" w:after="120"/>
        <w:jc w:val="both"/>
        <w:rPr>
          <w:rFonts w:ascii="Lucida Sans" w:hAnsi="Lucida Sans"/>
          <w:szCs w:val="20"/>
        </w:rPr>
      </w:pPr>
      <w:proofErr w:type="gramStart"/>
      <w:r w:rsidRPr="00373E2E">
        <w:rPr>
          <w:rFonts w:ascii="Lucida Sans" w:hAnsi="Lucida Sans"/>
          <w:szCs w:val="20"/>
        </w:rPr>
        <w:t>Sufficient</w:t>
      </w:r>
      <w:proofErr w:type="gramEnd"/>
      <w:r w:rsidRPr="00373E2E">
        <w:rPr>
          <w:rFonts w:ascii="Lucida Sans" w:hAnsi="Lucida Sans"/>
          <w:szCs w:val="20"/>
        </w:rPr>
        <w:t xml:space="preserve"> granularity with regards to each asset class and sub-class should be provided. To achieve the right level of granularity these growth tables should contain the same asset classes as the transaction cost tables for new PRIIPs (see also our response to Q43).</w:t>
      </w:r>
    </w:p>
    <w:p w14:paraId="2A9F8DDA" w14:textId="77777777" w:rsidR="008A57EA" w:rsidRPr="00373E2E" w:rsidRDefault="008A57EA" w:rsidP="00303D05">
      <w:pPr>
        <w:pStyle w:val="Paragrafoelenco"/>
        <w:numPr>
          <w:ilvl w:val="0"/>
          <w:numId w:val="47"/>
        </w:numPr>
        <w:spacing w:before="120" w:after="120"/>
        <w:jc w:val="both"/>
        <w:rPr>
          <w:rFonts w:ascii="Lucida Sans" w:hAnsi="Lucida Sans"/>
          <w:szCs w:val="20"/>
        </w:rPr>
      </w:pPr>
      <w:r w:rsidRPr="00373E2E">
        <w:rPr>
          <w:rFonts w:ascii="Lucida Sans" w:hAnsi="Lucida Sans"/>
          <w:szCs w:val="20"/>
        </w:rPr>
        <w:t xml:space="preserve">The growth rates should be net of all charges or the performance scenario should be produced before charges (gross of costs). This is necessary as actively-managed funds tend to have higher gross returns but also higher costs than passively-managed funds (this has been confirmed by ESMA’s latest cost and performance study). This is important because it would create an inherent bias towards actively-managed funds if PRIIPs costs </w:t>
      </w:r>
      <w:proofErr w:type="gramStart"/>
      <w:r w:rsidRPr="00373E2E">
        <w:rPr>
          <w:rFonts w:ascii="Lucida Sans" w:hAnsi="Lucida Sans"/>
          <w:szCs w:val="20"/>
        </w:rPr>
        <w:t>have to</w:t>
      </w:r>
      <w:proofErr w:type="gramEnd"/>
      <w:r w:rsidRPr="00373E2E">
        <w:rPr>
          <w:rFonts w:ascii="Lucida Sans" w:hAnsi="Lucida Sans"/>
          <w:szCs w:val="20"/>
        </w:rPr>
        <w:t xml:space="preserve"> be deducted from the standard growth rate in order to calculate the performance scenario net of costs. This should be avoided. We believe that </w:t>
      </w:r>
      <w:proofErr w:type="gramStart"/>
      <w:r w:rsidRPr="00373E2E">
        <w:rPr>
          <w:rFonts w:ascii="Lucida Sans" w:hAnsi="Lucida Sans"/>
          <w:szCs w:val="20"/>
        </w:rPr>
        <w:t>sufficient</w:t>
      </w:r>
      <w:proofErr w:type="gramEnd"/>
      <w:r w:rsidRPr="00373E2E">
        <w:rPr>
          <w:rFonts w:ascii="Lucida Sans" w:hAnsi="Lucida Sans"/>
          <w:szCs w:val="20"/>
        </w:rPr>
        <w:t xml:space="preserve"> comparability of costs is still ensured, as investors will have the dedicated cost tables for comparison.</w:t>
      </w:r>
    </w:p>
    <w:p w14:paraId="46119B91" w14:textId="77777777" w:rsidR="008A57EA" w:rsidRPr="00373E2E" w:rsidRDefault="008A57EA" w:rsidP="00303D05">
      <w:pPr>
        <w:pStyle w:val="Paragrafoelenco"/>
        <w:numPr>
          <w:ilvl w:val="0"/>
          <w:numId w:val="47"/>
        </w:numPr>
        <w:spacing w:before="120" w:after="120"/>
        <w:jc w:val="both"/>
        <w:rPr>
          <w:rFonts w:ascii="Lucida Sans" w:hAnsi="Lucida Sans"/>
          <w:szCs w:val="20"/>
        </w:rPr>
      </w:pPr>
      <w:r w:rsidRPr="00373E2E">
        <w:rPr>
          <w:rFonts w:ascii="Lucida Sans" w:hAnsi="Lucida Sans"/>
          <w:szCs w:val="20"/>
        </w:rPr>
        <w:t>PRIIPs manufacturers should have no flexibility in applying the standard rates, i.e. they should not be allowed to lower them if they feel this is necessary. This will remove a great deal of complexity from the calculation and increase comparability between similar types of PRIIPs.</w:t>
      </w:r>
    </w:p>
    <w:p w14:paraId="2C89EC6F" w14:textId="77777777" w:rsidR="008A57EA" w:rsidRPr="00373E2E" w:rsidRDefault="008A57EA" w:rsidP="00303D05">
      <w:pPr>
        <w:pStyle w:val="Paragrafoelenco"/>
        <w:numPr>
          <w:ilvl w:val="0"/>
          <w:numId w:val="47"/>
        </w:numPr>
        <w:spacing w:before="120" w:after="120"/>
        <w:jc w:val="both"/>
        <w:rPr>
          <w:rFonts w:ascii="Lucida Sans" w:hAnsi="Lucida Sans"/>
          <w:szCs w:val="20"/>
        </w:rPr>
      </w:pPr>
      <w:r w:rsidRPr="00373E2E">
        <w:rPr>
          <w:rFonts w:ascii="Lucida Sans" w:hAnsi="Lucida Sans"/>
          <w:szCs w:val="20"/>
        </w:rPr>
        <w:t xml:space="preserve">Applied to the fund, according to its </w:t>
      </w:r>
      <w:r w:rsidRPr="00373E2E">
        <w:rPr>
          <w:rFonts w:ascii="Lucida Sans" w:hAnsi="Lucida Sans"/>
          <w:szCs w:val="20"/>
          <w:u w:val="single"/>
        </w:rPr>
        <w:t>main</w:t>
      </w:r>
      <w:r w:rsidRPr="00373E2E">
        <w:rPr>
          <w:rFonts w:ascii="Lucida Sans" w:hAnsi="Lucida Sans"/>
          <w:szCs w:val="20"/>
        </w:rPr>
        <w:t xml:space="preserve"> investment policy (no look-through).</w:t>
      </w:r>
    </w:p>
    <w:p w14:paraId="4240213C" w14:textId="77777777" w:rsidR="008A57EA" w:rsidRPr="00373E2E" w:rsidRDefault="008A57EA" w:rsidP="008A57EA">
      <w:pPr>
        <w:spacing w:after="120"/>
        <w:ind w:left="360"/>
        <w:rPr>
          <w:rFonts w:ascii="Lucida Sans" w:hAnsi="Lucida Sans"/>
          <w:szCs w:val="20"/>
        </w:rPr>
      </w:pPr>
    </w:p>
    <w:p w14:paraId="3147DC81" w14:textId="77777777" w:rsidR="008A57EA" w:rsidRPr="00373E2E" w:rsidRDefault="008A57EA" w:rsidP="008A57EA">
      <w:pPr>
        <w:spacing w:after="120"/>
        <w:ind w:left="360"/>
        <w:jc w:val="both"/>
        <w:rPr>
          <w:rFonts w:ascii="Lucida Sans" w:hAnsi="Lucida Sans"/>
          <w:szCs w:val="20"/>
        </w:rPr>
      </w:pPr>
      <w:r w:rsidRPr="00373E2E">
        <w:rPr>
          <w:rFonts w:ascii="Lucida Sans" w:hAnsi="Lucida Sans"/>
          <w:szCs w:val="20"/>
        </w:rPr>
        <w:t>Should the standardised growth rates be gross, some clarification on the expected steps to get from the performance scenarios (gross return) to the average annual return net of costs should be welcomed. The scenario flow diagrams provided so far with worked examples don’t include any costs calculation useful for the industry to confirm their understanding of how to get to the final numbers.</w:t>
      </w:r>
    </w:p>
    <w:p w14:paraId="2CE3154F" w14:textId="77777777" w:rsidR="008A57EA" w:rsidRPr="00373E2E" w:rsidRDefault="008A57EA" w:rsidP="008A57EA">
      <w:pPr>
        <w:spacing w:after="120"/>
        <w:ind w:left="360"/>
        <w:rPr>
          <w:rFonts w:ascii="Lucida Sans" w:hAnsi="Lucida Sans"/>
          <w:szCs w:val="20"/>
        </w:rPr>
      </w:pPr>
    </w:p>
    <w:p w14:paraId="558026DF" w14:textId="56E8FFCE" w:rsidR="003E573C" w:rsidRDefault="003E573C" w:rsidP="003E573C">
      <w:pPr>
        <w:rPr>
          <w:rFonts w:cs="Arial"/>
        </w:rPr>
      </w:pP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263CCC1F" w14:textId="77777777" w:rsidR="004621FF" w:rsidRPr="00373E2E" w:rsidRDefault="004621FF" w:rsidP="004621FF">
      <w:pPr>
        <w:spacing w:before="120" w:after="120"/>
        <w:ind w:left="360"/>
        <w:jc w:val="both"/>
        <w:rPr>
          <w:rFonts w:ascii="Lucida Sans" w:hAnsi="Lucida Sans"/>
          <w:szCs w:val="20"/>
        </w:rPr>
      </w:pPr>
      <w:permStart w:id="669663577" w:edGrp="everyone"/>
      <w:r w:rsidRPr="00373E2E">
        <w:rPr>
          <w:rFonts w:ascii="Lucida Sans" w:hAnsi="Lucida Sans"/>
          <w:szCs w:val="20"/>
        </w:rPr>
        <w:t>Please consider our response to Q18.</w:t>
      </w:r>
    </w:p>
    <w:p w14:paraId="1C1420B0" w14:textId="08A7BE51" w:rsidR="003E573C" w:rsidRDefault="003E573C" w:rsidP="003E573C">
      <w:pPr>
        <w:rPr>
          <w:rFonts w:cs="Arial"/>
        </w:rPr>
      </w:pP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6BD338D7" w14:textId="77777777" w:rsidR="00A01C74" w:rsidRPr="00373E2E" w:rsidRDefault="00A01C74" w:rsidP="00A01C74">
      <w:pPr>
        <w:pStyle w:val="Memberscomments"/>
        <w:spacing w:after="120" w:line="240" w:lineRule="auto"/>
        <w:ind w:left="360"/>
        <w:rPr>
          <w:rFonts w:ascii="Lucida Sans" w:hAnsi="Lucida Sans"/>
          <w:color w:val="auto"/>
          <w:sz w:val="20"/>
          <w:szCs w:val="20"/>
        </w:rPr>
      </w:pPr>
      <w:permStart w:id="806708611" w:edGrp="everyone"/>
      <w:r w:rsidRPr="00373E2E">
        <w:rPr>
          <w:rFonts w:ascii="Lucida Sans" w:hAnsi="Lucida Sans"/>
          <w:color w:val="auto"/>
          <w:sz w:val="20"/>
          <w:szCs w:val="20"/>
        </w:rPr>
        <w:lastRenderedPageBreak/>
        <w:t>Probabilistic methodologies should not vary depending on the type of product. The ESAs should rather consider entirely different types of performance scenarios for the type of product. The UCITS KIID differentiates between ‘linear’ and ‘structured’ funds to provide performance information. The same logic should be followed in the PRIIP KID.</w:t>
      </w:r>
    </w:p>
    <w:p w14:paraId="70F82598" w14:textId="2B515FC1" w:rsidR="003E573C" w:rsidRDefault="003E573C" w:rsidP="003E573C">
      <w:pPr>
        <w:rPr>
          <w:rFonts w:cs="Arial"/>
        </w:rPr>
      </w:pP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5A92BAAA" w:rsidR="003E573C" w:rsidRDefault="006F2B92" w:rsidP="003E573C">
      <w:pPr>
        <w:rPr>
          <w:rFonts w:ascii="Lucida Sans" w:hAnsi="Lucida Sans"/>
          <w:szCs w:val="20"/>
        </w:rPr>
      </w:pPr>
      <w:permStart w:id="2245015" w:edGrp="everyone"/>
      <w:r w:rsidRPr="00373E2E">
        <w:rPr>
          <w:rFonts w:ascii="Lucida Sans" w:hAnsi="Lucida Sans"/>
          <w:szCs w:val="20"/>
        </w:rPr>
        <w:t>Please consider our response to Q18 with regards to our proposals for alternative approaches</w:t>
      </w:r>
    </w:p>
    <w:p w14:paraId="4A0FE1A0" w14:textId="77777777" w:rsidR="00973A6F" w:rsidRDefault="00973A6F" w:rsidP="003E573C">
      <w:pPr>
        <w:rPr>
          <w:rFonts w:cs="Arial"/>
        </w:rPr>
      </w:pP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26325734" w14:textId="77777777" w:rsidR="00973A6F" w:rsidRPr="00373E2E" w:rsidRDefault="00973A6F" w:rsidP="00973A6F">
      <w:pPr>
        <w:spacing w:before="120" w:after="120"/>
        <w:ind w:left="360"/>
        <w:jc w:val="both"/>
        <w:rPr>
          <w:rFonts w:ascii="Lucida Sans" w:hAnsi="Lucida Sans"/>
          <w:szCs w:val="20"/>
        </w:rPr>
      </w:pPr>
      <w:permStart w:id="1182486711" w:edGrp="everyone"/>
      <w:r w:rsidRPr="00373E2E">
        <w:rPr>
          <w:rFonts w:ascii="Lucida Sans" w:hAnsi="Lucida Sans"/>
          <w:szCs w:val="20"/>
        </w:rPr>
        <w:t>Please consider our response to Q18 with regards to our proposals for alternative approaches.</w:t>
      </w:r>
    </w:p>
    <w:p w14:paraId="0595D193" w14:textId="1343AC36" w:rsidR="003E573C" w:rsidRDefault="003E573C" w:rsidP="003E573C">
      <w:pPr>
        <w:rPr>
          <w:rFonts w:cs="Arial"/>
        </w:rPr>
      </w:pP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2AB7234B" w14:textId="1AD66FB7" w:rsidR="00247F78" w:rsidRPr="00373E2E" w:rsidRDefault="00247F78" w:rsidP="00247F78">
      <w:pPr>
        <w:spacing w:before="120" w:after="120"/>
        <w:jc w:val="both"/>
        <w:rPr>
          <w:rFonts w:ascii="Lucida Sans" w:hAnsi="Lucida Sans"/>
          <w:szCs w:val="20"/>
        </w:rPr>
      </w:pPr>
      <w:permStart w:id="1634935588" w:edGrp="everyone"/>
      <w:r w:rsidRPr="00373E2E">
        <w:rPr>
          <w:rFonts w:ascii="Lucida Sans" w:hAnsi="Lucida Sans"/>
          <w:szCs w:val="20"/>
        </w:rPr>
        <w:t xml:space="preserve">It is odd that the inclusion of illustrative scenarios (as well as probabilistic scenarios) is considered only for structured products. Furthermore, illustrative scenarios should </w:t>
      </w:r>
      <w:r w:rsidRPr="00AE309A">
        <w:rPr>
          <w:rFonts w:ascii="Lucida Sans" w:hAnsi="Lucida Sans"/>
          <w:szCs w:val="20"/>
        </w:rPr>
        <w:t>replace the existing probabilistic scenarios rather than be added to the existing performance disclosures. Providing different types of performance scenarios for the same product will be confusing and likely</w:t>
      </w:r>
      <w:r w:rsidRPr="00373E2E">
        <w:rPr>
          <w:rFonts w:ascii="Lucida Sans" w:hAnsi="Lucida Sans"/>
          <w:szCs w:val="20"/>
        </w:rPr>
        <w:t xml:space="preserve"> misleading.</w:t>
      </w:r>
    </w:p>
    <w:p w14:paraId="4ED1BF53" w14:textId="0D22C40B" w:rsidR="00247F78" w:rsidRPr="00373E2E" w:rsidRDefault="00247F78" w:rsidP="00247F78">
      <w:pPr>
        <w:spacing w:before="120" w:after="120"/>
        <w:jc w:val="both"/>
        <w:rPr>
          <w:rFonts w:ascii="Lucida Sans" w:hAnsi="Lucida Sans"/>
          <w:szCs w:val="20"/>
        </w:rPr>
      </w:pPr>
      <w:r w:rsidRPr="00373E2E">
        <w:rPr>
          <w:rFonts w:ascii="Lucida Sans" w:hAnsi="Lucida Sans"/>
          <w:szCs w:val="20"/>
        </w:rPr>
        <w:t>In line with our response to Q20, we therefore urge the ESAs to reconsider their approach towards performance scenarios</w:t>
      </w:r>
      <w:r w:rsidR="00AE309A">
        <w:rPr>
          <w:rFonts w:ascii="Lucida Sans" w:hAnsi="Lucida Sans"/>
          <w:szCs w:val="20"/>
        </w:rPr>
        <w:t xml:space="preserve"> entirely</w:t>
      </w:r>
      <w:r w:rsidRPr="00373E2E">
        <w:rPr>
          <w:rFonts w:ascii="Lucida Sans" w:hAnsi="Lucida Sans"/>
          <w:szCs w:val="20"/>
        </w:rPr>
        <w:t xml:space="preserve">. The current experiences with the PRIIP KID </w:t>
      </w:r>
      <w:proofErr w:type="gramStart"/>
      <w:r w:rsidRPr="00373E2E">
        <w:rPr>
          <w:rFonts w:ascii="Lucida Sans" w:hAnsi="Lucida Sans"/>
          <w:szCs w:val="20"/>
        </w:rPr>
        <w:t>ha</w:t>
      </w:r>
      <w:r w:rsidR="00AE309A">
        <w:rPr>
          <w:rFonts w:ascii="Lucida Sans" w:hAnsi="Lucida Sans"/>
          <w:szCs w:val="20"/>
        </w:rPr>
        <w:t>s</w:t>
      </w:r>
      <w:proofErr w:type="gramEnd"/>
      <w:r w:rsidRPr="00373E2E">
        <w:rPr>
          <w:rFonts w:ascii="Lucida Sans" w:hAnsi="Lucida Sans"/>
          <w:szCs w:val="20"/>
        </w:rPr>
        <w:t xml:space="preserve"> shown that it is impossible to provide meaningful comparisons between all types of PRIIPs. The ESAs must also consider that different type</w:t>
      </w:r>
      <w:r w:rsidR="00C41255">
        <w:rPr>
          <w:rFonts w:ascii="Lucida Sans" w:hAnsi="Lucida Sans"/>
          <w:szCs w:val="20"/>
        </w:rPr>
        <w:t>s</w:t>
      </w:r>
      <w:r w:rsidRPr="00373E2E">
        <w:rPr>
          <w:rFonts w:ascii="Lucida Sans" w:hAnsi="Lucida Sans"/>
          <w:szCs w:val="20"/>
        </w:rPr>
        <w:t xml:space="preserve"> of performance scenarios are relevant for different types of products. This conclusion forms the basis of the UCITS KIID, in which there are different disclosures for structured UCITS. </w:t>
      </w:r>
    </w:p>
    <w:p w14:paraId="513C29AF" w14:textId="13EA9DDF" w:rsidR="003E573C" w:rsidRDefault="003E573C" w:rsidP="003E573C">
      <w:pPr>
        <w:rPr>
          <w:rFonts w:cs="Arial"/>
        </w:rPr>
      </w:pP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0830ED7F" w14:textId="77777777" w:rsidR="00052F7E" w:rsidRPr="00373E2E" w:rsidRDefault="00052F7E" w:rsidP="00052F7E">
      <w:pPr>
        <w:spacing w:before="120" w:after="120"/>
        <w:jc w:val="both"/>
        <w:rPr>
          <w:rFonts w:ascii="Lucida Sans" w:hAnsi="Lucida Sans"/>
          <w:szCs w:val="20"/>
        </w:rPr>
      </w:pPr>
      <w:permStart w:id="872961277" w:edGrp="everyone"/>
      <w:r w:rsidRPr="00373E2E">
        <w:rPr>
          <w:rFonts w:ascii="Lucida Sans" w:hAnsi="Lucida Sans"/>
          <w:szCs w:val="20"/>
        </w:rPr>
        <w:t>See our response to Q23.</w:t>
      </w:r>
    </w:p>
    <w:p w14:paraId="2282D3D7" w14:textId="5488339D" w:rsidR="003E573C" w:rsidRDefault="003E573C" w:rsidP="003E573C">
      <w:pPr>
        <w:rPr>
          <w:rFonts w:cs="Arial"/>
        </w:rPr>
      </w:pP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lastRenderedPageBreak/>
        <w:t>&lt;ESA_QUESTION_PKID_25&gt;</w:t>
      </w:r>
    </w:p>
    <w:p w14:paraId="32E0CB81" w14:textId="77777777" w:rsidR="00B93A81" w:rsidRPr="00373E2E" w:rsidRDefault="00B93A81" w:rsidP="00B93A81">
      <w:pPr>
        <w:spacing w:before="120" w:after="120"/>
        <w:jc w:val="both"/>
        <w:rPr>
          <w:rFonts w:ascii="Lucida Sans" w:hAnsi="Lucida Sans"/>
          <w:szCs w:val="20"/>
        </w:rPr>
      </w:pPr>
      <w:permStart w:id="374105505" w:edGrp="everyone"/>
      <w:r w:rsidRPr="00373E2E">
        <w:rPr>
          <w:rFonts w:ascii="Lucida Sans" w:hAnsi="Lucida Sans"/>
          <w:szCs w:val="20"/>
        </w:rPr>
        <w:t>See our response to Q23.</w:t>
      </w:r>
    </w:p>
    <w:p w14:paraId="791A0604" w14:textId="22BC74FD" w:rsidR="003E573C" w:rsidRDefault="003E573C" w:rsidP="003E573C">
      <w:pPr>
        <w:rPr>
          <w:rFonts w:cs="Arial"/>
        </w:rPr>
      </w:pP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3B8A3B29" w14:textId="25054909" w:rsidR="00450464" w:rsidRPr="00373E2E" w:rsidRDefault="00450464" w:rsidP="00450464">
      <w:pPr>
        <w:spacing w:before="120" w:after="120"/>
        <w:jc w:val="both"/>
        <w:rPr>
          <w:rFonts w:ascii="Lucida Sans" w:hAnsi="Lucida Sans"/>
          <w:szCs w:val="20"/>
        </w:rPr>
      </w:pPr>
      <w:permStart w:id="624894902" w:edGrp="everyone"/>
      <w:r w:rsidRPr="00373E2E">
        <w:rPr>
          <w:rFonts w:ascii="Lucida Sans" w:hAnsi="Lucida Sans"/>
          <w:szCs w:val="20"/>
        </w:rPr>
        <w:t>Yes, we strongly appreciate the ESAs proposal leverag</w:t>
      </w:r>
      <w:r w:rsidR="001D3C3B">
        <w:rPr>
          <w:rFonts w:ascii="Lucida Sans" w:hAnsi="Lucida Sans"/>
          <w:szCs w:val="20"/>
        </w:rPr>
        <w:t>ing</w:t>
      </w:r>
      <w:r w:rsidRPr="00373E2E">
        <w:rPr>
          <w:rFonts w:ascii="Lucida Sans" w:hAnsi="Lucida Sans"/>
          <w:szCs w:val="20"/>
        </w:rPr>
        <w:t xml:space="preserve"> the positive experience of the UCITS KIID, where past performance information is presented where relevant for the investor to take an informed decision. Its inclusion is of paramount importance and, </w:t>
      </w:r>
      <w:r w:rsidR="001D3C3B">
        <w:rPr>
          <w:rFonts w:ascii="Lucida Sans" w:hAnsi="Lucida Sans"/>
          <w:szCs w:val="20"/>
        </w:rPr>
        <w:t>as far as we know,</w:t>
      </w:r>
      <w:r w:rsidRPr="00373E2E">
        <w:rPr>
          <w:rFonts w:ascii="Lucida Sans" w:hAnsi="Lucida Sans"/>
          <w:szCs w:val="20"/>
        </w:rPr>
        <w:t xml:space="preserve"> it is well appreciated by investors.  </w:t>
      </w:r>
    </w:p>
    <w:p w14:paraId="410C699D" w14:textId="3E2642BC" w:rsidR="00450464" w:rsidRPr="00373E2E" w:rsidRDefault="00450464" w:rsidP="00450464">
      <w:pPr>
        <w:spacing w:before="120" w:after="120"/>
        <w:jc w:val="both"/>
        <w:rPr>
          <w:rFonts w:ascii="Lucida Sans" w:hAnsi="Lucida Sans"/>
          <w:szCs w:val="20"/>
        </w:rPr>
      </w:pPr>
      <w:r w:rsidRPr="00373E2E">
        <w:rPr>
          <w:rFonts w:ascii="Lucida Sans" w:hAnsi="Lucida Sans"/>
          <w:szCs w:val="20"/>
        </w:rPr>
        <w:t xml:space="preserve">As regard the scope of </w:t>
      </w:r>
      <w:r w:rsidR="00E518D2">
        <w:rPr>
          <w:rFonts w:ascii="Lucida Sans" w:hAnsi="Lucida Sans"/>
          <w:szCs w:val="20"/>
        </w:rPr>
        <w:t xml:space="preserve">the </w:t>
      </w:r>
      <w:r w:rsidRPr="00373E2E">
        <w:rPr>
          <w:rFonts w:ascii="Lucida Sans" w:hAnsi="Lucida Sans"/>
          <w:szCs w:val="20"/>
        </w:rPr>
        <w:t xml:space="preserve">application, we share the ESAs proposal which does not seems to require the inclusion of past performance for AIFs classified under Category 1 PRIIPs (for example some closed-ended real estate funds). Much clarification should be welcomed to clearly include also closed-ended fund which, at some point in time of their life, reopen the subscriptions. </w:t>
      </w:r>
    </w:p>
    <w:p w14:paraId="2BFE012E" w14:textId="5EECBFE2" w:rsidR="003E573C" w:rsidRDefault="003E573C" w:rsidP="003E573C">
      <w:pPr>
        <w:rPr>
          <w:rFonts w:cs="Arial"/>
        </w:rPr>
      </w:pP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2C5D5B50" w14:textId="77777777" w:rsidR="00E015DC" w:rsidRPr="00373E2E" w:rsidRDefault="00E015DC" w:rsidP="00E015DC">
      <w:pPr>
        <w:spacing w:before="120" w:after="120"/>
        <w:jc w:val="both"/>
        <w:rPr>
          <w:rFonts w:ascii="Lucida Sans" w:hAnsi="Lucida Sans"/>
          <w:szCs w:val="20"/>
        </w:rPr>
      </w:pPr>
      <w:permStart w:id="1007688109" w:edGrp="everyone"/>
      <w:r w:rsidRPr="00373E2E">
        <w:rPr>
          <w:rFonts w:ascii="Lucida Sans" w:hAnsi="Lucida Sans"/>
          <w:szCs w:val="20"/>
        </w:rPr>
        <w:t xml:space="preserve">No, our answer to the previous question would remain unchanged. </w:t>
      </w:r>
    </w:p>
    <w:p w14:paraId="1484DCC3" w14:textId="77777777" w:rsidR="00E015DC" w:rsidRPr="00373E2E" w:rsidRDefault="00E015DC" w:rsidP="00E015DC">
      <w:pPr>
        <w:spacing w:before="120" w:after="120"/>
        <w:jc w:val="both"/>
        <w:rPr>
          <w:rFonts w:ascii="Lucida Sans" w:hAnsi="Lucida Sans"/>
          <w:szCs w:val="20"/>
        </w:rPr>
      </w:pPr>
      <w:r w:rsidRPr="00373E2E">
        <w:rPr>
          <w:rFonts w:ascii="Lucida Sans" w:hAnsi="Lucida Sans"/>
          <w:szCs w:val="20"/>
        </w:rPr>
        <w:t xml:space="preserve">However, the three-page limit set in Article 6(4) of the PRIIPs Regulation is an important issue where more information should be included in the KIID. We refer to the transposition of many UCITS KIID-specific disclosures or the upcoming pre-contractual disclosures mandated in sustainable finance regulation. </w:t>
      </w:r>
    </w:p>
    <w:p w14:paraId="50AB8F8B" w14:textId="4F0921AA" w:rsidR="003E573C" w:rsidRDefault="003E573C" w:rsidP="003E573C">
      <w:pPr>
        <w:rPr>
          <w:rFonts w:cs="Arial"/>
        </w:rPr>
      </w:pP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273455E3" w14:textId="77777777" w:rsidR="00D953C7" w:rsidRPr="00373E2E" w:rsidRDefault="00D953C7" w:rsidP="00D953C7">
      <w:pPr>
        <w:spacing w:before="120" w:after="120"/>
        <w:jc w:val="both"/>
        <w:rPr>
          <w:rFonts w:ascii="Lucida Sans" w:hAnsi="Lucida Sans"/>
          <w:szCs w:val="20"/>
        </w:rPr>
      </w:pPr>
      <w:permStart w:id="1152679739" w:edGrp="everyone"/>
      <w:r w:rsidRPr="00373E2E">
        <w:rPr>
          <w:rFonts w:ascii="Lucida Sans" w:hAnsi="Lucida Sans"/>
          <w:szCs w:val="20"/>
        </w:rPr>
        <w:t xml:space="preserve">One of the essential benefits of a yearly representation of a past performance is to showcase the PRIIP’s past volatility in order to highlight the importance of different results that could be obtained in a long-term horizon. </w:t>
      </w:r>
    </w:p>
    <w:p w14:paraId="1DCFACA6" w14:textId="7E03E6D2" w:rsidR="00D953C7" w:rsidRPr="00373E2E" w:rsidRDefault="00D953C7" w:rsidP="00D953C7">
      <w:pPr>
        <w:spacing w:before="120" w:after="120"/>
        <w:jc w:val="both"/>
        <w:rPr>
          <w:rFonts w:ascii="Lucida Sans" w:hAnsi="Lucida Sans"/>
          <w:szCs w:val="20"/>
        </w:rPr>
      </w:pPr>
      <w:r w:rsidRPr="00373E2E">
        <w:rPr>
          <w:rFonts w:ascii="Lucida Sans" w:hAnsi="Lucida Sans"/>
          <w:szCs w:val="20"/>
        </w:rPr>
        <w:t xml:space="preserve">If some comparison between PRIIPs would be maintained, and we believe </w:t>
      </w:r>
      <w:r w:rsidR="00A212F7">
        <w:rPr>
          <w:rFonts w:ascii="Lucida Sans" w:hAnsi="Lucida Sans"/>
          <w:szCs w:val="20"/>
        </w:rPr>
        <w:t xml:space="preserve">it </w:t>
      </w:r>
      <w:r w:rsidRPr="00373E2E">
        <w:rPr>
          <w:rFonts w:ascii="Lucida Sans" w:hAnsi="Lucida Sans"/>
          <w:szCs w:val="20"/>
        </w:rPr>
        <w:t xml:space="preserve">essential to have it in the presentation of the historical results, we believe that showing past performance in the form of an average should not substitute the graph with the 10y past performance, even if it would be limited only to PRIIPs with a RHP over a specific minimum duration. </w:t>
      </w:r>
    </w:p>
    <w:p w14:paraId="371ED482" w14:textId="54B12BCD" w:rsidR="003E573C" w:rsidRDefault="00D953C7" w:rsidP="00D953C7">
      <w:pPr>
        <w:rPr>
          <w:rFonts w:ascii="Lucida Sans" w:hAnsi="Lucida Sans"/>
          <w:szCs w:val="20"/>
        </w:rPr>
      </w:pPr>
      <w:r w:rsidRPr="00373E2E">
        <w:rPr>
          <w:rFonts w:ascii="Lucida Sans" w:hAnsi="Lucida Sans"/>
          <w:szCs w:val="20"/>
        </w:rPr>
        <w:t xml:space="preserve">Additional information made in the form of an average could also be included in the PRIIPs KID, where </w:t>
      </w:r>
      <w:r w:rsidR="00A212F7">
        <w:rPr>
          <w:rFonts w:ascii="Lucida Sans" w:hAnsi="Lucida Sans"/>
          <w:szCs w:val="20"/>
        </w:rPr>
        <w:t xml:space="preserve">they </w:t>
      </w:r>
      <w:r w:rsidRPr="00373E2E">
        <w:rPr>
          <w:rFonts w:ascii="Lucida Sans" w:hAnsi="Lucida Sans"/>
          <w:szCs w:val="20"/>
        </w:rPr>
        <w:t>are considered valuable for investors</w:t>
      </w:r>
      <w:r w:rsidR="00A212F7">
        <w:rPr>
          <w:rFonts w:ascii="Lucida Sans" w:hAnsi="Lucida Sans"/>
          <w:szCs w:val="20"/>
        </w:rPr>
        <w:t>.</w:t>
      </w:r>
    </w:p>
    <w:p w14:paraId="70BA4482" w14:textId="77777777" w:rsidR="00D953C7" w:rsidRDefault="00D953C7" w:rsidP="00D953C7">
      <w:pPr>
        <w:rPr>
          <w:rFonts w:cs="Arial"/>
        </w:rPr>
      </w:pP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lastRenderedPageBreak/>
        <w:t>&lt;ESA_QUESTION_PKID_29&gt;</w:t>
      </w:r>
    </w:p>
    <w:p w14:paraId="678C4B12" w14:textId="6A9FB96B" w:rsidR="009B6F09" w:rsidRPr="00373E2E" w:rsidRDefault="009B6F09" w:rsidP="009B6F09">
      <w:pPr>
        <w:spacing w:before="120" w:after="120"/>
        <w:jc w:val="both"/>
        <w:rPr>
          <w:rFonts w:ascii="Lucida Sans" w:hAnsi="Lucida Sans"/>
          <w:szCs w:val="20"/>
        </w:rPr>
      </w:pPr>
      <w:permStart w:id="419824169" w:edGrp="everyone"/>
      <w:r w:rsidRPr="00373E2E">
        <w:rPr>
          <w:rFonts w:ascii="Lucida Sans" w:hAnsi="Lucida Sans"/>
          <w:szCs w:val="20"/>
        </w:rPr>
        <w:t xml:space="preserve">The only costs that are not included in the past performance presentation (based on NAV) are the entry or exit costs that an investor may pay. If a statement is necessary, it should address this issue </w:t>
      </w:r>
      <w:r w:rsidR="001F137D">
        <w:rPr>
          <w:rFonts w:ascii="Lucida Sans" w:hAnsi="Lucida Sans"/>
          <w:szCs w:val="20"/>
        </w:rPr>
        <w:t>since</w:t>
      </w:r>
      <w:r w:rsidRPr="00373E2E">
        <w:rPr>
          <w:rFonts w:ascii="Lucida Sans" w:hAnsi="Lucida Sans"/>
          <w:szCs w:val="20"/>
        </w:rPr>
        <w:t xml:space="preserve"> a generic statement could be misleading. </w:t>
      </w:r>
    </w:p>
    <w:p w14:paraId="089997D7" w14:textId="565A76CC" w:rsidR="003E573C" w:rsidRDefault="003E573C" w:rsidP="003E573C">
      <w:pPr>
        <w:rPr>
          <w:rFonts w:cs="Arial"/>
        </w:rPr>
      </w:pP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731D12D5" w14:textId="77777777" w:rsidR="00CE6D5B" w:rsidRPr="00373E2E" w:rsidRDefault="00CE6D5B" w:rsidP="00CE6D5B">
      <w:pPr>
        <w:spacing w:before="120" w:after="120"/>
        <w:jc w:val="both"/>
        <w:rPr>
          <w:rFonts w:ascii="Lucida Sans" w:hAnsi="Lucida Sans"/>
          <w:szCs w:val="20"/>
        </w:rPr>
      </w:pPr>
      <w:permStart w:id="503522783" w:edGrp="everyone"/>
      <w:r w:rsidRPr="00373E2E">
        <w:rPr>
          <w:rFonts w:ascii="Lucida Sans" w:hAnsi="Lucida Sans"/>
          <w:szCs w:val="20"/>
        </w:rPr>
        <w:t>No, we believe that there should be no explanation in the PRIIPs KID on the relationship between past performance and future scenarios. A clear distinction should be made between the two representation, but an additional narrative could confuse investors, especially if it should reflect the methodologies.</w:t>
      </w:r>
    </w:p>
    <w:p w14:paraId="1513D34A" w14:textId="5E1F556D" w:rsidR="003E573C" w:rsidRDefault="003E573C" w:rsidP="003E573C">
      <w:pPr>
        <w:rPr>
          <w:rFonts w:cs="Arial"/>
        </w:rPr>
      </w:pP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Rimandonotaapidipagina"/>
          <w:rFonts w:cstheme="minorHAnsi"/>
          <w:iCs/>
          <w:szCs w:val="24"/>
        </w:rPr>
        <w:footnoteReference w:id="11"/>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33B6E4FF" w14:textId="77777777" w:rsidR="00273915" w:rsidRPr="00373E2E" w:rsidRDefault="00273915" w:rsidP="00273915">
      <w:pPr>
        <w:pStyle w:val="QACorpodeltesto"/>
        <w:spacing w:before="120" w:after="120" w:line="240" w:lineRule="auto"/>
        <w:rPr>
          <w:rFonts w:ascii="Lucida Sans" w:hAnsi="Lucida Sans" w:cs="Arial"/>
          <w:bCs/>
          <w:sz w:val="20"/>
          <w:szCs w:val="20"/>
        </w:rPr>
      </w:pPr>
      <w:permStart w:id="1708064826" w:edGrp="everyone"/>
      <w:r w:rsidRPr="00373E2E">
        <w:rPr>
          <w:rFonts w:ascii="Lucida Sans" w:hAnsi="Lucida Sans"/>
          <w:sz w:val="20"/>
          <w:szCs w:val="20"/>
        </w:rPr>
        <w:t>As regard disclosure of benchmark, we support the transparency requested in Article 7(1) letter d. and 18 of the KIID Regulation</w:t>
      </w:r>
      <w:r w:rsidRPr="00373E2E">
        <w:rPr>
          <w:rFonts w:ascii="Lucida Sans" w:hAnsi="Lucida Sans" w:cs="Arial"/>
          <w:bCs/>
          <w:sz w:val="20"/>
          <w:szCs w:val="20"/>
        </w:rPr>
        <w:t xml:space="preserve">, but we would suggest further effort in terms of clarity of the updated UCITS Q&amp;A documents (ESMA34-43-392) with the answer to Q&amp;A 8b where </w:t>
      </w:r>
      <w:r w:rsidRPr="00373E2E">
        <w:rPr>
          <w:rFonts w:ascii="Lucida Sans" w:hAnsi="Lucida Sans"/>
          <w:sz w:val="20"/>
          <w:szCs w:val="20"/>
        </w:rPr>
        <w:t>there are controversial interpretations.</w:t>
      </w:r>
    </w:p>
    <w:p w14:paraId="0A7BE647" w14:textId="77777777" w:rsidR="00273915" w:rsidRPr="00373E2E" w:rsidRDefault="00273915" w:rsidP="00273915">
      <w:pPr>
        <w:spacing w:before="120" w:after="120"/>
        <w:jc w:val="both"/>
        <w:rPr>
          <w:rFonts w:ascii="Lucida Sans" w:hAnsi="Lucida Sans"/>
          <w:szCs w:val="20"/>
        </w:rPr>
      </w:pPr>
      <w:r w:rsidRPr="00373E2E">
        <w:rPr>
          <w:rFonts w:ascii="Lucida Sans" w:hAnsi="Lucida Sans"/>
          <w:szCs w:val="20"/>
        </w:rPr>
        <w:t xml:space="preserve">It seems </w:t>
      </w:r>
      <w:proofErr w:type="gramStart"/>
      <w:r w:rsidRPr="00373E2E">
        <w:rPr>
          <w:rFonts w:ascii="Lucida Sans" w:hAnsi="Lucida Sans"/>
          <w:szCs w:val="20"/>
        </w:rPr>
        <w:t>sufficient</w:t>
      </w:r>
      <w:proofErr w:type="gramEnd"/>
      <w:r w:rsidRPr="00373E2E">
        <w:rPr>
          <w:rFonts w:ascii="Lucida Sans" w:hAnsi="Lucida Sans"/>
          <w:szCs w:val="20"/>
        </w:rPr>
        <w:t xml:space="preserve"> for a benchmark index “to play a role in the management of the UCITS” for the management company to disclose it in the KIID (including in past performance) and a non-exhaustive example provides cases where ESMA believes this to be the case.</w:t>
      </w:r>
    </w:p>
    <w:p w14:paraId="4E3DEAE3" w14:textId="77777777" w:rsidR="00273915" w:rsidRPr="00373E2E" w:rsidRDefault="00273915" w:rsidP="00273915">
      <w:pPr>
        <w:spacing w:before="120" w:after="120"/>
        <w:jc w:val="both"/>
        <w:rPr>
          <w:rFonts w:ascii="Lucida Sans" w:hAnsi="Lucida Sans"/>
          <w:szCs w:val="20"/>
        </w:rPr>
      </w:pPr>
      <w:r w:rsidRPr="00373E2E">
        <w:rPr>
          <w:rFonts w:ascii="Lucida Sans" w:hAnsi="Lucida Sans"/>
          <w:szCs w:val="20"/>
        </w:rPr>
        <w:t>However, we believe that is always onus of the asset manager to determine whether a UCITS is in practice managed according to a benchmark, as stated also in the 8b answer “</w:t>
      </w:r>
      <w:r w:rsidRPr="00373E2E">
        <w:rPr>
          <w:rFonts w:ascii="Lucida Sans" w:hAnsi="Lucida Sans"/>
          <w:i/>
          <w:szCs w:val="20"/>
        </w:rPr>
        <w:t>Ultimately, the onus is on the UCITS management company to identify whether the UCITS is in practice managed in reference to a benchmark index.</w:t>
      </w:r>
      <w:r w:rsidRPr="00373E2E">
        <w:rPr>
          <w:rFonts w:ascii="Lucida Sans" w:hAnsi="Lucida Sans"/>
          <w:szCs w:val="20"/>
        </w:rPr>
        <w:t xml:space="preserve"> </w:t>
      </w:r>
      <w:r w:rsidRPr="00373E2E">
        <w:rPr>
          <w:rFonts w:ascii="Lucida Sans" w:hAnsi="Lucida Sans"/>
          <w:i/>
          <w:szCs w:val="20"/>
        </w:rPr>
        <w:t>However, the following are … examples of where an approach may include or imply reference to a benchmark […]”.</w:t>
      </w:r>
      <w:r w:rsidRPr="00373E2E">
        <w:rPr>
          <w:rFonts w:ascii="Lucida Sans" w:hAnsi="Lucida Sans"/>
          <w:szCs w:val="20"/>
        </w:rPr>
        <w:t xml:space="preserve">  </w:t>
      </w:r>
    </w:p>
    <w:p w14:paraId="3868F00A" w14:textId="7602C39C" w:rsidR="00273915" w:rsidRPr="00373E2E" w:rsidRDefault="00273915" w:rsidP="00273915">
      <w:pPr>
        <w:spacing w:before="120" w:after="120"/>
        <w:jc w:val="both"/>
        <w:rPr>
          <w:rFonts w:ascii="Lucida Sans" w:hAnsi="Lucida Sans"/>
          <w:szCs w:val="20"/>
        </w:rPr>
      </w:pPr>
      <w:r w:rsidRPr="00373E2E">
        <w:rPr>
          <w:rFonts w:ascii="Lucida Sans" w:hAnsi="Lucida Sans"/>
          <w:szCs w:val="20"/>
        </w:rPr>
        <w:t>The list of non-exhaustive examples provided in the Q&amp;A, in our understanding, do not automatically trigger for a disclosure in the UCITS KIID (or in the PRIIPs KID).  The use of “may” in the ESMA response put in evidence that it might be a case - n</w:t>
      </w:r>
      <w:r w:rsidR="004F0010">
        <w:rPr>
          <w:rFonts w:ascii="Lucida Sans" w:hAnsi="Lucida Sans"/>
          <w:szCs w:val="20"/>
        </w:rPr>
        <w:t>either</w:t>
      </w:r>
      <w:r w:rsidRPr="00373E2E">
        <w:rPr>
          <w:rFonts w:ascii="Lucida Sans" w:hAnsi="Lucida Sans"/>
          <w:szCs w:val="20"/>
        </w:rPr>
        <w:t xml:space="preserve"> it </w:t>
      </w:r>
      <w:proofErr w:type="gramStart"/>
      <w:r w:rsidRPr="00373E2E">
        <w:rPr>
          <w:rFonts w:ascii="Lucida Sans" w:hAnsi="Lucida Sans"/>
          <w:szCs w:val="20"/>
        </w:rPr>
        <w:t>should</w:t>
      </w:r>
      <w:proofErr w:type="gramEnd"/>
      <w:r w:rsidRPr="00373E2E">
        <w:rPr>
          <w:rFonts w:ascii="Lucida Sans" w:hAnsi="Lucida Sans"/>
          <w:szCs w:val="20"/>
        </w:rPr>
        <w:t xml:space="preserve"> </w:t>
      </w:r>
      <w:r w:rsidR="004F0010">
        <w:rPr>
          <w:rFonts w:ascii="Lucida Sans" w:hAnsi="Lucida Sans"/>
          <w:szCs w:val="20"/>
        </w:rPr>
        <w:t>n</w:t>
      </w:r>
      <w:r w:rsidRPr="00373E2E">
        <w:rPr>
          <w:rFonts w:ascii="Lucida Sans" w:hAnsi="Lucida Sans"/>
          <w:szCs w:val="20"/>
        </w:rPr>
        <w:t xml:space="preserve">or </w:t>
      </w:r>
      <w:r w:rsidR="004F0010">
        <w:rPr>
          <w:rFonts w:ascii="Lucida Sans" w:hAnsi="Lucida Sans"/>
          <w:szCs w:val="20"/>
        </w:rPr>
        <w:t xml:space="preserve">it </w:t>
      </w:r>
      <w:r w:rsidRPr="00373E2E">
        <w:rPr>
          <w:rFonts w:ascii="Lucida Sans" w:hAnsi="Lucida Sans"/>
          <w:szCs w:val="20"/>
        </w:rPr>
        <w:t>must be a case - that an example included in the list trigger for the disclosure.  This interpretation permits a disclosure of only the benchmarks that are relevant to the implementation of a given investment strategy. For example, if a UCITS references an index for the sole purpose of measuring its performance fees against it (example EURIBOR + x%), that UCITS should not be necessarily understood as being managed according to that same index. Thus, it would depend on the investment objective and the strategies pursued and these features could not simply derive from the provision of a performance fee (please see also our reply to consultation paper on Guidelines on performance fee in UCITS),</w:t>
      </w:r>
    </w:p>
    <w:p w14:paraId="2CCD86DA" w14:textId="77777777" w:rsidR="00273915" w:rsidRPr="00373E2E" w:rsidRDefault="00273915" w:rsidP="00273915">
      <w:pPr>
        <w:spacing w:before="120" w:after="120"/>
        <w:jc w:val="both"/>
        <w:rPr>
          <w:rFonts w:ascii="Lucida Sans" w:hAnsi="Lucida Sans"/>
          <w:szCs w:val="20"/>
        </w:rPr>
      </w:pPr>
      <w:r w:rsidRPr="00373E2E">
        <w:rPr>
          <w:rFonts w:ascii="Lucida Sans" w:hAnsi="Lucida Sans"/>
          <w:szCs w:val="20"/>
        </w:rPr>
        <w:t xml:space="preserve">We, therefore, believe that the transition from a UCITS KIID to a PRIIP KID will be another opportunity, other than the consultation paper on Guidelines on performance fee in UCITS, to better clarify such Q&amp;A. </w:t>
      </w:r>
    </w:p>
    <w:p w14:paraId="7F2061E9" w14:textId="7150616F" w:rsidR="003E573C" w:rsidRDefault="003E573C" w:rsidP="003E573C">
      <w:pPr>
        <w:rPr>
          <w:rFonts w:cs="Arial"/>
        </w:rPr>
      </w:pPr>
    </w:p>
    <w:permEnd w:id="1708064826"/>
    <w:p w14:paraId="1859138B" w14:textId="4D05FFFD" w:rsidR="003E573C" w:rsidRDefault="003E573C" w:rsidP="003E573C">
      <w:pPr>
        <w:rPr>
          <w:rFonts w:cs="Arial"/>
        </w:rPr>
      </w:pPr>
      <w:r>
        <w:rPr>
          <w:rFonts w:cs="Arial"/>
        </w:rPr>
        <w:lastRenderedPageBreak/>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0138DD7A" w14:textId="77777777" w:rsidR="00BE6D38" w:rsidRPr="00373E2E" w:rsidRDefault="00BE6D38" w:rsidP="00BE6D38">
      <w:pPr>
        <w:spacing w:before="120" w:after="120"/>
        <w:jc w:val="both"/>
        <w:rPr>
          <w:rFonts w:ascii="Lucida Sans" w:hAnsi="Lucida Sans"/>
          <w:szCs w:val="20"/>
        </w:rPr>
      </w:pPr>
      <w:permStart w:id="1802452064" w:edGrp="everyone"/>
      <w:r w:rsidRPr="00373E2E">
        <w:rPr>
          <w:rFonts w:ascii="Lucida Sans" w:hAnsi="Lucida Sans"/>
          <w:szCs w:val="20"/>
        </w:rPr>
        <w:t xml:space="preserve">No, we believe that only a one-year and recommended holding period (RHP) should be used in the cost disclosures. The current ½ RHP should be deleted. This would reduce the amount of information being presented to retail investors by one third without depriving investors from essential new insights. The costs of investment in many PRIIPs are very high at the beginning (over one year) and are smoothed over the recommended holding period.  Investors should be able to deduce the effect of early exit between those dates from the remaining bits of information. </w:t>
      </w:r>
    </w:p>
    <w:p w14:paraId="7D954E3C" w14:textId="5B7640F7" w:rsidR="00BE6D38" w:rsidRPr="00373E2E" w:rsidRDefault="00BE6D38" w:rsidP="00BE6D38">
      <w:pPr>
        <w:spacing w:before="120" w:after="120"/>
        <w:jc w:val="both"/>
        <w:rPr>
          <w:rFonts w:ascii="Lucida Sans" w:hAnsi="Lucida Sans"/>
          <w:szCs w:val="20"/>
        </w:rPr>
      </w:pPr>
      <w:r w:rsidRPr="00373E2E">
        <w:rPr>
          <w:rFonts w:ascii="Lucida Sans" w:hAnsi="Lucida Sans"/>
          <w:szCs w:val="20"/>
        </w:rPr>
        <w:t>Furthermore, RHPs vary substantially between different types of PRIIPs, so there is little sense in striv</w:t>
      </w:r>
      <w:r w:rsidR="00691413">
        <w:rPr>
          <w:rFonts w:ascii="Lucida Sans" w:hAnsi="Lucida Sans"/>
          <w:szCs w:val="20"/>
        </w:rPr>
        <w:t>ing</w:t>
      </w:r>
      <w:r w:rsidRPr="00373E2E">
        <w:rPr>
          <w:rFonts w:ascii="Lucida Sans" w:hAnsi="Lucida Sans"/>
          <w:szCs w:val="20"/>
        </w:rPr>
        <w:t xml:space="preserve"> for complete comparability. It is more important to provide meaningful information.</w:t>
      </w:r>
    </w:p>
    <w:p w14:paraId="63E7477C" w14:textId="77777777" w:rsidR="00BE6D38" w:rsidRPr="00373E2E" w:rsidRDefault="00BE6D38" w:rsidP="00BE6D38">
      <w:pPr>
        <w:spacing w:before="120" w:after="120"/>
        <w:jc w:val="both"/>
        <w:rPr>
          <w:rFonts w:ascii="Lucida Sans" w:hAnsi="Lucida Sans"/>
          <w:szCs w:val="20"/>
        </w:rPr>
      </w:pPr>
      <w:r w:rsidRPr="00373E2E">
        <w:rPr>
          <w:rFonts w:ascii="Lucida Sans" w:hAnsi="Lucida Sans"/>
          <w:szCs w:val="20"/>
        </w:rPr>
        <w:t xml:space="preserve">Should the ESAs decide to keep the intermediate time period in the cost tables, a fixed holding period of 5 years should be used for all PRIIPs in order to facilitate comparability. </w:t>
      </w:r>
    </w:p>
    <w:p w14:paraId="3AAE56CF" w14:textId="77777777" w:rsidR="00BE6D38" w:rsidRPr="00373E2E" w:rsidRDefault="00BE6D38" w:rsidP="00BE6D38">
      <w:pPr>
        <w:spacing w:before="120" w:after="120"/>
        <w:jc w:val="both"/>
        <w:rPr>
          <w:rFonts w:ascii="Lucida Sans" w:hAnsi="Lucida Sans"/>
          <w:szCs w:val="20"/>
        </w:rPr>
      </w:pPr>
      <w:r w:rsidRPr="00373E2E">
        <w:rPr>
          <w:rFonts w:ascii="Lucida Sans" w:hAnsi="Lucida Sans"/>
          <w:szCs w:val="20"/>
        </w:rPr>
        <w:t xml:space="preserve">With regards to closed-ended fund, that could take different forms (ELTIF, EUVECA, ESUEF, real estate funds or other private equity/debt fund) we believe that appropriate information on costs should be given only at RHP. </w:t>
      </w:r>
    </w:p>
    <w:p w14:paraId="4D451937" w14:textId="40FE6206" w:rsidR="00BE6D38" w:rsidRPr="00373E2E" w:rsidRDefault="00BE6D38" w:rsidP="00BE6D38">
      <w:pPr>
        <w:spacing w:before="120" w:after="120"/>
        <w:jc w:val="both"/>
        <w:rPr>
          <w:rFonts w:ascii="Lucida Sans" w:hAnsi="Lucida Sans"/>
          <w:szCs w:val="20"/>
        </w:rPr>
      </w:pPr>
      <w:r w:rsidRPr="00373E2E">
        <w:rPr>
          <w:rFonts w:ascii="Lucida Sans" w:hAnsi="Lucida Sans"/>
          <w:szCs w:val="20"/>
        </w:rPr>
        <w:t>Should the ESAs requir</w:t>
      </w:r>
      <w:r w:rsidR="00762E2E">
        <w:rPr>
          <w:rFonts w:ascii="Lucida Sans" w:hAnsi="Lucida Sans"/>
          <w:szCs w:val="20"/>
        </w:rPr>
        <w:t>e</w:t>
      </w:r>
      <w:r w:rsidRPr="00373E2E">
        <w:rPr>
          <w:rFonts w:ascii="Lucida Sans" w:hAnsi="Lucida Sans"/>
          <w:szCs w:val="20"/>
        </w:rPr>
        <w:t xml:space="preserve"> also a presentation at the ½ RHP/5years for an ELTIF </w:t>
      </w:r>
      <w:r w:rsidR="00762E2E">
        <w:rPr>
          <w:rFonts w:ascii="Lucida Sans" w:hAnsi="Lucida Sans"/>
          <w:szCs w:val="20"/>
        </w:rPr>
        <w:t xml:space="preserve">for </w:t>
      </w:r>
      <w:r w:rsidRPr="00373E2E">
        <w:rPr>
          <w:rFonts w:ascii="Lucida Sans" w:hAnsi="Lucida Sans"/>
          <w:szCs w:val="20"/>
        </w:rPr>
        <w:t>which redemptions would be possible before the end of life of the ELTIF (beginning from a date specified in the fund rule), the treatment of the exit costs, if any, should be clarified. For example, if a limited redemption may be possible at the 3</w:t>
      </w:r>
      <w:r w:rsidRPr="00373E2E">
        <w:rPr>
          <w:rFonts w:ascii="Lucida Sans" w:hAnsi="Lucida Sans"/>
          <w:szCs w:val="20"/>
          <w:vertAlign w:val="superscript"/>
        </w:rPr>
        <w:t>rd</w:t>
      </w:r>
      <w:r w:rsidRPr="00373E2E">
        <w:rPr>
          <w:rFonts w:ascii="Lucida Sans" w:hAnsi="Lucida Sans"/>
          <w:szCs w:val="20"/>
        </w:rPr>
        <w:t xml:space="preserve"> or 7</w:t>
      </w:r>
      <w:r w:rsidRPr="00373E2E">
        <w:rPr>
          <w:rFonts w:ascii="Lucida Sans" w:hAnsi="Lucida Sans"/>
          <w:szCs w:val="20"/>
          <w:vertAlign w:val="superscript"/>
        </w:rPr>
        <w:t>th</w:t>
      </w:r>
      <w:r w:rsidRPr="00373E2E">
        <w:rPr>
          <w:rFonts w:ascii="Lucida Sans" w:hAnsi="Lucida Sans"/>
          <w:szCs w:val="20"/>
        </w:rPr>
        <w:t xml:space="preserve"> year of the ELTIF’s life, and the costs should be displayed at the 5</w:t>
      </w:r>
      <w:r w:rsidRPr="00373E2E">
        <w:rPr>
          <w:rFonts w:ascii="Lucida Sans" w:hAnsi="Lucida Sans"/>
          <w:szCs w:val="20"/>
          <w:vertAlign w:val="superscript"/>
        </w:rPr>
        <w:t>th</w:t>
      </w:r>
      <w:r w:rsidRPr="00373E2E">
        <w:rPr>
          <w:rFonts w:ascii="Lucida Sans" w:hAnsi="Lucida Sans"/>
          <w:szCs w:val="20"/>
        </w:rPr>
        <w:t xml:space="preserve"> year, exit costs should not be considered as they would not apply at the 5</w:t>
      </w:r>
      <w:r w:rsidRPr="00373E2E">
        <w:rPr>
          <w:rFonts w:ascii="Lucida Sans" w:hAnsi="Lucida Sans"/>
          <w:szCs w:val="20"/>
          <w:vertAlign w:val="superscript"/>
        </w:rPr>
        <w:t>th</w:t>
      </w:r>
      <w:r w:rsidRPr="00373E2E">
        <w:rPr>
          <w:rFonts w:ascii="Lucida Sans" w:hAnsi="Lucida Sans"/>
          <w:szCs w:val="20"/>
        </w:rPr>
        <w:t xml:space="preserve"> year. To avoid misunderstanding by investors and for a better level playing field further clarity is welcomed.</w:t>
      </w:r>
    </w:p>
    <w:p w14:paraId="7276BBC5" w14:textId="46247F6A" w:rsidR="003E573C" w:rsidRDefault="003E573C" w:rsidP="003E573C">
      <w:pPr>
        <w:rPr>
          <w:rFonts w:cs="Arial"/>
        </w:rPr>
      </w:pP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52D95441" w14:textId="77777777" w:rsidR="005A486F" w:rsidRPr="00373E2E" w:rsidRDefault="005A486F" w:rsidP="005A486F">
      <w:pPr>
        <w:spacing w:before="120" w:after="120"/>
        <w:jc w:val="both"/>
        <w:rPr>
          <w:rFonts w:ascii="Lucida Sans" w:hAnsi="Lucida Sans"/>
          <w:szCs w:val="20"/>
        </w:rPr>
      </w:pPr>
      <w:permStart w:id="1498437863" w:edGrp="everyone"/>
      <w:r w:rsidRPr="00373E2E">
        <w:rPr>
          <w:rFonts w:ascii="Lucida Sans" w:hAnsi="Lucida Sans"/>
          <w:szCs w:val="20"/>
        </w:rPr>
        <w:t xml:space="preserve">Please see our comments to Q33 above. </w:t>
      </w:r>
    </w:p>
    <w:p w14:paraId="287EF7DD" w14:textId="74F76B39" w:rsidR="003E573C" w:rsidRDefault="003E573C" w:rsidP="003E573C">
      <w:pPr>
        <w:rPr>
          <w:rFonts w:cs="Arial"/>
        </w:rPr>
      </w:pP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6D0AE408" w14:textId="52380544" w:rsidR="002F6167" w:rsidRPr="00373E2E" w:rsidRDefault="002F6167" w:rsidP="002F6167">
      <w:pPr>
        <w:spacing w:before="120" w:after="120"/>
        <w:jc w:val="both"/>
        <w:rPr>
          <w:rFonts w:ascii="Lucida Sans" w:hAnsi="Lucida Sans"/>
          <w:szCs w:val="20"/>
        </w:rPr>
      </w:pPr>
      <w:permStart w:id="621350576" w:edGrp="everyone"/>
      <w:r w:rsidRPr="00373E2E">
        <w:rPr>
          <w:rFonts w:ascii="Lucida Sans" w:hAnsi="Lucida Sans"/>
          <w:szCs w:val="20"/>
        </w:rPr>
        <w:t>The use of an annual average cost figure ensure</w:t>
      </w:r>
      <w:r w:rsidR="007E775E">
        <w:rPr>
          <w:rFonts w:ascii="Lucida Sans" w:hAnsi="Lucida Sans"/>
          <w:szCs w:val="20"/>
        </w:rPr>
        <w:t>s</w:t>
      </w:r>
      <w:r w:rsidRPr="00373E2E">
        <w:rPr>
          <w:rFonts w:ascii="Lucida Sans" w:hAnsi="Lucida Sans"/>
          <w:szCs w:val="20"/>
        </w:rPr>
        <w:t xml:space="preserve"> a better comparability between PRIIPs. A total cumulated figure depends on the RHP and this </w:t>
      </w:r>
      <w:r w:rsidR="007E775E">
        <w:rPr>
          <w:rFonts w:ascii="Lucida Sans" w:hAnsi="Lucida Sans"/>
          <w:szCs w:val="20"/>
        </w:rPr>
        <w:t xml:space="preserve">may </w:t>
      </w:r>
      <w:r w:rsidRPr="00373E2E">
        <w:rPr>
          <w:rFonts w:ascii="Lucida Sans" w:hAnsi="Lucida Sans"/>
          <w:szCs w:val="20"/>
        </w:rPr>
        <w:t xml:space="preserve">vary immensely between different types of PRIIPs, </w:t>
      </w:r>
      <w:r w:rsidRPr="00373E2E">
        <w:rPr>
          <w:rFonts w:ascii="Lucida Sans" w:hAnsi="Lucida Sans"/>
          <w:szCs w:val="20"/>
        </w:rPr>
        <w:lastRenderedPageBreak/>
        <w:t xml:space="preserve">so there is little sense </w:t>
      </w:r>
      <w:r w:rsidR="007E775E">
        <w:rPr>
          <w:rFonts w:ascii="Lucida Sans" w:hAnsi="Lucida Sans"/>
          <w:szCs w:val="20"/>
        </w:rPr>
        <w:t xml:space="preserve">in </w:t>
      </w:r>
      <w:r w:rsidRPr="00373E2E">
        <w:rPr>
          <w:rFonts w:ascii="Lucida Sans" w:hAnsi="Lucida Sans"/>
          <w:szCs w:val="20"/>
        </w:rPr>
        <w:t>compar</w:t>
      </w:r>
      <w:r w:rsidR="007E775E">
        <w:rPr>
          <w:rFonts w:ascii="Lucida Sans" w:hAnsi="Lucida Sans"/>
          <w:szCs w:val="20"/>
        </w:rPr>
        <w:t>ing</w:t>
      </w:r>
      <w:r w:rsidRPr="00373E2E">
        <w:rPr>
          <w:rFonts w:ascii="Lucida Sans" w:hAnsi="Lucida Sans"/>
          <w:szCs w:val="20"/>
        </w:rPr>
        <w:t xml:space="preserve"> the accumulated cost figures across PRIIPs with different RHP, for example 5, 10, 15 years.</w:t>
      </w:r>
    </w:p>
    <w:p w14:paraId="1B22C94D" w14:textId="4496ECE5" w:rsidR="003E573C" w:rsidRDefault="003E573C" w:rsidP="003E573C">
      <w:pPr>
        <w:rPr>
          <w:rFonts w:cs="Arial"/>
        </w:rPr>
      </w:pP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432FB038" w14:textId="77777777" w:rsidR="0086594C" w:rsidRPr="00373E2E" w:rsidRDefault="0086594C" w:rsidP="0086594C">
      <w:pPr>
        <w:spacing w:before="120" w:after="120"/>
        <w:jc w:val="both"/>
        <w:rPr>
          <w:rFonts w:ascii="Lucida Sans" w:hAnsi="Lucida Sans"/>
          <w:szCs w:val="20"/>
        </w:rPr>
      </w:pPr>
      <w:permStart w:id="354879508" w:edGrp="everyone"/>
      <w:r w:rsidRPr="00373E2E">
        <w:rPr>
          <w:rFonts w:ascii="Lucida Sans" w:hAnsi="Lucida Sans"/>
          <w:szCs w:val="20"/>
        </w:rPr>
        <w:t xml:space="preserve">Yes, it would be very helpful with the MiFID II disclosures. It is </w:t>
      </w:r>
      <w:proofErr w:type="gramStart"/>
      <w:r w:rsidRPr="00373E2E">
        <w:rPr>
          <w:rFonts w:ascii="Lucida Sans" w:hAnsi="Lucida Sans"/>
          <w:szCs w:val="20"/>
        </w:rPr>
        <w:t>absolutely crucial</w:t>
      </w:r>
      <w:proofErr w:type="gramEnd"/>
      <w:r w:rsidRPr="00373E2E">
        <w:rPr>
          <w:rFonts w:ascii="Lucida Sans" w:hAnsi="Lucida Sans"/>
          <w:szCs w:val="20"/>
        </w:rPr>
        <w:t xml:space="preserve"> that investors receive the same cost disclosures through the PRIIP KID and MiFID ex-ante disclosures at the point of sale:</w:t>
      </w:r>
    </w:p>
    <w:p w14:paraId="17882498" w14:textId="77777777" w:rsidR="0086594C" w:rsidRPr="00373E2E" w:rsidRDefault="0086594C" w:rsidP="00303D05">
      <w:pPr>
        <w:pStyle w:val="Paragrafoelenco"/>
        <w:numPr>
          <w:ilvl w:val="0"/>
          <w:numId w:val="47"/>
        </w:numPr>
        <w:spacing w:before="120" w:after="120"/>
        <w:jc w:val="both"/>
        <w:rPr>
          <w:rFonts w:ascii="Lucida Sans" w:hAnsi="Lucida Sans"/>
          <w:szCs w:val="20"/>
        </w:rPr>
      </w:pPr>
      <w:r w:rsidRPr="00373E2E">
        <w:rPr>
          <w:rFonts w:ascii="Lucida Sans" w:hAnsi="Lucida Sans"/>
          <w:szCs w:val="20"/>
        </w:rPr>
        <w:t>such representation would lead also to firms distributing investment products to rely on the disclosure of product costs provided in the PRIIPs KID for the purpose of computing their aggregated cost figure comprising charges of both, product and service;</w:t>
      </w:r>
    </w:p>
    <w:p w14:paraId="5CF0A34C" w14:textId="77777777" w:rsidR="0086594C" w:rsidRPr="00373E2E" w:rsidRDefault="0086594C" w:rsidP="00303D05">
      <w:pPr>
        <w:pStyle w:val="Paragrafoelenco"/>
        <w:numPr>
          <w:ilvl w:val="0"/>
          <w:numId w:val="47"/>
        </w:numPr>
        <w:spacing w:before="120" w:after="120"/>
        <w:jc w:val="both"/>
        <w:rPr>
          <w:rFonts w:ascii="Lucida Sans" w:hAnsi="Lucida Sans"/>
          <w:szCs w:val="20"/>
        </w:rPr>
      </w:pPr>
      <w:r w:rsidRPr="00373E2E">
        <w:rPr>
          <w:rFonts w:ascii="Lucida Sans" w:hAnsi="Lucida Sans"/>
          <w:szCs w:val="20"/>
        </w:rPr>
        <w:t xml:space="preserve">assumptions on performance are not relevant for MiFID II. Where an illustration of the impact of costs on returns is made, this is generally based on the assumption that the annual return each year will cover the relevant costs (meaning that the value of the investment at the end of each year is equal to the initial investment amount). Therefore, we believe that options 1 to 4 that require that all or some cost elements be calculated as a RIY </w:t>
      </w:r>
      <w:proofErr w:type="gramStart"/>
      <w:r w:rsidRPr="00373E2E">
        <w:rPr>
          <w:rFonts w:ascii="Lucida Sans" w:hAnsi="Lucida Sans"/>
          <w:szCs w:val="20"/>
        </w:rPr>
        <w:t>on the basis of</w:t>
      </w:r>
      <w:proofErr w:type="gramEnd"/>
      <w:r w:rsidRPr="00373E2E">
        <w:rPr>
          <w:rFonts w:ascii="Lucida Sans" w:hAnsi="Lucida Sans"/>
          <w:szCs w:val="20"/>
        </w:rPr>
        <w:t xml:space="preserve"> the moderate performance scenario do not permit to align the disclosure with MiFID. It is worth noting, that the alignment with MiFID II should not only be with Table 2, but also with Table 1.</w:t>
      </w:r>
    </w:p>
    <w:p w14:paraId="16B590C6" w14:textId="77777777" w:rsidR="0086594C" w:rsidRPr="00373E2E" w:rsidRDefault="0086594C" w:rsidP="0086594C">
      <w:pPr>
        <w:spacing w:before="120" w:after="120"/>
        <w:jc w:val="both"/>
        <w:rPr>
          <w:rFonts w:ascii="Lucida Sans" w:hAnsi="Lucida Sans"/>
          <w:szCs w:val="20"/>
        </w:rPr>
      </w:pPr>
      <w:r w:rsidRPr="00373E2E">
        <w:rPr>
          <w:rFonts w:ascii="Lucida Sans" w:hAnsi="Lucida Sans"/>
          <w:szCs w:val="20"/>
        </w:rPr>
        <w:t>This presentation has further merits:</w:t>
      </w:r>
    </w:p>
    <w:p w14:paraId="4E7FC090" w14:textId="49210FEC" w:rsidR="0086594C" w:rsidRPr="00373E2E" w:rsidRDefault="0086594C" w:rsidP="00303D05">
      <w:pPr>
        <w:pStyle w:val="Paragrafoelenco"/>
        <w:numPr>
          <w:ilvl w:val="0"/>
          <w:numId w:val="47"/>
        </w:numPr>
        <w:spacing w:before="120" w:after="120"/>
        <w:jc w:val="both"/>
        <w:rPr>
          <w:rFonts w:ascii="Lucida Sans" w:hAnsi="Lucida Sans"/>
          <w:szCs w:val="20"/>
        </w:rPr>
      </w:pPr>
      <w:r w:rsidRPr="00373E2E">
        <w:rPr>
          <w:rFonts w:ascii="Lucida Sans" w:hAnsi="Lucida Sans"/>
          <w:szCs w:val="20"/>
        </w:rPr>
        <w:t xml:space="preserve">it represents the potential cost of the investor and of the PRIIP, regardless its RHP. Therefore, it could not be misunderstood the impact of an entry or exit fee/penalties, whenever </w:t>
      </w:r>
      <w:r w:rsidR="008510E5">
        <w:rPr>
          <w:rFonts w:ascii="Lucida Sans" w:hAnsi="Lucida Sans"/>
          <w:szCs w:val="20"/>
        </w:rPr>
        <w:t>it</w:t>
      </w:r>
      <w:r w:rsidRPr="00373E2E">
        <w:rPr>
          <w:rFonts w:ascii="Lucida Sans" w:hAnsi="Lucida Sans"/>
          <w:szCs w:val="20"/>
        </w:rPr>
        <w:t xml:space="preserve"> takes.</w:t>
      </w:r>
    </w:p>
    <w:p w14:paraId="160B3CD7" w14:textId="77777777" w:rsidR="0086594C" w:rsidRPr="00373E2E" w:rsidRDefault="0086594C" w:rsidP="00303D05">
      <w:pPr>
        <w:pStyle w:val="Paragrafoelenco"/>
        <w:numPr>
          <w:ilvl w:val="0"/>
          <w:numId w:val="47"/>
        </w:numPr>
        <w:spacing w:before="120" w:after="120"/>
        <w:jc w:val="both"/>
        <w:rPr>
          <w:rFonts w:ascii="Lucida Sans" w:hAnsi="Lucida Sans"/>
          <w:szCs w:val="20"/>
        </w:rPr>
      </w:pPr>
      <w:r w:rsidRPr="00373E2E">
        <w:rPr>
          <w:rFonts w:ascii="Lucida Sans" w:hAnsi="Lucida Sans"/>
          <w:szCs w:val="20"/>
        </w:rPr>
        <w:t xml:space="preserve">It interacts better with figures disclosed in the prospectus/fund rule. </w:t>
      </w:r>
    </w:p>
    <w:p w14:paraId="783B1434" w14:textId="7839243A" w:rsidR="003E573C" w:rsidRDefault="003E573C" w:rsidP="003E573C">
      <w:pPr>
        <w:rPr>
          <w:rFonts w:cs="Arial"/>
        </w:rPr>
      </w:pP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9ED5C92" w14:textId="77777777" w:rsidR="00FE4774" w:rsidRPr="00373E2E" w:rsidRDefault="00FE4774" w:rsidP="00FE4774">
      <w:pPr>
        <w:spacing w:before="120" w:after="120"/>
        <w:jc w:val="both"/>
        <w:rPr>
          <w:rFonts w:ascii="Lucida Sans" w:hAnsi="Lucida Sans"/>
          <w:szCs w:val="20"/>
        </w:rPr>
      </w:pPr>
      <w:permStart w:id="80752736" w:edGrp="everyone"/>
      <w:r w:rsidRPr="00373E2E">
        <w:rPr>
          <w:rFonts w:ascii="Lucida Sans" w:hAnsi="Lucida Sans"/>
          <w:szCs w:val="20"/>
        </w:rPr>
        <w:t>We are not aware of PRIIPs applying both performance fees and carried interests.</w:t>
      </w:r>
    </w:p>
    <w:p w14:paraId="1BDA862D" w14:textId="5488A9F7" w:rsidR="003E573C" w:rsidRDefault="003E573C" w:rsidP="003E573C">
      <w:pPr>
        <w:rPr>
          <w:rFonts w:cs="Arial"/>
        </w:rPr>
      </w:pP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29ACBFCA" w14:textId="0B42D246" w:rsidR="0092290D" w:rsidRPr="00373E2E" w:rsidRDefault="0092290D" w:rsidP="0092290D">
      <w:pPr>
        <w:spacing w:before="120" w:after="120"/>
        <w:jc w:val="both"/>
        <w:rPr>
          <w:rFonts w:ascii="Lucida Sans" w:hAnsi="Lucida Sans"/>
          <w:szCs w:val="20"/>
        </w:rPr>
      </w:pPr>
      <w:permStart w:id="2047886229" w:edGrp="everyone"/>
      <w:r w:rsidRPr="00373E2E">
        <w:rPr>
          <w:rFonts w:ascii="Lucida Sans" w:hAnsi="Lucida Sans"/>
          <w:szCs w:val="20"/>
        </w:rPr>
        <w:t xml:space="preserve">As regard the performance fee narrative, we agree with the ESAs’ previous assessment with regards </w:t>
      </w:r>
      <w:r w:rsidR="00AF2975">
        <w:rPr>
          <w:rFonts w:ascii="Lucida Sans" w:hAnsi="Lucida Sans"/>
          <w:szCs w:val="20"/>
        </w:rPr>
        <w:t>t</w:t>
      </w:r>
      <w:r w:rsidRPr="00373E2E">
        <w:rPr>
          <w:rFonts w:ascii="Lucida Sans" w:hAnsi="Lucida Sans"/>
          <w:szCs w:val="20"/>
        </w:rPr>
        <w:t xml:space="preserve">o how to extend the existing narrative to all type of performance fee models. </w:t>
      </w:r>
    </w:p>
    <w:p w14:paraId="501AEB8B" w14:textId="5A207170" w:rsidR="003E573C" w:rsidRDefault="003E573C" w:rsidP="003E573C">
      <w:pPr>
        <w:rPr>
          <w:rFonts w:cs="Arial"/>
        </w:rPr>
      </w:pP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1709DDFF" w14:textId="6BF123CD" w:rsidR="00B81A1B" w:rsidRPr="00373E2E" w:rsidRDefault="00B81A1B" w:rsidP="00B81A1B">
      <w:pPr>
        <w:spacing w:before="120" w:after="120"/>
        <w:jc w:val="both"/>
        <w:rPr>
          <w:rFonts w:ascii="Lucida Sans" w:hAnsi="Lucida Sans"/>
          <w:szCs w:val="20"/>
        </w:rPr>
      </w:pPr>
      <w:permStart w:id="777852593" w:edGrp="everyone"/>
      <w:r w:rsidRPr="00373E2E">
        <w:rPr>
          <w:rFonts w:ascii="Lucida Sans" w:hAnsi="Lucida Sans"/>
          <w:szCs w:val="20"/>
        </w:rPr>
        <w:lastRenderedPageBreak/>
        <w:t xml:space="preserve">We agree that the cost tables need to be revised. However, all options presented by the ESAs expand the cost presentation with even more data points than are currently present. The ESAs’ preferred Option 3 has 32 cost figures/percentages compared </w:t>
      </w:r>
      <w:r w:rsidR="00D36883">
        <w:rPr>
          <w:rFonts w:ascii="Lucida Sans" w:hAnsi="Lucida Sans"/>
          <w:szCs w:val="20"/>
        </w:rPr>
        <w:t>12</w:t>
      </w:r>
      <w:r w:rsidRPr="00373E2E">
        <w:rPr>
          <w:rFonts w:ascii="Lucida Sans" w:hAnsi="Lucida Sans"/>
          <w:szCs w:val="20"/>
        </w:rPr>
        <w:t xml:space="preserve"> </w:t>
      </w:r>
      <w:r w:rsidR="00D36883">
        <w:rPr>
          <w:rFonts w:ascii="Lucida Sans" w:hAnsi="Lucida Sans"/>
          <w:szCs w:val="20"/>
        </w:rPr>
        <w:t xml:space="preserve">require </w:t>
      </w:r>
      <w:proofErr w:type="gramStart"/>
      <w:r w:rsidRPr="00373E2E">
        <w:rPr>
          <w:rFonts w:ascii="Lucida Sans" w:hAnsi="Lucida Sans"/>
          <w:szCs w:val="20"/>
        </w:rPr>
        <w:t>at the moment</w:t>
      </w:r>
      <w:proofErr w:type="gramEnd"/>
      <w:r w:rsidRPr="00373E2E">
        <w:rPr>
          <w:rFonts w:ascii="Lucida Sans" w:hAnsi="Lucida Sans"/>
          <w:szCs w:val="20"/>
        </w:rPr>
        <w:t>. The second table also mixes calculated information (RIY) with information displayed in the prospectus/fund rules.</w:t>
      </w:r>
    </w:p>
    <w:p w14:paraId="70963BF4" w14:textId="77777777" w:rsidR="00B81A1B" w:rsidRPr="00373E2E" w:rsidRDefault="00B81A1B" w:rsidP="00B81A1B">
      <w:pPr>
        <w:spacing w:before="120" w:after="120"/>
        <w:jc w:val="both"/>
        <w:rPr>
          <w:rFonts w:ascii="Lucida Sans" w:hAnsi="Lucida Sans"/>
          <w:szCs w:val="20"/>
        </w:rPr>
      </w:pPr>
      <w:r w:rsidRPr="00373E2E">
        <w:rPr>
          <w:rFonts w:ascii="Lucida Sans" w:hAnsi="Lucida Sans"/>
          <w:szCs w:val="20"/>
        </w:rPr>
        <w:t>In the interest of retail investors, the ESAs should aim at reducing the number of specific cost elements being disclosed by focusing on the most relevant figures from their viewpoint.</w:t>
      </w:r>
    </w:p>
    <w:p w14:paraId="4E86E1F2" w14:textId="77777777" w:rsidR="00B81A1B" w:rsidRPr="00373E2E" w:rsidRDefault="00B81A1B" w:rsidP="00B81A1B">
      <w:pPr>
        <w:spacing w:before="120" w:after="120"/>
        <w:jc w:val="both"/>
        <w:rPr>
          <w:rFonts w:ascii="Lucida Sans" w:hAnsi="Lucida Sans"/>
          <w:szCs w:val="20"/>
        </w:rPr>
      </w:pPr>
      <w:r w:rsidRPr="00373E2E">
        <w:rPr>
          <w:rFonts w:ascii="Lucida Sans" w:hAnsi="Lucida Sans"/>
          <w:szCs w:val="20"/>
        </w:rPr>
        <w:t>Herewith some specific comments on the different proposals.</w:t>
      </w:r>
    </w:p>
    <w:p w14:paraId="2796E6BE" w14:textId="77777777" w:rsidR="00B81A1B" w:rsidRPr="00373E2E" w:rsidRDefault="00B81A1B" w:rsidP="00B81A1B">
      <w:pPr>
        <w:spacing w:before="120" w:after="120"/>
        <w:jc w:val="both"/>
        <w:rPr>
          <w:rFonts w:ascii="Lucida Sans" w:hAnsi="Lucida Sans"/>
          <w:szCs w:val="20"/>
        </w:rPr>
      </w:pPr>
      <w:r w:rsidRPr="00373E2E">
        <w:rPr>
          <w:rFonts w:ascii="Lucida Sans" w:hAnsi="Lucida Sans"/>
          <w:szCs w:val="20"/>
        </w:rPr>
        <w:t>We disagree with the presentation in the table of cost of the return per year before and after the costs proposed across the 4 options.  The concept of disclosing a “return per year before costs” is conceptually and fundamentally flawed. This figure is pure fiction, as it requires PRIIPs manufacturers to re-include all costs into the PRIIP, resulting in a “super gross” figure (i.e. net returns without any costs) that assumes that there are no opportunity costs for investors. This would even include implicit transaction costs. This would clearly mislead retail investors into believing that returns are for free.</w:t>
      </w:r>
    </w:p>
    <w:p w14:paraId="631EDB17" w14:textId="77777777" w:rsidR="00B81A1B" w:rsidRPr="00373E2E" w:rsidRDefault="00B81A1B" w:rsidP="00B81A1B">
      <w:pPr>
        <w:spacing w:before="120" w:after="120"/>
        <w:jc w:val="both"/>
        <w:rPr>
          <w:rFonts w:ascii="Lucida Sans" w:hAnsi="Lucida Sans"/>
          <w:szCs w:val="20"/>
        </w:rPr>
      </w:pPr>
      <w:r w:rsidRPr="00373E2E">
        <w:rPr>
          <w:rFonts w:ascii="Lucida Sans" w:hAnsi="Lucida Sans"/>
          <w:szCs w:val="20"/>
        </w:rPr>
        <w:t xml:space="preserve">In addition, investor would see figures on return also in the cost section, not only in the performance scenario and in the historical performance. Thus, would include another complexity in their understanding of the figures. </w:t>
      </w:r>
    </w:p>
    <w:p w14:paraId="31C7F9EB" w14:textId="77777777" w:rsidR="00B81A1B" w:rsidRPr="00373E2E" w:rsidRDefault="00B81A1B" w:rsidP="00B81A1B">
      <w:pPr>
        <w:spacing w:before="120" w:after="120"/>
        <w:jc w:val="both"/>
        <w:rPr>
          <w:rFonts w:ascii="Lucida Sans" w:hAnsi="Lucida Sans"/>
          <w:b/>
          <w:szCs w:val="20"/>
        </w:rPr>
      </w:pPr>
      <w:r w:rsidRPr="00373E2E">
        <w:rPr>
          <w:rFonts w:ascii="Lucida Sans" w:hAnsi="Lucida Sans"/>
          <w:b/>
          <w:szCs w:val="20"/>
        </w:rPr>
        <w:t>The ‘return per year before/after costs’ disclosure therefore should be outright deleted.</w:t>
      </w:r>
    </w:p>
    <w:p w14:paraId="5FCB69D0" w14:textId="77777777" w:rsidR="00B81A1B" w:rsidRPr="00373E2E" w:rsidRDefault="00B81A1B" w:rsidP="00B81A1B">
      <w:pPr>
        <w:spacing w:before="120" w:after="120"/>
        <w:jc w:val="both"/>
        <w:rPr>
          <w:rFonts w:ascii="Lucida Sans" w:hAnsi="Lucida Sans"/>
          <w:szCs w:val="20"/>
        </w:rPr>
      </w:pPr>
      <w:r w:rsidRPr="00373E2E">
        <w:rPr>
          <w:rFonts w:ascii="Lucida Sans" w:hAnsi="Lucida Sans"/>
          <w:szCs w:val="20"/>
        </w:rPr>
        <w:t xml:space="preserve">We make specific suggestions for a simplified solution, which can be found in our response to Q40.   </w:t>
      </w:r>
    </w:p>
    <w:p w14:paraId="3B8CFC1A" w14:textId="0F32483C" w:rsidR="003E573C" w:rsidRDefault="003E573C" w:rsidP="003E573C">
      <w:pPr>
        <w:rPr>
          <w:rFonts w:cs="Arial"/>
        </w:rPr>
      </w:pP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3998F0B0" w14:textId="77777777" w:rsidR="00876461" w:rsidRPr="00373E2E" w:rsidRDefault="00876461" w:rsidP="00876461">
      <w:pPr>
        <w:spacing w:before="120" w:after="120"/>
        <w:jc w:val="both"/>
        <w:rPr>
          <w:rFonts w:ascii="Lucida Sans" w:hAnsi="Lucida Sans"/>
          <w:i/>
          <w:iCs/>
          <w:szCs w:val="20"/>
          <w:u w:val="single"/>
        </w:rPr>
      </w:pPr>
      <w:permStart w:id="1928422042" w:edGrp="everyone"/>
      <w:r w:rsidRPr="00373E2E">
        <w:rPr>
          <w:rFonts w:ascii="Lucida Sans" w:hAnsi="Lucida Sans"/>
          <w:i/>
          <w:iCs/>
          <w:szCs w:val="20"/>
          <w:u w:val="single"/>
        </w:rPr>
        <w:t>Misleading nature of the RIY presentation</w:t>
      </w:r>
    </w:p>
    <w:p w14:paraId="3B566415" w14:textId="77777777" w:rsidR="00876461" w:rsidRPr="00373E2E" w:rsidRDefault="00876461" w:rsidP="00876461">
      <w:pPr>
        <w:spacing w:before="120" w:after="120"/>
        <w:jc w:val="both"/>
        <w:rPr>
          <w:rFonts w:ascii="Lucida Sans" w:hAnsi="Lucida Sans"/>
          <w:szCs w:val="20"/>
        </w:rPr>
      </w:pPr>
      <w:r w:rsidRPr="00373E2E">
        <w:rPr>
          <w:rFonts w:ascii="Lucida Sans" w:hAnsi="Lucida Sans"/>
          <w:szCs w:val="20"/>
        </w:rPr>
        <w:t xml:space="preserve">We still believe that the concept of RIY currently used to disclose product costs to retail investors is too complex for many PRIIPs. The fact that the costs include a time horizon and a yield assumption represents a new type of theoretical disclosure that clients, especially fund investors, have not generally been familiar with. </w:t>
      </w:r>
    </w:p>
    <w:p w14:paraId="7C4A52CA" w14:textId="2DADA2DD" w:rsidR="00876461" w:rsidRPr="00373E2E" w:rsidRDefault="00876461" w:rsidP="00876461">
      <w:pPr>
        <w:spacing w:before="120" w:after="120"/>
        <w:jc w:val="both"/>
        <w:rPr>
          <w:rFonts w:ascii="Lucida Sans" w:hAnsi="Lucida Sans"/>
          <w:szCs w:val="20"/>
        </w:rPr>
      </w:pPr>
      <w:r w:rsidRPr="00373E2E">
        <w:rPr>
          <w:rFonts w:ascii="Lucida Sans" w:hAnsi="Lucida Sans"/>
          <w:szCs w:val="20"/>
        </w:rPr>
        <w:t>Also, MiFID II (and IDD) do</w:t>
      </w:r>
      <w:r w:rsidR="00047483">
        <w:rPr>
          <w:rFonts w:ascii="Lucida Sans" w:hAnsi="Lucida Sans"/>
          <w:szCs w:val="20"/>
        </w:rPr>
        <w:t>es</w:t>
      </w:r>
      <w:r w:rsidRPr="00373E2E">
        <w:rPr>
          <w:rFonts w:ascii="Lucida Sans" w:hAnsi="Lucida Sans"/>
          <w:szCs w:val="20"/>
        </w:rPr>
        <w:t xml:space="preserve"> not require the disclosure of costs in an RIY format, which leads to the unacceptable situation that a PRIIP being sold through advisory channels will lead to two different product cost disclosures being presented to the investors. The RIY concept could be dropped outright for other alternative disclosure types such as UCITS KIID style disclosures. These would have the </w:t>
      </w:r>
      <w:r w:rsidR="00047483">
        <w:rPr>
          <w:rFonts w:ascii="Lucida Sans" w:hAnsi="Lucida Sans"/>
          <w:szCs w:val="20"/>
        </w:rPr>
        <w:t>key</w:t>
      </w:r>
      <w:r w:rsidRPr="00373E2E">
        <w:rPr>
          <w:rFonts w:ascii="Lucida Sans" w:hAnsi="Lucida Sans"/>
          <w:szCs w:val="20"/>
        </w:rPr>
        <w:t xml:space="preserve"> advantage of providing cost figures </w:t>
      </w:r>
      <w:r w:rsidR="00047483">
        <w:rPr>
          <w:rFonts w:ascii="Lucida Sans" w:hAnsi="Lucida Sans"/>
          <w:szCs w:val="20"/>
        </w:rPr>
        <w:t xml:space="preserve">not based on </w:t>
      </w:r>
      <w:r w:rsidRPr="00373E2E">
        <w:rPr>
          <w:rFonts w:ascii="Lucida Sans" w:hAnsi="Lucida Sans"/>
          <w:szCs w:val="20"/>
        </w:rPr>
        <w:t>assumptions (i.e. return). This data can then be used for other purposes such as online calculators.</w:t>
      </w:r>
    </w:p>
    <w:p w14:paraId="4A57156E" w14:textId="77777777" w:rsidR="00876461" w:rsidRPr="00373E2E" w:rsidRDefault="00876461" w:rsidP="00876461">
      <w:pPr>
        <w:spacing w:before="120" w:after="120"/>
        <w:jc w:val="both"/>
        <w:rPr>
          <w:rFonts w:ascii="Lucida Sans" w:hAnsi="Lucida Sans"/>
          <w:szCs w:val="20"/>
        </w:rPr>
      </w:pPr>
      <w:r w:rsidRPr="00373E2E">
        <w:rPr>
          <w:rFonts w:ascii="Lucida Sans" w:hAnsi="Lucida Sans"/>
          <w:szCs w:val="20"/>
        </w:rPr>
        <w:t>Therefore, we propose the following two different table, that could be also combined in one cost table.</w:t>
      </w:r>
    </w:p>
    <w:p w14:paraId="09DDF528" w14:textId="77777777" w:rsidR="00876461" w:rsidRPr="00373E2E" w:rsidRDefault="00876461" w:rsidP="00876461">
      <w:pPr>
        <w:spacing w:before="120" w:after="120"/>
        <w:jc w:val="both"/>
        <w:rPr>
          <w:rFonts w:ascii="Lucida Sans" w:hAnsi="Lucida Sans"/>
          <w:szCs w:val="20"/>
        </w:rPr>
      </w:pPr>
      <w:r w:rsidRPr="00373E2E">
        <w:rPr>
          <w:rFonts w:ascii="Lucida Sans" w:hAnsi="Lucida Sans"/>
          <w:szCs w:val="20"/>
        </w:rPr>
        <w:t>In both table, costs are presented in monetary as well as percentage terms on a total cost basis and no assumption of the return is made. In other terms, the performance is assumed to offset all costs for the relevant period of calculation (meaning that the value of the investment at the end of each year is equal to the initial investment amount). In line with our response to Q36, this assumption it essential to make the crucial alignment with the MiFID ex-ante cost disclosures.</w:t>
      </w:r>
    </w:p>
    <w:p w14:paraId="2312AAFE" w14:textId="77777777" w:rsidR="00876461" w:rsidRPr="00373E2E" w:rsidRDefault="00876461" w:rsidP="00876461">
      <w:pPr>
        <w:spacing w:before="120" w:after="120"/>
        <w:jc w:val="both"/>
        <w:rPr>
          <w:rFonts w:ascii="Lucida Sans" w:hAnsi="Lucida Sans"/>
          <w:i/>
          <w:szCs w:val="20"/>
        </w:rPr>
      </w:pPr>
      <w:r w:rsidRPr="00373E2E">
        <w:rPr>
          <w:rFonts w:ascii="Lucida Sans" w:hAnsi="Lucida Sans"/>
          <w:i/>
          <w:szCs w:val="20"/>
        </w:rPr>
        <w:t>Table 1 (Changes to ESAs option 1)</w:t>
      </w:r>
    </w:p>
    <w:tbl>
      <w:tblPr>
        <w:tblW w:w="9072" w:type="dxa"/>
        <w:tblInd w:w="-10" w:type="dxa"/>
        <w:tblCellMar>
          <w:left w:w="70" w:type="dxa"/>
          <w:right w:w="70" w:type="dxa"/>
        </w:tblCellMar>
        <w:tblLook w:val="04A0" w:firstRow="1" w:lastRow="0" w:firstColumn="1" w:lastColumn="0" w:noHBand="0" w:noVBand="1"/>
      </w:tblPr>
      <w:tblGrid>
        <w:gridCol w:w="3969"/>
        <w:gridCol w:w="2268"/>
        <w:gridCol w:w="2835"/>
      </w:tblGrid>
      <w:tr w:rsidR="00876461" w:rsidRPr="00373E2E" w14:paraId="14A43CDA" w14:textId="77777777" w:rsidTr="00BF05DD">
        <w:trPr>
          <w:trHeight w:val="315"/>
        </w:trPr>
        <w:tc>
          <w:tcPr>
            <w:tcW w:w="3969" w:type="dxa"/>
            <w:tcBorders>
              <w:top w:val="single" w:sz="8" w:space="0" w:color="auto"/>
              <w:left w:val="single" w:sz="8" w:space="0" w:color="auto"/>
              <w:bottom w:val="single" w:sz="8" w:space="0" w:color="auto"/>
              <w:right w:val="nil"/>
            </w:tcBorders>
            <w:shd w:val="clear" w:color="auto" w:fill="DDD9C3" w:themeFill="background2" w:themeFillShade="E6"/>
            <w:noWrap/>
            <w:vAlign w:val="center"/>
            <w:hideMark/>
          </w:tcPr>
          <w:p w14:paraId="1E36933D" w14:textId="77777777" w:rsidR="00876461" w:rsidRPr="00373E2E" w:rsidRDefault="00876461" w:rsidP="00BF05DD">
            <w:pPr>
              <w:spacing w:before="120" w:after="120"/>
              <w:jc w:val="both"/>
              <w:rPr>
                <w:rFonts w:ascii="Lucida Sans" w:hAnsi="Lucida Sans" w:cs="Calibri"/>
                <w:b/>
                <w:bCs/>
                <w:color w:val="000000"/>
                <w:szCs w:val="20"/>
                <w:lang w:eastAsia="fr-FR"/>
              </w:rPr>
            </w:pPr>
            <w:r w:rsidRPr="00373E2E">
              <w:rPr>
                <w:rFonts w:ascii="Lucida Sans" w:hAnsi="Lucida Sans" w:cs="Calibri"/>
                <w:b/>
                <w:bCs/>
                <w:color w:val="000000"/>
                <w:szCs w:val="20"/>
                <w:lang w:eastAsia="fr-FR"/>
              </w:rPr>
              <w:t>When you invest [10.000 / 1.000 EUR per year]</w:t>
            </w:r>
          </w:p>
        </w:tc>
        <w:tc>
          <w:tcPr>
            <w:tcW w:w="2268" w:type="dxa"/>
            <w:tcBorders>
              <w:top w:val="single" w:sz="8" w:space="0" w:color="auto"/>
              <w:left w:val="nil"/>
              <w:bottom w:val="single" w:sz="8" w:space="0" w:color="auto"/>
              <w:right w:val="nil"/>
            </w:tcBorders>
            <w:shd w:val="clear" w:color="auto" w:fill="DDD9C3" w:themeFill="background2" w:themeFillShade="E6"/>
            <w:noWrap/>
            <w:vAlign w:val="center"/>
            <w:hideMark/>
          </w:tcPr>
          <w:p w14:paraId="2EBB5125" w14:textId="77777777" w:rsidR="00876461" w:rsidRPr="00373E2E" w:rsidRDefault="00876461" w:rsidP="00BF05DD">
            <w:pPr>
              <w:spacing w:before="120" w:after="120"/>
              <w:jc w:val="both"/>
              <w:rPr>
                <w:rFonts w:ascii="Lucida Sans" w:hAnsi="Lucida Sans" w:cs="Calibri"/>
                <w:b/>
                <w:bCs/>
                <w:color w:val="000000"/>
                <w:szCs w:val="20"/>
                <w:lang w:eastAsia="fr-FR"/>
              </w:rPr>
            </w:pPr>
            <w:r w:rsidRPr="00373E2E">
              <w:rPr>
                <w:rFonts w:ascii="Lucida Sans" w:hAnsi="Lucida Sans" w:cs="Calibri"/>
                <w:b/>
                <w:bCs/>
                <w:color w:val="000000"/>
                <w:szCs w:val="20"/>
                <w:lang w:eastAsia="fr-FR"/>
              </w:rPr>
              <w:t>If you end/exit/surrender/terminate/lapse/ after 1 year</w:t>
            </w:r>
          </w:p>
        </w:tc>
        <w:tc>
          <w:tcPr>
            <w:tcW w:w="2835" w:type="dxa"/>
            <w:tcBorders>
              <w:top w:val="single" w:sz="8" w:space="0" w:color="auto"/>
              <w:left w:val="nil"/>
              <w:bottom w:val="single" w:sz="8" w:space="0" w:color="auto"/>
              <w:right w:val="single" w:sz="8" w:space="0" w:color="auto"/>
            </w:tcBorders>
            <w:shd w:val="clear" w:color="auto" w:fill="DDD9C3" w:themeFill="background2" w:themeFillShade="E6"/>
            <w:noWrap/>
            <w:vAlign w:val="center"/>
            <w:hideMark/>
          </w:tcPr>
          <w:p w14:paraId="6324C4F1" w14:textId="77777777" w:rsidR="00876461" w:rsidRPr="00373E2E" w:rsidRDefault="00876461" w:rsidP="00BF05DD">
            <w:pPr>
              <w:spacing w:before="120" w:after="120"/>
              <w:jc w:val="both"/>
              <w:rPr>
                <w:rFonts w:ascii="Lucida Sans" w:hAnsi="Lucida Sans" w:cs="Calibri"/>
                <w:b/>
                <w:bCs/>
                <w:color w:val="000000"/>
                <w:szCs w:val="20"/>
                <w:lang w:eastAsia="fr-FR"/>
              </w:rPr>
            </w:pPr>
            <w:r w:rsidRPr="00373E2E">
              <w:rPr>
                <w:rFonts w:ascii="Lucida Sans" w:hAnsi="Lucida Sans" w:cs="Calibri"/>
                <w:b/>
                <w:bCs/>
                <w:color w:val="000000"/>
                <w:szCs w:val="20"/>
                <w:lang w:eastAsia="fr-FR"/>
              </w:rPr>
              <w:t>If you exit after [recommended holding period] years</w:t>
            </w:r>
          </w:p>
        </w:tc>
      </w:tr>
      <w:tr w:rsidR="00876461" w:rsidRPr="00373E2E" w14:paraId="0EBABC22" w14:textId="77777777" w:rsidTr="00BF05DD">
        <w:trPr>
          <w:trHeight w:val="300"/>
        </w:trPr>
        <w:tc>
          <w:tcPr>
            <w:tcW w:w="3969" w:type="dxa"/>
            <w:tcBorders>
              <w:top w:val="single" w:sz="8" w:space="0" w:color="auto"/>
              <w:left w:val="single" w:sz="8" w:space="0" w:color="auto"/>
              <w:right w:val="nil"/>
            </w:tcBorders>
            <w:shd w:val="clear" w:color="auto" w:fill="auto"/>
            <w:noWrap/>
            <w:vAlign w:val="center"/>
            <w:hideMark/>
          </w:tcPr>
          <w:p w14:paraId="7BBF2EDD" w14:textId="77777777" w:rsidR="00876461" w:rsidRPr="00373E2E" w:rsidRDefault="00876461" w:rsidP="00BF05DD">
            <w:pPr>
              <w:spacing w:before="120" w:after="120"/>
              <w:jc w:val="both"/>
              <w:rPr>
                <w:rFonts w:ascii="Lucida Sans" w:hAnsi="Lucida Sans" w:cs="Calibri"/>
                <w:bCs/>
                <w:color w:val="FF0000"/>
                <w:szCs w:val="20"/>
                <w:lang w:eastAsia="fr-FR"/>
              </w:rPr>
            </w:pPr>
            <w:r w:rsidRPr="00373E2E">
              <w:rPr>
                <w:rFonts w:ascii="Lucida Sans" w:hAnsi="Lucida Sans" w:cs="Calibri"/>
                <w:bCs/>
                <w:color w:val="000000"/>
                <w:szCs w:val="20"/>
                <w:lang w:eastAsia="fr-FR"/>
              </w:rPr>
              <w:t xml:space="preserve">Total costs over time per year in € </w:t>
            </w:r>
          </w:p>
        </w:tc>
        <w:tc>
          <w:tcPr>
            <w:tcW w:w="2268" w:type="dxa"/>
            <w:tcBorders>
              <w:top w:val="nil"/>
              <w:left w:val="nil"/>
              <w:right w:val="nil"/>
            </w:tcBorders>
            <w:shd w:val="clear" w:color="auto" w:fill="auto"/>
            <w:noWrap/>
            <w:vAlign w:val="center"/>
            <w:hideMark/>
          </w:tcPr>
          <w:p w14:paraId="7075D2E9" w14:textId="77777777" w:rsidR="00876461" w:rsidRPr="00373E2E" w:rsidRDefault="00876461" w:rsidP="00BF05DD">
            <w:pPr>
              <w:spacing w:before="120" w:after="120"/>
              <w:jc w:val="both"/>
              <w:rPr>
                <w:rFonts w:ascii="Lucida Sans" w:hAnsi="Lucida Sans" w:cs="Calibri"/>
                <w:color w:val="000000"/>
                <w:szCs w:val="20"/>
                <w:lang w:eastAsia="fr-FR"/>
              </w:rPr>
            </w:pPr>
            <w:r w:rsidRPr="00373E2E">
              <w:rPr>
                <w:rFonts w:ascii="Lucida Sans" w:hAnsi="Lucida Sans" w:cs="Calibri"/>
                <w:color w:val="000000"/>
                <w:szCs w:val="20"/>
                <w:lang w:eastAsia="fr-FR"/>
              </w:rPr>
              <w:t xml:space="preserve"> € </w:t>
            </w:r>
          </w:p>
        </w:tc>
        <w:tc>
          <w:tcPr>
            <w:tcW w:w="2835" w:type="dxa"/>
            <w:tcBorders>
              <w:top w:val="nil"/>
              <w:left w:val="nil"/>
              <w:right w:val="single" w:sz="8" w:space="0" w:color="auto"/>
            </w:tcBorders>
            <w:shd w:val="clear" w:color="auto" w:fill="auto"/>
            <w:noWrap/>
            <w:vAlign w:val="center"/>
            <w:hideMark/>
          </w:tcPr>
          <w:p w14:paraId="732933F2" w14:textId="77777777" w:rsidR="00876461" w:rsidRPr="00373E2E" w:rsidRDefault="00876461" w:rsidP="00BF05DD">
            <w:pPr>
              <w:spacing w:before="120" w:after="120"/>
              <w:jc w:val="both"/>
              <w:rPr>
                <w:rFonts w:ascii="Lucida Sans" w:hAnsi="Lucida Sans" w:cs="Calibri"/>
                <w:color w:val="000000"/>
                <w:szCs w:val="20"/>
                <w:lang w:eastAsia="fr-FR"/>
              </w:rPr>
            </w:pPr>
            <w:r w:rsidRPr="00373E2E">
              <w:rPr>
                <w:rFonts w:ascii="Lucida Sans" w:hAnsi="Lucida Sans" w:cs="Calibri"/>
                <w:color w:val="000000"/>
                <w:szCs w:val="20"/>
                <w:lang w:eastAsia="fr-FR"/>
              </w:rPr>
              <w:t xml:space="preserve">€ </w:t>
            </w:r>
          </w:p>
        </w:tc>
      </w:tr>
      <w:tr w:rsidR="00876461" w:rsidRPr="00373E2E" w14:paraId="66F14297" w14:textId="77777777" w:rsidTr="00BF05DD">
        <w:trPr>
          <w:trHeight w:val="300"/>
        </w:trPr>
        <w:tc>
          <w:tcPr>
            <w:tcW w:w="3969" w:type="dxa"/>
            <w:tcBorders>
              <w:top w:val="nil"/>
              <w:left w:val="single" w:sz="8" w:space="0" w:color="auto"/>
              <w:bottom w:val="single" w:sz="4" w:space="0" w:color="auto"/>
              <w:right w:val="nil"/>
            </w:tcBorders>
            <w:shd w:val="clear" w:color="auto" w:fill="auto"/>
            <w:noWrap/>
            <w:vAlign w:val="center"/>
            <w:hideMark/>
          </w:tcPr>
          <w:p w14:paraId="2CD02983" w14:textId="77777777" w:rsidR="00876461" w:rsidRPr="00373E2E" w:rsidRDefault="00876461" w:rsidP="00BF05DD">
            <w:pPr>
              <w:spacing w:before="120" w:after="120"/>
              <w:jc w:val="both"/>
              <w:rPr>
                <w:rFonts w:ascii="Lucida Sans" w:hAnsi="Lucida Sans" w:cs="Calibri"/>
                <w:color w:val="000000"/>
                <w:szCs w:val="20"/>
                <w:lang w:eastAsia="fr-FR"/>
              </w:rPr>
            </w:pPr>
            <w:r w:rsidRPr="00373E2E">
              <w:rPr>
                <w:rFonts w:ascii="Lucida Sans" w:hAnsi="Lucida Sans" w:cs="Calibri"/>
                <w:color w:val="000000"/>
                <w:szCs w:val="20"/>
                <w:lang w:eastAsia="fr-FR"/>
              </w:rPr>
              <w:lastRenderedPageBreak/>
              <w:t xml:space="preserve">Total costs over time per year in % </w:t>
            </w:r>
          </w:p>
        </w:tc>
        <w:tc>
          <w:tcPr>
            <w:tcW w:w="2268" w:type="dxa"/>
            <w:tcBorders>
              <w:top w:val="nil"/>
              <w:left w:val="nil"/>
              <w:bottom w:val="single" w:sz="4" w:space="0" w:color="auto"/>
              <w:right w:val="nil"/>
            </w:tcBorders>
            <w:shd w:val="clear" w:color="auto" w:fill="auto"/>
            <w:noWrap/>
            <w:vAlign w:val="center"/>
            <w:hideMark/>
          </w:tcPr>
          <w:p w14:paraId="48D5532B" w14:textId="77777777" w:rsidR="00876461" w:rsidRPr="00373E2E" w:rsidRDefault="00876461" w:rsidP="00BF05DD">
            <w:pPr>
              <w:spacing w:before="120" w:after="120"/>
              <w:jc w:val="both"/>
              <w:rPr>
                <w:rFonts w:ascii="Lucida Sans" w:hAnsi="Lucida Sans" w:cs="Calibri"/>
                <w:color w:val="000000"/>
                <w:szCs w:val="20"/>
                <w:lang w:eastAsia="fr-FR"/>
              </w:rPr>
            </w:pPr>
            <w:r w:rsidRPr="00373E2E">
              <w:rPr>
                <w:rFonts w:ascii="Lucida Sans" w:hAnsi="Lucida Sans" w:cs="Calibri"/>
                <w:color w:val="000000"/>
                <w:szCs w:val="20"/>
                <w:lang w:eastAsia="fr-FR"/>
              </w:rPr>
              <w:t>%</w:t>
            </w:r>
          </w:p>
        </w:tc>
        <w:tc>
          <w:tcPr>
            <w:tcW w:w="2835" w:type="dxa"/>
            <w:tcBorders>
              <w:top w:val="nil"/>
              <w:left w:val="nil"/>
              <w:bottom w:val="single" w:sz="4" w:space="0" w:color="auto"/>
              <w:right w:val="single" w:sz="8" w:space="0" w:color="auto"/>
            </w:tcBorders>
            <w:shd w:val="clear" w:color="auto" w:fill="auto"/>
            <w:noWrap/>
            <w:vAlign w:val="center"/>
            <w:hideMark/>
          </w:tcPr>
          <w:p w14:paraId="3AE46486" w14:textId="77777777" w:rsidR="00876461" w:rsidRPr="00373E2E" w:rsidRDefault="00876461" w:rsidP="00BF05DD">
            <w:pPr>
              <w:spacing w:before="120" w:after="120"/>
              <w:jc w:val="both"/>
              <w:rPr>
                <w:rFonts w:ascii="Lucida Sans" w:hAnsi="Lucida Sans" w:cs="Calibri"/>
                <w:color w:val="000000"/>
                <w:szCs w:val="20"/>
                <w:lang w:eastAsia="fr-FR"/>
              </w:rPr>
            </w:pPr>
            <w:r w:rsidRPr="00373E2E">
              <w:rPr>
                <w:rFonts w:ascii="Lucida Sans" w:hAnsi="Lucida Sans" w:cs="Calibri"/>
                <w:color w:val="000000"/>
                <w:szCs w:val="20"/>
                <w:lang w:eastAsia="fr-FR"/>
              </w:rPr>
              <w:t>%</w:t>
            </w:r>
          </w:p>
        </w:tc>
      </w:tr>
    </w:tbl>
    <w:p w14:paraId="509499DC" w14:textId="77777777" w:rsidR="00876461" w:rsidRPr="00373E2E" w:rsidRDefault="00876461" w:rsidP="00876461">
      <w:pPr>
        <w:spacing w:before="120" w:after="120"/>
        <w:jc w:val="both"/>
        <w:rPr>
          <w:rFonts w:ascii="Lucida Sans" w:hAnsi="Lucida Sans"/>
          <w:szCs w:val="20"/>
        </w:rPr>
      </w:pPr>
    </w:p>
    <w:p w14:paraId="6FDF6230" w14:textId="77777777" w:rsidR="00876461" w:rsidRPr="00373E2E" w:rsidRDefault="00876461" w:rsidP="00876461">
      <w:pPr>
        <w:spacing w:before="120" w:after="120"/>
        <w:jc w:val="both"/>
        <w:rPr>
          <w:rFonts w:ascii="Lucida Sans" w:hAnsi="Lucida Sans"/>
          <w:i/>
          <w:iCs/>
          <w:szCs w:val="20"/>
          <w:u w:val="single"/>
        </w:rPr>
      </w:pPr>
      <w:r w:rsidRPr="00373E2E">
        <w:rPr>
          <w:rFonts w:ascii="Lucida Sans" w:hAnsi="Lucida Sans"/>
          <w:i/>
          <w:iCs/>
          <w:szCs w:val="20"/>
          <w:u w:val="single"/>
        </w:rPr>
        <w:t>Table 2 (</w:t>
      </w:r>
      <w:r w:rsidRPr="00373E2E">
        <w:rPr>
          <w:rFonts w:ascii="Lucida Sans" w:hAnsi="Lucida Sans"/>
          <w:i/>
          <w:szCs w:val="20"/>
        </w:rPr>
        <w:t xml:space="preserve">Changes to </w:t>
      </w:r>
      <w:r w:rsidRPr="00373E2E">
        <w:rPr>
          <w:rFonts w:ascii="Lucida Sans" w:hAnsi="Lucida Sans"/>
          <w:i/>
          <w:iCs/>
          <w:szCs w:val="20"/>
        </w:rPr>
        <w:t>ESAs option 2)</w:t>
      </w:r>
    </w:p>
    <w:tbl>
      <w:tblPr>
        <w:tblStyle w:val="Grigliatabella"/>
        <w:tblW w:w="0" w:type="auto"/>
        <w:tblLook w:val="04A0" w:firstRow="1" w:lastRow="0" w:firstColumn="1" w:lastColumn="0" w:noHBand="0" w:noVBand="1"/>
      </w:tblPr>
      <w:tblGrid>
        <w:gridCol w:w="1226"/>
        <w:gridCol w:w="1607"/>
        <w:gridCol w:w="3917"/>
        <w:gridCol w:w="2878"/>
      </w:tblGrid>
      <w:tr w:rsidR="00876461" w:rsidRPr="00373E2E" w14:paraId="33E2C148" w14:textId="77777777" w:rsidTr="00BF05DD">
        <w:tc>
          <w:tcPr>
            <w:tcW w:w="2833" w:type="dxa"/>
            <w:gridSpan w:val="2"/>
            <w:shd w:val="clear" w:color="auto" w:fill="DDD9C3" w:themeFill="background2" w:themeFillShade="E6"/>
            <w:vAlign w:val="center"/>
          </w:tcPr>
          <w:p w14:paraId="67C6C066" w14:textId="77777777" w:rsidR="00876461" w:rsidRPr="00373E2E" w:rsidRDefault="00876461" w:rsidP="00BF05DD">
            <w:pPr>
              <w:spacing w:before="120" w:after="120"/>
              <w:jc w:val="both"/>
              <w:rPr>
                <w:rFonts w:ascii="Lucida Sans" w:hAnsi="Lucida Sans"/>
                <w:b/>
                <w:bCs/>
                <w:szCs w:val="20"/>
              </w:rPr>
            </w:pPr>
            <w:r w:rsidRPr="00373E2E">
              <w:rPr>
                <w:rFonts w:ascii="Lucida Sans" w:hAnsi="Lucida Sans"/>
                <w:b/>
                <w:bCs/>
                <w:szCs w:val="20"/>
              </w:rPr>
              <w:t>Type of costs</w:t>
            </w:r>
          </w:p>
        </w:tc>
        <w:tc>
          <w:tcPr>
            <w:tcW w:w="3917" w:type="dxa"/>
            <w:shd w:val="clear" w:color="auto" w:fill="DDD9C3" w:themeFill="background2" w:themeFillShade="E6"/>
            <w:vAlign w:val="center"/>
          </w:tcPr>
          <w:p w14:paraId="4ECFF7B9" w14:textId="77777777" w:rsidR="00876461" w:rsidRPr="00373E2E" w:rsidRDefault="00876461" w:rsidP="00BF05DD">
            <w:pPr>
              <w:spacing w:before="120" w:after="120"/>
              <w:jc w:val="both"/>
              <w:rPr>
                <w:rFonts w:ascii="Lucida Sans" w:hAnsi="Lucida Sans"/>
                <w:b/>
                <w:bCs/>
                <w:szCs w:val="20"/>
              </w:rPr>
            </w:pPr>
            <w:r w:rsidRPr="00373E2E">
              <w:rPr>
                <w:rFonts w:ascii="Lucida Sans" w:hAnsi="Lucida Sans"/>
                <w:b/>
                <w:bCs/>
                <w:szCs w:val="20"/>
              </w:rPr>
              <w:t>Description of costs</w:t>
            </w:r>
          </w:p>
        </w:tc>
        <w:tc>
          <w:tcPr>
            <w:tcW w:w="2878" w:type="dxa"/>
            <w:shd w:val="clear" w:color="auto" w:fill="DDD9C3" w:themeFill="background2" w:themeFillShade="E6"/>
          </w:tcPr>
          <w:p w14:paraId="1B5F58EA" w14:textId="77777777" w:rsidR="00876461" w:rsidRPr="00373E2E" w:rsidRDefault="00876461" w:rsidP="00BF05DD">
            <w:pPr>
              <w:spacing w:before="120" w:after="120"/>
              <w:jc w:val="both"/>
              <w:rPr>
                <w:rFonts w:ascii="Lucida Sans" w:hAnsi="Lucida Sans"/>
                <w:b/>
                <w:bCs/>
                <w:szCs w:val="20"/>
              </w:rPr>
            </w:pPr>
            <w:r w:rsidRPr="00373E2E">
              <w:rPr>
                <w:rFonts w:ascii="Lucida Sans" w:hAnsi="Lucida Sans"/>
                <w:b/>
                <w:bCs/>
                <w:szCs w:val="20"/>
              </w:rPr>
              <w:t>Example</w:t>
            </w:r>
          </w:p>
        </w:tc>
      </w:tr>
      <w:tr w:rsidR="00876461" w:rsidRPr="00373E2E" w14:paraId="3FA90FD2" w14:textId="77777777" w:rsidTr="00BF05DD">
        <w:trPr>
          <w:trHeight w:val="640"/>
        </w:trPr>
        <w:tc>
          <w:tcPr>
            <w:tcW w:w="1226" w:type="dxa"/>
            <w:vMerge w:val="restart"/>
          </w:tcPr>
          <w:p w14:paraId="1D1DAA72" w14:textId="77777777" w:rsidR="00876461" w:rsidRPr="00373E2E" w:rsidRDefault="00876461" w:rsidP="00BF05DD">
            <w:pPr>
              <w:spacing w:before="120" w:after="120"/>
              <w:jc w:val="both"/>
              <w:rPr>
                <w:rFonts w:ascii="Lucida Sans" w:hAnsi="Lucida Sans"/>
                <w:b/>
                <w:bCs/>
                <w:i/>
                <w:iCs/>
                <w:szCs w:val="20"/>
              </w:rPr>
            </w:pPr>
            <w:r w:rsidRPr="00373E2E">
              <w:rPr>
                <w:rFonts w:ascii="Lucida Sans" w:hAnsi="Lucida Sans"/>
                <w:b/>
                <w:bCs/>
                <w:i/>
                <w:iCs/>
                <w:szCs w:val="20"/>
              </w:rPr>
              <w:t>One-off costs</w:t>
            </w:r>
          </w:p>
        </w:tc>
        <w:tc>
          <w:tcPr>
            <w:tcW w:w="1607" w:type="dxa"/>
          </w:tcPr>
          <w:p w14:paraId="16208F3D" w14:textId="77777777" w:rsidR="00876461" w:rsidRPr="00373E2E" w:rsidRDefault="00876461" w:rsidP="00BF05DD">
            <w:pPr>
              <w:spacing w:before="120" w:after="120"/>
              <w:jc w:val="both"/>
              <w:rPr>
                <w:rFonts w:ascii="Lucida Sans" w:hAnsi="Lucida Sans"/>
                <w:b/>
                <w:bCs/>
                <w:i/>
                <w:iCs/>
                <w:szCs w:val="20"/>
              </w:rPr>
            </w:pPr>
            <w:r w:rsidRPr="00373E2E">
              <w:rPr>
                <w:rFonts w:ascii="Lucida Sans" w:hAnsi="Lucida Sans"/>
                <w:b/>
                <w:bCs/>
                <w:i/>
                <w:iCs/>
                <w:szCs w:val="20"/>
              </w:rPr>
              <w:t>Entry costs</w:t>
            </w:r>
          </w:p>
        </w:tc>
        <w:tc>
          <w:tcPr>
            <w:tcW w:w="3917" w:type="dxa"/>
          </w:tcPr>
          <w:tbl>
            <w:tblPr>
              <w:tblW w:w="0" w:type="auto"/>
              <w:tblBorders>
                <w:top w:val="nil"/>
                <w:left w:val="nil"/>
                <w:bottom w:val="nil"/>
                <w:right w:val="nil"/>
              </w:tblBorders>
              <w:tblLook w:val="0000" w:firstRow="0" w:lastRow="0" w:firstColumn="0" w:lastColumn="0" w:noHBand="0" w:noVBand="0"/>
            </w:tblPr>
            <w:tblGrid>
              <w:gridCol w:w="3701"/>
            </w:tblGrid>
            <w:tr w:rsidR="00876461" w:rsidRPr="00373E2E" w14:paraId="33A8D2E4" w14:textId="77777777" w:rsidTr="00BF05DD">
              <w:trPr>
                <w:trHeight w:val="494"/>
              </w:trPr>
              <w:tc>
                <w:tcPr>
                  <w:tcW w:w="0" w:type="auto"/>
                </w:tcPr>
                <w:p w14:paraId="7A23D6FF" w14:textId="77777777" w:rsidR="00876461" w:rsidRPr="00373E2E" w:rsidRDefault="00876461" w:rsidP="00BF05DD">
                  <w:pPr>
                    <w:spacing w:before="120" w:after="120"/>
                    <w:contextualSpacing/>
                    <w:jc w:val="both"/>
                    <w:rPr>
                      <w:rFonts w:ascii="Lucida Sans" w:hAnsi="Lucida Sans"/>
                      <w:szCs w:val="20"/>
                    </w:rPr>
                  </w:pPr>
                  <w:r w:rsidRPr="00373E2E">
                    <w:rPr>
                      <w:rFonts w:ascii="Lucida Sans" w:hAnsi="Lucida Sans"/>
                      <w:b/>
                      <w:bCs/>
                      <w:szCs w:val="20"/>
                    </w:rPr>
                    <w:t xml:space="preserve">[X% of the amount invested / premium paid] or [x% of the first Y premiums / investments] </w:t>
                  </w:r>
                </w:p>
                <w:p w14:paraId="4BFBEB8C" w14:textId="77777777" w:rsidR="00876461" w:rsidRPr="00373E2E" w:rsidRDefault="00876461" w:rsidP="00BF05DD">
                  <w:pPr>
                    <w:spacing w:before="120" w:after="120"/>
                    <w:contextualSpacing/>
                    <w:jc w:val="both"/>
                    <w:rPr>
                      <w:rFonts w:ascii="Lucida Sans" w:hAnsi="Lucida Sans"/>
                      <w:szCs w:val="20"/>
                    </w:rPr>
                  </w:pPr>
                  <w:r w:rsidRPr="00373E2E">
                    <w:rPr>
                      <w:rFonts w:ascii="Lucida Sans" w:hAnsi="Lucida Sans"/>
                      <w:i/>
                      <w:iCs/>
                      <w:szCs w:val="20"/>
                    </w:rPr>
                    <w:t xml:space="preserve">Where the costs are embedded in the price or premium: </w:t>
                  </w:r>
                </w:p>
                <w:p w14:paraId="1A883DE4" w14:textId="77777777" w:rsidR="00876461" w:rsidRPr="00373E2E" w:rsidRDefault="00876461" w:rsidP="00BF05DD">
                  <w:pPr>
                    <w:spacing w:before="120" w:after="120"/>
                    <w:contextualSpacing/>
                    <w:jc w:val="both"/>
                    <w:rPr>
                      <w:rFonts w:ascii="Lucida Sans" w:hAnsi="Lucida Sans"/>
                      <w:szCs w:val="20"/>
                    </w:rPr>
                  </w:pPr>
                  <w:r w:rsidRPr="00373E2E">
                    <w:rPr>
                      <w:rFonts w:ascii="Lucida Sans" w:hAnsi="Lucida Sans"/>
                      <w:b/>
                      <w:bCs/>
                      <w:szCs w:val="20"/>
                    </w:rPr>
                    <w:t xml:space="preserve">These costs are already included in the [price / premium] you pay. </w:t>
                  </w:r>
                </w:p>
                <w:p w14:paraId="77BB1A1C" w14:textId="77777777" w:rsidR="00876461" w:rsidRPr="00373E2E" w:rsidRDefault="00876461" w:rsidP="00BF05DD">
                  <w:pPr>
                    <w:spacing w:before="120" w:after="120"/>
                    <w:contextualSpacing/>
                    <w:jc w:val="both"/>
                    <w:rPr>
                      <w:rFonts w:ascii="Lucida Sans" w:hAnsi="Lucida Sans"/>
                      <w:b/>
                      <w:i/>
                      <w:iCs/>
                      <w:strike/>
                      <w:color w:val="FF0000"/>
                      <w:szCs w:val="20"/>
                    </w:rPr>
                  </w:pPr>
                  <w:r w:rsidRPr="00373E2E">
                    <w:rPr>
                      <w:rFonts w:ascii="Lucida Sans" w:hAnsi="Lucida Sans"/>
                      <w:i/>
                      <w:iCs/>
                      <w:szCs w:val="20"/>
                    </w:rPr>
                    <w:t xml:space="preserve">[Where distribution costs are included in entry costs] This includes [monetary value] EUR costs of distribution of your product. </w:t>
                  </w:r>
                  <w:r w:rsidRPr="00373E2E">
                    <w:rPr>
                      <w:rFonts w:ascii="Lucida Sans" w:hAnsi="Lucida Sans"/>
                      <w:i/>
                      <w:iCs/>
                      <w:strike/>
                      <w:color w:val="FF0000"/>
                      <w:szCs w:val="20"/>
                    </w:rPr>
                    <w:t>[Where the manufacturer only knows the maximum distribution cost]</w:t>
                  </w:r>
                  <w:r w:rsidRPr="00373E2E">
                    <w:rPr>
                      <w:rFonts w:ascii="Lucida Sans" w:hAnsi="Lucida Sans"/>
                      <w:i/>
                      <w:iCs/>
                      <w:color w:val="FF0000"/>
                      <w:szCs w:val="20"/>
                    </w:rPr>
                    <w:t xml:space="preserve"> </w:t>
                  </w:r>
                  <w:r w:rsidRPr="00373E2E">
                    <w:rPr>
                      <w:rFonts w:ascii="Lucida Sans" w:hAnsi="Lucida Sans"/>
                      <w:b/>
                      <w:bCs/>
                      <w:strike/>
                      <w:color w:val="FF0000"/>
                      <w:szCs w:val="20"/>
                    </w:rPr>
                    <w:t>This is the maximum you could pay. The person selling you the product will inform you of the exact charge.</w:t>
                  </w:r>
                  <w:r w:rsidRPr="00373E2E">
                    <w:rPr>
                      <w:rFonts w:ascii="Lucida Sans" w:hAnsi="Lucida Sans"/>
                      <w:b/>
                      <w:i/>
                      <w:iCs/>
                      <w:strike/>
                      <w:color w:val="FF0000"/>
                      <w:szCs w:val="20"/>
                    </w:rPr>
                    <w:t xml:space="preserve"> </w:t>
                  </w:r>
                </w:p>
                <w:p w14:paraId="5FE58C8C" w14:textId="77777777" w:rsidR="00876461" w:rsidRPr="00373E2E" w:rsidRDefault="00876461" w:rsidP="00BF05DD">
                  <w:pPr>
                    <w:spacing w:before="120" w:after="120"/>
                    <w:contextualSpacing/>
                    <w:jc w:val="both"/>
                    <w:rPr>
                      <w:rFonts w:ascii="Lucida Sans" w:hAnsi="Lucida Sans"/>
                      <w:b/>
                      <w:bCs/>
                      <w:szCs w:val="20"/>
                    </w:rPr>
                  </w:pPr>
                  <w:r w:rsidRPr="00373E2E">
                    <w:rPr>
                      <w:rFonts w:ascii="Lucida Sans" w:hAnsi="Lucida Sans"/>
                      <w:b/>
                      <w:i/>
                      <w:iCs/>
                      <w:color w:val="FF0000"/>
                      <w:szCs w:val="20"/>
                    </w:rPr>
                    <w:t>[Where distribution costs are not included in the entry costs]</w:t>
                  </w:r>
                  <w:r w:rsidRPr="00373E2E">
                    <w:rPr>
                      <w:rFonts w:ascii="Lucida Sans" w:hAnsi="Lucida Sans"/>
                      <w:i/>
                      <w:iCs/>
                      <w:szCs w:val="20"/>
                    </w:rPr>
                    <w:t xml:space="preserve">. </w:t>
                  </w:r>
                </w:p>
                <w:p w14:paraId="044DB1C0" w14:textId="77777777" w:rsidR="00876461" w:rsidRPr="00373E2E" w:rsidRDefault="00876461" w:rsidP="00BF05DD">
                  <w:pPr>
                    <w:spacing w:before="120" w:after="120"/>
                    <w:contextualSpacing/>
                    <w:jc w:val="both"/>
                    <w:rPr>
                      <w:rFonts w:ascii="Lucida Sans" w:hAnsi="Lucida Sans"/>
                      <w:szCs w:val="20"/>
                    </w:rPr>
                  </w:pPr>
                  <w:r w:rsidRPr="00373E2E">
                    <w:rPr>
                      <w:rFonts w:ascii="Lucida Sans" w:hAnsi="Lucida Sans"/>
                      <w:b/>
                      <w:bCs/>
                      <w:color w:val="FF0000"/>
                      <w:szCs w:val="20"/>
                    </w:rPr>
                    <w:t xml:space="preserve">The person selling or advising you may require you an additional entry fee up to a level of y% of the amount invested. </w:t>
                  </w:r>
                </w:p>
              </w:tc>
            </w:tr>
          </w:tbl>
          <w:p w14:paraId="6EAF3AE2" w14:textId="77777777" w:rsidR="00876461" w:rsidRPr="00373E2E" w:rsidRDefault="00876461" w:rsidP="00BF05DD">
            <w:pPr>
              <w:spacing w:before="120" w:after="120"/>
              <w:jc w:val="both"/>
              <w:rPr>
                <w:rFonts w:ascii="Lucida Sans" w:hAnsi="Lucida Sans"/>
                <w:szCs w:val="20"/>
              </w:rPr>
            </w:pPr>
          </w:p>
        </w:tc>
        <w:tc>
          <w:tcPr>
            <w:tcW w:w="2878" w:type="dxa"/>
          </w:tcPr>
          <w:p w14:paraId="5372E9EF" w14:textId="77777777" w:rsidR="00876461" w:rsidRPr="00373E2E" w:rsidRDefault="00876461" w:rsidP="00BF05DD">
            <w:pPr>
              <w:spacing w:before="120" w:after="120"/>
              <w:contextualSpacing/>
              <w:jc w:val="both"/>
              <w:rPr>
                <w:rFonts w:ascii="Lucida Sans" w:hAnsi="Lucida Sans"/>
                <w:bCs/>
                <w:szCs w:val="20"/>
              </w:rPr>
            </w:pPr>
            <w:r w:rsidRPr="00373E2E">
              <w:rPr>
                <w:rFonts w:ascii="Lucida Sans" w:hAnsi="Lucida Sans"/>
                <w:bCs/>
                <w:szCs w:val="20"/>
              </w:rPr>
              <w:t>0%</w:t>
            </w:r>
            <w:r w:rsidRPr="00373E2E">
              <w:rPr>
                <w:rFonts w:ascii="Lucida Sans" w:hAnsi="Lucida Sans"/>
                <w:szCs w:val="20"/>
              </w:rPr>
              <w:t xml:space="preserve"> of the amount invested</w:t>
            </w:r>
            <w:r w:rsidRPr="00373E2E">
              <w:rPr>
                <w:rFonts w:ascii="Lucida Sans" w:hAnsi="Lucida Sans"/>
                <w:bCs/>
                <w:szCs w:val="20"/>
              </w:rPr>
              <w:t xml:space="preserve"> is kept/embedded in the fund.</w:t>
            </w:r>
            <w:r w:rsidRPr="00373E2E">
              <w:rPr>
                <w:rFonts w:ascii="Lucida Sans" w:hAnsi="Lucida Sans"/>
                <w:szCs w:val="20"/>
              </w:rPr>
              <w:t xml:space="preserve"> </w:t>
            </w:r>
          </w:p>
          <w:p w14:paraId="7A855D26" w14:textId="77777777" w:rsidR="00876461" w:rsidRPr="00373E2E" w:rsidRDefault="00876461" w:rsidP="00BF05DD">
            <w:pPr>
              <w:spacing w:before="120" w:after="120"/>
              <w:contextualSpacing/>
              <w:jc w:val="both"/>
              <w:rPr>
                <w:rFonts w:ascii="Lucida Sans" w:hAnsi="Lucida Sans"/>
                <w:bCs/>
                <w:szCs w:val="20"/>
              </w:rPr>
            </w:pPr>
            <w:r w:rsidRPr="00373E2E">
              <w:rPr>
                <w:rFonts w:ascii="Lucida Sans" w:hAnsi="Lucida Sans"/>
                <w:bCs/>
                <w:szCs w:val="20"/>
              </w:rPr>
              <w:t xml:space="preserve">The person selling or advising you the product may require </w:t>
            </w:r>
            <w:proofErr w:type="gramStart"/>
            <w:r w:rsidRPr="00373E2E">
              <w:rPr>
                <w:rFonts w:ascii="Lucida Sans" w:hAnsi="Lucida Sans"/>
                <w:bCs/>
                <w:szCs w:val="20"/>
              </w:rPr>
              <w:t>you</w:t>
            </w:r>
            <w:proofErr w:type="gramEnd"/>
            <w:r w:rsidRPr="00373E2E">
              <w:rPr>
                <w:rFonts w:ascii="Lucida Sans" w:hAnsi="Lucida Sans"/>
                <w:bCs/>
                <w:szCs w:val="20"/>
              </w:rPr>
              <w:t xml:space="preserve"> additional fees up to a level </w:t>
            </w:r>
            <w:r w:rsidRPr="00373E2E">
              <w:rPr>
                <w:rFonts w:ascii="Lucida Sans" w:hAnsi="Lucida Sans"/>
                <w:b/>
                <w:bCs/>
                <w:szCs w:val="20"/>
              </w:rPr>
              <w:t>of 5%</w:t>
            </w:r>
            <w:r w:rsidRPr="00373E2E">
              <w:rPr>
                <w:rFonts w:ascii="Lucida Sans" w:hAnsi="Lucida Sans"/>
                <w:bCs/>
                <w:szCs w:val="20"/>
              </w:rPr>
              <w:t xml:space="preserve"> of the amount invested.</w:t>
            </w:r>
          </w:p>
          <w:p w14:paraId="69536726" w14:textId="77777777" w:rsidR="00876461" w:rsidRPr="00373E2E" w:rsidRDefault="00876461" w:rsidP="00BF05DD">
            <w:pPr>
              <w:spacing w:before="120" w:after="120"/>
              <w:contextualSpacing/>
              <w:jc w:val="both"/>
              <w:rPr>
                <w:rFonts w:ascii="Lucida Sans" w:hAnsi="Lucida Sans"/>
                <w:b/>
                <w:bCs/>
                <w:szCs w:val="20"/>
              </w:rPr>
            </w:pPr>
          </w:p>
        </w:tc>
      </w:tr>
      <w:tr w:rsidR="00876461" w:rsidRPr="00373E2E" w14:paraId="55A991B1" w14:textId="77777777" w:rsidTr="00BF05DD">
        <w:tc>
          <w:tcPr>
            <w:tcW w:w="1226" w:type="dxa"/>
            <w:vMerge/>
          </w:tcPr>
          <w:p w14:paraId="53D0BE29" w14:textId="77777777" w:rsidR="00876461" w:rsidRPr="00373E2E" w:rsidRDefault="00876461" w:rsidP="00BF05DD">
            <w:pPr>
              <w:spacing w:before="120" w:after="120"/>
              <w:jc w:val="both"/>
              <w:rPr>
                <w:rFonts w:ascii="Lucida Sans" w:hAnsi="Lucida Sans"/>
                <w:b/>
                <w:bCs/>
                <w:i/>
                <w:iCs/>
                <w:szCs w:val="20"/>
              </w:rPr>
            </w:pPr>
          </w:p>
        </w:tc>
        <w:tc>
          <w:tcPr>
            <w:tcW w:w="1607" w:type="dxa"/>
          </w:tcPr>
          <w:p w14:paraId="0A1C00B1" w14:textId="77777777" w:rsidR="00876461" w:rsidRPr="00373E2E" w:rsidRDefault="00876461" w:rsidP="00BF05DD">
            <w:pPr>
              <w:spacing w:before="120" w:after="120"/>
              <w:jc w:val="both"/>
              <w:rPr>
                <w:rFonts w:ascii="Lucida Sans" w:hAnsi="Lucida Sans"/>
                <w:b/>
                <w:bCs/>
                <w:i/>
                <w:iCs/>
                <w:szCs w:val="20"/>
              </w:rPr>
            </w:pPr>
            <w:r w:rsidRPr="00373E2E">
              <w:rPr>
                <w:rFonts w:ascii="Lucida Sans" w:hAnsi="Lucida Sans"/>
                <w:b/>
                <w:bCs/>
                <w:i/>
                <w:iCs/>
                <w:szCs w:val="20"/>
              </w:rPr>
              <w:t>Exit costs</w:t>
            </w:r>
          </w:p>
        </w:tc>
        <w:tc>
          <w:tcPr>
            <w:tcW w:w="3917" w:type="dxa"/>
          </w:tcPr>
          <w:p w14:paraId="6F5338F3" w14:textId="77777777" w:rsidR="00876461" w:rsidRPr="00373E2E" w:rsidRDefault="00876461" w:rsidP="00BF05DD">
            <w:pPr>
              <w:spacing w:before="120" w:after="120"/>
              <w:ind w:left="136"/>
              <w:contextualSpacing/>
              <w:jc w:val="both"/>
              <w:rPr>
                <w:rFonts w:ascii="Lucida Sans" w:hAnsi="Lucida Sans"/>
                <w:b/>
                <w:bCs/>
                <w:szCs w:val="20"/>
              </w:rPr>
            </w:pPr>
            <w:r w:rsidRPr="00373E2E">
              <w:rPr>
                <w:rFonts w:ascii="Lucida Sans" w:hAnsi="Lucida Sans"/>
                <w:b/>
                <w:bCs/>
                <w:szCs w:val="20"/>
              </w:rPr>
              <w:t xml:space="preserve">X% of the value of your investment at that time. </w:t>
            </w:r>
          </w:p>
          <w:p w14:paraId="66BCBA63" w14:textId="77777777" w:rsidR="00876461" w:rsidRPr="00373E2E" w:rsidRDefault="00876461" w:rsidP="00BF05DD">
            <w:pPr>
              <w:spacing w:before="120" w:after="120"/>
              <w:ind w:left="136"/>
              <w:contextualSpacing/>
              <w:jc w:val="both"/>
              <w:rPr>
                <w:rFonts w:ascii="Lucida Sans" w:hAnsi="Lucida Sans"/>
                <w:i/>
                <w:iCs/>
                <w:szCs w:val="20"/>
              </w:rPr>
            </w:pPr>
            <w:r w:rsidRPr="00373E2E">
              <w:rPr>
                <w:rFonts w:ascii="Lucida Sans" w:hAnsi="Lucida Sans"/>
                <w:i/>
                <w:iCs/>
                <w:szCs w:val="20"/>
              </w:rPr>
              <w:t xml:space="preserve">Where the costs are embedded in the price: </w:t>
            </w:r>
          </w:p>
          <w:p w14:paraId="71474865" w14:textId="77777777" w:rsidR="00876461" w:rsidRPr="00373E2E" w:rsidRDefault="00876461" w:rsidP="00BF05DD">
            <w:pPr>
              <w:spacing w:before="120" w:after="120"/>
              <w:ind w:left="136"/>
              <w:contextualSpacing/>
              <w:jc w:val="both"/>
              <w:rPr>
                <w:rFonts w:ascii="Lucida Sans" w:hAnsi="Lucida Sans"/>
                <w:szCs w:val="20"/>
              </w:rPr>
            </w:pPr>
            <w:r w:rsidRPr="00373E2E">
              <w:rPr>
                <w:rFonts w:ascii="Lucida Sans" w:hAnsi="Lucida Sans"/>
                <w:szCs w:val="20"/>
              </w:rPr>
              <w:t xml:space="preserve">These costs will be included in the price you get. </w:t>
            </w:r>
          </w:p>
          <w:p w14:paraId="56B14220" w14:textId="77777777" w:rsidR="00876461" w:rsidRPr="00373E2E" w:rsidRDefault="00876461" w:rsidP="00BF05DD">
            <w:pPr>
              <w:spacing w:before="120" w:after="120"/>
              <w:ind w:left="136"/>
              <w:contextualSpacing/>
              <w:jc w:val="both"/>
              <w:rPr>
                <w:rFonts w:ascii="Lucida Sans" w:hAnsi="Lucida Sans"/>
                <w:i/>
                <w:iCs/>
                <w:szCs w:val="20"/>
              </w:rPr>
            </w:pPr>
            <w:r w:rsidRPr="00373E2E">
              <w:rPr>
                <w:rFonts w:ascii="Lucida Sans" w:hAnsi="Lucida Sans"/>
                <w:i/>
                <w:iCs/>
                <w:szCs w:val="20"/>
              </w:rPr>
              <w:t xml:space="preserve">Where they apply only for disinvestment prior to the recommended holding period. </w:t>
            </w:r>
          </w:p>
          <w:p w14:paraId="6942B424" w14:textId="77777777" w:rsidR="00876461" w:rsidRPr="00373E2E" w:rsidRDefault="00876461" w:rsidP="00BF05DD">
            <w:pPr>
              <w:spacing w:before="120" w:after="120"/>
              <w:ind w:left="136"/>
              <w:contextualSpacing/>
              <w:jc w:val="both"/>
              <w:rPr>
                <w:rFonts w:ascii="Lucida Sans" w:hAnsi="Lucida Sans"/>
                <w:b/>
                <w:bCs/>
                <w:szCs w:val="20"/>
              </w:rPr>
            </w:pPr>
            <w:r w:rsidRPr="00373E2E">
              <w:rPr>
                <w:rFonts w:ascii="Lucida Sans" w:hAnsi="Lucida Sans"/>
                <w:b/>
                <w:bCs/>
                <w:szCs w:val="20"/>
              </w:rPr>
              <w:t xml:space="preserve">These costs only apply in case of </w:t>
            </w:r>
            <w:r w:rsidRPr="00373E2E">
              <w:rPr>
                <w:rFonts w:ascii="Lucida Sans" w:hAnsi="Lucida Sans"/>
                <w:i/>
                <w:iCs/>
                <w:szCs w:val="20"/>
              </w:rPr>
              <w:t>(explain circumstances or an example in max 100 characters)</w:t>
            </w:r>
            <w:r w:rsidRPr="00373E2E">
              <w:rPr>
                <w:rFonts w:ascii="Lucida Sans" w:hAnsi="Lucida Sans"/>
                <w:b/>
                <w:bCs/>
                <w:szCs w:val="20"/>
              </w:rPr>
              <w:t>:</w:t>
            </w:r>
          </w:p>
          <w:p w14:paraId="3F05C635" w14:textId="77777777" w:rsidR="00876461" w:rsidRPr="00373E2E" w:rsidRDefault="00876461" w:rsidP="00BF05DD">
            <w:pPr>
              <w:spacing w:before="120" w:after="120"/>
              <w:ind w:left="136"/>
              <w:contextualSpacing/>
              <w:jc w:val="both"/>
              <w:rPr>
                <w:rFonts w:ascii="Lucida Sans" w:hAnsi="Lucida Sans"/>
                <w:b/>
                <w:bCs/>
                <w:szCs w:val="20"/>
              </w:rPr>
            </w:pPr>
            <w:r w:rsidRPr="00373E2E">
              <w:rPr>
                <w:rFonts w:ascii="Lucida Sans" w:hAnsi="Lucida Sans"/>
                <w:b/>
                <w:bCs/>
                <w:szCs w:val="20"/>
              </w:rPr>
              <w:t xml:space="preserve">exit before maturity/termination of the product </w:t>
            </w:r>
            <w:r w:rsidRPr="00373E2E">
              <w:rPr>
                <w:rFonts w:ascii="Lucida Sans" w:hAnsi="Lucida Sans"/>
                <w:b/>
                <w:bCs/>
                <w:color w:val="FF0000"/>
                <w:szCs w:val="20"/>
              </w:rPr>
              <w:t>/ [months/years]</w:t>
            </w:r>
            <w:r w:rsidRPr="00373E2E">
              <w:rPr>
                <w:rFonts w:ascii="Lucida Sans" w:hAnsi="Lucida Sans"/>
                <w:b/>
                <w:bCs/>
                <w:szCs w:val="20"/>
              </w:rPr>
              <w:t>/ exit out of the (monthly/….) / liquidity windows).</w:t>
            </w:r>
          </w:p>
          <w:p w14:paraId="5B91C621" w14:textId="77777777" w:rsidR="00876461" w:rsidRPr="00373E2E" w:rsidRDefault="00876461" w:rsidP="00BF05DD">
            <w:pPr>
              <w:spacing w:before="120" w:after="120"/>
              <w:ind w:left="136"/>
              <w:contextualSpacing/>
              <w:jc w:val="both"/>
              <w:rPr>
                <w:rFonts w:ascii="Lucida Sans" w:hAnsi="Lucida Sans"/>
                <w:szCs w:val="20"/>
              </w:rPr>
            </w:pPr>
            <w:r w:rsidRPr="00373E2E">
              <w:rPr>
                <w:rFonts w:ascii="Lucida Sans" w:hAnsi="Lucida Sans"/>
                <w:szCs w:val="20"/>
              </w:rPr>
              <w:t xml:space="preserve">For details, refer to section “How long should I hold </w:t>
            </w:r>
            <w:proofErr w:type="gramStart"/>
            <w:r w:rsidRPr="00373E2E">
              <w:rPr>
                <w:rFonts w:ascii="Lucida Sans" w:hAnsi="Lucida Sans"/>
                <w:szCs w:val="20"/>
              </w:rPr>
              <w:t>it</w:t>
            </w:r>
            <w:proofErr w:type="gramEnd"/>
            <w:r w:rsidRPr="00373E2E">
              <w:rPr>
                <w:rFonts w:ascii="Lucida Sans" w:hAnsi="Lucida Sans"/>
                <w:szCs w:val="20"/>
              </w:rPr>
              <w:t xml:space="preserve"> and can I take my money out early?”</w:t>
            </w:r>
          </w:p>
        </w:tc>
        <w:tc>
          <w:tcPr>
            <w:tcW w:w="2878" w:type="dxa"/>
          </w:tcPr>
          <w:p w14:paraId="026AC8E4" w14:textId="77777777" w:rsidR="00876461" w:rsidRPr="00373E2E" w:rsidRDefault="00876461" w:rsidP="00BF05DD">
            <w:pPr>
              <w:spacing w:before="120" w:after="120"/>
              <w:contextualSpacing/>
              <w:jc w:val="both"/>
              <w:rPr>
                <w:rFonts w:ascii="Lucida Sans" w:hAnsi="Lucida Sans"/>
                <w:b/>
                <w:bCs/>
                <w:szCs w:val="20"/>
              </w:rPr>
            </w:pPr>
            <w:r w:rsidRPr="00373E2E">
              <w:rPr>
                <w:rFonts w:ascii="Lucida Sans" w:hAnsi="Lucida Sans"/>
                <w:b/>
                <w:bCs/>
                <w:szCs w:val="20"/>
              </w:rPr>
              <w:t xml:space="preserve">3% </w:t>
            </w:r>
            <w:r w:rsidRPr="00373E2E">
              <w:rPr>
                <w:rFonts w:ascii="Lucida Sans" w:hAnsi="Lucida Sans"/>
                <w:szCs w:val="20"/>
              </w:rPr>
              <w:t>of the value of your investment at that time. These costs only apply in case if you exit before 5 years.</w:t>
            </w:r>
          </w:p>
        </w:tc>
      </w:tr>
      <w:tr w:rsidR="00876461" w:rsidRPr="00373E2E" w14:paraId="3D877C99" w14:textId="77777777" w:rsidTr="00BF05DD">
        <w:tc>
          <w:tcPr>
            <w:tcW w:w="1226" w:type="dxa"/>
            <w:vMerge w:val="restart"/>
          </w:tcPr>
          <w:p w14:paraId="65471C5A" w14:textId="77777777" w:rsidR="00876461" w:rsidRPr="00373E2E" w:rsidRDefault="00876461" w:rsidP="00BF05DD">
            <w:pPr>
              <w:spacing w:before="120" w:after="120"/>
              <w:jc w:val="both"/>
              <w:rPr>
                <w:rFonts w:ascii="Lucida Sans" w:hAnsi="Lucida Sans"/>
                <w:b/>
                <w:bCs/>
                <w:i/>
                <w:iCs/>
                <w:szCs w:val="20"/>
              </w:rPr>
            </w:pPr>
            <w:r w:rsidRPr="00373E2E">
              <w:rPr>
                <w:rFonts w:ascii="Lucida Sans" w:hAnsi="Lucida Sans"/>
                <w:b/>
                <w:bCs/>
                <w:i/>
                <w:iCs/>
                <w:szCs w:val="20"/>
              </w:rPr>
              <w:t>Ongoing costs</w:t>
            </w:r>
          </w:p>
        </w:tc>
        <w:tc>
          <w:tcPr>
            <w:tcW w:w="1607" w:type="dxa"/>
          </w:tcPr>
          <w:p w14:paraId="74178C7F" w14:textId="77777777" w:rsidR="00876461" w:rsidRPr="00373E2E" w:rsidRDefault="00876461" w:rsidP="00BF05DD">
            <w:pPr>
              <w:spacing w:before="120" w:after="120"/>
              <w:jc w:val="both"/>
              <w:rPr>
                <w:rFonts w:ascii="Lucida Sans" w:hAnsi="Lucida Sans"/>
                <w:b/>
                <w:bCs/>
                <w:i/>
                <w:iCs/>
                <w:szCs w:val="20"/>
              </w:rPr>
            </w:pPr>
            <w:r w:rsidRPr="00373E2E">
              <w:rPr>
                <w:rFonts w:ascii="Lucida Sans" w:hAnsi="Lucida Sans"/>
                <w:b/>
                <w:bCs/>
                <w:i/>
                <w:iCs/>
                <w:szCs w:val="20"/>
              </w:rPr>
              <w:t>Management fees and other costs</w:t>
            </w:r>
          </w:p>
        </w:tc>
        <w:tc>
          <w:tcPr>
            <w:tcW w:w="3917" w:type="dxa"/>
          </w:tcPr>
          <w:tbl>
            <w:tblPr>
              <w:tblW w:w="0" w:type="auto"/>
              <w:tblBorders>
                <w:top w:val="nil"/>
                <w:left w:val="nil"/>
                <w:bottom w:val="nil"/>
                <w:right w:val="nil"/>
              </w:tblBorders>
              <w:tblLook w:val="0000" w:firstRow="0" w:lastRow="0" w:firstColumn="0" w:lastColumn="0" w:noHBand="0" w:noVBand="0"/>
            </w:tblPr>
            <w:tblGrid>
              <w:gridCol w:w="3701"/>
            </w:tblGrid>
            <w:tr w:rsidR="00876461" w:rsidRPr="00373E2E" w14:paraId="337532F9" w14:textId="77777777" w:rsidTr="00BF05DD">
              <w:trPr>
                <w:trHeight w:val="429"/>
              </w:trPr>
              <w:tc>
                <w:tcPr>
                  <w:tcW w:w="0" w:type="auto"/>
                </w:tcPr>
                <w:p w14:paraId="4675E23E" w14:textId="77777777" w:rsidR="00876461" w:rsidRPr="00373E2E" w:rsidRDefault="00876461" w:rsidP="00BF05DD">
                  <w:pPr>
                    <w:spacing w:before="120" w:after="120"/>
                    <w:jc w:val="both"/>
                    <w:rPr>
                      <w:rFonts w:ascii="Lucida Sans" w:hAnsi="Lucida Sans"/>
                      <w:b/>
                      <w:bCs/>
                      <w:szCs w:val="20"/>
                    </w:rPr>
                  </w:pPr>
                  <w:r w:rsidRPr="00373E2E">
                    <w:rPr>
                      <w:rFonts w:ascii="Lucida Sans" w:hAnsi="Lucida Sans"/>
                      <w:b/>
                      <w:bCs/>
                      <w:szCs w:val="20"/>
                    </w:rPr>
                    <w:t xml:space="preserve">X% </w:t>
                  </w:r>
                  <w:r w:rsidRPr="00373E2E">
                    <w:rPr>
                      <w:rFonts w:ascii="Lucida Sans" w:hAnsi="Lucida Sans"/>
                      <w:szCs w:val="20"/>
                    </w:rPr>
                    <w:t>of (value of the investment / other basis) [per year / other time period] [where applicable]</w:t>
                  </w:r>
                  <w:r w:rsidRPr="00373E2E">
                    <w:rPr>
                      <w:rFonts w:ascii="Lucida Sans" w:hAnsi="Lucida Sans"/>
                      <w:b/>
                      <w:bCs/>
                      <w:szCs w:val="20"/>
                    </w:rPr>
                    <w:t xml:space="preserve"> (of which % are management fees) </w:t>
                  </w:r>
                </w:p>
              </w:tc>
            </w:tr>
          </w:tbl>
          <w:p w14:paraId="32315B1E" w14:textId="77777777" w:rsidR="00876461" w:rsidRPr="00373E2E" w:rsidRDefault="00876461" w:rsidP="00BF05DD">
            <w:pPr>
              <w:spacing w:before="120" w:after="120"/>
              <w:jc w:val="both"/>
              <w:rPr>
                <w:rFonts w:ascii="Lucida Sans" w:hAnsi="Lucida Sans"/>
                <w:szCs w:val="20"/>
              </w:rPr>
            </w:pPr>
          </w:p>
        </w:tc>
        <w:tc>
          <w:tcPr>
            <w:tcW w:w="2878" w:type="dxa"/>
          </w:tcPr>
          <w:p w14:paraId="2A814D84" w14:textId="77777777" w:rsidR="00876461" w:rsidRPr="00373E2E" w:rsidRDefault="00876461" w:rsidP="00BF05DD">
            <w:pPr>
              <w:spacing w:before="120" w:after="120"/>
              <w:jc w:val="both"/>
              <w:rPr>
                <w:rFonts w:ascii="Lucida Sans" w:hAnsi="Lucida Sans"/>
                <w:b/>
                <w:bCs/>
                <w:szCs w:val="20"/>
              </w:rPr>
            </w:pPr>
            <w:r w:rsidRPr="00373E2E">
              <w:rPr>
                <w:rFonts w:ascii="Lucida Sans" w:hAnsi="Lucida Sans"/>
                <w:b/>
                <w:bCs/>
                <w:szCs w:val="20"/>
              </w:rPr>
              <w:t>1.25%</w:t>
            </w:r>
            <w:r w:rsidRPr="00373E2E">
              <w:rPr>
                <w:rFonts w:ascii="Lucida Sans" w:hAnsi="Lucida Sans"/>
                <w:szCs w:val="20"/>
              </w:rPr>
              <w:t xml:space="preserve"> of the value of the investment per year (of which 1.10% are management fees).</w:t>
            </w:r>
          </w:p>
        </w:tc>
      </w:tr>
      <w:tr w:rsidR="00876461" w:rsidRPr="00373E2E" w14:paraId="49A297D3" w14:textId="77777777" w:rsidTr="00BF05DD">
        <w:tc>
          <w:tcPr>
            <w:tcW w:w="1226" w:type="dxa"/>
            <w:vMerge/>
          </w:tcPr>
          <w:p w14:paraId="11C3C38A" w14:textId="77777777" w:rsidR="00876461" w:rsidRPr="00373E2E" w:rsidRDefault="00876461" w:rsidP="00BF05DD">
            <w:pPr>
              <w:spacing w:before="120" w:after="120"/>
              <w:jc w:val="both"/>
              <w:rPr>
                <w:rFonts w:ascii="Lucida Sans" w:hAnsi="Lucida Sans"/>
                <w:b/>
                <w:bCs/>
                <w:i/>
                <w:iCs/>
                <w:szCs w:val="20"/>
              </w:rPr>
            </w:pPr>
          </w:p>
        </w:tc>
        <w:tc>
          <w:tcPr>
            <w:tcW w:w="1607" w:type="dxa"/>
          </w:tcPr>
          <w:p w14:paraId="1E314353" w14:textId="77777777" w:rsidR="00876461" w:rsidRPr="00373E2E" w:rsidRDefault="00876461" w:rsidP="00BF05DD">
            <w:pPr>
              <w:spacing w:before="120" w:after="120"/>
              <w:jc w:val="both"/>
              <w:rPr>
                <w:rFonts w:ascii="Lucida Sans" w:hAnsi="Lucida Sans"/>
                <w:b/>
                <w:bCs/>
                <w:i/>
                <w:iCs/>
                <w:szCs w:val="20"/>
              </w:rPr>
            </w:pPr>
            <w:r w:rsidRPr="00373E2E">
              <w:rPr>
                <w:rFonts w:ascii="Lucida Sans" w:hAnsi="Lucida Sans"/>
                <w:b/>
                <w:bCs/>
                <w:i/>
                <w:iCs/>
                <w:szCs w:val="20"/>
              </w:rPr>
              <w:t>Transaction costs</w:t>
            </w:r>
          </w:p>
        </w:tc>
        <w:tc>
          <w:tcPr>
            <w:tcW w:w="3917" w:type="dxa"/>
          </w:tcPr>
          <w:p w14:paraId="62F097D9" w14:textId="77777777" w:rsidR="00876461" w:rsidRPr="00373E2E" w:rsidRDefault="00876461" w:rsidP="00BF05DD">
            <w:pPr>
              <w:spacing w:before="120" w:after="120"/>
              <w:ind w:left="136"/>
              <w:contextualSpacing/>
              <w:jc w:val="both"/>
              <w:rPr>
                <w:rFonts w:ascii="Lucida Sans" w:hAnsi="Lucida Sans"/>
                <w:b/>
                <w:bCs/>
                <w:szCs w:val="20"/>
              </w:rPr>
            </w:pPr>
            <w:r w:rsidRPr="00373E2E">
              <w:rPr>
                <w:rFonts w:ascii="Lucida Sans" w:hAnsi="Lucida Sans"/>
                <w:b/>
                <w:bCs/>
                <w:szCs w:val="20"/>
              </w:rPr>
              <w:t>X% of (value of the investment per year)</w:t>
            </w:r>
          </w:p>
          <w:p w14:paraId="42FE51B9" w14:textId="77777777" w:rsidR="00876461" w:rsidRPr="00373E2E" w:rsidRDefault="00876461" w:rsidP="00BF05DD">
            <w:pPr>
              <w:spacing w:before="120" w:after="120"/>
              <w:ind w:left="136"/>
              <w:contextualSpacing/>
              <w:jc w:val="both"/>
              <w:rPr>
                <w:rFonts w:ascii="Lucida Sans" w:hAnsi="Lucida Sans"/>
                <w:szCs w:val="20"/>
              </w:rPr>
            </w:pPr>
            <w:r w:rsidRPr="00373E2E">
              <w:rPr>
                <w:rFonts w:ascii="Lucida Sans" w:hAnsi="Lucida Sans"/>
                <w:szCs w:val="20"/>
              </w:rPr>
              <w:t xml:space="preserve">This is an estimate of the costs of us buying and selling underlying investments for the product </w:t>
            </w:r>
            <w:r w:rsidRPr="00373E2E">
              <w:rPr>
                <w:rFonts w:ascii="Lucida Sans" w:hAnsi="Lucida Sans"/>
                <w:color w:val="FF0000"/>
                <w:szCs w:val="20"/>
              </w:rPr>
              <w:t xml:space="preserve">calculated </w:t>
            </w:r>
            <w:r w:rsidRPr="00373E2E">
              <w:rPr>
                <w:rFonts w:ascii="Lucida Sans" w:hAnsi="Lucida Sans"/>
                <w:color w:val="FF0000"/>
                <w:szCs w:val="20"/>
              </w:rPr>
              <w:lastRenderedPageBreak/>
              <w:t xml:space="preserve">[with/without] the use of a standard </w:t>
            </w:r>
            <w:r>
              <w:rPr>
                <w:rFonts w:ascii="Lucida Sans" w:hAnsi="Lucida Sans"/>
                <w:color w:val="FF0000"/>
                <w:szCs w:val="20"/>
              </w:rPr>
              <w:t xml:space="preserve">costs </w:t>
            </w:r>
            <w:commentRangeStart w:id="4"/>
            <w:r w:rsidRPr="00373E2E">
              <w:rPr>
                <w:rFonts w:ascii="Lucida Sans" w:hAnsi="Lucida Sans"/>
                <w:color w:val="FF0000"/>
                <w:szCs w:val="20"/>
              </w:rPr>
              <w:t>table</w:t>
            </w:r>
            <w:commentRangeEnd w:id="4"/>
            <w:r w:rsidR="00586B4B">
              <w:rPr>
                <w:rStyle w:val="Rimandocommento"/>
              </w:rPr>
              <w:commentReference w:id="4"/>
            </w:r>
            <w:r w:rsidRPr="00373E2E">
              <w:rPr>
                <w:rFonts w:ascii="Lucida Sans" w:hAnsi="Lucida Sans"/>
                <w:szCs w:val="20"/>
              </w:rPr>
              <w:t>.</w:t>
            </w:r>
          </w:p>
        </w:tc>
        <w:tc>
          <w:tcPr>
            <w:tcW w:w="2878" w:type="dxa"/>
          </w:tcPr>
          <w:p w14:paraId="319203A5" w14:textId="77777777" w:rsidR="00876461" w:rsidRPr="00373E2E" w:rsidRDefault="00876461" w:rsidP="00BF05DD">
            <w:pPr>
              <w:spacing w:before="120" w:after="120"/>
              <w:contextualSpacing/>
              <w:jc w:val="both"/>
              <w:rPr>
                <w:rFonts w:ascii="Lucida Sans" w:hAnsi="Lucida Sans"/>
                <w:b/>
                <w:bCs/>
                <w:szCs w:val="20"/>
              </w:rPr>
            </w:pPr>
            <w:r w:rsidRPr="00373E2E">
              <w:rPr>
                <w:rFonts w:ascii="Lucida Sans" w:hAnsi="Lucida Sans"/>
                <w:b/>
                <w:bCs/>
                <w:szCs w:val="20"/>
              </w:rPr>
              <w:lastRenderedPageBreak/>
              <w:t>0.2%</w:t>
            </w:r>
            <w:r w:rsidRPr="00373E2E">
              <w:rPr>
                <w:rFonts w:ascii="Lucida Sans" w:hAnsi="Lucida Sans"/>
                <w:szCs w:val="20"/>
              </w:rPr>
              <w:t xml:space="preserve"> of the value of the investment per year. This is an estimate of the costs of </w:t>
            </w:r>
            <w:r w:rsidRPr="00373E2E">
              <w:rPr>
                <w:rFonts w:ascii="Lucida Sans" w:hAnsi="Lucida Sans"/>
                <w:szCs w:val="20"/>
              </w:rPr>
              <w:lastRenderedPageBreak/>
              <w:t>us buying and selling underlying investments for the product.</w:t>
            </w:r>
          </w:p>
        </w:tc>
      </w:tr>
      <w:tr w:rsidR="00876461" w:rsidRPr="00373E2E" w14:paraId="7DDE4EB2" w14:textId="77777777" w:rsidTr="00BF05DD">
        <w:tc>
          <w:tcPr>
            <w:tcW w:w="1226" w:type="dxa"/>
          </w:tcPr>
          <w:p w14:paraId="7DA74D0B" w14:textId="77777777" w:rsidR="00876461" w:rsidRPr="00373E2E" w:rsidRDefault="00876461" w:rsidP="00BF05DD">
            <w:pPr>
              <w:spacing w:before="120" w:after="120"/>
              <w:jc w:val="both"/>
              <w:rPr>
                <w:rFonts w:ascii="Lucida Sans" w:hAnsi="Lucida Sans"/>
                <w:b/>
                <w:bCs/>
                <w:i/>
                <w:iCs/>
                <w:szCs w:val="20"/>
              </w:rPr>
            </w:pPr>
            <w:r w:rsidRPr="00373E2E">
              <w:rPr>
                <w:rFonts w:ascii="Lucida Sans" w:hAnsi="Lucida Sans"/>
                <w:b/>
                <w:bCs/>
                <w:i/>
                <w:iCs/>
                <w:szCs w:val="20"/>
              </w:rPr>
              <w:lastRenderedPageBreak/>
              <w:t xml:space="preserve">Incidental costs </w:t>
            </w:r>
          </w:p>
        </w:tc>
        <w:tc>
          <w:tcPr>
            <w:tcW w:w="1607" w:type="dxa"/>
          </w:tcPr>
          <w:p w14:paraId="1643A592" w14:textId="77777777" w:rsidR="00876461" w:rsidRPr="00373E2E" w:rsidRDefault="00876461" w:rsidP="00BF05DD">
            <w:pPr>
              <w:spacing w:before="120" w:after="120"/>
              <w:jc w:val="both"/>
              <w:rPr>
                <w:rFonts w:ascii="Lucida Sans" w:hAnsi="Lucida Sans"/>
                <w:b/>
                <w:bCs/>
                <w:i/>
                <w:iCs/>
                <w:szCs w:val="20"/>
              </w:rPr>
            </w:pPr>
            <w:r w:rsidRPr="00373E2E">
              <w:rPr>
                <w:rFonts w:ascii="Lucida Sans" w:hAnsi="Lucida Sans"/>
                <w:b/>
                <w:bCs/>
                <w:i/>
                <w:iCs/>
                <w:strike/>
                <w:color w:val="FF0000"/>
                <w:szCs w:val="20"/>
              </w:rPr>
              <w:t>[</w:t>
            </w:r>
            <w:r w:rsidRPr="00373E2E">
              <w:rPr>
                <w:rFonts w:ascii="Lucida Sans" w:hAnsi="Lucida Sans"/>
                <w:b/>
                <w:bCs/>
                <w:i/>
                <w:iCs/>
                <w:szCs w:val="20"/>
              </w:rPr>
              <w:t>Performance fees / carried interest / other</w:t>
            </w:r>
            <w:r w:rsidRPr="00373E2E">
              <w:rPr>
                <w:rFonts w:ascii="Lucida Sans" w:hAnsi="Lucida Sans"/>
                <w:b/>
                <w:bCs/>
                <w:i/>
                <w:iCs/>
                <w:strike/>
                <w:color w:val="FF0000"/>
                <w:szCs w:val="20"/>
              </w:rPr>
              <w:t>]</w:t>
            </w:r>
          </w:p>
        </w:tc>
        <w:tc>
          <w:tcPr>
            <w:tcW w:w="3917" w:type="dxa"/>
          </w:tcPr>
          <w:p w14:paraId="3C338E35" w14:textId="77777777" w:rsidR="00876461" w:rsidRPr="00373E2E" w:rsidRDefault="00876461" w:rsidP="00BF05DD">
            <w:pPr>
              <w:spacing w:before="120" w:after="120"/>
              <w:contextualSpacing/>
              <w:jc w:val="both"/>
              <w:rPr>
                <w:rFonts w:ascii="Lucida Sans" w:hAnsi="Lucida Sans"/>
                <w:i/>
                <w:iCs/>
                <w:szCs w:val="20"/>
              </w:rPr>
            </w:pPr>
            <w:r w:rsidRPr="00373E2E">
              <w:rPr>
                <w:rFonts w:ascii="Lucida Sans" w:hAnsi="Lucida Sans"/>
                <w:b/>
                <w:bCs/>
                <w:szCs w:val="20"/>
              </w:rPr>
              <w:t xml:space="preserve">X% </w:t>
            </w:r>
            <w:proofErr w:type="gramStart"/>
            <w:r w:rsidRPr="00373E2E">
              <w:rPr>
                <w:rFonts w:ascii="Lucida Sans" w:hAnsi="Lucida Sans"/>
                <w:b/>
                <w:bCs/>
                <w:szCs w:val="20"/>
              </w:rPr>
              <w:t>of</w:t>
            </w:r>
            <w:r w:rsidRPr="00373E2E">
              <w:rPr>
                <w:rFonts w:ascii="Lucida Sans" w:hAnsi="Lucida Sans"/>
                <w:szCs w:val="20"/>
              </w:rPr>
              <w:t xml:space="preserve">  </w:t>
            </w:r>
            <w:r w:rsidRPr="00373E2E">
              <w:rPr>
                <w:rFonts w:ascii="Lucida Sans" w:hAnsi="Lucida Sans"/>
                <w:color w:val="FF0000"/>
                <w:szCs w:val="20"/>
              </w:rPr>
              <w:t>(</w:t>
            </w:r>
            <w:proofErr w:type="gramEnd"/>
            <w:r w:rsidRPr="00373E2E">
              <w:rPr>
                <w:rFonts w:ascii="Lucida Sans" w:hAnsi="Lucida Sans"/>
                <w:color w:val="FF0000"/>
                <w:szCs w:val="20"/>
              </w:rPr>
              <w:t xml:space="preserve">value of the investment / other basis) </w:t>
            </w:r>
            <w:r w:rsidRPr="00373E2E">
              <w:rPr>
                <w:rFonts w:ascii="Lucida Sans" w:hAnsi="Lucida Sans"/>
                <w:i/>
                <w:iCs/>
                <w:szCs w:val="20"/>
              </w:rPr>
              <w:t>(…describe in max 100 characters). Where applicable [cross-reference to prospectus</w:t>
            </w:r>
            <w:r w:rsidRPr="00373E2E">
              <w:rPr>
                <w:rFonts w:ascii="Lucida Sans" w:hAnsi="Lucida Sans"/>
                <w:i/>
                <w:iCs/>
                <w:color w:val="FF0000"/>
                <w:szCs w:val="20"/>
              </w:rPr>
              <w:t>/fund rules</w:t>
            </w:r>
            <w:r w:rsidRPr="00373E2E">
              <w:rPr>
                <w:rFonts w:ascii="Lucida Sans" w:hAnsi="Lucida Sans"/>
                <w:i/>
                <w:iCs/>
                <w:szCs w:val="20"/>
              </w:rPr>
              <w:t>]</w:t>
            </w:r>
          </w:p>
          <w:p w14:paraId="20E35BA0" w14:textId="77777777" w:rsidR="00876461" w:rsidRPr="00373E2E" w:rsidRDefault="00876461" w:rsidP="00BF05DD">
            <w:pPr>
              <w:spacing w:before="120" w:after="120"/>
              <w:contextualSpacing/>
              <w:jc w:val="both"/>
              <w:rPr>
                <w:rFonts w:ascii="Lucida Sans" w:hAnsi="Lucida Sans"/>
                <w:strike/>
                <w:szCs w:val="20"/>
              </w:rPr>
            </w:pPr>
            <w:r w:rsidRPr="00373E2E">
              <w:rPr>
                <w:rFonts w:ascii="Lucida Sans" w:hAnsi="Lucida Sans"/>
                <w:i/>
                <w:iCs/>
                <w:strike/>
                <w:color w:val="FF0000"/>
                <w:szCs w:val="20"/>
              </w:rPr>
              <w:t>[Only include row where applicable]</w:t>
            </w:r>
          </w:p>
        </w:tc>
        <w:tc>
          <w:tcPr>
            <w:tcW w:w="2878" w:type="dxa"/>
          </w:tcPr>
          <w:p w14:paraId="4D3ED0D5" w14:textId="77777777" w:rsidR="00876461" w:rsidRPr="00373E2E" w:rsidRDefault="00876461" w:rsidP="00BF05DD">
            <w:pPr>
              <w:spacing w:before="120" w:after="120"/>
              <w:contextualSpacing/>
              <w:jc w:val="both"/>
              <w:rPr>
                <w:rFonts w:ascii="Lucida Sans" w:hAnsi="Lucida Sans"/>
                <w:b/>
                <w:bCs/>
                <w:szCs w:val="20"/>
              </w:rPr>
            </w:pPr>
            <w:r w:rsidRPr="00373E2E">
              <w:rPr>
                <w:rFonts w:ascii="Lucida Sans" w:hAnsi="Lucida Sans"/>
                <w:b/>
                <w:bCs/>
                <w:szCs w:val="20"/>
              </w:rPr>
              <w:t>0,30</w:t>
            </w:r>
            <w:r w:rsidRPr="00373E2E">
              <w:rPr>
                <w:rFonts w:ascii="Lucida Sans" w:hAnsi="Lucida Sans"/>
                <w:szCs w:val="20"/>
              </w:rPr>
              <w:t xml:space="preserve">% of the value of the investment; </w:t>
            </w:r>
            <w:r w:rsidRPr="00373E2E">
              <w:rPr>
                <w:rFonts w:ascii="Lucida Sans" w:hAnsi="Lucida Sans"/>
                <w:b/>
                <w:bCs/>
                <w:szCs w:val="20"/>
              </w:rPr>
              <w:t>20%</w:t>
            </w:r>
            <w:r w:rsidRPr="00373E2E">
              <w:rPr>
                <w:rFonts w:ascii="Lucida Sans" w:hAnsi="Lucida Sans"/>
                <w:szCs w:val="20"/>
              </w:rPr>
              <w:t xml:space="preserve"> if the fund outperforms …</w:t>
            </w:r>
          </w:p>
        </w:tc>
      </w:tr>
    </w:tbl>
    <w:p w14:paraId="547E0244" w14:textId="77777777" w:rsidR="00876461" w:rsidRPr="00373E2E" w:rsidRDefault="00876461" w:rsidP="00876461">
      <w:pPr>
        <w:spacing w:before="120" w:after="120"/>
        <w:jc w:val="both"/>
        <w:rPr>
          <w:rFonts w:ascii="Lucida Sans" w:hAnsi="Lucida Sans"/>
          <w:szCs w:val="20"/>
        </w:rPr>
      </w:pPr>
      <w:r w:rsidRPr="00373E2E">
        <w:rPr>
          <w:rFonts w:ascii="Lucida Sans" w:hAnsi="Lucida Sans"/>
          <w:szCs w:val="20"/>
        </w:rPr>
        <w:t>In addition, in order to deliver the most accurate information to the investor, any entry/exit fees that are not known by the manufacturer should only be disclosed in the second cost table. The PRIIPs manufacturer knows the maximum amount that can be applied and discounted by the distributor, but it does not know the actual amount applied to the investor. Integrating the maximum entry cost into the total cost figure is not accurate, as it is a common practice for distributors to negotiate with client an entry cost reduction. Disclosing the maximum is therefore inexact and misleading. The total and precise entry costs paid are disclosed by the distributor under MIFID and IDD requirements.</w:t>
      </w:r>
    </w:p>
    <w:p w14:paraId="0129D16F" w14:textId="77777777" w:rsidR="00876461" w:rsidRPr="00373E2E" w:rsidRDefault="00876461" w:rsidP="00876461">
      <w:pPr>
        <w:spacing w:before="120" w:after="120"/>
        <w:jc w:val="both"/>
        <w:rPr>
          <w:rFonts w:ascii="Lucida Sans" w:hAnsi="Lucida Sans"/>
          <w:szCs w:val="20"/>
        </w:rPr>
      </w:pPr>
      <w:r w:rsidRPr="00373E2E">
        <w:rPr>
          <w:rFonts w:ascii="Lucida Sans" w:hAnsi="Lucida Sans"/>
          <w:szCs w:val="20"/>
        </w:rPr>
        <w:t>In line with above, we would suggest the following amendments:</w:t>
      </w:r>
    </w:p>
    <w:p w14:paraId="3C5443ED" w14:textId="77777777" w:rsidR="00876461" w:rsidRPr="00373E2E" w:rsidRDefault="00876461" w:rsidP="00303D05">
      <w:pPr>
        <w:pStyle w:val="Paragrafoelenco"/>
        <w:numPr>
          <w:ilvl w:val="0"/>
          <w:numId w:val="47"/>
        </w:numPr>
        <w:spacing w:before="120" w:after="120"/>
        <w:jc w:val="both"/>
        <w:rPr>
          <w:rFonts w:ascii="Lucida Sans" w:hAnsi="Lucida Sans"/>
          <w:szCs w:val="20"/>
        </w:rPr>
      </w:pPr>
      <w:r w:rsidRPr="00373E2E">
        <w:rPr>
          <w:rFonts w:ascii="Lucida Sans" w:hAnsi="Lucida Sans"/>
          <w:szCs w:val="20"/>
        </w:rPr>
        <w:t xml:space="preserve">Point 3(a) of Annex VI should be modified as follows: “Distribution fee, to the extent that the amount is known to the management company. If the actual amount is not known to the management company, the maximum of the possible known distribution costs for the specific PRIIP shall be shown </w:t>
      </w:r>
      <w:r w:rsidRPr="00373E2E">
        <w:rPr>
          <w:rFonts w:ascii="Lucida Sans" w:hAnsi="Lucida Sans"/>
          <w:b/>
          <w:color w:val="FF0000"/>
          <w:szCs w:val="20"/>
        </w:rPr>
        <w:t>in the composition of the costs in the Table 2 (Annex VII</w:t>
      </w:r>
      <w:proofErr w:type="gramStart"/>
      <w:r w:rsidRPr="00373E2E">
        <w:rPr>
          <w:rFonts w:ascii="Lucida Sans" w:hAnsi="Lucida Sans"/>
          <w:b/>
          <w:color w:val="FF0000"/>
          <w:szCs w:val="20"/>
        </w:rPr>
        <w:t>).“</w:t>
      </w:r>
      <w:proofErr w:type="gramEnd"/>
    </w:p>
    <w:p w14:paraId="07BEA236" w14:textId="12BE948E" w:rsidR="00876461" w:rsidRPr="00373E2E" w:rsidRDefault="00876461" w:rsidP="00303D05">
      <w:pPr>
        <w:pStyle w:val="Paragrafoelenco"/>
        <w:numPr>
          <w:ilvl w:val="0"/>
          <w:numId w:val="47"/>
        </w:numPr>
        <w:spacing w:before="120" w:after="120"/>
        <w:jc w:val="both"/>
        <w:rPr>
          <w:rFonts w:ascii="Lucida Sans" w:hAnsi="Lucida Sans"/>
          <w:szCs w:val="20"/>
        </w:rPr>
      </w:pPr>
      <w:r w:rsidRPr="00373E2E">
        <w:rPr>
          <w:rFonts w:ascii="Lucida Sans" w:hAnsi="Lucida Sans"/>
          <w:szCs w:val="20"/>
        </w:rPr>
        <w:t>Point 62 of Annex VI: “For the calculation of the summary cost indicator the costs to be disclosed referred to in point 72 of this Annex shall be the total costs. This shall equal for investment funds</w:t>
      </w:r>
      <w:r w:rsidR="00B17437">
        <w:rPr>
          <w:rFonts w:ascii="Lucida Sans" w:hAnsi="Lucida Sans"/>
          <w:szCs w:val="20"/>
        </w:rPr>
        <w:t xml:space="preserve"> to</w:t>
      </w:r>
      <w:r w:rsidRPr="00373E2E">
        <w:rPr>
          <w:rFonts w:ascii="Lucida Sans" w:hAnsi="Lucida Sans"/>
          <w:szCs w:val="20"/>
        </w:rPr>
        <w:t xml:space="preserve"> the sum of the costs as referred to in points 1 and 2</w:t>
      </w:r>
      <w:r w:rsidRPr="00373E2E">
        <w:rPr>
          <w:rFonts w:ascii="Lucida Sans" w:hAnsi="Lucida Sans"/>
          <w:color w:val="FF0000"/>
          <w:szCs w:val="20"/>
        </w:rPr>
        <w:t xml:space="preserve"> </w:t>
      </w:r>
      <w:r w:rsidRPr="00373E2E">
        <w:rPr>
          <w:rFonts w:ascii="Lucida Sans" w:hAnsi="Lucida Sans"/>
          <w:szCs w:val="20"/>
        </w:rPr>
        <w:t>of this Annex</w:t>
      </w:r>
      <w:r w:rsidRPr="00373E2E">
        <w:rPr>
          <w:rFonts w:ascii="Lucida Sans" w:hAnsi="Lucida Sans"/>
          <w:color w:val="FF0000"/>
          <w:szCs w:val="20"/>
        </w:rPr>
        <w:t xml:space="preserve">, </w:t>
      </w:r>
      <w:r w:rsidRPr="00373E2E">
        <w:rPr>
          <w:rFonts w:ascii="Lucida Sans" w:hAnsi="Lucida Sans"/>
          <w:b/>
          <w:color w:val="FF0000"/>
          <w:szCs w:val="20"/>
        </w:rPr>
        <w:t>to the extent that the actual amount of one-off costs paid by the investor is known to the management company,</w:t>
      </w:r>
      <w:r w:rsidRPr="00373E2E">
        <w:rPr>
          <w:rFonts w:ascii="Lucida Sans" w:hAnsi="Lucida Sans"/>
          <w:szCs w:val="20"/>
        </w:rPr>
        <w:t xml:space="preserve"> plus the sum of the costs as referred to in points 4 and 6 of this Annex;”</w:t>
      </w:r>
    </w:p>
    <w:p w14:paraId="376198A8" w14:textId="77777777" w:rsidR="00876461" w:rsidRPr="00373E2E" w:rsidRDefault="00876461" w:rsidP="00876461">
      <w:pPr>
        <w:spacing w:before="120" w:after="120"/>
        <w:jc w:val="both"/>
        <w:rPr>
          <w:rFonts w:ascii="Lucida Sans" w:hAnsi="Lucida Sans"/>
          <w:szCs w:val="20"/>
        </w:rPr>
      </w:pPr>
    </w:p>
    <w:p w14:paraId="362A30DC" w14:textId="78DE90AF" w:rsidR="00876461" w:rsidRPr="00373E2E" w:rsidRDefault="00876461" w:rsidP="00876461">
      <w:pPr>
        <w:spacing w:before="120" w:after="120"/>
        <w:jc w:val="both"/>
        <w:rPr>
          <w:rFonts w:ascii="Lucida Sans" w:hAnsi="Lucida Sans"/>
          <w:szCs w:val="20"/>
        </w:rPr>
      </w:pPr>
      <w:r w:rsidRPr="00373E2E">
        <w:rPr>
          <w:rFonts w:ascii="Lucida Sans" w:hAnsi="Lucida Sans"/>
          <w:szCs w:val="20"/>
        </w:rPr>
        <w:t>Should ESAs insist with the RIY, based on the results of the moderato scenario, in table 1 could be add</w:t>
      </w:r>
      <w:r w:rsidR="00C579C2">
        <w:rPr>
          <w:rFonts w:ascii="Lucida Sans" w:hAnsi="Lucida Sans"/>
          <w:szCs w:val="20"/>
        </w:rPr>
        <w:t>ed</w:t>
      </w:r>
      <w:r w:rsidRPr="00373E2E">
        <w:rPr>
          <w:rFonts w:ascii="Lucida Sans" w:hAnsi="Lucida Sans"/>
          <w:szCs w:val="20"/>
        </w:rPr>
        <w:t xml:space="preserve"> a separate row with the RIY information as follows</w:t>
      </w:r>
    </w:p>
    <w:tbl>
      <w:tblPr>
        <w:tblW w:w="9356" w:type="dxa"/>
        <w:tblInd w:w="-10" w:type="dxa"/>
        <w:tblCellMar>
          <w:left w:w="70" w:type="dxa"/>
          <w:right w:w="70" w:type="dxa"/>
        </w:tblCellMar>
        <w:tblLook w:val="04A0" w:firstRow="1" w:lastRow="0" w:firstColumn="1" w:lastColumn="0" w:noHBand="0" w:noVBand="1"/>
      </w:tblPr>
      <w:tblGrid>
        <w:gridCol w:w="4253"/>
        <w:gridCol w:w="2268"/>
        <w:gridCol w:w="2835"/>
      </w:tblGrid>
      <w:tr w:rsidR="00876461" w:rsidRPr="00373E2E" w14:paraId="340009C1" w14:textId="77777777" w:rsidTr="00BF05DD">
        <w:trPr>
          <w:trHeight w:val="315"/>
        </w:trPr>
        <w:tc>
          <w:tcPr>
            <w:tcW w:w="4253" w:type="dxa"/>
            <w:tcBorders>
              <w:top w:val="single" w:sz="8" w:space="0" w:color="auto"/>
              <w:left w:val="single" w:sz="8" w:space="0" w:color="auto"/>
              <w:bottom w:val="single" w:sz="8" w:space="0" w:color="auto"/>
              <w:right w:val="nil"/>
            </w:tcBorders>
            <w:shd w:val="clear" w:color="auto" w:fill="DDD9C3" w:themeFill="background2" w:themeFillShade="E6"/>
            <w:noWrap/>
            <w:vAlign w:val="center"/>
            <w:hideMark/>
          </w:tcPr>
          <w:p w14:paraId="0BA13ADF" w14:textId="77777777" w:rsidR="00876461" w:rsidRPr="00373E2E" w:rsidRDefault="00876461" w:rsidP="00BF05DD">
            <w:pPr>
              <w:spacing w:before="120" w:after="120"/>
              <w:jc w:val="both"/>
              <w:rPr>
                <w:rFonts w:ascii="Lucida Sans" w:hAnsi="Lucida Sans" w:cs="Calibri"/>
                <w:b/>
                <w:bCs/>
                <w:color w:val="000000"/>
                <w:szCs w:val="20"/>
                <w:lang w:eastAsia="fr-FR"/>
              </w:rPr>
            </w:pPr>
            <w:r w:rsidRPr="00373E2E">
              <w:rPr>
                <w:rFonts w:ascii="Lucida Sans" w:hAnsi="Lucida Sans" w:cs="Calibri"/>
                <w:b/>
                <w:bCs/>
                <w:color w:val="000000"/>
                <w:szCs w:val="20"/>
                <w:lang w:eastAsia="fr-FR"/>
              </w:rPr>
              <w:t>When you invest [10.000 / 1.000 EUR per year]</w:t>
            </w:r>
          </w:p>
        </w:tc>
        <w:tc>
          <w:tcPr>
            <w:tcW w:w="2268" w:type="dxa"/>
            <w:tcBorders>
              <w:top w:val="single" w:sz="8" w:space="0" w:color="auto"/>
              <w:left w:val="nil"/>
              <w:bottom w:val="single" w:sz="8" w:space="0" w:color="auto"/>
              <w:right w:val="nil"/>
            </w:tcBorders>
            <w:shd w:val="clear" w:color="auto" w:fill="DDD9C3" w:themeFill="background2" w:themeFillShade="E6"/>
            <w:noWrap/>
            <w:vAlign w:val="center"/>
            <w:hideMark/>
          </w:tcPr>
          <w:p w14:paraId="435C3369" w14:textId="77777777" w:rsidR="00876461" w:rsidRPr="00373E2E" w:rsidRDefault="00876461" w:rsidP="00BF05DD">
            <w:pPr>
              <w:spacing w:before="120" w:after="120"/>
              <w:jc w:val="both"/>
              <w:rPr>
                <w:rFonts w:ascii="Lucida Sans" w:hAnsi="Lucida Sans" w:cs="Calibri"/>
                <w:b/>
                <w:bCs/>
                <w:color w:val="000000"/>
                <w:szCs w:val="20"/>
                <w:lang w:eastAsia="fr-FR"/>
              </w:rPr>
            </w:pPr>
            <w:r w:rsidRPr="00373E2E">
              <w:rPr>
                <w:rFonts w:ascii="Lucida Sans" w:hAnsi="Lucida Sans" w:cs="Calibri"/>
                <w:b/>
                <w:bCs/>
                <w:color w:val="000000"/>
                <w:szCs w:val="20"/>
                <w:lang w:eastAsia="fr-FR"/>
              </w:rPr>
              <w:t>If you end/exit/surrender/terminate/lapse/ after 1 year</w:t>
            </w:r>
          </w:p>
        </w:tc>
        <w:tc>
          <w:tcPr>
            <w:tcW w:w="2835" w:type="dxa"/>
            <w:tcBorders>
              <w:top w:val="single" w:sz="8" w:space="0" w:color="auto"/>
              <w:left w:val="nil"/>
              <w:bottom w:val="single" w:sz="8" w:space="0" w:color="auto"/>
              <w:right w:val="single" w:sz="8" w:space="0" w:color="auto"/>
            </w:tcBorders>
            <w:shd w:val="clear" w:color="auto" w:fill="DDD9C3" w:themeFill="background2" w:themeFillShade="E6"/>
            <w:noWrap/>
            <w:vAlign w:val="center"/>
            <w:hideMark/>
          </w:tcPr>
          <w:p w14:paraId="432D180A" w14:textId="77777777" w:rsidR="00876461" w:rsidRPr="00373E2E" w:rsidRDefault="00876461" w:rsidP="00BF05DD">
            <w:pPr>
              <w:spacing w:before="120" w:after="120"/>
              <w:jc w:val="both"/>
              <w:rPr>
                <w:rFonts w:ascii="Lucida Sans" w:hAnsi="Lucida Sans" w:cs="Calibri"/>
                <w:b/>
                <w:bCs/>
                <w:color w:val="000000"/>
                <w:szCs w:val="20"/>
                <w:lang w:eastAsia="fr-FR"/>
              </w:rPr>
            </w:pPr>
            <w:r w:rsidRPr="00373E2E">
              <w:rPr>
                <w:rFonts w:ascii="Lucida Sans" w:hAnsi="Lucida Sans" w:cs="Calibri"/>
                <w:b/>
                <w:bCs/>
                <w:color w:val="000000"/>
                <w:szCs w:val="20"/>
                <w:lang w:eastAsia="fr-FR"/>
              </w:rPr>
              <w:t>If you exit after [recommended holding period] years</w:t>
            </w:r>
          </w:p>
        </w:tc>
      </w:tr>
      <w:tr w:rsidR="00876461" w:rsidRPr="00373E2E" w14:paraId="3453A5F1" w14:textId="77777777" w:rsidTr="00BF05DD">
        <w:trPr>
          <w:trHeight w:val="300"/>
        </w:trPr>
        <w:tc>
          <w:tcPr>
            <w:tcW w:w="4253" w:type="dxa"/>
            <w:tcBorders>
              <w:top w:val="single" w:sz="8" w:space="0" w:color="auto"/>
              <w:left w:val="single" w:sz="8" w:space="0" w:color="auto"/>
              <w:bottom w:val="nil"/>
              <w:right w:val="nil"/>
            </w:tcBorders>
            <w:shd w:val="clear" w:color="auto" w:fill="auto"/>
            <w:noWrap/>
            <w:vAlign w:val="center"/>
            <w:hideMark/>
          </w:tcPr>
          <w:p w14:paraId="00830DF4" w14:textId="77777777" w:rsidR="00876461" w:rsidRPr="00373E2E" w:rsidRDefault="00876461" w:rsidP="00BF05DD">
            <w:pPr>
              <w:spacing w:before="120" w:after="120"/>
              <w:jc w:val="both"/>
              <w:rPr>
                <w:rFonts w:ascii="Lucida Sans" w:hAnsi="Lucida Sans" w:cs="Calibri"/>
                <w:bCs/>
                <w:color w:val="FF0000"/>
                <w:szCs w:val="20"/>
                <w:lang w:eastAsia="fr-FR"/>
              </w:rPr>
            </w:pPr>
            <w:r w:rsidRPr="00373E2E">
              <w:rPr>
                <w:rFonts w:ascii="Lucida Sans" w:hAnsi="Lucida Sans" w:cs="Calibri"/>
                <w:bCs/>
                <w:color w:val="000000"/>
                <w:szCs w:val="20"/>
                <w:lang w:eastAsia="fr-FR"/>
              </w:rPr>
              <w:t xml:space="preserve">Total costs over time per year in € </w:t>
            </w:r>
          </w:p>
        </w:tc>
        <w:tc>
          <w:tcPr>
            <w:tcW w:w="2268" w:type="dxa"/>
            <w:tcBorders>
              <w:top w:val="nil"/>
              <w:left w:val="nil"/>
              <w:bottom w:val="nil"/>
              <w:right w:val="nil"/>
            </w:tcBorders>
            <w:shd w:val="clear" w:color="auto" w:fill="auto"/>
            <w:noWrap/>
            <w:vAlign w:val="center"/>
            <w:hideMark/>
          </w:tcPr>
          <w:p w14:paraId="3EBAFF24" w14:textId="77777777" w:rsidR="00876461" w:rsidRPr="00373E2E" w:rsidRDefault="00876461" w:rsidP="00BF05DD">
            <w:pPr>
              <w:spacing w:before="120" w:after="120"/>
              <w:jc w:val="both"/>
              <w:rPr>
                <w:rFonts w:ascii="Lucida Sans" w:hAnsi="Lucida Sans" w:cs="Calibri"/>
                <w:color w:val="000000"/>
                <w:szCs w:val="20"/>
                <w:lang w:eastAsia="fr-FR"/>
              </w:rPr>
            </w:pPr>
            <w:r w:rsidRPr="00373E2E">
              <w:rPr>
                <w:rFonts w:ascii="Lucida Sans" w:hAnsi="Lucida Sans"/>
                <w:szCs w:val="20"/>
              </w:rPr>
              <w:t>€</w:t>
            </w:r>
          </w:p>
        </w:tc>
        <w:tc>
          <w:tcPr>
            <w:tcW w:w="2835" w:type="dxa"/>
            <w:tcBorders>
              <w:top w:val="nil"/>
              <w:left w:val="nil"/>
              <w:bottom w:val="nil"/>
              <w:right w:val="single" w:sz="8" w:space="0" w:color="auto"/>
            </w:tcBorders>
            <w:shd w:val="clear" w:color="auto" w:fill="auto"/>
            <w:noWrap/>
            <w:vAlign w:val="center"/>
            <w:hideMark/>
          </w:tcPr>
          <w:p w14:paraId="26DAD615" w14:textId="77777777" w:rsidR="00876461" w:rsidRPr="00373E2E" w:rsidRDefault="00876461" w:rsidP="00BF05DD">
            <w:pPr>
              <w:spacing w:before="120" w:after="120"/>
              <w:jc w:val="both"/>
              <w:rPr>
                <w:rFonts w:ascii="Lucida Sans" w:hAnsi="Lucida Sans" w:cs="Calibri"/>
                <w:color w:val="000000"/>
                <w:szCs w:val="20"/>
                <w:lang w:eastAsia="fr-FR"/>
              </w:rPr>
            </w:pPr>
            <w:r w:rsidRPr="00373E2E">
              <w:rPr>
                <w:rFonts w:ascii="Lucida Sans" w:hAnsi="Lucida Sans"/>
                <w:szCs w:val="20"/>
              </w:rPr>
              <w:t>€</w:t>
            </w:r>
          </w:p>
        </w:tc>
      </w:tr>
      <w:tr w:rsidR="00876461" w:rsidRPr="00373E2E" w14:paraId="13A51BCE" w14:textId="77777777" w:rsidTr="00BF05DD">
        <w:trPr>
          <w:trHeight w:val="300"/>
        </w:trPr>
        <w:tc>
          <w:tcPr>
            <w:tcW w:w="4253" w:type="dxa"/>
            <w:tcBorders>
              <w:top w:val="nil"/>
              <w:left w:val="single" w:sz="8" w:space="0" w:color="auto"/>
              <w:bottom w:val="single" w:sz="4" w:space="0" w:color="auto"/>
              <w:right w:val="nil"/>
            </w:tcBorders>
            <w:shd w:val="clear" w:color="auto" w:fill="auto"/>
            <w:noWrap/>
            <w:vAlign w:val="center"/>
            <w:hideMark/>
          </w:tcPr>
          <w:p w14:paraId="0811DEE1" w14:textId="77777777" w:rsidR="00876461" w:rsidRPr="00373E2E" w:rsidRDefault="00876461" w:rsidP="00BF05DD">
            <w:pPr>
              <w:spacing w:before="120" w:after="120"/>
              <w:jc w:val="both"/>
              <w:rPr>
                <w:rFonts w:ascii="Lucida Sans" w:hAnsi="Lucida Sans" w:cs="Calibri"/>
                <w:color w:val="000000"/>
                <w:szCs w:val="20"/>
                <w:lang w:eastAsia="fr-FR"/>
              </w:rPr>
            </w:pPr>
            <w:r w:rsidRPr="00373E2E">
              <w:rPr>
                <w:rFonts w:ascii="Lucida Sans" w:hAnsi="Lucida Sans" w:cs="Calibri"/>
                <w:color w:val="000000"/>
                <w:szCs w:val="20"/>
                <w:lang w:eastAsia="fr-FR"/>
              </w:rPr>
              <w:t xml:space="preserve">Total costs over time per year in % </w:t>
            </w:r>
          </w:p>
        </w:tc>
        <w:tc>
          <w:tcPr>
            <w:tcW w:w="2268" w:type="dxa"/>
            <w:tcBorders>
              <w:top w:val="nil"/>
              <w:left w:val="nil"/>
              <w:bottom w:val="single" w:sz="4" w:space="0" w:color="auto"/>
              <w:right w:val="nil"/>
            </w:tcBorders>
            <w:shd w:val="clear" w:color="auto" w:fill="auto"/>
            <w:noWrap/>
            <w:vAlign w:val="center"/>
            <w:hideMark/>
          </w:tcPr>
          <w:p w14:paraId="30A0066D" w14:textId="77777777" w:rsidR="00876461" w:rsidRPr="00373E2E" w:rsidRDefault="00876461" w:rsidP="00BF05DD">
            <w:pPr>
              <w:spacing w:before="120" w:after="120"/>
              <w:jc w:val="both"/>
              <w:rPr>
                <w:rFonts w:ascii="Lucida Sans" w:hAnsi="Lucida Sans" w:cs="Calibri"/>
                <w:color w:val="000000"/>
                <w:szCs w:val="20"/>
                <w:lang w:eastAsia="fr-FR"/>
              </w:rPr>
            </w:pPr>
            <w:r w:rsidRPr="00373E2E">
              <w:rPr>
                <w:rFonts w:ascii="Lucida Sans" w:hAnsi="Lucida Sans"/>
                <w:szCs w:val="20"/>
              </w:rPr>
              <w:t>%</w:t>
            </w:r>
          </w:p>
        </w:tc>
        <w:tc>
          <w:tcPr>
            <w:tcW w:w="2835" w:type="dxa"/>
            <w:tcBorders>
              <w:top w:val="nil"/>
              <w:left w:val="nil"/>
              <w:bottom w:val="single" w:sz="4" w:space="0" w:color="auto"/>
              <w:right w:val="single" w:sz="8" w:space="0" w:color="auto"/>
            </w:tcBorders>
            <w:shd w:val="clear" w:color="auto" w:fill="auto"/>
            <w:noWrap/>
            <w:vAlign w:val="center"/>
            <w:hideMark/>
          </w:tcPr>
          <w:p w14:paraId="06234F47" w14:textId="77777777" w:rsidR="00876461" w:rsidRPr="00373E2E" w:rsidRDefault="00876461" w:rsidP="00BF05DD">
            <w:pPr>
              <w:spacing w:before="120" w:after="120"/>
              <w:jc w:val="both"/>
              <w:rPr>
                <w:rFonts w:ascii="Lucida Sans" w:hAnsi="Lucida Sans" w:cs="Calibri"/>
                <w:color w:val="000000"/>
                <w:szCs w:val="20"/>
                <w:lang w:eastAsia="fr-FR"/>
              </w:rPr>
            </w:pPr>
            <w:r w:rsidRPr="00373E2E">
              <w:rPr>
                <w:rFonts w:ascii="Lucida Sans" w:hAnsi="Lucida Sans"/>
                <w:szCs w:val="20"/>
              </w:rPr>
              <w:t>%</w:t>
            </w:r>
          </w:p>
        </w:tc>
      </w:tr>
      <w:tr w:rsidR="00876461" w:rsidRPr="00373E2E" w14:paraId="03585061" w14:textId="77777777" w:rsidTr="00BF05DD">
        <w:trPr>
          <w:trHeight w:val="300"/>
        </w:trPr>
        <w:tc>
          <w:tcPr>
            <w:tcW w:w="4253" w:type="dxa"/>
            <w:tcBorders>
              <w:top w:val="single" w:sz="4" w:space="0" w:color="auto"/>
              <w:left w:val="single" w:sz="4" w:space="0" w:color="auto"/>
              <w:bottom w:val="single" w:sz="4" w:space="0" w:color="auto"/>
              <w:right w:val="nil"/>
            </w:tcBorders>
            <w:shd w:val="clear" w:color="auto" w:fill="auto"/>
            <w:noWrap/>
            <w:vAlign w:val="center"/>
            <w:hideMark/>
          </w:tcPr>
          <w:p w14:paraId="40286C7A" w14:textId="77777777" w:rsidR="00876461" w:rsidRPr="00373E2E" w:rsidRDefault="00876461" w:rsidP="00BF05DD">
            <w:pPr>
              <w:spacing w:before="120" w:after="120"/>
              <w:jc w:val="both"/>
              <w:rPr>
                <w:rFonts w:ascii="Lucida Sans" w:hAnsi="Lucida Sans" w:cs="Calibri"/>
                <w:bCs/>
                <w:color w:val="000000"/>
                <w:szCs w:val="20"/>
                <w:lang w:eastAsia="fr-FR"/>
              </w:rPr>
            </w:pPr>
            <w:r w:rsidRPr="00373E2E">
              <w:rPr>
                <w:rFonts w:ascii="Lucida Sans" w:hAnsi="Lucida Sans" w:cs="Calibri"/>
                <w:bCs/>
                <w:color w:val="000000"/>
                <w:szCs w:val="20"/>
                <w:lang w:eastAsia="fr-FR"/>
              </w:rPr>
              <w:t>Reduction in return each year due to costs in %*</w:t>
            </w:r>
          </w:p>
        </w:tc>
        <w:tc>
          <w:tcPr>
            <w:tcW w:w="2268" w:type="dxa"/>
            <w:tcBorders>
              <w:top w:val="single" w:sz="4" w:space="0" w:color="auto"/>
              <w:left w:val="nil"/>
              <w:bottom w:val="single" w:sz="4" w:space="0" w:color="auto"/>
              <w:right w:val="nil"/>
            </w:tcBorders>
            <w:shd w:val="clear" w:color="auto" w:fill="auto"/>
            <w:noWrap/>
            <w:vAlign w:val="center"/>
            <w:hideMark/>
          </w:tcPr>
          <w:p w14:paraId="69D65876" w14:textId="77777777" w:rsidR="00876461" w:rsidRPr="00373E2E" w:rsidRDefault="00876461" w:rsidP="00BF05DD">
            <w:pPr>
              <w:spacing w:before="120" w:after="120"/>
              <w:jc w:val="both"/>
              <w:rPr>
                <w:rFonts w:ascii="Lucida Sans" w:hAnsi="Lucida Sans" w:cs="Calibri"/>
                <w:color w:val="000000"/>
                <w:szCs w:val="20"/>
                <w:lang w:eastAsia="fr-FR"/>
              </w:rPr>
            </w:pPr>
            <w:r w:rsidRPr="00373E2E">
              <w:rPr>
                <w:rFonts w:ascii="Lucida Sans" w:hAnsi="Lucida Sans"/>
                <w:szCs w:val="20"/>
              </w:rPr>
              <w:t>%</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5F0CA665" w14:textId="77777777" w:rsidR="00876461" w:rsidRPr="00373E2E" w:rsidRDefault="00876461" w:rsidP="00BF05DD">
            <w:pPr>
              <w:spacing w:before="120" w:after="120"/>
              <w:jc w:val="both"/>
              <w:rPr>
                <w:rFonts w:ascii="Lucida Sans" w:hAnsi="Lucida Sans" w:cs="Calibri"/>
                <w:color w:val="000000"/>
                <w:szCs w:val="20"/>
                <w:lang w:eastAsia="fr-FR"/>
              </w:rPr>
            </w:pPr>
            <w:r w:rsidRPr="00373E2E">
              <w:rPr>
                <w:rFonts w:ascii="Lucida Sans" w:hAnsi="Lucida Sans"/>
                <w:szCs w:val="20"/>
              </w:rPr>
              <w:t>%</w:t>
            </w:r>
          </w:p>
        </w:tc>
      </w:tr>
    </w:tbl>
    <w:p w14:paraId="6E104AFD" w14:textId="77777777" w:rsidR="00876461" w:rsidRPr="00373E2E" w:rsidRDefault="00876461" w:rsidP="00876461">
      <w:pPr>
        <w:spacing w:before="120" w:after="120"/>
        <w:jc w:val="both"/>
        <w:rPr>
          <w:rFonts w:ascii="Lucida Sans" w:hAnsi="Lucida Sans" w:cs="Calibri"/>
          <w:bCs/>
          <w:i/>
          <w:color w:val="000000"/>
          <w:szCs w:val="20"/>
          <w:lang w:eastAsia="fr-FR"/>
        </w:rPr>
      </w:pPr>
      <w:r w:rsidRPr="00373E2E">
        <w:rPr>
          <w:rFonts w:ascii="Lucida Sans" w:hAnsi="Lucida Sans" w:cs="Calibri"/>
          <w:bCs/>
          <w:i/>
          <w:color w:val="000000"/>
          <w:szCs w:val="20"/>
          <w:lang w:eastAsia="fr-FR"/>
        </w:rPr>
        <w:t>* We have assumed the product perform as shown in the moderate performance scenario</w:t>
      </w:r>
    </w:p>
    <w:p w14:paraId="0219BD22" w14:textId="77777777" w:rsidR="00876461" w:rsidRPr="00373E2E" w:rsidRDefault="00876461" w:rsidP="00876461">
      <w:pPr>
        <w:spacing w:before="120" w:after="120"/>
        <w:jc w:val="both"/>
        <w:rPr>
          <w:rFonts w:ascii="Lucida Sans" w:hAnsi="Lucida Sans"/>
          <w:szCs w:val="20"/>
        </w:rPr>
      </w:pPr>
      <w:r w:rsidRPr="00373E2E">
        <w:rPr>
          <w:rFonts w:ascii="Lucida Sans" w:hAnsi="Lucida Sans"/>
          <w:szCs w:val="20"/>
        </w:rPr>
        <w:t>Finally, in any case, we would suggest providing concrete examples to calculate the costs. These could be useful for the industry to confirm the understanding of how to get to the final numbers required.</w:t>
      </w:r>
    </w:p>
    <w:p w14:paraId="6D1C6021" w14:textId="0DAF94CD" w:rsidR="003E573C" w:rsidRDefault="003E573C" w:rsidP="003E573C">
      <w:pPr>
        <w:rPr>
          <w:rFonts w:cs="Arial"/>
        </w:rPr>
      </w:pP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653F00E2" w14:textId="77777777" w:rsidR="004E6A9A" w:rsidRPr="00373E2E" w:rsidRDefault="004E6A9A" w:rsidP="004E6A9A">
      <w:pPr>
        <w:spacing w:before="120" w:after="120"/>
        <w:jc w:val="both"/>
        <w:rPr>
          <w:rFonts w:ascii="Lucida Sans" w:hAnsi="Lucida Sans"/>
          <w:szCs w:val="20"/>
        </w:rPr>
      </w:pPr>
      <w:permStart w:id="855140723" w:edGrp="everyone"/>
      <w:r w:rsidRPr="00373E2E">
        <w:rPr>
          <w:rFonts w:ascii="Lucida Sans" w:hAnsi="Lucida Sans"/>
          <w:szCs w:val="20"/>
        </w:rPr>
        <w:lastRenderedPageBreak/>
        <w:t>No, as highlighted in our response to Q40, we are strongly against the proposed changes to the presentation of the impact of costs on the return in percentage terms (i.e. including a reduction in return before and after costs).</w:t>
      </w:r>
    </w:p>
    <w:p w14:paraId="3D11D6D0" w14:textId="4E7F3E64" w:rsidR="004E6A9A" w:rsidRPr="00373E2E" w:rsidRDefault="004E6A9A" w:rsidP="004E6A9A">
      <w:pPr>
        <w:spacing w:before="120" w:after="120"/>
        <w:jc w:val="both"/>
        <w:rPr>
          <w:rFonts w:ascii="Lucida Sans" w:hAnsi="Lucida Sans"/>
          <w:szCs w:val="20"/>
        </w:rPr>
      </w:pPr>
      <w:r w:rsidRPr="00373E2E">
        <w:rPr>
          <w:rFonts w:ascii="Lucida Sans" w:hAnsi="Lucida Sans"/>
          <w:szCs w:val="20"/>
        </w:rPr>
        <w:t>First</w:t>
      </w:r>
      <w:r w:rsidR="00403342">
        <w:rPr>
          <w:rFonts w:ascii="Lucida Sans" w:hAnsi="Lucida Sans"/>
          <w:szCs w:val="20"/>
        </w:rPr>
        <w:t>ly</w:t>
      </w:r>
      <w:r w:rsidRPr="00373E2E">
        <w:rPr>
          <w:rFonts w:ascii="Lucida Sans" w:hAnsi="Lucida Sans"/>
          <w:szCs w:val="20"/>
        </w:rPr>
        <w:t xml:space="preserve">, </w:t>
      </w:r>
      <w:proofErr w:type="gramStart"/>
      <w:r w:rsidR="00403342">
        <w:rPr>
          <w:rFonts w:ascii="Lucida Sans" w:hAnsi="Lucida Sans"/>
          <w:szCs w:val="20"/>
        </w:rPr>
        <w:t>in an effort to</w:t>
      </w:r>
      <w:proofErr w:type="gramEnd"/>
      <w:r w:rsidR="00403342">
        <w:rPr>
          <w:rFonts w:ascii="Lucida Sans" w:hAnsi="Lucida Sans"/>
          <w:szCs w:val="20"/>
        </w:rPr>
        <w:t xml:space="preserve"> </w:t>
      </w:r>
      <w:r w:rsidRPr="00373E2E">
        <w:rPr>
          <w:rFonts w:ascii="Lucida Sans" w:hAnsi="Lucida Sans"/>
          <w:szCs w:val="20"/>
        </w:rPr>
        <w:t>better explain the concept of reduction in yield/return, even more information is suggested to be presented to retail investors. We strongly doubt that this additional information (three lines instead of one) will be understood by retail investors.</w:t>
      </w:r>
    </w:p>
    <w:p w14:paraId="706AB4F0" w14:textId="070480DC" w:rsidR="004E6A9A" w:rsidRPr="00373E2E" w:rsidRDefault="004E6A9A" w:rsidP="004E6A9A">
      <w:pPr>
        <w:spacing w:before="120" w:after="120"/>
        <w:jc w:val="both"/>
        <w:rPr>
          <w:rFonts w:ascii="Lucida Sans" w:hAnsi="Lucida Sans"/>
          <w:szCs w:val="20"/>
        </w:rPr>
      </w:pPr>
      <w:r w:rsidRPr="00373E2E">
        <w:rPr>
          <w:rFonts w:ascii="Lucida Sans" w:hAnsi="Lucida Sans"/>
          <w:szCs w:val="20"/>
        </w:rPr>
        <w:t>Second</w:t>
      </w:r>
      <w:r w:rsidR="0072035F">
        <w:rPr>
          <w:rFonts w:ascii="Lucida Sans" w:hAnsi="Lucida Sans"/>
          <w:szCs w:val="20"/>
        </w:rPr>
        <w:t>ly</w:t>
      </w:r>
      <w:r w:rsidRPr="00373E2E">
        <w:rPr>
          <w:rFonts w:ascii="Lucida Sans" w:hAnsi="Lucida Sans"/>
          <w:szCs w:val="20"/>
        </w:rPr>
        <w:t>, the concept of disclosing a “return per year before costs” is conceptually and fundamentally flawed. This figure is pure fiction, as it requires PRIIPs manufacturers to re-include all costs into the PRIIP, resulting in a “super gross” figure (i.e. net returns without any costs) that assumes that there are no opportunity costs for investors. This would clearly mislead retail investors into believing that returns are for free. This disclosure therefore should be deleted</w:t>
      </w:r>
      <w:r w:rsidR="0072035F">
        <w:rPr>
          <w:rFonts w:ascii="Lucida Sans" w:hAnsi="Lucida Sans"/>
          <w:szCs w:val="20"/>
        </w:rPr>
        <w:t xml:space="preserve"> altogether</w:t>
      </w:r>
      <w:r w:rsidRPr="00373E2E">
        <w:rPr>
          <w:rFonts w:ascii="Lucida Sans" w:hAnsi="Lucida Sans"/>
          <w:szCs w:val="20"/>
        </w:rPr>
        <w:t>.</w:t>
      </w:r>
    </w:p>
    <w:p w14:paraId="2CA985EC" w14:textId="3FBA32E3" w:rsidR="003E573C" w:rsidRDefault="003E573C" w:rsidP="003E573C">
      <w:pPr>
        <w:rPr>
          <w:rFonts w:cs="Arial"/>
        </w:rPr>
      </w:pP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651A392A" w:rsidR="003E573C" w:rsidRDefault="00672877" w:rsidP="003E573C">
      <w:pPr>
        <w:rPr>
          <w:rFonts w:cs="Arial"/>
        </w:rPr>
      </w:pPr>
      <w:permStart w:id="1223957116" w:edGrp="everyone"/>
      <w:r w:rsidRPr="00373E2E">
        <w:rPr>
          <w:rFonts w:ascii="Lucida Sans" w:hAnsi="Lucida Sans"/>
          <w:szCs w:val="20"/>
        </w:rPr>
        <w:t>Please see our answers to Q39-42 above</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59E263A1" w14:textId="77777777" w:rsidR="00CA74D8" w:rsidRPr="00373E2E" w:rsidRDefault="00CA74D8" w:rsidP="00CA74D8">
      <w:pPr>
        <w:pStyle w:val="FCAHeadingLevel2"/>
        <w:autoSpaceDE w:val="0"/>
        <w:autoSpaceDN w:val="0"/>
        <w:adjustRightInd w:val="0"/>
        <w:spacing w:before="120" w:after="120" w:line="240" w:lineRule="auto"/>
        <w:rPr>
          <w:rFonts w:ascii="Lucida Sans" w:hAnsi="Lucida Sans"/>
          <w:b w:val="0"/>
          <w:i/>
          <w:color w:val="auto"/>
          <w:sz w:val="20"/>
          <w:szCs w:val="20"/>
        </w:rPr>
      </w:pPr>
      <w:permStart w:id="1305246923" w:edGrp="everyone"/>
      <w:r w:rsidRPr="00373E2E">
        <w:rPr>
          <w:rFonts w:ascii="Lucida Sans" w:hAnsi="Lucida Sans"/>
          <w:b w:val="0"/>
          <w:i/>
          <w:color w:val="auto"/>
          <w:sz w:val="20"/>
          <w:szCs w:val="20"/>
        </w:rPr>
        <w:t>Broad consideration on transaction costs</w:t>
      </w:r>
    </w:p>
    <w:p w14:paraId="5D14FFDD" w14:textId="77777777" w:rsidR="00CA74D8" w:rsidRPr="00373E2E" w:rsidRDefault="00CA74D8" w:rsidP="00CA74D8">
      <w:pPr>
        <w:pStyle w:val="FCAHeadingLevel2"/>
        <w:autoSpaceDE w:val="0"/>
        <w:autoSpaceDN w:val="0"/>
        <w:adjustRightInd w:val="0"/>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 xml:space="preserve">Transaction costs are incurred by the managers to gain exposure to the market or to change exposure in order to deliver performance. These costs result from the buying or selling financial instruments, securities, or real assets.  These buying and selling actions are necessary because of investor flow, rebalancing, new type of investment or ongoing risk management. </w:t>
      </w:r>
    </w:p>
    <w:p w14:paraId="09A89C1A" w14:textId="12E4E63C" w:rsidR="00CA74D8" w:rsidRPr="00373E2E" w:rsidRDefault="00CA74D8" w:rsidP="00CA74D8">
      <w:pPr>
        <w:pStyle w:val="FCAHeadingLevel2"/>
        <w:autoSpaceDE w:val="0"/>
        <w:autoSpaceDN w:val="0"/>
        <w:adjustRightInd w:val="0"/>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 xml:space="preserve">Implicit in any decision to </w:t>
      </w:r>
      <w:r w:rsidR="00F67A5C">
        <w:rPr>
          <w:rFonts w:ascii="Lucida Sans" w:hAnsi="Lucida Sans"/>
          <w:b w:val="0"/>
          <w:color w:val="auto"/>
          <w:sz w:val="20"/>
          <w:szCs w:val="20"/>
          <w:u w:val="none"/>
        </w:rPr>
        <w:t xml:space="preserve">give </w:t>
      </w:r>
      <w:r w:rsidRPr="00373E2E">
        <w:rPr>
          <w:rFonts w:ascii="Lucida Sans" w:hAnsi="Lucida Sans"/>
          <w:b w:val="0"/>
          <w:color w:val="auto"/>
          <w:sz w:val="20"/>
          <w:szCs w:val="20"/>
          <w:u w:val="none"/>
        </w:rPr>
        <w:t>evidence</w:t>
      </w:r>
      <w:r w:rsidR="00F67A5C">
        <w:rPr>
          <w:rFonts w:ascii="Lucida Sans" w:hAnsi="Lucida Sans"/>
          <w:b w:val="0"/>
          <w:color w:val="auto"/>
          <w:sz w:val="20"/>
          <w:szCs w:val="20"/>
          <w:u w:val="none"/>
        </w:rPr>
        <w:t xml:space="preserve"> of</w:t>
      </w:r>
      <w:r w:rsidRPr="00373E2E">
        <w:rPr>
          <w:rFonts w:ascii="Lucida Sans" w:hAnsi="Lucida Sans"/>
          <w:b w:val="0"/>
          <w:color w:val="auto"/>
          <w:sz w:val="20"/>
          <w:szCs w:val="20"/>
          <w:u w:val="none"/>
        </w:rPr>
        <w:t xml:space="preserve"> transaction costs is a view that asset managers benefit from incurring transaction costs and are not sufficiently incentivised to control them. This is not the case. High transaction costs that do not result in better outcomes will harm returns and returns are what managers are remunerated and judged </w:t>
      </w:r>
      <w:r w:rsidR="00F67A5C">
        <w:rPr>
          <w:rFonts w:ascii="Lucida Sans" w:hAnsi="Lucida Sans"/>
          <w:b w:val="0"/>
          <w:color w:val="auto"/>
          <w:sz w:val="20"/>
          <w:szCs w:val="20"/>
          <w:u w:val="none"/>
        </w:rPr>
        <w:t>up</w:t>
      </w:r>
      <w:r w:rsidRPr="00373E2E">
        <w:rPr>
          <w:rFonts w:ascii="Lucida Sans" w:hAnsi="Lucida Sans"/>
          <w:b w:val="0"/>
          <w:color w:val="auto"/>
          <w:sz w:val="20"/>
          <w:szCs w:val="20"/>
          <w:u w:val="none"/>
        </w:rPr>
        <w:t xml:space="preserve">on. </w:t>
      </w:r>
    </w:p>
    <w:p w14:paraId="24794A9E" w14:textId="675803A0" w:rsidR="00CA74D8" w:rsidRPr="00373E2E" w:rsidRDefault="00871A38" w:rsidP="00CA74D8">
      <w:pPr>
        <w:pStyle w:val="FCAHeadingLevel2"/>
        <w:autoSpaceDE w:val="0"/>
        <w:autoSpaceDN w:val="0"/>
        <w:adjustRightInd w:val="0"/>
        <w:spacing w:before="120" w:after="120" w:line="240" w:lineRule="auto"/>
        <w:rPr>
          <w:rFonts w:ascii="Lucida Sans" w:hAnsi="Lucida Sans"/>
          <w:b w:val="0"/>
          <w:color w:val="auto"/>
          <w:sz w:val="20"/>
          <w:szCs w:val="20"/>
          <w:u w:val="none"/>
        </w:rPr>
      </w:pPr>
      <w:proofErr w:type="gramStart"/>
      <w:r>
        <w:rPr>
          <w:rFonts w:ascii="Lucida Sans" w:hAnsi="Lucida Sans"/>
          <w:b w:val="0"/>
          <w:color w:val="auto"/>
          <w:sz w:val="20"/>
          <w:szCs w:val="20"/>
          <w:u w:val="none"/>
        </w:rPr>
        <w:t>Therefore</w:t>
      </w:r>
      <w:proofErr w:type="gramEnd"/>
      <w:r>
        <w:rPr>
          <w:rFonts w:ascii="Lucida Sans" w:hAnsi="Lucida Sans"/>
          <w:b w:val="0"/>
          <w:color w:val="auto"/>
          <w:sz w:val="20"/>
          <w:szCs w:val="20"/>
          <w:u w:val="none"/>
        </w:rPr>
        <w:t xml:space="preserve"> the objective of asset </w:t>
      </w:r>
      <w:r w:rsidR="00CA74D8" w:rsidRPr="00373E2E">
        <w:rPr>
          <w:rFonts w:ascii="Lucida Sans" w:hAnsi="Lucida Sans"/>
          <w:b w:val="0"/>
          <w:color w:val="auto"/>
          <w:sz w:val="20"/>
          <w:szCs w:val="20"/>
          <w:u w:val="none"/>
        </w:rPr>
        <w:t xml:space="preserve">managers is to minimise transaction costs for </w:t>
      </w:r>
      <w:r>
        <w:rPr>
          <w:rFonts w:ascii="Lucida Sans" w:hAnsi="Lucida Sans"/>
          <w:b w:val="0"/>
          <w:color w:val="auto"/>
          <w:sz w:val="20"/>
          <w:szCs w:val="20"/>
          <w:u w:val="none"/>
        </w:rPr>
        <w:t xml:space="preserve">in </w:t>
      </w:r>
      <w:r w:rsidR="00CA74D8" w:rsidRPr="00373E2E">
        <w:rPr>
          <w:rFonts w:ascii="Lucida Sans" w:hAnsi="Lucida Sans"/>
          <w:b w:val="0"/>
          <w:color w:val="auto"/>
          <w:sz w:val="20"/>
          <w:szCs w:val="20"/>
          <w:u w:val="none"/>
        </w:rPr>
        <w:t xml:space="preserve">the implementation of their investment decisions. </w:t>
      </w:r>
    </w:p>
    <w:p w14:paraId="5C305993" w14:textId="77777777" w:rsidR="00CA74D8" w:rsidRPr="00373E2E" w:rsidRDefault="00CA74D8" w:rsidP="00CA74D8">
      <w:pPr>
        <w:pStyle w:val="FCAHeadingLevel2"/>
        <w:autoSpaceDE w:val="0"/>
        <w:autoSpaceDN w:val="0"/>
        <w:adjustRightInd w:val="0"/>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There are two major issues with transaction costs:</w:t>
      </w:r>
    </w:p>
    <w:p w14:paraId="45E955DC" w14:textId="0D1CA808" w:rsidR="00CA74D8" w:rsidRPr="00373E2E" w:rsidRDefault="00CA74D8" w:rsidP="00303D05">
      <w:pPr>
        <w:pStyle w:val="FCAHeadingLevel2"/>
        <w:numPr>
          <w:ilvl w:val="2"/>
          <w:numId w:val="39"/>
        </w:numPr>
        <w:autoSpaceDE w:val="0"/>
        <w:autoSpaceDN w:val="0"/>
        <w:adjustRightInd w:val="0"/>
        <w:spacing w:before="120" w:after="120" w:line="240" w:lineRule="auto"/>
        <w:ind w:left="709"/>
        <w:rPr>
          <w:rFonts w:ascii="Lucida Sans" w:hAnsi="Lucida Sans"/>
          <w:b w:val="0"/>
          <w:color w:val="auto"/>
          <w:sz w:val="20"/>
          <w:szCs w:val="20"/>
          <w:u w:val="none"/>
        </w:rPr>
      </w:pPr>
      <w:r w:rsidRPr="00373E2E">
        <w:rPr>
          <w:rFonts w:ascii="Lucida Sans" w:hAnsi="Lucida Sans"/>
          <w:b w:val="0"/>
          <w:color w:val="auto"/>
          <w:sz w:val="20"/>
          <w:szCs w:val="20"/>
        </w:rPr>
        <w:t>total cashflow vs discretionary trading activity</w:t>
      </w:r>
      <w:r w:rsidRPr="00373E2E">
        <w:rPr>
          <w:rFonts w:ascii="Lucida Sans" w:hAnsi="Lucida Sans"/>
          <w:b w:val="0"/>
          <w:color w:val="auto"/>
          <w:sz w:val="20"/>
          <w:szCs w:val="20"/>
          <w:u w:val="none"/>
        </w:rPr>
        <w:t>: any PRIIP with strong positive/negative cashflows, will experience significant transaction costs as it seeks to invest/disinvest. In markets with significant transaction taxes (taxes, not brokerage) would be the main component of transaction costs. In addition, delegated Regulation introduce</w:t>
      </w:r>
      <w:r w:rsidR="0058207F">
        <w:rPr>
          <w:rFonts w:ascii="Lucida Sans" w:hAnsi="Lucida Sans"/>
          <w:b w:val="0"/>
          <w:color w:val="auto"/>
          <w:sz w:val="20"/>
          <w:szCs w:val="20"/>
          <w:u w:val="none"/>
        </w:rPr>
        <w:t>s</w:t>
      </w:r>
      <w:r w:rsidRPr="00373E2E">
        <w:rPr>
          <w:rFonts w:ascii="Lucida Sans" w:hAnsi="Lucida Sans"/>
          <w:b w:val="0"/>
          <w:color w:val="auto"/>
          <w:sz w:val="20"/>
          <w:szCs w:val="20"/>
          <w:u w:val="none"/>
        </w:rPr>
        <w:t xml:space="preserve"> some compensatory mechanism </w:t>
      </w:r>
      <w:r w:rsidR="00871A38">
        <w:rPr>
          <w:rFonts w:ascii="Lucida Sans" w:hAnsi="Lucida Sans"/>
          <w:b w:val="0"/>
          <w:color w:val="auto"/>
          <w:sz w:val="20"/>
          <w:szCs w:val="20"/>
          <w:u w:val="none"/>
        </w:rPr>
        <w:t xml:space="preserve">where </w:t>
      </w:r>
      <w:r w:rsidRPr="00373E2E">
        <w:rPr>
          <w:rFonts w:ascii="Lucida Sans" w:hAnsi="Lucida Sans"/>
          <w:b w:val="0"/>
          <w:color w:val="auto"/>
          <w:sz w:val="20"/>
          <w:szCs w:val="20"/>
          <w:u w:val="none"/>
        </w:rPr>
        <w:t xml:space="preserve">anti-dilution mechanism </w:t>
      </w:r>
      <w:proofErr w:type="gramStart"/>
      <w:r w:rsidRPr="00373E2E">
        <w:rPr>
          <w:rFonts w:ascii="Lucida Sans" w:hAnsi="Lucida Sans"/>
          <w:b w:val="0"/>
          <w:color w:val="auto"/>
          <w:sz w:val="20"/>
          <w:szCs w:val="20"/>
          <w:u w:val="none"/>
        </w:rPr>
        <w:t>apply</w:t>
      </w:r>
      <w:proofErr w:type="gramEnd"/>
      <w:r w:rsidRPr="00373E2E">
        <w:rPr>
          <w:rFonts w:ascii="Lucida Sans" w:hAnsi="Lucida Sans"/>
          <w:b w:val="0"/>
          <w:color w:val="auto"/>
          <w:sz w:val="20"/>
          <w:szCs w:val="20"/>
          <w:u w:val="none"/>
        </w:rPr>
        <w:t xml:space="preserve">, but it </w:t>
      </w:r>
      <w:r w:rsidR="0058207F">
        <w:rPr>
          <w:rFonts w:ascii="Lucida Sans" w:hAnsi="Lucida Sans"/>
          <w:b w:val="0"/>
          <w:color w:val="auto"/>
          <w:sz w:val="20"/>
          <w:szCs w:val="20"/>
          <w:u w:val="none"/>
        </w:rPr>
        <w:t xml:space="preserve">is </w:t>
      </w:r>
      <w:r w:rsidRPr="00373E2E">
        <w:rPr>
          <w:rFonts w:ascii="Lucida Sans" w:hAnsi="Lucida Sans"/>
          <w:b w:val="0"/>
          <w:color w:val="auto"/>
          <w:sz w:val="20"/>
          <w:szCs w:val="20"/>
          <w:u w:val="none"/>
        </w:rPr>
        <w:t xml:space="preserve">worth noting that such mechanism may be not available in all jurisdiction. Therefore, competition issues may arise. </w:t>
      </w:r>
    </w:p>
    <w:p w14:paraId="238FC39F" w14:textId="71664A4F" w:rsidR="00CA74D8" w:rsidRPr="00373E2E" w:rsidRDefault="00CA74D8" w:rsidP="00303D05">
      <w:pPr>
        <w:pStyle w:val="FCAHeadingLevel2"/>
        <w:numPr>
          <w:ilvl w:val="2"/>
          <w:numId w:val="39"/>
        </w:numPr>
        <w:autoSpaceDE w:val="0"/>
        <w:autoSpaceDN w:val="0"/>
        <w:adjustRightInd w:val="0"/>
        <w:spacing w:before="120" w:after="120" w:line="240" w:lineRule="auto"/>
        <w:ind w:left="709"/>
        <w:rPr>
          <w:rFonts w:ascii="Lucida Sans" w:hAnsi="Lucida Sans"/>
          <w:b w:val="0"/>
          <w:color w:val="auto"/>
          <w:sz w:val="20"/>
          <w:szCs w:val="20"/>
          <w:u w:val="none"/>
        </w:rPr>
      </w:pPr>
      <w:r w:rsidRPr="00373E2E">
        <w:rPr>
          <w:rFonts w:ascii="Lucida Sans" w:hAnsi="Lucida Sans"/>
          <w:b w:val="0"/>
          <w:color w:val="auto"/>
          <w:sz w:val="20"/>
          <w:szCs w:val="20"/>
        </w:rPr>
        <w:t>operational challenges in calculating and quantify transaction costs.</w:t>
      </w:r>
      <w:r w:rsidRPr="00373E2E">
        <w:rPr>
          <w:rFonts w:ascii="Lucida Sans" w:hAnsi="Lucida Sans"/>
          <w:b w:val="0"/>
          <w:color w:val="auto"/>
          <w:sz w:val="20"/>
          <w:szCs w:val="20"/>
          <w:u w:val="none"/>
        </w:rPr>
        <w:t xml:space="preserve"> Although explicit transaction costs can</w:t>
      </w:r>
      <w:r w:rsidR="00EF10B5">
        <w:rPr>
          <w:rFonts w:ascii="Lucida Sans" w:hAnsi="Lucida Sans"/>
          <w:b w:val="0"/>
          <w:color w:val="auto"/>
          <w:sz w:val="20"/>
          <w:szCs w:val="20"/>
          <w:u w:val="none"/>
        </w:rPr>
        <w:t xml:space="preserve">, at least ex-post, </w:t>
      </w:r>
      <w:r w:rsidR="002B4542">
        <w:rPr>
          <w:rFonts w:ascii="Lucida Sans" w:hAnsi="Lucida Sans"/>
          <w:b w:val="0"/>
          <w:color w:val="auto"/>
          <w:sz w:val="20"/>
          <w:szCs w:val="20"/>
          <w:u w:val="none"/>
        </w:rPr>
        <w:t xml:space="preserve">be </w:t>
      </w:r>
      <w:r w:rsidRPr="00373E2E">
        <w:rPr>
          <w:rFonts w:ascii="Lucida Sans" w:hAnsi="Lucida Sans"/>
          <w:b w:val="0"/>
          <w:color w:val="auto"/>
          <w:sz w:val="20"/>
          <w:szCs w:val="20"/>
          <w:u w:val="none"/>
        </w:rPr>
        <w:t>precisely accounted</w:t>
      </w:r>
      <w:r w:rsidR="005E3F60">
        <w:rPr>
          <w:rFonts w:ascii="Lucida Sans" w:hAnsi="Lucida Sans"/>
          <w:b w:val="0"/>
          <w:color w:val="auto"/>
          <w:sz w:val="20"/>
          <w:szCs w:val="20"/>
          <w:u w:val="none"/>
        </w:rPr>
        <w:t>,</w:t>
      </w:r>
      <w:r w:rsidRPr="00373E2E">
        <w:rPr>
          <w:rFonts w:ascii="Lucida Sans" w:hAnsi="Lucida Sans"/>
          <w:b w:val="0"/>
          <w:color w:val="auto"/>
          <w:sz w:val="20"/>
          <w:szCs w:val="20"/>
          <w:u w:val="none"/>
        </w:rPr>
        <w:t xml:space="preserve"> implicit costs can only ever be estimated. As a result, there would be a real risk of introducing distortions into investor decision-making, where the choice of the products would depend of the amount of such figure. </w:t>
      </w:r>
    </w:p>
    <w:p w14:paraId="5D507769" w14:textId="77777777" w:rsidR="00CA74D8" w:rsidRPr="00373E2E" w:rsidRDefault="00CA74D8" w:rsidP="00CA74D8">
      <w:pPr>
        <w:pStyle w:val="FCAHeadingLevel2"/>
        <w:autoSpaceDE w:val="0"/>
        <w:autoSpaceDN w:val="0"/>
        <w:adjustRightInd w:val="0"/>
        <w:spacing w:before="120" w:after="120" w:line="240" w:lineRule="auto"/>
        <w:rPr>
          <w:rFonts w:ascii="Lucida Sans" w:hAnsi="Lucida Sans"/>
          <w:b w:val="0"/>
          <w:color w:val="auto"/>
          <w:sz w:val="20"/>
          <w:szCs w:val="20"/>
          <w:u w:val="none"/>
        </w:rPr>
      </w:pPr>
    </w:p>
    <w:p w14:paraId="7301F060" w14:textId="56B49C26" w:rsidR="00CA74D8" w:rsidRPr="00373E2E" w:rsidRDefault="00CA74D8" w:rsidP="00CA74D8">
      <w:pPr>
        <w:spacing w:before="120" w:after="120"/>
        <w:jc w:val="both"/>
        <w:rPr>
          <w:rFonts w:ascii="Lucida Sans" w:hAnsi="Lucida Sans"/>
          <w:szCs w:val="20"/>
        </w:rPr>
      </w:pPr>
      <w:r w:rsidRPr="00373E2E">
        <w:rPr>
          <w:rFonts w:ascii="Lucida Sans" w:hAnsi="Lucida Sans"/>
          <w:szCs w:val="20"/>
        </w:rPr>
        <w:t xml:space="preserve">In consideration of </w:t>
      </w:r>
      <w:r w:rsidR="002B4542">
        <w:rPr>
          <w:rFonts w:ascii="Lucida Sans" w:hAnsi="Lucida Sans"/>
          <w:szCs w:val="20"/>
        </w:rPr>
        <w:t xml:space="preserve">the </w:t>
      </w:r>
      <w:r w:rsidRPr="00373E2E">
        <w:rPr>
          <w:rFonts w:ascii="Lucida Sans" w:hAnsi="Lucida Sans"/>
          <w:szCs w:val="20"/>
        </w:rPr>
        <w:t xml:space="preserve">above, transaction costs should be illustrated to the investors in the pre-contractual document but not included in the total aggregate cost indicator. The illustration of such costs should be under the line, in coherence with performance fee disclosure under the UCITS KIID. </w:t>
      </w:r>
      <w:r w:rsidRPr="00373E2E">
        <w:rPr>
          <w:rFonts w:ascii="Lucida Sans" w:hAnsi="Lucida Sans"/>
          <w:szCs w:val="20"/>
        </w:rPr>
        <w:lastRenderedPageBreak/>
        <w:t>Therefore, we strongly support an amendment of the relevant Level 1 provision both for PRIIPs and MiFID).</w:t>
      </w:r>
    </w:p>
    <w:p w14:paraId="2C6F8F08" w14:textId="77777777" w:rsidR="00CA74D8" w:rsidRPr="00373E2E" w:rsidRDefault="00CA74D8" w:rsidP="00CA74D8">
      <w:pPr>
        <w:pStyle w:val="FCAHeadingLevel2"/>
        <w:autoSpaceDE w:val="0"/>
        <w:autoSpaceDN w:val="0"/>
        <w:adjustRightInd w:val="0"/>
        <w:spacing w:before="120" w:after="120" w:line="240" w:lineRule="auto"/>
        <w:rPr>
          <w:rFonts w:ascii="Lucida Sans" w:hAnsi="Lucida Sans"/>
          <w:b w:val="0"/>
          <w:i/>
          <w:color w:val="auto"/>
          <w:sz w:val="20"/>
          <w:szCs w:val="20"/>
        </w:rPr>
      </w:pPr>
      <w:r w:rsidRPr="00373E2E">
        <w:rPr>
          <w:rFonts w:ascii="Lucida Sans" w:hAnsi="Lucida Sans"/>
          <w:b w:val="0"/>
          <w:i/>
          <w:color w:val="auto"/>
          <w:sz w:val="20"/>
          <w:szCs w:val="20"/>
        </w:rPr>
        <w:t>Specific consideration on transaction costs</w:t>
      </w:r>
    </w:p>
    <w:p w14:paraId="4ECEFEFF" w14:textId="3D5ADF39" w:rsidR="00CA74D8" w:rsidRPr="00373E2E" w:rsidRDefault="00CA74D8" w:rsidP="00CA74D8">
      <w:pPr>
        <w:spacing w:before="120" w:after="120"/>
        <w:jc w:val="both"/>
        <w:rPr>
          <w:rFonts w:ascii="Lucida Sans" w:hAnsi="Lucida Sans"/>
          <w:szCs w:val="20"/>
        </w:rPr>
      </w:pPr>
      <w:r w:rsidRPr="00373E2E">
        <w:rPr>
          <w:rFonts w:ascii="Lucida Sans" w:hAnsi="Lucida Sans"/>
          <w:szCs w:val="20"/>
        </w:rPr>
        <w:t xml:space="preserve">We see some value when the ESAs proposed in the consultation paper some derogations </w:t>
      </w:r>
      <w:r w:rsidR="002B4542">
        <w:rPr>
          <w:rFonts w:ascii="Lucida Sans" w:hAnsi="Lucida Sans"/>
          <w:szCs w:val="20"/>
        </w:rPr>
        <w:t>to</w:t>
      </w:r>
      <w:r w:rsidRPr="00373E2E">
        <w:rPr>
          <w:rFonts w:ascii="Lucida Sans" w:hAnsi="Lucida Sans"/>
          <w:szCs w:val="20"/>
        </w:rPr>
        <w:t xml:space="preserve"> the methodologies for the calculation of transaction cost, especially in Option 2. </w:t>
      </w:r>
      <w:r w:rsidR="002B4542">
        <w:rPr>
          <w:rFonts w:ascii="Lucida Sans" w:hAnsi="Lucida Sans"/>
          <w:szCs w:val="20"/>
        </w:rPr>
        <w:t>However, w</w:t>
      </w:r>
      <w:r w:rsidRPr="00373E2E">
        <w:rPr>
          <w:rFonts w:ascii="Lucida Sans" w:hAnsi="Lucida Sans"/>
          <w:szCs w:val="20"/>
        </w:rPr>
        <w:t xml:space="preserve">e invite </w:t>
      </w:r>
      <w:r w:rsidR="001A02C8">
        <w:rPr>
          <w:rFonts w:ascii="Lucida Sans" w:hAnsi="Lucida Sans"/>
          <w:szCs w:val="20"/>
        </w:rPr>
        <w:t xml:space="preserve">to move </w:t>
      </w:r>
      <w:r w:rsidRPr="00373E2E">
        <w:rPr>
          <w:rFonts w:ascii="Lucida Sans" w:hAnsi="Lucida Sans"/>
          <w:szCs w:val="20"/>
        </w:rPr>
        <w:t xml:space="preserve">a step forward and clearly provide two methodologies for their calculation.  </w:t>
      </w:r>
      <w:r w:rsidR="001A02C8">
        <w:rPr>
          <w:rFonts w:ascii="Lucida Sans" w:hAnsi="Lucida Sans"/>
          <w:szCs w:val="20"/>
        </w:rPr>
        <w:t>Whatever</w:t>
      </w:r>
      <w:r w:rsidR="00DF16D9">
        <w:rPr>
          <w:rFonts w:ascii="Lucida Sans" w:hAnsi="Lucida Sans"/>
          <w:szCs w:val="20"/>
        </w:rPr>
        <w:t xml:space="preserve"> the </w:t>
      </w:r>
      <w:r w:rsidRPr="00373E2E">
        <w:rPr>
          <w:rFonts w:ascii="Lucida Sans" w:hAnsi="Lucida Sans"/>
          <w:szCs w:val="20"/>
        </w:rPr>
        <w:t xml:space="preserve">fallback option </w:t>
      </w:r>
      <w:r w:rsidR="00DF16D9">
        <w:rPr>
          <w:rFonts w:ascii="Lucida Sans" w:hAnsi="Lucida Sans"/>
          <w:szCs w:val="20"/>
        </w:rPr>
        <w:t xml:space="preserve">may be the derogation would not still be workable for </w:t>
      </w:r>
      <w:r w:rsidRPr="00373E2E">
        <w:rPr>
          <w:rFonts w:ascii="Lucida Sans" w:hAnsi="Lucida Sans"/>
          <w:szCs w:val="20"/>
        </w:rPr>
        <w:t xml:space="preserve">most asset managers. </w:t>
      </w:r>
    </w:p>
    <w:p w14:paraId="76195559" w14:textId="77777777" w:rsidR="00CA74D8" w:rsidRPr="00373E2E" w:rsidRDefault="00CA74D8" w:rsidP="00CA74D8">
      <w:pPr>
        <w:spacing w:before="120" w:after="120"/>
        <w:jc w:val="both"/>
        <w:rPr>
          <w:rFonts w:ascii="Lucida Sans" w:hAnsi="Lucida Sans"/>
          <w:szCs w:val="20"/>
        </w:rPr>
      </w:pPr>
      <w:r w:rsidRPr="00373E2E">
        <w:rPr>
          <w:rFonts w:ascii="Lucida Sans" w:hAnsi="Lucida Sans"/>
          <w:szCs w:val="20"/>
        </w:rPr>
        <w:t>It should be possible to calculate transaction costs as either of the following:</w:t>
      </w:r>
    </w:p>
    <w:p w14:paraId="44EC39EF" w14:textId="77777777" w:rsidR="00CA74D8" w:rsidRPr="00373E2E" w:rsidRDefault="00CA74D8" w:rsidP="00303D05">
      <w:pPr>
        <w:pStyle w:val="FCAHeadingLevel2"/>
        <w:numPr>
          <w:ilvl w:val="1"/>
          <w:numId w:val="39"/>
        </w:numPr>
        <w:spacing w:before="120" w:after="120" w:line="240" w:lineRule="auto"/>
        <w:ind w:left="426"/>
        <w:rPr>
          <w:rFonts w:ascii="Lucida Sans" w:hAnsi="Lucida Sans"/>
          <w:b w:val="0"/>
          <w:color w:val="auto"/>
          <w:sz w:val="20"/>
          <w:szCs w:val="20"/>
          <w:u w:val="none"/>
        </w:rPr>
      </w:pPr>
      <w:r w:rsidRPr="00373E2E">
        <w:rPr>
          <w:rFonts w:ascii="Lucida Sans" w:hAnsi="Lucida Sans"/>
          <w:color w:val="auto"/>
          <w:sz w:val="20"/>
          <w:szCs w:val="20"/>
          <w:u w:val="none"/>
        </w:rPr>
        <w:t>use standardised transaction costs figures for implicit transactions costs</w:t>
      </w:r>
      <w:r w:rsidRPr="00373E2E">
        <w:rPr>
          <w:rFonts w:ascii="Lucida Sans" w:hAnsi="Lucida Sans"/>
          <w:b w:val="0"/>
          <w:color w:val="auto"/>
          <w:sz w:val="20"/>
          <w:szCs w:val="20"/>
          <w:u w:val="none"/>
        </w:rPr>
        <w:t xml:space="preserve">, improving the proposed methodology applied for new PRIIPs (please see our proposal below). In line with a proportional regulatory approach, a “simplified” method where the ESAs or a third independent party provide the relevant figures free of charge, would require cheaper, less time consuming, more reliable systems, given the challenge of what </w:t>
      </w:r>
      <w:proofErr w:type="gramStart"/>
      <w:r w:rsidRPr="00373E2E">
        <w:rPr>
          <w:rFonts w:ascii="Lucida Sans" w:hAnsi="Lucida Sans"/>
          <w:b w:val="0"/>
          <w:color w:val="auto"/>
          <w:sz w:val="20"/>
          <w:szCs w:val="20"/>
          <w:u w:val="none"/>
        </w:rPr>
        <w:t>has to</w:t>
      </w:r>
      <w:proofErr w:type="gramEnd"/>
      <w:r w:rsidRPr="00373E2E">
        <w:rPr>
          <w:rFonts w:ascii="Lucida Sans" w:hAnsi="Lucida Sans"/>
          <w:b w:val="0"/>
          <w:color w:val="auto"/>
          <w:sz w:val="20"/>
          <w:szCs w:val="20"/>
          <w:u w:val="none"/>
        </w:rPr>
        <w:t xml:space="preserve"> be measured. The above would be in line also with the systems already applied by asset managers to provide transaction cost figures for the purpose of MiFID II disclosure. Furthermore, a single European provider will also ensure that there are no divergences between EU Member States. It is worth noting that the figures might be provided directly by ESAs. European authorities could provide relevant figures in line with the work already done in other fields</w:t>
      </w:r>
      <w:r w:rsidRPr="00373E2E">
        <w:rPr>
          <w:rStyle w:val="Rimandonotaapidipagina"/>
          <w:rFonts w:ascii="Lucida Sans" w:hAnsi="Lucida Sans"/>
          <w:b w:val="0"/>
          <w:color w:val="auto"/>
          <w:sz w:val="20"/>
          <w:szCs w:val="20"/>
          <w:u w:val="none"/>
        </w:rPr>
        <w:footnoteReference w:id="12"/>
      </w:r>
      <w:r w:rsidRPr="00373E2E">
        <w:rPr>
          <w:rFonts w:ascii="Lucida Sans" w:hAnsi="Lucida Sans"/>
          <w:b w:val="0"/>
          <w:color w:val="auto"/>
          <w:sz w:val="20"/>
          <w:szCs w:val="20"/>
          <w:u w:val="none"/>
        </w:rPr>
        <w:t>.</w:t>
      </w:r>
    </w:p>
    <w:p w14:paraId="35775061" w14:textId="77777777" w:rsidR="00CA74D8" w:rsidRPr="00373E2E" w:rsidRDefault="00CA74D8" w:rsidP="00303D05">
      <w:pPr>
        <w:pStyle w:val="FCAHeadingLevel2"/>
        <w:numPr>
          <w:ilvl w:val="1"/>
          <w:numId w:val="39"/>
        </w:numPr>
        <w:spacing w:before="120" w:after="120" w:line="240" w:lineRule="auto"/>
        <w:ind w:left="426"/>
        <w:rPr>
          <w:rFonts w:ascii="Lucida Sans" w:hAnsi="Lucida Sans"/>
          <w:b w:val="0"/>
          <w:color w:val="auto"/>
          <w:sz w:val="20"/>
          <w:szCs w:val="20"/>
          <w:u w:val="none"/>
        </w:rPr>
      </w:pPr>
      <w:r w:rsidRPr="00373E2E">
        <w:rPr>
          <w:rFonts w:ascii="Lucida Sans" w:hAnsi="Lucida Sans"/>
          <w:color w:val="auto"/>
          <w:sz w:val="20"/>
          <w:szCs w:val="20"/>
          <w:u w:val="none"/>
        </w:rPr>
        <w:t xml:space="preserve">use a more empirical calculation that avoids the slippage drawdown </w:t>
      </w:r>
      <w:r w:rsidRPr="00373E2E">
        <w:rPr>
          <w:rFonts w:ascii="Lucida Sans" w:hAnsi="Lucida Sans"/>
          <w:b w:val="0"/>
          <w:color w:val="auto"/>
          <w:sz w:val="20"/>
          <w:szCs w:val="20"/>
          <w:u w:val="none"/>
        </w:rPr>
        <w:t xml:space="preserve">i.e. compare the execution price against the mid-market price when a trade takes place, rather than against the arrival price. This aspect is of specific relevance for the treatment of costs resulting from the market impact of transactions which shall be disregarded for the purpose of MiFID II disclosure. </w:t>
      </w:r>
    </w:p>
    <w:p w14:paraId="3D5368D0" w14:textId="77777777" w:rsidR="00CA74D8" w:rsidRPr="00373E2E" w:rsidRDefault="00CA74D8" w:rsidP="00CA74D8">
      <w:pPr>
        <w:autoSpaceDE w:val="0"/>
        <w:autoSpaceDN w:val="0"/>
        <w:adjustRightInd w:val="0"/>
        <w:jc w:val="both"/>
        <w:rPr>
          <w:rFonts w:ascii="Lucida Sans" w:hAnsi="Lucida Sans"/>
          <w:szCs w:val="20"/>
        </w:rPr>
      </w:pPr>
      <w:r w:rsidRPr="00373E2E">
        <w:rPr>
          <w:rFonts w:ascii="Lucida Sans" w:hAnsi="Lucida Sans"/>
          <w:szCs w:val="20"/>
        </w:rPr>
        <w:t>For a well-informed disclosure to investor, the PRIIPs should disclose the method used to calculate transaction costs i.e. standard table or actual costs. Please see our suggestions for the presentation of costs - table 2 in our response to Q39.</w:t>
      </w:r>
    </w:p>
    <w:p w14:paraId="43E8C9A8" w14:textId="77777777" w:rsidR="00CA74D8" w:rsidRPr="00373E2E" w:rsidRDefault="00CA74D8" w:rsidP="00CA74D8">
      <w:pPr>
        <w:autoSpaceDE w:val="0"/>
        <w:autoSpaceDN w:val="0"/>
        <w:adjustRightInd w:val="0"/>
        <w:jc w:val="both"/>
        <w:rPr>
          <w:rFonts w:ascii="Lucida Sans" w:hAnsi="Lucida Sans"/>
          <w:szCs w:val="20"/>
        </w:rPr>
      </w:pPr>
    </w:p>
    <w:p w14:paraId="548D008E" w14:textId="685F2991" w:rsidR="00CA74D8" w:rsidRPr="00373E2E" w:rsidRDefault="00CA74D8" w:rsidP="00CA74D8">
      <w:pPr>
        <w:autoSpaceDE w:val="0"/>
        <w:autoSpaceDN w:val="0"/>
        <w:adjustRightInd w:val="0"/>
        <w:jc w:val="both"/>
        <w:rPr>
          <w:rFonts w:ascii="Lucida Sans" w:hAnsi="Lucida Sans"/>
          <w:szCs w:val="20"/>
        </w:rPr>
      </w:pPr>
      <w:r w:rsidRPr="00373E2E">
        <w:rPr>
          <w:rFonts w:ascii="Lucida Sans" w:hAnsi="Lucida Sans"/>
          <w:szCs w:val="20"/>
        </w:rPr>
        <w:t>We would also highlight that if a standardised spread table could not be possible to use, except for funds, UCITS and AIF benefitting from the “UCITS exemption” should start to collect historical data (up to three years). We ask therefore to keep a derogation: until the end of the exemption period (currently 31 December 2021) exempted funds may calculate transaction costs for that period using costs coming from a standard spread table. It would also be very welcomed if asset manager could rely on data relating to “historical transaction costs” used in the context of the MiFID disclosure. Asset manager</w:t>
      </w:r>
      <w:r w:rsidR="00BE3A34">
        <w:rPr>
          <w:rFonts w:ascii="Lucida Sans" w:hAnsi="Lucida Sans"/>
          <w:szCs w:val="20"/>
        </w:rPr>
        <w:t>s</w:t>
      </w:r>
      <w:r w:rsidRPr="00373E2E">
        <w:rPr>
          <w:rFonts w:ascii="Lucida Sans" w:hAnsi="Lucida Sans"/>
          <w:szCs w:val="20"/>
        </w:rPr>
        <w:t xml:space="preserve"> have indeed provided to third distributors the relevant data and this </w:t>
      </w:r>
      <w:r w:rsidR="00A30C68">
        <w:rPr>
          <w:rFonts w:ascii="Lucida Sans" w:hAnsi="Lucida Sans"/>
          <w:szCs w:val="20"/>
        </w:rPr>
        <w:t>derogation</w:t>
      </w:r>
      <w:r w:rsidRPr="00373E2E">
        <w:rPr>
          <w:rFonts w:ascii="Lucida Sans" w:hAnsi="Lucida Sans"/>
          <w:szCs w:val="20"/>
        </w:rPr>
        <w:t xml:space="preserve"> will ensure continuity in the evidence provided to investors. </w:t>
      </w:r>
    </w:p>
    <w:p w14:paraId="405B2F36" w14:textId="77777777" w:rsidR="00CA74D8" w:rsidRPr="00373E2E" w:rsidRDefault="00CA74D8" w:rsidP="00CA74D8">
      <w:pPr>
        <w:autoSpaceDE w:val="0"/>
        <w:autoSpaceDN w:val="0"/>
        <w:adjustRightInd w:val="0"/>
        <w:jc w:val="both"/>
        <w:rPr>
          <w:rFonts w:ascii="Lucida Sans" w:hAnsi="Lucida Sans"/>
          <w:szCs w:val="20"/>
        </w:rPr>
      </w:pPr>
    </w:p>
    <w:p w14:paraId="052F0C7A" w14:textId="77777777" w:rsidR="00CA74D8" w:rsidRPr="00373E2E" w:rsidRDefault="00CA74D8" w:rsidP="00CA74D8">
      <w:pPr>
        <w:spacing w:before="120" w:after="120"/>
        <w:jc w:val="center"/>
        <w:rPr>
          <w:rFonts w:ascii="Lucida Sans" w:hAnsi="Lucida Sans"/>
          <w:szCs w:val="20"/>
        </w:rPr>
      </w:pPr>
      <w:r w:rsidRPr="00373E2E">
        <w:rPr>
          <w:rFonts w:ascii="Lucida Sans" w:hAnsi="Lucida Sans"/>
          <w:szCs w:val="20"/>
        </w:rPr>
        <w:t>***</w:t>
      </w:r>
    </w:p>
    <w:p w14:paraId="78FE6056" w14:textId="77777777" w:rsidR="00CA74D8" w:rsidRPr="00373E2E" w:rsidRDefault="00CA74D8" w:rsidP="00CA74D8">
      <w:pPr>
        <w:spacing w:before="120" w:after="120"/>
        <w:jc w:val="both"/>
        <w:rPr>
          <w:rFonts w:ascii="Lucida Sans" w:hAnsi="Lucida Sans"/>
          <w:b/>
          <w:szCs w:val="20"/>
        </w:rPr>
      </w:pPr>
      <w:r w:rsidRPr="00373E2E">
        <w:rPr>
          <w:rFonts w:ascii="Lucida Sans" w:hAnsi="Lucida Sans"/>
          <w:b/>
          <w:szCs w:val="20"/>
        </w:rPr>
        <w:t>Points 7 to 23 of Annex VI to be replaced by the following:</w:t>
      </w:r>
    </w:p>
    <w:p w14:paraId="51C2B00A" w14:textId="77777777" w:rsidR="00CA74D8" w:rsidRPr="00373E2E" w:rsidRDefault="00CA74D8" w:rsidP="00CA74D8">
      <w:pPr>
        <w:spacing w:before="120" w:after="120"/>
        <w:jc w:val="both"/>
        <w:rPr>
          <w:rFonts w:ascii="Lucida Sans" w:hAnsi="Lucida Sans"/>
          <w:b/>
          <w:szCs w:val="20"/>
        </w:rPr>
      </w:pPr>
      <w:r w:rsidRPr="00373E2E">
        <w:rPr>
          <w:rFonts w:ascii="Lucida Sans" w:hAnsi="Lucida Sans"/>
          <w:b/>
          <w:szCs w:val="20"/>
        </w:rPr>
        <w:t>Transaction costs - General</w:t>
      </w:r>
    </w:p>
    <w:p w14:paraId="34E83F95" w14:textId="77777777" w:rsidR="00CA74D8" w:rsidRPr="00373E2E" w:rsidRDefault="00CA74D8" w:rsidP="00CA74D8">
      <w:pPr>
        <w:spacing w:before="120" w:after="120"/>
        <w:jc w:val="both"/>
        <w:rPr>
          <w:rFonts w:ascii="Lucida Sans" w:hAnsi="Lucida Sans"/>
          <w:szCs w:val="20"/>
        </w:rPr>
      </w:pPr>
      <w:r w:rsidRPr="00373E2E">
        <w:rPr>
          <w:rFonts w:ascii="Lucida Sans" w:hAnsi="Lucida Sans"/>
          <w:szCs w:val="20"/>
        </w:rPr>
        <w:t xml:space="preserve">7. The information about all costs and charges, including transaction costs incurred by the PRIIP, which are not caused by the occurrence of underlying market risk, </w:t>
      </w:r>
      <w:commentRangeStart w:id="5"/>
      <w:r w:rsidRPr="00373E2E">
        <w:rPr>
          <w:rFonts w:ascii="Lucida Sans" w:hAnsi="Lucida Sans"/>
          <w:szCs w:val="20"/>
        </w:rPr>
        <w:t>shall</w:t>
      </w:r>
      <w:commentRangeEnd w:id="5"/>
      <w:r w:rsidR="00586B4B">
        <w:rPr>
          <w:rStyle w:val="Rimandocommento"/>
        </w:rPr>
        <w:commentReference w:id="5"/>
      </w:r>
      <w:r w:rsidRPr="00373E2E">
        <w:rPr>
          <w:rFonts w:ascii="Lucida Sans" w:hAnsi="Lucida Sans"/>
          <w:szCs w:val="20"/>
        </w:rPr>
        <w:t xml:space="preserve"> be calculated and disclosed to the client. Transactions costs shall include explicit charges and where applicable implicit charges.</w:t>
      </w:r>
    </w:p>
    <w:p w14:paraId="4CDC09B3" w14:textId="77777777" w:rsidR="00CA74D8" w:rsidRPr="00373E2E" w:rsidRDefault="00CA74D8" w:rsidP="00CA74D8">
      <w:pPr>
        <w:spacing w:before="120" w:after="120"/>
        <w:jc w:val="both"/>
        <w:rPr>
          <w:rFonts w:ascii="Lucida Sans" w:hAnsi="Lucida Sans"/>
          <w:szCs w:val="20"/>
        </w:rPr>
      </w:pPr>
      <w:r w:rsidRPr="00373E2E">
        <w:rPr>
          <w:rFonts w:ascii="Lucida Sans" w:hAnsi="Lucida Sans"/>
          <w:szCs w:val="20"/>
        </w:rPr>
        <w:t xml:space="preserve">8. Transaction costs shall be calculated using the methodology described in points </w:t>
      </w:r>
      <w:r w:rsidRPr="00373E2E">
        <w:rPr>
          <w:rFonts w:ascii="Lucida Sans" w:hAnsi="Lucida Sans"/>
          <w:strike/>
          <w:color w:val="FF0000"/>
          <w:szCs w:val="20"/>
        </w:rPr>
        <w:t xml:space="preserve">10 to </w:t>
      </w:r>
      <w:proofErr w:type="gramStart"/>
      <w:r w:rsidRPr="00373E2E">
        <w:rPr>
          <w:rFonts w:ascii="Lucida Sans" w:hAnsi="Lucida Sans"/>
          <w:strike/>
          <w:color w:val="FF0000"/>
          <w:szCs w:val="20"/>
        </w:rPr>
        <w:t>18</w:t>
      </w:r>
      <w:r w:rsidRPr="00373E2E">
        <w:rPr>
          <w:rFonts w:ascii="Lucida Sans" w:hAnsi="Lucida Sans"/>
          <w:color w:val="FF0000"/>
          <w:szCs w:val="20"/>
        </w:rPr>
        <w:t xml:space="preserve">  9</w:t>
      </w:r>
      <w:proofErr w:type="gramEnd"/>
      <w:r w:rsidRPr="00373E2E">
        <w:rPr>
          <w:rFonts w:ascii="Lucida Sans" w:hAnsi="Lucida Sans"/>
          <w:color w:val="FF0000"/>
          <w:szCs w:val="20"/>
        </w:rPr>
        <w:t>b to 18b</w:t>
      </w:r>
      <w:r w:rsidRPr="00373E2E">
        <w:rPr>
          <w:rFonts w:ascii="Lucida Sans" w:hAnsi="Lucida Sans"/>
          <w:szCs w:val="20"/>
        </w:rPr>
        <w:t xml:space="preserve"> of this Annex for investments in the following instruments:</w:t>
      </w:r>
    </w:p>
    <w:p w14:paraId="306CF850" w14:textId="77777777" w:rsidR="00CA74D8" w:rsidRPr="00373E2E" w:rsidRDefault="00CA74D8" w:rsidP="00CA74D8">
      <w:pPr>
        <w:spacing w:before="120" w:after="120"/>
        <w:jc w:val="both"/>
        <w:rPr>
          <w:rFonts w:ascii="Lucida Sans" w:hAnsi="Lucida Sans"/>
          <w:szCs w:val="20"/>
        </w:rPr>
      </w:pPr>
      <w:r w:rsidRPr="00373E2E">
        <w:rPr>
          <w:rFonts w:ascii="Lucida Sans" w:hAnsi="Lucida Sans"/>
          <w:szCs w:val="20"/>
        </w:rPr>
        <w:t>(a) transferable securities as defined by Article 2 of Commission Directive 2007/16/EC (1);</w:t>
      </w:r>
    </w:p>
    <w:p w14:paraId="5F7ED832" w14:textId="77777777" w:rsidR="00CA74D8" w:rsidRPr="00373E2E" w:rsidRDefault="00CA74D8" w:rsidP="00CA74D8">
      <w:pPr>
        <w:spacing w:before="120" w:after="120"/>
        <w:jc w:val="both"/>
        <w:rPr>
          <w:rFonts w:ascii="Lucida Sans" w:hAnsi="Lucida Sans"/>
          <w:szCs w:val="20"/>
        </w:rPr>
      </w:pPr>
      <w:r w:rsidRPr="00373E2E">
        <w:rPr>
          <w:rFonts w:ascii="Lucida Sans" w:hAnsi="Lucida Sans"/>
          <w:szCs w:val="20"/>
        </w:rPr>
        <w:t>(b) other instruments for which there are frequent opportunities to dispose, redeem or otherwise realise at prices that are publicly available to market participants and that are either market prices or prices made available or validated by valuation systems independent of the issuer.</w:t>
      </w:r>
    </w:p>
    <w:p w14:paraId="2038ECC7" w14:textId="77777777" w:rsidR="00CA74D8" w:rsidRPr="00373E2E" w:rsidRDefault="00CA74D8" w:rsidP="00CA74D8">
      <w:pPr>
        <w:spacing w:before="120" w:after="120"/>
        <w:jc w:val="both"/>
        <w:rPr>
          <w:rFonts w:ascii="Lucida Sans" w:hAnsi="Lucida Sans"/>
          <w:color w:val="FF0000"/>
          <w:szCs w:val="20"/>
        </w:rPr>
      </w:pPr>
      <w:r w:rsidRPr="00373E2E">
        <w:rPr>
          <w:rFonts w:ascii="Lucida Sans" w:hAnsi="Lucida Sans"/>
          <w:szCs w:val="20"/>
        </w:rPr>
        <w:lastRenderedPageBreak/>
        <w:t xml:space="preserve">9. Transaction costs shall be calculated using the methodology described in points </w:t>
      </w:r>
      <w:r w:rsidRPr="00373E2E">
        <w:rPr>
          <w:rFonts w:ascii="Lucida Sans" w:hAnsi="Lucida Sans"/>
          <w:color w:val="FF0000"/>
          <w:szCs w:val="20"/>
        </w:rPr>
        <w:t xml:space="preserve">9b and </w:t>
      </w:r>
      <w:r w:rsidRPr="00373E2E">
        <w:rPr>
          <w:rFonts w:ascii="Lucida Sans" w:hAnsi="Lucida Sans"/>
          <w:szCs w:val="20"/>
        </w:rPr>
        <w:t>22 to 24 of this Annex for investments in other instruments or assets.</w:t>
      </w:r>
      <w:r w:rsidRPr="00373E2E">
        <w:rPr>
          <w:rFonts w:ascii="Lucida Sans" w:hAnsi="Lucida Sans"/>
          <w:color w:val="FF0000"/>
          <w:szCs w:val="20"/>
        </w:rPr>
        <w:t xml:space="preserve"> </w:t>
      </w:r>
    </w:p>
    <w:p w14:paraId="42E05660" w14:textId="77777777" w:rsidR="00CA74D8" w:rsidRPr="00373E2E" w:rsidRDefault="00CA74D8" w:rsidP="00CA74D8">
      <w:pPr>
        <w:spacing w:before="120" w:after="120"/>
        <w:jc w:val="both"/>
        <w:rPr>
          <w:rFonts w:ascii="Lucida Sans" w:hAnsi="Lucida Sans"/>
          <w:szCs w:val="20"/>
        </w:rPr>
      </w:pPr>
      <w:r w:rsidRPr="00373E2E">
        <w:rPr>
          <w:rFonts w:ascii="Lucida Sans" w:hAnsi="Lucida Sans"/>
          <w:color w:val="FF0000"/>
          <w:szCs w:val="20"/>
        </w:rPr>
        <w:t xml:space="preserve">9a. Where the PRIIP has been operating for less than three years, </w:t>
      </w:r>
      <w:commentRangeStart w:id="6"/>
      <w:r w:rsidRPr="00373E2E">
        <w:rPr>
          <w:rFonts w:ascii="Lucida Sans" w:hAnsi="Lucida Sans"/>
          <w:color w:val="FF0000"/>
          <w:szCs w:val="20"/>
        </w:rPr>
        <w:t>transactions</w:t>
      </w:r>
      <w:commentRangeEnd w:id="6"/>
      <w:r w:rsidR="00586B4B">
        <w:rPr>
          <w:rStyle w:val="Rimandocommento"/>
        </w:rPr>
        <w:commentReference w:id="6"/>
      </w:r>
      <w:r w:rsidRPr="00373E2E">
        <w:rPr>
          <w:rFonts w:ascii="Lucida Sans" w:hAnsi="Lucida Sans"/>
          <w:color w:val="FF0000"/>
          <w:szCs w:val="20"/>
        </w:rPr>
        <w:t xml:space="preserve"> costs shall be calculated using the methodology set out in points 19 to 21 of this Annex</w:t>
      </w:r>
    </w:p>
    <w:p w14:paraId="335E70AD" w14:textId="77777777" w:rsidR="00CA74D8" w:rsidRPr="00373E2E" w:rsidRDefault="00CA74D8" w:rsidP="00CA74D8">
      <w:pPr>
        <w:spacing w:before="120" w:after="120"/>
        <w:jc w:val="both"/>
        <w:rPr>
          <w:rFonts w:ascii="Lucida Sans" w:hAnsi="Lucida Sans"/>
          <w:b/>
          <w:color w:val="FF0000"/>
          <w:szCs w:val="20"/>
        </w:rPr>
      </w:pPr>
    </w:p>
    <w:p w14:paraId="4915617B" w14:textId="77777777" w:rsidR="00CA74D8" w:rsidRPr="00373E2E" w:rsidRDefault="00CA74D8" w:rsidP="00CA74D8">
      <w:pPr>
        <w:spacing w:before="120" w:after="120"/>
        <w:jc w:val="both"/>
        <w:rPr>
          <w:rFonts w:ascii="Lucida Sans" w:hAnsi="Lucida Sans"/>
          <w:b/>
          <w:color w:val="FF0000"/>
          <w:szCs w:val="20"/>
        </w:rPr>
      </w:pPr>
      <w:r w:rsidRPr="00373E2E">
        <w:rPr>
          <w:rFonts w:ascii="Lucida Sans" w:hAnsi="Lucida Sans"/>
          <w:b/>
          <w:color w:val="FF0000"/>
          <w:szCs w:val="20"/>
        </w:rPr>
        <w:t xml:space="preserve">Treatment of anti-dilution </w:t>
      </w:r>
      <w:commentRangeStart w:id="7"/>
      <w:r w:rsidRPr="00373E2E">
        <w:rPr>
          <w:rFonts w:ascii="Lucida Sans" w:hAnsi="Lucida Sans"/>
          <w:b/>
          <w:color w:val="FF0000"/>
          <w:szCs w:val="20"/>
        </w:rPr>
        <w:t>mechanisms</w:t>
      </w:r>
      <w:commentRangeEnd w:id="7"/>
      <w:r w:rsidR="00586B4B">
        <w:rPr>
          <w:rStyle w:val="Rimandocommento"/>
        </w:rPr>
        <w:commentReference w:id="7"/>
      </w:r>
      <w:r w:rsidRPr="00373E2E">
        <w:rPr>
          <w:rFonts w:ascii="Lucida Sans" w:hAnsi="Lucida Sans"/>
          <w:b/>
          <w:color w:val="FF0000"/>
          <w:szCs w:val="20"/>
        </w:rPr>
        <w:t xml:space="preserve"> </w:t>
      </w:r>
    </w:p>
    <w:p w14:paraId="54499435" w14:textId="77777777" w:rsidR="00CA74D8" w:rsidRPr="00373E2E" w:rsidRDefault="00CA74D8" w:rsidP="00CA74D8">
      <w:pPr>
        <w:spacing w:before="120" w:after="120"/>
        <w:jc w:val="both"/>
        <w:rPr>
          <w:rFonts w:ascii="Lucida Sans" w:hAnsi="Lucida Sans"/>
          <w:color w:val="FF0000"/>
          <w:szCs w:val="20"/>
        </w:rPr>
      </w:pPr>
      <w:r w:rsidRPr="00373E2E">
        <w:rPr>
          <w:rFonts w:ascii="Lucida Sans" w:hAnsi="Lucida Sans"/>
          <w:color w:val="FF0000"/>
          <w:szCs w:val="20"/>
        </w:rPr>
        <w:t xml:space="preserve">9b. Where a PRIIP has a pricing mechanism that offsets the impact of dilution from transactions in the PRIIP itself, the amount of benefit accruing to the ongoing holders of the PRIIP from anti-dilution mechanisms may be deducted from the transaction costs incurred within the PRIIP using the following methodology: (a) the monetary amount of any anti-dilution levy, or other payment in connection with a transaction in the PRIIP itself, that is paid to the PRIIP may be subtracted from the total transaction costs (b) the benefit to the PRIIP of issuing units (or otherwise enabling investment in the PRIIP) at a price other than the </w:t>
      </w:r>
      <w:proofErr w:type="spellStart"/>
      <w:r w:rsidRPr="00373E2E">
        <w:rPr>
          <w:rFonts w:ascii="Lucida Sans" w:hAnsi="Lucida Sans"/>
          <w:color w:val="FF0000"/>
          <w:szCs w:val="20"/>
        </w:rPr>
        <w:t>mid price</w:t>
      </w:r>
      <w:proofErr w:type="spellEnd"/>
      <w:r w:rsidRPr="00373E2E">
        <w:rPr>
          <w:rFonts w:ascii="Lucida Sans" w:hAnsi="Lucida Sans"/>
          <w:color w:val="FF0000"/>
          <w:szCs w:val="20"/>
        </w:rPr>
        <w:t xml:space="preserve">, or of cancelling units (or otherwise enabling redemption of funds from the PRIIP) at a price other than the </w:t>
      </w:r>
      <w:proofErr w:type="spellStart"/>
      <w:r w:rsidRPr="00373E2E">
        <w:rPr>
          <w:rFonts w:ascii="Lucida Sans" w:hAnsi="Lucida Sans"/>
          <w:color w:val="FF0000"/>
          <w:szCs w:val="20"/>
        </w:rPr>
        <w:t>mid price</w:t>
      </w:r>
      <w:proofErr w:type="spellEnd"/>
      <w:r w:rsidRPr="00373E2E">
        <w:rPr>
          <w:rFonts w:ascii="Lucida Sans" w:hAnsi="Lucida Sans"/>
          <w:color w:val="FF0000"/>
          <w:szCs w:val="20"/>
        </w:rPr>
        <w:t>, provided that the PRIIP itself receives the benefit, shall be calculated as follows and may be subtracted from the total transaction costs: (</w:t>
      </w:r>
      <w:proofErr w:type="spellStart"/>
      <w:r w:rsidRPr="00373E2E">
        <w:rPr>
          <w:rFonts w:ascii="Lucida Sans" w:hAnsi="Lucida Sans"/>
          <w:color w:val="FF0000"/>
          <w:szCs w:val="20"/>
        </w:rPr>
        <w:t>i</w:t>
      </w:r>
      <w:proofErr w:type="spellEnd"/>
      <w:r w:rsidRPr="00373E2E">
        <w:rPr>
          <w:rFonts w:ascii="Lucida Sans" w:hAnsi="Lucida Sans"/>
          <w:color w:val="FF0000"/>
          <w:szCs w:val="20"/>
        </w:rPr>
        <w:t xml:space="preserve">) the difference between the price of units issued and the </w:t>
      </w:r>
      <w:proofErr w:type="spellStart"/>
      <w:r w:rsidRPr="00373E2E">
        <w:rPr>
          <w:rFonts w:ascii="Lucida Sans" w:hAnsi="Lucida Sans"/>
          <w:color w:val="FF0000"/>
          <w:szCs w:val="20"/>
        </w:rPr>
        <w:t>mid price</w:t>
      </w:r>
      <w:proofErr w:type="spellEnd"/>
      <w:r w:rsidRPr="00373E2E">
        <w:rPr>
          <w:rFonts w:ascii="Lucida Sans" w:hAnsi="Lucida Sans"/>
          <w:color w:val="FF0000"/>
          <w:szCs w:val="20"/>
        </w:rPr>
        <w:t>, multiplied by the net number of units issued; (ii) the difference between the price of units cancelled and the mid-price, multiplied by the net number of units cancelled.</w:t>
      </w:r>
    </w:p>
    <w:p w14:paraId="25C79E01" w14:textId="77777777" w:rsidR="00CA74D8" w:rsidRPr="00373E2E" w:rsidRDefault="00CA74D8" w:rsidP="00CA74D8">
      <w:pPr>
        <w:spacing w:before="120" w:after="120"/>
        <w:jc w:val="both"/>
        <w:rPr>
          <w:rFonts w:ascii="Lucida Sans" w:hAnsi="Lucida Sans"/>
          <w:b/>
          <w:szCs w:val="20"/>
        </w:rPr>
      </w:pPr>
      <w:r w:rsidRPr="00373E2E">
        <w:rPr>
          <w:rFonts w:ascii="Lucida Sans" w:hAnsi="Lucida Sans"/>
          <w:b/>
          <w:szCs w:val="20"/>
        </w:rPr>
        <w:t>Transaction costs for instruments defined under point 8 a) and b)</w:t>
      </w:r>
    </w:p>
    <w:p w14:paraId="760563A7" w14:textId="77777777" w:rsidR="00CA74D8" w:rsidRPr="00373E2E" w:rsidRDefault="00CA74D8" w:rsidP="00CA74D8">
      <w:pPr>
        <w:spacing w:before="120" w:after="120"/>
        <w:jc w:val="both"/>
        <w:rPr>
          <w:rFonts w:ascii="Lucida Sans" w:hAnsi="Lucida Sans"/>
          <w:szCs w:val="20"/>
          <w:u w:val="single"/>
        </w:rPr>
      </w:pPr>
      <w:r w:rsidRPr="00373E2E">
        <w:rPr>
          <w:rFonts w:ascii="Lucida Sans" w:hAnsi="Lucida Sans"/>
          <w:szCs w:val="20"/>
          <w:u w:val="single"/>
        </w:rPr>
        <w:t>Explicit transaction costs</w:t>
      </w:r>
    </w:p>
    <w:p w14:paraId="47CCEEF6" w14:textId="77777777" w:rsidR="00CA74D8" w:rsidRPr="00373E2E" w:rsidRDefault="00CA74D8" w:rsidP="00CA74D8">
      <w:pPr>
        <w:spacing w:before="120" w:after="120"/>
        <w:jc w:val="both"/>
        <w:rPr>
          <w:rFonts w:ascii="Lucida Sans" w:hAnsi="Lucida Sans"/>
          <w:szCs w:val="20"/>
        </w:rPr>
      </w:pPr>
      <w:r w:rsidRPr="00373E2E">
        <w:rPr>
          <w:rFonts w:ascii="Lucida Sans" w:hAnsi="Lucida Sans"/>
          <w:szCs w:val="20"/>
        </w:rPr>
        <w:t>10. Explicit costs include costs and charges incurred by the PRIIP, and paid out of investor’s financial investment in the PRIIP, in order to acquire or dispose of the underlying assets of the PRIIP, such as but not limited to commissions paid to brokers or other intermediaries, stamp duty or market taxes, contract fees and execution fees for OTC derivatives, legal advisers for real estate transactions,</w:t>
      </w:r>
      <w:r w:rsidRPr="00373E2E">
        <w:rPr>
          <w:rFonts w:ascii="Lucida Sans" w:hAnsi="Lucida Sans"/>
          <w:strike/>
          <w:color w:val="FF0000"/>
          <w:szCs w:val="20"/>
        </w:rPr>
        <w:t xml:space="preserve"> </w:t>
      </w:r>
      <w:commentRangeStart w:id="8"/>
      <w:r w:rsidRPr="00373E2E">
        <w:rPr>
          <w:rFonts w:ascii="Lucida Sans" w:hAnsi="Lucida Sans"/>
          <w:strike/>
          <w:color w:val="FF0000"/>
          <w:szCs w:val="20"/>
        </w:rPr>
        <w:t>clearing</w:t>
      </w:r>
      <w:commentRangeEnd w:id="8"/>
      <w:r w:rsidR="00D536EC">
        <w:rPr>
          <w:rStyle w:val="Rimandocommento"/>
        </w:rPr>
        <w:commentReference w:id="8"/>
      </w:r>
      <w:r w:rsidRPr="00373E2E">
        <w:rPr>
          <w:rFonts w:ascii="Lucida Sans" w:hAnsi="Lucida Sans"/>
          <w:strike/>
          <w:color w:val="FF0000"/>
          <w:szCs w:val="20"/>
        </w:rPr>
        <w:t xml:space="preserve"> fees and booking fees charged by the custodian for other </w:t>
      </w:r>
      <w:commentRangeStart w:id="9"/>
      <w:r w:rsidRPr="00373E2E">
        <w:rPr>
          <w:rFonts w:ascii="Lucida Sans" w:hAnsi="Lucida Sans"/>
          <w:strike/>
          <w:color w:val="FF0000"/>
          <w:szCs w:val="20"/>
        </w:rPr>
        <w:t>assets</w:t>
      </w:r>
      <w:commentRangeEnd w:id="9"/>
      <w:r w:rsidR="00D536EC">
        <w:rPr>
          <w:rStyle w:val="Rimandocommento"/>
        </w:rPr>
        <w:commentReference w:id="9"/>
      </w:r>
      <w:r w:rsidRPr="00373E2E">
        <w:rPr>
          <w:rFonts w:ascii="Lucida Sans" w:hAnsi="Lucida Sans"/>
          <w:szCs w:val="20"/>
        </w:rPr>
        <w:t>, where relevant.</w:t>
      </w:r>
    </w:p>
    <w:p w14:paraId="1BF81F6C" w14:textId="77777777" w:rsidR="00CA74D8" w:rsidRPr="00373E2E" w:rsidRDefault="00CA74D8" w:rsidP="00CA74D8">
      <w:pPr>
        <w:spacing w:before="120" w:after="120"/>
        <w:jc w:val="both"/>
        <w:rPr>
          <w:rFonts w:ascii="Lucida Sans" w:hAnsi="Lucida Sans"/>
          <w:szCs w:val="20"/>
        </w:rPr>
      </w:pPr>
      <w:r w:rsidRPr="00373E2E">
        <w:rPr>
          <w:rFonts w:ascii="Lucida Sans" w:hAnsi="Lucida Sans"/>
          <w:szCs w:val="20"/>
        </w:rPr>
        <w:t xml:space="preserve">11. Explicit costs shall be calculated as </w:t>
      </w:r>
      <w:r w:rsidRPr="00373E2E">
        <w:rPr>
          <w:rFonts w:ascii="Lucida Sans" w:hAnsi="Lucida Sans"/>
          <w:color w:val="FF0000"/>
          <w:szCs w:val="20"/>
        </w:rPr>
        <w:t>the average yearly transaction costs (</w:t>
      </w:r>
      <w:r w:rsidRPr="00373E2E">
        <w:rPr>
          <w:rFonts w:ascii="Lucida Sans" w:hAnsi="Lucida Sans"/>
          <w:szCs w:val="20"/>
        </w:rPr>
        <w:t xml:space="preserve">sum of costs incurred by the PRIIP </w:t>
      </w:r>
      <w:r w:rsidRPr="00373E2E">
        <w:rPr>
          <w:rFonts w:ascii="Lucida Sans" w:hAnsi="Lucida Sans"/>
          <w:color w:val="FF0000"/>
          <w:szCs w:val="20"/>
        </w:rPr>
        <w:t xml:space="preserve">during the year divided by average net asset over the year) </w:t>
      </w:r>
      <w:r w:rsidRPr="00373E2E">
        <w:rPr>
          <w:rFonts w:ascii="Lucida Sans" w:hAnsi="Lucida Sans"/>
          <w:szCs w:val="20"/>
        </w:rPr>
        <w:t>over the previous three years, for all individual transactions undertaken by the PRIIP and in the base currency of the PRIIP</w:t>
      </w:r>
      <w:r w:rsidRPr="00373E2E">
        <w:rPr>
          <w:rFonts w:ascii="Lucida Sans" w:hAnsi="Lucida Sans"/>
          <w:strike/>
          <w:color w:val="FF0000"/>
          <w:szCs w:val="20"/>
        </w:rPr>
        <w:t xml:space="preserve">, averaged over one year. This sum shall be converted into a percentage by dividing by the average net assets of the PRIIP over the same </w:t>
      </w:r>
      <w:commentRangeStart w:id="10"/>
      <w:r w:rsidRPr="00373E2E">
        <w:rPr>
          <w:rFonts w:ascii="Lucida Sans" w:hAnsi="Lucida Sans"/>
          <w:strike/>
          <w:color w:val="FF0000"/>
          <w:szCs w:val="20"/>
        </w:rPr>
        <w:t>period</w:t>
      </w:r>
      <w:commentRangeEnd w:id="10"/>
      <w:r w:rsidR="00D536EC">
        <w:rPr>
          <w:rStyle w:val="Rimandocommento"/>
        </w:rPr>
        <w:commentReference w:id="10"/>
      </w:r>
      <w:r w:rsidRPr="00373E2E">
        <w:rPr>
          <w:rFonts w:ascii="Lucida Sans" w:hAnsi="Lucida Sans"/>
          <w:strike/>
          <w:color w:val="FF0000"/>
          <w:szCs w:val="20"/>
        </w:rPr>
        <w:t>.</w:t>
      </w:r>
    </w:p>
    <w:p w14:paraId="18DA33B9" w14:textId="77777777" w:rsidR="00CA74D8" w:rsidRPr="00373E2E" w:rsidRDefault="00CA74D8" w:rsidP="00CA74D8">
      <w:pPr>
        <w:spacing w:before="120" w:after="120"/>
        <w:jc w:val="both"/>
        <w:rPr>
          <w:rFonts w:ascii="Lucida Sans" w:hAnsi="Lucida Sans"/>
          <w:szCs w:val="20"/>
        </w:rPr>
      </w:pPr>
      <w:r w:rsidRPr="00373E2E">
        <w:rPr>
          <w:rFonts w:ascii="Lucida Sans" w:hAnsi="Lucida Sans"/>
          <w:noProof/>
          <w:szCs w:val="20"/>
        </w:rPr>
        <w:drawing>
          <wp:inline distT="0" distB="0" distL="0" distR="0" wp14:anchorId="6F44C02A" wp14:editId="3B8CFBA7">
            <wp:extent cx="3632200" cy="1008000"/>
            <wp:effectExtent l="19050" t="19050" r="25400" b="20955"/>
            <wp:docPr id="16" name="Immagine 16" descr="cid:image002.jpg@01D5B679.7BC89A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id:image002.jpg@01D5B679.7BC89A60"/>
                    <pic:cNvPicPr>
                      <a:picLocks noChangeAspect="1" noChangeArrowheads="1"/>
                    </pic:cNvPicPr>
                  </pic:nvPicPr>
                  <pic:blipFill rotWithShape="1">
                    <a:blip r:embed="rId36" r:link="rId37" cstate="print">
                      <a:extLst>
                        <a:ext uri="{28A0092B-C50C-407E-A947-70E740481C1C}">
                          <a14:useLocalDpi xmlns:a14="http://schemas.microsoft.com/office/drawing/2010/main" val="0"/>
                        </a:ext>
                      </a:extLst>
                    </a:blip>
                    <a:srcRect t="-11188" b="10346"/>
                    <a:stretch/>
                  </pic:blipFill>
                  <pic:spPr bwMode="auto">
                    <a:xfrm>
                      <a:off x="0" y="0"/>
                      <a:ext cx="3668554" cy="1018089"/>
                    </a:xfrm>
                    <a:prstGeom prst="rect">
                      <a:avLst/>
                    </a:prstGeom>
                    <a:noFill/>
                    <a:ln w="9525" cap="flat" cmpd="sng" algn="ctr">
                      <a:solidFill>
                        <a:srgbClr val="FF0000">
                          <a:alpha val="62000"/>
                        </a:srgbClr>
                      </a:solidFill>
                      <a:prstDash val="solid"/>
                      <a:bevel/>
                      <a:headEnd type="none" w="med" len="med"/>
                      <a:tailEnd type="none" w="med" len="med"/>
                    </a:ln>
                    <a:extLst>
                      <a:ext uri="{53640926-AAD7-44D8-BBD7-CCE9431645EC}">
                        <a14:shadowObscured xmlns:a14="http://schemas.microsoft.com/office/drawing/2010/main"/>
                      </a:ext>
                    </a:extLst>
                  </pic:spPr>
                </pic:pic>
              </a:graphicData>
            </a:graphic>
          </wp:inline>
        </w:drawing>
      </w:r>
    </w:p>
    <w:p w14:paraId="05FF109C" w14:textId="77777777" w:rsidR="00CA74D8" w:rsidRPr="00373E2E" w:rsidRDefault="00CA74D8" w:rsidP="00CA74D8">
      <w:pPr>
        <w:spacing w:before="120" w:after="120"/>
        <w:jc w:val="both"/>
        <w:rPr>
          <w:rFonts w:ascii="Lucida Sans" w:hAnsi="Lucida Sans"/>
          <w:szCs w:val="20"/>
          <w:u w:val="single"/>
        </w:rPr>
      </w:pPr>
      <w:r w:rsidRPr="00373E2E">
        <w:rPr>
          <w:rFonts w:ascii="Lucida Sans" w:hAnsi="Lucida Sans"/>
          <w:szCs w:val="20"/>
          <w:u w:val="single"/>
        </w:rPr>
        <w:t>Implicit transaction costs</w:t>
      </w:r>
    </w:p>
    <w:p w14:paraId="252CE054" w14:textId="77777777" w:rsidR="00CA74D8" w:rsidRPr="00373E2E" w:rsidRDefault="00CA74D8" w:rsidP="00CA74D8">
      <w:pPr>
        <w:spacing w:before="120" w:after="120"/>
        <w:jc w:val="both"/>
        <w:rPr>
          <w:rFonts w:ascii="Lucida Sans" w:hAnsi="Lucida Sans"/>
          <w:szCs w:val="20"/>
        </w:rPr>
      </w:pPr>
      <w:r w:rsidRPr="00373E2E">
        <w:rPr>
          <w:rFonts w:ascii="Lucida Sans" w:hAnsi="Lucida Sans"/>
          <w:szCs w:val="20"/>
        </w:rPr>
        <w:t xml:space="preserve">12. In addition, other charges, which are not explicit costs, impact the overall performance of the PRIIP when acquiring or disposing of underlying assets. These are deemed implicit costs </w:t>
      </w:r>
      <w:r w:rsidRPr="00373E2E">
        <w:rPr>
          <w:rFonts w:ascii="Lucida Sans" w:hAnsi="Lucida Sans"/>
          <w:strike/>
          <w:color w:val="FF0000"/>
          <w:szCs w:val="20"/>
        </w:rPr>
        <w:t xml:space="preserve">and shall be disclosed by the manufacturer of the </w:t>
      </w:r>
      <w:commentRangeStart w:id="11"/>
      <w:r w:rsidRPr="00373E2E">
        <w:rPr>
          <w:rFonts w:ascii="Lucida Sans" w:hAnsi="Lucida Sans"/>
          <w:strike/>
          <w:color w:val="FF0000"/>
          <w:szCs w:val="20"/>
        </w:rPr>
        <w:t>PRIIP</w:t>
      </w:r>
      <w:commentRangeEnd w:id="11"/>
      <w:r w:rsidR="00D536EC">
        <w:rPr>
          <w:rStyle w:val="Rimandocommento"/>
        </w:rPr>
        <w:commentReference w:id="11"/>
      </w:r>
      <w:r w:rsidRPr="00373E2E">
        <w:rPr>
          <w:rFonts w:ascii="Lucida Sans" w:hAnsi="Lucida Sans"/>
          <w:strike/>
          <w:color w:val="FF0000"/>
          <w:szCs w:val="20"/>
        </w:rPr>
        <w:t xml:space="preserve"> to demonstrate how transactions are executed on terms that are most favourable to the </w:t>
      </w:r>
      <w:commentRangeStart w:id="12"/>
      <w:r w:rsidRPr="00373E2E">
        <w:rPr>
          <w:rFonts w:ascii="Lucida Sans" w:hAnsi="Lucida Sans"/>
          <w:strike/>
          <w:color w:val="FF0000"/>
          <w:szCs w:val="20"/>
        </w:rPr>
        <w:t>client</w:t>
      </w:r>
      <w:commentRangeEnd w:id="12"/>
      <w:r w:rsidR="00D536EC">
        <w:rPr>
          <w:rStyle w:val="Rimandocommento"/>
        </w:rPr>
        <w:commentReference w:id="12"/>
      </w:r>
      <w:r w:rsidRPr="00373E2E">
        <w:rPr>
          <w:rFonts w:ascii="Lucida Sans" w:hAnsi="Lucida Sans"/>
          <w:szCs w:val="20"/>
        </w:rPr>
        <w:t>.</w:t>
      </w:r>
    </w:p>
    <w:p w14:paraId="45A6BE12" w14:textId="77777777" w:rsidR="00CA74D8" w:rsidRPr="00373E2E" w:rsidRDefault="00CA74D8" w:rsidP="00CA74D8">
      <w:pPr>
        <w:spacing w:before="120" w:after="120"/>
        <w:jc w:val="both"/>
        <w:rPr>
          <w:rFonts w:ascii="Lucida Sans" w:hAnsi="Lucida Sans"/>
          <w:strike/>
          <w:color w:val="FF0000"/>
          <w:szCs w:val="20"/>
        </w:rPr>
      </w:pPr>
      <w:r w:rsidRPr="00373E2E">
        <w:rPr>
          <w:rFonts w:ascii="Lucida Sans" w:hAnsi="Lucida Sans"/>
          <w:szCs w:val="20"/>
        </w:rPr>
        <w:t xml:space="preserve">13. Implicit costs shall be calculated as </w:t>
      </w:r>
      <w:r w:rsidRPr="00373E2E">
        <w:rPr>
          <w:rFonts w:ascii="Lucida Sans" w:hAnsi="Lucida Sans"/>
          <w:color w:val="FF0000"/>
          <w:szCs w:val="20"/>
        </w:rPr>
        <w:t>the average yearly transaction costs (</w:t>
      </w:r>
      <w:r w:rsidRPr="00373E2E">
        <w:rPr>
          <w:rFonts w:ascii="Lucida Sans" w:hAnsi="Lucida Sans"/>
          <w:szCs w:val="20"/>
        </w:rPr>
        <w:t xml:space="preserve">sum of such individual charges incurred by the PRIIP </w:t>
      </w:r>
      <w:r w:rsidRPr="00373E2E">
        <w:rPr>
          <w:rFonts w:ascii="Lucida Sans" w:hAnsi="Lucida Sans"/>
          <w:color w:val="FF0000"/>
          <w:szCs w:val="20"/>
        </w:rPr>
        <w:t xml:space="preserve">during the year divided by average net asset over the year) </w:t>
      </w:r>
      <w:r w:rsidRPr="00373E2E">
        <w:rPr>
          <w:rFonts w:ascii="Lucida Sans" w:hAnsi="Lucida Sans"/>
          <w:szCs w:val="20"/>
        </w:rPr>
        <w:t>over the previous three years for all individual transactions undertaken by the PRIIP</w:t>
      </w:r>
      <w:r w:rsidRPr="00373E2E">
        <w:rPr>
          <w:rFonts w:ascii="Lucida Sans" w:hAnsi="Lucida Sans"/>
          <w:strike/>
          <w:color w:val="FF0000"/>
          <w:szCs w:val="20"/>
        </w:rPr>
        <w:t>. They shall be calculated</w:t>
      </w:r>
      <w:r w:rsidRPr="00373E2E">
        <w:rPr>
          <w:rFonts w:ascii="Lucida Sans" w:hAnsi="Lucida Sans"/>
          <w:color w:val="FF0000"/>
          <w:szCs w:val="20"/>
        </w:rPr>
        <w:t xml:space="preserve"> </w:t>
      </w:r>
      <w:r w:rsidRPr="00373E2E">
        <w:rPr>
          <w:rFonts w:ascii="Lucida Sans" w:hAnsi="Lucida Sans"/>
          <w:szCs w:val="20"/>
        </w:rPr>
        <w:t xml:space="preserve">in the base currency of the </w:t>
      </w:r>
      <w:commentRangeStart w:id="13"/>
      <w:r w:rsidRPr="00373E2E">
        <w:rPr>
          <w:rFonts w:ascii="Lucida Sans" w:hAnsi="Lucida Sans"/>
          <w:szCs w:val="20"/>
        </w:rPr>
        <w:t>PRIIP</w:t>
      </w:r>
      <w:commentRangeEnd w:id="13"/>
      <w:r w:rsidR="00D536EC">
        <w:rPr>
          <w:rStyle w:val="Rimandocommento"/>
        </w:rPr>
        <w:commentReference w:id="13"/>
      </w:r>
      <w:r w:rsidRPr="00373E2E">
        <w:rPr>
          <w:rFonts w:ascii="Lucida Sans" w:hAnsi="Lucida Sans"/>
          <w:strike/>
          <w:color w:val="FF0000"/>
          <w:szCs w:val="20"/>
        </w:rPr>
        <w:t xml:space="preserve">, and averaged over one year. This average annual sum shall also be converted into a percentage by dividing by the average net assets of the PRIIP over the same </w:t>
      </w:r>
      <w:proofErr w:type="gramStart"/>
      <w:r w:rsidRPr="00373E2E">
        <w:rPr>
          <w:rFonts w:ascii="Lucida Sans" w:hAnsi="Lucida Sans"/>
          <w:strike/>
          <w:color w:val="FF0000"/>
          <w:szCs w:val="20"/>
        </w:rPr>
        <w:t>three year</w:t>
      </w:r>
      <w:proofErr w:type="gramEnd"/>
      <w:r w:rsidRPr="00373E2E">
        <w:rPr>
          <w:rFonts w:ascii="Lucida Sans" w:hAnsi="Lucida Sans"/>
          <w:strike/>
          <w:color w:val="FF0000"/>
          <w:szCs w:val="20"/>
        </w:rPr>
        <w:t xml:space="preserve"> period. Where these figures are negative, implicit costs shall be deemed to be zero such that the level of transaction costs cannot be less than the amount of explicit </w:t>
      </w:r>
      <w:commentRangeStart w:id="14"/>
      <w:r w:rsidRPr="00373E2E">
        <w:rPr>
          <w:rFonts w:ascii="Lucida Sans" w:hAnsi="Lucida Sans"/>
          <w:strike/>
          <w:color w:val="FF0000"/>
          <w:szCs w:val="20"/>
        </w:rPr>
        <w:t>costs</w:t>
      </w:r>
      <w:commentRangeEnd w:id="14"/>
      <w:r w:rsidR="00D536EC">
        <w:rPr>
          <w:rStyle w:val="Rimandocommento"/>
        </w:rPr>
        <w:commentReference w:id="14"/>
      </w:r>
      <w:r w:rsidRPr="00373E2E">
        <w:rPr>
          <w:rFonts w:ascii="Lucida Sans" w:hAnsi="Lucida Sans"/>
          <w:strike/>
          <w:color w:val="FF0000"/>
          <w:szCs w:val="20"/>
        </w:rPr>
        <w:t>.</w:t>
      </w:r>
    </w:p>
    <w:p w14:paraId="28D6A44A" w14:textId="77777777" w:rsidR="00CA74D8" w:rsidRPr="00373E2E" w:rsidRDefault="00CA74D8" w:rsidP="00CA74D8">
      <w:pPr>
        <w:spacing w:before="120" w:after="120"/>
        <w:jc w:val="both"/>
        <w:rPr>
          <w:rFonts w:ascii="Lucida Sans" w:hAnsi="Lucida Sans"/>
          <w:szCs w:val="20"/>
        </w:rPr>
      </w:pPr>
      <w:r w:rsidRPr="00373E2E">
        <w:rPr>
          <w:rFonts w:ascii="Lucida Sans" w:hAnsi="Lucida Sans"/>
          <w:noProof/>
          <w:szCs w:val="20"/>
        </w:rPr>
        <w:lastRenderedPageBreak/>
        <w:drawing>
          <wp:inline distT="0" distB="0" distL="0" distR="0" wp14:anchorId="2A9EFAD4" wp14:editId="30096398">
            <wp:extent cx="3632200" cy="1008000"/>
            <wp:effectExtent l="19050" t="19050" r="25400" b="20955"/>
            <wp:docPr id="17" name="Immagine 17" descr="cid:image002.jpg@01D5B679.7BC89A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id:image002.jpg@01D5B679.7BC89A60"/>
                    <pic:cNvPicPr>
                      <a:picLocks noChangeAspect="1" noChangeArrowheads="1"/>
                    </pic:cNvPicPr>
                  </pic:nvPicPr>
                  <pic:blipFill rotWithShape="1">
                    <a:blip r:embed="rId38" r:link="rId37" cstate="print">
                      <a:extLst>
                        <a:ext uri="{28A0092B-C50C-407E-A947-70E740481C1C}">
                          <a14:useLocalDpi xmlns:a14="http://schemas.microsoft.com/office/drawing/2010/main" val="0"/>
                        </a:ext>
                      </a:extLst>
                    </a:blip>
                    <a:srcRect t="-11188" b="10346"/>
                    <a:stretch/>
                  </pic:blipFill>
                  <pic:spPr bwMode="auto">
                    <a:xfrm>
                      <a:off x="0" y="0"/>
                      <a:ext cx="3668554" cy="1018089"/>
                    </a:xfrm>
                    <a:prstGeom prst="rect">
                      <a:avLst/>
                    </a:prstGeom>
                    <a:noFill/>
                    <a:ln w="9525" cap="flat" cmpd="sng" algn="ctr">
                      <a:solidFill>
                        <a:srgbClr val="FF0000">
                          <a:alpha val="62000"/>
                        </a:srgbClr>
                      </a:solidFill>
                      <a:prstDash val="solid"/>
                      <a:bevel/>
                      <a:headEnd type="none" w="med" len="med"/>
                      <a:tailEnd type="none" w="med" len="med"/>
                    </a:ln>
                    <a:extLst>
                      <a:ext uri="{53640926-AAD7-44D8-BBD7-CCE9431645EC}">
                        <a14:shadowObscured xmlns:a14="http://schemas.microsoft.com/office/drawing/2010/main"/>
                      </a:ext>
                    </a:extLst>
                  </pic:spPr>
                </pic:pic>
              </a:graphicData>
            </a:graphic>
          </wp:inline>
        </w:drawing>
      </w:r>
    </w:p>
    <w:p w14:paraId="4D696600" w14:textId="77777777" w:rsidR="00CA74D8" w:rsidRPr="00373E2E" w:rsidRDefault="00CA74D8" w:rsidP="00CA74D8">
      <w:pPr>
        <w:autoSpaceDE w:val="0"/>
        <w:autoSpaceDN w:val="0"/>
        <w:adjustRightInd w:val="0"/>
        <w:jc w:val="both"/>
        <w:rPr>
          <w:rFonts w:ascii="Lucida Sans" w:hAnsi="Lucida Sans"/>
          <w:color w:val="000000"/>
          <w:szCs w:val="20"/>
          <w:lang w:val="it-IT"/>
        </w:rPr>
      </w:pPr>
    </w:p>
    <w:p w14:paraId="5F7AF3E7" w14:textId="77777777" w:rsidR="00CA74D8" w:rsidRPr="00373E2E" w:rsidRDefault="00CA74D8" w:rsidP="00CA74D8">
      <w:pPr>
        <w:autoSpaceDE w:val="0"/>
        <w:autoSpaceDN w:val="0"/>
        <w:adjustRightInd w:val="0"/>
        <w:jc w:val="both"/>
        <w:rPr>
          <w:rFonts w:ascii="Lucida Sans" w:hAnsi="Lucida Sans"/>
          <w:szCs w:val="20"/>
        </w:rPr>
      </w:pPr>
      <w:r w:rsidRPr="00373E2E">
        <w:rPr>
          <w:rFonts w:ascii="Lucida Sans" w:hAnsi="Lucida Sans"/>
          <w:szCs w:val="20"/>
        </w:rPr>
        <w:t xml:space="preserve">14. Any and all processes developed by the PRIIP manufacturer to manage, mitigate and measure implicit costs shall be fit for purpose and documented in a clear and sufficiently detailed manner. </w:t>
      </w:r>
    </w:p>
    <w:p w14:paraId="0AEBBFF6" w14:textId="77777777" w:rsidR="00CA74D8" w:rsidRPr="00373E2E" w:rsidRDefault="00CA74D8" w:rsidP="00CA74D8">
      <w:pPr>
        <w:spacing w:before="120" w:after="120"/>
        <w:jc w:val="both"/>
        <w:rPr>
          <w:rFonts w:ascii="Lucida Sans" w:hAnsi="Lucida Sans"/>
          <w:color w:val="FF0000"/>
          <w:szCs w:val="20"/>
        </w:rPr>
      </w:pPr>
      <w:r w:rsidRPr="00373E2E">
        <w:rPr>
          <w:rFonts w:ascii="Lucida Sans" w:hAnsi="Lucida Sans"/>
          <w:color w:val="FF0000"/>
          <w:szCs w:val="20"/>
        </w:rPr>
        <w:t>It should be possible to calculate implicit transaction costs as either of the following:</w:t>
      </w:r>
    </w:p>
    <w:p w14:paraId="112FE815" w14:textId="77777777" w:rsidR="00CA74D8" w:rsidRPr="00373E2E" w:rsidRDefault="00CA74D8" w:rsidP="00303D05">
      <w:pPr>
        <w:pStyle w:val="Paragrafoelenco"/>
        <w:numPr>
          <w:ilvl w:val="0"/>
          <w:numId w:val="48"/>
        </w:numPr>
        <w:autoSpaceDE w:val="0"/>
        <w:autoSpaceDN w:val="0"/>
        <w:adjustRightInd w:val="0"/>
        <w:spacing w:before="120"/>
        <w:jc w:val="both"/>
        <w:rPr>
          <w:rFonts w:ascii="Lucida Sans" w:hAnsi="Lucida Sans"/>
          <w:szCs w:val="20"/>
        </w:rPr>
      </w:pPr>
      <w:r w:rsidRPr="00373E2E">
        <w:rPr>
          <w:rFonts w:ascii="Lucida Sans" w:hAnsi="Lucida Sans"/>
          <w:szCs w:val="20"/>
        </w:rPr>
        <w:t xml:space="preserve">Implicit costs shall be identified by comparing the execution price recorded for a specific transaction with a suitable reference price. The identification of a suitable reference price shall be duly recorded and follow the approaches set out in points </w:t>
      </w:r>
      <w:r w:rsidRPr="00373E2E">
        <w:rPr>
          <w:rFonts w:ascii="Lucida Sans" w:hAnsi="Lucida Sans"/>
          <w:color w:val="FF0000"/>
          <w:szCs w:val="20"/>
        </w:rPr>
        <w:t xml:space="preserve">15 to 17 of this Annex </w:t>
      </w:r>
      <w:r w:rsidRPr="00373E2E">
        <w:rPr>
          <w:rFonts w:ascii="Lucida Sans" w:hAnsi="Lucida Sans"/>
          <w:strike/>
          <w:color w:val="FF0000"/>
          <w:szCs w:val="20"/>
        </w:rPr>
        <w:t>(a) and (b)</w:t>
      </w:r>
      <w:r w:rsidRPr="00373E2E">
        <w:rPr>
          <w:rFonts w:ascii="Lucida Sans" w:hAnsi="Lucida Sans"/>
          <w:color w:val="FF0000"/>
          <w:szCs w:val="20"/>
        </w:rPr>
        <w:t xml:space="preserve"> </w:t>
      </w:r>
      <w:r w:rsidRPr="00373E2E">
        <w:rPr>
          <w:rFonts w:ascii="Lucida Sans" w:hAnsi="Lucida Sans"/>
          <w:szCs w:val="20"/>
        </w:rPr>
        <w:t xml:space="preserve">in a manner that is consistent with documented internal procedures of the PRIIP manufacturer to manage, mitigate and measure implicit costs, applied consistently across transaction types. </w:t>
      </w:r>
    </w:p>
    <w:p w14:paraId="75E72B71" w14:textId="77777777" w:rsidR="00CA74D8" w:rsidRPr="00373E2E" w:rsidRDefault="00CA74D8" w:rsidP="00303D05">
      <w:pPr>
        <w:pStyle w:val="Paragrafoelenco"/>
        <w:numPr>
          <w:ilvl w:val="0"/>
          <w:numId w:val="48"/>
        </w:numPr>
        <w:autoSpaceDE w:val="0"/>
        <w:autoSpaceDN w:val="0"/>
        <w:adjustRightInd w:val="0"/>
        <w:spacing w:before="120"/>
        <w:jc w:val="both"/>
        <w:rPr>
          <w:rFonts w:ascii="Lucida Sans" w:hAnsi="Lucida Sans"/>
          <w:color w:val="FF0000"/>
          <w:szCs w:val="20"/>
        </w:rPr>
      </w:pPr>
      <w:r w:rsidRPr="00373E2E">
        <w:rPr>
          <w:rFonts w:ascii="Lucida Sans" w:hAnsi="Lucida Sans"/>
          <w:color w:val="FF0000"/>
          <w:szCs w:val="20"/>
        </w:rPr>
        <w:t>Implicit costs shall be measured by reference to data provided by ESAs or - as a fall-back option - an independent third party (included association). The calculation of implicit transaction costs shall follow the approaches set out in points 18 and 18a of this Annex.</w:t>
      </w:r>
    </w:p>
    <w:p w14:paraId="407A88A2" w14:textId="77777777" w:rsidR="00CA74D8" w:rsidRPr="00373E2E" w:rsidRDefault="00CA74D8" w:rsidP="00CA74D8">
      <w:pPr>
        <w:autoSpaceDE w:val="0"/>
        <w:autoSpaceDN w:val="0"/>
        <w:adjustRightInd w:val="0"/>
        <w:jc w:val="both"/>
        <w:rPr>
          <w:rFonts w:ascii="Lucida Sans" w:hAnsi="Lucida Sans"/>
          <w:szCs w:val="20"/>
        </w:rPr>
      </w:pPr>
    </w:p>
    <w:p w14:paraId="37D88EFC" w14:textId="77777777" w:rsidR="00CA74D8" w:rsidRPr="00373E2E" w:rsidRDefault="00CA74D8" w:rsidP="00CA74D8">
      <w:pPr>
        <w:autoSpaceDE w:val="0"/>
        <w:autoSpaceDN w:val="0"/>
        <w:adjustRightInd w:val="0"/>
        <w:jc w:val="both"/>
        <w:rPr>
          <w:rFonts w:ascii="Lucida Sans" w:hAnsi="Lucida Sans"/>
          <w:szCs w:val="20"/>
        </w:rPr>
      </w:pPr>
      <w:r w:rsidRPr="00373E2E">
        <w:rPr>
          <w:rFonts w:ascii="Lucida Sans" w:hAnsi="Lucida Sans"/>
          <w:szCs w:val="20"/>
        </w:rPr>
        <w:t xml:space="preserve">OTC transactions </w:t>
      </w:r>
    </w:p>
    <w:p w14:paraId="09F2351D" w14:textId="77777777" w:rsidR="00CA74D8" w:rsidRPr="00373E2E" w:rsidRDefault="00CA74D8" w:rsidP="00CA74D8">
      <w:pPr>
        <w:autoSpaceDE w:val="0"/>
        <w:autoSpaceDN w:val="0"/>
        <w:adjustRightInd w:val="0"/>
        <w:spacing w:after="147"/>
        <w:jc w:val="both"/>
        <w:rPr>
          <w:rFonts w:ascii="Lucida Sans" w:hAnsi="Lucida Sans"/>
          <w:strike/>
          <w:color w:val="FF0000"/>
          <w:szCs w:val="20"/>
        </w:rPr>
      </w:pPr>
      <w:r w:rsidRPr="00373E2E">
        <w:rPr>
          <w:rFonts w:ascii="Lucida Sans" w:hAnsi="Lucida Sans"/>
          <w:strike/>
          <w:color w:val="FF0000"/>
          <w:szCs w:val="20"/>
        </w:rPr>
        <w:t xml:space="preserve">15. Where the manufacturer has obtained executable prices from multiple counterparties or where live executable prices are available, implicit transaction costs shall be measured by reference to such prices. In any such case, the number of units traded shall be multiplied by either the reference price of the instrument subtracted from the execution price for each purchase undertaken by the PRIIP or the execution price subtracted from the reference price of the instrument for each sale undertaken by the PRIIP; </w:t>
      </w:r>
    </w:p>
    <w:p w14:paraId="2BEC4BAA" w14:textId="77777777" w:rsidR="00CA74D8" w:rsidRPr="00373E2E" w:rsidRDefault="00CA74D8" w:rsidP="00CA74D8">
      <w:pPr>
        <w:autoSpaceDE w:val="0"/>
        <w:autoSpaceDN w:val="0"/>
        <w:adjustRightInd w:val="0"/>
        <w:jc w:val="both"/>
        <w:rPr>
          <w:rFonts w:ascii="Lucida Sans" w:hAnsi="Lucida Sans"/>
          <w:szCs w:val="20"/>
        </w:rPr>
      </w:pPr>
      <w:r w:rsidRPr="00373E2E">
        <w:rPr>
          <w:rFonts w:ascii="Lucida Sans" w:hAnsi="Lucida Sans"/>
          <w:strike/>
          <w:color w:val="FF0000"/>
          <w:szCs w:val="20"/>
        </w:rPr>
        <w:t xml:space="preserve">16. By way of derogation from point 15, where the manufacturer </w:t>
      </w:r>
      <w:proofErr w:type="gramStart"/>
      <w:r w:rsidRPr="00373E2E">
        <w:rPr>
          <w:rFonts w:ascii="Lucida Sans" w:hAnsi="Lucida Sans"/>
          <w:strike/>
          <w:color w:val="FF0000"/>
          <w:szCs w:val="20"/>
        </w:rPr>
        <w:t>is able to</w:t>
      </w:r>
      <w:proofErr w:type="gramEnd"/>
      <w:r w:rsidRPr="00373E2E">
        <w:rPr>
          <w:rFonts w:ascii="Lucida Sans" w:hAnsi="Lucida Sans"/>
          <w:strike/>
          <w:color w:val="FF0000"/>
          <w:szCs w:val="20"/>
        </w:rPr>
        <w:t xml:space="preserve"> demonstrate that the transaction data used is statistically meaningful, sufficiently granular and proper governance and controls are in place to ensure that the data is sufficiently representative of the actual trade, implicit transaction costs shall be measured by reference to. prices obtained for previous transactions in assets bearing similar characteristics (e.g. duration, maturity, coupon, call- / put-ability) and liquidity, using transactions previously executed by the manufacturer or a third party or using available indexes or This derogation shall apply in all cases where a manufacturer undertakes fewer than [250] transactions in a three-year period for an individual PRIIP, or where the total consideration for all transactions undertaken over 3 years is less than [25%] of the net asset value of the product</w:t>
      </w:r>
      <w:r w:rsidRPr="00373E2E">
        <w:rPr>
          <w:rFonts w:ascii="Lucida Sans" w:hAnsi="Lucida Sans"/>
          <w:szCs w:val="20"/>
        </w:rPr>
        <w:t xml:space="preserve">. </w:t>
      </w:r>
    </w:p>
    <w:p w14:paraId="231F8017" w14:textId="77777777" w:rsidR="00CA74D8" w:rsidRPr="00373E2E" w:rsidRDefault="00CA74D8" w:rsidP="00CA74D8">
      <w:pPr>
        <w:autoSpaceDE w:val="0"/>
        <w:autoSpaceDN w:val="0"/>
        <w:adjustRightInd w:val="0"/>
        <w:jc w:val="both"/>
        <w:rPr>
          <w:rFonts w:ascii="Lucida Sans" w:hAnsi="Lucida Sans"/>
          <w:color w:val="FF0000"/>
          <w:szCs w:val="20"/>
        </w:rPr>
      </w:pPr>
      <w:r w:rsidRPr="00373E2E">
        <w:rPr>
          <w:rFonts w:ascii="Lucida Sans" w:hAnsi="Lucida Sans"/>
          <w:color w:val="FF0000"/>
          <w:szCs w:val="20"/>
        </w:rPr>
        <w:t>15. For OTC transactions,</w:t>
      </w:r>
    </w:p>
    <w:p w14:paraId="0A81C933" w14:textId="77777777" w:rsidR="00CA74D8" w:rsidRPr="00373E2E" w:rsidRDefault="00CA74D8" w:rsidP="00CA74D8">
      <w:pPr>
        <w:autoSpaceDE w:val="0"/>
        <w:autoSpaceDN w:val="0"/>
        <w:adjustRightInd w:val="0"/>
        <w:jc w:val="both"/>
        <w:rPr>
          <w:rFonts w:ascii="Lucida Sans" w:hAnsi="Lucida Sans"/>
          <w:color w:val="FF0000"/>
          <w:szCs w:val="20"/>
        </w:rPr>
      </w:pPr>
      <w:r w:rsidRPr="00373E2E">
        <w:rPr>
          <w:rFonts w:ascii="Lucida Sans" w:hAnsi="Lucida Sans"/>
          <w:color w:val="FF0000"/>
          <w:szCs w:val="20"/>
        </w:rPr>
        <w:t>a.</w:t>
      </w:r>
      <w:r w:rsidRPr="00373E2E">
        <w:rPr>
          <w:rFonts w:ascii="Lucida Sans" w:hAnsi="Lucida Sans"/>
          <w:color w:val="FF0000"/>
          <w:szCs w:val="20"/>
        </w:rPr>
        <w:tab/>
        <w:t>where a transaction is executed after bid prices and offer prices have been obtained from more than one potential counterparty, the arrival price shall be taken to be:</w:t>
      </w:r>
    </w:p>
    <w:p w14:paraId="30107103" w14:textId="77777777" w:rsidR="00CA74D8" w:rsidRPr="00373E2E" w:rsidRDefault="00CA74D8" w:rsidP="00CA74D8">
      <w:pPr>
        <w:autoSpaceDE w:val="0"/>
        <w:autoSpaceDN w:val="0"/>
        <w:adjustRightInd w:val="0"/>
        <w:jc w:val="both"/>
        <w:rPr>
          <w:rFonts w:ascii="Lucida Sans" w:hAnsi="Lucida Sans"/>
          <w:color w:val="FF0000"/>
          <w:szCs w:val="20"/>
        </w:rPr>
      </w:pPr>
      <w:proofErr w:type="spellStart"/>
      <w:r w:rsidRPr="00373E2E">
        <w:rPr>
          <w:rFonts w:ascii="Lucida Sans" w:hAnsi="Lucida Sans"/>
          <w:color w:val="FF0000"/>
          <w:szCs w:val="20"/>
        </w:rPr>
        <w:t>i</w:t>
      </w:r>
      <w:proofErr w:type="spellEnd"/>
      <w:r w:rsidRPr="00373E2E">
        <w:rPr>
          <w:rFonts w:ascii="Lucida Sans" w:hAnsi="Lucida Sans"/>
          <w:color w:val="FF0000"/>
          <w:szCs w:val="20"/>
        </w:rPr>
        <w:t>.</w:t>
      </w:r>
      <w:r w:rsidRPr="00373E2E">
        <w:rPr>
          <w:rFonts w:ascii="Lucida Sans" w:hAnsi="Lucida Sans"/>
          <w:color w:val="FF0000"/>
          <w:szCs w:val="20"/>
        </w:rPr>
        <w:tab/>
        <w:t>If the best bid price is below the best offer price, the mid-point between the best bid price and best offer price;</w:t>
      </w:r>
    </w:p>
    <w:p w14:paraId="01CC3E82" w14:textId="77777777" w:rsidR="00CA74D8" w:rsidRPr="00373E2E" w:rsidRDefault="00CA74D8" w:rsidP="00CA74D8">
      <w:pPr>
        <w:autoSpaceDE w:val="0"/>
        <w:autoSpaceDN w:val="0"/>
        <w:adjustRightInd w:val="0"/>
        <w:jc w:val="both"/>
        <w:rPr>
          <w:rFonts w:ascii="Lucida Sans" w:hAnsi="Lucida Sans"/>
          <w:color w:val="FF0000"/>
          <w:szCs w:val="20"/>
        </w:rPr>
      </w:pPr>
      <w:r w:rsidRPr="00373E2E">
        <w:rPr>
          <w:rFonts w:ascii="Lucida Sans" w:hAnsi="Lucida Sans"/>
          <w:color w:val="FF0000"/>
          <w:szCs w:val="20"/>
        </w:rPr>
        <w:t>ii.</w:t>
      </w:r>
      <w:r w:rsidRPr="00373E2E">
        <w:rPr>
          <w:rFonts w:ascii="Lucida Sans" w:hAnsi="Lucida Sans"/>
          <w:color w:val="FF0000"/>
          <w:szCs w:val="20"/>
        </w:rPr>
        <w:tab/>
        <w:t>If the best bid price is higher than the best offer price, the best bid price in the case of a sale or the best offer price in the case of a purchase.</w:t>
      </w:r>
    </w:p>
    <w:p w14:paraId="1386C078" w14:textId="77777777" w:rsidR="00CA74D8" w:rsidRPr="00373E2E" w:rsidRDefault="00CA74D8" w:rsidP="00CA74D8">
      <w:pPr>
        <w:autoSpaceDE w:val="0"/>
        <w:autoSpaceDN w:val="0"/>
        <w:adjustRightInd w:val="0"/>
        <w:jc w:val="both"/>
        <w:rPr>
          <w:rFonts w:ascii="Lucida Sans" w:hAnsi="Lucida Sans"/>
          <w:color w:val="FF0000"/>
          <w:szCs w:val="20"/>
        </w:rPr>
      </w:pPr>
      <w:r w:rsidRPr="00373E2E">
        <w:rPr>
          <w:rFonts w:ascii="Lucida Sans" w:hAnsi="Lucida Sans"/>
          <w:color w:val="FF0000"/>
          <w:szCs w:val="20"/>
        </w:rPr>
        <w:t>b.</w:t>
      </w:r>
      <w:r w:rsidRPr="00373E2E">
        <w:rPr>
          <w:rFonts w:ascii="Lucida Sans" w:hAnsi="Lucida Sans"/>
          <w:color w:val="FF0000"/>
          <w:szCs w:val="20"/>
        </w:rPr>
        <w:tab/>
        <w:t>Where a transaction is executed without both bid prices and offer prices having been obtained, the implicit transaction cost shall be calculated according to points 18 and 18a.</w:t>
      </w:r>
    </w:p>
    <w:p w14:paraId="33927AC3" w14:textId="77777777" w:rsidR="00CA74D8" w:rsidRPr="00373E2E" w:rsidRDefault="00CA74D8" w:rsidP="00CA74D8">
      <w:pPr>
        <w:spacing w:before="120" w:after="120"/>
        <w:jc w:val="both"/>
        <w:rPr>
          <w:rFonts w:ascii="Lucida Sans" w:hAnsi="Lucida Sans"/>
          <w:szCs w:val="20"/>
        </w:rPr>
      </w:pPr>
    </w:p>
    <w:p w14:paraId="157C5A0B" w14:textId="77777777" w:rsidR="00CA74D8" w:rsidRPr="00373E2E" w:rsidRDefault="00CA74D8" w:rsidP="00CA74D8">
      <w:pPr>
        <w:autoSpaceDE w:val="0"/>
        <w:autoSpaceDN w:val="0"/>
        <w:adjustRightInd w:val="0"/>
        <w:jc w:val="both"/>
        <w:rPr>
          <w:rFonts w:ascii="Lucida Sans" w:hAnsi="Lucida Sans"/>
          <w:color w:val="000000"/>
          <w:szCs w:val="20"/>
          <w:lang w:val="it-IT"/>
        </w:rPr>
      </w:pPr>
      <w:r w:rsidRPr="00373E2E">
        <w:rPr>
          <w:rFonts w:ascii="Lucida Sans" w:hAnsi="Lucida Sans"/>
          <w:i/>
          <w:iCs/>
          <w:color w:val="000000"/>
          <w:szCs w:val="20"/>
          <w:lang w:val="it-IT"/>
        </w:rPr>
        <w:t xml:space="preserve">For </w:t>
      </w:r>
      <w:proofErr w:type="spellStart"/>
      <w:r w:rsidRPr="00373E2E">
        <w:rPr>
          <w:rFonts w:ascii="Lucida Sans" w:hAnsi="Lucida Sans"/>
          <w:i/>
          <w:iCs/>
          <w:color w:val="000000"/>
          <w:szCs w:val="20"/>
          <w:lang w:val="it-IT"/>
        </w:rPr>
        <w:t>transactions</w:t>
      </w:r>
      <w:proofErr w:type="spellEnd"/>
      <w:r w:rsidRPr="00373E2E">
        <w:rPr>
          <w:rFonts w:ascii="Lucida Sans" w:hAnsi="Lucida Sans"/>
          <w:i/>
          <w:iCs/>
          <w:color w:val="000000"/>
          <w:szCs w:val="20"/>
          <w:lang w:val="it-IT"/>
        </w:rPr>
        <w:t xml:space="preserve"> </w:t>
      </w:r>
      <w:proofErr w:type="spellStart"/>
      <w:r w:rsidRPr="00373E2E">
        <w:rPr>
          <w:rFonts w:ascii="Lucida Sans" w:hAnsi="Lucida Sans"/>
          <w:i/>
          <w:iCs/>
          <w:color w:val="000000"/>
          <w:szCs w:val="20"/>
          <w:lang w:val="it-IT"/>
        </w:rPr>
        <w:t>negotiated</w:t>
      </w:r>
      <w:proofErr w:type="spellEnd"/>
      <w:r w:rsidRPr="00373E2E">
        <w:rPr>
          <w:rFonts w:ascii="Lucida Sans" w:hAnsi="Lucida Sans"/>
          <w:i/>
          <w:iCs/>
          <w:color w:val="000000"/>
          <w:szCs w:val="20"/>
          <w:lang w:val="it-IT"/>
        </w:rPr>
        <w:t xml:space="preserve"> on </w:t>
      </w:r>
      <w:proofErr w:type="spellStart"/>
      <w:r w:rsidRPr="00373E2E">
        <w:rPr>
          <w:rFonts w:ascii="Lucida Sans" w:hAnsi="Lucida Sans"/>
          <w:i/>
          <w:iCs/>
          <w:color w:val="000000"/>
          <w:szCs w:val="20"/>
          <w:lang w:val="it-IT"/>
        </w:rPr>
        <w:t>platform</w:t>
      </w:r>
      <w:proofErr w:type="spellEnd"/>
      <w:r w:rsidRPr="00373E2E">
        <w:rPr>
          <w:rFonts w:ascii="Lucida Sans" w:hAnsi="Lucida Sans"/>
          <w:i/>
          <w:iCs/>
          <w:color w:val="000000"/>
          <w:szCs w:val="20"/>
          <w:lang w:val="it-IT"/>
        </w:rPr>
        <w:t xml:space="preserve">, </w:t>
      </w:r>
    </w:p>
    <w:p w14:paraId="5E970B3F" w14:textId="77777777" w:rsidR="00CA74D8" w:rsidRPr="00373E2E" w:rsidRDefault="00CA74D8" w:rsidP="00CA74D8">
      <w:pPr>
        <w:autoSpaceDE w:val="0"/>
        <w:autoSpaceDN w:val="0"/>
        <w:adjustRightInd w:val="0"/>
        <w:spacing w:after="148"/>
        <w:jc w:val="both"/>
        <w:rPr>
          <w:rFonts w:ascii="Lucida Sans" w:hAnsi="Lucida Sans"/>
          <w:color w:val="000000"/>
          <w:szCs w:val="20"/>
          <w:lang w:val="it-IT"/>
        </w:rPr>
      </w:pPr>
      <w:r w:rsidRPr="00373E2E">
        <w:rPr>
          <w:rFonts w:ascii="Lucida Sans" w:hAnsi="Lucida Sans"/>
          <w:color w:val="000000"/>
          <w:szCs w:val="20"/>
          <w:lang w:val="it-IT"/>
        </w:rPr>
        <w:t xml:space="preserve">16. </w:t>
      </w:r>
      <w:r w:rsidRPr="00373E2E">
        <w:rPr>
          <w:rFonts w:ascii="Lucida Sans" w:hAnsi="Lucida Sans"/>
          <w:szCs w:val="20"/>
          <w:lang w:val="it-IT"/>
        </w:rPr>
        <w:t xml:space="preserve">For </w:t>
      </w:r>
      <w:proofErr w:type="spellStart"/>
      <w:r w:rsidRPr="00373E2E">
        <w:rPr>
          <w:rFonts w:ascii="Lucida Sans" w:hAnsi="Lucida Sans"/>
          <w:szCs w:val="20"/>
          <w:lang w:val="it-IT"/>
        </w:rPr>
        <w:t>transactions</w:t>
      </w:r>
      <w:proofErr w:type="spellEnd"/>
      <w:r w:rsidRPr="00373E2E">
        <w:rPr>
          <w:rFonts w:ascii="Lucida Sans" w:hAnsi="Lucida Sans"/>
          <w:szCs w:val="20"/>
          <w:lang w:val="it-IT"/>
        </w:rPr>
        <w:t xml:space="preserve"> </w:t>
      </w:r>
      <w:proofErr w:type="spellStart"/>
      <w:r w:rsidRPr="00373E2E">
        <w:rPr>
          <w:rFonts w:ascii="Lucida Sans" w:hAnsi="Lucida Sans"/>
          <w:szCs w:val="20"/>
          <w:lang w:val="it-IT"/>
        </w:rPr>
        <w:t>negotiated</w:t>
      </w:r>
      <w:proofErr w:type="spellEnd"/>
      <w:r w:rsidRPr="00373E2E">
        <w:rPr>
          <w:rFonts w:ascii="Lucida Sans" w:hAnsi="Lucida Sans"/>
          <w:szCs w:val="20"/>
          <w:lang w:val="it-IT"/>
        </w:rPr>
        <w:t xml:space="preserve"> on </w:t>
      </w:r>
      <w:proofErr w:type="spellStart"/>
      <w:r w:rsidRPr="00373E2E">
        <w:rPr>
          <w:rFonts w:ascii="Lucida Sans" w:hAnsi="Lucida Sans"/>
          <w:szCs w:val="20"/>
          <w:lang w:val="it-IT"/>
        </w:rPr>
        <w:t>platform</w:t>
      </w:r>
      <w:proofErr w:type="spellEnd"/>
      <w:r w:rsidRPr="00373E2E">
        <w:rPr>
          <w:rFonts w:ascii="Lucida Sans" w:hAnsi="Lucida Sans"/>
          <w:szCs w:val="20"/>
          <w:lang w:val="it-IT"/>
        </w:rPr>
        <w:t xml:space="preserve"> </w:t>
      </w:r>
      <w:proofErr w:type="spellStart"/>
      <w:r w:rsidRPr="00373E2E">
        <w:rPr>
          <w:rFonts w:ascii="Lucida Sans" w:hAnsi="Lucida Sans"/>
          <w:color w:val="000000"/>
          <w:szCs w:val="20"/>
          <w:lang w:val="it-IT"/>
        </w:rPr>
        <w:t>implicit</w:t>
      </w:r>
      <w:proofErr w:type="spellEnd"/>
      <w:r w:rsidRPr="00373E2E">
        <w:rPr>
          <w:rFonts w:ascii="Lucida Sans" w:hAnsi="Lucida Sans"/>
          <w:color w:val="000000"/>
          <w:szCs w:val="20"/>
          <w:lang w:val="it-IT"/>
        </w:rPr>
        <w:t xml:space="preserve"> </w:t>
      </w:r>
      <w:proofErr w:type="spellStart"/>
      <w:r w:rsidRPr="00373E2E">
        <w:rPr>
          <w:rFonts w:ascii="Lucida Sans" w:hAnsi="Lucida Sans"/>
          <w:color w:val="000000"/>
          <w:szCs w:val="20"/>
          <w:lang w:val="it-IT"/>
        </w:rPr>
        <w:t>transaction</w:t>
      </w:r>
      <w:proofErr w:type="spellEnd"/>
      <w:r w:rsidRPr="00373E2E">
        <w:rPr>
          <w:rFonts w:ascii="Lucida Sans" w:hAnsi="Lucida Sans"/>
          <w:color w:val="000000"/>
          <w:szCs w:val="20"/>
          <w:lang w:val="it-IT"/>
        </w:rPr>
        <w:t xml:space="preserve"> costs </w:t>
      </w:r>
      <w:proofErr w:type="spellStart"/>
      <w:r w:rsidRPr="00373E2E">
        <w:rPr>
          <w:rFonts w:ascii="Lucida Sans" w:hAnsi="Lucida Sans"/>
          <w:color w:val="000000"/>
          <w:szCs w:val="20"/>
          <w:lang w:val="it-IT"/>
        </w:rPr>
        <w:t>shall</w:t>
      </w:r>
      <w:proofErr w:type="spellEnd"/>
      <w:r w:rsidRPr="00373E2E">
        <w:rPr>
          <w:rFonts w:ascii="Lucida Sans" w:hAnsi="Lucida Sans"/>
          <w:color w:val="000000"/>
          <w:szCs w:val="20"/>
          <w:lang w:val="it-IT"/>
        </w:rPr>
        <w:t xml:space="preserve"> be </w:t>
      </w:r>
      <w:proofErr w:type="spellStart"/>
      <w:r w:rsidRPr="00373E2E">
        <w:rPr>
          <w:rFonts w:ascii="Lucida Sans" w:hAnsi="Lucida Sans"/>
          <w:color w:val="000000"/>
          <w:szCs w:val="20"/>
          <w:lang w:val="it-IT"/>
        </w:rPr>
        <w:t>measured</w:t>
      </w:r>
      <w:proofErr w:type="spellEnd"/>
      <w:r w:rsidRPr="00373E2E">
        <w:rPr>
          <w:rFonts w:ascii="Lucida Sans" w:hAnsi="Lucida Sans"/>
          <w:color w:val="000000"/>
          <w:szCs w:val="20"/>
          <w:lang w:val="it-IT"/>
        </w:rPr>
        <w:t xml:space="preserve"> by </w:t>
      </w:r>
      <w:proofErr w:type="spellStart"/>
      <w:r w:rsidRPr="00373E2E">
        <w:rPr>
          <w:rFonts w:ascii="Lucida Sans" w:hAnsi="Lucida Sans"/>
          <w:color w:val="000000"/>
          <w:szCs w:val="20"/>
          <w:lang w:val="it-IT"/>
        </w:rPr>
        <w:t>reference</w:t>
      </w:r>
      <w:proofErr w:type="spellEnd"/>
      <w:r w:rsidRPr="00373E2E">
        <w:rPr>
          <w:rFonts w:ascii="Lucida Sans" w:hAnsi="Lucida Sans"/>
          <w:color w:val="000000"/>
          <w:szCs w:val="20"/>
          <w:lang w:val="it-IT"/>
        </w:rPr>
        <w:t xml:space="preserve"> to the </w:t>
      </w:r>
      <w:proofErr w:type="spellStart"/>
      <w:r w:rsidRPr="00373E2E">
        <w:rPr>
          <w:rFonts w:ascii="Lucida Sans" w:hAnsi="Lucida Sans"/>
          <w:color w:val="FF0000"/>
          <w:szCs w:val="20"/>
          <w:lang w:val="it-IT"/>
        </w:rPr>
        <w:t>mid</w:t>
      </w:r>
      <w:proofErr w:type="spellEnd"/>
      <w:r w:rsidRPr="00373E2E">
        <w:rPr>
          <w:rFonts w:ascii="Lucida Sans" w:hAnsi="Lucida Sans"/>
          <w:color w:val="FF0000"/>
          <w:szCs w:val="20"/>
          <w:lang w:val="it-IT"/>
        </w:rPr>
        <w:t xml:space="preserve">-market </w:t>
      </w:r>
      <w:r w:rsidRPr="00373E2E">
        <w:rPr>
          <w:rFonts w:ascii="Lucida Sans" w:hAnsi="Lucida Sans"/>
          <w:color w:val="000000"/>
          <w:szCs w:val="20"/>
          <w:lang w:val="it-IT"/>
        </w:rPr>
        <w:t xml:space="preserve">price of the </w:t>
      </w:r>
      <w:proofErr w:type="spellStart"/>
      <w:r w:rsidRPr="00373E2E">
        <w:rPr>
          <w:rFonts w:ascii="Lucida Sans" w:hAnsi="Lucida Sans"/>
          <w:color w:val="000000"/>
          <w:szCs w:val="20"/>
          <w:lang w:val="it-IT"/>
        </w:rPr>
        <w:t>instrument</w:t>
      </w:r>
      <w:proofErr w:type="spellEnd"/>
      <w:r w:rsidRPr="00373E2E">
        <w:rPr>
          <w:rFonts w:ascii="Lucida Sans" w:hAnsi="Lucida Sans"/>
          <w:color w:val="FF0000"/>
          <w:szCs w:val="20"/>
          <w:lang w:val="it-IT"/>
        </w:rPr>
        <w:t>,</w:t>
      </w:r>
      <w:r w:rsidRPr="00373E2E">
        <w:rPr>
          <w:rFonts w:ascii="Lucida Sans" w:hAnsi="Lucida Sans"/>
          <w:color w:val="000000"/>
          <w:szCs w:val="20"/>
          <w:lang w:val="it-IT"/>
        </w:rPr>
        <w:t xml:space="preserve"> </w:t>
      </w:r>
      <w:proofErr w:type="spellStart"/>
      <w:r w:rsidRPr="00373E2E">
        <w:rPr>
          <w:rFonts w:ascii="Lucida Sans" w:hAnsi="Lucida Sans"/>
          <w:color w:val="000000"/>
          <w:szCs w:val="20"/>
          <w:lang w:val="it-IT"/>
        </w:rPr>
        <w:t>at</w:t>
      </w:r>
      <w:proofErr w:type="spellEnd"/>
      <w:r w:rsidRPr="00373E2E">
        <w:rPr>
          <w:rFonts w:ascii="Lucida Sans" w:hAnsi="Lucida Sans"/>
          <w:color w:val="000000"/>
          <w:szCs w:val="20"/>
          <w:lang w:val="it-IT"/>
        </w:rPr>
        <w:t xml:space="preserve"> the time the </w:t>
      </w:r>
      <w:proofErr w:type="spellStart"/>
      <w:r w:rsidRPr="00373E2E">
        <w:rPr>
          <w:rFonts w:ascii="Lucida Sans" w:hAnsi="Lucida Sans"/>
          <w:color w:val="000000"/>
          <w:szCs w:val="20"/>
          <w:lang w:val="it-IT"/>
        </w:rPr>
        <w:t>order</w:t>
      </w:r>
      <w:proofErr w:type="spellEnd"/>
      <w:r w:rsidRPr="00373E2E">
        <w:rPr>
          <w:rFonts w:ascii="Lucida Sans" w:hAnsi="Lucida Sans"/>
          <w:color w:val="000000"/>
          <w:szCs w:val="20"/>
          <w:lang w:val="it-IT"/>
        </w:rPr>
        <w:t xml:space="preserve"> </w:t>
      </w:r>
      <w:proofErr w:type="spellStart"/>
      <w:r w:rsidRPr="00373E2E">
        <w:rPr>
          <w:rFonts w:ascii="Lucida Sans" w:hAnsi="Lucida Sans"/>
          <w:color w:val="000000"/>
          <w:szCs w:val="20"/>
          <w:lang w:val="it-IT"/>
        </w:rPr>
        <w:t>is</w:t>
      </w:r>
      <w:proofErr w:type="spellEnd"/>
      <w:r w:rsidRPr="00373E2E">
        <w:rPr>
          <w:rFonts w:ascii="Lucida Sans" w:hAnsi="Lucida Sans"/>
          <w:color w:val="000000"/>
          <w:szCs w:val="20"/>
          <w:lang w:val="it-IT"/>
        </w:rPr>
        <w:t xml:space="preserve"> </w:t>
      </w:r>
      <w:commentRangeStart w:id="15"/>
      <w:proofErr w:type="spellStart"/>
      <w:r w:rsidRPr="00373E2E">
        <w:rPr>
          <w:rFonts w:ascii="Lucida Sans" w:hAnsi="Lucida Sans"/>
          <w:color w:val="FF0000"/>
          <w:szCs w:val="20"/>
          <w:lang w:val="it-IT"/>
        </w:rPr>
        <w:t>executed</w:t>
      </w:r>
      <w:commentRangeEnd w:id="15"/>
      <w:proofErr w:type="spellEnd"/>
      <w:r w:rsidR="0095041F">
        <w:rPr>
          <w:rStyle w:val="Rimandocommento"/>
        </w:rPr>
        <w:commentReference w:id="15"/>
      </w:r>
      <w:r w:rsidRPr="00373E2E">
        <w:rPr>
          <w:rFonts w:ascii="Lucida Sans" w:hAnsi="Lucida Sans"/>
          <w:color w:val="FF0000"/>
          <w:szCs w:val="20"/>
          <w:lang w:val="it-IT"/>
        </w:rPr>
        <w:t xml:space="preserve"> </w:t>
      </w:r>
      <w:proofErr w:type="spellStart"/>
      <w:r w:rsidRPr="00373E2E">
        <w:rPr>
          <w:rFonts w:ascii="Lucida Sans" w:hAnsi="Lucida Sans"/>
          <w:strike/>
          <w:color w:val="FF0000"/>
          <w:szCs w:val="20"/>
          <w:lang w:val="it-IT"/>
        </w:rPr>
        <w:t>transmitted</w:t>
      </w:r>
      <w:proofErr w:type="spellEnd"/>
      <w:r w:rsidRPr="00373E2E">
        <w:rPr>
          <w:rFonts w:ascii="Lucida Sans" w:hAnsi="Lucida Sans"/>
          <w:strike/>
          <w:color w:val="FF0000"/>
          <w:szCs w:val="20"/>
          <w:lang w:val="it-IT"/>
        </w:rPr>
        <w:t xml:space="preserve"> by the portfolio manager or the trader </w:t>
      </w:r>
      <w:r w:rsidRPr="00373E2E">
        <w:rPr>
          <w:rFonts w:ascii="Lucida Sans" w:hAnsi="Lucida Sans"/>
          <w:szCs w:val="20"/>
          <w:lang w:val="it-IT"/>
        </w:rPr>
        <w:t xml:space="preserve">or, </w:t>
      </w:r>
      <w:proofErr w:type="spellStart"/>
      <w:r w:rsidRPr="00373E2E">
        <w:rPr>
          <w:rFonts w:ascii="Lucida Sans" w:hAnsi="Lucida Sans"/>
          <w:szCs w:val="20"/>
          <w:lang w:val="it-IT"/>
        </w:rPr>
        <w:t>if</w:t>
      </w:r>
      <w:proofErr w:type="spellEnd"/>
      <w:r w:rsidRPr="00373E2E">
        <w:rPr>
          <w:rFonts w:ascii="Lucida Sans" w:hAnsi="Lucida Sans"/>
          <w:szCs w:val="20"/>
          <w:lang w:val="it-IT"/>
        </w:rPr>
        <w:t xml:space="preserve"> </w:t>
      </w:r>
      <w:proofErr w:type="spellStart"/>
      <w:r w:rsidRPr="00373E2E">
        <w:rPr>
          <w:rFonts w:ascii="Lucida Sans" w:hAnsi="Lucida Sans"/>
          <w:szCs w:val="20"/>
          <w:lang w:val="it-IT"/>
        </w:rPr>
        <w:t>justified</w:t>
      </w:r>
      <w:proofErr w:type="spellEnd"/>
      <w:r w:rsidRPr="00373E2E">
        <w:rPr>
          <w:rFonts w:ascii="Lucida Sans" w:hAnsi="Lucida Sans"/>
          <w:szCs w:val="20"/>
          <w:lang w:val="it-IT"/>
        </w:rPr>
        <w:t xml:space="preserve"> by the </w:t>
      </w:r>
      <w:proofErr w:type="spellStart"/>
      <w:r w:rsidRPr="00373E2E">
        <w:rPr>
          <w:rFonts w:ascii="Lucida Sans" w:hAnsi="Lucida Sans"/>
          <w:szCs w:val="20"/>
          <w:lang w:val="it-IT"/>
        </w:rPr>
        <w:t>manufacturer</w:t>
      </w:r>
      <w:proofErr w:type="spellEnd"/>
      <w:r w:rsidRPr="00373E2E">
        <w:rPr>
          <w:rFonts w:ascii="Lucida Sans" w:hAnsi="Lucida Sans"/>
          <w:szCs w:val="20"/>
          <w:lang w:val="it-IT"/>
        </w:rPr>
        <w:t xml:space="preserve"> on the </w:t>
      </w:r>
      <w:proofErr w:type="spellStart"/>
      <w:r w:rsidRPr="00373E2E">
        <w:rPr>
          <w:rFonts w:ascii="Lucida Sans" w:hAnsi="Lucida Sans"/>
          <w:szCs w:val="20"/>
          <w:lang w:val="it-IT"/>
        </w:rPr>
        <w:t>basis</w:t>
      </w:r>
      <w:proofErr w:type="spellEnd"/>
      <w:r w:rsidRPr="00373E2E">
        <w:rPr>
          <w:rFonts w:ascii="Lucida Sans" w:hAnsi="Lucida Sans"/>
          <w:szCs w:val="20"/>
          <w:lang w:val="it-IT"/>
        </w:rPr>
        <w:t xml:space="preserve"> of the asset </w:t>
      </w:r>
      <w:proofErr w:type="spellStart"/>
      <w:r w:rsidRPr="00373E2E">
        <w:rPr>
          <w:rFonts w:ascii="Lucida Sans" w:hAnsi="Lucida Sans"/>
          <w:szCs w:val="20"/>
          <w:lang w:val="it-IT"/>
        </w:rPr>
        <w:t>type</w:t>
      </w:r>
      <w:proofErr w:type="spellEnd"/>
      <w:r w:rsidRPr="00373E2E">
        <w:rPr>
          <w:rFonts w:ascii="Lucida Sans" w:hAnsi="Lucida Sans"/>
          <w:szCs w:val="20"/>
          <w:lang w:val="it-IT"/>
        </w:rPr>
        <w:t xml:space="preserve"> or </w:t>
      </w:r>
      <w:proofErr w:type="spellStart"/>
      <w:r w:rsidRPr="00373E2E">
        <w:rPr>
          <w:rFonts w:ascii="Lucida Sans" w:hAnsi="Lucida Sans"/>
          <w:szCs w:val="20"/>
          <w:lang w:val="it-IT"/>
        </w:rPr>
        <w:t>liquidity</w:t>
      </w:r>
      <w:proofErr w:type="spellEnd"/>
      <w:r w:rsidRPr="00373E2E">
        <w:rPr>
          <w:rFonts w:ascii="Lucida Sans" w:hAnsi="Lucida Sans"/>
          <w:szCs w:val="20"/>
          <w:lang w:val="it-IT"/>
        </w:rPr>
        <w:t xml:space="preserve"> or </w:t>
      </w:r>
      <w:proofErr w:type="spellStart"/>
      <w:r w:rsidRPr="00373E2E">
        <w:rPr>
          <w:rFonts w:ascii="Lucida Sans" w:hAnsi="Lucida Sans"/>
          <w:szCs w:val="20"/>
          <w:lang w:val="it-IT"/>
        </w:rPr>
        <w:t>availability</w:t>
      </w:r>
      <w:proofErr w:type="spellEnd"/>
      <w:r w:rsidRPr="00373E2E">
        <w:rPr>
          <w:rFonts w:ascii="Lucida Sans" w:hAnsi="Lucida Sans"/>
          <w:szCs w:val="20"/>
          <w:lang w:val="it-IT"/>
        </w:rPr>
        <w:t xml:space="preserve"> of market data, by </w:t>
      </w:r>
      <w:proofErr w:type="spellStart"/>
      <w:r w:rsidRPr="00373E2E">
        <w:rPr>
          <w:rFonts w:ascii="Lucida Sans" w:hAnsi="Lucida Sans"/>
          <w:szCs w:val="20"/>
          <w:lang w:val="it-IT"/>
        </w:rPr>
        <w:t>reference</w:t>
      </w:r>
      <w:proofErr w:type="spellEnd"/>
      <w:r w:rsidRPr="00373E2E">
        <w:rPr>
          <w:rFonts w:ascii="Lucida Sans" w:hAnsi="Lucida Sans"/>
          <w:szCs w:val="20"/>
          <w:lang w:val="it-IT"/>
        </w:rPr>
        <w:t xml:space="preserve"> to a </w:t>
      </w:r>
      <w:proofErr w:type="spellStart"/>
      <w:r w:rsidRPr="00373E2E">
        <w:rPr>
          <w:rFonts w:ascii="Lucida Sans" w:hAnsi="Lucida Sans"/>
          <w:szCs w:val="20"/>
          <w:lang w:val="it-IT"/>
        </w:rPr>
        <w:t>relevant</w:t>
      </w:r>
      <w:proofErr w:type="spellEnd"/>
      <w:r w:rsidRPr="00373E2E">
        <w:rPr>
          <w:rFonts w:ascii="Lucida Sans" w:hAnsi="Lucida Sans"/>
          <w:szCs w:val="20"/>
          <w:lang w:val="it-IT"/>
        </w:rPr>
        <w:t xml:space="preserve"> intraday </w:t>
      </w:r>
      <w:proofErr w:type="spellStart"/>
      <w:r w:rsidRPr="00373E2E">
        <w:rPr>
          <w:rFonts w:ascii="Lucida Sans" w:hAnsi="Lucida Sans"/>
          <w:color w:val="FF0000"/>
          <w:szCs w:val="20"/>
          <w:lang w:val="it-IT"/>
        </w:rPr>
        <w:t>mid</w:t>
      </w:r>
      <w:proofErr w:type="spellEnd"/>
      <w:r w:rsidRPr="00373E2E">
        <w:rPr>
          <w:rFonts w:ascii="Lucida Sans" w:hAnsi="Lucida Sans"/>
          <w:color w:val="FF0000"/>
          <w:szCs w:val="20"/>
          <w:lang w:val="it-IT"/>
        </w:rPr>
        <w:t xml:space="preserve">-market </w:t>
      </w:r>
      <w:r w:rsidRPr="00373E2E">
        <w:rPr>
          <w:rFonts w:ascii="Lucida Sans" w:hAnsi="Lucida Sans"/>
          <w:szCs w:val="20"/>
          <w:lang w:val="it-IT"/>
        </w:rPr>
        <w:t xml:space="preserve">price </w:t>
      </w:r>
      <w:proofErr w:type="spellStart"/>
      <w:r w:rsidRPr="00373E2E">
        <w:rPr>
          <w:rFonts w:ascii="Lucida Sans" w:hAnsi="Lucida Sans"/>
          <w:szCs w:val="20"/>
          <w:lang w:val="it-IT"/>
        </w:rPr>
        <w:t>available</w:t>
      </w:r>
      <w:proofErr w:type="spellEnd"/>
      <w:r w:rsidRPr="00373E2E">
        <w:rPr>
          <w:rFonts w:ascii="Lucida Sans" w:hAnsi="Lucida Sans"/>
          <w:szCs w:val="20"/>
          <w:lang w:val="it-IT"/>
        </w:rPr>
        <w:t xml:space="preserve"> for the day of the </w:t>
      </w:r>
      <w:proofErr w:type="spellStart"/>
      <w:r w:rsidRPr="00373E2E">
        <w:rPr>
          <w:rFonts w:ascii="Lucida Sans" w:hAnsi="Lucida Sans"/>
          <w:szCs w:val="20"/>
          <w:lang w:val="it-IT"/>
        </w:rPr>
        <w:t>transaction</w:t>
      </w:r>
      <w:proofErr w:type="spellEnd"/>
      <w:r w:rsidRPr="00373E2E">
        <w:rPr>
          <w:rFonts w:ascii="Lucida Sans" w:hAnsi="Lucida Sans"/>
          <w:strike/>
          <w:color w:val="FF0000"/>
          <w:szCs w:val="20"/>
          <w:lang w:val="it-IT"/>
        </w:rPr>
        <w:t xml:space="preserve">, or by </w:t>
      </w:r>
      <w:proofErr w:type="spellStart"/>
      <w:r w:rsidRPr="00373E2E">
        <w:rPr>
          <w:rFonts w:ascii="Lucida Sans" w:hAnsi="Lucida Sans"/>
          <w:strike/>
          <w:color w:val="FF0000"/>
          <w:szCs w:val="20"/>
          <w:lang w:val="it-IT"/>
        </w:rPr>
        <w:t>reference</w:t>
      </w:r>
      <w:proofErr w:type="spellEnd"/>
      <w:r w:rsidRPr="00373E2E">
        <w:rPr>
          <w:rFonts w:ascii="Lucida Sans" w:hAnsi="Lucida Sans"/>
          <w:strike/>
          <w:color w:val="FF0000"/>
          <w:szCs w:val="20"/>
          <w:lang w:val="it-IT"/>
        </w:rPr>
        <w:t xml:space="preserve"> to the opening or </w:t>
      </w:r>
      <w:proofErr w:type="spellStart"/>
      <w:r w:rsidRPr="00373E2E">
        <w:rPr>
          <w:rFonts w:ascii="Lucida Sans" w:hAnsi="Lucida Sans"/>
          <w:strike/>
          <w:color w:val="FF0000"/>
          <w:szCs w:val="20"/>
          <w:lang w:val="it-IT"/>
        </w:rPr>
        <w:t>previous</w:t>
      </w:r>
      <w:proofErr w:type="spellEnd"/>
      <w:r w:rsidRPr="00373E2E">
        <w:rPr>
          <w:rFonts w:ascii="Lucida Sans" w:hAnsi="Lucida Sans"/>
          <w:strike/>
          <w:color w:val="FF0000"/>
          <w:szCs w:val="20"/>
          <w:lang w:val="it-IT"/>
        </w:rPr>
        <w:t xml:space="preserve"> closing price for </w:t>
      </w:r>
      <w:proofErr w:type="spellStart"/>
      <w:r w:rsidRPr="00373E2E">
        <w:rPr>
          <w:rFonts w:ascii="Lucida Sans" w:hAnsi="Lucida Sans"/>
          <w:strike/>
          <w:color w:val="FF0000"/>
          <w:szCs w:val="20"/>
          <w:lang w:val="it-IT"/>
        </w:rPr>
        <w:t>that</w:t>
      </w:r>
      <w:proofErr w:type="spellEnd"/>
      <w:r w:rsidRPr="00373E2E">
        <w:rPr>
          <w:rFonts w:ascii="Lucida Sans" w:hAnsi="Lucida Sans"/>
          <w:strike/>
          <w:color w:val="FF0000"/>
          <w:szCs w:val="20"/>
          <w:lang w:val="it-IT"/>
        </w:rPr>
        <w:t xml:space="preserve"> security </w:t>
      </w:r>
      <w:proofErr w:type="spellStart"/>
      <w:r w:rsidRPr="00373E2E">
        <w:rPr>
          <w:rFonts w:ascii="Lucida Sans" w:hAnsi="Lucida Sans"/>
          <w:strike/>
          <w:color w:val="FF0000"/>
          <w:szCs w:val="20"/>
          <w:lang w:val="it-IT"/>
        </w:rPr>
        <w:t>where</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relevant</w:t>
      </w:r>
      <w:proofErr w:type="spellEnd"/>
      <w:r w:rsidRPr="00373E2E">
        <w:rPr>
          <w:rFonts w:ascii="Lucida Sans" w:hAnsi="Lucida Sans"/>
          <w:strike/>
          <w:color w:val="FF0000"/>
          <w:szCs w:val="20"/>
          <w:lang w:val="it-IT"/>
        </w:rPr>
        <w:t>.</w:t>
      </w:r>
      <w:r w:rsidRPr="00373E2E">
        <w:rPr>
          <w:rFonts w:ascii="Lucida Sans" w:hAnsi="Lucida Sans"/>
          <w:color w:val="000000"/>
          <w:szCs w:val="20"/>
          <w:lang w:val="it-IT"/>
        </w:rPr>
        <w:t xml:space="preserve"> In </w:t>
      </w:r>
      <w:proofErr w:type="spellStart"/>
      <w:r w:rsidRPr="00373E2E">
        <w:rPr>
          <w:rFonts w:ascii="Lucida Sans" w:hAnsi="Lucida Sans"/>
          <w:color w:val="000000"/>
          <w:szCs w:val="20"/>
          <w:lang w:val="it-IT"/>
        </w:rPr>
        <w:t>any</w:t>
      </w:r>
      <w:proofErr w:type="spellEnd"/>
      <w:r w:rsidRPr="00373E2E">
        <w:rPr>
          <w:rFonts w:ascii="Lucida Sans" w:hAnsi="Lucida Sans"/>
          <w:color w:val="000000"/>
          <w:szCs w:val="20"/>
          <w:lang w:val="it-IT"/>
        </w:rPr>
        <w:t xml:space="preserve"> </w:t>
      </w:r>
      <w:proofErr w:type="spellStart"/>
      <w:r w:rsidRPr="00373E2E">
        <w:rPr>
          <w:rFonts w:ascii="Lucida Sans" w:hAnsi="Lucida Sans"/>
          <w:color w:val="000000"/>
          <w:szCs w:val="20"/>
          <w:lang w:val="it-IT"/>
        </w:rPr>
        <w:t>such</w:t>
      </w:r>
      <w:proofErr w:type="spellEnd"/>
      <w:r w:rsidRPr="00373E2E">
        <w:rPr>
          <w:rFonts w:ascii="Lucida Sans" w:hAnsi="Lucida Sans"/>
          <w:color w:val="000000"/>
          <w:szCs w:val="20"/>
          <w:lang w:val="it-IT"/>
        </w:rPr>
        <w:t xml:space="preserve"> case, the </w:t>
      </w:r>
      <w:proofErr w:type="spellStart"/>
      <w:r w:rsidRPr="00373E2E">
        <w:rPr>
          <w:rFonts w:ascii="Lucida Sans" w:hAnsi="Lucida Sans"/>
          <w:color w:val="000000"/>
          <w:szCs w:val="20"/>
          <w:lang w:val="it-IT"/>
        </w:rPr>
        <w:t>number</w:t>
      </w:r>
      <w:proofErr w:type="spellEnd"/>
      <w:r w:rsidRPr="00373E2E">
        <w:rPr>
          <w:rFonts w:ascii="Lucida Sans" w:hAnsi="Lucida Sans"/>
          <w:color w:val="000000"/>
          <w:szCs w:val="20"/>
          <w:lang w:val="it-IT"/>
        </w:rPr>
        <w:t xml:space="preserve"> of </w:t>
      </w:r>
      <w:proofErr w:type="spellStart"/>
      <w:r w:rsidRPr="00373E2E">
        <w:rPr>
          <w:rFonts w:ascii="Lucida Sans" w:hAnsi="Lucida Sans"/>
          <w:color w:val="000000"/>
          <w:szCs w:val="20"/>
          <w:lang w:val="it-IT"/>
        </w:rPr>
        <w:t>units</w:t>
      </w:r>
      <w:proofErr w:type="spellEnd"/>
      <w:r w:rsidRPr="00373E2E">
        <w:rPr>
          <w:rFonts w:ascii="Lucida Sans" w:hAnsi="Lucida Sans"/>
          <w:color w:val="000000"/>
          <w:szCs w:val="20"/>
          <w:lang w:val="it-IT"/>
        </w:rPr>
        <w:t xml:space="preserve"> </w:t>
      </w:r>
      <w:proofErr w:type="spellStart"/>
      <w:r w:rsidRPr="00373E2E">
        <w:rPr>
          <w:rFonts w:ascii="Lucida Sans" w:hAnsi="Lucida Sans"/>
          <w:color w:val="000000"/>
          <w:szCs w:val="20"/>
          <w:lang w:val="it-IT"/>
        </w:rPr>
        <w:t>traded</w:t>
      </w:r>
      <w:proofErr w:type="spellEnd"/>
      <w:r w:rsidRPr="00373E2E">
        <w:rPr>
          <w:rFonts w:ascii="Lucida Sans" w:hAnsi="Lucida Sans"/>
          <w:color w:val="000000"/>
          <w:szCs w:val="20"/>
          <w:lang w:val="it-IT"/>
        </w:rPr>
        <w:t xml:space="preserve"> </w:t>
      </w:r>
      <w:proofErr w:type="spellStart"/>
      <w:r w:rsidRPr="00373E2E">
        <w:rPr>
          <w:rFonts w:ascii="Lucida Sans" w:hAnsi="Lucida Sans"/>
          <w:color w:val="000000"/>
          <w:szCs w:val="20"/>
          <w:lang w:val="it-IT"/>
        </w:rPr>
        <w:t>shall</w:t>
      </w:r>
      <w:proofErr w:type="spellEnd"/>
      <w:r w:rsidRPr="00373E2E">
        <w:rPr>
          <w:rFonts w:ascii="Lucida Sans" w:hAnsi="Lucida Sans"/>
          <w:color w:val="000000"/>
          <w:szCs w:val="20"/>
          <w:lang w:val="it-IT"/>
        </w:rPr>
        <w:t xml:space="preserve"> be </w:t>
      </w:r>
      <w:proofErr w:type="spellStart"/>
      <w:r w:rsidRPr="00373E2E">
        <w:rPr>
          <w:rFonts w:ascii="Lucida Sans" w:hAnsi="Lucida Sans"/>
          <w:color w:val="000000"/>
          <w:szCs w:val="20"/>
          <w:lang w:val="it-IT"/>
        </w:rPr>
        <w:t>multiplied</w:t>
      </w:r>
      <w:proofErr w:type="spellEnd"/>
      <w:r w:rsidRPr="00373E2E">
        <w:rPr>
          <w:rFonts w:ascii="Lucida Sans" w:hAnsi="Lucida Sans"/>
          <w:color w:val="000000"/>
          <w:szCs w:val="20"/>
          <w:lang w:val="it-IT"/>
        </w:rPr>
        <w:t xml:space="preserve"> by </w:t>
      </w:r>
      <w:proofErr w:type="spellStart"/>
      <w:r w:rsidRPr="00373E2E">
        <w:rPr>
          <w:rFonts w:ascii="Lucida Sans" w:hAnsi="Lucida Sans"/>
          <w:color w:val="000000"/>
          <w:szCs w:val="20"/>
          <w:lang w:val="it-IT"/>
        </w:rPr>
        <w:t>either</w:t>
      </w:r>
      <w:proofErr w:type="spellEnd"/>
      <w:r w:rsidRPr="00373E2E">
        <w:rPr>
          <w:rFonts w:ascii="Lucida Sans" w:hAnsi="Lucida Sans"/>
          <w:color w:val="000000"/>
          <w:szCs w:val="20"/>
          <w:lang w:val="it-IT"/>
        </w:rPr>
        <w:t xml:space="preserve"> </w:t>
      </w:r>
      <w:r w:rsidRPr="00373E2E">
        <w:rPr>
          <w:rFonts w:ascii="Lucida Sans" w:hAnsi="Lucida Sans"/>
          <w:color w:val="000000"/>
          <w:szCs w:val="20"/>
          <w:lang w:val="it-IT"/>
        </w:rPr>
        <w:lastRenderedPageBreak/>
        <w:t xml:space="preserve">the </w:t>
      </w:r>
      <w:proofErr w:type="spellStart"/>
      <w:r w:rsidRPr="00373E2E">
        <w:rPr>
          <w:rFonts w:ascii="Lucida Sans" w:hAnsi="Lucida Sans"/>
          <w:color w:val="000000"/>
          <w:szCs w:val="20"/>
          <w:lang w:val="it-IT"/>
        </w:rPr>
        <w:t>reference</w:t>
      </w:r>
      <w:proofErr w:type="spellEnd"/>
      <w:r w:rsidRPr="00373E2E">
        <w:rPr>
          <w:rFonts w:ascii="Lucida Sans" w:hAnsi="Lucida Sans"/>
          <w:color w:val="000000"/>
          <w:szCs w:val="20"/>
          <w:lang w:val="it-IT"/>
        </w:rPr>
        <w:t xml:space="preserve"> price of the </w:t>
      </w:r>
      <w:proofErr w:type="spellStart"/>
      <w:r w:rsidRPr="00373E2E">
        <w:rPr>
          <w:rFonts w:ascii="Lucida Sans" w:hAnsi="Lucida Sans"/>
          <w:color w:val="000000"/>
          <w:szCs w:val="20"/>
          <w:lang w:val="it-IT"/>
        </w:rPr>
        <w:t>instrument</w:t>
      </w:r>
      <w:proofErr w:type="spellEnd"/>
      <w:r w:rsidRPr="00373E2E">
        <w:rPr>
          <w:rFonts w:ascii="Lucida Sans" w:hAnsi="Lucida Sans"/>
          <w:color w:val="000000"/>
          <w:szCs w:val="20"/>
          <w:lang w:val="it-IT"/>
        </w:rPr>
        <w:t xml:space="preserve"> </w:t>
      </w:r>
      <w:proofErr w:type="spellStart"/>
      <w:r w:rsidRPr="00373E2E">
        <w:rPr>
          <w:rFonts w:ascii="Lucida Sans" w:hAnsi="Lucida Sans"/>
          <w:color w:val="000000"/>
          <w:szCs w:val="20"/>
          <w:lang w:val="it-IT"/>
        </w:rPr>
        <w:t>subtracted</w:t>
      </w:r>
      <w:proofErr w:type="spellEnd"/>
      <w:r w:rsidRPr="00373E2E">
        <w:rPr>
          <w:rFonts w:ascii="Lucida Sans" w:hAnsi="Lucida Sans"/>
          <w:color w:val="000000"/>
          <w:szCs w:val="20"/>
          <w:lang w:val="it-IT"/>
        </w:rPr>
        <w:t xml:space="preserve"> from the </w:t>
      </w:r>
      <w:proofErr w:type="spellStart"/>
      <w:r w:rsidRPr="00373E2E">
        <w:rPr>
          <w:rFonts w:ascii="Lucida Sans" w:hAnsi="Lucida Sans"/>
          <w:color w:val="000000"/>
          <w:szCs w:val="20"/>
          <w:lang w:val="it-IT"/>
        </w:rPr>
        <w:t>execution</w:t>
      </w:r>
      <w:proofErr w:type="spellEnd"/>
      <w:r w:rsidRPr="00373E2E">
        <w:rPr>
          <w:rFonts w:ascii="Lucida Sans" w:hAnsi="Lucida Sans"/>
          <w:color w:val="000000"/>
          <w:szCs w:val="20"/>
          <w:lang w:val="it-IT"/>
        </w:rPr>
        <w:t xml:space="preserve"> price for </w:t>
      </w:r>
      <w:proofErr w:type="spellStart"/>
      <w:r w:rsidRPr="00373E2E">
        <w:rPr>
          <w:rFonts w:ascii="Lucida Sans" w:hAnsi="Lucida Sans"/>
          <w:color w:val="000000"/>
          <w:szCs w:val="20"/>
          <w:lang w:val="it-IT"/>
        </w:rPr>
        <w:t>each</w:t>
      </w:r>
      <w:proofErr w:type="spellEnd"/>
      <w:r w:rsidRPr="00373E2E">
        <w:rPr>
          <w:rFonts w:ascii="Lucida Sans" w:hAnsi="Lucida Sans"/>
          <w:color w:val="000000"/>
          <w:szCs w:val="20"/>
          <w:lang w:val="it-IT"/>
        </w:rPr>
        <w:t xml:space="preserve"> </w:t>
      </w:r>
      <w:proofErr w:type="spellStart"/>
      <w:r w:rsidRPr="00373E2E">
        <w:rPr>
          <w:rFonts w:ascii="Lucida Sans" w:hAnsi="Lucida Sans"/>
          <w:color w:val="000000"/>
          <w:szCs w:val="20"/>
          <w:lang w:val="it-IT"/>
        </w:rPr>
        <w:t>purchase</w:t>
      </w:r>
      <w:proofErr w:type="spellEnd"/>
      <w:r w:rsidRPr="00373E2E">
        <w:rPr>
          <w:rFonts w:ascii="Lucida Sans" w:hAnsi="Lucida Sans"/>
          <w:color w:val="000000"/>
          <w:szCs w:val="20"/>
          <w:lang w:val="it-IT"/>
        </w:rPr>
        <w:t xml:space="preserve"> </w:t>
      </w:r>
      <w:proofErr w:type="spellStart"/>
      <w:r w:rsidRPr="00373E2E">
        <w:rPr>
          <w:rFonts w:ascii="Lucida Sans" w:hAnsi="Lucida Sans"/>
          <w:color w:val="000000"/>
          <w:szCs w:val="20"/>
          <w:lang w:val="it-IT"/>
        </w:rPr>
        <w:t>undertaken</w:t>
      </w:r>
      <w:proofErr w:type="spellEnd"/>
      <w:r w:rsidRPr="00373E2E">
        <w:rPr>
          <w:rFonts w:ascii="Lucida Sans" w:hAnsi="Lucida Sans"/>
          <w:color w:val="000000"/>
          <w:szCs w:val="20"/>
          <w:lang w:val="it-IT"/>
        </w:rPr>
        <w:t xml:space="preserve"> by the PRIIP or the </w:t>
      </w:r>
      <w:proofErr w:type="spellStart"/>
      <w:r w:rsidRPr="00373E2E">
        <w:rPr>
          <w:rFonts w:ascii="Lucida Sans" w:hAnsi="Lucida Sans"/>
          <w:color w:val="000000"/>
          <w:szCs w:val="20"/>
          <w:lang w:val="it-IT"/>
        </w:rPr>
        <w:t>execution</w:t>
      </w:r>
      <w:proofErr w:type="spellEnd"/>
      <w:r w:rsidRPr="00373E2E">
        <w:rPr>
          <w:rFonts w:ascii="Lucida Sans" w:hAnsi="Lucida Sans"/>
          <w:color w:val="000000"/>
          <w:szCs w:val="20"/>
          <w:lang w:val="it-IT"/>
        </w:rPr>
        <w:t xml:space="preserve"> price </w:t>
      </w:r>
      <w:proofErr w:type="spellStart"/>
      <w:r w:rsidRPr="00373E2E">
        <w:rPr>
          <w:rFonts w:ascii="Lucida Sans" w:hAnsi="Lucida Sans"/>
          <w:color w:val="000000"/>
          <w:szCs w:val="20"/>
          <w:lang w:val="it-IT"/>
        </w:rPr>
        <w:t>subtracted</w:t>
      </w:r>
      <w:proofErr w:type="spellEnd"/>
      <w:r w:rsidRPr="00373E2E">
        <w:rPr>
          <w:rFonts w:ascii="Lucida Sans" w:hAnsi="Lucida Sans"/>
          <w:color w:val="000000"/>
          <w:szCs w:val="20"/>
          <w:lang w:val="it-IT"/>
        </w:rPr>
        <w:t xml:space="preserve"> from the </w:t>
      </w:r>
      <w:proofErr w:type="spellStart"/>
      <w:r w:rsidRPr="00373E2E">
        <w:rPr>
          <w:rFonts w:ascii="Lucida Sans" w:hAnsi="Lucida Sans"/>
          <w:color w:val="000000"/>
          <w:szCs w:val="20"/>
          <w:lang w:val="it-IT"/>
        </w:rPr>
        <w:t>reference</w:t>
      </w:r>
      <w:proofErr w:type="spellEnd"/>
      <w:r w:rsidRPr="00373E2E">
        <w:rPr>
          <w:rFonts w:ascii="Lucida Sans" w:hAnsi="Lucida Sans"/>
          <w:color w:val="000000"/>
          <w:szCs w:val="20"/>
          <w:lang w:val="it-IT"/>
        </w:rPr>
        <w:t xml:space="preserve"> price of the </w:t>
      </w:r>
      <w:proofErr w:type="spellStart"/>
      <w:r w:rsidRPr="00373E2E">
        <w:rPr>
          <w:rFonts w:ascii="Lucida Sans" w:hAnsi="Lucida Sans"/>
          <w:color w:val="000000"/>
          <w:szCs w:val="20"/>
          <w:lang w:val="it-IT"/>
        </w:rPr>
        <w:t>instrument</w:t>
      </w:r>
      <w:proofErr w:type="spellEnd"/>
      <w:r w:rsidRPr="00373E2E">
        <w:rPr>
          <w:rFonts w:ascii="Lucida Sans" w:hAnsi="Lucida Sans"/>
          <w:color w:val="000000"/>
          <w:szCs w:val="20"/>
          <w:lang w:val="it-IT"/>
        </w:rPr>
        <w:t xml:space="preserve"> for </w:t>
      </w:r>
      <w:proofErr w:type="spellStart"/>
      <w:r w:rsidRPr="00373E2E">
        <w:rPr>
          <w:rFonts w:ascii="Lucida Sans" w:hAnsi="Lucida Sans"/>
          <w:color w:val="000000"/>
          <w:szCs w:val="20"/>
          <w:lang w:val="it-IT"/>
        </w:rPr>
        <w:t>each</w:t>
      </w:r>
      <w:proofErr w:type="spellEnd"/>
      <w:r w:rsidRPr="00373E2E">
        <w:rPr>
          <w:rFonts w:ascii="Lucida Sans" w:hAnsi="Lucida Sans"/>
          <w:color w:val="000000"/>
          <w:szCs w:val="20"/>
          <w:lang w:val="it-IT"/>
        </w:rPr>
        <w:t xml:space="preserve"> sale </w:t>
      </w:r>
      <w:proofErr w:type="spellStart"/>
      <w:r w:rsidRPr="00373E2E">
        <w:rPr>
          <w:rFonts w:ascii="Lucida Sans" w:hAnsi="Lucida Sans"/>
          <w:color w:val="000000"/>
          <w:szCs w:val="20"/>
          <w:lang w:val="it-IT"/>
        </w:rPr>
        <w:t>undertaken</w:t>
      </w:r>
      <w:proofErr w:type="spellEnd"/>
      <w:r w:rsidRPr="00373E2E">
        <w:rPr>
          <w:rFonts w:ascii="Lucida Sans" w:hAnsi="Lucida Sans"/>
          <w:color w:val="000000"/>
          <w:szCs w:val="20"/>
          <w:lang w:val="it-IT"/>
        </w:rPr>
        <w:t xml:space="preserve"> by the PRIIP. </w:t>
      </w:r>
    </w:p>
    <w:p w14:paraId="63975304" w14:textId="434435CD" w:rsidR="00CA74D8" w:rsidRDefault="00CA74D8" w:rsidP="00CA74D8">
      <w:pPr>
        <w:pStyle w:val="Testocommento"/>
        <w:rPr>
          <w:rFonts w:ascii="Lucida Sans" w:hAnsi="Lucida Sans"/>
          <w:color w:val="FF0000"/>
          <w:lang w:val="it-IT"/>
        </w:rPr>
      </w:pPr>
      <w:r w:rsidRPr="00373E2E">
        <w:rPr>
          <w:rFonts w:ascii="Lucida Sans" w:hAnsi="Lucida Sans"/>
          <w:color w:val="FF0000"/>
          <w:lang w:val="it-IT"/>
        </w:rPr>
        <w:t xml:space="preserve">16a. For </w:t>
      </w:r>
      <w:proofErr w:type="spellStart"/>
      <w:r w:rsidRPr="00373E2E">
        <w:rPr>
          <w:rFonts w:ascii="Lucida Sans" w:hAnsi="Lucida Sans"/>
          <w:color w:val="FF0000"/>
          <w:lang w:val="it-IT"/>
        </w:rPr>
        <w:t>orders</w:t>
      </w:r>
      <w:proofErr w:type="spellEnd"/>
      <w:r w:rsidRPr="00373E2E">
        <w:rPr>
          <w:rFonts w:ascii="Lucida Sans" w:hAnsi="Lucida Sans"/>
          <w:color w:val="FF0000"/>
          <w:lang w:val="it-IT"/>
        </w:rPr>
        <w:t xml:space="preserve"> </w:t>
      </w:r>
      <w:proofErr w:type="spellStart"/>
      <w:r w:rsidRPr="00373E2E">
        <w:rPr>
          <w:rFonts w:ascii="Lucida Sans" w:hAnsi="Lucida Sans"/>
          <w:color w:val="FF0000"/>
          <w:lang w:val="it-IT"/>
        </w:rPr>
        <w:t>executed</w:t>
      </w:r>
      <w:proofErr w:type="spellEnd"/>
      <w:r w:rsidRPr="00373E2E">
        <w:rPr>
          <w:rFonts w:ascii="Lucida Sans" w:hAnsi="Lucida Sans"/>
          <w:color w:val="FF0000"/>
          <w:lang w:val="it-IT"/>
        </w:rPr>
        <w:t xml:space="preserve"> in </w:t>
      </w:r>
      <w:proofErr w:type="spellStart"/>
      <w:r w:rsidRPr="00373E2E">
        <w:rPr>
          <w:rFonts w:ascii="Lucida Sans" w:hAnsi="Lucida Sans"/>
          <w:color w:val="FF0000"/>
          <w:lang w:val="it-IT"/>
        </w:rPr>
        <w:t>several</w:t>
      </w:r>
      <w:proofErr w:type="spellEnd"/>
      <w:r w:rsidRPr="00373E2E">
        <w:rPr>
          <w:rFonts w:ascii="Lucida Sans" w:hAnsi="Lucida Sans"/>
          <w:color w:val="FF0000"/>
          <w:lang w:val="it-IT"/>
        </w:rPr>
        <w:t xml:space="preserve"> </w:t>
      </w:r>
      <w:proofErr w:type="spellStart"/>
      <w:r w:rsidRPr="00373E2E">
        <w:rPr>
          <w:rFonts w:ascii="Lucida Sans" w:hAnsi="Lucida Sans"/>
          <w:color w:val="FF0000"/>
          <w:lang w:val="it-IT"/>
        </w:rPr>
        <w:t>transactions</w:t>
      </w:r>
      <w:proofErr w:type="spellEnd"/>
      <w:r w:rsidRPr="00373E2E">
        <w:rPr>
          <w:rFonts w:ascii="Lucida Sans" w:hAnsi="Lucida Sans"/>
          <w:color w:val="FF0000"/>
          <w:lang w:val="it-IT"/>
        </w:rPr>
        <w:t xml:space="preserve">, the </w:t>
      </w:r>
      <w:proofErr w:type="spellStart"/>
      <w:r w:rsidRPr="00373E2E">
        <w:rPr>
          <w:rFonts w:ascii="Lucida Sans" w:hAnsi="Lucida Sans"/>
          <w:color w:val="FF0000"/>
          <w:lang w:val="it-IT"/>
        </w:rPr>
        <w:t>transaction</w:t>
      </w:r>
      <w:proofErr w:type="spellEnd"/>
      <w:r w:rsidRPr="00373E2E">
        <w:rPr>
          <w:rFonts w:ascii="Lucida Sans" w:hAnsi="Lucida Sans"/>
          <w:color w:val="FF0000"/>
          <w:lang w:val="it-IT"/>
        </w:rPr>
        <w:t xml:space="preserve"> costs </w:t>
      </w:r>
      <w:proofErr w:type="spellStart"/>
      <w:r w:rsidRPr="00373E2E">
        <w:rPr>
          <w:rFonts w:ascii="Lucida Sans" w:hAnsi="Lucida Sans"/>
          <w:color w:val="FF0000"/>
          <w:lang w:val="it-IT"/>
        </w:rPr>
        <w:t>may</w:t>
      </w:r>
      <w:proofErr w:type="spellEnd"/>
      <w:r w:rsidRPr="00373E2E">
        <w:rPr>
          <w:rFonts w:ascii="Lucida Sans" w:hAnsi="Lucida Sans"/>
          <w:color w:val="FF0000"/>
          <w:lang w:val="it-IT"/>
        </w:rPr>
        <w:t xml:space="preserve"> be </w:t>
      </w:r>
      <w:proofErr w:type="spellStart"/>
      <w:r w:rsidRPr="00373E2E">
        <w:rPr>
          <w:rFonts w:ascii="Lucida Sans" w:hAnsi="Lucida Sans"/>
          <w:color w:val="FF0000"/>
          <w:lang w:val="it-IT"/>
        </w:rPr>
        <w:t>calculated</w:t>
      </w:r>
      <w:proofErr w:type="spellEnd"/>
      <w:r w:rsidRPr="00373E2E">
        <w:rPr>
          <w:rFonts w:ascii="Lucida Sans" w:hAnsi="Lucida Sans"/>
          <w:color w:val="FF0000"/>
          <w:lang w:val="it-IT"/>
        </w:rPr>
        <w:t xml:space="preserve"> </w:t>
      </w:r>
      <w:proofErr w:type="spellStart"/>
      <w:r w:rsidRPr="00373E2E">
        <w:rPr>
          <w:rFonts w:ascii="Lucida Sans" w:hAnsi="Lucida Sans"/>
          <w:color w:val="FF0000"/>
          <w:lang w:val="it-IT"/>
        </w:rPr>
        <w:t>either</w:t>
      </w:r>
      <w:proofErr w:type="spellEnd"/>
      <w:r w:rsidRPr="00373E2E">
        <w:rPr>
          <w:rFonts w:ascii="Lucida Sans" w:hAnsi="Lucida Sans"/>
          <w:color w:val="FF0000"/>
          <w:lang w:val="it-IT"/>
        </w:rPr>
        <w:t xml:space="preserve"> for </w:t>
      </w:r>
      <w:proofErr w:type="spellStart"/>
      <w:r w:rsidRPr="00373E2E">
        <w:rPr>
          <w:rFonts w:ascii="Lucida Sans" w:hAnsi="Lucida Sans"/>
          <w:color w:val="FF0000"/>
          <w:lang w:val="it-IT"/>
        </w:rPr>
        <w:t>each</w:t>
      </w:r>
      <w:proofErr w:type="spellEnd"/>
      <w:r w:rsidRPr="00373E2E">
        <w:rPr>
          <w:rFonts w:ascii="Lucida Sans" w:hAnsi="Lucida Sans"/>
          <w:color w:val="FF0000"/>
          <w:lang w:val="it-IT"/>
        </w:rPr>
        <w:t xml:space="preserve"> </w:t>
      </w:r>
      <w:proofErr w:type="spellStart"/>
      <w:r w:rsidRPr="00373E2E">
        <w:rPr>
          <w:rFonts w:ascii="Lucida Sans" w:hAnsi="Lucida Sans"/>
          <w:color w:val="FF0000"/>
          <w:lang w:val="it-IT"/>
        </w:rPr>
        <w:t>individual</w:t>
      </w:r>
      <w:proofErr w:type="spellEnd"/>
      <w:r w:rsidRPr="00373E2E">
        <w:rPr>
          <w:rFonts w:ascii="Lucida Sans" w:hAnsi="Lucida Sans"/>
          <w:color w:val="FF0000"/>
          <w:lang w:val="it-IT"/>
        </w:rPr>
        <w:t xml:space="preserve"> </w:t>
      </w:r>
      <w:proofErr w:type="spellStart"/>
      <w:r w:rsidRPr="00373E2E">
        <w:rPr>
          <w:rFonts w:ascii="Lucida Sans" w:hAnsi="Lucida Sans"/>
          <w:color w:val="FF0000"/>
          <w:lang w:val="it-IT"/>
        </w:rPr>
        <w:t>execution</w:t>
      </w:r>
      <w:proofErr w:type="spellEnd"/>
      <w:r w:rsidRPr="00373E2E">
        <w:rPr>
          <w:rFonts w:ascii="Lucida Sans" w:hAnsi="Lucida Sans"/>
          <w:color w:val="FF0000"/>
          <w:lang w:val="it-IT"/>
        </w:rPr>
        <w:t xml:space="preserve">, or </w:t>
      </w:r>
      <w:proofErr w:type="spellStart"/>
      <w:r w:rsidRPr="00373E2E">
        <w:rPr>
          <w:rFonts w:ascii="Lucida Sans" w:hAnsi="Lucida Sans"/>
          <w:color w:val="FF0000"/>
          <w:lang w:val="it-IT"/>
        </w:rPr>
        <w:t>using</w:t>
      </w:r>
      <w:proofErr w:type="spellEnd"/>
      <w:r w:rsidRPr="00373E2E">
        <w:rPr>
          <w:rFonts w:ascii="Lucida Sans" w:hAnsi="Lucida Sans"/>
          <w:color w:val="FF0000"/>
          <w:lang w:val="it-IT"/>
        </w:rPr>
        <w:t xml:space="preserve"> the volume </w:t>
      </w:r>
      <w:proofErr w:type="spellStart"/>
      <w:r w:rsidRPr="00373E2E">
        <w:rPr>
          <w:rFonts w:ascii="Lucida Sans" w:hAnsi="Lucida Sans"/>
          <w:color w:val="FF0000"/>
          <w:lang w:val="it-IT"/>
        </w:rPr>
        <w:t>weighted</w:t>
      </w:r>
      <w:proofErr w:type="spellEnd"/>
      <w:r w:rsidRPr="00373E2E">
        <w:rPr>
          <w:rFonts w:ascii="Lucida Sans" w:hAnsi="Lucida Sans"/>
          <w:color w:val="FF0000"/>
          <w:lang w:val="it-IT"/>
        </w:rPr>
        <w:t xml:space="preserve"> </w:t>
      </w:r>
      <w:proofErr w:type="spellStart"/>
      <w:r w:rsidRPr="00373E2E">
        <w:rPr>
          <w:rFonts w:ascii="Lucida Sans" w:hAnsi="Lucida Sans"/>
          <w:color w:val="FF0000"/>
          <w:lang w:val="it-IT"/>
        </w:rPr>
        <w:t>average</w:t>
      </w:r>
      <w:proofErr w:type="spellEnd"/>
      <w:r w:rsidRPr="00373E2E">
        <w:rPr>
          <w:rFonts w:ascii="Lucida Sans" w:hAnsi="Lucida Sans"/>
          <w:color w:val="FF0000"/>
          <w:lang w:val="it-IT"/>
        </w:rPr>
        <w:t xml:space="preserve"> </w:t>
      </w:r>
      <w:proofErr w:type="spellStart"/>
      <w:r w:rsidRPr="00373E2E">
        <w:rPr>
          <w:rFonts w:ascii="Lucida Sans" w:hAnsi="Lucida Sans"/>
          <w:color w:val="FF0000"/>
          <w:lang w:val="it-IT"/>
        </w:rPr>
        <w:t>mid</w:t>
      </w:r>
      <w:proofErr w:type="spellEnd"/>
      <w:r w:rsidRPr="00373E2E">
        <w:rPr>
          <w:rFonts w:ascii="Lucida Sans" w:hAnsi="Lucida Sans"/>
          <w:color w:val="FF0000"/>
          <w:lang w:val="it-IT"/>
        </w:rPr>
        <w:t xml:space="preserve">-market price of the </w:t>
      </w:r>
      <w:proofErr w:type="spellStart"/>
      <w:r w:rsidRPr="00373E2E">
        <w:rPr>
          <w:rFonts w:ascii="Lucida Sans" w:hAnsi="Lucida Sans"/>
          <w:color w:val="FF0000"/>
          <w:lang w:val="it-IT"/>
        </w:rPr>
        <w:t>instrument</w:t>
      </w:r>
      <w:proofErr w:type="spellEnd"/>
      <w:r w:rsidRPr="00373E2E">
        <w:rPr>
          <w:rFonts w:ascii="Lucida Sans" w:hAnsi="Lucida Sans"/>
          <w:color w:val="FF0000"/>
          <w:lang w:val="it-IT"/>
        </w:rPr>
        <w:t xml:space="preserve"> </w:t>
      </w:r>
      <w:proofErr w:type="spellStart"/>
      <w:r w:rsidRPr="00373E2E">
        <w:rPr>
          <w:rFonts w:ascii="Lucida Sans" w:hAnsi="Lucida Sans"/>
          <w:color w:val="FF0000"/>
          <w:lang w:val="it-IT"/>
        </w:rPr>
        <w:t>during</w:t>
      </w:r>
      <w:proofErr w:type="spellEnd"/>
      <w:r w:rsidRPr="00373E2E">
        <w:rPr>
          <w:rFonts w:ascii="Lucida Sans" w:hAnsi="Lucida Sans"/>
          <w:color w:val="FF0000"/>
          <w:lang w:val="it-IT"/>
        </w:rPr>
        <w:t xml:space="preserve"> the </w:t>
      </w:r>
      <w:proofErr w:type="spellStart"/>
      <w:r w:rsidRPr="00373E2E">
        <w:rPr>
          <w:rFonts w:ascii="Lucida Sans" w:hAnsi="Lucida Sans"/>
          <w:color w:val="FF0000"/>
          <w:lang w:val="it-IT"/>
        </w:rPr>
        <w:t>period</w:t>
      </w:r>
      <w:proofErr w:type="spellEnd"/>
      <w:r w:rsidRPr="00373E2E">
        <w:rPr>
          <w:rFonts w:ascii="Lucida Sans" w:hAnsi="Lucida Sans"/>
          <w:color w:val="FF0000"/>
          <w:lang w:val="it-IT"/>
        </w:rPr>
        <w:t xml:space="preserve"> of </w:t>
      </w:r>
      <w:proofErr w:type="spellStart"/>
      <w:r w:rsidRPr="00373E2E">
        <w:rPr>
          <w:rFonts w:ascii="Lucida Sans" w:hAnsi="Lucida Sans"/>
          <w:color w:val="FF0000"/>
          <w:lang w:val="it-IT"/>
        </w:rPr>
        <w:t>execution</w:t>
      </w:r>
      <w:proofErr w:type="spellEnd"/>
      <w:r w:rsidRPr="00373E2E">
        <w:rPr>
          <w:rFonts w:ascii="Lucida Sans" w:hAnsi="Lucida Sans"/>
          <w:color w:val="FF0000"/>
          <w:lang w:val="it-IT"/>
        </w:rPr>
        <w:t xml:space="preserve"> </w:t>
      </w:r>
      <w:proofErr w:type="spellStart"/>
      <w:r w:rsidRPr="00373E2E">
        <w:rPr>
          <w:rFonts w:ascii="Lucida Sans" w:hAnsi="Lucida Sans"/>
          <w:color w:val="FF0000"/>
          <w:lang w:val="it-IT"/>
        </w:rPr>
        <w:t>as</w:t>
      </w:r>
      <w:proofErr w:type="spellEnd"/>
      <w:r w:rsidRPr="00373E2E">
        <w:rPr>
          <w:rFonts w:ascii="Lucida Sans" w:hAnsi="Lucida Sans"/>
          <w:color w:val="FF0000"/>
          <w:lang w:val="it-IT"/>
        </w:rPr>
        <w:t xml:space="preserve"> the </w:t>
      </w:r>
      <w:proofErr w:type="spellStart"/>
      <w:r w:rsidRPr="00373E2E">
        <w:rPr>
          <w:rFonts w:ascii="Lucida Sans" w:hAnsi="Lucida Sans"/>
          <w:color w:val="FF0000"/>
          <w:lang w:val="it-IT"/>
        </w:rPr>
        <w:t>arrival</w:t>
      </w:r>
      <w:proofErr w:type="spellEnd"/>
      <w:r w:rsidRPr="00373E2E">
        <w:rPr>
          <w:rFonts w:ascii="Lucida Sans" w:hAnsi="Lucida Sans"/>
          <w:color w:val="FF0000"/>
          <w:lang w:val="it-IT"/>
        </w:rPr>
        <w:t xml:space="preserve"> price, or by </w:t>
      </w:r>
      <w:proofErr w:type="spellStart"/>
      <w:r w:rsidRPr="00373E2E">
        <w:rPr>
          <w:rFonts w:ascii="Lucida Sans" w:hAnsi="Lucida Sans"/>
          <w:color w:val="FF0000"/>
          <w:lang w:val="it-IT"/>
        </w:rPr>
        <w:t>calculating</w:t>
      </w:r>
      <w:proofErr w:type="spellEnd"/>
      <w:r w:rsidRPr="00373E2E">
        <w:rPr>
          <w:rFonts w:ascii="Lucida Sans" w:hAnsi="Lucida Sans"/>
          <w:color w:val="FF0000"/>
          <w:lang w:val="it-IT"/>
        </w:rPr>
        <w:t xml:space="preserve"> the </w:t>
      </w:r>
      <w:proofErr w:type="spellStart"/>
      <w:r w:rsidRPr="00373E2E">
        <w:rPr>
          <w:rFonts w:ascii="Lucida Sans" w:hAnsi="Lucida Sans"/>
          <w:color w:val="FF0000"/>
          <w:lang w:val="it-IT"/>
        </w:rPr>
        <w:t>transaction</w:t>
      </w:r>
      <w:proofErr w:type="spellEnd"/>
      <w:r w:rsidRPr="00373E2E">
        <w:rPr>
          <w:rFonts w:ascii="Lucida Sans" w:hAnsi="Lucida Sans"/>
          <w:color w:val="FF0000"/>
          <w:lang w:val="it-IT"/>
        </w:rPr>
        <w:t xml:space="preserve"> cost of the first or last </w:t>
      </w:r>
      <w:proofErr w:type="spellStart"/>
      <w:r w:rsidRPr="00373E2E">
        <w:rPr>
          <w:rFonts w:ascii="Lucida Sans" w:hAnsi="Lucida Sans"/>
          <w:color w:val="FF0000"/>
          <w:lang w:val="it-IT"/>
        </w:rPr>
        <w:t>execution</w:t>
      </w:r>
      <w:proofErr w:type="spellEnd"/>
      <w:r w:rsidRPr="00373E2E">
        <w:rPr>
          <w:rFonts w:ascii="Lucida Sans" w:hAnsi="Lucida Sans"/>
          <w:color w:val="FF0000"/>
          <w:lang w:val="it-IT"/>
        </w:rPr>
        <w:t xml:space="preserve">, </w:t>
      </w:r>
      <w:proofErr w:type="spellStart"/>
      <w:r w:rsidRPr="00373E2E">
        <w:rPr>
          <w:rFonts w:ascii="Lucida Sans" w:hAnsi="Lucida Sans"/>
          <w:color w:val="FF0000"/>
          <w:lang w:val="it-IT"/>
        </w:rPr>
        <w:t>as</w:t>
      </w:r>
      <w:proofErr w:type="spellEnd"/>
      <w:r w:rsidRPr="00373E2E">
        <w:rPr>
          <w:rFonts w:ascii="Lucida Sans" w:hAnsi="Lucida Sans"/>
          <w:color w:val="FF0000"/>
          <w:lang w:val="it-IT"/>
        </w:rPr>
        <w:t xml:space="preserve"> appropriate </w:t>
      </w:r>
      <w:proofErr w:type="spellStart"/>
      <w:r w:rsidRPr="00373E2E">
        <w:rPr>
          <w:rFonts w:ascii="Lucida Sans" w:hAnsi="Lucida Sans"/>
          <w:color w:val="FF0000"/>
          <w:lang w:val="it-IT"/>
        </w:rPr>
        <w:t>given</w:t>
      </w:r>
      <w:proofErr w:type="spellEnd"/>
      <w:r w:rsidRPr="00373E2E">
        <w:rPr>
          <w:rFonts w:ascii="Lucida Sans" w:hAnsi="Lucida Sans"/>
          <w:color w:val="FF0000"/>
          <w:lang w:val="it-IT"/>
        </w:rPr>
        <w:t xml:space="preserve"> the </w:t>
      </w:r>
      <w:proofErr w:type="spellStart"/>
      <w:r w:rsidRPr="00373E2E">
        <w:rPr>
          <w:rFonts w:ascii="Lucida Sans" w:hAnsi="Lucida Sans"/>
          <w:color w:val="FF0000"/>
          <w:lang w:val="it-IT"/>
        </w:rPr>
        <w:t>characteristics</w:t>
      </w:r>
      <w:proofErr w:type="spellEnd"/>
      <w:r w:rsidRPr="00373E2E">
        <w:rPr>
          <w:rFonts w:ascii="Lucida Sans" w:hAnsi="Lucida Sans"/>
          <w:color w:val="FF0000"/>
          <w:lang w:val="it-IT"/>
        </w:rPr>
        <w:t xml:space="preserve"> of the </w:t>
      </w:r>
      <w:proofErr w:type="spellStart"/>
      <w:r w:rsidRPr="00373E2E">
        <w:rPr>
          <w:rFonts w:ascii="Lucida Sans" w:hAnsi="Lucida Sans"/>
          <w:color w:val="FF0000"/>
          <w:lang w:val="it-IT"/>
        </w:rPr>
        <w:t>order</w:t>
      </w:r>
      <w:proofErr w:type="spellEnd"/>
      <w:r w:rsidRPr="00373E2E">
        <w:rPr>
          <w:rFonts w:ascii="Lucida Sans" w:hAnsi="Lucida Sans"/>
          <w:color w:val="FF0000"/>
          <w:lang w:val="it-IT"/>
        </w:rPr>
        <w:t xml:space="preserve"> and of the </w:t>
      </w:r>
      <w:proofErr w:type="spellStart"/>
      <w:r w:rsidRPr="00373E2E">
        <w:rPr>
          <w:rFonts w:ascii="Lucida Sans" w:hAnsi="Lucida Sans"/>
          <w:color w:val="FF0000"/>
          <w:lang w:val="it-IT"/>
        </w:rPr>
        <w:t>instrument</w:t>
      </w:r>
      <w:proofErr w:type="spellEnd"/>
      <w:r w:rsidRPr="00373E2E">
        <w:rPr>
          <w:rFonts w:ascii="Lucida Sans" w:hAnsi="Lucida Sans"/>
          <w:color w:val="FF0000"/>
          <w:lang w:val="it-IT"/>
        </w:rPr>
        <w:t xml:space="preserve"> and the </w:t>
      </w:r>
      <w:proofErr w:type="spellStart"/>
      <w:r w:rsidRPr="00373E2E">
        <w:rPr>
          <w:rFonts w:ascii="Lucida Sans" w:hAnsi="Lucida Sans"/>
          <w:color w:val="FF0000"/>
          <w:lang w:val="it-IT"/>
        </w:rPr>
        <w:t>timeframe</w:t>
      </w:r>
      <w:proofErr w:type="spellEnd"/>
      <w:r w:rsidRPr="00373E2E">
        <w:rPr>
          <w:rFonts w:ascii="Lucida Sans" w:hAnsi="Lucida Sans"/>
          <w:color w:val="FF0000"/>
          <w:lang w:val="it-IT"/>
        </w:rPr>
        <w:t xml:space="preserve"> of </w:t>
      </w:r>
      <w:proofErr w:type="spellStart"/>
      <w:r w:rsidRPr="00373E2E">
        <w:rPr>
          <w:rFonts w:ascii="Lucida Sans" w:hAnsi="Lucida Sans"/>
          <w:color w:val="FF0000"/>
          <w:lang w:val="it-IT"/>
        </w:rPr>
        <w:t>execution</w:t>
      </w:r>
      <w:proofErr w:type="spellEnd"/>
      <w:r w:rsidRPr="00373E2E">
        <w:rPr>
          <w:rFonts w:ascii="Lucida Sans" w:hAnsi="Lucida Sans"/>
          <w:color w:val="FF0000"/>
          <w:lang w:val="it-IT"/>
        </w:rPr>
        <w:t xml:space="preserve"> of the </w:t>
      </w:r>
      <w:commentRangeStart w:id="16"/>
      <w:proofErr w:type="spellStart"/>
      <w:r w:rsidRPr="00373E2E">
        <w:rPr>
          <w:rFonts w:ascii="Lucida Sans" w:hAnsi="Lucida Sans"/>
          <w:color w:val="FF0000"/>
          <w:lang w:val="it-IT"/>
        </w:rPr>
        <w:t>order</w:t>
      </w:r>
      <w:commentRangeEnd w:id="16"/>
      <w:proofErr w:type="spellEnd"/>
      <w:r w:rsidR="0095041F">
        <w:rPr>
          <w:rStyle w:val="Rimandocommento"/>
        </w:rPr>
        <w:commentReference w:id="16"/>
      </w:r>
      <w:r w:rsidRPr="00373E2E">
        <w:rPr>
          <w:rFonts w:ascii="Lucida Sans" w:hAnsi="Lucida Sans"/>
          <w:color w:val="FF0000"/>
          <w:lang w:val="it-IT"/>
        </w:rPr>
        <w:t>.</w:t>
      </w:r>
    </w:p>
    <w:p w14:paraId="2AD0DCAE" w14:textId="77777777" w:rsidR="0095041F" w:rsidRPr="00373E2E" w:rsidRDefault="0095041F" w:rsidP="00CA74D8">
      <w:pPr>
        <w:pStyle w:val="Testocommento"/>
        <w:rPr>
          <w:rFonts w:ascii="Lucida Sans" w:hAnsi="Lucida Sans"/>
          <w:color w:val="FF0000"/>
          <w:lang w:val="it-IT"/>
        </w:rPr>
      </w:pPr>
    </w:p>
    <w:p w14:paraId="3F58A635" w14:textId="77777777" w:rsidR="00CA74D8" w:rsidRPr="00373E2E" w:rsidRDefault="00CA74D8" w:rsidP="00CA74D8">
      <w:pPr>
        <w:widowControl w:val="0"/>
        <w:tabs>
          <w:tab w:val="left" w:pos="1090"/>
          <w:tab w:val="left" w:pos="1680"/>
        </w:tabs>
        <w:autoSpaceDE w:val="0"/>
        <w:autoSpaceDN w:val="0"/>
        <w:ind w:right="115"/>
        <w:jc w:val="both"/>
        <w:rPr>
          <w:rFonts w:ascii="Lucida Sans" w:hAnsi="Lucida Sans"/>
          <w:color w:val="FF0000"/>
          <w:szCs w:val="20"/>
          <w:lang w:val="it-IT"/>
        </w:rPr>
      </w:pPr>
      <w:r w:rsidRPr="00373E2E">
        <w:rPr>
          <w:rFonts w:ascii="Lucida Sans" w:hAnsi="Lucida Sans"/>
          <w:color w:val="FF0000"/>
          <w:szCs w:val="20"/>
          <w:lang w:val="it-IT"/>
        </w:rPr>
        <w:t xml:space="preserve">17. </w:t>
      </w:r>
      <w:proofErr w:type="spellStart"/>
      <w:r w:rsidRPr="00373E2E">
        <w:rPr>
          <w:rFonts w:ascii="Lucida Sans" w:hAnsi="Lucida Sans"/>
          <w:color w:val="FF0000"/>
          <w:szCs w:val="20"/>
          <w:lang w:val="it-IT"/>
        </w:rPr>
        <w:t>Where</w:t>
      </w:r>
      <w:proofErr w:type="spellEnd"/>
      <w:r w:rsidRPr="00373E2E">
        <w:rPr>
          <w:rFonts w:ascii="Lucida Sans" w:hAnsi="Lucida Sans"/>
          <w:color w:val="FF0000"/>
          <w:szCs w:val="20"/>
          <w:lang w:val="it-IT"/>
        </w:rPr>
        <w:t xml:space="preserve"> information </w:t>
      </w:r>
      <w:proofErr w:type="spellStart"/>
      <w:r w:rsidRPr="00373E2E">
        <w:rPr>
          <w:rFonts w:ascii="Lucida Sans" w:hAnsi="Lucida Sans"/>
          <w:color w:val="FF0000"/>
          <w:szCs w:val="20"/>
          <w:lang w:val="it-IT"/>
        </w:rPr>
        <w:t>about</w:t>
      </w:r>
      <w:proofErr w:type="spellEnd"/>
      <w:r w:rsidRPr="00373E2E">
        <w:rPr>
          <w:rFonts w:ascii="Lucida Sans" w:hAnsi="Lucida Sans"/>
          <w:color w:val="FF0000"/>
          <w:szCs w:val="20"/>
          <w:lang w:val="it-IT"/>
        </w:rPr>
        <w:t xml:space="preserve"> the time </w:t>
      </w:r>
      <w:proofErr w:type="spellStart"/>
      <w:r w:rsidRPr="00373E2E">
        <w:rPr>
          <w:rFonts w:ascii="Lucida Sans" w:hAnsi="Lucida Sans"/>
          <w:color w:val="FF0000"/>
          <w:szCs w:val="20"/>
          <w:lang w:val="it-IT"/>
        </w:rPr>
        <w:t>when</w:t>
      </w:r>
      <w:proofErr w:type="spellEnd"/>
      <w:r w:rsidRPr="00373E2E">
        <w:rPr>
          <w:rFonts w:ascii="Lucida Sans" w:hAnsi="Lucida Sans"/>
          <w:color w:val="FF0000"/>
          <w:szCs w:val="20"/>
          <w:lang w:val="it-IT"/>
        </w:rPr>
        <w:t xml:space="preserve"> the </w:t>
      </w:r>
      <w:proofErr w:type="spellStart"/>
      <w:r w:rsidRPr="00373E2E">
        <w:rPr>
          <w:rFonts w:ascii="Lucida Sans" w:hAnsi="Lucida Sans"/>
          <w:color w:val="FF0000"/>
          <w:szCs w:val="20"/>
          <w:lang w:val="it-IT"/>
        </w:rPr>
        <w:t>order</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is</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executed</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is</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not</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available</w:t>
      </w:r>
      <w:proofErr w:type="spellEnd"/>
      <w:r w:rsidRPr="00373E2E">
        <w:rPr>
          <w:rFonts w:ascii="Lucida Sans" w:hAnsi="Lucida Sans"/>
          <w:color w:val="FF0000"/>
          <w:szCs w:val="20"/>
          <w:lang w:val="it-IT"/>
        </w:rPr>
        <w:t xml:space="preserve"> (or </w:t>
      </w:r>
      <w:proofErr w:type="spellStart"/>
      <w:r w:rsidRPr="00373E2E">
        <w:rPr>
          <w:rFonts w:ascii="Lucida Sans" w:hAnsi="Lucida Sans"/>
          <w:color w:val="FF0000"/>
          <w:szCs w:val="20"/>
          <w:lang w:val="it-IT"/>
        </w:rPr>
        <w:t>not</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available</w:t>
      </w:r>
      <w:proofErr w:type="spellEnd"/>
      <w:r w:rsidRPr="00373E2E">
        <w:rPr>
          <w:rFonts w:ascii="Lucida Sans" w:hAnsi="Lucida Sans"/>
          <w:color w:val="FF0000"/>
          <w:szCs w:val="20"/>
          <w:lang w:val="it-IT"/>
        </w:rPr>
        <w:t xml:space="preserve"> to a </w:t>
      </w:r>
      <w:proofErr w:type="spellStart"/>
      <w:r w:rsidRPr="00373E2E">
        <w:rPr>
          <w:rFonts w:ascii="Lucida Sans" w:hAnsi="Lucida Sans"/>
          <w:color w:val="FF0000"/>
          <w:szCs w:val="20"/>
          <w:lang w:val="it-IT"/>
        </w:rPr>
        <w:t>sufficient</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level</w:t>
      </w:r>
      <w:proofErr w:type="spellEnd"/>
      <w:r w:rsidRPr="00373E2E">
        <w:rPr>
          <w:rFonts w:ascii="Lucida Sans" w:hAnsi="Lucida Sans"/>
          <w:color w:val="FF0000"/>
          <w:szCs w:val="20"/>
          <w:lang w:val="it-IT"/>
        </w:rPr>
        <w:t xml:space="preserve"> of </w:t>
      </w:r>
      <w:proofErr w:type="spellStart"/>
      <w:r w:rsidRPr="00373E2E">
        <w:rPr>
          <w:rFonts w:ascii="Lucida Sans" w:hAnsi="Lucida Sans"/>
          <w:color w:val="FF0000"/>
          <w:szCs w:val="20"/>
          <w:lang w:val="it-IT"/>
        </w:rPr>
        <w:t>accuracy</w:t>
      </w:r>
      <w:proofErr w:type="spellEnd"/>
      <w:r w:rsidRPr="00373E2E">
        <w:rPr>
          <w:rFonts w:ascii="Lucida Sans" w:hAnsi="Lucida Sans"/>
          <w:color w:val="FF0000"/>
          <w:szCs w:val="20"/>
          <w:lang w:val="it-IT"/>
        </w:rPr>
        <w:t xml:space="preserve">), or </w:t>
      </w:r>
      <w:proofErr w:type="spellStart"/>
      <w:r w:rsidRPr="00373E2E">
        <w:rPr>
          <w:rFonts w:ascii="Lucida Sans" w:hAnsi="Lucida Sans"/>
          <w:color w:val="FF0000"/>
          <w:szCs w:val="20"/>
          <w:lang w:val="it-IT"/>
        </w:rPr>
        <w:t>where</w:t>
      </w:r>
      <w:proofErr w:type="spellEnd"/>
      <w:r w:rsidRPr="00373E2E">
        <w:rPr>
          <w:rFonts w:ascii="Lucida Sans" w:hAnsi="Lucida Sans"/>
          <w:color w:val="FF0000"/>
          <w:szCs w:val="20"/>
          <w:lang w:val="it-IT"/>
        </w:rPr>
        <w:t xml:space="preserve"> information </w:t>
      </w:r>
      <w:proofErr w:type="spellStart"/>
      <w:r w:rsidRPr="00373E2E">
        <w:rPr>
          <w:rFonts w:ascii="Lucida Sans" w:hAnsi="Lucida Sans"/>
          <w:color w:val="FF0000"/>
          <w:szCs w:val="20"/>
          <w:lang w:val="it-IT"/>
        </w:rPr>
        <w:t>about</w:t>
      </w:r>
      <w:proofErr w:type="spellEnd"/>
      <w:r w:rsidRPr="00373E2E">
        <w:rPr>
          <w:rFonts w:ascii="Lucida Sans" w:hAnsi="Lucida Sans"/>
          <w:color w:val="FF0000"/>
          <w:szCs w:val="20"/>
          <w:lang w:val="it-IT"/>
        </w:rPr>
        <w:t xml:space="preserve"> the </w:t>
      </w:r>
      <w:proofErr w:type="spellStart"/>
      <w:r w:rsidRPr="00373E2E">
        <w:rPr>
          <w:rFonts w:ascii="Lucida Sans" w:hAnsi="Lucida Sans"/>
          <w:color w:val="FF0000"/>
          <w:szCs w:val="20"/>
          <w:lang w:val="it-IT"/>
        </w:rPr>
        <w:t>mid</w:t>
      </w:r>
      <w:proofErr w:type="spellEnd"/>
      <w:r w:rsidRPr="00373E2E">
        <w:rPr>
          <w:rFonts w:ascii="Lucida Sans" w:hAnsi="Lucida Sans"/>
          <w:color w:val="FF0000"/>
          <w:szCs w:val="20"/>
          <w:lang w:val="it-IT"/>
        </w:rPr>
        <w:t xml:space="preserve">-market price </w:t>
      </w:r>
      <w:proofErr w:type="spellStart"/>
      <w:r w:rsidRPr="00373E2E">
        <w:rPr>
          <w:rFonts w:ascii="Lucida Sans" w:hAnsi="Lucida Sans"/>
          <w:color w:val="FF0000"/>
          <w:szCs w:val="20"/>
          <w:lang w:val="it-IT"/>
        </w:rPr>
        <w:t>at</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that</w:t>
      </w:r>
      <w:proofErr w:type="spellEnd"/>
      <w:r w:rsidRPr="00373E2E">
        <w:rPr>
          <w:rFonts w:ascii="Lucida Sans" w:hAnsi="Lucida Sans"/>
          <w:color w:val="FF0000"/>
          <w:szCs w:val="20"/>
          <w:lang w:val="it-IT"/>
        </w:rPr>
        <w:t xml:space="preserve"> time </w:t>
      </w:r>
      <w:proofErr w:type="spellStart"/>
      <w:r w:rsidRPr="00373E2E">
        <w:rPr>
          <w:rFonts w:ascii="Lucida Sans" w:hAnsi="Lucida Sans"/>
          <w:color w:val="FF0000"/>
          <w:szCs w:val="20"/>
          <w:lang w:val="it-IT"/>
        </w:rPr>
        <w:t>is</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not</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available</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it</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is</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permissible</w:t>
      </w:r>
      <w:proofErr w:type="spellEnd"/>
      <w:r w:rsidRPr="00373E2E">
        <w:rPr>
          <w:rFonts w:ascii="Lucida Sans" w:hAnsi="Lucida Sans"/>
          <w:color w:val="FF0000"/>
          <w:szCs w:val="20"/>
          <w:lang w:val="it-IT"/>
        </w:rPr>
        <w:t xml:space="preserve"> to </w:t>
      </w:r>
      <w:proofErr w:type="spellStart"/>
      <w:r w:rsidRPr="00373E2E">
        <w:rPr>
          <w:rFonts w:ascii="Lucida Sans" w:hAnsi="Lucida Sans"/>
          <w:color w:val="FF0000"/>
          <w:szCs w:val="20"/>
          <w:lang w:val="it-IT"/>
        </w:rPr>
        <w:t>calculate</w:t>
      </w:r>
      <w:proofErr w:type="spellEnd"/>
      <w:r w:rsidRPr="00373E2E">
        <w:rPr>
          <w:rFonts w:ascii="Lucida Sans" w:hAnsi="Lucida Sans"/>
          <w:color w:val="FF0000"/>
          <w:szCs w:val="20"/>
          <w:lang w:val="it-IT"/>
        </w:rPr>
        <w:t xml:space="preserve"> the </w:t>
      </w:r>
      <w:proofErr w:type="spellStart"/>
      <w:r w:rsidRPr="00373E2E">
        <w:rPr>
          <w:rFonts w:ascii="Lucida Sans" w:hAnsi="Lucida Sans"/>
          <w:color w:val="FF0000"/>
          <w:szCs w:val="20"/>
          <w:lang w:val="it-IT"/>
        </w:rPr>
        <w:t>transaction</w:t>
      </w:r>
      <w:proofErr w:type="spellEnd"/>
      <w:r w:rsidRPr="00373E2E">
        <w:rPr>
          <w:rFonts w:ascii="Lucida Sans" w:hAnsi="Lucida Sans"/>
          <w:color w:val="FF0000"/>
          <w:szCs w:val="20"/>
          <w:lang w:val="it-IT"/>
        </w:rPr>
        <w:t xml:space="preserve"> cost </w:t>
      </w:r>
      <w:proofErr w:type="spellStart"/>
      <w:r w:rsidRPr="00373E2E">
        <w:rPr>
          <w:rFonts w:ascii="Lucida Sans" w:hAnsi="Lucida Sans"/>
          <w:color w:val="FF0000"/>
          <w:szCs w:val="20"/>
          <w:lang w:val="it-IT"/>
        </w:rPr>
        <w:t>as</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described</w:t>
      </w:r>
      <w:proofErr w:type="spellEnd"/>
      <w:r w:rsidRPr="00373E2E">
        <w:rPr>
          <w:rFonts w:ascii="Lucida Sans" w:hAnsi="Lucida Sans"/>
          <w:color w:val="FF0000"/>
          <w:szCs w:val="20"/>
          <w:lang w:val="it-IT"/>
        </w:rPr>
        <w:t xml:space="preserve"> in point 18 and 18a. </w:t>
      </w:r>
    </w:p>
    <w:p w14:paraId="46ED0C5B" w14:textId="77777777" w:rsidR="00CA74D8" w:rsidRPr="00373E2E" w:rsidRDefault="00CA74D8" w:rsidP="00CA74D8">
      <w:pPr>
        <w:widowControl w:val="0"/>
        <w:tabs>
          <w:tab w:val="left" w:pos="1090"/>
          <w:tab w:val="left" w:pos="1680"/>
        </w:tabs>
        <w:autoSpaceDE w:val="0"/>
        <w:autoSpaceDN w:val="0"/>
        <w:ind w:right="115"/>
        <w:jc w:val="both"/>
        <w:rPr>
          <w:rFonts w:ascii="Lucida Sans" w:hAnsi="Lucida Sans"/>
          <w:color w:val="FF0000"/>
          <w:szCs w:val="20"/>
          <w:lang w:val="it-IT"/>
        </w:rPr>
      </w:pPr>
    </w:p>
    <w:p w14:paraId="0EFFD561" w14:textId="77777777" w:rsidR="00CA74D8" w:rsidRPr="00373E2E" w:rsidRDefault="00CA74D8" w:rsidP="00CA74D8">
      <w:pPr>
        <w:autoSpaceDE w:val="0"/>
        <w:autoSpaceDN w:val="0"/>
        <w:adjustRightInd w:val="0"/>
        <w:jc w:val="both"/>
        <w:rPr>
          <w:rFonts w:ascii="Lucida Sans" w:hAnsi="Lucida Sans"/>
          <w:color w:val="FF0000"/>
          <w:szCs w:val="20"/>
          <w:lang w:val="it-IT"/>
        </w:rPr>
      </w:pPr>
      <w:r w:rsidRPr="00373E2E">
        <w:rPr>
          <w:rFonts w:ascii="Lucida Sans" w:hAnsi="Lucida Sans"/>
          <w:strike/>
          <w:color w:val="FF0000"/>
          <w:szCs w:val="20"/>
          <w:lang w:val="it-IT"/>
        </w:rPr>
        <w:t xml:space="preserve">18. By way of </w:t>
      </w:r>
      <w:proofErr w:type="spellStart"/>
      <w:r w:rsidRPr="00373E2E">
        <w:rPr>
          <w:rFonts w:ascii="Lucida Sans" w:hAnsi="Lucida Sans"/>
          <w:strike/>
          <w:color w:val="FF0000"/>
          <w:szCs w:val="20"/>
          <w:lang w:val="it-IT"/>
        </w:rPr>
        <w:t>derogation</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where</w:t>
      </w:r>
      <w:proofErr w:type="spellEnd"/>
      <w:r w:rsidRPr="00373E2E">
        <w:rPr>
          <w:rFonts w:ascii="Lucida Sans" w:hAnsi="Lucida Sans"/>
          <w:strike/>
          <w:color w:val="FF0000"/>
          <w:szCs w:val="20"/>
          <w:lang w:val="it-IT"/>
        </w:rPr>
        <w:t xml:space="preserve"> the </w:t>
      </w:r>
      <w:proofErr w:type="spellStart"/>
      <w:r w:rsidRPr="00373E2E">
        <w:rPr>
          <w:rFonts w:ascii="Lucida Sans" w:hAnsi="Lucida Sans"/>
          <w:strike/>
          <w:color w:val="FF0000"/>
          <w:szCs w:val="20"/>
          <w:lang w:val="it-IT"/>
        </w:rPr>
        <w:t>manufacturer</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is</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able</w:t>
      </w:r>
      <w:proofErr w:type="spellEnd"/>
      <w:r w:rsidRPr="00373E2E">
        <w:rPr>
          <w:rFonts w:ascii="Lucida Sans" w:hAnsi="Lucida Sans"/>
          <w:strike/>
          <w:color w:val="FF0000"/>
          <w:szCs w:val="20"/>
          <w:lang w:val="it-IT"/>
        </w:rPr>
        <w:t xml:space="preserve"> to </w:t>
      </w:r>
      <w:proofErr w:type="spellStart"/>
      <w:r w:rsidRPr="00373E2E">
        <w:rPr>
          <w:rFonts w:ascii="Lucida Sans" w:hAnsi="Lucida Sans"/>
          <w:strike/>
          <w:color w:val="FF0000"/>
          <w:szCs w:val="20"/>
          <w:lang w:val="it-IT"/>
        </w:rPr>
        <w:t>demonstrate</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that</w:t>
      </w:r>
      <w:proofErr w:type="spellEnd"/>
      <w:r w:rsidRPr="00373E2E">
        <w:rPr>
          <w:rFonts w:ascii="Lucida Sans" w:hAnsi="Lucida Sans"/>
          <w:strike/>
          <w:color w:val="FF0000"/>
          <w:szCs w:val="20"/>
          <w:lang w:val="it-IT"/>
        </w:rPr>
        <w:t xml:space="preserve"> the </w:t>
      </w:r>
      <w:proofErr w:type="spellStart"/>
      <w:r w:rsidRPr="00373E2E">
        <w:rPr>
          <w:rFonts w:ascii="Lucida Sans" w:hAnsi="Lucida Sans"/>
          <w:strike/>
          <w:color w:val="FF0000"/>
          <w:szCs w:val="20"/>
          <w:lang w:val="it-IT"/>
        </w:rPr>
        <w:t>transaction</w:t>
      </w:r>
      <w:proofErr w:type="spellEnd"/>
      <w:r w:rsidRPr="00373E2E">
        <w:rPr>
          <w:rFonts w:ascii="Lucida Sans" w:hAnsi="Lucida Sans"/>
          <w:strike/>
          <w:color w:val="FF0000"/>
          <w:szCs w:val="20"/>
          <w:lang w:val="it-IT"/>
        </w:rPr>
        <w:t xml:space="preserve"> data </w:t>
      </w:r>
      <w:proofErr w:type="spellStart"/>
      <w:r w:rsidRPr="00373E2E">
        <w:rPr>
          <w:rFonts w:ascii="Lucida Sans" w:hAnsi="Lucida Sans"/>
          <w:strike/>
          <w:color w:val="FF0000"/>
          <w:szCs w:val="20"/>
          <w:lang w:val="it-IT"/>
        </w:rPr>
        <w:t>used</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is</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statistically</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meaningful</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sufficiently</w:t>
      </w:r>
      <w:proofErr w:type="spellEnd"/>
      <w:r w:rsidRPr="00373E2E">
        <w:rPr>
          <w:rFonts w:ascii="Lucida Sans" w:hAnsi="Lucida Sans"/>
          <w:strike/>
          <w:color w:val="FF0000"/>
          <w:szCs w:val="20"/>
          <w:lang w:val="it-IT"/>
        </w:rPr>
        <w:t xml:space="preserve"> granular and </w:t>
      </w:r>
      <w:proofErr w:type="spellStart"/>
      <w:r w:rsidRPr="00373E2E">
        <w:rPr>
          <w:rFonts w:ascii="Lucida Sans" w:hAnsi="Lucida Sans"/>
          <w:strike/>
          <w:color w:val="FF0000"/>
          <w:szCs w:val="20"/>
          <w:lang w:val="it-IT"/>
        </w:rPr>
        <w:t>proper</w:t>
      </w:r>
      <w:proofErr w:type="spellEnd"/>
      <w:r w:rsidRPr="00373E2E">
        <w:rPr>
          <w:rFonts w:ascii="Lucida Sans" w:hAnsi="Lucida Sans"/>
          <w:strike/>
          <w:color w:val="FF0000"/>
          <w:szCs w:val="20"/>
          <w:lang w:val="it-IT"/>
        </w:rPr>
        <w:t xml:space="preserve"> governance and controls are in place to </w:t>
      </w:r>
      <w:proofErr w:type="spellStart"/>
      <w:r w:rsidRPr="00373E2E">
        <w:rPr>
          <w:rFonts w:ascii="Lucida Sans" w:hAnsi="Lucida Sans"/>
          <w:strike/>
          <w:color w:val="FF0000"/>
          <w:szCs w:val="20"/>
          <w:lang w:val="it-IT"/>
        </w:rPr>
        <w:t>ensure</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that</w:t>
      </w:r>
      <w:proofErr w:type="spellEnd"/>
      <w:r w:rsidRPr="00373E2E">
        <w:rPr>
          <w:rFonts w:ascii="Lucida Sans" w:hAnsi="Lucida Sans"/>
          <w:strike/>
          <w:color w:val="FF0000"/>
          <w:szCs w:val="20"/>
          <w:lang w:val="it-IT"/>
        </w:rPr>
        <w:t xml:space="preserve"> the data </w:t>
      </w:r>
      <w:proofErr w:type="spellStart"/>
      <w:r w:rsidRPr="00373E2E">
        <w:rPr>
          <w:rFonts w:ascii="Lucida Sans" w:hAnsi="Lucida Sans"/>
          <w:strike/>
          <w:color w:val="FF0000"/>
          <w:szCs w:val="20"/>
          <w:lang w:val="it-IT"/>
        </w:rPr>
        <w:t>is</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sufficiently</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representative</w:t>
      </w:r>
      <w:proofErr w:type="spellEnd"/>
      <w:r w:rsidRPr="00373E2E">
        <w:rPr>
          <w:rFonts w:ascii="Lucida Sans" w:hAnsi="Lucida Sans"/>
          <w:strike/>
          <w:color w:val="FF0000"/>
          <w:szCs w:val="20"/>
          <w:lang w:val="it-IT"/>
        </w:rPr>
        <w:t xml:space="preserve"> of the </w:t>
      </w:r>
      <w:proofErr w:type="spellStart"/>
      <w:r w:rsidRPr="00373E2E">
        <w:rPr>
          <w:rFonts w:ascii="Lucida Sans" w:hAnsi="Lucida Sans"/>
          <w:strike/>
          <w:color w:val="FF0000"/>
          <w:szCs w:val="20"/>
          <w:lang w:val="it-IT"/>
        </w:rPr>
        <w:t>actual</w:t>
      </w:r>
      <w:proofErr w:type="spellEnd"/>
      <w:r w:rsidRPr="00373E2E">
        <w:rPr>
          <w:rFonts w:ascii="Lucida Sans" w:hAnsi="Lucida Sans"/>
          <w:strike/>
          <w:color w:val="FF0000"/>
          <w:szCs w:val="20"/>
          <w:lang w:val="it-IT"/>
        </w:rPr>
        <w:t xml:space="preserve"> trade, </w:t>
      </w:r>
      <w:proofErr w:type="spellStart"/>
      <w:r w:rsidRPr="00373E2E">
        <w:rPr>
          <w:rFonts w:ascii="Lucida Sans" w:hAnsi="Lucida Sans"/>
          <w:strike/>
          <w:color w:val="FF0000"/>
          <w:szCs w:val="20"/>
          <w:lang w:val="it-IT"/>
        </w:rPr>
        <w:t>implicit</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transaction</w:t>
      </w:r>
      <w:proofErr w:type="spellEnd"/>
      <w:r w:rsidRPr="00373E2E">
        <w:rPr>
          <w:rFonts w:ascii="Lucida Sans" w:hAnsi="Lucida Sans"/>
          <w:strike/>
          <w:color w:val="FF0000"/>
          <w:szCs w:val="20"/>
          <w:lang w:val="it-IT"/>
        </w:rPr>
        <w:t xml:space="preserve"> costs </w:t>
      </w:r>
      <w:proofErr w:type="spellStart"/>
      <w:r w:rsidRPr="00373E2E">
        <w:rPr>
          <w:rFonts w:ascii="Lucida Sans" w:hAnsi="Lucida Sans"/>
          <w:strike/>
          <w:color w:val="FF0000"/>
          <w:szCs w:val="20"/>
          <w:lang w:val="it-IT"/>
        </w:rPr>
        <w:t>shall</w:t>
      </w:r>
      <w:proofErr w:type="spellEnd"/>
      <w:r w:rsidRPr="00373E2E">
        <w:rPr>
          <w:rFonts w:ascii="Lucida Sans" w:hAnsi="Lucida Sans"/>
          <w:strike/>
          <w:color w:val="FF0000"/>
          <w:szCs w:val="20"/>
          <w:lang w:val="it-IT"/>
        </w:rPr>
        <w:t xml:space="preserve"> be </w:t>
      </w:r>
      <w:proofErr w:type="spellStart"/>
      <w:r w:rsidRPr="00373E2E">
        <w:rPr>
          <w:rFonts w:ascii="Lucida Sans" w:hAnsi="Lucida Sans"/>
          <w:strike/>
          <w:color w:val="FF0000"/>
          <w:szCs w:val="20"/>
          <w:lang w:val="it-IT"/>
        </w:rPr>
        <w:t>measured</w:t>
      </w:r>
      <w:proofErr w:type="spellEnd"/>
      <w:r w:rsidRPr="00373E2E">
        <w:rPr>
          <w:rFonts w:ascii="Lucida Sans" w:hAnsi="Lucida Sans"/>
          <w:strike/>
          <w:color w:val="FF0000"/>
          <w:szCs w:val="20"/>
          <w:lang w:val="it-IT"/>
        </w:rPr>
        <w:t xml:space="preserve"> by </w:t>
      </w:r>
      <w:proofErr w:type="spellStart"/>
      <w:r w:rsidRPr="00373E2E">
        <w:rPr>
          <w:rFonts w:ascii="Lucida Sans" w:hAnsi="Lucida Sans"/>
          <w:strike/>
          <w:color w:val="FF0000"/>
          <w:szCs w:val="20"/>
          <w:lang w:val="it-IT"/>
        </w:rPr>
        <w:t>reference</w:t>
      </w:r>
      <w:proofErr w:type="spellEnd"/>
      <w:r w:rsidRPr="00373E2E">
        <w:rPr>
          <w:rFonts w:ascii="Lucida Sans" w:hAnsi="Lucida Sans"/>
          <w:strike/>
          <w:color w:val="FF0000"/>
          <w:szCs w:val="20"/>
          <w:lang w:val="it-IT"/>
        </w:rPr>
        <w:t xml:space="preserve"> to prices </w:t>
      </w:r>
      <w:proofErr w:type="spellStart"/>
      <w:r w:rsidRPr="00373E2E">
        <w:rPr>
          <w:rFonts w:ascii="Lucida Sans" w:hAnsi="Lucida Sans"/>
          <w:strike/>
          <w:color w:val="FF0000"/>
          <w:szCs w:val="20"/>
          <w:lang w:val="it-IT"/>
        </w:rPr>
        <w:t>obtained</w:t>
      </w:r>
      <w:proofErr w:type="spellEnd"/>
      <w:r w:rsidRPr="00373E2E">
        <w:rPr>
          <w:rFonts w:ascii="Lucida Sans" w:hAnsi="Lucida Sans"/>
          <w:strike/>
          <w:color w:val="FF0000"/>
          <w:szCs w:val="20"/>
          <w:lang w:val="it-IT"/>
        </w:rPr>
        <w:t xml:space="preserve"> for </w:t>
      </w:r>
      <w:proofErr w:type="spellStart"/>
      <w:r w:rsidRPr="00373E2E">
        <w:rPr>
          <w:rFonts w:ascii="Lucida Sans" w:hAnsi="Lucida Sans"/>
          <w:strike/>
          <w:color w:val="FF0000"/>
          <w:szCs w:val="20"/>
          <w:lang w:val="it-IT"/>
        </w:rPr>
        <w:t>previous</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transactions</w:t>
      </w:r>
      <w:proofErr w:type="spellEnd"/>
      <w:r w:rsidRPr="00373E2E">
        <w:rPr>
          <w:rFonts w:ascii="Lucida Sans" w:hAnsi="Lucida Sans"/>
          <w:strike/>
          <w:color w:val="FF0000"/>
          <w:szCs w:val="20"/>
          <w:lang w:val="it-IT"/>
        </w:rPr>
        <w:t xml:space="preserve"> in the </w:t>
      </w:r>
      <w:proofErr w:type="spellStart"/>
      <w:r w:rsidRPr="00373E2E">
        <w:rPr>
          <w:rFonts w:ascii="Lucida Sans" w:hAnsi="Lucida Sans"/>
          <w:strike/>
          <w:color w:val="FF0000"/>
          <w:szCs w:val="20"/>
          <w:lang w:val="it-IT"/>
        </w:rPr>
        <w:t>same</w:t>
      </w:r>
      <w:proofErr w:type="spellEnd"/>
      <w:r w:rsidRPr="00373E2E">
        <w:rPr>
          <w:rFonts w:ascii="Lucida Sans" w:hAnsi="Lucida Sans"/>
          <w:strike/>
          <w:color w:val="FF0000"/>
          <w:szCs w:val="20"/>
          <w:lang w:val="it-IT"/>
        </w:rPr>
        <w:t xml:space="preserve"> or </w:t>
      </w:r>
      <w:proofErr w:type="spellStart"/>
      <w:r w:rsidRPr="00373E2E">
        <w:rPr>
          <w:rFonts w:ascii="Lucida Sans" w:hAnsi="Lucida Sans"/>
          <w:strike/>
          <w:color w:val="FF0000"/>
          <w:szCs w:val="20"/>
          <w:lang w:val="it-IT"/>
        </w:rPr>
        <w:t>similar</w:t>
      </w:r>
      <w:proofErr w:type="spellEnd"/>
      <w:r w:rsidRPr="00373E2E">
        <w:rPr>
          <w:rFonts w:ascii="Lucida Sans" w:hAnsi="Lucida Sans"/>
          <w:strike/>
          <w:color w:val="FF0000"/>
          <w:szCs w:val="20"/>
          <w:lang w:val="it-IT"/>
        </w:rPr>
        <w:t xml:space="preserve"> securities </w:t>
      </w:r>
      <w:proofErr w:type="spellStart"/>
      <w:r w:rsidRPr="00373E2E">
        <w:rPr>
          <w:rFonts w:ascii="Lucida Sans" w:hAnsi="Lucida Sans"/>
          <w:strike/>
          <w:color w:val="FF0000"/>
          <w:szCs w:val="20"/>
          <w:lang w:val="it-IT"/>
        </w:rPr>
        <w:t>presenting</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similar</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characteristics</w:t>
      </w:r>
      <w:proofErr w:type="spellEnd"/>
      <w:r w:rsidRPr="00373E2E">
        <w:rPr>
          <w:rFonts w:ascii="Lucida Sans" w:hAnsi="Lucida Sans"/>
          <w:strike/>
          <w:color w:val="FF0000"/>
          <w:szCs w:val="20"/>
          <w:lang w:val="it-IT"/>
        </w:rPr>
        <w:t xml:space="preserve"> (e.g. size, </w:t>
      </w:r>
      <w:proofErr w:type="spellStart"/>
      <w:r w:rsidRPr="00373E2E">
        <w:rPr>
          <w:rFonts w:ascii="Lucida Sans" w:hAnsi="Lucida Sans"/>
          <w:strike/>
          <w:color w:val="FF0000"/>
          <w:szCs w:val="20"/>
          <w:lang w:val="it-IT"/>
        </w:rPr>
        <w:t>industry</w:t>
      </w:r>
      <w:proofErr w:type="spellEnd"/>
      <w:r w:rsidRPr="00373E2E">
        <w:rPr>
          <w:rFonts w:ascii="Lucida Sans" w:hAnsi="Lucida Sans"/>
          <w:strike/>
          <w:color w:val="FF0000"/>
          <w:szCs w:val="20"/>
          <w:lang w:val="it-IT"/>
        </w:rPr>
        <w:t xml:space="preserve">) and </w:t>
      </w:r>
      <w:proofErr w:type="spellStart"/>
      <w:r w:rsidRPr="00373E2E">
        <w:rPr>
          <w:rFonts w:ascii="Lucida Sans" w:hAnsi="Lucida Sans"/>
          <w:strike/>
          <w:color w:val="FF0000"/>
          <w:szCs w:val="20"/>
          <w:lang w:val="it-IT"/>
        </w:rPr>
        <w:t>liquidity</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deriving</w:t>
      </w:r>
      <w:proofErr w:type="spellEnd"/>
      <w:r w:rsidRPr="00373E2E">
        <w:rPr>
          <w:rFonts w:ascii="Lucida Sans" w:hAnsi="Lucida Sans"/>
          <w:strike/>
          <w:color w:val="FF0000"/>
          <w:szCs w:val="20"/>
          <w:lang w:val="it-IT"/>
        </w:rPr>
        <w:t xml:space="preserve"> from </w:t>
      </w:r>
      <w:proofErr w:type="spellStart"/>
      <w:r w:rsidRPr="00373E2E">
        <w:rPr>
          <w:rFonts w:ascii="Lucida Sans" w:hAnsi="Lucida Sans"/>
          <w:strike/>
          <w:color w:val="FF0000"/>
          <w:szCs w:val="20"/>
          <w:lang w:val="it-IT"/>
        </w:rPr>
        <w:t>transactions</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executed</w:t>
      </w:r>
      <w:proofErr w:type="spellEnd"/>
      <w:r w:rsidRPr="00373E2E">
        <w:rPr>
          <w:rFonts w:ascii="Lucida Sans" w:hAnsi="Lucida Sans"/>
          <w:strike/>
          <w:color w:val="FF0000"/>
          <w:szCs w:val="20"/>
          <w:lang w:val="it-IT"/>
        </w:rPr>
        <w:t xml:space="preserve"> by the </w:t>
      </w:r>
      <w:proofErr w:type="spellStart"/>
      <w:r w:rsidRPr="00373E2E">
        <w:rPr>
          <w:rFonts w:ascii="Lucida Sans" w:hAnsi="Lucida Sans"/>
          <w:strike/>
          <w:color w:val="FF0000"/>
          <w:szCs w:val="20"/>
          <w:lang w:val="it-IT"/>
        </w:rPr>
        <w:t>manufacturer</w:t>
      </w:r>
      <w:proofErr w:type="spellEnd"/>
      <w:r w:rsidRPr="00373E2E">
        <w:rPr>
          <w:rFonts w:ascii="Lucida Sans" w:hAnsi="Lucida Sans"/>
          <w:strike/>
          <w:color w:val="FF0000"/>
          <w:szCs w:val="20"/>
          <w:lang w:val="it-IT"/>
        </w:rPr>
        <w:t xml:space="preserve"> or a </w:t>
      </w:r>
      <w:proofErr w:type="spellStart"/>
      <w:r w:rsidRPr="00373E2E">
        <w:rPr>
          <w:rFonts w:ascii="Lucida Sans" w:hAnsi="Lucida Sans"/>
          <w:strike/>
          <w:color w:val="FF0000"/>
          <w:szCs w:val="20"/>
          <w:lang w:val="it-IT"/>
        </w:rPr>
        <w:t>third</w:t>
      </w:r>
      <w:proofErr w:type="spellEnd"/>
      <w:r w:rsidRPr="00373E2E">
        <w:rPr>
          <w:rFonts w:ascii="Lucida Sans" w:hAnsi="Lucida Sans"/>
          <w:strike/>
          <w:color w:val="FF0000"/>
          <w:szCs w:val="20"/>
          <w:lang w:val="it-IT"/>
        </w:rPr>
        <w:t xml:space="preserve"> party or </w:t>
      </w:r>
      <w:proofErr w:type="spellStart"/>
      <w:r w:rsidRPr="00373E2E">
        <w:rPr>
          <w:rFonts w:ascii="Lucida Sans" w:hAnsi="Lucida Sans"/>
          <w:strike/>
          <w:color w:val="FF0000"/>
          <w:szCs w:val="20"/>
          <w:lang w:val="it-IT"/>
        </w:rPr>
        <w:t>using</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available</w:t>
      </w:r>
      <w:proofErr w:type="spellEnd"/>
      <w:r w:rsidRPr="00373E2E">
        <w:rPr>
          <w:rFonts w:ascii="Lucida Sans" w:hAnsi="Lucida Sans"/>
          <w:strike/>
          <w:color w:val="FF0000"/>
          <w:szCs w:val="20"/>
          <w:lang w:val="it-IT"/>
        </w:rPr>
        <w:t xml:space="preserve"> indexes. </w:t>
      </w:r>
      <w:proofErr w:type="spellStart"/>
      <w:r w:rsidRPr="00373E2E">
        <w:rPr>
          <w:rFonts w:ascii="Lucida Sans" w:hAnsi="Lucida Sans"/>
          <w:strike/>
          <w:color w:val="FF0000"/>
          <w:szCs w:val="20"/>
          <w:lang w:val="it-IT"/>
        </w:rPr>
        <w:t>This</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derogation</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shall</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apply</w:t>
      </w:r>
      <w:proofErr w:type="spellEnd"/>
      <w:r w:rsidRPr="00373E2E">
        <w:rPr>
          <w:rFonts w:ascii="Lucida Sans" w:hAnsi="Lucida Sans"/>
          <w:strike/>
          <w:color w:val="FF0000"/>
          <w:szCs w:val="20"/>
          <w:lang w:val="it-IT"/>
        </w:rPr>
        <w:t xml:space="preserve"> in </w:t>
      </w:r>
      <w:proofErr w:type="spellStart"/>
      <w:r w:rsidRPr="00373E2E">
        <w:rPr>
          <w:rFonts w:ascii="Lucida Sans" w:hAnsi="Lucida Sans"/>
          <w:strike/>
          <w:color w:val="FF0000"/>
          <w:szCs w:val="20"/>
          <w:lang w:val="it-IT"/>
        </w:rPr>
        <w:t>all</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cases</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where</w:t>
      </w:r>
      <w:proofErr w:type="spellEnd"/>
      <w:r w:rsidRPr="00373E2E">
        <w:rPr>
          <w:rFonts w:ascii="Lucida Sans" w:hAnsi="Lucida Sans"/>
          <w:strike/>
          <w:color w:val="FF0000"/>
          <w:szCs w:val="20"/>
          <w:lang w:val="it-IT"/>
        </w:rPr>
        <w:t xml:space="preserve"> a </w:t>
      </w:r>
      <w:proofErr w:type="spellStart"/>
      <w:r w:rsidRPr="00373E2E">
        <w:rPr>
          <w:rFonts w:ascii="Lucida Sans" w:hAnsi="Lucida Sans"/>
          <w:strike/>
          <w:color w:val="FF0000"/>
          <w:szCs w:val="20"/>
          <w:lang w:val="it-IT"/>
        </w:rPr>
        <w:t>manufacturer</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undertakes</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fewer</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than</w:t>
      </w:r>
      <w:proofErr w:type="spellEnd"/>
      <w:r w:rsidRPr="00373E2E">
        <w:rPr>
          <w:rFonts w:ascii="Lucida Sans" w:hAnsi="Lucida Sans"/>
          <w:strike/>
          <w:color w:val="FF0000"/>
          <w:szCs w:val="20"/>
          <w:lang w:val="it-IT"/>
        </w:rPr>
        <w:t xml:space="preserve"> [250] </w:t>
      </w:r>
      <w:proofErr w:type="spellStart"/>
      <w:r w:rsidRPr="00373E2E">
        <w:rPr>
          <w:rFonts w:ascii="Lucida Sans" w:hAnsi="Lucida Sans"/>
          <w:strike/>
          <w:color w:val="FF0000"/>
          <w:szCs w:val="20"/>
          <w:lang w:val="it-IT"/>
        </w:rPr>
        <w:t>transactions</w:t>
      </w:r>
      <w:proofErr w:type="spellEnd"/>
      <w:r w:rsidRPr="00373E2E">
        <w:rPr>
          <w:rFonts w:ascii="Lucida Sans" w:hAnsi="Lucida Sans"/>
          <w:strike/>
          <w:color w:val="FF0000"/>
          <w:szCs w:val="20"/>
          <w:lang w:val="it-IT"/>
        </w:rPr>
        <w:t xml:space="preserve"> in a </w:t>
      </w:r>
      <w:proofErr w:type="spellStart"/>
      <w:r w:rsidRPr="00373E2E">
        <w:rPr>
          <w:rFonts w:ascii="Lucida Sans" w:hAnsi="Lucida Sans"/>
          <w:strike/>
          <w:color w:val="FF0000"/>
          <w:szCs w:val="20"/>
          <w:lang w:val="it-IT"/>
        </w:rPr>
        <w:t>three-year</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period</w:t>
      </w:r>
      <w:proofErr w:type="spellEnd"/>
      <w:r w:rsidRPr="00373E2E">
        <w:rPr>
          <w:rFonts w:ascii="Lucida Sans" w:hAnsi="Lucida Sans"/>
          <w:strike/>
          <w:color w:val="FF0000"/>
          <w:szCs w:val="20"/>
          <w:lang w:val="it-IT"/>
        </w:rPr>
        <w:t xml:space="preserve"> for an </w:t>
      </w:r>
      <w:proofErr w:type="spellStart"/>
      <w:r w:rsidRPr="00373E2E">
        <w:rPr>
          <w:rFonts w:ascii="Lucida Sans" w:hAnsi="Lucida Sans"/>
          <w:strike/>
          <w:color w:val="FF0000"/>
          <w:szCs w:val="20"/>
          <w:lang w:val="it-IT"/>
        </w:rPr>
        <w:t>individual</w:t>
      </w:r>
      <w:proofErr w:type="spellEnd"/>
      <w:r w:rsidRPr="00373E2E">
        <w:rPr>
          <w:rFonts w:ascii="Lucida Sans" w:hAnsi="Lucida Sans"/>
          <w:strike/>
          <w:color w:val="FF0000"/>
          <w:szCs w:val="20"/>
          <w:lang w:val="it-IT"/>
        </w:rPr>
        <w:t xml:space="preserve"> PRIIP, or </w:t>
      </w:r>
      <w:proofErr w:type="spellStart"/>
      <w:r w:rsidRPr="00373E2E">
        <w:rPr>
          <w:rFonts w:ascii="Lucida Sans" w:hAnsi="Lucida Sans"/>
          <w:strike/>
          <w:color w:val="FF0000"/>
          <w:szCs w:val="20"/>
          <w:lang w:val="it-IT"/>
        </w:rPr>
        <w:t>where</w:t>
      </w:r>
      <w:proofErr w:type="spellEnd"/>
      <w:r w:rsidRPr="00373E2E">
        <w:rPr>
          <w:rFonts w:ascii="Lucida Sans" w:hAnsi="Lucida Sans"/>
          <w:strike/>
          <w:color w:val="FF0000"/>
          <w:szCs w:val="20"/>
          <w:lang w:val="it-IT"/>
        </w:rPr>
        <w:t xml:space="preserve"> the </w:t>
      </w:r>
      <w:proofErr w:type="spellStart"/>
      <w:r w:rsidRPr="00373E2E">
        <w:rPr>
          <w:rFonts w:ascii="Lucida Sans" w:hAnsi="Lucida Sans"/>
          <w:strike/>
          <w:color w:val="FF0000"/>
          <w:szCs w:val="20"/>
          <w:lang w:val="it-IT"/>
        </w:rPr>
        <w:t>total</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consideration</w:t>
      </w:r>
      <w:proofErr w:type="spellEnd"/>
      <w:r w:rsidRPr="00373E2E">
        <w:rPr>
          <w:rFonts w:ascii="Lucida Sans" w:hAnsi="Lucida Sans"/>
          <w:strike/>
          <w:color w:val="FF0000"/>
          <w:szCs w:val="20"/>
          <w:lang w:val="it-IT"/>
        </w:rPr>
        <w:t xml:space="preserve"> for </w:t>
      </w:r>
      <w:proofErr w:type="spellStart"/>
      <w:r w:rsidRPr="00373E2E">
        <w:rPr>
          <w:rFonts w:ascii="Lucida Sans" w:hAnsi="Lucida Sans"/>
          <w:strike/>
          <w:color w:val="FF0000"/>
          <w:szCs w:val="20"/>
          <w:lang w:val="it-IT"/>
        </w:rPr>
        <w:t>all</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transactions</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undertaken</w:t>
      </w:r>
      <w:proofErr w:type="spellEnd"/>
      <w:r w:rsidRPr="00373E2E">
        <w:rPr>
          <w:rFonts w:ascii="Lucida Sans" w:hAnsi="Lucida Sans"/>
          <w:strike/>
          <w:color w:val="FF0000"/>
          <w:szCs w:val="20"/>
          <w:lang w:val="it-IT"/>
        </w:rPr>
        <w:t xml:space="preserve"> over 3 </w:t>
      </w:r>
      <w:proofErr w:type="spellStart"/>
      <w:r w:rsidRPr="00373E2E">
        <w:rPr>
          <w:rFonts w:ascii="Lucida Sans" w:hAnsi="Lucida Sans"/>
          <w:strike/>
          <w:color w:val="FF0000"/>
          <w:szCs w:val="20"/>
          <w:lang w:val="it-IT"/>
        </w:rPr>
        <w:t>years</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is</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less</w:t>
      </w:r>
      <w:proofErr w:type="spellEnd"/>
      <w:r w:rsidRPr="00373E2E">
        <w:rPr>
          <w:rFonts w:ascii="Lucida Sans" w:hAnsi="Lucida Sans"/>
          <w:strike/>
          <w:color w:val="FF0000"/>
          <w:szCs w:val="20"/>
          <w:lang w:val="it-IT"/>
        </w:rPr>
        <w:t xml:space="preserve"> </w:t>
      </w:r>
      <w:proofErr w:type="spellStart"/>
      <w:r w:rsidRPr="00373E2E">
        <w:rPr>
          <w:rFonts w:ascii="Lucida Sans" w:hAnsi="Lucida Sans"/>
          <w:strike/>
          <w:color w:val="FF0000"/>
          <w:szCs w:val="20"/>
          <w:lang w:val="it-IT"/>
        </w:rPr>
        <w:t>than</w:t>
      </w:r>
      <w:proofErr w:type="spellEnd"/>
      <w:r w:rsidRPr="00373E2E">
        <w:rPr>
          <w:rFonts w:ascii="Lucida Sans" w:hAnsi="Lucida Sans"/>
          <w:strike/>
          <w:color w:val="FF0000"/>
          <w:szCs w:val="20"/>
          <w:lang w:val="it-IT"/>
        </w:rPr>
        <w:t xml:space="preserve"> [25%] of the net asset </w:t>
      </w:r>
      <w:proofErr w:type="spellStart"/>
      <w:r w:rsidRPr="00373E2E">
        <w:rPr>
          <w:rFonts w:ascii="Lucida Sans" w:hAnsi="Lucida Sans"/>
          <w:strike/>
          <w:color w:val="FF0000"/>
          <w:szCs w:val="20"/>
          <w:lang w:val="it-IT"/>
        </w:rPr>
        <w:t>value</w:t>
      </w:r>
      <w:proofErr w:type="spellEnd"/>
      <w:r w:rsidRPr="00373E2E">
        <w:rPr>
          <w:rFonts w:ascii="Lucida Sans" w:hAnsi="Lucida Sans"/>
          <w:strike/>
          <w:color w:val="FF0000"/>
          <w:szCs w:val="20"/>
          <w:lang w:val="it-IT"/>
        </w:rPr>
        <w:t xml:space="preserve"> of the product.</w:t>
      </w:r>
      <w:r w:rsidRPr="00373E2E">
        <w:rPr>
          <w:rFonts w:ascii="Lucida Sans" w:hAnsi="Lucida Sans"/>
          <w:color w:val="FF0000"/>
          <w:szCs w:val="20"/>
          <w:lang w:val="it-IT"/>
        </w:rPr>
        <w:t xml:space="preserve"> </w:t>
      </w:r>
    </w:p>
    <w:p w14:paraId="07A9A74F" w14:textId="77777777" w:rsidR="00CA74D8" w:rsidRPr="00373E2E" w:rsidRDefault="00CA74D8" w:rsidP="00CA74D8">
      <w:pPr>
        <w:autoSpaceDE w:val="0"/>
        <w:autoSpaceDN w:val="0"/>
        <w:adjustRightInd w:val="0"/>
        <w:jc w:val="both"/>
        <w:rPr>
          <w:rFonts w:ascii="Lucida Sans" w:hAnsi="Lucida Sans"/>
          <w:color w:val="FF0000"/>
          <w:szCs w:val="20"/>
          <w:lang w:val="it-IT"/>
        </w:rPr>
      </w:pPr>
    </w:p>
    <w:p w14:paraId="1284369A" w14:textId="77777777" w:rsidR="00CA74D8" w:rsidRPr="00373E2E" w:rsidRDefault="00CA74D8" w:rsidP="00CA74D8">
      <w:pPr>
        <w:autoSpaceDE w:val="0"/>
        <w:autoSpaceDN w:val="0"/>
        <w:adjustRightInd w:val="0"/>
        <w:spacing w:after="148"/>
        <w:jc w:val="both"/>
        <w:rPr>
          <w:rFonts w:ascii="Lucida Sans" w:hAnsi="Lucida Sans"/>
          <w:color w:val="000000"/>
          <w:szCs w:val="20"/>
          <w:lang w:val="it-IT"/>
        </w:rPr>
      </w:pPr>
      <w:r w:rsidRPr="00373E2E">
        <w:rPr>
          <w:rFonts w:ascii="Lucida Sans" w:hAnsi="Lucida Sans"/>
          <w:color w:val="FF0000"/>
          <w:szCs w:val="20"/>
          <w:lang w:val="it-IT"/>
        </w:rPr>
        <w:t xml:space="preserve">18. For the asset classes </w:t>
      </w:r>
      <w:proofErr w:type="spellStart"/>
      <w:r w:rsidRPr="00373E2E">
        <w:rPr>
          <w:rFonts w:ascii="Lucida Sans" w:hAnsi="Lucida Sans"/>
          <w:color w:val="FF0000"/>
          <w:szCs w:val="20"/>
          <w:lang w:val="it-IT"/>
        </w:rPr>
        <w:t>indicated</w:t>
      </w:r>
      <w:proofErr w:type="spellEnd"/>
      <w:r w:rsidRPr="00373E2E">
        <w:rPr>
          <w:rFonts w:ascii="Lucida Sans" w:hAnsi="Lucida Sans"/>
          <w:color w:val="FF0000"/>
          <w:szCs w:val="20"/>
          <w:lang w:val="it-IT"/>
        </w:rPr>
        <w:t xml:space="preserve"> in </w:t>
      </w:r>
      <w:proofErr w:type="spellStart"/>
      <w:r w:rsidRPr="00373E2E">
        <w:rPr>
          <w:rFonts w:ascii="Lucida Sans" w:hAnsi="Lucida Sans"/>
          <w:color w:val="FF0000"/>
          <w:szCs w:val="20"/>
          <w:lang w:val="it-IT"/>
        </w:rPr>
        <w:t>table</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below</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implicit</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transactions</w:t>
      </w:r>
      <w:proofErr w:type="spellEnd"/>
      <w:r w:rsidRPr="00373E2E">
        <w:rPr>
          <w:rFonts w:ascii="Lucida Sans" w:hAnsi="Lucida Sans"/>
          <w:color w:val="FF0000"/>
          <w:szCs w:val="20"/>
          <w:lang w:val="it-IT"/>
        </w:rPr>
        <w:t xml:space="preserve"> costs </w:t>
      </w:r>
      <w:proofErr w:type="spellStart"/>
      <w:r w:rsidRPr="00373E2E">
        <w:rPr>
          <w:rFonts w:ascii="Lucida Sans" w:hAnsi="Lucida Sans"/>
          <w:color w:val="FF0000"/>
          <w:szCs w:val="20"/>
          <w:lang w:val="it-IT"/>
        </w:rPr>
        <w:t>shall</w:t>
      </w:r>
      <w:proofErr w:type="spellEnd"/>
      <w:r w:rsidRPr="00373E2E">
        <w:rPr>
          <w:rFonts w:ascii="Lucida Sans" w:hAnsi="Lucida Sans"/>
          <w:color w:val="FF0000"/>
          <w:szCs w:val="20"/>
          <w:lang w:val="it-IT"/>
        </w:rPr>
        <w:t xml:space="preserve"> be </w:t>
      </w:r>
      <w:proofErr w:type="spellStart"/>
      <w:r w:rsidRPr="00373E2E">
        <w:rPr>
          <w:rFonts w:ascii="Lucida Sans" w:hAnsi="Lucida Sans"/>
          <w:color w:val="FF0000"/>
          <w:szCs w:val="20"/>
          <w:lang w:val="it-IT"/>
        </w:rPr>
        <w:t>calculated</w:t>
      </w:r>
      <w:proofErr w:type="spellEnd"/>
      <w:r w:rsidRPr="00373E2E">
        <w:rPr>
          <w:rFonts w:ascii="Lucida Sans" w:hAnsi="Lucida Sans"/>
          <w:color w:val="FF0000"/>
          <w:szCs w:val="20"/>
          <w:lang w:val="it-IT"/>
        </w:rPr>
        <w:t xml:space="preserve"> by </w:t>
      </w:r>
      <w:proofErr w:type="spellStart"/>
      <w:r w:rsidRPr="00373E2E">
        <w:rPr>
          <w:rFonts w:ascii="Lucida Sans" w:hAnsi="Lucida Sans"/>
          <w:color w:val="FF0000"/>
          <w:szCs w:val="20"/>
          <w:lang w:val="it-IT"/>
        </w:rPr>
        <w:t>multiplying</w:t>
      </w:r>
      <w:proofErr w:type="spellEnd"/>
      <w:r w:rsidRPr="00373E2E">
        <w:rPr>
          <w:rFonts w:ascii="Lucida Sans" w:hAnsi="Lucida Sans"/>
          <w:color w:val="FF0000"/>
          <w:szCs w:val="20"/>
          <w:lang w:val="it-IT"/>
        </w:rPr>
        <w:t xml:space="preserve"> the portfolio turnover by the </w:t>
      </w:r>
      <w:proofErr w:type="spellStart"/>
      <w:r w:rsidRPr="00373E2E">
        <w:rPr>
          <w:rFonts w:ascii="Lucida Sans" w:hAnsi="Lucida Sans"/>
          <w:color w:val="FF0000"/>
          <w:szCs w:val="20"/>
          <w:lang w:val="it-IT"/>
        </w:rPr>
        <w:t>reference</w:t>
      </w:r>
      <w:proofErr w:type="spellEnd"/>
      <w:r w:rsidRPr="00373E2E">
        <w:rPr>
          <w:rFonts w:ascii="Lucida Sans" w:hAnsi="Lucida Sans"/>
          <w:color w:val="FF0000"/>
          <w:szCs w:val="20"/>
          <w:lang w:val="it-IT"/>
        </w:rPr>
        <w:t xml:space="preserve"> cost of the asset class.</w:t>
      </w:r>
    </w:p>
    <w:p w14:paraId="752F6E8F" w14:textId="77777777" w:rsidR="00CA74D8" w:rsidRPr="00373E2E" w:rsidRDefault="00CA74D8" w:rsidP="00CA74D8">
      <w:pPr>
        <w:autoSpaceDE w:val="0"/>
        <w:autoSpaceDN w:val="0"/>
        <w:adjustRightInd w:val="0"/>
        <w:jc w:val="both"/>
        <w:rPr>
          <w:rFonts w:ascii="Lucida Sans" w:hAnsi="Lucida Sans"/>
          <w:color w:val="FF0000"/>
          <w:szCs w:val="20"/>
          <w:lang w:val="it-IT"/>
        </w:rPr>
      </w:pPr>
    </w:p>
    <w:p w14:paraId="37B16221" w14:textId="2FEE71E0" w:rsidR="00CA74D8" w:rsidRPr="00373E2E" w:rsidRDefault="00CA74D8" w:rsidP="00CA74D8">
      <w:pPr>
        <w:autoSpaceDE w:val="0"/>
        <w:autoSpaceDN w:val="0"/>
        <w:adjustRightInd w:val="0"/>
        <w:jc w:val="both"/>
        <w:rPr>
          <w:rFonts w:ascii="Lucida Sans" w:hAnsi="Lucida Sans"/>
          <w:color w:val="FF0000"/>
          <w:szCs w:val="20"/>
          <w:lang w:val="it-IT"/>
        </w:rPr>
        <w:sectPr w:rsidR="00CA74D8" w:rsidRPr="00373E2E">
          <w:headerReference w:type="default" r:id="rId39"/>
          <w:footerReference w:type="default" r:id="rId40"/>
          <w:pgSz w:w="11906" w:h="16838"/>
          <w:pgMar w:top="1417" w:right="1134" w:bottom="1134" w:left="1134" w:header="708" w:footer="708" w:gutter="0"/>
          <w:cols w:space="708"/>
          <w:docGrid w:linePitch="360"/>
        </w:sectPr>
      </w:pPr>
      <w:r w:rsidRPr="00373E2E">
        <w:rPr>
          <w:rFonts w:ascii="Lucida Sans" w:hAnsi="Lucida Sans"/>
          <w:color w:val="FF0000"/>
          <w:szCs w:val="20"/>
          <w:lang w:val="it-IT"/>
        </w:rPr>
        <w:t xml:space="preserve">18a. The </w:t>
      </w:r>
      <w:proofErr w:type="spellStart"/>
      <w:r w:rsidRPr="00373E2E">
        <w:rPr>
          <w:rFonts w:ascii="Lucida Sans" w:hAnsi="Lucida Sans"/>
          <w:color w:val="FF0000"/>
          <w:szCs w:val="20"/>
          <w:lang w:val="it-IT"/>
        </w:rPr>
        <w:t>ESAs</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shall</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issue</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guidelines</w:t>
      </w:r>
      <w:proofErr w:type="spellEnd"/>
      <w:r w:rsidRPr="00373E2E">
        <w:rPr>
          <w:rFonts w:ascii="Lucida Sans" w:hAnsi="Lucida Sans"/>
          <w:color w:val="FF0000"/>
          <w:szCs w:val="20"/>
          <w:lang w:val="it-IT"/>
        </w:rPr>
        <w:t xml:space="preserve"> with common </w:t>
      </w:r>
      <w:proofErr w:type="spellStart"/>
      <w:r w:rsidRPr="00373E2E">
        <w:rPr>
          <w:rFonts w:ascii="Lucida Sans" w:hAnsi="Lucida Sans"/>
          <w:color w:val="FF0000"/>
          <w:szCs w:val="20"/>
          <w:lang w:val="it-IT"/>
        </w:rPr>
        <w:t>reference</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parameters</w:t>
      </w:r>
      <w:proofErr w:type="spellEnd"/>
      <w:r w:rsidRPr="00373E2E">
        <w:rPr>
          <w:rFonts w:ascii="Lucida Sans" w:hAnsi="Lucida Sans"/>
          <w:color w:val="FF0000"/>
          <w:szCs w:val="20"/>
          <w:lang w:val="it-IT"/>
        </w:rPr>
        <w:t xml:space="preserve"> </w:t>
      </w:r>
      <w:r w:rsidR="00831C92">
        <w:rPr>
          <w:rFonts w:ascii="Lucida Sans" w:hAnsi="Lucida Sans"/>
          <w:color w:val="FF0000"/>
          <w:szCs w:val="20"/>
          <w:lang w:val="it-IT"/>
        </w:rPr>
        <w:t>[</w:t>
      </w:r>
      <w:r w:rsidRPr="00373E2E">
        <w:rPr>
          <w:rFonts w:ascii="Lucida Sans" w:hAnsi="Lucida Sans"/>
          <w:color w:val="FF0000"/>
          <w:szCs w:val="20"/>
          <w:lang w:val="it-IT"/>
        </w:rPr>
        <w:t xml:space="preserve">for the </w:t>
      </w:r>
      <w:proofErr w:type="spellStart"/>
      <w:r w:rsidRPr="00373E2E">
        <w:rPr>
          <w:rFonts w:ascii="Lucida Sans" w:hAnsi="Lucida Sans"/>
          <w:color w:val="FF0000"/>
          <w:szCs w:val="20"/>
          <w:lang w:val="it-IT"/>
        </w:rPr>
        <w:t>table</w:t>
      </w:r>
      <w:proofErr w:type="spellEnd"/>
      <w:r w:rsidRPr="00373E2E">
        <w:rPr>
          <w:rFonts w:ascii="Lucida Sans" w:hAnsi="Lucida Sans"/>
          <w:color w:val="FF0000"/>
          <w:szCs w:val="20"/>
          <w:lang w:val="it-IT"/>
        </w:rPr>
        <w:t xml:space="preserve"> </w:t>
      </w:r>
      <w:commentRangeStart w:id="17"/>
      <w:proofErr w:type="spellStart"/>
      <w:r w:rsidRPr="00373E2E">
        <w:rPr>
          <w:rFonts w:ascii="Lucida Sans" w:hAnsi="Lucida Sans"/>
          <w:color w:val="FF0000"/>
          <w:szCs w:val="20"/>
          <w:lang w:val="it-IT"/>
        </w:rPr>
        <w:t>below</w:t>
      </w:r>
      <w:commentRangeEnd w:id="17"/>
      <w:proofErr w:type="spellEnd"/>
      <w:r w:rsidR="0095041F">
        <w:rPr>
          <w:rStyle w:val="Rimandocommento"/>
        </w:rPr>
        <w:commentReference w:id="17"/>
      </w:r>
      <w:r w:rsidR="00831C92">
        <w:rPr>
          <w:rFonts w:ascii="Lucida Sans" w:hAnsi="Lucida Sans"/>
          <w:color w:val="FF0000"/>
          <w:szCs w:val="20"/>
          <w:lang w:val="it-IT"/>
        </w:rPr>
        <w:t>]</w:t>
      </w:r>
      <w:r w:rsidRPr="00373E2E">
        <w:rPr>
          <w:rFonts w:ascii="Lucida Sans" w:hAnsi="Lucida Sans"/>
          <w:color w:val="FF0000"/>
          <w:szCs w:val="20"/>
          <w:lang w:val="it-IT"/>
        </w:rPr>
        <w:t xml:space="preserve">. The </w:t>
      </w:r>
      <w:proofErr w:type="spellStart"/>
      <w:r w:rsidRPr="00373E2E">
        <w:rPr>
          <w:rFonts w:ascii="Lucida Sans" w:hAnsi="Lucida Sans"/>
          <w:color w:val="FF0000"/>
          <w:szCs w:val="20"/>
          <w:lang w:val="it-IT"/>
        </w:rPr>
        <w:t>guidelines</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shall</w:t>
      </w:r>
      <w:proofErr w:type="spellEnd"/>
      <w:r w:rsidRPr="00373E2E">
        <w:rPr>
          <w:rFonts w:ascii="Lucida Sans" w:hAnsi="Lucida Sans"/>
          <w:color w:val="FF0000"/>
          <w:szCs w:val="20"/>
          <w:lang w:val="it-IT"/>
        </w:rPr>
        <w:t xml:space="preserve"> be </w:t>
      </w:r>
      <w:proofErr w:type="spellStart"/>
      <w:r w:rsidRPr="00373E2E">
        <w:rPr>
          <w:rFonts w:ascii="Lucida Sans" w:hAnsi="Lucida Sans"/>
          <w:color w:val="FF0000"/>
          <w:szCs w:val="20"/>
          <w:lang w:val="it-IT"/>
        </w:rPr>
        <w:t>updated</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at</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least</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every</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year</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taking</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into</w:t>
      </w:r>
      <w:proofErr w:type="spellEnd"/>
      <w:r w:rsidRPr="00373E2E">
        <w:rPr>
          <w:rFonts w:ascii="Lucida Sans" w:hAnsi="Lucida Sans"/>
          <w:color w:val="FF0000"/>
          <w:szCs w:val="20"/>
          <w:lang w:val="it-IT"/>
        </w:rPr>
        <w:t xml:space="preserve"> account the </w:t>
      </w:r>
      <w:proofErr w:type="spellStart"/>
      <w:r w:rsidRPr="00373E2E">
        <w:rPr>
          <w:rFonts w:ascii="Lucida Sans" w:hAnsi="Lucida Sans"/>
          <w:color w:val="FF0000"/>
          <w:szCs w:val="20"/>
          <w:lang w:val="it-IT"/>
        </w:rPr>
        <w:t>latest</w:t>
      </w:r>
      <w:proofErr w:type="spellEnd"/>
      <w:r w:rsidRPr="00373E2E">
        <w:rPr>
          <w:rFonts w:ascii="Lucida Sans" w:hAnsi="Lucida Sans"/>
          <w:color w:val="FF0000"/>
          <w:szCs w:val="20"/>
          <w:lang w:val="it-IT"/>
        </w:rPr>
        <w:t xml:space="preserve"> market </w:t>
      </w:r>
      <w:proofErr w:type="spellStart"/>
      <w:r w:rsidRPr="00373E2E">
        <w:rPr>
          <w:rFonts w:ascii="Lucida Sans" w:hAnsi="Lucida Sans"/>
          <w:color w:val="FF0000"/>
          <w:szCs w:val="20"/>
          <w:lang w:val="it-IT"/>
        </w:rPr>
        <w:t>developments</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PRIIPs</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manufactures</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should</w:t>
      </w:r>
      <w:proofErr w:type="spellEnd"/>
      <w:r w:rsidRPr="00373E2E">
        <w:rPr>
          <w:rFonts w:ascii="Lucida Sans" w:hAnsi="Lucida Sans"/>
          <w:color w:val="FF0000"/>
          <w:szCs w:val="20"/>
          <w:lang w:val="it-IT"/>
        </w:rPr>
        <w:t xml:space="preserve"> make </w:t>
      </w:r>
      <w:proofErr w:type="spellStart"/>
      <w:r w:rsidRPr="00373E2E">
        <w:rPr>
          <w:rFonts w:ascii="Lucida Sans" w:hAnsi="Lucida Sans"/>
          <w:color w:val="FF0000"/>
          <w:szCs w:val="20"/>
          <w:lang w:val="it-IT"/>
        </w:rPr>
        <w:t>any</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changes</w:t>
      </w:r>
      <w:proofErr w:type="spellEnd"/>
      <w:r w:rsidRPr="00373E2E">
        <w:rPr>
          <w:rFonts w:ascii="Lucida Sans" w:hAnsi="Lucida Sans"/>
          <w:color w:val="FF0000"/>
          <w:szCs w:val="20"/>
          <w:lang w:val="it-IT"/>
        </w:rPr>
        <w:t xml:space="preserve"> to the KID in </w:t>
      </w:r>
      <w:proofErr w:type="spellStart"/>
      <w:r w:rsidRPr="00373E2E">
        <w:rPr>
          <w:rFonts w:ascii="Lucida Sans" w:hAnsi="Lucida Sans"/>
          <w:color w:val="FF0000"/>
          <w:szCs w:val="20"/>
          <w:lang w:val="it-IT"/>
        </w:rPr>
        <w:t>order</w:t>
      </w:r>
      <w:proofErr w:type="spellEnd"/>
      <w:r w:rsidRPr="00373E2E">
        <w:rPr>
          <w:rFonts w:ascii="Lucida Sans" w:hAnsi="Lucida Sans"/>
          <w:color w:val="FF0000"/>
          <w:szCs w:val="20"/>
          <w:lang w:val="it-IT"/>
        </w:rPr>
        <w:t xml:space="preserve"> to incorporate </w:t>
      </w:r>
      <w:proofErr w:type="spellStart"/>
      <w:r w:rsidRPr="00373E2E">
        <w:rPr>
          <w:rFonts w:ascii="Lucida Sans" w:hAnsi="Lucida Sans"/>
          <w:color w:val="FF0000"/>
          <w:szCs w:val="20"/>
          <w:lang w:val="it-IT"/>
        </w:rPr>
        <w:t>this</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additional</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guidance</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as</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soon</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as</w:t>
      </w:r>
      <w:proofErr w:type="spellEnd"/>
      <w:r w:rsidRPr="00373E2E">
        <w:rPr>
          <w:rFonts w:ascii="Lucida Sans" w:hAnsi="Lucida Sans"/>
          <w:color w:val="FF0000"/>
          <w:szCs w:val="20"/>
          <w:lang w:val="it-IT"/>
        </w:rPr>
        <w:t xml:space="preserve"> </w:t>
      </w:r>
      <w:proofErr w:type="spellStart"/>
      <w:r w:rsidRPr="00373E2E">
        <w:rPr>
          <w:rFonts w:ascii="Lucida Sans" w:hAnsi="Lucida Sans"/>
          <w:color w:val="FF0000"/>
          <w:szCs w:val="20"/>
          <w:lang w:val="it-IT"/>
        </w:rPr>
        <w:t>practicable</w:t>
      </w:r>
      <w:proofErr w:type="spellEnd"/>
      <w:r w:rsidRPr="00373E2E">
        <w:rPr>
          <w:rFonts w:ascii="Lucida Sans" w:hAnsi="Lucida Sans"/>
          <w:color w:val="FF0000"/>
          <w:szCs w:val="20"/>
          <w:lang w:val="it-IT"/>
        </w:rPr>
        <w:t xml:space="preserve">, or by the </w:t>
      </w:r>
      <w:proofErr w:type="spellStart"/>
      <w:r w:rsidRPr="00373E2E">
        <w:rPr>
          <w:rFonts w:ascii="Lucida Sans" w:hAnsi="Lucida Sans"/>
          <w:color w:val="FF0000"/>
          <w:szCs w:val="20"/>
          <w:lang w:val="it-IT"/>
        </w:rPr>
        <w:t>next</w:t>
      </w:r>
      <w:proofErr w:type="spellEnd"/>
      <w:r w:rsidRPr="00373E2E">
        <w:rPr>
          <w:rFonts w:ascii="Lucida Sans" w:hAnsi="Lucida Sans"/>
          <w:color w:val="FF0000"/>
          <w:szCs w:val="20"/>
          <w:lang w:val="it-IT"/>
        </w:rPr>
        <w:t xml:space="preserve"> KID update following the </w:t>
      </w:r>
      <w:proofErr w:type="spellStart"/>
      <w:r w:rsidRPr="00373E2E">
        <w:rPr>
          <w:rFonts w:ascii="Lucida Sans" w:hAnsi="Lucida Sans"/>
          <w:color w:val="FF0000"/>
          <w:szCs w:val="20"/>
          <w:lang w:val="it-IT"/>
        </w:rPr>
        <w:t>publication</w:t>
      </w:r>
      <w:proofErr w:type="spellEnd"/>
      <w:r w:rsidRPr="00373E2E">
        <w:rPr>
          <w:rFonts w:ascii="Lucida Sans" w:hAnsi="Lucida Sans"/>
          <w:color w:val="FF0000"/>
          <w:szCs w:val="20"/>
          <w:lang w:val="it-IT"/>
        </w:rPr>
        <w:t xml:space="preserve"> of the </w:t>
      </w:r>
      <w:proofErr w:type="spellStart"/>
      <w:r w:rsidR="00984CD7">
        <w:rPr>
          <w:rFonts w:ascii="Lucida Sans" w:hAnsi="Lucida Sans"/>
          <w:color w:val="FF0000"/>
          <w:szCs w:val="20"/>
          <w:lang w:val="it-IT"/>
        </w:rPr>
        <w:t>g</w:t>
      </w:r>
      <w:r w:rsidRPr="00373E2E">
        <w:rPr>
          <w:rFonts w:ascii="Lucida Sans" w:hAnsi="Lucida Sans"/>
          <w:color w:val="FF0000"/>
          <w:szCs w:val="20"/>
          <w:lang w:val="it-IT"/>
        </w:rPr>
        <w:t>uid</w:t>
      </w:r>
      <w:r w:rsidR="00984CD7">
        <w:rPr>
          <w:rFonts w:ascii="Lucida Sans" w:hAnsi="Lucida Sans"/>
          <w:color w:val="FF0000"/>
          <w:szCs w:val="20"/>
          <w:lang w:val="it-IT"/>
        </w:rPr>
        <w:t>e</w:t>
      </w:r>
      <w:r w:rsidRPr="00373E2E">
        <w:rPr>
          <w:rFonts w:ascii="Lucida Sans" w:hAnsi="Lucida Sans"/>
          <w:color w:val="FF0000"/>
          <w:szCs w:val="20"/>
          <w:lang w:val="it-IT"/>
        </w:rPr>
        <w:t>lines</w:t>
      </w:r>
      <w:proofErr w:type="spellEnd"/>
    </w:p>
    <w:p w14:paraId="2B0E6155" w14:textId="77777777" w:rsidR="00CA74D8" w:rsidRPr="00373E2E" w:rsidRDefault="00CA74D8" w:rsidP="00CA74D8">
      <w:pPr>
        <w:autoSpaceDE w:val="0"/>
        <w:autoSpaceDN w:val="0"/>
        <w:adjustRightInd w:val="0"/>
        <w:jc w:val="both"/>
        <w:rPr>
          <w:rFonts w:ascii="Lucida Sans" w:hAnsi="Lucida Sans"/>
          <w:color w:val="FF0000"/>
          <w:szCs w:val="20"/>
          <w:lang w:val="it-IT"/>
        </w:rPr>
      </w:pPr>
      <w:proofErr w:type="spellStart"/>
      <w:r w:rsidRPr="00373E2E">
        <w:rPr>
          <w:rFonts w:ascii="Lucida Sans" w:hAnsi="Lucida Sans"/>
          <w:color w:val="FF0000"/>
          <w:szCs w:val="20"/>
          <w:lang w:val="it-IT"/>
        </w:rPr>
        <w:lastRenderedPageBreak/>
        <w:t>Example</w:t>
      </w:r>
      <w:proofErr w:type="spellEnd"/>
      <w:r w:rsidRPr="00373E2E">
        <w:rPr>
          <w:rFonts w:ascii="Lucida Sans" w:hAnsi="Lucida Sans"/>
          <w:color w:val="FF0000"/>
          <w:szCs w:val="20"/>
          <w:lang w:val="it-IT"/>
        </w:rPr>
        <w:t xml:space="preserve"> of a standard </w:t>
      </w:r>
      <w:commentRangeStart w:id="18"/>
      <w:proofErr w:type="spellStart"/>
      <w:r w:rsidRPr="00373E2E">
        <w:rPr>
          <w:rFonts w:ascii="Lucida Sans" w:hAnsi="Lucida Sans"/>
          <w:color w:val="FF0000"/>
          <w:szCs w:val="20"/>
          <w:lang w:val="it-IT"/>
        </w:rPr>
        <w:t>table</w:t>
      </w:r>
      <w:commentRangeEnd w:id="18"/>
      <w:proofErr w:type="spellEnd"/>
      <w:r w:rsidR="0095041F">
        <w:rPr>
          <w:rStyle w:val="Rimandocommento"/>
        </w:rPr>
        <w:commentReference w:id="18"/>
      </w:r>
      <w:r w:rsidRPr="00373E2E">
        <w:rPr>
          <w:rFonts w:ascii="Lucida Sans" w:hAnsi="Lucida Sans"/>
          <w:color w:val="FF0000"/>
          <w:szCs w:val="20"/>
          <w:lang w:val="it-IT"/>
        </w:rPr>
        <w:t xml:space="preserve"> </w:t>
      </w:r>
    </w:p>
    <w:p w14:paraId="61B8CF72" w14:textId="77777777" w:rsidR="00CA74D8" w:rsidRPr="00373E2E" w:rsidRDefault="00CA74D8" w:rsidP="00CA74D8">
      <w:pPr>
        <w:autoSpaceDE w:val="0"/>
        <w:autoSpaceDN w:val="0"/>
        <w:adjustRightInd w:val="0"/>
        <w:jc w:val="both"/>
        <w:rPr>
          <w:rFonts w:ascii="Lucida Sans" w:hAnsi="Lucida Sans"/>
          <w:color w:val="FF0000"/>
          <w:szCs w:val="20"/>
          <w:lang w:val="it-IT"/>
        </w:rPr>
      </w:pPr>
    </w:p>
    <w:p w14:paraId="09FB32E4" w14:textId="77777777" w:rsidR="00CA74D8" w:rsidRPr="00373E2E" w:rsidRDefault="00CA74D8" w:rsidP="00CA74D8">
      <w:pPr>
        <w:autoSpaceDE w:val="0"/>
        <w:autoSpaceDN w:val="0"/>
        <w:adjustRightInd w:val="0"/>
        <w:jc w:val="both"/>
        <w:rPr>
          <w:rFonts w:ascii="Lucida Sans" w:hAnsi="Lucida Sans"/>
          <w:color w:val="FF0000"/>
          <w:szCs w:val="20"/>
          <w:lang w:val="it-IT"/>
        </w:rPr>
      </w:pPr>
    </w:p>
    <w:tbl>
      <w:tblPr>
        <w:tblStyle w:val="TableNormal1"/>
        <w:tblW w:w="14287"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7"/>
        <w:gridCol w:w="4678"/>
        <w:gridCol w:w="2434"/>
        <w:gridCol w:w="2434"/>
        <w:gridCol w:w="2434"/>
      </w:tblGrid>
      <w:tr w:rsidR="00CA74D8" w:rsidRPr="00373E2E" w14:paraId="04F1D2E3" w14:textId="77777777" w:rsidTr="00BF05DD">
        <w:trPr>
          <w:trHeight w:hRule="exact" w:val="954"/>
        </w:trPr>
        <w:tc>
          <w:tcPr>
            <w:tcW w:w="6985" w:type="dxa"/>
            <w:gridSpan w:val="2"/>
          </w:tcPr>
          <w:p w14:paraId="04DC0C94" w14:textId="77777777" w:rsidR="00CA74D8" w:rsidRPr="00373E2E" w:rsidRDefault="00CA74D8" w:rsidP="00BF05DD">
            <w:pPr>
              <w:tabs>
                <w:tab w:val="left" w:pos="1680"/>
              </w:tabs>
              <w:spacing w:line="270" w:lineRule="exact"/>
              <w:ind w:left="4050" w:right="4050"/>
              <w:rPr>
                <w:rFonts w:ascii="Lucida Sans" w:eastAsia="Times New Roman" w:hAnsi="Lucida Sans" w:cs="Times New Roman"/>
                <w:sz w:val="20"/>
                <w:szCs w:val="20"/>
              </w:rPr>
            </w:pPr>
          </w:p>
          <w:p w14:paraId="08DB42A4" w14:textId="77777777" w:rsidR="00CA74D8" w:rsidRPr="00373E2E" w:rsidRDefault="00CA74D8" w:rsidP="00BF05DD">
            <w:pPr>
              <w:tabs>
                <w:tab w:val="left" w:pos="1680"/>
              </w:tabs>
              <w:spacing w:line="270" w:lineRule="exact"/>
              <w:ind w:left="44"/>
              <w:rPr>
                <w:rFonts w:ascii="Lucida Sans" w:eastAsia="Times New Roman" w:hAnsi="Lucida Sans" w:cs="Times New Roman"/>
                <w:sz w:val="20"/>
                <w:szCs w:val="20"/>
              </w:rPr>
            </w:pPr>
            <w:r w:rsidRPr="00373E2E">
              <w:rPr>
                <w:rFonts w:ascii="Lucida Sans" w:eastAsia="Times New Roman" w:hAnsi="Lucida Sans" w:cs="Times New Roman"/>
                <w:sz w:val="20"/>
                <w:szCs w:val="20"/>
              </w:rPr>
              <w:t xml:space="preserve">Asset Classes: </w:t>
            </w:r>
            <w:r w:rsidRPr="00373E2E">
              <w:rPr>
                <w:rFonts w:ascii="Lucida Sans" w:eastAsia="Times New Roman" w:hAnsi="Lucida Sans" w:cs="Times New Roman"/>
                <w:color w:val="FF0000"/>
                <w:sz w:val="20"/>
                <w:szCs w:val="20"/>
              </w:rPr>
              <w:t xml:space="preserve">Implicit transaction </w:t>
            </w:r>
            <w:commentRangeStart w:id="19"/>
            <w:r w:rsidRPr="00373E2E">
              <w:rPr>
                <w:rFonts w:ascii="Lucida Sans" w:eastAsia="Times New Roman" w:hAnsi="Lucida Sans" w:cs="Times New Roman"/>
                <w:color w:val="FF0000"/>
                <w:sz w:val="20"/>
                <w:szCs w:val="20"/>
              </w:rPr>
              <w:t>costs</w:t>
            </w:r>
            <w:commentRangeEnd w:id="19"/>
            <w:r w:rsidR="0095041F">
              <w:rPr>
                <w:rStyle w:val="Rimandocommento"/>
                <w:rFonts w:eastAsia="Times New Roman" w:cs="Times New Roman"/>
                <w:lang w:val="en-GB"/>
              </w:rPr>
              <w:commentReference w:id="19"/>
            </w:r>
          </w:p>
        </w:tc>
        <w:tc>
          <w:tcPr>
            <w:tcW w:w="2434" w:type="dxa"/>
          </w:tcPr>
          <w:p w14:paraId="5E983BE2" w14:textId="77777777" w:rsidR="00CA74D8" w:rsidRPr="00373E2E" w:rsidRDefault="00CA74D8" w:rsidP="00BF05DD">
            <w:pPr>
              <w:tabs>
                <w:tab w:val="left" w:pos="1680"/>
              </w:tabs>
              <w:spacing w:line="270" w:lineRule="exact"/>
              <w:ind w:right="3009"/>
              <w:rPr>
                <w:rFonts w:ascii="Lucida Sans" w:eastAsia="Times New Roman" w:hAnsi="Lucida Sans" w:cs="Times New Roman"/>
                <w:sz w:val="20"/>
                <w:szCs w:val="20"/>
              </w:rPr>
            </w:pPr>
          </w:p>
        </w:tc>
        <w:tc>
          <w:tcPr>
            <w:tcW w:w="2434" w:type="dxa"/>
          </w:tcPr>
          <w:p w14:paraId="113E30AF" w14:textId="77777777" w:rsidR="00CA74D8" w:rsidRPr="00373E2E" w:rsidRDefault="00CA74D8" w:rsidP="00BF05DD">
            <w:pPr>
              <w:tabs>
                <w:tab w:val="left" w:pos="1680"/>
              </w:tabs>
              <w:spacing w:line="270" w:lineRule="exact"/>
              <w:ind w:right="3009"/>
              <w:rPr>
                <w:rFonts w:ascii="Lucida Sans" w:eastAsia="Times New Roman" w:hAnsi="Lucida Sans" w:cs="Times New Roman"/>
                <w:sz w:val="20"/>
                <w:szCs w:val="20"/>
              </w:rPr>
            </w:pPr>
          </w:p>
        </w:tc>
        <w:tc>
          <w:tcPr>
            <w:tcW w:w="2434" w:type="dxa"/>
          </w:tcPr>
          <w:p w14:paraId="19DE6C6A" w14:textId="77777777" w:rsidR="00CA74D8" w:rsidRPr="00373E2E" w:rsidRDefault="00CA74D8" w:rsidP="00BF05DD">
            <w:pPr>
              <w:tabs>
                <w:tab w:val="left" w:pos="1680"/>
              </w:tabs>
              <w:spacing w:line="270" w:lineRule="exact"/>
              <w:ind w:right="3009"/>
              <w:rPr>
                <w:rFonts w:ascii="Lucida Sans" w:eastAsia="Times New Roman" w:hAnsi="Lucida Sans" w:cs="Times New Roman"/>
                <w:sz w:val="20"/>
                <w:szCs w:val="20"/>
              </w:rPr>
            </w:pPr>
          </w:p>
        </w:tc>
      </w:tr>
      <w:tr w:rsidR="00CA74D8" w:rsidRPr="00373E2E" w14:paraId="5264C401" w14:textId="77777777" w:rsidTr="00FF5DF4">
        <w:trPr>
          <w:trHeight w:hRule="exact" w:val="644"/>
        </w:trPr>
        <w:tc>
          <w:tcPr>
            <w:tcW w:w="2307" w:type="dxa"/>
            <w:vMerge w:val="restart"/>
          </w:tcPr>
          <w:p w14:paraId="4C3400AB"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Government bonds</w:t>
            </w:r>
          </w:p>
        </w:tc>
        <w:tc>
          <w:tcPr>
            <w:tcW w:w="4678" w:type="dxa"/>
          </w:tcPr>
          <w:p w14:paraId="020A6E6D" w14:textId="77777777" w:rsidR="00CA74D8" w:rsidRPr="00373E2E" w:rsidRDefault="00CA74D8" w:rsidP="00BF05DD">
            <w:pPr>
              <w:tabs>
                <w:tab w:val="left" w:pos="1680"/>
              </w:tabs>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Government bonds and similar instruments developed market rating AAA-A</w:t>
            </w:r>
          </w:p>
        </w:tc>
        <w:tc>
          <w:tcPr>
            <w:tcW w:w="2434" w:type="dxa"/>
            <w:vMerge w:val="restart"/>
            <w:shd w:val="clear" w:color="auto" w:fill="FFFFFF" w:themeFill="background1"/>
          </w:tcPr>
          <w:p w14:paraId="653AF7F4" w14:textId="77777777" w:rsidR="00CA74D8" w:rsidRPr="00373E2E" w:rsidRDefault="00CA74D8" w:rsidP="00BF05DD">
            <w:pPr>
              <w:tabs>
                <w:tab w:val="left" w:pos="1680"/>
              </w:tabs>
              <w:ind w:left="103" w:right="131"/>
              <w:rPr>
                <w:rFonts w:ascii="Lucida Sans" w:eastAsia="Times New Roman" w:hAnsi="Lucida Sans" w:cs="Times New Roman"/>
                <w:sz w:val="20"/>
                <w:szCs w:val="20"/>
              </w:rPr>
            </w:pPr>
            <w:r w:rsidRPr="00373E2E">
              <w:rPr>
                <w:rFonts w:ascii="Lucida Sans" w:eastAsia="Times New Roman" w:hAnsi="Lucida Sans" w:cs="Times New Roman"/>
                <w:color w:val="FF0000"/>
                <w:sz w:val="20"/>
                <w:szCs w:val="20"/>
              </w:rPr>
              <w:t xml:space="preserve">Maturity Buckets 1-3 </w:t>
            </w:r>
            <w:proofErr w:type="spellStart"/>
            <w:r w:rsidRPr="00373E2E">
              <w:rPr>
                <w:rFonts w:ascii="Lucida Sans" w:eastAsia="Times New Roman" w:hAnsi="Lucida Sans" w:cs="Times New Roman"/>
                <w:color w:val="FF0000"/>
                <w:sz w:val="20"/>
                <w:szCs w:val="20"/>
              </w:rPr>
              <w:t>yrs</w:t>
            </w:r>
            <w:proofErr w:type="spellEnd"/>
            <w:r w:rsidRPr="00373E2E">
              <w:rPr>
                <w:rFonts w:ascii="Lucida Sans" w:eastAsia="Times New Roman" w:hAnsi="Lucida Sans" w:cs="Times New Roman"/>
                <w:color w:val="FF0000"/>
                <w:sz w:val="20"/>
                <w:szCs w:val="20"/>
              </w:rPr>
              <w:t xml:space="preserve">, 3-5 </w:t>
            </w:r>
            <w:proofErr w:type="spellStart"/>
            <w:r w:rsidRPr="00373E2E">
              <w:rPr>
                <w:rFonts w:ascii="Lucida Sans" w:eastAsia="Times New Roman" w:hAnsi="Lucida Sans" w:cs="Times New Roman"/>
                <w:color w:val="FF0000"/>
                <w:sz w:val="20"/>
                <w:szCs w:val="20"/>
              </w:rPr>
              <w:t>yrs</w:t>
            </w:r>
            <w:proofErr w:type="spellEnd"/>
            <w:r w:rsidRPr="00373E2E">
              <w:rPr>
                <w:rFonts w:ascii="Lucida Sans" w:eastAsia="Times New Roman" w:hAnsi="Lucida Sans" w:cs="Times New Roman"/>
                <w:color w:val="FF0000"/>
                <w:sz w:val="20"/>
                <w:szCs w:val="20"/>
              </w:rPr>
              <w:t xml:space="preserve">, 5-7 </w:t>
            </w:r>
            <w:proofErr w:type="spellStart"/>
            <w:r w:rsidRPr="00373E2E">
              <w:rPr>
                <w:rFonts w:ascii="Lucida Sans" w:eastAsia="Times New Roman" w:hAnsi="Lucida Sans" w:cs="Times New Roman"/>
                <w:color w:val="FF0000"/>
                <w:sz w:val="20"/>
                <w:szCs w:val="20"/>
              </w:rPr>
              <w:t>yrs</w:t>
            </w:r>
            <w:proofErr w:type="spellEnd"/>
            <w:r w:rsidRPr="00373E2E">
              <w:rPr>
                <w:rFonts w:ascii="Lucida Sans" w:eastAsia="Times New Roman" w:hAnsi="Lucida Sans" w:cs="Times New Roman"/>
                <w:color w:val="FF0000"/>
                <w:sz w:val="20"/>
                <w:szCs w:val="20"/>
              </w:rPr>
              <w:t xml:space="preserve">, 7-10 </w:t>
            </w:r>
            <w:proofErr w:type="spellStart"/>
            <w:r w:rsidRPr="00373E2E">
              <w:rPr>
                <w:rFonts w:ascii="Lucida Sans" w:eastAsia="Times New Roman" w:hAnsi="Lucida Sans" w:cs="Times New Roman"/>
                <w:color w:val="FF0000"/>
                <w:sz w:val="20"/>
                <w:szCs w:val="20"/>
              </w:rPr>
              <w:t>yrs</w:t>
            </w:r>
            <w:proofErr w:type="spellEnd"/>
            <w:r w:rsidRPr="00373E2E">
              <w:rPr>
                <w:rFonts w:ascii="Lucida Sans" w:eastAsia="Times New Roman" w:hAnsi="Lucida Sans" w:cs="Times New Roman"/>
                <w:color w:val="FF0000"/>
                <w:sz w:val="20"/>
                <w:szCs w:val="20"/>
              </w:rPr>
              <w:t>, 10+yrs</w:t>
            </w:r>
          </w:p>
        </w:tc>
        <w:tc>
          <w:tcPr>
            <w:tcW w:w="2434" w:type="dxa"/>
            <w:shd w:val="clear" w:color="auto" w:fill="FBD4B4" w:themeFill="accent6" w:themeFillTint="66"/>
          </w:tcPr>
          <w:p w14:paraId="224739DD" w14:textId="77777777" w:rsidR="00CA74D8" w:rsidRPr="00373E2E" w:rsidRDefault="00CA74D8" w:rsidP="00BF05DD">
            <w:pPr>
              <w:tabs>
                <w:tab w:val="left" w:pos="1680"/>
              </w:tabs>
              <w:ind w:left="103" w:right="162"/>
              <w:rPr>
                <w:rFonts w:ascii="Lucida Sans" w:eastAsia="Times New Roman" w:hAnsi="Lucida Sans" w:cs="Times New Roman"/>
                <w:sz w:val="20"/>
                <w:szCs w:val="20"/>
              </w:rPr>
            </w:pPr>
            <w:r w:rsidRPr="00373E2E">
              <w:rPr>
                <w:rFonts w:ascii="Lucida Sans" w:eastAsia="Times New Roman" w:hAnsi="Lucida Sans" w:cs="Times New Roman"/>
                <w:sz w:val="20"/>
                <w:szCs w:val="20"/>
              </w:rPr>
              <w:t>US, Euro, UK, Japan, Pacific ex Japan*</w:t>
            </w:r>
          </w:p>
        </w:tc>
        <w:tc>
          <w:tcPr>
            <w:tcW w:w="2434" w:type="dxa"/>
          </w:tcPr>
          <w:p w14:paraId="2183A52F" w14:textId="77777777" w:rsidR="00CA74D8" w:rsidRPr="00373E2E" w:rsidRDefault="00CA74D8" w:rsidP="00BF05DD">
            <w:pPr>
              <w:tabs>
                <w:tab w:val="left" w:pos="1680"/>
              </w:tabs>
              <w:ind w:left="103" w:right="162"/>
              <w:rPr>
                <w:rFonts w:ascii="Lucida Sans" w:eastAsia="Times New Roman" w:hAnsi="Lucida Sans" w:cs="Times New Roman"/>
                <w:sz w:val="20"/>
                <w:szCs w:val="20"/>
              </w:rPr>
            </w:pPr>
          </w:p>
        </w:tc>
      </w:tr>
      <w:tr w:rsidR="00CA74D8" w:rsidRPr="00373E2E" w14:paraId="5E4B0754" w14:textId="77777777" w:rsidTr="00FF5DF4">
        <w:trPr>
          <w:trHeight w:hRule="exact" w:val="650"/>
        </w:trPr>
        <w:tc>
          <w:tcPr>
            <w:tcW w:w="2307" w:type="dxa"/>
            <w:vMerge/>
          </w:tcPr>
          <w:p w14:paraId="7EC04296" w14:textId="77777777" w:rsidR="00CA74D8" w:rsidRPr="00373E2E" w:rsidRDefault="00CA74D8" w:rsidP="00BF05DD">
            <w:pPr>
              <w:tabs>
                <w:tab w:val="left" w:pos="1680"/>
              </w:tabs>
              <w:rPr>
                <w:rFonts w:ascii="Lucida Sans" w:eastAsia="Times New Roman" w:hAnsi="Lucida Sans" w:cs="Times New Roman"/>
                <w:sz w:val="20"/>
                <w:szCs w:val="20"/>
              </w:rPr>
            </w:pPr>
          </w:p>
        </w:tc>
        <w:tc>
          <w:tcPr>
            <w:tcW w:w="4678" w:type="dxa"/>
          </w:tcPr>
          <w:p w14:paraId="30C767BC" w14:textId="77777777" w:rsidR="00CA74D8" w:rsidRPr="00373E2E" w:rsidRDefault="00CA74D8" w:rsidP="00BF05DD">
            <w:pPr>
              <w:tabs>
                <w:tab w:val="left" w:pos="1680"/>
              </w:tabs>
              <w:spacing w:line="278" w:lineRule="auto"/>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Government bonds and similar instruments developed market different rating below A</w:t>
            </w:r>
          </w:p>
        </w:tc>
        <w:tc>
          <w:tcPr>
            <w:tcW w:w="2434" w:type="dxa"/>
            <w:vMerge/>
          </w:tcPr>
          <w:p w14:paraId="6CE358DB" w14:textId="77777777" w:rsidR="00CA74D8" w:rsidRPr="00373E2E" w:rsidRDefault="00CA74D8" w:rsidP="00BF05DD">
            <w:pPr>
              <w:tabs>
                <w:tab w:val="left" w:pos="1680"/>
              </w:tabs>
              <w:spacing w:line="278" w:lineRule="auto"/>
              <w:ind w:left="103"/>
              <w:rPr>
                <w:rFonts w:ascii="Lucida Sans" w:eastAsia="Times New Roman" w:hAnsi="Lucida Sans" w:cs="Times New Roman"/>
                <w:sz w:val="20"/>
                <w:szCs w:val="20"/>
              </w:rPr>
            </w:pPr>
          </w:p>
        </w:tc>
        <w:tc>
          <w:tcPr>
            <w:tcW w:w="2434" w:type="dxa"/>
            <w:shd w:val="clear" w:color="auto" w:fill="FBD4B4" w:themeFill="accent6" w:themeFillTint="66"/>
          </w:tcPr>
          <w:p w14:paraId="68D4C749" w14:textId="77777777" w:rsidR="00CA74D8" w:rsidRPr="00373E2E" w:rsidRDefault="00CA74D8" w:rsidP="00BF05DD">
            <w:pPr>
              <w:tabs>
                <w:tab w:val="left" w:pos="1680"/>
              </w:tabs>
              <w:spacing w:line="278" w:lineRule="auto"/>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 xml:space="preserve">Italy, ex </w:t>
            </w:r>
            <w:commentRangeStart w:id="20"/>
            <w:r w:rsidRPr="00373E2E">
              <w:rPr>
                <w:rFonts w:ascii="Lucida Sans" w:eastAsia="Times New Roman" w:hAnsi="Lucida Sans" w:cs="Times New Roman"/>
                <w:sz w:val="20"/>
                <w:szCs w:val="20"/>
              </w:rPr>
              <w:t>Italy</w:t>
            </w:r>
            <w:commentRangeEnd w:id="20"/>
            <w:r w:rsidR="0095041F">
              <w:rPr>
                <w:rStyle w:val="Rimandocommento"/>
                <w:rFonts w:eastAsia="Times New Roman" w:cs="Times New Roman"/>
                <w:lang w:val="en-GB"/>
              </w:rPr>
              <w:commentReference w:id="20"/>
            </w:r>
            <w:r w:rsidRPr="00373E2E">
              <w:rPr>
                <w:rFonts w:ascii="Lucida Sans" w:eastAsia="Times New Roman" w:hAnsi="Lucida Sans" w:cs="Times New Roman"/>
                <w:sz w:val="20"/>
                <w:szCs w:val="20"/>
              </w:rPr>
              <w:t>*</w:t>
            </w:r>
          </w:p>
        </w:tc>
        <w:tc>
          <w:tcPr>
            <w:tcW w:w="2434" w:type="dxa"/>
          </w:tcPr>
          <w:p w14:paraId="45EE33EE" w14:textId="77777777" w:rsidR="00CA74D8" w:rsidRPr="00373E2E" w:rsidRDefault="00CA74D8" w:rsidP="00BF05DD">
            <w:pPr>
              <w:tabs>
                <w:tab w:val="left" w:pos="1680"/>
              </w:tabs>
              <w:spacing w:line="278" w:lineRule="auto"/>
              <w:ind w:left="103"/>
              <w:rPr>
                <w:rFonts w:ascii="Lucida Sans" w:eastAsia="Times New Roman" w:hAnsi="Lucida Sans" w:cs="Times New Roman"/>
                <w:sz w:val="20"/>
                <w:szCs w:val="20"/>
              </w:rPr>
            </w:pPr>
          </w:p>
        </w:tc>
      </w:tr>
      <w:tr w:rsidR="00CA74D8" w:rsidRPr="00373E2E" w14:paraId="1A0AEA95" w14:textId="77777777" w:rsidTr="00FF5DF4">
        <w:trPr>
          <w:trHeight w:hRule="exact" w:val="990"/>
        </w:trPr>
        <w:tc>
          <w:tcPr>
            <w:tcW w:w="2307" w:type="dxa"/>
          </w:tcPr>
          <w:p w14:paraId="7F65017F" w14:textId="77777777" w:rsidR="00CA74D8" w:rsidRPr="00373E2E" w:rsidRDefault="00CA74D8" w:rsidP="00BF05DD">
            <w:pPr>
              <w:tabs>
                <w:tab w:val="left" w:pos="1680"/>
              </w:tabs>
              <w:ind w:left="103" w:right="222"/>
              <w:rPr>
                <w:rFonts w:ascii="Lucida Sans" w:eastAsia="Times New Roman" w:hAnsi="Lucida Sans" w:cs="Times New Roman"/>
                <w:sz w:val="20"/>
                <w:szCs w:val="20"/>
              </w:rPr>
            </w:pPr>
            <w:r w:rsidRPr="00373E2E">
              <w:rPr>
                <w:rFonts w:ascii="Lucida Sans" w:eastAsia="Times New Roman" w:hAnsi="Lucida Sans" w:cs="Times New Roman"/>
                <w:sz w:val="20"/>
                <w:szCs w:val="20"/>
              </w:rPr>
              <w:t xml:space="preserve">Government bonds emerging markets (hard </w:t>
            </w:r>
            <w:r w:rsidRPr="00373E2E">
              <w:rPr>
                <w:rFonts w:ascii="Lucida Sans" w:eastAsia="Times New Roman" w:hAnsi="Lucida Sans" w:cs="Times New Roman"/>
                <w:strike/>
                <w:color w:val="FF0000"/>
                <w:sz w:val="20"/>
                <w:szCs w:val="20"/>
              </w:rPr>
              <w:t>and soft</w:t>
            </w:r>
            <w:r w:rsidRPr="00373E2E">
              <w:rPr>
                <w:rFonts w:ascii="Lucida Sans" w:eastAsia="Times New Roman" w:hAnsi="Lucida Sans" w:cs="Times New Roman"/>
                <w:color w:val="FF0000"/>
                <w:sz w:val="20"/>
                <w:szCs w:val="20"/>
              </w:rPr>
              <w:t xml:space="preserve"> </w:t>
            </w:r>
            <w:r w:rsidRPr="00373E2E">
              <w:rPr>
                <w:rFonts w:ascii="Lucida Sans" w:eastAsia="Times New Roman" w:hAnsi="Lucida Sans" w:cs="Times New Roman"/>
                <w:sz w:val="20"/>
                <w:szCs w:val="20"/>
              </w:rPr>
              <w:t>currency)</w:t>
            </w:r>
          </w:p>
        </w:tc>
        <w:tc>
          <w:tcPr>
            <w:tcW w:w="4678" w:type="dxa"/>
          </w:tcPr>
          <w:p w14:paraId="60F75920" w14:textId="77777777" w:rsidR="00CA74D8" w:rsidRPr="00373E2E" w:rsidRDefault="00CA74D8" w:rsidP="00BF05DD">
            <w:pPr>
              <w:tabs>
                <w:tab w:val="left" w:pos="1680"/>
              </w:tabs>
              <w:spacing w:line="271"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 xml:space="preserve">Government bonds emerging markets (hard </w:t>
            </w:r>
            <w:r w:rsidRPr="00373E2E">
              <w:rPr>
                <w:rFonts w:ascii="Lucida Sans" w:eastAsia="Times New Roman" w:hAnsi="Lucida Sans" w:cs="Times New Roman"/>
                <w:strike/>
                <w:color w:val="FF0000"/>
                <w:sz w:val="20"/>
                <w:szCs w:val="20"/>
              </w:rPr>
              <w:t>and soft</w:t>
            </w:r>
            <w:r w:rsidRPr="00373E2E">
              <w:rPr>
                <w:rFonts w:ascii="Lucida Sans" w:eastAsia="Times New Roman" w:hAnsi="Lucida Sans" w:cs="Times New Roman"/>
                <w:color w:val="FF0000"/>
                <w:sz w:val="20"/>
                <w:szCs w:val="20"/>
              </w:rPr>
              <w:t xml:space="preserve"> </w:t>
            </w:r>
            <w:r w:rsidRPr="00373E2E">
              <w:rPr>
                <w:rFonts w:ascii="Lucida Sans" w:eastAsia="Times New Roman" w:hAnsi="Lucida Sans" w:cs="Times New Roman"/>
                <w:sz w:val="20"/>
                <w:szCs w:val="20"/>
              </w:rPr>
              <w:t>currency)</w:t>
            </w:r>
          </w:p>
        </w:tc>
        <w:tc>
          <w:tcPr>
            <w:tcW w:w="2434" w:type="dxa"/>
            <w:shd w:val="clear" w:color="auto" w:fill="FBD4B4" w:themeFill="accent6" w:themeFillTint="66"/>
          </w:tcPr>
          <w:p w14:paraId="0C23015C" w14:textId="77777777" w:rsidR="00CA74D8" w:rsidRPr="00373E2E" w:rsidRDefault="00CA74D8" w:rsidP="00BF05DD">
            <w:pPr>
              <w:tabs>
                <w:tab w:val="left" w:pos="1680"/>
              </w:tabs>
              <w:spacing w:line="271"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 xml:space="preserve">Maturity Buckets 1-3 </w:t>
            </w:r>
            <w:proofErr w:type="spellStart"/>
            <w:r w:rsidRPr="00373E2E">
              <w:rPr>
                <w:rFonts w:ascii="Lucida Sans" w:eastAsia="Times New Roman" w:hAnsi="Lucida Sans" w:cs="Times New Roman"/>
                <w:sz w:val="20"/>
                <w:szCs w:val="20"/>
              </w:rPr>
              <w:t>yrs</w:t>
            </w:r>
            <w:proofErr w:type="spellEnd"/>
            <w:r w:rsidRPr="00373E2E">
              <w:rPr>
                <w:rFonts w:ascii="Lucida Sans" w:eastAsia="Times New Roman" w:hAnsi="Lucida Sans" w:cs="Times New Roman"/>
                <w:sz w:val="20"/>
                <w:szCs w:val="20"/>
              </w:rPr>
              <w:t xml:space="preserve">, 3-5 </w:t>
            </w:r>
            <w:proofErr w:type="spellStart"/>
            <w:r w:rsidRPr="00373E2E">
              <w:rPr>
                <w:rFonts w:ascii="Lucida Sans" w:eastAsia="Times New Roman" w:hAnsi="Lucida Sans" w:cs="Times New Roman"/>
                <w:sz w:val="20"/>
                <w:szCs w:val="20"/>
              </w:rPr>
              <w:t>yrs</w:t>
            </w:r>
            <w:proofErr w:type="spellEnd"/>
            <w:r w:rsidRPr="00373E2E">
              <w:rPr>
                <w:rFonts w:ascii="Lucida Sans" w:eastAsia="Times New Roman" w:hAnsi="Lucida Sans" w:cs="Times New Roman"/>
                <w:sz w:val="20"/>
                <w:szCs w:val="20"/>
              </w:rPr>
              <w:t xml:space="preserve">, 5-7 </w:t>
            </w:r>
            <w:proofErr w:type="spellStart"/>
            <w:r w:rsidRPr="00373E2E">
              <w:rPr>
                <w:rFonts w:ascii="Lucida Sans" w:eastAsia="Times New Roman" w:hAnsi="Lucida Sans" w:cs="Times New Roman"/>
                <w:sz w:val="20"/>
                <w:szCs w:val="20"/>
              </w:rPr>
              <w:t>yrs</w:t>
            </w:r>
            <w:proofErr w:type="spellEnd"/>
            <w:r w:rsidRPr="00373E2E">
              <w:rPr>
                <w:rFonts w:ascii="Lucida Sans" w:eastAsia="Times New Roman" w:hAnsi="Lucida Sans" w:cs="Times New Roman"/>
                <w:sz w:val="20"/>
                <w:szCs w:val="20"/>
              </w:rPr>
              <w:t xml:space="preserve">, 7-10 </w:t>
            </w:r>
            <w:proofErr w:type="spellStart"/>
            <w:r w:rsidRPr="00373E2E">
              <w:rPr>
                <w:rFonts w:ascii="Lucida Sans" w:eastAsia="Times New Roman" w:hAnsi="Lucida Sans" w:cs="Times New Roman"/>
                <w:sz w:val="20"/>
                <w:szCs w:val="20"/>
              </w:rPr>
              <w:t>yrs</w:t>
            </w:r>
            <w:proofErr w:type="spellEnd"/>
            <w:r w:rsidRPr="00373E2E">
              <w:rPr>
                <w:rFonts w:ascii="Lucida Sans" w:eastAsia="Times New Roman" w:hAnsi="Lucida Sans" w:cs="Times New Roman"/>
                <w:sz w:val="20"/>
                <w:szCs w:val="20"/>
              </w:rPr>
              <w:t>, 10+yrs*</w:t>
            </w:r>
          </w:p>
        </w:tc>
        <w:tc>
          <w:tcPr>
            <w:tcW w:w="2434" w:type="dxa"/>
            <w:shd w:val="clear" w:color="auto" w:fill="FBD4B4" w:themeFill="accent6" w:themeFillTint="66"/>
          </w:tcPr>
          <w:p w14:paraId="35F7ED01" w14:textId="77777777" w:rsidR="00CA74D8" w:rsidRPr="00373E2E" w:rsidRDefault="00CA74D8" w:rsidP="00BF05DD">
            <w:pPr>
              <w:tabs>
                <w:tab w:val="left" w:pos="1680"/>
              </w:tabs>
              <w:spacing w:line="271" w:lineRule="exact"/>
              <w:ind w:left="103"/>
              <w:rPr>
                <w:rFonts w:ascii="Lucida Sans" w:eastAsia="Times New Roman" w:hAnsi="Lucida Sans" w:cs="Times New Roman"/>
                <w:sz w:val="20"/>
                <w:szCs w:val="20"/>
              </w:rPr>
            </w:pPr>
          </w:p>
        </w:tc>
        <w:tc>
          <w:tcPr>
            <w:tcW w:w="2434" w:type="dxa"/>
          </w:tcPr>
          <w:p w14:paraId="034C1D41" w14:textId="77777777" w:rsidR="00CA74D8" w:rsidRPr="00373E2E" w:rsidRDefault="00CA74D8" w:rsidP="00BF05DD">
            <w:pPr>
              <w:tabs>
                <w:tab w:val="left" w:pos="1680"/>
              </w:tabs>
              <w:spacing w:line="271" w:lineRule="exact"/>
              <w:ind w:left="103"/>
              <w:rPr>
                <w:rFonts w:ascii="Lucida Sans" w:eastAsia="Times New Roman" w:hAnsi="Lucida Sans" w:cs="Times New Roman"/>
                <w:sz w:val="20"/>
                <w:szCs w:val="20"/>
              </w:rPr>
            </w:pPr>
          </w:p>
        </w:tc>
      </w:tr>
      <w:tr w:rsidR="00CA74D8" w:rsidRPr="00373E2E" w14:paraId="5128EAAC" w14:textId="77777777" w:rsidTr="00FF5DF4">
        <w:trPr>
          <w:trHeight w:hRule="exact" w:val="990"/>
        </w:trPr>
        <w:tc>
          <w:tcPr>
            <w:tcW w:w="2307" w:type="dxa"/>
          </w:tcPr>
          <w:p w14:paraId="2FD610CD" w14:textId="77777777" w:rsidR="00CA74D8" w:rsidRPr="00373E2E" w:rsidRDefault="00CA74D8" w:rsidP="00BF05DD">
            <w:pPr>
              <w:tabs>
                <w:tab w:val="left" w:pos="1680"/>
              </w:tabs>
              <w:ind w:left="103" w:right="222"/>
              <w:rPr>
                <w:rFonts w:ascii="Lucida Sans" w:eastAsia="Times New Roman" w:hAnsi="Lucida Sans" w:cs="Times New Roman"/>
                <w:color w:val="FF0000"/>
                <w:sz w:val="20"/>
                <w:szCs w:val="20"/>
              </w:rPr>
            </w:pPr>
            <w:r w:rsidRPr="00373E2E">
              <w:rPr>
                <w:rFonts w:ascii="Lucida Sans" w:eastAsia="Times New Roman" w:hAnsi="Lucida Sans" w:cs="Times New Roman"/>
                <w:color w:val="FF0000"/>
                <w:sz w:val="20"/>
                <w:szCs w:val="20"/>
              </w:rPr>
              <w:t>Government bonds emerging markets (soft currency)</w:t>
            </w:r>
          </w:p>
        </w:tc>
        <w:tc>
          <w:tcPr>
            <w:tcW w:w="4678" w:type="dxa"/>
          </w:tcPr>
          <w:p w14:paraId="424F5B91" w14:textId="77777777" w:rsidR="00CA74D8" w:rsidRPr="00373E2E" w:rsidRDefault="00CA74D8" w:rsidP="00BF05DD">
            <w:pPr>
              <w:tabs>
                <w:tab w:val="left" w:pos="1680"/>
              </w:tabs>
              <w:spacing w:line="271" w:lineRule="exact"/>
              <w:ind w:left="103"/>
              <w:rPr>
                <w:rFonts w:ascii="Lucida Sans" w:eastAsia="Times New Roman" w:hAnsi="Lucida Sans" w:cs="Times New Roman"/>
                <w:color w:val="FF0000"/>
                <w:sz w:val="20"/>
                <w:szCs w:val="20"/>
              </w:rPr>
            </w:pPr>
            <w:r w:rsidRPr="00373E2E">
              <w:rPr>
                <w:rFonts w:ascii="Lucida Sans" w:eastAsia="Times New Roman" w:hAnsi="Lucida Sans" w:cs="Times New Roman"/>
                <w:color w:val="FF0000"/>
                <w:sz w:val="20"/>
                <w:szCs w:val="20"/>
              </w:rPr>
              <w:t>Government bonds emerging markets (soft currency)</w:t>
            </w:r>
          </w:p>
        </w:tc>
        <w:tc>
          <w:tcPr>
            <w:tcW w:w="2434" w:type="dxa"/>
            <w:shd w:val="clear" w:color="auto" w:fill="FBD4B4" w:themeFill="accent6" w:themeFillTint="66"/>
          </w:tcPr>
          <w:p w14:paraId="7978B45F" w14:textId="77777777" w:rsidR="00CA74D8" w:rsidRPr="00373E2E" w:rsidRDefault="00CA74D8" w:rsidP="00BF05DD">
            <w:pPr>
              <w:tabs>
                <w:tab w:val="left" w:pos="1680"/>
              </w:tabs>
              <w:spacing w:line="271"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 xml:space="preserve">Maturity Buckets 1-3 </w:t>
            </w:r>
            <w:proofErr w:type="spellStart"/>
            <w:r w:rsidRPr="00373E2E">
              <w:rPr>
                <w:rFonts w:ascii="Lucida Sans" w:eastAsia="Times New Roman" w:hAnsi="Lucida Sans" w:cs="Times New Roman"/>
                <w:sz w:val="20"/>
                <w:szCs w:val="20"/>
              </w:rPr>
              <w:t>yrs</w:t>
            </w:r>
            <w:proofErr w:type="spellEnd"/>
            <w:r w:rsidRPr="00373E2E">
              <w:rPr>
                <w:rFonts w:ascii="Lucida Sans" w:eastAsia="Times New Roman" w:hAnsi="Lucida Sans" w:cs="Times New Roman"/>
                <w:sz w:val="20"/>
                <w:szCs w:val="20"/>
              </w:rPr>
              <w:t xml:space="preserve">, 3-5 </w:t>
            </w:r>
            <w:proofErr w:type="spellStart"/>
            <w:r w:rsidRPr="00373E2E">
              <w:rPr>
                <w:rFonts w:ascii="Lucida Sans" w:eastAsia="Times New Roman" w:hAnsi="Lucida Sans" w:cs="Times New Roman"/>
                <w:sz w:val="20"/>
                <w:szCs w:val="20"/>
              </w:rPr>
              <w:t>yrs</w:t>
            </w:r>
            <w:proofErr w:type="spellEnd"/>
            <w:r w:rsidRPr="00373E2E">
              <w:rPr>
                <w:rFonts w:ascii="Lucida Sans" w:eastAsia="Times New Roman" w:hAnsi="Lucida Sans" w:cs="Times New Roman"/>
                <w:sz w:val="20"/>
                <w:szCs w:val="20"/>
              </w:rPr>
              <w:t xml:space="preserve">, 5-7 </w:t>
            </w:r>
            <w:proofErr w:type="spellStart"/>
            <w:r w:rsidRPr="00373E2E">
              <w:rPr>
                <w:rFonts w:ascii="Lucida Sans" w:eastAsia="Times New Roman" w:hAnsi="Lucida Sans" w:cs="Times New Roman"/>
                <w:sz w:val="20"/>
                <w:szCs w:val="20"/>
              </w:rPr>
              <w:t>yrs</w:t>
            </w:r>
            <w:proofErr w:type="spellEnd"/>
            <w:r w:rsidRPr="00373E2E">
              <w:rPr>
                <w:rFonts w:ascii="Lucida Sans" w:eastAsia="Times New Roman" w:hAnsi="Lucida Sans" w:cs="Times New Roman"/>
                <w:sz w:val="20"/>
                <w:szCs w:val="20"/>
              </w:rPr>
              <w:t xml:space="preserve">, 7-10 </w:t>
            </w:r>
            <w:proofErr w:type="spellStart"/>
            <w:r w:rsidRPr="00373E2E">
              <w:rPr>
                <w:rFonts w:ascii="Lucida Sans" w:eastAsia="Times New Roman" w:hAnsi="Lucida Sans" w:cs="Times New Roman"/>
                <w:sz w:val="20"/>
                <w:szCs w:val="20"/>
              </w:rPr>
              <w:t>yrs</w:t>
            </w:r>
            <w:proofErr w:type="spellEnd"/>
            <w:r w:rsidRPr="00373E2E">
              <w:rPr>
                <w:rFonts w:ascii="Lucida Sans" w:eastAsia="Times New Roman" w:hAnsi="Lucida Sans" w:cs="Times New Roman"/>
                <w:sz w:val="20"/>
                <w:szCs w:val="20"/>
              </w:rPr>
              <w:t>, 10+yrs*</w:t>
            </w:r>
          </w:p>
        </w:tc>
        <w:tc>
          <w:tcPr>
            <w:tcW w:w="2434" w:type="dxa"/>
            <w:shd w:val="clear" w:color="auto" w:fill="FBD4B4" w:themeFill="accent6" w:themeFillTint="66"/>
          </w:tcPr>
          <w:p w14:paraId="26AC9387" w14:textId="77777777" w:rsidR="00CA74D8" w:rsidRPr="00373E2E" w:rsidRDefault="00CA74D8" w:rsidP="00BF05DD">
            <w:pPr>
              <w:tabs>
                <w:tab w:val="left" w:pos="1680"/>
              </w:tabs>
              <w:spacing w:line="271" w:lineRule="exact"/>
              <w:ind w:left="103"/>
              <w:rPr>
                <w:rFonts w:ascii="Lucida Sans" w:eastAsia="Times New Roman" w:hAnsi="Lucida Sans" w:cs="Times New Roman"/>
                <w:sz w:val="20"/>
                <w:szCs w:val="20"/>
              </w:rPr>
            </w:pPr>
          </w:p>
        </w:tc>
        <w:tc>
          <w:tcPr>
            <w:tcW w:w="2434" w:type="dxa"/>
          </w:tcPr>
          <w:p w14:paraId="45A474FD" w14:textId="77777777" w:rsidR="00CA74D8" w:rsidRPr="00373E2E" w:rsidRDefault="00CA74D8" w:rsidP="00BF05DD">
            <w:pPr>
              <w:tabs>
                <w:tab w:val="left" w:pos="1680"/>
              </w:tabs>
              <w:spacing w:line="271" w:lineRule="exact"/>
              <w:ind w:left="103"/>
              <w:rPr>
                <w:rFonts w:ascii="Lucida Sans" w:eastAsia="Times New Roman" w:hAnsi="Lucida Sans" w:cs="Times New Roman"/>
                <w:sz w:val="20"/>
                <w:szCs w:val="20"/>
              </w:rPr>
            </w:pPr>
          </w:p>
        </w:tc>
      </w:tr>
      <w:tr w:rsidR="00CA74D8" w:rsidRPr="00373E2E" w14:paraId="7C06F004" w14:textId="77777777" w:rsidTr="00FF5DF4">
        <w:trPr>
          <w:trHeight w:hRule="exact" w:val="876"/>
        </w:trPr>
        <w:tc>
          <w:tcPr>
            <w:tcW w:w="2307" w:type="dxa"/>
          </w:tcPr>
          <w:p w14:paraId="29BF9D61" w14:textId="77777777" w:rsidR="00CA74D8" w:rsidRPr="00373E2E" w:rsidRDefault="00CA74D8" w:rsidP="00BF05DD">
            <w:pPr>
              <w:tabs>
                <w:tab w:val="left" w:pos="1680"/>
              </w:tabs>
              <w:ind w:left="103" w:right="396"/>
              <w:rPr>
                <w:rFonts w:ascii="Lucida Sans" w:eastAsia="Times New Roman" w:hAnsi="Lucida Sans" w:cs="Times New Roman"/>
                <w:sz w:val="20"/>
                <w:szCs w:val="20"/>
              </w:rPr>
            </w:pPr>
            <w:r w:rsidRPr="00373E2E">
              <w:rPr>
                <w:rFonts w:ascii="Lucida Sans" w:eastAsia="Times New Roman" w:hAnsi="Lucida Sans" w:cs="Times New Roman"/>
                <w:sz w:val="20"/>
                <w:szCs w:val="20"/>
              </w:rPr>
              <w:t>Investment grade corporate bonds</w:t>
            </w:r>
          </w:p>
        </w:tc>
        <w:tc>
          <w:tcPr>
            <w:tcW w:w="4678" w:type="dxa"/>
          </w:tcPr>
          <w:p w14:paraId="3705645C" w14:textId="77777777" w:rsidR="00CA74D8" w:rsidRPr="00373E2E" w:rsidRDefault="00CA74D8" w:rsidP="00BF05DD">
            <w:pPr>
              <w:tabs>
                <w:tab w:val="left" w:pos="1680"/>
              </w:tabs>
              <w:spacing w:line="273"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Investment grade corporate bonds</w:t>
            </w:r>
          </w:p>
        </w:tc>
        <w:tc>
          <w:tcPr>
            <w:tcW w:w="2434" w:type="dxa"/>
            <w:shd w:val="clear" w:color="auto" w:fill="FBD4B4" w:themeFill="accent6" w:themeFillTint="66"/>
          </w:tcPr>
          <w:p w14:paraId="64E7FA42" w14:textId="77777777" w:rsidR="00CA74D8" w:rsidRPr="00373E2E" w:rsidRDefault="00CA74D8" w:rsidP="00BF05DD">
            <w:pPr>
              <w:tabs>
                <w:tab w:val="left" w:pos="1680"/>
              </w:tabs>
              <w:spacing w:line="273"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 xml:space="preserve">Maturity Buckets 1-3 </w:t>
            </w:r>
            <w:proofErr w:type="spellStart"/>
            <w:r w:rsidRPr="00373E2E">
              <w:rPr>
                <w:rFonts w:ascii="Lucida Sans" w:eastAsia="Times New Roman" w:hAnsi="Lucida Sans" w:cs="Times New Roman"/>
                <w:sz w:val="20"/>
                <w:szCs w:val="20"/>
              </w:rPr>
              <w:t>yrs</w:t>
            </w:r>
            <w:proofErr w:type="spellEnd"/>
            <w:r w:rsidRPr="00373E2E">
              <w:rPr>
                <w:rFonts w:ascii="Lucida Sans" w:eastAsia="Times New Roman" w:hAnsi="Lucida Sans" w:cs="Times New Roman"/>
                <w:sz w:val="20"/>
                <w:szCs w:val="20"/>
              </w:rPr>
              <w:t xml:space="preserve">, 3-5 </w:t>
            </w:r>
            <w:proofErr w:type="spellStart"/>
            <w:r w:rsidRPr="00373E2E">
              <w:rPr>
                <w:rFonts w:ascii="Lucida Sans" w:eastAsia="Times New Roman" w:hAnsi="Lucida Sans" w:cs="Times New Roman"/>
                <w:sz w:val="20"/>
                <w:szCs w:val="20"/>
              </w:rPr>
              <w:t>yrs</w:t>
            </w:r>
            <w:proofErr w:type="spellEnd"/>
            <w:r w:rsidRPr="00373E2E">
              <w:rPr>
                <w:rFonts w:ascii="Lucida Sans" w:eastAsia="Times New Roman" w:hAnsi="Lucida Sans" w:cs="Times New Roman"/>
                <w:sz w:val="20"/>
                <w:szCs w:val="20"/>
              </w:rPr>
              <w:t xml:space="preserve">, 5-7 </w:t>
            </w:r>
            <w:proofErr w:type="spellStart"/>
            <w:r w:rsidRPr="00373E2E">
              <w:rPr>
                <w:rFonts w:ascii="Lucida Sans" w:eastAsia="Times New Roman" w:hAnsi="Lucida Sans" w:cs="Times New Roman"/>
                <w:sz w:val="20"/>
                <w:szCs w:val="20"/>
              </w:rPr>
              <w:t>yrs</w:t>
            </w:r>
            <w:proofErr w:type="spellEnd"/>
            <w:r w:rsidRPr="00373E2E">
              <w:rPr>
                <w:rFonts w:ascii="Lucida Sans" w:eastAsia="Times New Roman" w:hAnsi="Lucida Sans" w:cs="Times New Roman"/>
                <w:sz w:val="20"/>
                <w:szCs w:val="20"/>
              </w:rPr>
              <w:t xml:space="preserve">, 7-10 </w:t>
            </w:r>
            <w:proofErr w:type="spellStart"/>
            <w:r w:rsidRPr="00373E2E">
              <w:rPr>
                <w:rFonts w:ascii="Lucida Sans" w:eastAsia="Times New Roman" w:hAnsi="Lucida Sans" w:cs="Times New Roman"/>
                <w:sz w:val="20"/>
                <w:szCs w:val="20"/>
              </w:rPr>
              <w:t>yrs</w:t>
            </w:r>
            <w:proofErr w:type="spellEnd"/>
            <w:r w:rsidRPr="00373E2E">
              <w:rPr>
                <w:rFonts w:ascii="Lucida Sans" w:eastAsia="Times New Roman" w:hAnsi="Lucida Sans" w:cs="Times New Roman"/>
                <w:sz w:val="20"/>
                <w:szCs w:val="20"/>
              </w:rPr>
              <w:t>, 10+yrs*</w:t>
            </w:r>
          </w:p>
        </w:tc>
        <w:tc>
          <w:tcPr>
            <w:tcW w:w="2434" w:type="dxa"/>
            <w:shd w:val="clear" w:color="auto" w:fill="FBD4B4" w:themeFill="accent6" w:themeFillTint="66"/>
          </w:tcPr>
          <w:p w14:paraId="327891D7" w14:textId="77777777" w:rsidR="00CA74D8" w:rsidRPr="00373E2E" w:rsidRDefault="00CA74D8" w:rsidP="00BF05DD">
            <w:pPr>
              <w:tabs>
                <w:tab w:val="left" w:pos="1680"/>
              </w:tabs>
              <w:spacing w:line="273"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US, Euro, UK, Japan, Pacific ex Japan*</w:t>
            </w:r>
          </w:p>
        </w:tc>
        <w:tc>
          <w:tcPr>
            <w:tcW w:w="2434" w:type="dxa"/>
          </w:tcPr>
          <w:p w14:paraId="567FB31B" w14:textId="77777777" w:rsidR="00CA74D8" w:rsidRPr="00373E2E" w:rsidRDefault="00CA74D8" w:rsidP="00BF05DD">
            <w:pPr>
              <w:tabs>
                <w:tab w:val="left" w:pos="1680"/>
              </w:tabs>
              <w:spacing w:line="273" w:lineRule="exact"/>
              <w:ind w:left="103"/>
              <w:rPr>
                <w:rFonts w:ascii="Lucida Sans" w:eastAsia="Times New Roman" w:hAnsi="Lucida Sans" w:cs="Times New Roman"/>
                <w:sz w:val="20"/>
                <w:szCs w:val="20"/>
              </w:rPr>
            </w:pPr>
          </w:p>
        </w:tc>
      </w:tr>
      <w:tr w:rsidR="00CA74D8" w:rsidRPr="00373E2E" w14:paraId="4C4BA2C7" w14:textId="77777777" w:rsidTr="00FF5DF4">
        <w:trPr>
          <w:trHeight w:hRule="exact" w:val="1000"/>
        </w:trPr>
        <w:tc>
          <w:tcPr>
            <w:tcW w:w="2307" w:type="dxa"/>
          </w:tcPr>
          <w:p w14:paraId="3132C828" w14:textId="77777777" w:rsidR="00CA74D8" w:rsidRPr="00373E2E" w:rsidRDefault="00CA74D8" w:rsidP="00BF05DD">
            <w:pPr>
              <w:tabs>
                <w:tab w:val="left" w:pos="1680"/>
              </w:tabs>
              <w:spacing w:line="273"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Other corporate bonds</w:t>
            </w:r>
          </w:p>
        </w:tc>
        <w:tc>
          <w:tcPr>
            <w:tcW w:w="4678" w:type="dxa"/>
          </w:tcPr>
          <w:p w14:paraId="0435865E" w14:textId="77777777" w:rsidR="00CA74D8" w:rsidRPr="00373E2E" w:rsidRDefault="00CA74D8" w:rsidP="00BF05DD">
            <w:pPr>
              <w:tabs>
                <w:tab w:val="left" w:pos="1680"/>
              </w:tabs>
              <w:spacing w:line="273"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High yield corporate bonds</w:t>
            </w:r>
          </w:p>
        </w:tc>
        <w:tc>
          <w:tcPr>
            <w:tcW w:w="2434" w:type="dxa"/>
            <w:shd w:val="clear" w:color="auto" w:fill="FBD4B4" w:themeFill="accent6" w:themeFillTint="66"/>
          </w:tcPr>
          <w:p w14:paraId="147083D7" w14:textId="77777777" w:rsidR="00CA74D8" w:rsidRPr="00373E2E" w:rsidRDefault="00CA74D8" w:rsidP="00BF05DD">
            <w:pPr>
              <w:tabs>
                <w:tab w:val="left" w:pos="1680"/>
              </w:tabs>
              <w:spacing w:line="273"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 xml:space="preserve">Maturity Buckets 1-3 </w:t>
            </w:r>
            <w:proofErr w:type="spellStart"/>
            <w:r w:rsidRPr="00373E2E">
              <w:rPr>
                <w:rFonts w:ascii="Lucida Sans" w:eastAsia="Times New Roman" w:hAnsi="Lucida Sans" w:cs="Times New Roman"/>
                <w:sz w:val="20"/>
                <w:szCs w:val="20"/>
              </w:rPr>
              <w:t>yrs</w:t>
            </w:r>
            <w:proofErr w:type="spellEnd"/>
            <w:r w:rsidRPr="00373E2E">
              <w:rPr>
                <w:rFonts w:ascii="Lucida Sans" w:eastAsia="Times New Roman" w:hAnsi="Lucida Sans" w:cs="Times New Roman"/>
                <w:sz w:val="20"/>
                <w:szCs w:val="20"/>
              </w:rPr>
              <w:t xml:space="preserve">, 3-5 </w:t>
            </w:r>
            <w:proofErr w:type="spellStart"/>
            <w:r w:rsidRPr="00373E2E">
              <w:rPr>
                <w:rFonts w:ascii="Lucida Sans" w:eastAsia="Times New Roman" w:hAnsi="Lucida Sans" w:cs="Times New Roman"/>
                <w:sz w:val="20"/>
                <w:szCs w:val="20"/>
              </w:rPr>
              <w:t>yrs</w:t>
            </w:r>
            <w:proofErr w:type="spellEnd"/>
            <w:r w:rsidRPr="00373E2E">
              <w:rPr>
                <w:rFonts w:ascii="Lucida Sans" w:eastAsia="Times New Roman" w:hAnsi="Lucida Sans" w:cs="Times New Roman"/>
                <w:sz w:val="20"/>
                <w:szCs w:val="20"/>
              </w:rPr>
              <w:t xml:space="preserve">, 5-7 </w:t>
            </w:r>
            <w:proofErr w:type="spellStart"/>
            <w:r w:rsidRPr="00373E2E">
              <w:rPr>
                <w:rFonts w:ascii="Lucida Sans" w:eastAsia="Times New Roman" w:hAnsi="Lucida Sans" w:cs="Times New Roman"/>
                <w:sz w:val="20"/>
                <w:szCs w:val="20"/>
              </w:rPr>
              <w:t>yrs</w:t>
            </w:r>
            <w:proofErr w:type="spellEnd"/>
            <w:r w:rsidRPr="00373E2E">
              <w:rPr>
                <w:rFonts w:ascii="Lucida Sans" w:eastAsia="Times New Roman" w:hAnsi="Lucida Sans" w:cs="Times New Roman"/>
                <w:sz w:val="20"/>
                <w:szCs w:val="20"/>
              </w:rPr>
              <w:t xml:space="preserve">, 7-10 </w:t>
            </w:r>
            <w:proofErr w:type="spellStart"/>
            <w:r w:rsidRPr="00373E2E">
              <w:rPr>
                <w:rFonts w:ascii="Lucida Sans" w:eastAsia="Times New Roman" w:hAnsi="Lucida Sans" w:cs="Times New Roman"/>
                <w:sz w:val="20"/>
                <w:szCs w:val="20"/>
              </w:rPr>
              <w:t>yrs</w:t>
            </w:r>
            <w:proofErr w:type="spellEnd"/>
            <w:r w:rsidRPr="00373E2E">
              <w:rPr>
                <w:rFonts w:ascii="Lucida Sans" w:eastAsia="Times New Roman" w:hAnsi="Lucida Sans" w:cs="Times New Roman"/>
                <w:sz w:val="20"/>
                <w:szCs w:val="20"/>
              </w:rPr>
              <w:t>, 10+yrs*</w:t>
            </w:r>
          </w:p>
        </w:tc>
        <w:tc>
          <w:tcPr>
            <w:tcW w:w="2434" w:type="dxa"/>
            <w:shd w:val="clear" w:color="auto" w:fill="FBD4B4" w:themeFill="accent6" w:themeFillTint="66"/>
          </w:tcPr>
          <w:p w14:paraId="3B7E91B8" w14:textId="77777777" w:rsidR="00CA74D8" w:rsidRPr="00373E2E" w:rsidRDefault="00CA74D8" w:rsidP="00BF05DD">
            <w:pPr>
              <w:tabs>
                <w:tab w:val="left" w:pos="1680"/>
              </w:tabs>
              <w:spacing w:line="273"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US, Euro, UK, Japan, Pacific ex Japan*</w:t>
            </w:r>
          </w:p>
        </w:tc>
        <w:tc>
          <w:tcPr>
            <w:tcW w:w="2434" w:type="dxa"/>
          </w:tcPr>
          <w:p w14:paraId="01A905AE" w14:textId="77777777" w:rsidR="00CA74D8" w:rsidRPr="00373E2E" w:rsidRDefault="00CA74D8" w:rsidP="00BF05DD">
            <w:pPr>
              <w:tabs>
                <w:tab w:val="left" w:pos="1680"/>
              </w:tabs>
              <w:spacing w:line="273" w:lineRule="exact"/>
              <w:ind w:left="103"/>
              <w:rPr>
                <w:rFonts w:ascii="Lucida Sans" w:eastAsia="Times New Roman" w:hAnsi="Lucida Sans" w:cs="Times New Roman"/>
                <w:sz w:val="20"/>
                <w:szCs w:val="20"/>
              </w:rPr>
            </w:pPr>
          </w:p>
        </w:tc>
      </w:tr>
      <w:tr w:rsidR="00CA74D8" w:rsidRPr="00373E2E" w14:paraId="3703A6C0" w14:textId="77777777" w:rsidTr="00FF5DF4">
        <w:trPr>
          <w:trHeight w:hRule="exact" w:val="648"/>
        </w:trPr>
        <w:tc>
          <w:tcPr>
            <w:tcW w:w="2307" w:type="dxa"/>
          </w:tcPr>
          <w:p w14:paraId="0CB07979"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Liquidity</w:t>
            </w:r>
          </w:p>
        </w:tc>
        <w:tc>
          <w:tcPr>
            <w:tcW w:w="4678" w:type="dxa"/>
          </w:tcPr>
          <w:p w14:paraId="6930D957" w14:textId="77777777" w:rsidR="00CA74D8" w:rsidRPr="00373E2E" w:rsidRDefault="00CA74D8" w:rsidP="00BF05DD">
            <w:pPr>
              <w:tabs>
                <w:tab w:val="left" w:pos="1680"/>
              </w:tabs>
              <w:ind w:left="103" w:right="626"/>
              <w:rPr>
                <w:rFonts w:ascii="Lucida Sans" w:eastAsia="Times New Roman" w:hAnsi="Lucida Sans" w:cs="Times New Roman"/>
                <w:sz w:val="20"/>
                <w:szCs w:val="20"/>
              </w:rPr>
            </w:pPr>
            <w:r w:rsidRPr="00373E2E">
              <w:rPr>
                <w:rFonts w:ascii="Lucida Sans" w:eastAsia="Times New Roman" w:hAnsi="Lucida Sans" w:cs="Times New Roman"/>
                <w:sz w:val="20"/>
                <w:szCs w:val="20"/>
              </w:rPr>
              <w:t>Money market instruments (for the sake of clarity, money markets funds not included)</w:t>
            </w:r>
          </w:p>
        </w:tc>
        <w:tc>
          <w:tcPr>
            <w:tcW w:w="2434" w:type="dxa"/>
          </w:tcPr>
          <w:p w14:paraId="120EDC43" w14:textId="77777777" w:rsidR="00CA74D8" w:rsidRPr="00373E2E" w:rsidRDefault="00CA74D8" w:rsidP="00BF05DD">
            <w:pPr>
              <w:tabs>
                <w:tab w:val="left" w:pos="1680"/>
              </w:tabs>
              <w:ind w:left="103" w:right="626"/>
              <w:rPr>
                <w:rFonts w:ascii="Lucida Sans" w:eastAsia="Times New Roman" w:hAnsi="Lucida Sans" w:cs="Times New Roman"/>
                <w:sz w:val="20"/>
                <w:szCs w:val="20"/>
              </w:rPr>
            </w:pPr>
          </w:p>
        </w:tc>
        <w:tc>
          <w:tcPr>
            <w:tcW w:w="2434" w:type="dxa"/>
            <w:shd w:val="clear" w:color="auto" w:fill="FBD4B4" w:themeFill="accent6" w:themeFillTint="66"/>
          </w:tcPr>
          <w:p w14:paraId="5F24C144" w14:textId="77777777" w:rsidR="00CA74D8" w:rsidRPr="00373E2E" w:rsidRDefault="00CA74D8" w:rsidP="00BF05DD">
            <w:pPr>
              <w:tabs>
                <w:tab w:val="left" w:pos="1680"/>
              </w:tabs>
              <w:ind w:left="103" w:right="626"/>
              <w:rPr>
                <w:rFonts w:ascii="Lucida Sans" w:eastAsia="Times New Roman" w:hAnsi="Lucida Sans" w:cs="Times New Roman"/>
                <w:sz w:val="20"/>
                <w:szCs w:val="20"/>
              </w:rPr>
            </w:pPr>
            <w:r w:rsidRPr="00373E2E">
              <w:rPr>
                <w:rFonts w:ascii="Lucida Sans" w:eastAsia="Times New Roman" w:hAnsi="Lucida Sans" w:cs="Times New Roman"/>
                <w:sz w:val="20"/>
                <w:szCs w:val="20"/>
              </w:rPr>
              <w:t>US</w:t>
            </w:r>
            <w:r w:rsidRPr="00840A69">
              <w:rPr>
                <w:rFonts w:ascii="Lucida Sans" w:eastAsia="Times New Roman" w:hAnsi="Lucida Sans" w:cs="Times New Roman"/>
                <w:strike/>
                <w:sz w:val="20"/>
                <w:szCs w:val="20"/>
              </w:rPr>
              <w:t>$</w:t>
            </w:r>
            <w:r w:rsidRPr="00373E2E">
              <w:rPr>
                <w:rFonts w:ascii="Lucida Sans" w:eastAsia="Times New Roman" w:hAnsi="Lucida Sans" w:cs="Times New Roman"/>
                <w:sz w:val="20"/>
                <w:szCs w:val="20"/>
              </w:rPr>
              <w:t>, Euro, Yen</w:t>
            </w:r>
          </w:p>
        </w:tc>
        <w:tc>
          <w:tcPr>
            <w:tcW w:w="2434" w:type="dxa"/>
          </w:tcPr>
          <w:p w14:paraId="2017401F" w14:textId="77777777" w:rsidR="00CA74D8" w:rsidRPr="00373E2E" w:rsidRDefault="00CA74D8" w:rsidP="00BF05DD">
            <w:pPr>
              <w:tabs>
                <w:tab w:val="left" w:pos="1680"/>
              </w:tabs>
              <w:ind w:left="103" w:right="626"/>
              <w:rPr>
                <w:rFonts w:ascii="Lucida Sans" w:eastAsia="Times New Roman" w:hAnsi="Lucida Sans" w:cs="Times New Roman"/>
                <w:sz w:val="20"/>
                <w:szCs w:val="20"/>
              </w:rPr>
            </w:pPr>
          </w:p>
        </w:tc>
      </w:tr>
      <w:tr w:rsidR="00CA74D8" w:rsidRPr="00373E2E" w14:paraId="559FDF96" w14:textId="77777777" w:rsidTr="00FF5DF4">
        <w:trPr>
          <w:trHeight w:hRule="exact" w:val="614"/>
        </w:trPr>
        <w:tc>
          <w:tcPr>
            <w:tcW w:w="2307" w:type="dxa"/>
            <w:vMerge w:val="restart"/>
          </w:tcPr>
          <w:p w14:paraId="2220E426"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Shares developed markets</w:t>
            </w:r>
          </w:p>
        </w:tc>
        <w:tc>
          <w:tcPr>
            <w:tcW w:w="4678" w:type="dxa"/>
          </w:tcPr>
          <w:p w14:paraId="62DD5BD2"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Large-cap shares (developed markets)</w:t>
            </w:r>
          </w:p>
        </w:tc>
        <w:tc>
          <w:tcPr>
            <w:tcW w:w="2434" w:type="dxa"/>
          </w:tcPr>
          <w:p w14:paraId="61187535"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shd w:val="clear" w:color="auto" w:fill="FBD4B4" w:themeFill="accent6" w:themeFillTint="66"/>
          </w:tcPr>
          <w:p w14:paraId="02555E01"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US, Euro, UK, Japan, Pacific ex Japan*</w:t>
            </w:r>
          </w:p>
        </w:tc>
        <w:tc>
          <w:tcPr>
            <w:tcW w:w="2434" w:type="dxa"/>
          </w:tcPr>
          <w:p w14:paraId="2004077C"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r>
      <w:tr w:rsidR="00CA74D8" w:rsidRPr="00373E2E" w14:paraId="4EE4F5AE" w14:textId="77777777" w:rsidTr="00FF5DF4">
        <w:trPr>
          <w:trHeight w:hRule="exact" w:val="557"/>
        </w:trPr>
        <w:tc>
          <w:tcPr>
            <w:tcW w:w="2307" w:type="dxa"/>
            <w:vMerge/>
          </w:tcPr>
          <w:p w14:paraId="71516F88" w14:textId="77777777" w:rsidR="00CA74D8" w:rsidRPr="00373E2E" w:rsidRDefault="00CA74D8" w:rsidP="00BF05DD">
            <w:pPr>
              <w:tabs>
                <w:tab w:val="left" w:pos="1680"/>
              </w:tabs>
              <w:rPr>
                <w:rFonts w:ascii="Lucida Sans" w:eastAsia="Times New Roman" w:hAnsi="Lucida Sans" w:cs="Times New Roman"/>
                <w:sz w:val="20"/>
                <w:szCs w:val="20"/>
              </w:rPr>
            </w:pPr>
          </w:p>
        </w:tc>
        <w:tc>
          <w:tcPr>
            <w:tcW w:w="4678" w:type="dxa"/>
          </w:tcPr>
          <w:p w14:paraId="5C309FC7"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Mid-cap shares (developed markets)</w:t>
            </w:r>
          </w:p>
        </w:tc>
        <w:tc>
          <w:tcPr>
            <w:tcW w:w="2434" w:type="dxa"/>
          </w:tcPr>
          <w:p w14:paraId="506E7A5F"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shd w:val="clear" w:color="auto" w:fill="FBD4B4" w:themeFill="accent6" w:themeFillTint="66"/>
          </w:tcPr>
          <w:p w14:paraId="395969A0"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US, Euro, UK, Japan, Pacific ex Japan*</w:t>
            </w:r>
          </w:p>
        </w:tc>
        <w:tc>
          <w:tcPr>
            <w:tcW w:w="2434" w:type="dxa"/>
          </w:tcPr>
          <w:p w14:paraId="3635F42B"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r>
      <w:tr w:rsidR="00CA74D8" w:rsidRPr="00373E2E" w14:paraId="3AC69797" w14:textId="77777777" w:rsidTr="00FF5DF4">
        <w:trPr>
          <w:trHeight w:hRule="exact" w:val="577"/>
        </w:trPr>
        <w:tc>
          <w:tcPr>
            <w:tcW w:w="2307" w:type="dxa"/>
            <w:vMerge/>
          </w:tcPr>
          <w:p w14:paraId="40B1E8CE" w14:textId="77777777" w:rsidR="00CA74D8" w:rsidRPr="00373E2E" w:rsidRDefault="00CA74D8" w:rsidP="00BF05DD">
            <w:pPr>
              <w:tabs>
                <w:tab w:val="left" w:pos="1680"/>
              </w:tabs>
              <w:rPr>
                <w:rFonts w:ascii="Lucida Sans" w:eastAsia="Times New Roman" w:hAnsi="Lucida Sans" w:cs="Times New Roman"/>
                <w:sz w:val="20"/>
                <w:szCs w:val="20"/>
              </w:rPr>
            </w:pPr>
          </w:p>
        </w:tc>
        <w:tc>
          <w:tcPr>
            <w:tcW w:w="4678" w:type="dxa"/>
          </w:tcPr>
          <w:p w14:paraId="043D0374"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Small-cap shares (developed markets)</w:t>
            </w:r>
          </w:p>
        </w:tc>
        <w:tc>
          <w:tcPr>
            <w:tcW w:w="2434" w:type="dxa"/>
          </w:tcPr>
          <w:p w14:paraId="33BA19BC"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shd w:val="clear" w:color="auto" w:fill="FBD4B4" w:themeFill="accent6" w:themeFillTint="66"/>
          </w:tcPr>
          <w:p w14:paraId="057A1BAA"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US, Euro, UK, Japan, Pacific ex Japan*</w:t>
            </w:r>
          </w:p>
        </w:tc>
        <w:tc>
          <w:tcPr>
            <w:tcW w:w="2434" w:type="dxa"/>
          </w:tcPr>
          <w:p w14:paraId="3883FE7B"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r>
      <w:tr w:rsidR="00CA74D8" w:rsidRPr="00373E2E" w14:paraId="440F062B" w14:textId="77777777" w:rsidTr="00FF5DF4">
        <w:trPr>
          <w:trHeight w:hRule="exact" w:val="573"/>
        </w:trPr>
        <w:tc>
          <w:tcPr>
            <w:tcW w:w="2307" w:type="dxa"/>
            <w:vMerge w:val="restart"/>
          </w:tcPr>
          <w:p w14:paraId="6FB24CB3"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lastRenderedPageBreak/>
              <w:t>Shares emerging markets</w:t>
            </w:r>
          </w:p>
        </w:tc>
        <w:tc>
          <w:tcPr>
            <w:tcW w:w="4678" w:type="dxa"/>
          </w:tcPr>
          <w:p w14:paraId="26356EDB"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Large-cap shares (emerging markets)</w:t>
            </w:r>
          </w:p>
        </w:tc>
        <w:tc>
          <w:tcPr>
            <w:tcW w:w="2434" w:type="dxa"/>
          </w:tcPr>
          <w:p w14:paraId="6AEA9CE6"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shd w:val="clear" w:color="auto" w:fill="FBD4B4" w:themeFill="accent6" w:themeFillTint="66"/>
          </w:tcPr>
          <w:p w14:paraId="45921F7C"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Asia ex China, Latin America, China*</w:t>
            </w:r>
          </w:p>
        </w:tc>
        <w:tc>
          <w:tcPr>
            <w:tcW w:w="2434" w:type="dxa"/>
          </w:tcPr>
          <w:p w14:paraId="11CEC2AC"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r>
      <w:tr w:rsidR="00CA74D8" w:rsidRPr="00373E2E" w14:paraId="130120CE" w14:textId="77777777" w:rsidTr="00FF5DF4">
        <w:trPr>
          <w:trHeight w:hRule="exact" w:val="336"/>
        </w:trPr>
        <w:tc>
          <w:tcPr>
            <w:tcW w:w="2307" w:type="dxa"/>
            <w:vMerge/>
          </w:tcPr>
          <w:p w14:paraId="0F6C769E" w14:textId="77777777" w:rsidR="00CA74D8" w:rsidRPr="00373E2E" w:rsidRDefault="00CA74D8" w:rsidP="00BF05DD">
            <w:pPr>
              <w:tabs>
                <w:tab w:val="left" w:pos="1680"/>
              </w:tabs>
              <w:rPr>
                <w:rFonts w:ascii="Lucida Sans" w:eastAsia="Times New Roman" w:hAnsi="Lucida Sans" w:cs="Times New Roman"/>
                <w:sz w:val="20"/>
                <w:szCs w:val="20"/>
              </w:rPr>
            </w:pPr>
          </w:p>
        </w:tc>
        <w:tc>
          <w:tcPr>
            <w:tcW w:w="4678" w:type="dxa"/>
          </w:tcPr>
          <w:p w14:paraId="4F0F3A74"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Mid-cap shares (emerging markets)</w:t>
            </w:r>
          </w:p>
        </w:tc>
        <w:tc>
          <w:tcPr>
            <w:tcW w:w="2434" w:type="dxa"/>
          </w:tcPr>
          <w:p w14:paraId="164250AE"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shd w:val="clear" w:color="auto" w:fill="FBD4B4" w:themeFill="accent6" w:themeFillTint="66"/>
          </w:tcPr>
          <w:p w14:paraId="091DE334"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Asia ex China, Latin* **America, China</w:t>
            </w:r>
          </w:p>
        </w:tc>
        <w:tc>
          <w:tcPr>
            <w:tcW w:w="2434" w:type="dxa"/>
          </w:tcPr>
          <w:p w14:paraId="5AA1FA03"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r>
      <w:tr w:rsidR="00CA74D8" w:rsidRPr="00373E2E" w14:paraId="2EBD315A" w14:textId="77777777" w:rsidTr="00FF5DF4">
        <w:trPr>
          <w:trHeight w:hRule="exact" w:val="336"/>
        </w:trPr>
        <w:tc>
          <w:tcPr>
            <w:tcW w:w="2307" w:type="dxa"/>
            <w:vMerge/>
          </w:tcPr>
          <w:p w14:paraId="2D543EE7" w14:textId="77777777" w:rsidR="00CA74D8" w:rsidRPr="00373E2E" w:rsidRDefault="00CA74D8" w:rsidP="00BF05DD">
            <w:pPr>
              <w:tabs>
                <w:tab w:val="left" w:pos="1680"/>
              </w:tabs>
              <w:rPr>
                <w:rFonts w:ascii="Lucida Sans" w:eastAsia="Times New Roman" w:hAnsi="Lucida Sans" w:cs="Times New Roman"/>
                <w:sz w:val="20"/>
                <w:szCs w:val="20"/>
              </w:rPr>
            </w:pPr>
          </w:p>
        </w:tc>
        <w:tc>
          <w:tcPr>
            <w:tcW w:w="4678" w:type="dxa"/>
          </w:tcPr>
          <w:p w14:paraId="13FDE303"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Small-cap shares (emerging markets)</w:t>
            </w:r>
          </w:p>
        </w:tc>
        <w:tc>
          <w:tcPr>
            <w:tcW w:w="2434" w:type="dxa"/>
          </w:tcPr>
          <w:p w14:paraId="0DFA9B52"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shd w:val="clear" w:color="auto" w:fill="FBD4B4" w:themeFill="accent6" w:themeFillTint="66"/>
          </w:tcPr>
          <w:p w14:paraId="6225593A"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Asia ex China, Latin* America, China</w:t>
            </w:r>
          </w:p>
        </w:tc>
        <w:tc>
          <w:tcPr>
            <w:tcW w:w="2434" w:type="dxa"/>
          </w:tcPr>
          <w:p w14:paraId="4DDCE800"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r>
      <w:tr w:rsidR="00CA74D8" w:rsidRPr="00373E2E" w14:paraId="56446637" w14:textId="77777777" w:rsidTr="00FF5DF4">
        <w:trPr>
          <w:trHeight w:hRule="exact" w:val="318"/>
        </w:trPr>
        <w:tc>
          <w:tcPr>
            <w:tcW w:w="2307" w:type="dxa"/>
          </w:tcPr>
          <w:p w14:paraId="2B1B0C02"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Listed derivatives</w:t>
            </w:r>
          </w:p>
        </w:tc>
        <w:tc>
          <w:tcPr>
            <w:tcW w:w="4678" w:type="dxa"/>
          </w:tcPr>
          <w:p w14:paraId="47A8790D"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Listed derivatives</w:t>
            </w:r>
          </w:p>
        </w:tc>
        <w:tc>
          <w:tcPr>
            <w:tcW w:w="2434" w:type="dxa"/>
          </w:tcPr>
          <w:p w14:paraId="2538B6C6"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shd w:val="clear" w:color="auto" w:fill="FBD4B4" w:themeFill="accent6" w:themeFillTint="66"/>
          </w:tcPr>
          <w:p w14:paraId="0BC8959C"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Developed, Emerging*</w:t>
            </w:r>
          </w:p>
        </w:tc>
        <w:tc>
          <w:tcPr>
            <w:tcW w:w="2434" w:type="dxa"/>
            <w:shd w:val="clear" w:color="auto" w:fill="FBD4B4" w:themeFill="accent6" w:themeFillTint="66"/>
          </w:tcPr>
          <w:p w14:paraId="292046AF"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Future, Option*</w:t>
            </w:r>
          </w:p>
        </w:tc>
      </w:tr>
      <w:tr w:rsidR="00CA74D8" w:rsidRPr="00373E2E" w14:paraId="6F4F5387" w14:textId="77777777" w:rsidTr="00BF05DD">
        <w:trPr>
          <w:trHeight w:hRule="exact" w:val="326"/>
        </w:trPr>
        <w:tc>
          <w:tcPr>
            <w:tcW w:w="2307" w:type="dxa"/>
            <w:vMerge w:val="restart"/>
          </w:tcPr>
          <w:p w14:paraId="19122021"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OTC</w:t>
            </w:r>
          </w:p>
        </w:tc>
        <w:tc>
          <w:tcPr>
            <w:tcW w:w="4678" w:type="dxa"/>
          </w:tcPr>
          <w:p w14:paraId="676744CA"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OTC Exotic options</w:t>
            </w:r>
          </w:p>
        </w:tc>
        <w:tc>
          <w:tcPr>
            <w:tcW w:w="2434" w:type="dxa"/>
          </w:tcPr>
          <w:p w14:paraId="7FC6D910"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tcPr>
          <w:p w14:paraId="0A82394C"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tcPr>
          <w:p w14:paraId="40DCBD1A"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r>
      <w:tr w:rsidR="00CA74D8" w:rsidRPr="00373E2E" w14:paraId="426973F6" w14:textId="77777777" w:rsidTr="00BF05DD">
        <w:trPr>
          <w:trHeight w:hRule="exact" w:val="336"/>
        </w:trPr>
        <w:tc>
          <w:tcPr>
            <w:tcW w:w="2307" w:type="dxa"/>
            <w:vMerge/>
          </w:tcPr>
          <w:p w14:paraId="51444E04" w14:textId="77777777" w:rsidR="00CA74D8" w:rsidRPr="00373E2E" w:rsidRDefault="00CA74D8" w:rsidP="00BF05DD">
            <w:pPr>
              <w:tabs>
                <w:tab w:val="left" w:pos="1680"/>
              </w:tabs>
              <w:rPr>
                <w:rFonts w:ascii="Lucida Sans" w:eastAsia="Times New Roman" w:hAnsi="Lucida Sans" w:cs="Times New Roman"/>
                <w:sz w:val="20"/>
                <w:szCs w:val="20"/>
              </w:rPr>
            </w:pPr>
          </w:p>
        </w:tc>
        <w:tc>
          <w:tcPr>
            <w:tcW w:w="4678" w:type="dxa"/>
          </w:tcPr>
          <w:p w14:paraId="4471BF8D"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OTC Plain vanilla options</w:t>
            </w:r>
          </w:p>
        </w:tc>
        <w:tc>
          <w:tcPr>
            <w:tcW w:w="2434" w:type="dxa"/>
          </w:tcPr>
          <w:p w14:paraId="5ACE64BB"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tcPr>
          <w:p w14:paraId="3AFB31FA"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tcPr>
          <w:p w14:paraId="51B907B4"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r>
      <w:tr w:rsidR="00CA74D8" w:rsidRPr="00373E2E" w14:paraId="2AD5D8CD" w14:textId="77777777" w:rsidTr="00BF05DD">
        <w:trPr>
          <w:trHeight w:hRule="exact" w:val="336"/>
        </w:trPr>
        <w:tc>
          <w:tcPr>
            <w:tcW w:w="2307" w:type="dxa"/>
            <w:vMerge/>
          </w:tcPr>
          <w:p w14:paraId="62926999" w14:textId="77777777" w:rsidR="00CA74D8" w:rsidRPr="00373E2E" w:rsidRDefault="00CA74D8" w:rsidP="00BF05DD">
            <w:pPr>
              <w:tabs>
                <w:tab w:val="left" w:pos="1680"/>
              </w:tabs>
              <w:rPr>
                <w:rFonts w:ascii="Lucida Sans" w:eastAsia="Times New Roman" w:hAnsi="Lucida Sans" w:cs="Times New Roman"/>
                <w:sz w:val="20"/>
                <w:szCs w:val="20"/>
              </w:rPr>
            </w:pPr>
          </w:p>
        </w:tc>
        <w:tc>
          <w:tcPr>
            <w:tcW w:w="4678" w:type="dxa"/>
          </w:tcPr>
          <w:p w14:paraId="25EA0C7E"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OTC IRS, CDS and similar</w:t>
            </w:r>
          </w:p>
        </w:tc>
        <w:tc>
          <w:tcPr>
            <w:tcW w:w="2434" w:type="dxa"/>
          </w:tcPr>
          <w:p w14:paraId="1EEE058F"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tcPr>
          <w:p w14:paraId="2C57F2E0"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tcPr>
          <w:p w14:paraId="450D507E"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r>
      <w:tr w:rsidR="00CA74D8" w:rsidRPr="00373E2E" w14:paraId="12F895C4" w14:textId="77777777" w:rsidTr="00BF05DD">
        <w:trPr>
          <w:trHeight w:hRule="exact" w:val="646"/>
        </w:trPr>
        <w:tc>
          <w:tcPr>
            <w:tcW w:w="2307" w:type="dxa"/>
            <w:vMerge/>
          </w:tcPr>
          <w:p w14:paraId="68EB00F2" w14:textId="77777777" w:rsidR="00CA74D8" w:rsidRPr="00373E2E" w:rsidRDefault="00CA74D8" w:rsidP="00BF05DD">
            <w:pPr>
              <w:tabs>
                <w:tab w:val="left" w:pos="1680"/>
              </w:tabs>
              <w:rPr>
                <w:rFonts w:ascii="Lucida Sans" w:eastAsia="Times New Roman" w:hAnsi="Lucida Sans" w:cs="Times New Roman"/>
                <w:sz w:val="20"/>
                <w:szCs w:val="20"/>
              </w:rPr>
            </w:pPr>
          </w:p>
        </w:tc>
        <w:tc>
          <w:tcPr>
            <w:tcW w:w="4678" w:type="dxa"/>
          </w:tcPr>
          <w:p w14:paraId="1A9020E7" w14:textId="77777777" w:rsidR="00CA74D8" w:rsidRPr="00373E2E" w:rsidRDefault="00CA74D8" w:rsidP="00BF05DD">
            <w:pPr>
              <w:tabs>
                <w:tab w:val="left" w:pos="1680"/>
              </w:tabs>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OTC Swaps and similar instruments (different from IRS, CDS and similar)</w:t>
            </w:r>
          </w:p>
        </w:tc>
        <w:tc>
          <w:tcPr>
            <w:tcW w:w="2434" w:type="dxa"/>
          </w:tcPr>
          <w:p w14:paraId="264B015B" w14:textId="77777777" w:rsidR="00CA74D8" w:rsidRPr="00373E2E" w:rsidRDefault="00CA74D8" w:rsidP="00BF05DD">
            <w:pPr>
              <w:tabs>
                <w:tab w:val="left" w:pos="1680"/>
              </w:tabs>
              <w:ind w:left="103"/>
              <w:rPr>
                <w:rFonts w:ascii="Lucida Sans" w:eastAsia="Times New Roman" w:hAnsi="Lucida Sans" w:cs="Times New Roman"/>
                <w:sz w:val="20"/>
                <w:szCs w:val="20"/>
              </w:rPr>
            </w:pPr>
          </w:p>
        </w:tc>
        <w:tc>
          <w:tcPr>
            <w:tcW w:w="2434" w:type="dxa"/>
          </w:tcPr>
          <w:p w14:paraId="267FC5D2" w14:textId="77777777" w:rsidR="00CA74D8" w:rsidRPr="00373E2E" w:rsidRDefault="00CA74D8" w:rsidP="00BF05DD">
            <w:pPr>
              <w:tabs>
                <w:tab w:val="left" w:pos="1680"/>
              </w:tabs>
              <w:ind w:left="103"/>
              <w:rPr>
                <w:rFonts w:ascii="Lucida Sans" w:eastAsia="Times New Roman" w:hAnsi="Lucida Sans" w:cs="Times New Roman"/>
                <w:sz w:val="20"/>
                <w:szCs w:val="20"/>
              </w:rPr>
            </w:pPr>
          </w:p>
        </w:tc>
        <w:tc>
          <w:tcPr>
            <w:tcW w:w="2434" w:type="dxa"/>
          </w:tcPr>
          <w:p w14:paraId="0ED4C0E4" w14:textId="77777777" w:rsidR="00CA74D8" w:rsidRPr="00373E2E" w:rsidRDefault="00CA74D8" w:rsidP="00BF05DD">
            <w:pPr>
              <w:tabs>
                <w:tab w:val="left" w:pos="1680"/>
              </w:tabs>
              <w:ind w:left="103"/>
              <w:rPr>
                <w:rFonts w:ascii="Lucida Sans" w:eastAsia="Times New Roman" w:hAnsi="Lucida Sans" w:cs="Times New Roman"/>
                <w:sz w:val="20"/>
                <w:szCs w:val="20"/>
              </w:rPr>
            </w:pPr>
          </w:p>
        </w:tc>
      </w:tr>
      <w:tr w:rsidR="00CA74D8" w:rsidRPr="00373E2E" w14:paraId="1E024C42" w14:textId="77777777" w:rsidTr="00BF05DD">
        <w:trPr>
          <w:trHeight w:hRule="exact" w:val="336"/>
        </w:trPr>
        <w:tc>
          <w:tcPr>
            <w:tcW w:w="2307" w:type="dxa"/>
            <w:vMerge/>
          </w:tcPr>
          <w:p w14:paraId="659636C0" w14:textId="77777777" w:rsidR="00CA74D8" w:rsidRPr="00373E2E" w:rsidRDefault="00CA74D8" w:rsidP="00BF05DD">
            <w:pPr>
              <w:tabs>
                <w:tab w:val="left" w:pos="1680"/>
              </w:tabs>
              <w:rPr>
                <w:rFonts w:ascii="Lucida Sans" w:eastAsia="Times New Roman" w:hAnsi="Lucida Sans" w:cs="Times New Roman"/>
                <w:sz w:val="20"/>
                <w:szCs w:val="20"/>
              </w:rPr>
            </w:pPr>
          </w:p>
        </w:tc>
        <w:tc>
          <w:tcPr>
            <w:tcW w:w="4678" w:type="dxa"/>
          </w:tcPr>
          <w:p w14:paraId="4EBF4694"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OTC FX Forwards developed markets</w:t>
            </w:r>
          </w:p>
        </w:tc>
        <w:tc>
          <w:tcPr>
            <w:tcW w:w="2434" w:type="dxa"/>
          </w:tcPr>
          <w:p w14:paraId="1B038C03"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tcPr>
          <w:p w14:paraId="721F064F"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tcPr>
          <w:p w14:paraId="2B41FFE2"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r>
      <w:tr w:rsidR="00CA74D8" w:rsidRPr="00373E2E" w14:paraId="13467B75" w14:textId="77777777" w:rsidTr="00BF05DD">
        <w:trPr>
          <w:trHeight w:hRule="exact" w:val="336"/>
        </w:trPr>
        <w:tc>
          <w:tcPr>
            <w:tcW w:w="2307" w:type="dxa"/>
            <w:vMerge/>
          </w:tcPr>
          <w:p w14:paraId="59343A92" w14:textId="77777777" w:rsidR="00CA74D8" w:rsidRPr="00373E2E" w:rsidRDefault="00CA74D8" w:rsidP="00BF05DD">
            <w:pPr>
              <w:tabs>
                <w:tab w:val="left" w:pos="1680"/>
              </w:tabs>
              <w:rPr>
                <w:rFonts w:ascii="Lucida Sans" w:eastAsia="Times New Roman" w:hAnsi="Lucida Sans" w:cs="Times New Roman"/>
                <w:sz w:val="20"/>
                <w:szCs w:val="20"/>
              </w:rPr>
            </w:pPr>
          </w:p>
        </w:tc>
        <w:tc>
          <w:tcPr>
            <w:tcW w:w="4678" w:type="dxa"/>
          </w:tcPr>
          <w:p w14:paraId="43B7CE87"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OTC FX Forwards emerging markets</w:t>
            </w:r>
          </w:p>
        </w:tc>
        <w:tc>
          <w:tcPr>
            <w:tcW w:w="2434" w:type="dxa"/>
          </w:tcPr>
          <w:p w14:paraId="7D7AE290"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tcPr>
          <w:p w14:paraId="6E52A020"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tcPr>
          <w:p w14:paraId="72D5E887"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r>
      <w:tr w:rsidR="00CA74D8" w:rsidRPr="00373E2E" w14:paraId="040C3C52" w14:textId="77777777" w:rsidTr="00FF5DF4">
        <w:trPr>
          <w:trHeight w:hRule="exact" w:val="336"/>
        </w:trPr>
        <w:tc>
          <w:tcPr>
            <w:tcW w:w="2307" w:type="dxa"/>
            <w:shd w:val="clear" w:color="auto" w:fill="FBD4B4" w:themeFill="accent6" w:themeFillTint="66"/>
          </w:tcPr>
          <w:p w14:paraId="11FAE716" w14:textId="77777777" w:rsidR="00CA74D8" w:rsidRPr="00373E2E" w:rsidRDefault="00CA74D8" w:rsidP="00BF05DD">
            <w:pPr>
              <w:tabs>
                <w:tab w:val="left" w:pos="1680"/>
              </w:tabs>
              <w:rPr>
                <w:rFonts w:ascii="Lucida Sans" w:eastAsia="Times New Roman" w:hAnsi="Lucida Sans" w:cs="Times New Roman"/>
                <w:sz w:val="20"/>
                <w:szCs w:val="20"/>
              </w:rPr>
            </w:pPr>
            <w:r w:rsidRPr="00373E2E">
              <w:rPr>
                <w:rFonts w:ascii="Lucida Sans" w:eastAsia="Times New Roman" w:hAnsi="Lucida Sans" w:cs="Times New Roman"/>
                <w:sz w:val="20"/>
                <w:szCs w:val="20"/>
              </w:rPr>
              <w:t>Securitized</w:t>
            </w:r>
          </w:p>
        </w:tc>
        <w:tc>
          <w:tcPr>
            <w:tcW w:w="4678" w:type="dxa"/>
            <w:shd w:val="clear" w:color="auto" w:fill="FBD4B4" w:themeFill="accent6" w:themeFillTint="66"/>
          </w:tcPr>
          <w:p w14:paraId="617FF794"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r w:rsidRPr="00373E2E">
              <w:rPr>
                <w:rFonts w:ascii="Lucida Sans" w:eastAsia="Times New Roman" w:hAnsi="Lucida Sans" w:cs="Times New Roman"/>
                <w:sz w:val="20"/>
                <w:szCs w:val="20"/>
              </w:rPr>
              <w:t xml:space="preserve">ABS, MBS, CMBS, </w:t>
            </w:r>
            <w:commentRangeStart w:id="21"/>
            <w:r w:rsidRPr="00373E2E">
              <w:rPr>
                <w:rFonts w:ascii="Lucida Sans" w:eastAsia="Times New Roman" w:hAnsi="Lucida Sans" w:cs="Times New Roman"/>
                <w:sz w:val="20"/>
                <w:szCs w:val="20"/>
              </w:rPr>
              <w:t>CLO</w:t>
            </w:r>
            <w:commentRangeEnd w:id="21"/>
            <w:r w:rsidR="0095041F">
              <w:rPr>
                <w:rStyle w:val="Rimandocommento"/>
                <w:rFonts w:eastAsia="Times New Roman" w:cs="Times New Roman"/>
                <w:lang w:val="en-GB"/>
              </w:rPr>
              <w:commentReference w:id="21"/>
            </w:r>
            <w:r w:rsidRPr="00373E2E">
              <w:rPr>
                <w:rFonts w:ascii="Lucida Sans" w:eastAsia="Times New Roman" w:hAnsi="Lucida Sans" w:cs="Times New Roman"/>
                <w:sz w:val="20"/>
                <w:szCs w:val="20"/>
              </w:rPr>
              <w:t xml:space="preserve"> …*</w:t>
            </w:r>
          </w:p>
        </w:tc>
        <w:tc>
          <w:tcPr>
            <w:tcW w:w="2434" w:type="dxa"/>
          </w:tcPr>
          <w:p w14:paraId="0549D8A3"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tcPr>
          <w:p w14:paraId="7D089FF5"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tcPr>
          <w:p w14:paraId="4EED636D"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r>
      <w:tr w:rsidR="00CA74D8" w:rsidRPr="00373E2E" w14:paraId="0C18F64A" w14:textId="77777777" w:rsidTr="00FF5DF4">
        <w:trPr>
          <w:trHeight w:hRule="exact" w:val="336"/>
        </w:trPr>
        <w:tc>
          <w:tcPr>
            <w:tcW w:w="2307" w:type="dxa"/>
            <w:shd w:val="clear" w:color="auto" w:fill="FBD4B4" w:themeFill="accent6" w:themeFillTint="66"/>
          </w:tcPr>
          <w:p w14:paraId="6472C298" w14:textId="77777777" w:rsidR="00CA74D8" w:rsidRPr="00373E2E" w:rsidRDefault="00CA74D8" w:rsidP="00BF05DD">
            <w:pPr>
              <w:tabs>
                <w:tab w:val="left" w:pos="1680"/>
              </w:tabs>
              <w:rPr>
                <w:rFonts w:ascii="Lucida Sans" w:eastAsia="Times New Roman" w:hAnsi="Lucida Sans" w:cs="Times New Roman"/>
                <w:sz w:val="20"/>
                <w:szCs w:val="20"/>
              </w:rPr>
            </w:pPr>
            <w:commentRangeStart w:id="22"/>
            <w:r w:rsidRPr="00373E2E">
              <w:rPr>
                <w:rFonts w:ascii="Lucida Sans" w:eastAsia="Times New Roman" w:hAnsi="Lucida Sans" w:cs="Times New Roman"/>
                <w:sz w:val="20"/>
                <w:szCs w:val="20"/>
              </w:rPr>
              <w:t>Commodity</w:t>
            </w:r>
            <w:commentRangeEnd w:id="22"/>
            <w:r w:rsidR="0095041F">
              <w:rPr>
                <w:rStyle w:val="Rimandocommento"/>
                <w:rFonts w:eastAsia="Times New Roman" w:cs="Times New Roman"/>
                <w:lang w:val="en-GB"/>
              </w:rPr>
              <w:commentReference w:id="22"/>
            </w:r>
          </w:p>
        </w:tc>
        <w:tc>
          <w:tcPr>
            <w:tcW w:w="4678" w:type="dxa"/>
            <w:shd w:val="clear" w:color="auto" w:fill="FBD4B4" w:themeFill="accent6" w:themeFillTint="66"/>
          </w:tcPr>
          <w:p w14:paraId="21A032E3"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tcPr>
          <w:p w14:paraId="19CCF700"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tcPr>
          <w:p w14:paraId="672C67E1"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c>
          <w:tcPr>
            <w:tcW w:w="2434" w:type="dxa"/>
          </w:tcPr>
          <w:p w14:paraId="2D9A1B60" w14:textId="77777777" w:rsidR="00CA74D8" w:rsidRPr="00373E2E" w:rsidRDefault="00CA74D8" w:rsidP="00BF05DD">
            <w:pPr>
              <w:tabs>
                <w:tab w:val="left" w:pos="1680"/>
              </w:tabs>
              <w:spacing w:line="270" w:lineRule="exact"/>
              <w:ind w:left="103"/>
              <w:rPr>
                <w:rFonts w:ascii="Lucida Sans" w:eastAsia="Times New Roman" w:hAnsi="Lucida Sans" w:cs="Times New Roman"/>
                <w:sz w:val="20"/>
                <w:szCs w:val="20"/>
              </w:rPr>
            </w:pPr>
          </w:p>
        </w:tc>
      </w:tr>
    </w:tbl>
    <w:p w14:paraId="34AD2224" w14:textId="77777777" w:rsidR="00CA74D8" w:rsidRPr="00373E2E" w:rsidRDefault="00CA74D8" w:rsidP="00CA74D8">
      <w:pPr>
        <w:spacing w:before="120" w:after="120"/>
        <w:jc w:val="both"/>
        <w:rPr>
          <w:rFonts w:ascii="Lucida Sans" w:hAnsi="Lucida Sans"/>
          <w:szCs w:val="20"/>
        </w:rPr>
      </w:pPr>
      <w:r w:rsidRPr="00373E2E">
        <w:rPr>
          <w:rFonts w:ascii="Lucida Sans" w:hAnsi="Lucida Sans"/>
          <w:szCs w:val="20"/>
        </w:rPr>
        <w:t>*Detailed figures may be used.</w:t>
      </w:r>
    </w:p>
    <w:p w14:paraId="71038DD3" w14:textId="77777777" w:rsidR="00CA74D8" w:rsidRPr="00373E2E" w:rsidRDefault="00CA74D8" w:rsidP="00CA74D8">
      <w:pPr>
        <w:spacing w:before="120" w:after="120"/>
        <w:jc w:val="both"/>
        <w:rPr>
          <w:rFonts w:ascii="Lucida Sans" w:hAnsi="Lucida Sans"/>
          <w:b/>
          <w:szCs w:val="20"/>
        </w:rPr>
      </w:pPr>
    </w:p>
    <w:p w14:paraId="3064D42F" w14:textId="77777777" w:rsidR="00CA74D8" w:rsidRPr="00373E2E" w:rsidRDefault="00CA74D8" w:rsidP="00CA74D8">
      <w:pPr>
        <w:spacing w:before="120" w:after="120"/>
        <w:jc w:val="both"/>
        <w:rPr>
          <w:rFonts w:ascii="Lucida Sans" w:hAnsi="Lucida Sans"/>
          <w:b/>
          <w:szCs w:val="20"/>
        </w:rPr>
        <w:sectPr w:rsidR="00CA74D8" w:rsidRPr="00373E2E" w:rsidSect="00500594">
          <w:headerReference w:type="default" r:id="rId41"/>
          <w:footerReference w:type="default" r:id="rId42"/>
          <w:pgSz w:w="16838" w:h="11906" w:orient="landscape"/>
          <w:pgMar w:top="1134" w:right="1418" w:bottom="1134" w:left="1134" w:header="709" w:footer="709" w:gutter="0"/>
          <w:cols w:space="708"/>
          <w:docGrid w:linePitch="360"/>
        </w:sectPr>
      </w:pPr>
    </w:p>
    <w:p w14:paraId="272CE4B8" w14:textId="77777777" w:rsidR="00CA74D8" w:rsidRPr="00373E2E" w:rsidRDefault="00CA74D8" w:rsidP="00CA74D8">
      <w:pPr>
        <w:spacing w:before="120" w:after="120"/>
        <w:jc w:val="both"/>
        <w:rPr>
          <w:rFonts w:ascii="Lucida Sans" w:hAnsi="Lucida Sans"/>
          <w:b/>
          <w:szCs w:val="20"/>
        </w:rPr>
      </w:pPr>
    </w:p>
    <w:p w14:paraId="004F31ED" w14:textId="77777777" w:rsidR="00CA74D8" w:rsidRPr="00373E2E" w:rsidRDefault="00CA74D8" w:rsidP="00CA74D8">
      <w:pPr>
        <w:spacing w:before="120" w:after="120"/>
        <w:jc w:val="both"/>
        <w:rPr>
          <w:rFonts w:ascii="Lucida Sans" w:hAnsi="Lucida Sans"/>
          <w:b/>
          <w:color w:val="FF0000"/>
          <w:szCs w:val="20"/>
        </w:rPr>
      </w:pPr>
      <w:r w:rsidRPr="00373E2E">
        <w:rPr>
          <w:rFonts w:ascii="Lucida Sans" w:hAnsi="Lucida Sans"/>
          <w:b/>
          <w:color w:val="FF0000"/>
          <w:szCs w:val="20"/>
        </w:rPr>
        <w:t>Historical data</w:t>
      </w:r>
    </w:p>
    <w:p w14:paraId="793B04B8" w14:textId="5ECA09BC" w:rsidR="00CA74D8" w:rsidRPr="00373E2E" w:rsidRDefault="0031128A" w:rsidP="00CA74D8">
      <w:pPr>
        <w:spacing w:before="120" w:after="120"/>
        <w:jc w:val="both"/>
        <w:rPr>
          <w:rFonts w:ascii="Lucida Sans" w:hAnsi="Lucida Sans"/>
          <w:b/>
          <w:color w:val="FF0000"/>
          <w:szCs w:val="20"/>
        </w:rPr>
      </w:pPr>
      <w:r>
        <w:rPr>
          <w:rFonts w:ascii="Lucida Sans" w:hAnsi="Lucida Sans"/>
          <w:color w:val="FF0000"/>
          <w:szCs w:val="20"/>
        </w:rPr>
        <w:t>18</w:t>
      </w:r>
      <w:r w:rsidR="006A7345">
        <w:rPr>
          <w:rFonts w:ascii="Lucida Sans" w:hAnsi="Lucida Sans"/>
          <w:color w:val="FF0000"/>
          <w:szCs w:val="20"/>
        </w:rPr>
        <w:t>b</w:t>
      </w:r>
      <w:r w:rsidR="00CA74D8" w:rsidRPr="00373E2E">
        <w:rPr>
          <w:rFonts w:ascii="Lucida Sans" w:hAnsi="Lucida Sans"/>
          <w:color w:val="FF0000"/>
          <w:szCs w:val="20"/>
        </w:rPr>
        <w:t>. When calculating transaction costs using data prior to [end date of the UCITS exemption],</w:t>
      </w:r>
      <w:r w:rsidR="00CA74D8" w:rsidRPr="00373E2E">
        <w:rPr>
          <w:rFonts w:ascii="Lucida Sans" w:hAnsi="Lucida Sans"/>
          <w:color w:val="FF0000"/>
          <w:szCs w:val="20"/>
          <w:lang w:val="it-IT"/>
        </w:rPr>
        <w:t xml:space="preserve"> </w:t>
      </w:r>
      <w:proofErr w:type="spellStart"/>
      <w:r w:rsidR="00CA74D8" w:rsidRPr="00373E2E">
        <w:rPr>
          <w:rFonts w:ascii="Lucida Sans" w:hAnsi="Lucida Sans"/>
          <w:color w:val="FF0000"/>
          <w:szCs w:val="20"/>
          <w:lang w:val="it-IT"/>
        </w:rPr>
        <w:t>it</w:t>
      </w:r>
      <w:proofErr w:type="spellEnd"/>
      <w:r w:rsidR="00CA74D8" w:rsidRPr="00373E2E">
        <w:rPr>
          <w:rFonts w:ascii="Lucida Sans" w:hAnsi="Lucida Sans"/>
          <w:color w:val="FF0000"/>
          <w:szCs w:val="20"/>
          <w:lang w:val="it-IT"/>
        </w:rPr>
        <w:t xml:space="preserve"> </w:t>
      </w:r>
      <w:proofErr w:type="spellStart"/>
      <w:r w:rsidR="00CA74D8" w:rsidRPr="00373E2E">
        <w:rPr>
          <w:rFonts w:ascii="Lucida Sans" w:hAnsi="Lucida Sans"/>
          <w:color w:val="FF0000"/>
          <w:szCs w:val="20"/>
          <w:lang w:val="it-IT"/>
        </w:rPr>
        <w:t>is</w:t>
      </w:r>
      <w:proofErr w:type="spellEnd"/>
      <w:r w:rsidR="00CA74D8" w:rsidRPr="00373E2E">
        <w:rPr>
          <w:rFonts w:ascii="Lucida Sans" w:hAnsi="Lucida Sans"/>
          <w:color w:val="FF0000"/>
          <w:szCs w:val="20"/>
          <w:lang w:val="it-IT"/>
        </w:rPr>
        <w:t xml:space="preserve"> </w:t>
      </w:r>
      <w:proofErr w:type="spellStart"/>
      <w:r w:rsidR="00CA74D8" w:rsidRPr="00373E2E">
        <w:rPr>
          <w:rFonts w:ascii="Lucida Sans" w:hAnsi="Lucida Sans"/>
          <w:color w:val="FF0000"/>
          <w:szCs w:val="20"/>
          <w:lang w:val="it-IT"/>
        </w:rPr>
        <w:t>permissible</w:t>
      </w:r>
      <w:proofErr w:type="spellEnd"/>
      <w:r w:rsidR="00CA74D8" w:rsidRPr="00373E2E">
        <w:rPr>
          <w:rFonts w:ascii="Lucida Sans" w:hAnsi="Lucida Sans"/>
          <w:color w:val="FF0000"/>
          <w:szCs w:val="20"/>
          <w:lang w:val="it-IT"/>
        </w:rPr>
        <w:t xml:space="preserve"> to </w:t>
      </w:r>
      <w:proofErr w:type="spellStart"/>
      <w:r w:rsidR="00CA74D8" w:rsidRPr="00373E2E">
        <w:rPr>
          <w:rFonts w:ascii="Lucida Sans" w:hAnsi="Lucida Sans"/>
          <w:color w:val="FF0000"/>
          <w:szCs w:val="20"/>
          <w:lang w:val="it-IT"/>
        </w:rPr>
        <w:t>calculate</w:t>
      </w:r>
      <w:proofErr w:type="spellEnd"/>
      <w:r w:rsidR="00CA74D8" w:rsidRPr="00373E2E">
        <w:rPr>
          <w:rFonts w:ascii="Lucida Sans" w:hAnsi="Lucida Sans"/>
          <w:color w:val="FF0000"/>
          <w:szCs w:val="20"/>
          <w:lang w:val="it-IT"/>
        </w:rPr>
        <w:t xml:space="preserve"> the </w:t>
      </w:r>
      <w:proofErr w:type="spellStart"/>
      <w:r w:rsidR="00CA74D8" w:rsidRPr="00373E2E">
        <w:rPr>
          <w:rFonts w:ascii="Lucida Sans" w:hAnsi="Lucida Sans"/>
          <w:color w:val="FF0000"/>
          <w:szCs w:val="20"/>
          <w:lang w:val="it-IT"/>
        </w:rPr>
        <w:t>transaction</w:t>
      </w:r>
      <w:proofErr w:type="spellEnd"/>
      <w:r w:rsidR="00CA74D8" w:rsidRPr="00373E2E">
        <w:rPr>
          <w:rFonts w:ascii="Lucida Sans" w:hAnsi="Lucida Sans"/>
          <w:color w:val="FF0000"/>
          <w:szCs w:val="20"/>
          <w:lang w:val="it-IT"/>
        </w:rPr>
        <w:t xml:space="preserve"> costs </w:t>
      </w:r>
      <w:proofErr w:type="spellStart"/>
      <w:r w:rsidR="00CA74D8" w:rsidRPr="00373E2E">
        <w:rPr>
          <w:rFonts w:ascii="Lucida Sans" w:hAnsi="Lucida Sans"/>
          <w:color w:val="FF0000"/>
          <w:szCs w:val="20"/>
          <w:lang w:val="it-IT"/>
        </w:rPr>
        <w:t>as</w:t>
      </w:r>
      <w:proofErr w:type="spellEnd"/>
      <w:r w:rsidR="00CA74D8" w:rsidRPr="00373E2E">
        <w:rPr>
          <w:rFonts w:ascii="Lucida Sans" w:hAnsi="Lucida Sans"/>
          <w:color w:val="FF0000"/>
          <w:szCs w:val="20"/>
          <w:lang w:val="it-IT"/>
        </w:rPr>
        <w:t xml:space="preserve"> </w:t>
      </w:r>
      <w:proofErr w:type="spellStart"/>
      <w:r w:rsidR="00CA74D8" w:rsidRPr="00373E2E">
        <w:rPr>
          <w:rFonts w:ascii="Lucida Sans" w:hAnsi="Lucida Sans"/>
          <w:color w:val="FF0000"/>
          <w:szCs w:val="20"/>
          <w:lang w:val="it-IT"/>
        </w:rPr>
        <w:t>described</w:t>
      </w:r>
      <w:proofErr w:type="spellEnd"/>
      <w:r w:rsidR="00CA74D8" w:rsidRPr="00373E2E">
        <w:rPr>
          <w:rFonts w:ascii="Lucida Sans" w:hAnsi="Lucida Sans"/>
          <w:color w:val="FF0000"/>
          <w:szCs w:val="20"/>
          <w:lang w:val="it-IT"/>
        </w:rPr>
        <w:t xml:space="preserve"> in point 18 and 18a or </w:t>
      </w:r>
      <w:r w:rsidR="009B3022">
        <w:rPr>
          <w:rFonts w:ascii="Lucida Sans" w:hAnsi="Lucida Sans"/>
          <w:color w:val="FF0000"/>
          <w:szCs w:val="20"/>
          <w:lang w:val="it-IT"/>
        </w:rPr>
        <w:t xml:space="preserve">to </w:t>
      </w:r>
      <w:proofErr w:type="spellStart"/>
      <w:r w:rsidR="00CA74D8" w:rsidRPr="00373E2E">
        <w:rPr>
          <w:rFonts w:ascii="Lucida Sans" w:hAnsi="Lucida Sans"/>
          <w:color w:val="FF0000"/>
          <w:szCs w:val="20"/>
          <w:lang w:val="it-IT"/>
        </w:rPr>
        <w:t>rely</w:t>
      </w:r>
      <w:proofErr w:type="spellEnd"/>
      <w:r w:rsidR="00CA74D8" w:rsidRPr="00373E2E">
        <w:rPr>
          <w:rFonts w:ascii="Lucida Sans" w:hAnsi="Lucida Sans"/>
          <w:color w:val="FF0000"/>
          <w:szCs w:val="20"/>
          <w:lang w:val="it-IT"/>
        </w:rPr>
        <w:t xml:space="preserve"> on data </w:t>
      </w:r>
      <w:proofErr w:type="spellStart"/>
      <w:r w:rsidR="00CA74D8" w:rsidRPr="00373E2E">
        <w:rPr>
          <w:rFonts w:ascii="Lucida Sans" w:hAnsi="Lucida Sans"/>
          <w:color w:val="FF0000"/>
          <w:szCs w:val="20"/>
          <w:lang w:val="it-IT"/>
        </w:rPr>
        <w:t>viable</w:t>
      </w:r>
      <w:proofErr w:type="spellEnd"/>
      <w:r w:rsidR="00CA74D8" w:rsidRPr="00373E2E">
        <w:rPr>
          <w:rFonts w:ascii="Lucida Sans" w:hAnsi="Lucida Sans"/>
          <w:color w:val="FF0000"/>
          <w:szCs w:val="20"/>
          <w:lang w:val="it-IT"/>
        </w:rPr>
        <w:t xml:space="preserve"> to </w:t>
      </w:r>
      <w:proofErr w:type="spellStart"/>
      <w:r w:rsidR="00CA74D8" w:rsidRPr="00373E2E">
        <w:rPr>
          <w:rFonts w:ascii="Lucida Sans" w:hAnsi="Lucida Sans"/>
          <w:color w:val="FF0000"/>
          <w:szCs w:val="20"/>
          <w:lang w:val="it-IT"/>
        </w:rPr>
        <w:t>comply</w:t>
      </w:r>
      <w:proofErr w:type="spellEnd"/>
      <w:r w:rsidR="00CA74D8" w:rsidRPr="00373E2E">
        <w:rPr>
          <w:rFonts w:ascii="Lucida Sans" w:hAnsi="Lucida Sans"/>
          <w:color w:val="FF0000"/>
          <w:szCs w:val="20"/>
          <w:lang w:val="it-IT"/>
        </w:rPr>
        <w:t xml:space="preserve"> with </w:t>
      </w:r>
      <w:proofErr w:type="spellStart"/>
      <w:r w:rsidR="00CA74D8" w:rsidRPr="00373E2E">
        <w:rPr>
          <w:rFonts w:ascii="Lucida Sans" w:hAnsi="Lucida Sans"/>
          <w:color w:val="FF0000"/>
          <w:szCs w:val="20"/>
          <w:lang w:val="it-IT"/>
        </w:rPr>
        <w:t>Article</w:t>
      </w:r>
      <w:proofErr w:type="spellEnd"/>
      <w:r w:rsidR="00CA74D8" w:rsidRPr="00373E2E">
        <w:rPr>
          <w:rFonts w:ascii="Lucida Sans" w:hAnsi="Lucida Sans"/>
          <w:color w:val="FF0000"/>
          <w:szCs w:val="20"/>
          <w:lang w:val="it-IT"/>
        </w:rPr>
        <w:t xml:space="preserve"> 24 (4) Directive 2014/65/</w:t>
      </w:r>
      <w:commentRangeStart w:id="23"/>
      <w:r w:rsidR="00CA74D8" w:rsidRPr="00373E2E">
        <w:rPr>
          <w:rFonts w:ascii="Lucida Sans" w:hAnsi="Lucida Sans"/>
          <w:color w:val="FF0000"/>
          <w:szCs w:val="20"/>
          <w:lang w:val="it-IT"/>
        </w:rPr>
        <w:t>EU</w:t>
      </w:r>
      <w:commentRangeEnd w:id="23"/>
      <w:r w:rsidR="00811922">
        <w:rPr>
          <w:rStyle w:val="Rimandocommento"/>
        </w:rPr>
        <w:commentReference w:id="23"/>
      </w:r>
      <w:r w:rsidR="00CA74D8" w:rsidRPr="00373E2E">
        <w:rPr>
          <w:rFonts w:ascii="Lucida Sans" w:hAnsi="Lucida Sans"/>
          <w:color w:val="FF0000"/>
          <w:szCs w:val="20"/>
          <w:lang w:val="it-IT"/>
        </w:rPr>
        <w:t>.</w:t>
      </w:r>
    </w:p>
    <w:p w14:paraId="68310CD1" w14:textId="77777777" w:rsidR="00CA74D8" w:rsidRPr="00373E2E" w:rsidRDefault="00CA74D8" w:rsidP="00CA74D8">
      <w:pPr>
        <w:spacing w:before="120" w:after="120"/>
        <w:jc w:val="both"/>
        <w:rPr>
          <w:rFonts w:ascii="Lucida Sans" w:hAnsi="Lucida Sans"/>
          <w:b/>
          <w:szCs w:val="20"/>
        </w:rPr>
      </w:pPr>
    </w:p>
    <w:p w14:paraId="3CC58D76" w14:textId="77777777" w:rsidR="00CA74D8" w:rsidRPr="00373E2E" w:rsidRDefault="00CA74D8" w:rsidP="00CA74D8">
      <w:pPr>
        <w:spacing w:before="120" w:after="120"/>
        <w:jc w:val="both"/>
        <w:rPr>
          <w:rFonts w:ascii="Lucida Sans" w:hAnsi="Lucida Sans"/>
          <w:b/>
          <w:szCs w:val="20"/>
        </w:rPr>
      </w:pPr>
      <w:r w:rsidRPr="00373E2E">
        <w:rPr>
          <w:rFonts w:ascii="Lucida Sans" w:hAnsi="Lucida Sans"/>
          <w:b/>
          <w:szCs w:val="20"/>
        </w:rPr>
        <w:t>Transaction costs for new PRIIPs</w:t>
      </w:r>
    </w:p>
    <w:p w14:paraId="01D0B20D" w14:textId="77777777" w:rsidR="00CA74D8" w:rsidRPr="00373E2E" w:rsidRDefault="00CA74D8" w:rsidP="00CA74D8">
      <w:pPr>
        <w:spacing w:before="120" w:after="120"/>
        <w:jc w:val="both"/>
        <w:rPr>
          <w:rFonts w:ascii="Lucida Sans" w:hAnsi="Lucida Sans"/>
          <w:szCs w:val="20"/>
        </w:rPr>
      </w:pPr>
      <w:r w:rsidRPr="00373E2E">
        <w:rPr>
          <w:rFonts w:ascii="Lucida Sans" w:hAnsi="Lucida Sans"/>
          <w:szCs w:val="20"/>
        </w:rPr>
        <w:t>19. For PRIIPs that have been operating for less than 3 years, transaction costs shall be estimated according to the following:</w:t>
      </w:r>
    </w:p>
    <w:p w14:paraId="3E4B4975" w14:textId="611F95F7" w:rsidR="00CA74D8" w:rsidRPr="00373E2E" w:rsidRDefault="00CA74D8" w:rsidP="00CA74D8">
      <w:pPr>
        <w:spacing w:before="120" w:after="120"/>
        <w:jc w:val="both"/>
        <w:rPr>
          <w:rFonts w:ascii="Lucida Sans" w:hAnsi="Lucida Sans"/>
          <w:szCs w:val="20"/>
        </w:rPr>
      </w:pPr>
      <w:r w:rsidRPr="00373E2E">
        <w:rPr>
          <w:rFonts w:ascii="Lucida Sans" w:hAnsi="Lucida Sans"/>
          <w:szCs w:val="20"/>
        </w:rPr>
        <w:t xml:space="preserve">a. estimating the total costs incurred from the costs calculated under the method described under points 10 to </w:t>
      </w:r>
      <w:r w:rsidRPr="00373E2E">
        <w:rPr>
          <w:rFonts w:ascii="Lucida Sans" w:hAnsi="Lucida Sans"/>
          <w:color w:val="FF0000"/>
          <w:szCs w:val="20"/>
        </w:rPr>
        <w:t>18</w:t>
      </w:r>
      <w:r w:rsidR="006A7345">
        <w:rPr>
          <w:rFonts w:ascii="Lucida Sans" w:hAnsi="Lucida Sans"/>
          <w:color w:val="FF0000"/>
          <w:szCs w:val="20"/>
        </w:rPr>
        <w:t>b</w:t>
      </w:r>
      <w:r w:rsidRPr="00373E2E">
        <w:rPr>
          <w:rFonts w:ascii="Lucida Sans" w:hAnsi="Lucida Sans"/>
          <w:color w:val="FF0000"/>
          <w:szCs w:val="20"/>
        </w:rPr>
        <w:t xml:space="preserve"> </w:t>
      </w:r>
      <w:r w:rsidRPr="00373E2E">
        <w:rPr>
          <w:rFonts w:ascii="Lucida Sans" w:hAnsi="Lucida Sans"/>
          <w:strike/>
          <w:color w:val="FF0000"/>
          <w:szCs w:val="20"/>
        </w:rPr>
        <w:t>14</w:t>
      </w:r>
      <w:r w:rsidRPr="00373E2E">
        <w:rPr>
          <w:rFonts w:ascii="Lucida Sans" w:hAnsi="Lucida Sans"/>
          <w:strike/>
          <w:szCs w:val="20"/>
        </w:rPr>
        <w:t xml:space="preserve"> </w:t>
      </w:r>
      <w:r w:rsidRPr="00373E2E">
        <w:rPr>
          <w:rFonts w:ascii="Lucida Sans" w:hAnsi="Lucida Sans"/>
          <w:szCs w:val="20"/>
        </w:rPr>
        <w:t>for a period representing the highest multiple of one year that the PRIIP has been operating, averaged over one year;</w:t>
      </w:r>
    </w:p>
    <w:p w14:paraId="694DD1D7" w14:textId="77777777" w:rsidR="00CA74D8" w:rsidRPr="00373E2E" w:rsidRDefault="00CA74D8" w:rsidP="00CA74D8">
      <w:pPr>
        <w:spacing w:before="120" w:after="120"/>
        <w:jc w:val="both"/>
        <w:rPr>
          <w:rFonts w:ascii="Lucida Sans" w:hAnsi="Lucida Sans"/>
          <w:szCs w:val="20"/>
        </w:rPr>
      </w:pPr>
      <w:r w:rsidRPr="00373E2E">
        <w:rPr>
          <w:rFonts w:ascii="Lucida Sans" w:hAnsi="Lucida Sans"/>
          <w:szCs w:val="20"/>
        </w:rPr>
        <w:t>b. for a PRIIP that has been operating for less than one year, by estimating the portfolio turnover in each asset class with the costs estimated according to the methodology referred to in points 10</w:t>
      </w:r>
      <w:r w:rsidRPr="00373E2E">
        <w:rPr>
          <w:rFonts w:ascii="Lucida Sans" w:hAnsi="Lucida Sans"/>
          <w:color w:val="FF0000"/>
          <w:szCs w:val="20"/>
        </w:rPr>
        <w:t>, 18 to 18</w:t>
      </w:r>
      <w:proofErr w:type="gramStart"/>
      <w:r w:rsidRPr="00373E2E">
        <w:rPr>
          <w:rFonts w:ascii="Lucida Sans" w:hAnsi="Lucida Sans"/>
          <w:color w:val="FF0000"/>
          <w:szCs w:val="20"/>
        </w:rPr>
        <w:t xml:space="preserve">b  </w:t>
      </w:r>
      <w:r w:rsidRPr="00373E2E">
        <w:rPr>
          <w:rFonts w:ascii="Lucida Sans" w:hAnsi="Lucida Sans"/>
          <w:strike/>
          <w:color w:val="FF0000"/>
          <w:szCs w:val="20"/>
        </w:rPr>
        <w:t>to</w:t>
      </w:r>
      <w:proofErr w:type="gramEnd"/>
      <w:r w:rsidRPr="00373E2E">
        <w:rPr>
          <w:rFonts w:ascii="Lucida Sans" w:hAnsi="Lucida Sans"/>
          <w:strike/>
          <w:color w:val="FF0000"/>
          <w:szCs w:val="20"/>
        </w:rPr>
        <w:t xml:space="preserve"> 14 a (ii) and 14 b (ii)</w:t>
      </w:r>
      <w:r w:rsidRPr="00373E2E">
        <w:rPr>
          <w:rFonts w:ascii="Lucida Sans" w:hAnsi="Lucida Sans"/>
          <w:color w:val="FF0000"/>
          <w:szCs w:val="20"/>
        </w:rPr>
        <w:t xml:space="preserve"> </w:t>
      </w:r>
      <w:r w:rsidRPr="00373E2E">
        <w:rPr>
          <w:rFonts w:ascii="Lucida Sans" w:hAnsi="Lucida Sans"/>
          <w:szCs w:val="20"/>
        </w:rPr>
        <w:t>of this Annex.</w:t>
      </w:r>
    </w:p>
    <w:p w14:paraId="697808C2" w14:textId="77777777" w:rsidR="00CA74D8" w:rsidRPr="00373E2E" w:rsidRDefault="00CA74D8" w:rsidP="00CA74D8">
      <w:pPr>
        <w:spacing w:before="120" w:after="120"/>
        <w:jc w:val="both"/>
        <w:rPr>
          <w:rFonts w:ascii="Lucida Sans" w:hAnsi="Lucida Sans"/>
          <w:szCs w:val="20"/>
        </w:rPr>
      </w:pPr>
      <w:r w:rsidRPr="00373E2E">
        <w:rPr>
          <w:rFonts w:ascii="Lucida Sans" w:hAnsi="Lucida Sans"/>
          <w:szCs w:val="20"/>
        </w:rPr>
        <w:t>20. Estimates of portfolio turnover for a PRIIP that has been operating for less than one year must be made on a consistent basis with the investment policy disclosed in the offering documents. Estimates of portfolio turnover for a PRIIP that has been operating for more than one year must be consistent with actual portfolio turnover.</w:t>
      </w:r>
    </w:p>
    <w:p w14:paraId="3CF4EAA5" w14:textId="77777777" w:rsidR="00CA74D8" w:rsidRPr="00373E2E" w:rsidRDefault="00CA74D8" w:rsidP="00CA74D8">
      <w:pPr>
        <w:spacing w:before="120" w:after="120"/>
        <w:jc w:val="both"/>
        <w:rPr>
          <w:rFonts w:ascii="Lucida Sans" w:hAnsi="Lucida Sans"/>
          <w:szCs w:val="20"/>
        </w:rPr>
      </w:pPr>
      <w:r w:rsidRPr="00373E2E">
        <w:rPr>
          <w:rFonts w:ascii="Lucida Sans" w:hAnsi="Lucida Sans"/>
          <w:szCs w:val="20"/>
        </w:rPr>
        <w:t xml:space="preserve">21. For PRIIPs that have been operating for less than three years and that invest predominantly in assets other than assets as referred to in point </w:t>
      </w:r>
      <w:r w:rsidRPr="00373E2E">
        <w:rPr>
          <w:rFonts w:ascii="Lucida Sans" w:hAnsi="Lucida Sans"/>
          <w:color w:val="FF0000"/>
          <w:szCs w:val="20"/>
        </w:rPr>
        <w:t>8</w:t>
      </w:r>
      <w:r w:rsidRPr="00373E2E">
        <w:rPr>
          <w:rFonts w:ascii="Lucida Sans" w:hAnsi="Lucida Sans"/>
          <w:strike/>
          <w:color w:val="FF0000"/>
          <w:szCs w:val="20"/>
        </w:rPr>
        <w:t>9</w:t>
      </w:r>
      <w:r w:rsidRPr="00373E2E">
        <w:rPr>
          <w:rFonts w:ascii="Lucida Sans" w:hAnsi="Lucida Sans"/>
          <w:szCs w:val="20"/>
        </w:rPr>
        <w:t xml:space="preserve"> of this Annex, the PRIIP manufacturer shall estimate the </w:t>
      </w:r>
      <w:r w:rsidRPr="00373E2E">
        <w:rPr>
          <w:rFonts w:ascii="Lucida Sans" w:hAnsi="Lucida Sans"/>
          <w:color w:val="FF0000"/>
          <w:szCs w:val="20"/>
        </w:rPr>
        <w:t xml:space="preserve">explicit </w:t>
      </w:r>
      <w:r w:rsidRPr="00373E2E">
        <w:rPr>
          <w:rFonts w:ascii="Lucida Sans" w:hAnsi="Lucida Sans"/>
          <w:szCs w:val="20"/>
        </w:rPr>
        <w:t xml:space="preserve">transaction costs </w:t>
      </w:r>
      <w:commentRangeStart w:id="24"/>
      <w:r w:rsidRPr="00373E2E">
        <w:rPr>
          <w:rFonts w:ascii="Lucida Sans" w:hAnsi="Lucida Sans"/>
          <w:color w:val="FF0000"/>
          <w:szCs w:val="20"/>
        </w:rPr>
        <w:t>only</w:t>
      </w:r>
      <w:commentRangeEnd w:id="24"/>
      <w:r w:rsidR="00873187">
        <w:rPr>
          <w:rStyle w:val="Rimandocommento"/>
        </w:rPr>
        <w:commentReference w:id="24"/>
      </w:r>
      <w:r w:rsidRPr="00373E2E">
        <w:rPr>
          <w:rFonts w:ascii="Lucida Sans" w:hAnsi="Lucida Sans"/>
          <w:strike/>
          <w:color w:val="FF0000"/>
          <w:szCs w:val="20"/>
        </w:rPr>
        <w:t xml:space="preserve">  on the basis of the fair value method</w:t>
      </w:r>
      <w:r w:rsidRPr="00373E2E">
        <w:rPr>
          <w:rFonts w:ascii="Lucida Sans" w:hAnsi="Lucida Sans"/>
          <w:color w:val="FF0000"/>
          <w:szCs w:val="20"/>
        </w:rPr>
        <w:t xml:space="preserve"> </w:t>
      </w:r>
      <w:r w:rsidRPr="00373E2E">
        <w:rPr>
          <w:rFonts w:ascii="Lucida Sans" w:hAnsi="Lucida Sans"/>
          <w:szCs w:val="20"/>
        </w:rPr>
        <w:t xml:space="preserve">using comparable assets </w:t>
      </w:r>
      <w:r w:rsidRPr="00373E2E">
        <w:rPr>
          <w:rFonts w:ascii="Lucida Sans" w:hAnsi="Lucida Sans"/>
          <w:color w:val="FF0000"/>
          <w:szCs w:val="20"/>
        </w:rPr>
        <w:t>or</w:t>
      </w:r>
      <w:r w:rsidRPr="00373E2E">
        <w:rPr>
          <w:rFonts w:ascii="Lucida Sans" w:hAnsi="Lucida Sans"/>
          <w:szCs w:val="20"/>
        </w:rPr>
        <w:t xml:space="preserve"> </w:t>
      </w:r>
      <w:r w:rsidRPr="00373E2E">
        <w:rPr>
          <w:rFonts w:ascii="Lucida Sans" w:hAnsi="Lucida Sans"/>
          <w:color w:val="FF0000"/>
          <w:szCs w:val="20"/>
        </w:rPr>
        <w:t xml:space="preserve">be based on the business </w:t>
      </w:r>
      <w:commentRangeStart w:id="25"/>
      <w:r w:rsidRPr="00373E2E">
        <w:rPr>
          <w:rFonts w:ascii="Lucida Sans" w:hAnsi="Lucida Sans"/>
          <w:color w:val="FF0000"/>
          <w:szCs w:val="20"/>
        </w:rPr>
        <w:t>forecast</w:t>
      </w:r>
      <w:commentRangeEnd w:id="25"/>
      <w:r w:rsidR="00873187">
        <w:rPr>
          <w:rStyle w:val="Rimandocommento"/>
        </w:rPr>
        <w:commentReference w:id="25"/>
      </w:r>
      <w:r w:rsidRPr="00373E2E">
        <w:rPr>
          <w:rFonts w:ascii="Lucida Sans" w:hAnsi="Lucida Sans"/>
          <w:color w:val="FF0000"/>
          <w:szCs w:val="20"/>
        </w:rPr>
        <w:t>.</w:t>
      </w:r>
    </w:p>
    <w:p w14:paraId="1ADA9290" w14:textId="77777777" w:rsidR="00CA74D8" w:rsidRPr="00373E2E" w:rsidRDefault="00CA74D8" w:rsidP="00CA74D8">
      <w:pPr>
        <w:pStyle w:val="FCAHeadingLevel2"/>
        <w:spacing w:before="120" w:after="120" w:line="240" w:lineRule="auto"/>
        <w:rPr>
          <w:rFonts w:ascii="Lucida Sans" w:hAnsi="Lucida Sans"/>
          <w:color w:val="auto"/>
          <w:sz w:val="20"/>
          <w:szCs w:val="20"/>
          <w:u w:val="none"/>
        </w:rPr>
      </w:pPr>
      <w:r w:rsidRPr="00373E2E">
        <w:rPr>
          <w:rFonts w:ascii="Lucida Sans" w:hAnsi="Lucida Sans"/>
          <w:color w:val="auto"/>
          <w:sz w:val="20"/>
          <w:szCs w:val="20"/>
          <w:u w:val="none"/>
        </w:rPr>
        <w:t>Transaction costs for assets defined under point 9</w:t>
      </w:r>
    </w:p>
    <w:p w14:paraId="4E3550E3" w14:textId="77777777" w:rsidR="00CA74D8" w:rsidRPr="00373E2E" w:rsidRDefault="00CA74D8" w:rsidP="00CA74D8">
      <w:pPr>
        <w:pStyle w:val="FCAHeadingLevel2"/>
        <w:spacing w:before="120" w:after="120" w:line="240" w:lineRule="auto"/>
        <w:rPr>
          <w:rFonts w:ascii="Lucida Sans" w:hAnsi="Lucida Sans"/>
          <w:b w:val="0"/>
          <w:strike/>
          <w:color w:val="FF0000"/>
          <w:sz w:val="20"/>
          <w:szCs w:val="20"/>
          <w:u w:val="none"/>
        </w:rPr>
      </w:pPr>
      <w:r w:rsidRPr="00373E2E">
        <w:rPr>
          <w:rFonts w:ascii="Lucida Sans" w:hAnsi="Lucida Sans"/>
          <w:b w:val="0"/>
          <w:color w:val="auto"/>
          <w:sz w:val="20"/>
          <w:szCs w:val="20"/>
          <w:u w:val="none"/>
        </w:rPr>
        <w:t>22. When estimating transaction costs for assets other than assets as referred to in point 8 of this Annex, transaction costs shall be deemed to consist of explicit costs only and shall be calculated as</w:t>
      </w:r>
      <w:r w:rsidRPr="00373E2E">
        <w:rPr>
          <w:rFonts w:ascii="Lucida Sans" w:hAnsi="Lucida Sans"/>
          <w:b w:val="0"/>
          <w:color w:val="FF0000"/>
          <w:sz w:val="20"/>
          <w:szCs w:val="20"/>
          <w:u w:val="none"/>
        </w:rPr>
        <w:t xml:space="preserve"> the annual average of </w:t>
      </w:r>
      <w:r w:rsidRPr="00373E2E">
        <w:rPr>
          <w:rFonts w:ascii="Lucida Sans" w:hAnsi="Lucida Sans"/>
          <w:b w:val="0"/>
          <w:color w:val="auto"/>
          <w:sz w:val="20"/>
          <w:szCs w:val="20"/>
          <w:u w:val="none"/>
        </w:rPr>
        <w:t xml:space="preserve">the aggregate of the costs directly associated with the transaction including all charges, commissions, taxes and other payments (such as anti-dilution levies), where those assets are made from the </w:t>
      </w:r>
      <w:r w:rsidRPr="00373E2E">
        <w:rPr>
          <w:rFonts w:ascii="Lucida Sans" w:hAnsi="Lucida Sans"/>
          <w:b w:val="0"/>
          <w:color w:val="FF0000"/>
          <w:sz w:val="20"/>
          <w:szCs w:val="20"/>
          <w:u w:val="none"/>
        </w:rPr>
        <w:t xml:space="preserve">payments </w:t>
      </w:r>
      <w:r w:rsidRPr="00373E2E">
        <w:rPr>
          <w:rFonts w:ascii="Lucida Sans" w:hAnsi="Lucida Sans"/>
          <w:b w:val="0"/>
          <w:strike/>
          <w:color w:val="auto"/>
          <w:sz w:val="20"/>
          <w:szCs w:val="20"/>
          <w:u w:val="none"/>
        </w:rPr>
        <w:t>assets</w:t>
      </w:r>
      <w:r w:rsidRPr="00373E2E">
        <w:rPr>
          <w:rFonts w:ascii="Lucida Sans" w:hAnsi="Lucida Sans"/>
          <w:b w:val="0"/>
          <w:color w:val="auto"/>
          <w:sz w:val="20"/>
          <w:szCs w:val="20"/>
          <w:u w:val="none"/>
        </w:rPr>
        <w:t xml:space="preserve"> of the PRIIP. </w:t>
      </w:r>
      <w:r w:rsidRPr="00373E2E">
        <w:rPr>
          <w:rFonts w:ascii="Lucida Sans" w:hAnsi="Lucida Sans"/>
          <w:b w:val="0"/>
          <w:strike/>
          <w:color w:val="FF0000"/>
          <w:sz w:val="20"/>
          <w:szCs w:val="20"/>
          <w:u w:val="none"/>
        </w:rPr>
        <w:t xml:space="preserve">Where the asset has been bought or sold at a price that is materially different from its fair value, implicit costs shall be calculated as </w:t>
      </w:r>
      <w:proofErr w:type="gramStart"/>
      <w:r w:rsidRPr="00373E2E">
        <w:rPr>
          <w:rFonts w:ascii="Lucida Sans" w:hAnsi="Lucida Sans"/>
          <w:b w:val="0"/>
          <w:strike/>
          <w:color w:val="FF0000"/>
          <w:sz w:val="20"/>
          <w:szCs w:val="20"/>
          <w:u w:val="none"/>
        </w:rPr>
        <w:t>follows :</w:t>
      </w:r>
      <w:proofErr w:type="gramEnd"/>
      <w:r w:rsidRPr="00373E2E">
        <w:rPr>
          <w:rFonts w:ascii="Lucida Sans" w:hAnsi="Lucida Sans"/>
          <w:b w:val="0"/>
          <w:strike/>
          <w:color w:val="FF0000"/>
          <w:sz w:val="20"/>
          <w:szCs w:val="20"/>
          <w:u w:val="none"/>
        </w:rPr>
        <w:t xml:space="preserve"> (execution price – fair value price)*number of </w:t>
      </w:r>
      <w:commentRangeStart w:id="26"/>
      <w:r w:rsidRPr="00373E2E">
        <w:rPr>
          <w:rFonts w:ascii="Lucida Sans" w:hAnsi="Lucida Sans"/>
          <w:b w:val="0"/>
          <w:strike/>
          <w:color w:val="FF0000"/>
          <w:sz w:val="20"/>
          <w:szCs w:val="20"/>
          <w:u w:val="none"/>
        </w:rPr>
        <w:t>transactions</w:t>
      </w:r>
      <w:commentRangeEnd w:id="26"/>
      <w:r w:rsidR="00873187">
        <w:rPr>
          <w:rStyle w:val="Rimandocommento"/>
          <w:rFonts w:ascii="Arial" w:eastAsia="Times New Roman" w:hAnsi="Arial" w:cs="Times New Roman"/>
          <w:b w:val="0"/>
          <w:color w:val="auto"/>
          <w:u w:val="none"/>
          <w:lang w:eastAsia="de-DE"/>
        </w:rPr>
        <w:commentReference w:id="26"/>
      </w:r>
      <w:r w:rsidRPr="00373E2E">
        <w:rPr>
          <w:rFonts w:ascii="Lucida Sans" w:hAnsi="Lucida Sans"/>
          <w:b w:val="0"/>
          <w:strike/>
          <w:color w:val="FF0000"/>
          <w:sz w:val="20"/>
          <w:szCs w:val="20"/>
          <w:u w:val="none"/>
        </w:rPr>
        <w:t>.</w:t>
      </w:r>
    </w:p>
    <w:p w14:paraId="6E6D059B" w14:textId="77777777" w:rsidR="00CA74D8" w:rsidRPr="00373E2E" w:rsidRDefault="00CA74D8" w:rsidP="00CA74D8">
      <w:pPr>
        <w:pStyle w:val="FCAHeadingLevel2"/>
        <w:spacing w:before="120" w:after="120" w:line="240" w:lineRule="auto"/>
        <w:rPr>
          <w:rFonts w:ascii="Lucida Sans" w:hAnsi="Lucida Sans"/>
          <w:b w:val="0"/>
          <w:color w:val="auto"/>
          <w:sz w:val="20"/>
          <w:szCs w:val="20"/>
          <w:u w:val="none"/>
        </w:rPr>
      </w:pPr>
      <w:r w:rsidRPr="00373E2E">
        <w:rPr>
          <w:rFonts w:ascii="Lucida Sans" w:hAnsi="Lucida Sans"/>
          <w:b w:val="0"/>
          <w:strike/>
          <w:color w:val="FF0000"/>
          <w:sz w:val="20"/>
          <w:szCs w:val="20"/>
          <w:u w:val="none"/>
        </w:rPr>
        <w:t>19.</w:t>
      </w:r>
      <w:r w:rsidRPr="00373E2E">
        <w:rPr>
          <w:rFonts w:ascii="Lucida Sans" w:hAnsi="Lucida Sans"/>
          <w:b w:val="0"/>
          <w:color w:val="FF0000"/>
          <w:sz w:val="20"/>
          <w:szCs w:val="20"/>
          <w:u w:val="none"/>
        </w:rPr>
        <w:t xml:space="preserve"> </w:t>
      </w:r>
      <w:proofErr w:type="gramStart"/>
      <w:r w:rsidRPr="00373E2E">
        <w:rPr>
          <w:rFonts w:ascii="Lucida Sans" w:hAnsi="Lucida Sans"/>
          <w:b w:val="0"/>
          <w:color w:val="FF0000"/>
          <w:sz w:val="20"/>
          <w:szCs w:val="20"/>
          <w:u w:val="none"/>
        </w:rPr>
        <w:t>23.</w:t>
      </w:r>
      <w:r w:rsidRPr="00373E2E">
        <w:rPr>
          <w:rFonts w:ascii="Lucida Sans" w:hAnsi="Lucida Sans"/>
          <w:b w:val="0"/>
          <w:color w:val="auto"/>
          <w:sz w:val="20"/>
          <w:szCs w:val="20"/>
          <w:u w:val="none"/>
        </w:rPr>
        <w:t>For</w:t>
      </w:r>
      <w:proofErr w:type="gramEnd"/>
      <w:r w:rsidRPr="00373E2E">
        <w:rPr>
          <w:rFonts w:ascii="Lucida Sans" w:hAnsi="Lucida Sans"/>
          <w:b w:val="0"/>
          <w:color w:val="auto"/>
          <w:sz w:val="20"/>
          <w:szCs w:val="20"/>
          <w:u w:val="none"/>
        </w:rPr>
        <w:t xml:space="preserve"> assets that are not measured at fair value, transaction costs are incremental costs determined in accordance with the product's accounting policies.</w:t>
      </w:r>
    </w:p>
    <w:p w14:paraId="677CEFC9" w14:textId="77777777" w:rsidR="00CA74D8" w:rsidRPr="00373E2E" w:rsidRDefault="00CA74D8" w:rsidP="00CA74D8">
      <w:pPr>
        <w:pStyle w:val="FCAHeadingLevel2"/>
        <w:spacing w:before="120" w:after="120" w:line="240" w:lineRule="auto"/>
        <w:rPr>
          <w:rFonts w:ascii="Lucida Sans" w:hAnsi="Lucida Sans"/>
          <w:b w:val="0"/>
          <w:strike/>
          <w:color w:val="FF0000"/>
          <w:sz w:val="20"/>
          <w:szCs w:val="20"/>
          <w:u w:val="none"/>
        </w:rPr>
      </w:pPr>
      <w:r w:rsidRPr="00373E2E">
        <w:rPr>
          <w:rFonts w:ascii="Lucida Sans" w:hAnsi="Lucida Sans"/>
          <w:b w:val="0"/>
          <w:strike/>
          <w:color w:val="FF0000"/>
          <w:sz w:val="20"/>
          <w:szCs w:val="20"/>
          <w:u w:val="none"/>
        </w:rPr>
        <w:t xml:space="preserve">23. The transaction cost estimate must not be less than the amount of actual identifiable costs directly associated with the </w:t>
      </w:r>
      <w:commentRangeStart w:id="27"/>
      <w:r w:rsidRPr="00373E2E">
        <w:rPr>
          <w:rFonts w:ascii="Lucida Sans" w:hAnsi="Lucida Sans"/>
          <w:b w:val="0"/>
          <w:strike/>
          <w:color w:val="FF0000"/>
          <w:sz w:val="20"/>
          <w:szCs w:val="20"/>
          <w:u w:val="none"/>
        </w:rPr>
        <w:t>transaction</w:t>
      </w:r>
      <w:commentRangeEnd w:id="27"/>
      <w:r w:rsidR="00873187">
        <w:rPr>
          <w:rStyle w:val="Rimandocommento"/>
          <w:rFonts w:ascii="Arial" w:eastAsia="Times New Roman" w:hAnsi="Arial" w:cs="Times New Roman"/>
          <w:b w:val="0"/>
          <w:color w:val="auto"/>
          <w:u w:val="none"/>
          <w:lang w:eastAsia="de-DE"/>
        </w:rPr>
        <w:commentReference w:id="27"/>
      </w:r>
      <w:r w:rsidRPr="00373E2E">
        <w:rPr>
          <w:rFonts w:ascii="Lucida Sans" w:hAnsi="Lucida Sans"/>
          <w:b w:val="0"/>
          <w:strike/>
          <w:color w:val="FF0000"/>
          <w:sz w:val="20"/>
          <w:szCs w:val="20"/>
          <w:u w:val="none"/>
        </w:rPr>
        <w:t>.</w:t>
      </w:r>
    </w:p>
    <w:p w14:paraId="3F07E230" w14:textId="77777777" w:rsidR="00CA74D8" w:rsidRPr="00373E2E" w:rsidRDefault="00CA74D8" w:rsidP="00CA74D8">
      <w:pPr>
        <w:pStyle w:val="FCAHeadingLevel2"/>
        <w:spacing w:before="120" w:after="120" w:line="240" w:lineRule="auto"/>
        <w:rPr>
          <w:rFonts w:ascii="Lucida Sans" w:hAnsi="Lucida Sans"/>
          <w:b w:val="0"/>
          <w:color w:val="FF0000"/>
          <w:sz w:val="20"/>
          <w:szCs w:val="20"/>
          <w:u w:val="none"/>
        </w:rPr>
      </w:pPr>
      <w:r w:rsidRPr="00373E2E">
        <w:rPr>
          <w:rFonts w:ascii="Lucida Sans" w:hAnsi="Lucida Sans"/>
          <w:b w:val="0"/>
          <w:color w:val="FF0000"/>
          <w:sz w:val="20"/>
          <w:szCs w:val="20"/>
          <w:u w:val="none"/>
        </w:rPr>
        <w:t xml:space="preserve">24. By way of derogation from points 22 and 23 for closed-ended PRIIPs, transactions costs may be based also on an approved business </w:t>
      </w:r>
      <w:commentRangeStart w:id="28"/>
      <w:r w:rsidRPr="00373E2E">
        <w:rPr>
          <w:rFonts w:ascii="Lucida Sans" w:hAnsi="Lucida Sans"/>
          <w:b w:val="0"/>
          <w:color w:val="FF0000"/>
          <w:sz w:val="20"/>
          <w:szCs w:val="20"/>
          <w:u w:val="none"/>
        </w:rPr>
        <w:t>plan</w:t>
      </w:r>
      <w:commentRangeEnd w:id="28"/>
      <w:r w:rsidR="00873187">
        <w:rPr>
          <w:rStyle w:val="Rimandocommento"/>
          <w:rFonts w:ascii="Arial" w:eastAsia="Times New Roman" w:hAnsi="Arial" w:cs="Times New Roman"/>
          <w:b w:val="0"/>
          <w:color w:val="auto"/>
          <w:u w:val="none"/>
          <w:lang w:eastAsia="de-DE"/>
        </w:rPr>
        <w:commentReference w:id="28"/>
      </w:r>
      <w:r w:rsidRPr="00373E2E">
        <w:rPr>
          <w:rFonts w:ascii="Lucida Sans" w:hAnsi="Lucida Sans"/>
          <w:b w:val="0"/>
          <w:color w:val="FF0000"/>
          <w:sz w:val="20"/>
          <w:szCs w:val="20"/>
          <w:u w:val="none"/>
        </w:rPr>
        <w:t>.</w:t>
      </w:r>
    </w:p>
    <w:p w14:paraId="2C7D220E" w14:textId="77777777" w:rsidR="00CA74D8" w:rsidRPr="00373E2E" w:rsidRDefault="00CA74D8" w:rsidP="00CA74D8">
      <w:pPr>
        <w:pStyle w:val="FCAHeadingLevel2"/>
        <w:spacing w:before="120" w:after="120" w:line="240" w:lineRule="auto"/>
        <w:rPr>
          <w:rFonts w:ascii="Lucida Sans" w:hAnsi="Lucida Sans"/>
          <w:b w:val="0"/>
          <w:color w:val="auto"/>
          <w:sz w:val="20"/>
          <w:szCs w:val="20"/>
          <w:u w:val="none"/>
        </w:rPr>
      </w:pPr>
    </w:p>
    <w:p w14:paraId="57904C06" w14:textId="77777777" w:rsidR="00CA74D8" w:rsidRPr="00373E2E" w:rsidRDefault="00CA74D8" w:rsidP="00CA74D8">
      <w:pPr>
        <w:pStyle w:val="FCAHeadingLevel2"/>
        <w:spacing w:before="120" w:after="120" w:line="240" w:lineRule="auto"/>
        <w:jc w:val="center"/>
        <w:rPr>
          <w:rFonts w:ascii="Lucida Sans" w:hAnsi="Lucida Sans"/>
          <w:b w:val="0"/>
          <w:color w:val="auto"/>
          <w:sz w:val="20"/>
          <w:szCs w:val="20"/>
          <w:u w:val="none"/>
        </w:rPr>
      </w:pPr>
      <w:r w:rsidRPr="00373E2E">
        <w:rPr>
          <w:rFonts w:ascii="Lucida Sans" w:hAnsi="Lucida Sans"/>
          <w:b w:val="0"/>
          <w:color w:val="auto"/>
          <w:sz w:val="20"/>
          <w:szCs w:val="20"/>
          <w:u w:val="none"/>
        </w:rPr>
        <w:t>***</w:t>
      </w:r>
    </w:p>
    <w:p w14:paraId="55C17352" w14:textId="77777777" w:rsidR="00CA74D8" w:rsidRPr="00373E2E" w:rsidRDefault="00CA74D8" w:rsidP="00CA74D8">
      <w:pPr>
        <w:pStyle w:val="FCAHeadingLevel2"/>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 xml:space="preserve">Where ESAs insist with Option 1, please </w:t>
      </w:r>
      <w:proofErr w:type="gramStart"/>
      <w:r w:rsidRPr="00373E2E">
        <w:rPr>
          <w:rFonts w:ascii="Lucida Sans" w:hAnsi="Lucida Sans"/>
          <w:b w:val="0"/>
          <w:color w:val="auto"/>
          <w:sz w:val="20"/>
          <w:szCs w:val="20"/>
          <w:u w:val="none"/>
        </w:rPr>
        <w:t>take into account</w:t>
      </w:r>
      <w:proofErr w:type="gramEnd"/>
      <w:r w:rsidRPr="00373E2E">
        <w:rPr>
          <w:rFonts w:ascii="Lucida Sans" w:hAnsi="Lucida Sans"/>
          <w:b w:val="0"/>
          <w:color w:val="auto"/>
          <w:sz w:val="20"/>
          <w:szCs w:val="20"/>
          <w:u w:val="none"/>
        </w:rPr>
        <w:t xml:space="preserve"> these further suggestions:</w:t>
      </w:r>
    </w:p>
    <w:p w14:paraId="7971F544" w14:textId="77777777" w:rsidR="00CA74D8" w:rsidRPr="00373E2E" w:rsidRDefault="00CA74D8" w:rsidP="00303D05">
      <w:pPr>
        <w:pStyle w:val="FCAHeadingLevel2"/>
        <w:numPr>
          <w:ilvl w:val="0"/>
          <w:numId w:val="39"/>
        </w:numPr>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Para. 9 “</w:t>
      </w:r>
      <w:r w:rsidRPr="00373E2E">
        <w:rPr>
          <w:rFonts w:ascii="Lucida Sans" w:hAnsi="Lucida Sans"/>
          <w:b w:val="0"/>
          <w:i/>
          <w:color w:val="auto"/>
          <w:sz w:val="20"/>
          <w:szCs w:val="20"/>
          <w:u w:val="none"/>
        </w:rPr>
        <w:t>Where implicit transaction costs are negative, a minimum of explicit transaction costs shall be disclosed</w:t>
      </w:r>
      <w:r w:rsidRPr="00373E2E">
        <w:rPr>
          <w:rFonts w:ascii="Lucida Sans" w:hAnsi="Lucida Sans"/>
          <w:b w:val="0"/>
          <w:color w:val="auto"/>
          <w:sz w:val="20"/>
          <w:szCs w:val="20"/>
          <w:u w:val="none"/>
        </w:rPr>
        <w:t>” and paragraph 26 “</w:t>
      </w:r>
      <w:r w:rsidRPr="00373E2E">
        <w:rPr>
          <w:rFonts w:ascii="Lucida Sans" w:hAnsi="Lucida Sans"/>
          <w:b w:val="0"/>
          <w:i/>
          <w:color w:val="auto"/>
          <w:sz w:val="20"/>
          <w:szCs w:val="20"/>
          <w:u w:val="none"/>
        </w:rPr>
        <w:t xml:space="preserve">The transaction cost estimate must not be less </w:t>
      </w:r>
      <w:r w:rsidRPr="00373E2E">
        <w:rPr>
          <w:rFonts w:ascii="Lucida Sans" w:hAnsi="Lucida Sans"/>
          <w:b w:val="0"/>
          <w:i/>
          <w:color w:val="auto"/>
          <w:sz w:val="20"/>
          <w:szCs w:val="20"/>
          <w:u w:val="none"/>
        </w:rPr>
        <w:lastRenderedPageBreak/>
        <w:t>than the amount of actual identifiable costs, if any, directly associated with the transaction</w:t>
      </w:r>
      <w:r w:rsidRPr="00373E2E">
        <w:rPr>
          <w:rFonts w:ascii="Lucida Sans" w:hAnsi="Lucida Sans"/>
          <w:b w:val="0"/>
          <w:color w:val="auto"/>
          <w:sz w:val="20"/>
          <w:szCs w:val="20"/>
          <w:u w:val="none"/>
        </w:rPr>
        <w:t>”.  The arrival price methodology, in theory, produces both positive and negative trade-per-trade transaction costs and should, theoretically, “average out to approximately zero”. However, in many cases it does not do so. These paragraphs should be deleted as they confirm that negative could arise. Put them to zero only hides the problem. In addition, this would introduce a bias since negative costs would not arise, but overstated costs are deemed acceptable. Furthermore, the zero floor for aggregate implicit costs would apply only to equities but not to OTC instruments, which could make use of the derogation in point 20 of Option 1.</w:t>
      </w:r>
    </w:p>
    <w:p w14:paraId="23DB21CC" w14:textId="77777777" w:rsidR="00CA74D8" w:rsidRPr="00373E2E" w:rsidRDefault="00CA74D8" w:rsidP="00303D05">
      <w:pPr>
        <w:pStyle w:val="FCAHeadingLevel2"/>
        <w:numPr>
          <w:ilvl w:val="0"/>
          <w:numId w:val="39"/>
        </w:numPr>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 xml:space="preserve">Para. 13 “… </w:t>
      </w:r>
      <w:r w:rsidRPr="00373E2E">
        <w:rPr>
          <w:rFonts w:ascii="Lucida Sans" w:hAnsi="Lucida Sans"/>
          <w:b w:val="0"/>
          <w:i/>
          <w:color w:val="auto"/>
          <w:sz w:val="20"/>
          <w:szCs w:val="20"/>
          <w:u w:val="none"/>
        </w:rPr>
        <w:t>clearing fees and booking fees charged by the custodian</w:t>
      </w:r>
      <w:r w:rsidRPr="00373E2E">
        <w:rPr>
          <w:rFonts w:ascii="Lucida Sans" w:hAnsi="Lucida Sans"/>
          <w:b w:val="0"/>
          <w:color w:val="auto"/>
          <w:sz w:val="20"/>
          <w:szCs w:val="20"/>
          <w:u w:val="none"/>
        </w:rPr>
        <w:t xml:space="preserve">” This is not a transaction cost because it is not a cost necessarily incurred as a result of transacting (it is incurred </w:t>
      </w:r>
      <w:proofErr w:type="gramStart"/>
      <w:r w:rsidRPr="00373E2E">
        <w:rPr>
          <w:rFonts w:ascii="Lucida Sans" w:hAnsi="Lucida Sans"/>
          <w:b w:val="0"/>
          <w:color w:val="auto"/>
          <w:sz w:val="20"/>
          <w:szCs w:val="20"/>
          <w:u w:val="none"/>
        </w:rPr>
        <w:t>as a consequence of</w:t>
      </w:r>
      <w:proofErr w:type="gramEnd"/>
      <w:r w:rsidRPr="00373E2E">
        <w:rPr>
          <w:rFonts w:ascii="Lucida Sans" w:hAnsi="Lucida Sans"/>
          <w:b w:val="0"/>
          <w:color w:val="auto"/>
          <w:sz w:val="20"/>
          <w:szCs w:val="20"/>
          <w:u w:val="none"/>
        </w:rPr>
        <w:t xml:space="preserve"> employing a custodian). It is included in ongoing costs as per point 5(a)(iv) of annex VI of the RTS.</w:t>
      </w:r>
    </w:p>
    <w:p w14:paraId="28AC5EC3" w14:textId="77777777" w:rsidR="00CA74D8" w:rsidRPr="00373E2E" w:rsidRDefault="00CA74D8" w:rsidP="00303D05">
      <w:pPr>
        <w:pStyle w:val="FCAHeadingLevel2"/>
        <w:numPr>
          <w:ilvl w:val="0"/>
          <w:numId w:val="39"/>
        </w:numPr>
        <w:spacing w:before="120" w:after="120" w:line="240" w:lineRule="auto"/>
        <w:rPr>
          <w:rFonts w:ascii="Lucida Sans" w:hAnsi="Lucida Sans"/>
          <w:b w:val="0"/>
          <w:color w:val="auto"/>
          <w:sz w:val="20"/>
          <w:szCs w:val="20"/>
          <w:u w:val="none"/>
        </w:rPr>
      </w:pPr>
      <w:r w:rsidRPr="00373E2E">
        <w:rPr>
          <w:rFonts w:ascii="Lucida Sans" w:hAnsi="Lucida Sans"/>
          <w:b w:val="0"/>
          <w:color w:val="auto"/>
          <w:sz w:val="20"/>
          <w:szCs w:val="20"/>
          <w:u w:val="none"/>
        </w:rPr>
        <w:t>Have a derogation for UCITS and AIF benefitting from the “UCITS exemption” until the end of the exemption period (currently 31 December 2021). The New PRIIPs approach or data used in the MiFID context could be used. See our comments above.</w:t>
      </w:r>
    </w:p>
    <w:p w14:paraId="77BC1589" w14:textId="77777777" w:rsidR="00CA74D8" w:rsidRPr="00373E2E" w:rsidRDefault="00CA74D8" w:rsidP="00303D05">
      <w:pPr>
        <w:pStyle w:val="Paragrafoelenco"/>
        <w:widowControl w:val="0"/>
        <w:numPr>
          <w:ilvl w:val="0"/>
          <w:numId w:val="39"/>
        </w:numPr>
        <w:tabs>
          <w:tab w:val="left" w:pos="1090"/>
        </w:tabs>
        <w:autoSpaceDE w:val="0"/>
        <w:autoSpaceDN w:val="0"/>
        <w:spacing w:before="120" w:after="120"/>
        <w:ind w:right="115"/>
        <w:contextualSpacing w:val="0"/>
        <w:jc w:val="both"/>
        <w:rPr>
          <w:rFonts w:ascii="Lucida Sans" w:hAnsi="Lucida Sans"/>
          <w:szCs w:val="20"/>
        </w:rPr>
      </w:pPr>
      <w:r w:rsidRPr="00373E2E">
        <w:rPr>
          <w:rFonts w:ascii="Lucida Sans" w:hAnsi="Lucida Sans"/>
          <w:szCs w:val="20"/>
        </w:rPr>
        <w:t>Para. 20 and followings “</w:t>
      </w:r>
      <w:r w:rsidRPr="00373E2E">
        <w:rPr>
          <w:rFonts w:ascii="Lucida Sans" w:hAnsi="Lucida Sans"/>
          <w:i/>
          <w:szCs w:val="20"/>
        </w:rPr>
        <w:t xml:space="preserve">The actual transaction costs for each transaction shall be calculated on the following basis: for each purchase undertaken by the PRIIP, the </w:t>
      </w:r>
      <w:r w:rsidRPr="00373E2E">
        <w:rPr>
          <w:rFonts w:ascii="Lucida Sans" w:hAnsi="Lucida Sans"/>
          <w:i/>
          <w:color w:val="FF0000"/>
          <w:szCs w:val="20"/>
        </w:rPr>
        <w:t xml:space="preserve">mid-market </w:t>
      </w:r>
      <w:r w:rsidRPr="00373E2E">
        <w:rPr>
          <w:rFonts w:ascii="Lucida Sans" w:hAnsi="Lucida Sans"/>
          <w:i/>
          <w:szCs w:val="20"/>
        </w:rPr>
        <w:t xml:space="preserve">price of the instrument at the time the purchase order is </w:t>
      </w:r>
      <w:r w:rsidRPr="00373E2E">
        <w:rPr>
          <w:rFonts w:ascii="Lucida Sans" w:hAnsi="Lucida Sans"/>
          <w:i/>
          <w:color w:val="FF0000"/>
          <w:szCs w:val="20"/>
        </w:rPr>
        <w:t xml:space="preserve">executed </w:t>
      </w:r>
      <w:r w:rsidRPr="00373E2E">
        <w:rPr>
          <w:rFonts w:ascii="Lucida Sans" w:hAnsi="Lucida Sans"/>
          <w:i/>
          <w:strike/>
          <w:color w:val="FF0000"/>
          <w:szCs w:val="20"/>
        </w:rPr>
        <w:t>transmitted to another person for execution</w:t>
      </w:r>
      <w:r w:rsidRPr="00373E2E">
        <w:rPr>
          <w:rFonts w:ascii="Lucida Sans" w:hAnsi="Lucida Sans"/>
          <w:i/>
          <w:color w:val="FF0000"/>
          <w:szCs w:val="20"/>
        </w:rPr>
        <w:t xml:space="preserve"> </w:t>
      </w:r>
      <w:r w:rsidRPr="00373E2E">
        <w:rPr>
          <w:rFonts w:ascii="Lucida Sans" w:hAnsi="Lucida Sans"/>
          <w:i/>
          <w:szCs w:val="20"/>
        </w:rPr>
        <w:t>(the purchase ‘arrival price’) shall be subtracted from the net realised execution price of the transaction. The resulting value shall be multiplied by the number of units purchased</w:t>
      </w:r>
      <w:r w:rsidRPr="00373E2E">
        <w:rPr>
          <w:rFonts w:ascii="Lucida Sans" w:hAnsi="Lucida Sans"/>
          <w:szCs w:val="20"/>
        </w:rPr>
        <w:t>”. We believe essential to remove the market movement for the cost calculation. This can be achieved by using the mid-market price.</w:t>
      </w:r>
    </w:p>
    <w:p w14:paraId="0593198A" w14:textId="77777777" w:rsidR="00CA74D8" w:rsidRPr="00373E2E" w:rsidRDefault="00CA74D8" w:rsidP="00303D05">
      <w:pPr>
        <w:pStyle w:val="Paragrafoelenco"/>
        <w:numPr>
          <w:ilvl w:val="0"/>
          <w:numId w:val="39"/>
        </w:numPr>
        <w:spacing w:before="120" w:after="200"/>
        <w:ind w:left="714" w:hanging="357"/>
        <w:jc w:val="both"/>
        <w:rPr>
          <w:rFonts w:ascii="Lucida Sans" w:hAnsi="Lucida Sans"/>
          <w:szCs w:val="20"/>
          <w:lang w:eastAsia="it-IT"/>
        </w:rPr>
      </w:pPr>
      <w:r w:rsidRPr="00373E2E">
        <w:rPr>
          <w:rFonts w:ascii="Lucida Sans" w:hAnsi="Lucida Sans"/>
          <w:szCs w:val="20"/>
        </w:rPr>
        <w:t>Para 20 “</w:t>
      </w:r>
      <w:r w:rsidRPr="00373E2E">
        <w:rPr>
          <w:rFonts w:ascii="Lucida Sans" w:hAnsi="Lucida Sans"/>
          <w:i/>
          <w:szCs w:val="20"/>
        </w:rPr>
        <w:t>By</w:t>
      </w:r>
      <w:r w:rsidRPr="00373E2E">
        <w:rPr>
          <w:rFonts w:ascii="Lucida Sans" w:hAnsi="Lucida Sans"/>
          <w:i/>
          <w:spacing w:val="-7"/>
          <w:szCs w:val="20"/>
        </w:rPr>
        <w:t xml:space="preserve"> </w:t>
      </w:r>
      <w:r w:rsidRPr="00373E2E">
        <w:rPr>
          <w:rFonts w:ascii="Lucida Sans" w:hAnsi="Lucida Sans"/>
          <w:i/>
          <w:szCs w:val="20"/>
        </w:rPr>
        <w:t>way</w:t>
      </w:r>
      <w:r w:rsidRPr="00373E2E">
        <w:rPr>
          <w:rFonts w:ascii="Lucida Sans" w:hAnsi="Lucida Sans"/>
          <w:i/>
          <w:spacing w:val="-7"/>
          <w:szCs w:val="20"/>
        </w:rPr>
        <w:t xml:space="preserve"> </w:t>
      </w:r>
      <w:r w:rsidRPr="00373E2E">
        <w:rPr>
          <w:rFonts w:ascii="Lucida Sans" w:hAnsi="Lucida Sans"/>
          <w:i/>
          <w:szCs w:val="20"/>
        </w:rPr>
        <w:t>of</w:t>
      </w:r>
      <w:r w:rsidRPr="00373E2E">
        <w:rPr>
          <w:rFonts w:ascii="Lucida Sans" w:hAnsi="Lucida Sans"/>
          <w:i/>
          <w:spacing w:val="-6"/>
          <w:szCs w:val="20"/>
        </w:rPr>
        <w:t xml:space="preserve"> </w:t>
      </w:r>
      <w:r w:rsidRPr="00373E2E">
        <w:rPr>
          <w:rFonts w:ascii="Lucida Sans" w:hAnsi="Lucida Sans"/>
          <w:i/>
          <w:szCs w:val="20"/>
        </w:rPr>
        <w:t>derogation</w:t>
      </w:r>
      <w:r w:rsidRPr="00373E2E">
        <w:rPr>
          <w:rFonts w:ascii="Lucida Sans" w:hAnsi="Lucida Sans"/>
          <w:i/>
          <w:spacing w:val="-6"/>
          <w:szCs w:val="20"/>
        </w:rPr>
        <w:t xml:space="preserve"> </w:t>
      </w:r>
      <w:r w:rsidRPr="00373E2E">
        <w:rPr>
          <w:rFonts w:ascii="Lucida Sans" w:hAnsi="Lucida Sans"/>
          <w:i/>
          <w:szCs w:val="20"/>
        </w:rPr>
        <w:t>from</w:t>
      </w:r>
      <w:r w:rsidRPr="00373E2E">
        <w:rPr>
          <w:rFonts w:ascii="Lucida Sans" w:hAnsi="Lucida Sans"/>
          <w:i/>
          <w:spacing w:val="-6"/>
          <w:szCs w:val="20"/>
        </w:rPr>
        <w:t xml:space="preserve"> </w:t>
      </w:r>
      <w:r w:rsidRPr="00373E2E">
        <w:rPr>
          <w:rFonts w:ascii="Lucida Sans" w:hAnsi="Lucida Sans"/>
          <w:i/>
          <w:szCs w:val="20"/>
        </w:rPr>
        <w:t>points</w:t>
      </w:r>
      <w:r w:rsidRPr="00373E2E">
        <w:rPr>
          <w:rFonts w:ascii="Lucida Sans" w:hAnsi="Lucida Sans"/>
          <w:i/>
          <w:spacing w:val="-6"/>
          <w:szCs w:val="20"/>
        </w:rPr>
        <w:t xml:space="preserve"> </w:t>
      </w:r>
      <w:r w:rsidRPr="00373E2E">
        <w:rPr>
          <w:rFonts w:ascii="Lucida Sans" w:hAnsi="Lucida Sans"/>
          <w:i/>
          <w:szCs w:val="20"/>
        </w:rPr>
        <w:t>13-19</w:t>
      </w:r>
      <w:r w:rsidRPr="00373E2E">
        <w:rPr>
          <w:rFonts w:ascii="Lucida Sans" w:hAnsi="Lucida Sans"/>
          <w:i/>
          <w:spacing w:val="-6"/>
          <w:szCs w:val="20"/>
        </w:rPr>
        <w:t xml:space="preserve"> […]</w:t>
      </w:r>
      <w:r w:rsidRPr="00373E2E">
        <w:rPr>
          <w:rFonts w:ascii="Lucida Sans" w:hAnsi="Lucida Sans"/>
          <w:i/>
          <w:szCs w:val="20"/>
        </w:rPr>
        <w:t xml:space="preserve">Where live market quotes are not available by reference, to spreads obtained </w:t>
      </w:r>
      <w:r w:rsidRPr="00373E2E">
        <w:rPr>
          <w:rFonts w:ascii="Lucida Sans" w:hAnsi="Lucida Sans"/>
          <w:i/>
          <w:iCs/>
          <w:szCs w:val="20"/>
        </w:rPr>
        <w:t xml:space="preserve">for either previous </w:t>
      </w:r>
      <w:r w:rsidRPr="00373E2E">
        <w:rPr>
          <w:rFonts w:ascii="Lucida Sans" w:hAnsi="Lucida Sans"/>
          <w:b/>
          <w:bCs/>
          <w:i/>
          <w:iCs/>
          <w:color w:val="FF0000"/>
          <w:szCs w:val="20"/>
        </w:rPr>
        <w:t>relevant</w:t>
      </w:r>
      <w:r w:rsidRPr="00373E2E">
        <w:rPr>
          <w:rFonts w:ascii="Lucida Sans" w:hAnsi="Lucida Sans"/>
          <w:i/>
          <w:iCs/>
          <w:color w:val="FF0000"/>
          <w:szCs w:val="20"/>
        </w:rPr>
        <w:t xml:space="preserve"> </w:t>
      </w:r>
      <w:r w:rsidRPr="00373E2E">
        <w:rPr>
          <w:rFonts w:ascii="Lucida Sans" w:hAnsi="Lucida Sans"/>
          <w:i/>
          <w:iCs/>
          <w:szCs w:val="20"/>
        </w:rPr>
        <w:t xml:space="preserve">transactions in assets bearing similar characteristics (e.g. duration, maturity, coupon, call-/ put-ability) and liquidity, using transactions previously executed by the manufacturer or </w:t>
      </w:r>
      <w:r w:rsidRPr="00373E2E">
        <w:rPr>
          <w:rFonts w:ascii="Lucida Sans" w:hAnsi="Lucida Sans"/>
          <w:bCs/>
          <w:i/>
          <w:iCs/>
          <w:strike/>
          <w:color w:val="FF0000"/>
          <w:szCs w:val="20"/>
        </w:rPr>
        <w:t>data verified by an independent third-party, or from an independent third-party to value the</w:t>
      </w:r>
      <w:r w:rsidRPr="00373E2E">
        <w:rPr>
          <w:rFonts w:ascii="Lucida Sans" w:hAnsi="Lucida Sans"/>
          <w:bCs/>
          <w:i/>
          <w:iCs/>
          <w:strike/>
          <w:color w:val="FF0000"/>
          <w:spacing w:val="-6"/>
          <w:szCs w:val="20"/>
        </w:rPr>
        <w:t xml:space="preserve"> </w:t>
      </w:r>
      <w:r w:rsidRPr="00373E2E">
        <w:rPr>
          <w:rFonts w:ascii="Lucida Sans" w:hAnsi="Lucida Sans"/>
          <w:bCs/>
          <w:i/>
          <w:iCs/>
          <w:strike/>
          <w:color w:val="FF0000"/>
          <w:szCs w:val="20"/>
        </w:rPr>
        <w:t>asset</w:t>
      </w:r>
      <w:r w:rsidRPr="00373E2E">
        <w:rPr>
          <w:rFonts w:ascii="Lucida Sans" w:hAnsi="Lucida Sans"/>
          <w:i/>
          <w:iCs/>
          <w:color w:val="FF0000"/>
          <w:szCs w:val="20"/>
        </w:rPr>
        <w:t xml:space="preserve"> </w:t>
      </w:r>
      <w:r w:rsidRPr="00373E2E">
        <w:rPr>
          <w:rFonts w:ascii="Lucida Sans" w:hAnsi="Lucida Sans"/>
          <w:i/>
          <w:iCs/>
          <w:szCs w:val="20"/>
        </w:rPr>
        <w:t>data provided by  </w:t>
      </w:r>
      <w:r w:rsidRPr="00373E2E">
        <w:rPr>
          <w:rFonts w:ascii="Lucida Sans" w:hAnsi="Lucida Sans"/>
          <w:color w:val="FF0000"/>
          <w:szCs w:val="20"/>
        </w:rPr>
        <w:t>independent third party (included association)</w:t>
      </w:r>
      <w:r w:rsidRPr="00373E2E">
        <w:rPr>
          <w:rFonts w:ascii="Lucida Sans" w:hAnsi="Lucida Sans"/>
          <w:i/>
          <w:iCs/>
          <w:color w:val="FF0000"/>
          <w:szCs w:val="20"/>
          <w:u w:val="single"/>
        </w:rPr>
        <w:t xml:space="preserve"> </w:t>
      </w:r>
      <w:r w:rsidRPr="00373E2E">
        <w:rPr>
          <w:rFonts w:ascii="Lucida Sans" w:hAnsi="Lucida Sans"/>
          <w:strike/>
          <w:color w:val="FF0000"/>
          <w:szCs w:val="20"/>
        </w:rPr>
        <w:t>or following the methodology defined in point 27 [Transaction costs for new PRIIPs.</w:t>
      </w:r>
      <w:r w:rsidRPr="00373E2E">
        <w:rPr>
          <w:rFonts w:ascii="Lucida Sans" w:hAnsi="Lucida Sans"/>
          <w:szCs w:val="20"/>
        </w:rPr>
        <w:t xml:space="preserve"> “Independent third-party validation should be avoided.</w:t>
      </w:r>
      <w:r w:rsidRPr="00373E2E">
        <w:rPr>
          <w:rFonts w:ascii="Lucida Sans" w:hAnsi="Lucida Sans"/>
          <w:color w:val="FF0000"/>
          <w:szCs w:val="20"/>
          <w:lang w:eastAsia="it-IT"/>
        </w:rPr>
        <w:t xml:space="preserve"> </w:t>
      </w:r>
    </w:p>
    <w:p w14:paraId="774784D8" w14:textId="77777777" w:rsidR="00CA74D8" w:rsidRPr="00373E2E" w:rsidRDefault="00CA74D8" w:rsidP="00CA74D8">
      <w:pPr>
        <w:pStyle w:val="Paragrafoelenco"/>
        <w:ind w:left="714"/>
        <w:rPr>
          <w:rFonts w:ascii="Lucida Sans" w:hAnsi="Lucida Sans"/>
          <w:szCs w:val="20"/>
          <w:lang w:eastAsia="it-IT"/>
        </w:rPr>
      </w:pPr>
    </w:p>
    <w:p w14:paraId="0DC037C6" w14:textId="77777777" w:rsidR="00CA74D8" w:rsidRPr="00373E2E" w:rsidRDefault="00CA74D8" w:rsidP="00303D05">
      <w:pPr>
        <w:pStyle w:val="Paragrafoelenco"/>
        <w:widowControl w:val="0"/>
        <w:numPr>
          <w:ilvl w:val="0"/>
          <w:numId w:val="39"/>
        </w:numPr>
        <w:tabs>
          <w:tab w:val="left" w:pos="1090"/>
        </w:tabs>
        <w:autoSpaceDE w:val="0"/>
        <w:autoSpaceDN w:val="0"/>
        <w:spacing w:before="120" w:after="120"/>
        <w:ind w:right="115"/>
        <w:contextualSpacing w:val="0"/>
        <w:jc w:val="both"/>
        <w:rPr>
          <w:rFonts w:ascii="Lucida Sans" w:hAnsi="Lucida Sans"/>
          <w:szCs w:val="20"/>
        </w:rPr>
      </w:pPr>
      <w:r w:rsidRPr="00373E2E">
        <w:rPr>
          <w:rFonts w:ascii="Lucida Sans" w:hAnsi="Lucida Sans"/>
          <w:szCs w:val="20"/>
        </w:rPr>
        <w:t>Para. 22</w:t>
      </w:r>
      <w:r w:rsidRPr="00373E2E">
        <w:rPr>
          <w:rFonts w:ascii="Lucida Sans" w:hAnsi="Lucida Sans"/>
          <w:i/>
          <w:szCs w:val="20"/>
        </w:rPr>
        <w:t xml:space="preserve"> “By way of derogation from points 13-21 of this Annex, where a product undertakes fewer</w:t>
      </w:r>
      <w:r w:rsidRPr="00373E2E">
        <w:rPr>
          <w:rFonts w:ascii="Lucida Sans" w:hAnsi="Lucida Sans"/>
          <w:i/>
          <w:spacing w:val="-9"/>
          <w:szCs w:val="20"/>
        </w:rPr>
        <w:t xml:space="preserve"> </w:t>
      </w:r>
      <w:r w:rsidRPr="00373E2E">
        <w:rPr>
          <w:rFonts w:ascii="Lucida Sans" w:hAnsi="Lucida Sans"/>
          <w:i/>
          <w:szCs w:val="20"/>
        </w:rPr>
        <w:t>than</w:t>
      </w:r>
      <w:r w:rsidRPr="00373E2E">
        <w:rPr>
          <w:rFonts w:ascii="Lucida Sans" w:hAnsi="Lucida Sans"/>
          <w:i/>
          <w:spacing w:val="-9"/>
          <w:szCs w:val="20"/>
        </w:rPr>
        <w:t xml:space="preserve"> </w:t>
      </w:r>
      <w:r w:rsidRPr="00373E2E">
        <w:rPr>
          <w:rFonts w:ascii="Lucida Sans" w:hAnsi="Lucida Sans"/>
          <w:i/>
          <w:szCs w:val="20"/>
        </w:rPr>
        <w:t>[250]</w:t>
      </w:r>
      <w:r w:rsidRPr="00373E2E">
        <w:rPr>
          <w:rFonts w:ascii="Lucida Sans" w:hAnsi="Lucida Sans"/>
          <w:i/>
          <w:spacing w:val="-2"/>
          <w:szCs w:val="20"/>
        </w:rPr>
        <w:t xml:space="preserve"> </w:t>
      </w:r>
      <w:r w:rsidRPr="00373E2E">
        <w:rPr>
          <w:rFonts w:ascii="Lucida Sans" w:hAnsi="Lucida Sans"/>
          <w:i/>
          <w:szCs w:val="20"/>
        </w:rPr>
        <w:t>transactions</w:t>
      </w:r>
      <w:r w:rsidRPr="00373E2E">
        <w:rPr>
          <w:rFonts w:ascii="Lucida Sans" w:hAnsi="Lucida Sans"/>
          <w:i/>
          <w:spacing w:val="-9"/>
          <w:szCs w:val="20"/>
        </w:rPr>
        <w:t xml:space="preserve"> </w:t>
      </w:r>
      <w:r w:rsidRPr="00373E2E">
        <w:rPr>
          <w:rFonts w:ascii="Lucida Sans" w:hAnsi="Lucida Sans"/>
          <w:i/>
          <w:szCs w:val="20"/>
        </w:rPr>
        <w:t>in</w:t>
      </w:r>
      <w:r w:rsidRPr="00373E2E">
        <w:rPr>
          <w:rFonts w:ascii="Lucida Sans" w:hAnsi="Lucida Sans"/>
          <w:i/>
          <w:spacing w:val="-9"/>
          <w:szCs w:val="20"/>
        </w:rPr>
        <w:t xml:space="preserve"> </w:t>
      </w:r>
      <w:r w:rsidRPr="00373E2E">
        <w:rPr>
          <w:rFonts w:ascii="Lucida Sans" w:hAnsi="Lucida Sans"/>
          <w:i/>
          <w:szCs w:val="20"/>
        </w:rPr>
        <w:t>a</w:t>
      </w:r>
      <w:r w:rsidRPr="00373E2E">
        <w:rPr>
          <w:rFonts w:ascii="Lucida Sans" w:hAnsi="Lucida Sans"/>
          <w:i/>
          <w:spacing w:val="-10"/>
          <w:szCs w:val="20"/>
        </w:rPr>
        <w:t xml:space="preserve"> </w:t>
      </w:r>
      <w:r w:rsidRPr="00373E2E">
        <w:rPr>
          <w:rFonts w:ascii="Lucida Sans" w:hAnsi="Lucida Sans"/>
          <w:i/>
          <w:szCs w:val="20"/>
        </w:rPr>
        <w:t>three-year</w:t>
      </w:r>
      <w:r w:rsidRPr="00373E2E">
        <w:rPr>
          <w:rFonts w:ascii="Lucida Sans" w:hAnsi="Lucida Sans"/>
          <w:i/>
          <w:spacing w:val="-9"/>
          <w:szCs w:val="20"/>
        </w:rPr>
        <w:t xml:space="preserve"> </w:t>
      </w:r>
      <w:r w:rsidRPr="00373E2E">
        <w:rPr>
          <w:rFonts w:ascii="Lucida Sans" w:hAnsi="Lucida Sans"/>
          <w:i/>
          <w:szCs w:val="20"/>
        </w:rPr>
        <w:t>period,</w:t>
      </w:r>
      <w:r w:rsidRPr="00373E2E">
        <w:rPr>
          <w:rFonts w:ascii="Lucida Sans" w:hAnsi="Lucida Sans"/>
          <w:i/>
          <w:spacing w:val="-10"/>
          <w:szCs w:val="20"/>
        </w:rPr>
        <w:t xml:space="preserve"> </w:t>
      </w:r>
      <w:r w:rsidRPr="00373E2E">
        <w:rPr>
          <w:rFonts w:ascii="Lucida Sans" w:hAnsi="Lucida Sans"/>
          <w:i/>
          <w:szCs w:val="20"/>
        </w:rPr>
        <w:t>or</w:t>
      </w:r>
      <w:r w:rsidRPr="00373E2E">
        <w:rPr>
          <w:rFonts w:ascii="Lucida Sans" w:hAnsi="Lucida Sans"/>
          <w:i/>
          <w:spacing w:val="-9"/>
          <w:szCs w:val="20"/>
        </w:rPr>
        <w:t xml:space="preserve"> </w:t>
      </w:r>
      <w:r w:rsidRPr="00373E2E">
        <w:rPr>
          <w:rFonts w:ascii="Lucida Sans" w:hAnsi="Lucida Sans"/>
          <w:i/>
          <w:szCs w:val="20"/>
        </w:rPr>
        <w:t>where</w:t>
      </w:r>
      <w:r w:rsidRPr="00373E2E">
        <w:rPr>
          <w:rFonts w:ascii="Lucida Sans" w:hAnsi="Lucida Sans"/>
          <w:i/>
          <w:spacing w:val="-10"/>
          <w:szCs w:val="20"/>
        </w:rPr>
        <w:t xml:space="preserve"> </w:t>
      </w:r>
      <w:r w:rsidRPr="00373E2E">
        <w:rPr>
          <w:rFonts w:ascii="Lucida Sans" w:hAnsi="Lucida Sans"/>
          <w:i/>
          <w:szCs w:val="20"/>
        </w:rPr>
        <w:t>the</w:t>
      </w:r>
      <w:r w:rsidRPr="00373E2E">
        <w:rPr>
          <w:rFonts w:ascii="Lucida Sans" w:hAnsi="Lucida Sans"/>
          <w:i/>
          <w:spacing w:val="-10"/>
          <w:szCs w:val="20"/>
        </w:rPr>
        <w:t xml:space="preserve"> </w:t>
      </w:r>
      <w:r w:rsidRPr="00373E2E">
        <w:rPr>
          <w:rFonts w:ascii="Lucida Sans" w:hAnsi="Lucida Sans"/>
          <w:i/>
          <w:szCs w:val="20"/>
        </w:rPr>
        <w:t>total</w:t>
      </w:r>
      <w:r w:rsidRPr="00373E2E">
        <w:rPr>
          <w:rFonts w:ascii="Lucida Sans" w:hAnsi="Lucida Sans"/>
          <w:i/>
          <w:spacing w:val="-9"/>
          <w:szCs w:val="20"/>
        </w:rPr>
        <w:t xml:space="preserve"> </w:t>
      </w:r>
      <w:r w:rsidRPr="00373E2E">
        <w:rPr>
          <w:rFonts w:ascii="Lucida Sans" w:hAnsi="Lucida Sans"/>
          <w:i/>
          <w:szCs w:val="20"/>
        </w:rPr>
        <w:t>consideration for all transactions undertaken over 3 years is less than [25%] of the net asset value of the product, the manager may calculate transaction costs using the methodology described in point</w:t>
      </w:r>
      <w:r w:rsidRPr="00373E2E">
        <w:rPr>
          <w:rFonts w:ascii="Lucida Sans" w:hAnsi="Lucida Sans"/>
          <w:i/>
          <w:spacing w:val="-3"/>
          <w:szCs w:val="20"/>
        </w:rPr>
        <w:t xml:space="preserve"> </w:t>
      </w:r>
      <w:r w:rsidRPr="00373E2E">
        <w:rPr>
          <w:rFonts w:ascii="Lucida Sans" w:hAnsi="Lucida Sans"/>
          <w:i/>
          <w:szCs w:val="20"/>
        </w:rPr>
        <w:t>20.”</w:t>
      </w:r>
      <w:r w:rsidRPr="00373E2E">
        <w:rPr>
          <w:rFonts w:ascii="Lucida Sans" w:hAnsi="Lucida Sans"/>
          <w:i/>
          <w:szCs w:val="20"/>
          <w:u w:val="single"/>
        </w:rPr>
        <w:t xml:space="preserve"> </w:t>
      </w:r>
      <w:r w:rsidRPr="00373E2E">
        <w:rPr>
          <w:rFonts w:ascii="Lucida Sans" w:hAnsi="Lucida Sans"/>
          <w:szCs w:val="20"/>
        </w:rPr>
        <w:t>We do not agree with this threshold because it is inoperable by the large extend of asset managers and potentially creates an uneven playing field.</w:t>
      </w:r>
    </w:p>
    <w:p w14:paraId="22287096" w14:textId="77777777" w:rsidR="00CA74D8" w:rsidRPr="00373E2E" w:rsidRDefault="00CA74D8" w:rsidP="00303D05">
      <w:pPr>
        <w:pStyle w:val="Paragrafoelenco"/>
        <w:widowControl w:val="0"/>
        <w:numPr>
          <w:ilvl w:val="0"/>
          <w:numId w:val="39"/>
        </w:numPr>
        <w:tabs>
          <w:tab w:val="left" w:pos="1090"/>
        </w:tabs>
        <w:autoSpaceDE w:val="0"/>
        <w:autoSpaceDN w:val="0"/>
        <w:spacing w:before="120" w:after="120"/>
        <w:ind w:right="115"/>
        <w:contextualSpacing w:val="0"/>
        <w:jc w:val="both"/>
        <w:rPr>
          <w:rFonts w:ascii="Lucida Sans" w:hAnsi="Lucida Sans"/>
          <w:szCs w:val="20"/>
        </w:rPr>
      </w:pPr>
      <w:r w:rsidRPr="00373E2E">
        <w:rPr>
          <w:rFonts w:ascii="Lucida Sans" w:hAnsi="Lucida Sans"/>
          <w:szCs w:val="20"/>
        </w:rPr>
        <w:t>Para. 23. “</w:t>
      </w:r>
      <w:r w:rsidRPr="00373E2E">
        <w:rPr>
          <w:rFonts w:ascii="Lucida Sans" w:hAnsi="Lucida Sans"/>
          <w:i/>
          <w:szCs w:val="20"/>
        </w:rPr>
        <w:t xml:space="preserve">In calculating the costs associated with foreign exchange, the arrival price must reflect a reasonable estimate of the consolidated </w:t>
      </w:r>
      <w:proofErr w:type="gramStart"/>
      <w:r w:rsidRPr="00373E2E">
        <w:rPr>
          <w:rFonts w:ascii="Lucida Sans" w:hAnsi="Lucida Sans"/>
          <w:i/>
          <w:szCs w:val="20"/>
        </w:rPr>
        <w:t>price, and</w:t>
      </w:r>
      <w:proofErr w:type="gramEnd"/>
      <w:r w:rsidRPr="00373E2E">
        <w:rPr>
          <w:rFonts w:ascii="Lucida Sans" w:hAnsi="Lucida Sans"/>
          <w:i/>
          <w:szCs w:val="20"/>
        </w:rPr>
        <w:t xml:space="preserve"> must not simply be the price available from a single counterparty or foreign exchange platform, even if an agreement exists to undertake all foreign exchange transactions with a single counterparty</w:t>
      </w:r>
      <w:r w:rsidRPr="00373E2E">
        <w:rPr>
          <w:rFonts w:ascii="Lucida Sans" w:hAnsi="Lucida Sans"/>
          <w:szCs w:val="20"/>
        </w:rPr>
        <w:t>”. This paragraph should be deleted/revised as it is not compatible with the current practices, i.e. contracts and systems. The cost of changing the practices, contracts and systems would be disproportionate compared to the resulting differences of a small number of basis points. Such a new device is not necessary for the manager for evaluating the quality of its counterparty. Should the prices not be good enough, the manager will simply change its counterparty.</w:t>
      </w:r>
    </w:p>
    <w:p w14:paraId="0473F32D" w14:textId="77777777" w:rsidR="00CA74D8" w:rsidRPr="00373E2E" w:rsidRDefault="00CA74D8" w:rsidP="00303D05">
      <w:pPr>
        <w:pStyle w:val="Paragrafoelenco"/>
        <w:widowControl w:val="0"/>
        <w:numPr>
          <w:ilvl w:val="0"/>
          <w:numId w:val="39"/>
        </w:numPr>
        <w:tabs>
          <w:tab w:val="left" w:pos="1090"/>
        </w:tabs>
        <w:autoSpaceDE w:val="0"/>
        <w:autoSpaceDN w:val="0"/>
        <w:spacing w:before="120" w:after="120"/>
        <w:ind w:right="115"/>
        <w:contextualSpacing w:val="0"/>
        <w:jc w:val="both"/>
        <w:rPr>
          <w:rFonts w:ascii="Lucida Sans" w:hAnsi="Lucida Sans"/>
          <w:szCs w:val="20"/>
        </w:rPr>
      </w:pPr>
      <w:r w:rsidRPr="00373E2E">
        <w:rPr>
          <w:rFonts w:ascii="Lucida Sans" w:hAnsi="Lucida Sans"/>
          <w:szCs w:val="20"/>
        </w:rPr>
        <w:t xml:space="preserve">Para. 27 and followings. The methodology of transaction costs for new PRIIPs should be revised. The Delegate regulation states two different methodologies for the estimation of transaction costs, one for existing funds and one for new funds. The presence of two </w:t>
      </w:r>
      <w:r w:rsidRPr="00373E2E">
        <w:rPr>
          <w:rFonts w:ascii="Lucida Sans" w:hAnsi="Lucida Sans"/>
          <w:szCs w:val="20"/>
        </w:rPr>
        <w:lastRenderedPageBreak/>
        <w:t xml:space="preserve">different methods should be avoided, where these are not complementary to each other because they would imply double operational costs. In addition, the methodology for new funds requests information on the underlying of one or more reference indices. This may generate fees payable to index or data providers to collect also data on bid-ask spread. Finally, the cost of producing such information should be assessed also considering proportionality with regards to characteristics of different market players.  PRIIPs manufactures should rely on spreads obtained for either previous relevant transactions in asset bearing similar characteristics other than data provided by an independent third-party. </w:t>
      </w:r>
    </w:p>
    <w:p w14:paraId="0DE69733" w14:textId="317E6B2D" w:rsidR="003E573C" w:rsidRDefault="003E573C" w:rsidP="003E573C">
      <w:pPr>
        <w:rPr>
          <w:rFonts w:cs="Arial"/>
        </w:rPr>
      </w:pP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4E75172" w14:textId="77777777" w:rsidR="00270300" w:rsidRPr="00373E2E" w:rsidRDefault="00270300" w:rsidP="00270300">
      <w:pPr>
        <w:spacing w:before="120" w:after="120"/>
        <w:jc w:val="both"/>
        <w:rPr>
          <w:rFonts w:ascii="Lucida Sans" w:hAnsi="Lucida Sans"/>
          <w:szCs w:val="20"/>
        </w:rPr>
      </w:pPr>
      <w:permStart w:id="700270871" w:edGrp="everyone"/>
      <w:r w:rsidRPr="00373E2E">
        <w:rPr>
          <w:rFonts w:ascii="Lucida Sans" w:hAnsi="Lucida Sans"/>
          <w:szCs w:val="20"/>
        </w:rPr>
        <w:t xml:space="preserve">We do not agree with continuing to provide a UCITS KIID to professional investors. Because of the experience and competences of professional investors – that </w:t>
      </w:r>
      <w:proofErr w:type="gramStart"/>
      <w:r w:rsidRPr="00373E2E">
        <w:rPr>
          <w:rFonts w:ascii="Lucida Sans" w:hAnsi="Lucida Sans"/>
          <w:szCs w:val="20"/>
        </w:rPr>
        <w:t>are able to</w:t>
      </w:r>
      <w:proofErr w:type="gramEnd"/>
      <w:r w:rsidRPr="00373E2E">
        <w:rPr>
          <w:rFonts w:ascii="Lucida Sans" w:hAnsi="Lucida Sans"/>
          <w:szCs w:val="20"/>
        </w:rPr>
        <w:t xml:space="preserve"> process complex information - we do believe that providing UCITS KIID will entail an increase of unjustified costs.</w:t>
      </w:r>
    </w:p>
    <w:p w14:paraId="192C6A31" w14:textId="77777777" w:rsidR="00270300" w:rsidRPr="00373E2E" w:rsidRDefault="00270300" w:rsidP="00270300">
      <w:pPr>
        <w:spacing w:before="120" w:after="120"/>
        <w:jc w:val="both"/>
        <w:rPr>
          <w:rFonts w:ascii="Lucida Sans" w:hAnsi="Lucida Sans"/>
          <w:szCs w:val="20"/>
        </w:rPr>
      </w:pPr>
      <w:r w:rsidRPr="00373E2E">
        <w:rPr>
          <w:rFonts w:ascii="Lucida Sans" w:hAnsi="Lucida Sans"/>
          <w:szCs w:val="20"/>
        </w:rPr>
        <w:t xml:space="preserve">Furthermore, we believe that PRIIP KID should not be delivered to professional investors and this, both </w:t>
      </w:r>
      <w:proofErr w:type="gramStart"/>
      <w:r w:rsidRPr="00373E2E">
        <w:rPr>
          <w:rFonts w:ascii="Lucida Sans" w:hAnsi="Lucida Sans"/>
          <w:szCs w:val="20"/>
        </w:rPr>
        <w:t>on the basis of</w:t>
      </w:r>
      <w:proofErr w:type="gramEnd"/>
      <w:r w:rsidRPr="00373E2E">
        <w:rPr>
          <w:rFonts w:ascii="Lucida Sans" w:hAnsi="Lucida Sans"/>
          <w:szCs w:val="20"/>
        </w:rPr>
        <w:t xml:space="preserve"> the considerations, made above and because such an obligation does not derive from the PRIIPS regulatory framework, which is focused on the retail investor.</w:t>
      </w:r>
    </w:p>
    <w:p w14:paraId="57F2A33B" w14:textId="77777777" w:rsidR="00270300" w:rsidRPr="00373E2E" w:rsidRDefault="00270300" w:rsidP="00270300">
      <w:pPr>
        <w:spacing w:before="120" w:after="120"/>
        <w:jc w:val="both"/>
        <w:rPr>
          <w:rFonts w:ascii="Lucida Sans" w:hAnsi="Lucida Sans"/>
          <w:b/>
          <w:bCs/>
          <w:szCs w:val="20"/>
        </w:rPr>
      </w:pPr>
      <w:r w:rsidRPr="00373E2E">
        <w:rPr>
          <w:rFonts w:ascii="Lucida Sans" w:hAnsi="Lucida Sans"/>
          <w:b/>
          <w:bCs/>
          <w:szCs w:val="20"/>
        </w:rPr>
        <w:t>We, therefore, insist that the UCITS Directive is amended accordingly and the UCITS KIID Regulation repealed in order to have only one Key Information Document for retail investors from 01 January 2022.</w:t>
      </w:r>
    </w:p>
    <w:p w14:paraId="6376DA79" w14:textId="2CE4E9BA" w:rsidR="003E573C" w:rsidRDefault="003E573C" w:rsidP="003E573C">
      <w:pPr>
        <w:rPr>
          <w:rFonts w:cs="Arial"/>
        </w:rPr>
      </w:pP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11EAB22B" w14:textId="77777777" w:rsidR="00D72412" w:rsidRPr="00373E2E" w:rsidRDefault="00D72412" w:rsidP="00D72412">
      <w:pPr>
        <w:spacing w:before="120" w:after="120"/>
        <w:jc w:val="both"/>
        <w:rPr>
          <w:rFonts w:ascii="Lucida Sans" w:hAnsi="Lucida Sans"/>
          <w:szCs w:val="20"/>
        </w:rPr>
      </w:pPr>
      <w:permStart w:id="649920829" w:edGrp="everyone"/>
      <w:r w:rsidRPr="00373E2E">
        <w:rPr>
          <w:rFonts w:ascii="Lucida Sans" w:hAnsi="Lucida Sans"/>
          <w:szCs w:val="20"/>
        </w:rPr>
        <w:t xml:space="preserve">We very much welcome the fact that the ESAs envisage re-examining the treatment of saving plans under Article 13(4) of the PRIIPs Regulation. This is essential as a savings plan enjoys great popularity among retail investors in </w:t>
      </w:r>
      <w:proofErr w:type="gramStart"/>
      <w:r w:rsidRPr="00373E2E">
        <w:rPr>
          <w:rFonts w:ascii="Lucida Sans" w:hAnsi="Lucida Sans"/>
          <w:szCs w:val="20"/>
        </w:rPr>
        <w:t>a number of</w:t>
      </w:r>
      <w:proofErr w:type="gramEnd"/>
      <w:r w:rsidRPr="00373E2E">
        <w:rPr>
          <w:rFonts w:ascii="Lucida Sans" w:hAnsi="Lucida Sans"/>
          <w:szCs w:val="20"/>
        </w:rPr>
        <w:t xml:space="preserve"> EU member states, as Italy.</w:t>
      </w:r>
    </w:p>
    <w:p w14:paraId="73C1E785" w14:textId="77777777" w:rsidR="00D72412" w:rsidRPr="00373E2E" w:rsidRDefault="00D72412" w:rsidP="00873187">
      <w:pPr>
        <w:pStyle w:val="Testocommento"/>
        <w:spacing w:after="120"/>
        <w:jc w:val="both"/>
        <w:rPr>
          <w:rFonts w:ascii="Lucida Sans" w:hAnsi="Lucida Sans"/>
        </w:rPr>
      </w:pPr>
      <w:r w:rsidRPr="00373E2E">
        <w:rPr>
          <w:rFonts w:ascii="Lucida Sans" w:hAnsi="Lucida Sans"/>
        </w:rPr>
        <w:t>We believe that, although the wording of the provision in the art. 13, par. 4 of the PRIIPS Regulation is not prima facie easy to read, however the substantial analysis of the same would seem to go in the direction of Q&amp;A UCITS KIID (</w:t>
      </w:r>
      <w:proofErr w:type="spellStart"/>
      <w:r w:rsidRPr="00373E2E">
        <w:rPr>
          <w:rFonts w:ascii="Lucida Sans" w:hAnsi="Lucida Sans"/>
        </w:rPr>
        <w:t>i.e</w:t>
      </w:r>
      <w:proofErr w:type="spellEnd"/>
      <w:r w:rsidRPr="00373E2E">
        <w:rPr>
          <w:rFonts w:ascii="Lucida Sans" w:hAnsi="Lucida Sans"/>
        </w:rPr>
        <w:t xml:space="preserve"> 2a) regarding regular savings plans. Article 13, par.4, provides that where successive transactions regarding the same PRIIP are carried out on behalf of a retail investors in accordance with instructions given by that retail investors to the person selling the PRIIP prior to the first transaction, the obligation to provide a key information document under </w:t>
      </w:r>
      <w:r w:rsidRPr="00373E2E">
        <w:rPr>
          <w:rFonts w:ascii="Lucida Sans" w:hAnsi="Lucida Sans"/>
        </w:rPr>
        <w:lastRenderedPageBreak/>
        <w:t xml:space="preserve">paragraph 1 shall apply only to the first transaction, and to the first transaction after the key information document has been revised in accordance with Article 10 of PRIIPS Regulation. In accordance with the provision of the PRIIP Delegated Regulation (articles 15-16), the review is different from the annual update because the first assume that there are some amendments that significantly affects the information included in the key information document. Therefore, we believe that even in the PRIIPS framework, as well as in the UCITS KIID, in case of saving plans it should be provided a KID at the beginning of the plan and every time there is a change that significantly affect the initial subscription agreement. </w:t>
      </w:r>
    </w:p>
    <w:p w14:paraId="70DBD997" w14:textId="77777777" w:rsidR="00D72412" w:rsidRPr="00373E2E" w:rsidRDefault="00D72412" w:rsidP="00D72412">
      <w:pPr>
        <w:pStyle w:val="Testocommento"/>
        <w:spacing w:after="120"/>
        <w:rPr>
          <w:rFonts w:ascii="Lucida Sans" w:hAnsi="Lucida Sans"/>
          <w:b/>
          <w:bCs/>
        </w:rPr>
      </w:pPr>
      <w:r w:rsidRPr="00373E2E">
        <w:rPr>
          <w:rFonts w:ascii="Lucida Sans" w:hAnsi="Lucida Sans"/>
        </w:rPr>
        <w:t xml:space="preserve">In case this interpretation would not be considered, we believe that it fundamental to maintain – even in the PRIIPS framework - the UCITS Q&amp;A (cf. 2a) provision about the regular saving plan. Therefore, </w:t>
      </w:r>
      <w:r w:rsidRPr="00373E2E">
        <w:rPr>
          <w:rFonts w:ascii="Lucida Sans" w:hAnsi="Lucida Sans"/>
          <w:b/>
          <w:bCs/>
        </w:rPr>
        <w:t>we strongly support the amendment of Art. 13 (4) of the PRIIPS Regulation in accordance with the current market practice under the UCITS Q&amp;As.</w:t>
      </w:r>
    </w:p>
    <w:p w14:paraId="5D2614C0" w14:textId="6D1D2393" w:rsidR="003E573C" w:rsidRDefault="003E573C" w:rsidP="003E573C">
      <w:pPr>
        <w:rPr>
          <w:rFonts w:cs="Arial"/>
        </w:rPr>
      </w:pP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77777777" w:rsidR="003E573C" w:rsidRDefault="003E573C" w:rsidP="003E573C">
      <w:pPr>
        <w:rPr>
          <w:rFonts w:cs="Arial"/>
        </w:rPr>
      </w:pPr>
      <w:permStart w:id="803234900" w:edGrp="everyone"/>
      <w:r>
        <w:rPr>
          <w:rFonts w:cs="Arial"/>
        </w:rPr>
        <w:t>TYPE YOUR TEXT HERE</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w:t>
      </w:r>
      <w:bookmarkStart w:id="29" w:name="_GoBack"/>
      <w:bookmarkEnd w:id="29"/>
      <w:r w:rsidRPr="009A68ED">
        <w:t xml:space="preserve">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20B9E64D" w:rsidR="003E573C" w:rsidRPr="001A6299" w:rsidRDefault="00043D66" w:rsidP="003E573C">
      <w:pPr>
        <w:rPr>
          <w:rFonts w:ascii="Lucida Sans" w:hAnsi="Lucida Sans" w:cs="Arial"/>
        </w:rPr>
      </w:pPr>
      <w:permStart w:id="479034423" w:edGrp="everyone"/>
      <w:r w:rsidRPr="001A6299">
        <w:rPr>
          <w:rFonts w:ascii="Lucida Sans" w:hAnsi="Lucida Sans" w:cs="Arial"/>
        </w:rPr>
        <w:t>We agree with ESAs t</w:t>
      </w:r>
      <w:r w:rsidR="0000601B" w:rsidRPr="001A6299">
        <w:rPr>
          <w:rFonts w:ascii="Lucida Sans" w:hAnsi="Lucida Sans" w:cs="Arial"/>
        </w:rPr>
        <w:t xml:space="preserve">o </w:t>
      </w:r>
      <w:proofErr w:type="gramStart"/>
      <w:r w:rsidR="0000601B" w:rsidRPr="001A6299">
        <w:rPr>
          <w:rFonts w:ascii="Lucida Sans" w:hAnsi="Lucida Sans" w:cs="Arial"/>
        </w:rPr>
        <w:t>take into account</w:t>
      </w:r>
      <w:proofErr w:type="gramEnd"/>
      <w:r w:rsidR="0000601B" w:rsidRPr="001A6299">
        <w:rPr>
          <w:rFonts w:ascii="Lucida Sans" w:hAnsi="Lucida Sans" w:cs="Arial"/>
        </w:rPr>
        <w:t xml:space="preserve"> particular UCITS structures, with particular reference to </w:t>
      </w:r>
      <w:r w:rsidR="006C5782" w:rsidRPr="001A6299">
        <w:rPr>
          <w:rFonts w:ascii="Lucida Sans" w:hAnsi="Lucida Sans" w:cs="Arial"/>
        </w:rPr>
        <w:t xml:space="preserve">share classes (i.e. art. 26 of </w:t>
      </w:r>
      <w:r w:rsidR="00564277" w:rsidRPr="001A6299">
        <w:rPr>
          <w:rFonts w:ascii="Lucida Sans" w:hAnsi="Lucida Sans" w:cs="Arial"/>
        </w:rPr>
        <w:t xml:space="preserve">the </w:t>
      </w:r>
      <w:r w:rsidR="006C5782" w:rsidRPr="001A6299">
        <w:rPr>
          <w:rFonts w:ascii="Lucida Sans" w:hAnsi="Lucida Sans" w:cs="Arial"/>
        </w:rPr>
        <w:t xml:space="preserve">UCITS KIID </w:t>
      </w:r>
      <w:r w:rsidR="00564277" w:rsidRPr="001A6299">
        <w:rPr>
          <w:rFonts w:ascii="Lucida Sans" w:hAnsi="Lucida Sans" w:cs="Arial"/>
        </w:rPr>
        <w:t xml:space="preserve">regulation </w:t>
      </w:r>
      <w:r w:rsidR="006C5782" w:rsidRPr="001A6299">
        <w:rPr>
          <w:rFonts w:ascii="Lucida Sans" w:hAnsi="Lucida Sans" w:cs="Arial"/>
        </w:rPr>
        <w:t xml:space="preserve">and </w:t>
      </w:r>
      <w:r w:rsidR="000C1BBB" w:rsidRPr="001A6299">
        <w:rPr>
          <w:rFonts w:ascii="Lucida Sans" w:hAnsi="Lucida Sans" w:cs="Arial"/>
        </w:rPr>
        <w:t>the rel</w:t>
      </w:r>
      <w:r w:rsidR="005017B9" w:rsidRPr="001A6299">
        <w:rPr>
          <w:rFonts w:ascii="Lucida Sans" w:hAnsi="Lucida Sans" w:cs="Arial"/>
        </w:rPr>
        <w:t>ated</w:t>
      </w:r>
      <w:r w:rsidR="00564277" w:rsidRPr="001A6299">
        <w:rPr>
          <w:rFonts w:ascii="Lucida Sans" w:hAnsi="Lucida Sans" w:cs="Arial"/>
        </w:rPr>
        <w:t xml:space="preserve"> </w:t>
      </w:r>
      <w:r w:rsidR="000C1BBB" w:rsidRPr="001A6299">
        <w:rPr>
          <w:rFonts w:ascii="Lucida Sans" w:hAnsi="Lucida Sans" w:cs="Arial"/>
        </w:rPr>
        <w:t>ESMA Q&amp;A).</w:t>
      </w:r>
    </w:p>
    <w:p w14:paraId="2BC4ABB6" w14:textId="77777777" w:rsidR="000C1BBB" w:rsidRDefault="000C1BBB" w:rsidP="003E573C">
      <w:pPr>
        <w:rPr>
          <w:rFonts w:cs="Arial"/>
        </w:rPr>
      </w:pP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01BE8E25" w14:textId="77777777" w:rsidR="003D7D76" w:rsidRPr="00373E2E" w:rsidRDefault="003D7D76" w:rsidP="00873187">
      <w:pPr>
        <w:pStyle w:val="Testocommento"/>
        <w:spacing w:after="120"/>
        <w:jc w:val="both"/>
        <w:rPr>
          <w:rFonts w:ascii="Lucida Sans" w:hAnsi="Lucida Sans"/>
          <w:lang w:val="it-IT"/>
        </w:rPr>
      </w:pPr>
      <w:permStart w:id="1857164361" w:edGrp="everyone"/>
      <w:proofErr w:type="spellStart"/>
      <w:r w:rsidRPr="00373E2E">
        <w:rPr>
          <w:rFonts w:ascii="Lucida Sans" w:hAnsi="Lucida Sans"/>
          <w:lang w:val="it-IT"/>
        </w:rPr>
        <w:t>We</w:t>
      </w:r>
      <w:proofErr w:type="spellEnd"/>
      <w:r w:rsidRPr="00373E2E">
        <w:rPr>
          <w:rFonts w:ascii="Lucida Sans" w:hAnsi="Lucida Sans"/>
          <w:lang w:val="it-IT"/>
        </w:rPr>
        <w:t xml:space="preserve"> </w:t>
      </w:r>
      <w:proofErr w:type="spellStart"/>
      <w:r w:rsidRPr="00373E2E">
        <w:rPr>
          <w:rFonts w:ascii="Lucida Sans" w:hAnsi="Lucida Sans"/>
          <w:lang w:val="it-IT"/>
        </w:rPr>
        <w:t>have</w:t>
      </w:r>
      <w:proofErr w:type="spellEnd"/>
      <w:r w:rsidRPr="00373E2E">
        <w:rPr>
          <w:rFonts w:ascii="Lucida Sans" w:hAnsi="Lucida Sans"/>
          <w:lang w:val="it-IT"/>
        </w:rPr>
        <w:t xml:space="preserve"> </w:t>
      </w:r>
      <w:proofErr w:type="spellStart"/>
      <w:r w:rsidRPr="00373E2E">
        <w:rPr>
          <w:rFonts w:ascii="Lucida Sans" w:hAnsi="Lucida Sans"/>
          <w:lang w:val="it-IT"/>
        </w:rPr>
        <w:t>not</w:t>
      </w:r>
      <w:proofErr w:type="spellEnd"/>
      <w:r w:rsidRPr="00373E2E">
        <w:rPr>
          <w:rFonts w:ascii="Lucida Sans" w:hAnsi="Lucida Sans"/>
          <w:lang w:val="it-IT"/>
        </w:rPr>
        <w:t xml:space="preserve"> </w:t>
      </w:r>
      <w:proofErr w:type="spellStart"/>
      <w:r w:rsidRPr="00373E2E">
        <w:rPr>
          <w:rFonts w:ascii="Lucida Sans" w:hAnsi="Lucida Sans"/>
          <w:lang w:val="it-IT"/>
        </w:rPr>
        <w:t>specific</w:t>
      </w:r>
      <w:proofErr w:type="spellEnd"/>
      <w:r w:rsidRPr="00373E2E">
        <w:rPr>
          <w:rFonts w:ascii="Lucida Sans" w:hAnsi="Lucida Sans"/>
          <w:lang w:val="it-IT"/>
        </w:rPr>
        <w:t xml:space="preserve"> </w:t>
      </w:r>
      <w:proofErr w:type="spellStart"/>
      <w:r w:rsidRPr="00373E2E">
        <w:rPr>
          <w:rFonts w:ascii="Lucida Sans" w:hAnsi="Lucida Sans"/>
          <w:lang w:val="it-IT"/>
        </w:rPr>
        <w:t>comments</w:t>
      </w:r>
      <w:proofErr w:type="spellEnd"/>
      <w:r w:rsidRPr="00373E2E">
        <w:rPr>
          <w:rFonts w:ascii="Lucida Sans" w:hAnsi="Lucida Sans"/>
          <w:lang w:val="it-IT"/>
        </w:rPr>
        <w:t xml:space="preserve">. </w:t>
      </w:r>
      <w:proofErr w:type="spellStart"/>
      <w:r w:rsidRPr="00373E2E">
        <w:rPr>
          <w:rFonts w:ascii="Lucida Sans" w:hAnsi="Lucida Sans"/>
          <w:lang w:val="it-IT"/>
        </w:rPr>
        <w:t>However</w:t>
      </w:r>
      <w:proofErr w:type="spellEnd"/>
      <w:r w:rsidRPr="00373E2E">
        <w:rPr>
          <w:rFonts w:ascii="Lucida Sans" w:hAnsi="Lucida Sans"/>
          <w:lang w:val="it-IT"/>
        </w:rPr>
        <w:t xml:space="preserve">, </w:t>
      </w:r>
      <w:proofErr w:type="spellStart"/>
      <w:r w:rsidRPr="00373E2E">
        <w:rPr>
          <w:rFonts w:ascii="Lucida Sans" w:hAnsi="Lucida Sans"/>
          <w:lang w:val="it-IT"/>
        </w:rPr>
        <w:t>it</w:t>
      </w:r>
      <w:proofErr w:type="spellEnd"/>
      <w:r w:rsidRPr="00373E2E">
        <w:rPr>
          <w:rFonts w:ascii="Lucida Sans" w:hAnsi="Lucida Sans"/>
          <w:lang w:val="it-IT"/>
        </w:rPr>
        <w:t xml:space="preserve"> </w:t>
      </w:r>
      <w:proofErr w:type="spellStart"/>
      <w:r w:rsidRPr="00373E2E">
        <w:rPr>
          <w:rFonts w:ascii="Lucida Sans" w:hAnsi="Lucida Sans"/>
          <w:lang w:val="it-IT"/>
        </w:rPr>
        <w:t>worth</w:t>
      </w:r>
      <w:proofErr w:type="spellEnd"/>
      <w:r w:rsidRPr="00373E2E">
        <w:rPr>
          <w:rFonts w:ascii="Lucida Sans" w:hAnsi="Lucida Sans"/>
          <w:lang w:val="it-IT"/>
        </w:rPr>
        <w:t xml:space="preserve"> </w:t>
      </w:r>
      <w:proofErr w:type="spellStart"/>
      <w:r w:rsidRPr="00373E2E">
        <w:rPr>
          <w:rFonts w:ascii="Lucida Sans" w:hAnsi="Lucida Sans"/>
          <w:lang w:val="it-IT"/>
        </w:rPr>
        <w:t>saying</w:t>
      </w:r>
      <w:proofErr w:type="spellEnd"/>
      <w:r w:rsidRPr="00373E2E">
        <w:rPr>
          <w:rFonts w:ascii="Lucida Sans" w:hAnsi="Lucida Sans"/>
          <w:lang w:val="it-IT"/>
        </w:rPr>
        <w:t xml:space="preserve"> </w:t>
      </w:r>
      <w:proofErr w:type="spellStart"/>
      <w:r w:rsidRPr="00373E2E">
        <w:rPr>
          <w:rFonts w:ascii="Lucida Sans" w:hAnsi="Lucida Sans"/>
          <w:lang w:val="it-IT"/>
        </w:rPr>
        <w:t>that</w:t>
      </w:r>
      <w:proofErr w:type="spellEnd"/>
      <w:r w:rsidRPr="00373E2E">
        <w:rPr>
          <w:rFonts w:ascii="Lucida Sans" w:hAnsi="Lucida Sans"/>
          <w:lang w:val="it-IT"/>
        </w:rPr>
        <w:t xml:space="preserve"> for the </w:t>
      </w:r>
      <w:proofErr w:type="spellStart"/>
      <w:r w:rsidRPr="00373E2E">
        <w:rPr>
          <w:rFonts w:ascii="Lucida Sans" w:hAnsi="Lucida Sans"/>
          <w:lang w:val="it-IT"/>
        </w:rPr>
        <w:t>preparation</w:t>
      </w:r>
      <w:proofErr w:type="spellEnd"/>
      <w:r w:rsidRPr="00373E2E">
        <w:rPr>
          <w:rFonts w:ascii="Lucida Sans" w:hAnsi="Lucida Sans"/>
          <w:lang w:val="it-IT"/>
        </w:rPr>
        <w:t xml:space="preserve"> of the </w:t>
      </w:r>
      <w:proofErr w:type="spellStart"/>
      <w:r w:rsidRPr="00373E2E">
        <w:rPr>
          <w:rFonts w:ascii="Lucida Sans" w:hAnsi="Lucida Sans"/>
          <w:lang w:val="it-IT"/>
        </w:rPr>
        <w:t>PRIIPs</w:t>
      </w:r>
      <w:proofErr w:type="spellEnd"/>
      <w:r w:rsidRPr="00373E2E">
        <w:rPr>
          <w:rFonts w:ascii="Lucida Sans" w:hAnsi="Lucida Sans"/>
          <w:lang w:val="it-IT"/>
        </w:rPr>
        <w:t xml:space="preserve"> KID for a MOP, the data on the </w:t>
      </w:r>
      <w:proofErr w:type="spellStart"/>
      <w:r w:rsidRPr="00373E2E">
        <w:rPr>
          <w:rFonts w:ascii="Lucida Sans" w:hAnsi="Lucida Sans"/>
          <w:lang w:val="it-IT"/>
        </w:rPr>
        <w:t>underlying</w:t>
      </w:r>
      <w:proofErr w:type="spellEnd"/>
      <w:r w:rsidRPr="00373E2E">
        <w:rPr>
          <w:rFonts w:ascii="Lucida Sans" w:hAnsi="Lucida Sans"/>
          <w:lang w:val="it-IT"/>
        </w:rPr>
        <w:t xml:space="preserve"> options (funds) </w:t>
      </w:r>
      <w:proofErr w:type="spellStart"/>
      <w:r w:rsidRPr="00373E2E">
        <w:rPr>
          <w:rFonts w:ascii="Lucida Sans" w:hAnsi="Lucida Sans"/>
          <w:lang w:val="it-IT"/>
        </w:rPr>
        <w:t>should</w:t>
      </w:r>
      <w:proofErr w:type="spellEnd"/>
      <w:r w:rsidRPr="00373E2E">
        <w:rPr>
          <w:rFonts w:ascii="Lucida Sans" w:hAnsi="Lucida Sans"/>
          <w:lang w:val="it-IT"/>
        </w:rPr>
        <w:t xml:space="preserve"> be </w:t>
      </w:r>
      <w:proofErr w:type="spellStart"/>
      <w:r w:rsidRPr="00373E2E">
        <w:rPr>
          <w:rFonts w:ascii="Lucida Sans" w:hAnsi="Lucida Sans"/>
          <w:lang w:val="it-IT"/>
        </w:rPr>
        <w:t>based</w:t>
      </w:r>
      <w:proofErr w:type="spellEnd"/>
      <w:r w:rsidRPr="00373E2E">
        <w:rPr>
          <w:rFonts w:ascii="Lucida Sans" w:hAnsi="Lucida Sans"/>
          <w:lang w:val="it-IT"/>
        </w:rPr>
        <w:t xml:space="preserve"> on the </w:t>
      </w:r>
      <w:proofErr w:type="spellStart"/>
      <w:r w:rsidRPr="00373E2E">
        <w:rPr>
          <w:rFonts w:ascii="Lucida Sans" w:hAnsi="Lucida Sans"/>
          <w:lang w:val="it-IT"/>
        </w:rPr>
        <w:t>figures</w:t>
      </w:r>
      <w:proofErr w:type="spellEnd"/>
      <w:r w:rsidRPr="00373E2E">
        <w:rPr>
          <w:rFonts w:ascii="Lucida Sans" w:hAnsi="Lucida Sans"/>
          <w:lang w:val="it-IT"/>
        </w:rPr>
        <w:t xml:space="preserve"> </w:t>
      </w:r>
      <w:proofErr w:type="spellStart"/>
      <w:r w:rsidRPr="00373E2E">
        <w:rPr>
          <w:rFonts w:ascii="Lucida Sans" w:hAnsi="Lucida Sans"/>
          <w:lang w:val="it-IT"/>
        </w:rPr>
        <w:t>disclosed</w:t>
      </w:r>
      <w:proofErr w:type="spellEnd"/>
      <w:r w:rsidRPr="00373E2E">
        <w:rPr>
          <w:rFonts w:ascii="Lucida Sans" w:hAnsi="Lucida Sans"/>
          <w:lang w:val="it-IT"/>
        </w:rPr>
        <w:t xml:space="preserve"> </w:t>
      </w:r>
      <w:r w:rsidRPr="00373E2E">
        <w:rPr>
          <w:rFonts w:ascii="Lucida Sans" w:hAnsi="Lucida Sans"/>
          <w:lang w:val="it-IT"/>
        </w:rPr>
        <w:lastRenderedPageBreak/>
        <w:t xml:space="preserve">in the PRIIP KID </w:t>
      </w:r>
      <w:proofErr w:type="spellStart"/>
      <w:r w:rsidRPr="00373E2E">
        <w:rPr>
          <w:rFonts w:ascii="Lucida Sans" w:hAnsi="Lucida Sans"/>
          <w:lang w:val="it-IT"/>
        </w:rPr>
        <w:t>as</w:t>
      </w:r>
      <w:proofErr w:type="spellEnd"/>
      <w:r w:rsidRPr="00373E2E">
        <w:rPr>
          <w:rFonts w:ascii="Lucida Sans" w:hAnsi="Lucida Sans"/>
          <w:lang w:val="it-IT"/>
        </w:rPr>
        <w:t xml:space="preserve"> </w:t>
      </w:r>
      <w:proofErr w:type="spellStart"/>
      <w:r w:rsidRPr="00373E2E">
        <w:rPr>
          <w:rFonts w:ascii="Lucida Sans" w:hAnsi="Lucida Sans"/>
          <w:lang w:val="it-IT"/>
        </w:rPr>
        <w:t>much</w:t>
      </w:r>
      <w:proofErr w:type="spellEnd"/>
      <w:r w:rsidRPr="00373E2E">
        <w:rPr>
          <w:rFonts w:ascii="Lucida Sans" w:hAnsi="Lucida Sans"/>
          <w:lang w:val="it-IT"/>
        </w:rPr>
        <w:t xml:space="preserve"> </w:t>
      </w:r>
      <w:proofErr w:type="spellStart"/>
      <w:r w:rsidRPr="00373E2E">
        <w:rPr>
          <w:rFonts w:ascii="Lucida Sans" w:hAnsi="Lucida Sans"/>
          <w:lang w:val="it-IT"/>
        </w:rPr>
        <w:t>as</w:t>
      </w:r>
      <w:proofErr w:type="spellEnd"/>
      <w:r w:rsidRPr="00373E2E">
        <w:rPr>
          <w:rFonts w:ascii="Lucida Sans" w:hAnsi="Lucida Sans"/>
          <w:lang w:val="it-IT"/>
        </w:rPr>
        <w:t xml:space="preserve"> </w:t>
      </w:r>
      <w:proofErr w:type="spellStart"/>
      <w:r w:rsidRPr="00373E2E">
        <w:rPr>
          <w:rFonts w:ascii="Lucida Sans" w:hAnsi="Lucida Sans"/>
          <w:lang w:val="it-IT"/>
        </w:rPr>
        <w:t>possible</w:t>
      </w:r>
      <w:proofErr w:type="spellEnd"/>
      <w:r w:rsidRPr="00373E2E">
        <w:rPr>
          <w:rFonts w:ascii="Lucida Sans" w:hAnsi="Lucida Sans"/>
          <w:lang w:val="it-IT"/>
        </w:rPr>
        <w:t xml:space="preserve">. </w:t>
      </w:r>
      <w:proofErr w:type="spellStart"/>
      <w:r w:rsidRPr="00373E2E">
        <w:rPr>
          <w:rFonts w:ascii="Lucida Sans" w:hAnsi="Lucida Sans"/>
          <w:lang w:val="it-IT"/>
        </w:rPr>
        <w:t>Any</w:t>
      </w:r>
      <w:proofErr w:type="spellEnd"/>
      <w:r w:rsidRPr="00373E2E">
        <w:rPr>
          <w:rFonts w:ascii="Lucida Sans" w:hAnsi="Lucida Sans"/>
          <w:lang w:val="it-IT"/>
        </w:rPr>
        <w:t xml:space="preserve"> </w:t>
      </w:r>
      <w:proofErr w:type="spellStart"/>
      <w:r w:rsidRPr="00373E2E">
        <w:rPr>
          <w:rFonts w:ascii="Lucida Sans" w:hAnsi="Lucida Sans"/>
          <w:lang w:val="it-IT"/>
        </w:rPr>
        <w:t>further</w:t>
      </w:r>
      <w:proofErr w:type="spellEnd"/>
      <w:r w:rsidRPr="00373E2E">
        <w:rPr>
          <w:rFonts w:ascii="Lucida Sans" w:hAnsi="Lucida Sans"/>
          <w:lang w:val="it-IT"/>
        </w:rPr>
        <w:t xml:space="preserve"> information </w:t>
      </w:r>
      <w:proofErr w:type="spellStart"/>
      <w:r w:rsidRPr="00373E2E">
        <w:rPr>
          <w:rFonts w:ascii="Lucida Sans" w:hAnsi="Lucida Sans"/>
          <w:lang w:val="it-IT"/>
        </w:rPr>
        <w:t>could</w:t>
      </w:r>
      <w:proofErr w:type="spellEnd"/>
      <w:r w:rsidRPr="00373E2E">
        <w:rPr>
          <w:rFonts w:ascii="Lucida Sans" w:hAnsi="Lucida Sans"/>
          <w:lang w:val="it-IT"/>
        </w:rPr>
        <w:t xml:space="preserve"> </w:t>
      </w:r>
      <w:proofErr w:type="spellStart"/>
      <w:r w:rsidRPr="00373E2E">
        <w:rPr>
          <w:rFonts w:ascii="Lucida Sans" w:hAnsi="Lucida Sans"/>
          <w:lang w:val="it-IT"/>
        </w:rPr>
        <w:t>actually</w:t>
      </w:r>
      <w:proofErr w:type="spellEnd"/>
      <w:r w:rsidRPr="00373E2E">
        <w:rPr>
          <w:rFonts w:ascii="Lucida Sans" w:hAnsi="Lucida Sans"/>
          <w:lang w:val="it-IT"/>
        </w:rPr>
        <w:t xml:space="preserve"> </w:t>
      </w:r>
      <w:proofErr w:type="spellStart"/>
      <w:r w:rsidRPr="00373E2E">
        <w:rPr>
          <w:rFonts w:ascii="Lucida Sans" w:hAnsi="Lucida Sans"/>
          <w:lang w:val="it-IT"/>
        </w:rPr>
        <w:t>have</w:t>
      </w:r>
      <w:proofErr w:type="spellEnd"/>
      <w:r w:rsidRPr="00373E2E">
        <w:rPr>
          <w:rFonts w:ascii="Lucida Sans" w:hAnsi="Lucida Sans"/>
          <w:lang w:val="it-IT"/>
        </w:rPr>
        <w:t xml:space="preserve"> an impact on </w:t>
      </w:r>
      <w:proofErr w:type="spellStart"/>
      <w:proofErr w:type="gramStart"/>
      <w:r w:rsidRPr="00373E2E">
        <w:rPr>
          <w:rFonts w:ascii="Lucida Sans" w:hAnsi="Lucida Sans"/>
          <w:lang w:val="it-IT"/>
        </w:rPr>
        <w:t>PRIIPs</w:t>
      </w:r>
      <w:proofErr w:type="spellEnd"/>
      <w:r w:rsidRPr="00373E2E">
        <w:rPr>
          <w:rFonts w:ascii="Lucida Sans" w:hAnsi="Lucida Sans"/>
          <w:lang w:val="it-IT"/>
        </w:rPr>
        <w:t xml:space="preserve">  </w:t>
      </w:r>
      <w:proofErr w:type="spellStart"/>
      <w:r w:rsidRPr="00373E2E">
        <w:rPr>
          <w:rFonts w:ascii="Lucida Sans" w:hAnsi="Lucida Sans"/>
          <w:lang w:val="it-IT"/>
        </w:rPr>
        <w:t>manufactures</w:t>
      </w:r>
      <w:proofErr w:type="spellEnd"/>
      <w:proofErr w:type="gramEnd"/>
      <w:r w:rsidRPr="00373E2E">
        <w:rPr>
          <w:rFonts w:ascii="Lucida Sans" w:hAnsi="Lucida Sans"/>
          <w:lang w:val="it-IT"/>
        </w:rPr>
        <w:t xml:space="preserve"> </w:t>
      </w:r>
      <w:proofErr w:type="spellStart"/>
      <w:r w:rsidRPr="00373E2E">
        <w:rPr>
          <w:rFonts w:ascii="Lucida Sans" w:hAnsi="Lucida Sans"/>
          <w:lang w:val="it-IT"/>
        </w:rPr>
        <w:t>both</w:t>
      </w:r>
      <w:proofErr w:type="spellEnd"/>
      <w:r w:rsidRPr="00373E2E">
        <w:rPr>
          <w:rFonts w:ascii="Lucida Sans" w:hAnsi="Lucida Sans"/>
          <w:lang w:val="it-IT"/>
        </w:rPr>
        <w:t xml:space="preserve"> </w:t>
      </w:r>
      <w:proofErr w:type="spellStart"/>
      <w:r w:rsidRPr="00373E2E">
        <w:rPr>
          <w:rFonts w:ascii="Lucida Sans" w:hAnsi="Lucida Sans"/>
          <w:lang w:val="it-IT"/>
        </w:rPr>
        <w:t>terms</w:t>
      </w:r>
      <w:proofErr w:type="spellEnd"/>
      <w:r w:rsidRPr="00373E2E">
        <w:rPr>
          <w:rFonts w:ascii="Lucida Sans" w:hAnsi="Lucida Sans"/>
          <w:lang w:val="it-IT"/>
        </w:rPr>
        <w:t xml:space="preserve"> of </w:t>
      </w:r>
      <w:proofErr w:type="spellStart"/>
      <w:r w:rsidRPr="00373E2E">
        <w:rPr>
          <w:rFonts w:ascii="Lucida Sans" w:hAnsi="Lucida Sans"/>
          <w:lang w:val="it-IT"/>
        </w:rPr>
        <w:t>financial</w:t>
      </w:r>
      <w:proofErr w:type="spellEnd"/>
      <w:r w:rsidRPr="00373E2E">
        <w:rPr>
          <w:rFonts w:ascii="Lucida Sans" w:hAnsi="Lucida Sans"/>
          <w:lang w:val="it-IT"/>
        </w:rPr>
        <w:t xml:space="preserve"> </w:t>
      </w:r>
      <w:proofErr w:type="spellStart"/>
      <w:r w:rsidRPr="00373E2E">
        <w:rPr>
          <w:rFonts w:ascii="Lucida Sans" w:hAnsi="Lucida Sans"/>
          <w:lang w:val="it-IT"/>
        </w:rPr>
        <w:t>resources</w:t>
      </w:r>
      <w:proofErr w:type="spellEnd"/>
      <w:r w:rsidRPr="00373E2E">
        <w:rPr>
          <w:rFonts w:ascii="Lucida Sans" w:hAnsi="Lucida Sans"/>
          <w:lang w:val="it-IT"/>
        </w:rPr>
        <w:t xml:space="preserve"> and </w:t>
      </w:r>
      <w:proofErr w:type="spellStart"/>
      <w:r w:rsidRPr="00373E2E">
        <w:rPr>
          <w:rFonts w:ascii="Lucida Sans" w:hAnsi="Lucida Sans"/>
          <w:lang w:val="it-IT"/>
        </w:rPr>
        <w:t>operational</w:t>
      </w:r>
      <w:proofErr w:type="spellEnd"/>
      <w:r w:rsidRPr="00373E2E">
        <w:rPr>
          <w:rFonts w:ascii="Lucida Sans" w:hAnsi="Lucida Sans"/>
          <w:lang w:val="it-IT"/>
        </w:rPr>
        <w:t xml:space="preserve"> </w:t>
      </w:r>
      <w:proofErr w:type="spellStart"/>
      <w:r w:rsidRPr="00373E2E">
        <w:rPr>
          <w:rFonts w:ascii="Lucida Sans" w:hAnsi="Lucida Sans"/>
          <w:lang w:val="it-IT"/>
        </w:rPr>
        <w:t>efforts</w:t>
      </w:r>
      <w:proofErr w:type="spellEnd"/>
      <w:r w:rsidRPr="00373E2E">
        <w:rPr>
          <w:rFonts w:ascii="Lucida Sans" w:hAnsi="Lucida Sans"/>
          <w:lang w:val="it-IT"/>
        </w:rPr>
        <w:t xml:space="preserve"> to </w:t>
      </w:r>
      <w:proofErr w:type="spellStart"/>
      <w:r w:rsidRPr="00373E2E">
        <w:rPr>
          <w:rFonts w:ascii="Lucida Sans" w:hAnsi="Lucida Sans"/>
          <w:lang w:val="it-IT"/>
        </w:rPr>
        <w:t>afford</w:t>
      </w:r>
      <w:proofErr w:type="spellEnd"/>
      <w:r w:rsidRPr="00373E2E">
        <w:rPr>
          <w:rFonts w:ascii="Lucida Sans" w:hAnsi="Lucida Sans"/>
          <w:lang w:val="it-IT"/>
        </w:rPr>
        <w:t xml:space="preserve"> in </w:t>
      </w:r>
      <w:proofErr w:type="spellStart"/>
      <w:r w:rsidRPr="00373E2E">
        <w:rPr>
          <w:rFonts w:ascii="Lucida Sans" w:hAnsi="Lucida Sans"/>
          <w:lang w:val="it-IT"/>
        </w:rPr>
        <w:t>providing</w:t>
      </w:r>
      <w:proofErr w:type="spellEnd"/>
      <w:r w:rsidRPr="00373E2E">
        <w:rPr>
          <w:rFonts w:ascii="Lucida Sans" w:hAnsi="Lucida Sans"/>
          <w:lang w:val="it-IT"/>
        </w:rPr>
        <w:t>/</w:t>
      </w:r>
      <w:proofErr w:type="spellStart"/>
      <w:r w:rsidRPr="00373E2E">
        <w:rPr>
          <w:rFonts w:ascii="Lucida Sans" w:hAnsi="Lucida Sans"/>
          <w:lang w:val="it-IT"/>
        </w:rPr>
        <w:t>colleting</w:t>
      </w:r>
      <w:proofErr w:type="spellEnd"/>
      <w:r w:rsidRPr="00373E2E">
        <w:rPr>
          <w:rFonts w:ascii="Lucida Sans" w:hAnsi="Lucida Sans"/>
          <w:lang w:val="it-IT"/>
        </w:rPr>
        <w:t xml:space="preserve"> </w:t>
      </w:r>
      <w:proofErr w:type="spellStart"/>
      <w:r w:rsidRPr="00373E2E">
        <w:rPr>
          <w:rFonts w:ascii="Lucida Sans" w:hAnsi="Lucida Sans"/>
          <w:lang w:val="it-IT"/>
        </w:rPr>
        <w:t>relevant</w:t>
      </w:r>
      <w:proofErr w:type="spellEnd"/>
      <w:r w:rsidRPr="00373E2E">
        <w:rPr>
          <w:rFonts w:ascii="Lucida Sans" w:hAnsi="Lucida Sans"/>
          <w:lang w:val="it-IT"/>
        </w:rPr>
        <w:t xml:space="preserve"> information.</w:t>
      </w:r>
    </w:p>
    <w:p w14:paraId="085E90ED" w14:textId="4C234FF0" w:rsidR="003E573C" w:rsidRDefault="003E573C" w:rsidP="003E573C">
      <w:pPr>
        <w:rPr>
          <w:rFonts w:cs="Arial"/>
        </w:rPr>
      </w:pP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32A3CDDE" w14:textId="77777777" w:rsidR="00A54A43" w:rsidRPr="00373E2E" w:rsidRDefault="00A54A43" w:rsidP="00873187">
      <w:pPr>
        <w:pStyle w:val="Testocommento"/>
        <w:spacing w:after="120"/>
        <w:jc w:val="both"/>
        <w:rPr>
          <w:rFonts w:ascii="Lucida Sans" w:hAnsi="Lucida Sans"/>
          <w:lang w:val="it-IT"/>
        </w:rPr>
      </w:pPr>
      <w:permStart w:id="1989770724" w:edGrp="everyone"/>
      <w:proofErr w:type="spellStart"/>
      <w:r w:rsidRPr="00373E2E">
        <w:rPr>
          <w:rFonts w:ascii="Lucida Sans" w:hAnsi="Lucida Sans"/>
          <w:lang w:val="it-IT"/>
        </w:rPr>
        <w:t>We</w:t>
      </w:r>
      <w:proofErr w:type="spellEnd"/>
      <w:r w:rsidRPr="00373E2E">
        <w:rPr>
          <w:rFonts w:ascii="Lucida Sans" w:hAnsi="Lucida Sans"/>
          <w:lang w:val="it-IT"/>
        </w:rPr>
        <w:t xml:space="preserve"> </w:t>
      </w:r>
      <w:proofErr w:type="spellStart"/>
      <w:r w:rsidRPr="00373E2E">
        <w:rPr>
          <w:rFonts w:ascii="Lucida Sans" w:hAnsi="Lucida Sans"/>
          <w:lang w:val="it-IT"/>
        </w:rPr>
        <w:t>have</w:t>
      </w:r>
      <w:proofErr w:type="spellEnd"/>
      <w:r w:rsidRPr="00373E2E">
        <w:rPr>
          <w:rFonts w:ascii="Lucida Sans" w:hAnsi="Lucida Sans"/>
          <w:lang w:val="it-IT"/>
        </w:rPr>
        <w:t xml:space="preserve"> </w:t>
      </w:r>
      <w:proofErr w:type="spellStart"/>
      <w:r w:rsidRPr="00373E2E">
        <w:rPr>
          <w:rFonts w:ascii="Lucida Sans" w:hAnsi="Lucida Sans"/>
          <w:lang w:val="it-IT"/>
        </w:rPr>
        <w:t>not</w:t>
      </w:r>
      <w:proofErr w:type="spellEnd"/>
      <w:r w:rsidRPr="00373E2E">
        <w:rPr>
          <w:rFonts w:ascii="Lucida Sans" w:hAnsi="Lucida Sans"/>
          <w:lang w:val="it-IT"/>
        </w:rPr>
        <w:t xml:space="preserve"> </w:t>
      </w:r>
      <w:proofErr w:type="spellStart"/>
      <w:r w:rsidRPr="00373E2E">
        <w:rPr>
          <w:rFonts w:ascii="Lucida Sans" w:hAnsi="Lucida Sans"/>
          <w:lang w:val="it-IT"/>
        </w:rPr>
        <w:t>specific</w:t>
      </w:r>
      <w:proofErr w:type="spellEnd"/>
      <w:r w:rsidRPr="00373E2E">
        <w:rPr>
          <w:rFonts w:ascii="Lucida Sans" w:hAnsi="Lucida Sans"/>
          <w:lang w:val="it-IT"/>
        </w:rPr>
        <w:t xml:space="preserve"> </w:t>
      </w:r>
      <w:proofErr w:type="spellStart"/>
      <w:r w:rsidRPr="00373E2E">
        <w:rPr>
          <w:rFonts w:ascii="Lucida Sans" w:hAnsi="Lucida Sans"/>
          <w:lang w:val="it-IT"/>
        </w:rPr>
        <w:t>comments</w:t>
      </w:r>
      <w:proofErr w:type="spellEnd"/>
      <w:r w:rsidRPr="00373E2E">
        <w:rPr>
          <w:rFonts w:ascii="Lucida Sans" w:hAnsi="Lucida Sans"/>
          <w:lang w:val="it-IT"/>
        </w:rPr>
        <w:t xml:space="preserve">. </w:t>
      </w:r>
      <w:proofErr w:type="spellStart"/>
      <w:r w:rsidRPr="00373E2E">
        <w:rPr>
          <w:rFonts w:ascii="Lucida Sans" w:hAnsi="Lucida Sans"/>
          <w:lang w:val="it-IT"/>
        </w:rPr>
        <w:t>However</w:t>
      </w:r>
      <w:proofErr w:type="spellEnd"/>
      <w:r w:rsidRPr="00373E2E">
        <w:rPr>
          <w:rFonts w:ascii="Lucida Sans" w:hAnsi="Lucida Sans"/>
          <w:lang w:val="it-IT"/>
        </w:rPr>
        <w:t xml:space="preserve">, </w:t>
      </w:r>
      <w:proofErr w:type="spellStart"/>
      <w:r w:rsidRPr="00373E2E">
        <w:rPr>
          <w:rFonts w:ascii="Lucida Sans" w:hAnsi="Lucida Sans"/>
          <w:lang w:val="it-IT"/>
        </w:rPr>
        <w:t>it</w:t>
      </w:r>
      <w:proofErr w:type="spellEnd"/>
      <w:r w:rsidRPr="00373E2E">
        <w:rPr>
          <w:rFonts w:ascii="Lucida Sans" w:hAnsi="Lucida Sans"/>
          <w:lang w:val="it-IT"/>
        </w:rPr>
        <w:t xml:space="preserve"> </w:t>
      </w:r>
      <w:proofErr w:type="spellStart"/>
      <w:r w:rsidRPr="00373E2E">
        <w:rPr>
          <w:rFonts w:ascii="Lucida Sans" w:hAnsi="Lucida Sans"/>
          <w:lang w:val="it-IT"/>
        </w:rPr>
        <w:t>worth</w:t>
      </w:r>
      <w:proofErr w:type="spellEnd"/>
      <w:r w:rsidRPr="00373E2E">
        <w:rPr>
          <w:rFonts w:ascii="Lucida Sans" w:hAnsi="Lucida Sans"/>
          <w:lang w:val="it-IT"/>
        </w:rPr>
        <w:t xml:space="preserve"> </w:t>
      </w:r>
      <w:proofErr w:type="spellStart"/>
      <w:r w:rsidRPr="00373E2E">
        <w:rPr>
          <w:rFonts w:ascii="Lucida Sans" w:hAnsi="Lucida Sans"/>
          <w:lang w:val="it-IT"/>
        </w:rPr>
        <w:t>saying</w:t>
      </w:r>
      <w:proofErr w:type="spellEnd"/>
      <w:r w:rsidRPr="00373E2E">
        <w:rPr>
          <w:rFonts w:ascii="Lucida Sans" w:hAnsi="Lucida Sans"/>
          <w:lang w:val="it-IT"/>
        </w:rPr>
        <w:t xml:space="preserve"> </w:t>
      </w:r>
      <w:proofErr w:type="spellStart"/>
      <w:r w:rsidRPr="00373E2E">
        <w:rPr>
          <w:rFonts w:ascii="Lucida Sans" w:hAnsi="Lucida Sans"/>
          <w:lang w:val="it-IT"/>
        </w:rPr>
        <w:t>that</w:t>
      </w:r>
      <w:proofErr w:type="spellEnd"/>
      <w:r w:rsidRPr="00373E2E">
        <w:rPr>
          <w:rFonts w:ascii="Lucida Sans" w:hAnsi="Lucida Sans"/>
          <w:lang w:val="it-IT"/>
        </w:rPr>
        <w:t xml:space="preserve"> for the </w:t>
      </w:r>
      <w:proofErr w:type="spellStart"/>
      <w:r w:rsidRPr="00373E2E">
        <w:rPr>
          <w:rFonts w:ascii="Lucida Sans" w:hAnsi="Lucida Sans"/>
          <w:lang w:val="it-IT"/>
        </w:rPr>
        <w:t>preparation</w:t>
      </w:r>
      <w:proofErr w:type="spellEnd"/>
      <w:r w:rsidRPr="00373E2E">
        <w:rPr>
          <w:rFonts w:ascii="Lucida Sans" w:hAnsi="Lucida Sans"/>
          <w:lang w:val="it-IT"/>
        </w:rPr>
        <w:t xml:space="preserve"> of the </w:t>
      </w:r>
      <w:proofErr w:type="spellStart"/>
      <w:r w:rsidRPr="00373E2E">
        <w:rPr>
          <w:rFonts w:ascii="Lucida Sans" w:hAnsi="Lucida Sans"/>
          <w:lang w:val="it-IT"/>
        </w:rPr>
        <w:t>PRIIPs</w:t>
      </w:r>
      <w:proofErr w:type="spellEnd"/>
      <w:r w:rsidRPr="00373E2E">
        <w:rPr>
          <w:rFonts w:ascii="Lucida Sans" w:hAnsi="Lucida Sans"/>
          <w:lang w:val="it-IT"/>
        </w:rPr>
        <w:t xml:space="preserve"> KID for a MOP, the data on the </w:t>
      </w:r>
      <w:proofErr w:type="spellStart"/>
      <w:r w:rsidRPr="00373E2E">
        <w:rPr>
          <w:rFonts w:ascii="Lucida Sans" w:hAnsi="Lucida Sans"/>
          <w:lang w:val="it-IT"/>
        </w:rPr>
        <w:t>underlying</w:t>
      </w:r>
      <w:proofErr w:type="spellEnd"/>
      <w:r w:rsidRPr="00373E2E">
        <w:rPr>
          <w:rFonts w:ascii="Lucida Sans" w:hAnsi="Lucida Sans"/>
          <w:lang w:val="it-IT"/>
        </w:rPr>
        <w:t xml:space="preserve"> options (funds) </w:t>
      </w:r>
      <w:proofErr w:type="spellStart"/>
      <w:r w:rsidRPr="00373E2E">
        <w:rPr>
          <w:rFonts w:ascii="Lucida Sans" w:hAnsi="Lucida Sans"/>
          <w:lang w:val="it-IT"/>
        </w:rPr>
        <w:t>should</w:t>
      </w:r>
      <w:proofErr w:type="spellEnd"/>
      <w:r w:rsidRPr="00373E2E">
        <w:rPr>
          <w:rFonts w:ascii="Lucida Sans" w:hAnsi="Lucida Sans"/>
          <w:lang w:val="it-IT"/>
        </w:rPr>
        <w:t xml:space="preserve"> be </w:t>
      </w:r>
      <w:proofErr w:type="spellStart"/>
      <w:r w:rsidRPr="00373E2E">
        <w:rPr>
          <w:rFonts w:ascii="Lucida Sans" w:hAnsi="Lucida Sans"/>
          <w:lang w:val="it-IT"/>
        </w:rPr>
        <w:t>based</w:t>
      </w:r>
      <w:proofErr w:type="spellEnd"/>
      <w:r w:rsidRPr="00373E2E">
        <w:rPr>
          <w:rFonts w:ascii="Lucida Sans" w:hAnsi="Lucida Sans"/>
          <w:lang w:val="it-IT"/>
        </w:rPr>
        <w:t xml:space="preserve"> on the </w:t>
      </w:r>
      <w:proofErr w:type="spellStart"/>
      <w:r w:rsidRPr="00373E2E">
        <w:rPr>
          <w:rFonts w:ascii="Lucida Sans" w:hAnsi="Lucida Sans"/>
          <w:lang w:val="it-IT"/>
        </w:rPr>
        <w:t>figures</w:t>
      </w:r>
      <w:proofErr w:type="spellEnd"/>
      <w:r w:rsidRPr="00373E2E">
        <w:rPr>
          <w:rFonts w:ascii="Lucida Sans" w:hAnsi="Lucida Sans"/>
          <w:lang w:val="it-IT"/>
        </w:rPr>
        <w:t xml:space="preserve"> </w:t>
      </w:r>
      <w:proofErr w:type="spellStart"/>
      <w:r w:rsidRPr="00373E2E">
        <w:rPr>
          <w:rFonts w:ascii="Lucida Sans" w:hAnsi="Lucida Sans"/>
          <w:lang w:val="it-IT"/>
        </w:rPr>
        <w:t>disclosed</w:t>
      </w:r>
      <w:proofErr w:type="spellEnd"/>
      <w:r w:rsidRPr="00373E2E">
        <w:rPr>
          <w:rFonts w:ascii="Lucida Sans" w:hAnsi="Lucida Sans"/>
          <w:lang w:val="it-IT"/>
        </w:rPr>
        <w:t xml:space="preserve"> in the PRIIP KID </w:t>
      </w:r>
      <w:proofErr w:type="spellStart"/>
      <w:r w:rsidRPr="00373E2E">
        <w:rPr>
          <w:rFonts w:ascii="Lucida Sans" w:hAnsi="Lucida Sans"/>
          <w:lang w:val="it-IT"/>
        </w:rPr>
        <w:t>as</w:t>
      </w:r>
      <w:proofErr w:type="spellEnd"/>
      <w:r w:rsidRPr="00373E2E">
        <w:rPr>
          <w:rFonts w:ascii="Lucida Sans" w:hAnsi="Lucida Sans"/>
          <w:lang w:val="it-IT"/>
        </w:rPr>
        <w:t xml:space="preserve"> </w:t>
      </w:r>
      <w:proofErr w:type="spellStart"/>
      <w:r w:rsidRPr="00373E2E">
        <w:rPr>
          <w:rFonts w:ascii="Lucida Sans" w:hAnsi="Lucida Sans"/>
          <w:lang w:val="it-IT"/>
        </w:rPr>
        <w:t>much</w:t>
      </w:r>
      <w:proofErr w:type="spellEnd"/>
      <w:r w:rsidRPr="00373E2E">
        <w:rPr>
          <w:rFonts w:ascii="Lucida Sans" w:hAnsi="Lucida Sans"/>
          <w:lang w:val="it-IT"/>
        </w:rPr>
        <w:t xml:space="preserve"> </w:t>
      </w:r>
      <w:proofErr w:type="spellStart"/>
      <w:r w:rsidRPr="00373E2E">
        <w:rPr>
          <w:rFonts w:ascii="Lucida Sans" w:hAnsi="Lucida Sans"/>
          <w:lang w:val="it-IT"/>
        </w:rPr>
        <w:t>as</w:t>
      </w:r>
      <w:proofErr w:type="spellEnd"/>
      <w:r w:rsidRPr="00373E2E">
        <w:rPr>
          <w:rFonts w:ascii="Lucida Sans" w:hAnsi="Lucida Sans"/>
          <w:lang w:val="it-IT"/>
        </w:rPr>
        <w:t xml:space="preserve"> </w:t>
      </w:r>
      <w:proofErr w:type="spellStart"/>
      <w:r w:rsidRPr="00373E2E">
        <w:rPr>
          <w:rFonts w:ascii="Lucida Sans" w:hAnsi="Lucida Sans"/>
          <w:lang w:val="it-IT"/>
        </w:rPr>
        <w:t>possible</w:t>
      </w:r>
      <w:proofErr w:type="spellEnd"/>
      <w:r w:rsidRPr="00373E2E">
        <w:rPr>
          <w:rFonts w:ascii="Lucida Sans" w:hAnsi="Lucida Sans"/>
          <w:lang w:val="it-IT"/>
        </w:rPr>
        <w:t xml:space="preserve">. </w:t>
      </w:r>
      <w:proofErr w:type="spellStart"/>
      <w:r w:rsidRPr="00373E2E">
        <w:rPr>
          <w:rFonts w:ascii="Lucida Sans" w:hAnsi="Lucida Sans"/>
          <w:lang w:val="it-IT"/>
        </w:rPr>
        <w:t>Any</w:t>
      </w:r>
      <w:proofErr w:type="spellEnd"/>
      <w:r w:rsidRPr="00373E2E">
        <w:rPr>
          <w:rFonts w:ascii="Lucida Sans" w:hAnsi="Lucida Sans"/>
          <w:lang w:val="it-IT"/>
        </w:rPr>
        <w:t xml:space="preserve"> </w:t>
      </w:r>
      <w:proofErr w:type="spellStart"/>
      <w:r w:rsidRPr="00373E2E">
        <w:rPr>
          <w:rFonts w:ascii="Lucida Sans" w:hAnsi="Lucida Sans"/>
          <w:lang w:val="it-IT"/>
        </w:rPr>
        <w:t>further</w:t>
      </w:r>
      <w:proofErr w:type="spellEnd"/>
      <w:r w:rsidRPr="00373E2E">
        <w:rPr>
          <w:rFonts w:ascii="Lucida Sans" w:hAnsi="Lucida Sans"/>
          <w:lang w:val="it-IT"/>
        </w:rPr>
        <w:t xml:space="preserve"> information </w:t>
      </w:r>
      <w:proofErr w:type="spellStart"/>
      <w:r w:rsidRPr="00373E2E">
        <w:rPr>
          <w:rFonts w:ascii="Lucida Sans" w:hAnsi="Lucida Sans"/>
          <w:lang w:val="it-IT"/>
        </w:rPr>
        <w:t>could</w:t>
      </w:r>
      <w:proofErr w:type="spellEnd"/>
      <w:r w:rsidRPr="00373E2E">
        <w:rPr>
          <w:rFonts w:ascii="Lucida Sans" w:hAnsi="Lucida Sans"/>
          <w:lang w:val="it-IT"/>
        </w:rPr>
        <w:t xml:space="preserve"> </w:t>
      </w:r>
      <w:proofErr w:type="spellStart"/>
      <w:r w:rsidRPr="00373E2E">
        <w:rPr>
          <w:rFonts w:ascii="Lucida Sans" w:hAnsi="Lucida Sans"/>
          <w:lang w:val="it-IT"/>
        </w:rPr>
        <w:t>actually</w:t>
      </w:r>
      <w:proofErr w:type="spellEnd"/>
      <w:r w:rsidRPr="00373E2E">
        <w:rPr>
          <w:rFonts w:ascii="Lucida Sans" w:hAnsi="Lucida Sans"/>
          <w:lang w:val="it-IT"/>
        </w:rPr>
        <w:t xml:space="preserve"> </w:t>
      </w:r>
      <w:proofErr w:type="spellStart"/>
      <w:r w:rsidRPr="00373E2E">
        <w:rPr>
          <w:rFonts w:ascii="Lucida Sans" w:hAnsi="Lucida Sans"/>
          <w:lang w:val="it-IT"/>
        </w:rPr>
        <w:t>have</w:t>
      </w:r>
      <w:proofErr w:type="spellEnd"/>
      <w:r w:rsidRPr="00373E2E">
        <w:rPr>
          <w:rFonts w:ascii="Lucida Sans" w:hAnsi="Lucida Sans"/>
          <w:lang w:val="it-IT"/>
        </w:rPr>
        <w:t xml:space="preserve"> an impact on </w:t>
      </w:r>
      <w:proofErr w:type="spellStart"/>
      <w:proofErr w:type="gramStart"/>
      <w:r w:rsidRPr="00373E2E">
        <w:rPr>
          <w:rFonts w:ascii="Lucida Sans" w:hAnsi="Lucida Sans"/>
          <w:lang w:val="it-IT"/>
        </w:rPr>
        <w:t>PRIIPs</w:t>
      </w:r>
      <w:proofErr w:type="spellEnd"/>
      <w:r w:rsidRPr="00373E2E">
        <w:rPr>
          <w:rFonts w:ascii="Lucida Sans" w:hAnsi="Lucida Sans"/>
          <w:lang w:val="it-IT"/>
        </w:rPr>
        <w:t xml:space="preserve">  </w:t>
      </w:r>
      <w:proofErr w:type="spellStart"/>
      <w:r w:rsidRPr="00373E2E">
        <w:rPr>
          <w:rFonts w:ascii="Lucida Sans" w:hAnsi="Lucida Sans"/>
          <w:lang w:val="it-IT"/>
        </w:rPr>
        <w:t>manufactures</w:t>
      </w:r>
      <w:proofErr w:type="spellEnd"/>
      <w:proofErr w:type="gramEnd"/>
      <w:r w:rsidRPr="00373E2E">
        <w:rPr>
          <w:rFonts w:ascii="Lucida Sans" w:hAnsi="Lucida Sans"/>
          <w:lang w:val="it-IT"/>
        </w:rPr>
        <w:t xml:space="preserve"> </w:t>
      </w:r>
      <w:proofErr w:type="spellStart"/>
      <w:r w:rsidRPr="00373E2E">
        <w:rPr>
          <w:rFonts w:ascii="Lucida Sans" w:hAnsi="Lucida Sans"/>
          <w:lang w:val="it-IT"/>
        </w:rPr>
        <w:t>both</w:t>
      </w:r>
      <w:proofErr w:type="spellEnd"/>
      <w:r w:rsidRPr="00373E2E">
        <w:rPr>
          <w:rFonts w:ascii="Lucida Sans" w:hAnsi="Lucida Sans"/>
          <w:lang w:val="it-IT"/>
        </w:rPr>
        <w:t xml:space="preserve"> </w:t>
      </w:r>
      <w:proofErr w:type="spellStart"/>
      <w:r w:rsidRPr="00373E2E">
        <w:rPr>
          <w:rFonts w:ascii="Lucida Sans" w:hAnsi="Lucida Sans"/>
          <w:lang w:val="it-IT"/>
        </w:rPr>
        <w:t>terms</w:t>
      </w:r>
      <w:proofErr w:type="spellEnd"/>
      <w:r w:rsidRPr="00373E2E">
        <w:rPr>
          <w:rFonts w:ascii="Lucida Sans" w:hAnsi="Lucida Sans"/>
          <w:lang w:val="it-IT"/>
        </w:rPr>
        <w:t xml:space="preserve"> of </w:t>
      </w:r>
      <w:proofErr w:type="spellStart"/>
      <w:r w:rsidRPr="00373E2E">
        <w:rPr>
          <w:rFonts w:ascii="Lucida Sans" w:hAnsi="Lucida Sans"/>
          <w:lang w:val="it-IT"/>
        </w:rPr>
        <w:t>financial</w:t>
      </w:r>
      <w:proofErr w:type="spellEnd"/>
      <w:r w:rsidRPr="00373E2E">
        <w:rPr>
          <w:rFonts w:ascii="Lucida Sans" w:hAnsi="Lucida Sans"/>
          <w:lang w:val="it-IT"/>
        </w:rPr>
        <w:t xml:space="preserve"> </w:t>
      </w:r>
      <w:proofErr w:type="spellStart"/>
      <w:r w:rsidRPr="00373E2E">
        <w:rPr>
          <w:rFonts w:ascii="Lucida Sans" w:hAnsi="Lucida Sans"/>
          <w:lang w:val="it-IT"/>
        </w:rPr>
        <w:t>resources</w:t>
      </w:r>
      <w:proofErr w:type="spellEnd"/>
      <w:r w:rsidRPr="00373E2E">
        <w:rPr>
          <w:rFonts w:ascii="Lucida Sans" w:hAnsi="Lucida Sans"/>
          <w:lang w:val="it-IT"/>
        </w:rPr>
        <w:t xml:space="preserve"> and </w:t>
      </w:r>
      <w:proofErr w:type="spellStart"/>
      <w:r w:rsidRPr="00373E2E">
        <w:rPr>
          <w:rFonts w:ascii="Lucida Sans" w:hAnsi="Lucida Sans"/>
          <w:lang w:val="it-IT"/>
        </w:rPr>
        <w:t>operational</w:t>
      </w:r>
      <w:proofErr w:type="spellEnd"/>
      <w:r w:rsidRPr="00373E2E">
        <w:rPr>
          <w:rFonts w:ascii="Lucida Sans" w:hAnsi="Lucida Sans"/>
          <w:lang w:val="it-IT"/>
        </w:rPr>
        <w:t xml:space="preserve"> </w:t>
      </w:r>
      <w:proofErr w:type="spellStart"/>
      <w:r w:rsidRPr="00373E2E">
        <w:rPr>
          <w:rFonts w:ascii="Lucida Sans" w:hAnsi="Lucida Sans"/>
          <w:lang w:val="it-IT"/>
        </w:rPr>
        <w:t>efforts</w:t>
      </w:r>
      <w:proofErr w:type="spellEnd"/>
      <w:r w:rsidRPr="00373E2E">
        <w:rPr>
          <w:rFonts w:ascii="Lucida Sans" w:hAnsi="Lucida Sans"/>
          <w:lang w:val="it-IT"/>
        </w:rPr>
        <w:t xml:space="preserve"> to </w:t>
      </w:r>
      <w:proofErr w:type="spellStart"/>
      <w:r w:rsidRPr="00373E2E">
        <w:rPr>
          <w:rFonts w:ascii="Lucida Sans" w:hAnsi="Lucida Sans"/>
          <w:lang w:val="it-IT"/>
        </w:rPr>
        <w:t>afford</w:t>
      </w:r>
      <w:proofErr w:type="spellEnd"/>
      <w:r w:rsidRPr="00373E2E">
        <w:rPr>
          <w:rFonts w:ascii="Lucida Sans" w:hAnsi="Lucida Sans"/>
          <w:lang w:val="it-IT"/>
        </w:rPr>
        <w:t xml:space="preserve"> in </w:t>
      </w:r>
      <w:proofErr w:type="spellStart"/>
      <w:r w:rsidRPr="00373E2E">
        <w:rPr>
          <w:rFonts w:ascii="Lucida Sans" w:hAnsi="Lucida Sans"/>
          <w:lang w:val="it-IT"/>
        </w:rPr>
        <w:t>providing</w:t>
      </w:r>
      <w:proofErr w:type="spellEnd"/>
      <w:r w:rsidRPr="00373E2E">
        <w:rPr>
          <w:rFonts w:ascii="Lucida Sans" w:hAnsi="Lucida Sans"/>
          <w:lang w:val="it-IT"/>
        </w:rPr>
        <w:t>/</w:t>
      </w:r>
      <w:proofErr w:type="spellStart"/>
      <w:r w:rsidRPr="00373E2E">
        <w:rPr>
          <w:rFonts w:ascii="Lucida Sans" w:hAnsi="Lucida Sans"/>
          <w:lang w:val="it-IT"/>
        </w:rPr>
        <w:t>colleting</w:t>
      </w:r>
      <w:proofErr w:type="spellEnd"/>
      <w:r w:rsidRPr="00373E2E">
        <w:rPr>
          <w:rFonts w:ascii="Lucida Sans" w:hAnsi="Lucida Sans"/>
          <w:lang w:val="it-IT"/>
        </w:rPr>
        <w:t xml:space="preserve"> </w:t>
      </w:r>
      <w:proofErr w:type="spellStart"/>
      <w:r w:rsidRPr="00373E2E">
        <w:rPr>
          <w:rFonts w:ascii="Lucida Sans" w:hAnsi="Lucida Sans"/>
          <w:lang w:val="it-IT"/>
        </w:rPr>
        <w:t>relevant</w:t>
      </w:r>
      <w:proofErr w:type="spellEnd"/>
      <w:r w:rsidRPr="00373E2E">
        <w:rPr>
          <w:rFonts w:ascii="Lucida Sans" w:hAnsi="Lucida Sans"/>
          <w:lang w:val="it-IT"/>
        </w:rPr>
        <w:t xml:space="preserve"> information.</w:t>
      </w:r>
    </w:p>
    <w:p w14:paraId="0E62BF4E" w14:textId="43BC876A" w:rsidR="003E573C" w:rsidRDefault="003E573C" w:rsidP="003E573C">
      <w:pPr>
        <w:rPr>
          <w:rFonts w:cs="Arial"/>
        </w:rPr>
      </w:pP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77777777" w:rsidR="003E573C" w:rsidRDefault="003E573C" w:rsidP="003E573C">
      <w:pPr>
        <w:rPr>
          <w:rFonts w:cs="Arial"/>
        </w:rPr>
      </w:pPr>
      <w:permStart w:id="1417153881" w:edGrp="everyone"/>
      <w:r>
        <w:rPr>
          <w:rFonts w:cs="Arial"/>
        </w:rPr>
        <w:t>TYPE YOUR TEXT HERE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77777777" w:rsidR="003E573C" w:rsidRDefault="003E573C" w:rsidP="003E573C">
      <w:pPr>
        <w:rPr>
          <w:rFonts w:cs="Arial"/>
        </w:rPr>
      </w:pPr>
      <w:permStart w:id="481841044" w:edGrp="everyone"/>
      <w:r>
        <w:rPr>
          <w:rFonts w:cs="Arial"/>
        </w:rPr>
        <w:t>TYPE YOUR TEXT HERE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47489923" w14:textId="77777777" w:rsidR="009341B5" w:rsidRPr="00373E2E" w:rsidRDefault="009341B5" w:rsidP="009341B5">
      <w:pPr>
        <w:spacing w:before="120" w:after="120"/>
        <w:jc w:val="both"/>
        <w:rPr>
          <w:rFonts w:ascii="Lucida Sans" w:hAnsi="Lucida Sans"/>
          <w:szCs w:val="20"/>
        </w:rPr>
      </w:pPr>
      <w:permStart w:id="250878080" w:edGrp="everyone"/>
      <w:r w:rsidRPr="00373E2E">
        <w:rPr>
          <w:rFonts w:ascii="Lucida Sans" w:hAnsi="Lucida Sans"/>
          <w:szCs w:val="20"/>
        </w:rPr>
        <w:t>There is a high risk that if the flaws of the PRIIPs Regulation are not adequately addressed prior to the implementation of the amended Level 2 Regulation, PRIIP KIDs will not serve their purpose of providing investors with the information they need to make an informed decision. Instead, investors will be overwhelmed by information which may, in the worst case, not be applicable and/or helpful.</w:t>
      </w:r>
    </w:p>
    <w:p w14:paraId="4727B9C4" w14:textId="77777777" w:rsidR="009341B5" w:rsidRPr="00373E2E" w:rsidRDefault="009341B5" w:rsidP="009341B5">
      <w:pPr>
        <w:spacing w:before="120" w:after="120"/>
        <w:jc w:val="both"/>
        <w:rPr>
          <w:rFonts w:ascii="Lucida Sans" w:hAnsi="Lucida Sans"/>
          <w:szCs w:val="20"/>
        </w:rPr>
      </w:pPr>
      <w:r w:rsidRPr="00373E2E">
        <w:rPr>
          <w:rFonts w:ascii="Lucida Sans" w:hAnsi="Lucida Sans"/>
          <w:szCs w:val="20"/>
        </w:rPr>
        <w:t xml:space="preserve">The cost and benefit within the industry to become compliant, which may involve </w:t>
      </w:r>
      <w:proofErr w:type="gramStart"/>
      <w:r w:rsidRPr="00373E2E">
        <w:rPr>
          <w:rFonts w:ascii="Lucida Sans" w:hAnsi="Lucida Sans"/>
          <w:szCs w:val="20"/>
        </w:rPr>
        <w:t>a number of</w:t>
      </w:r>
      <w:proofErr w:type="gramEnd"/>
      <w:r w:rsidRPr="00373E2E">
        <w:rPr>
          <w:rFonts w:ascii="Lucida Sans" w:hAnsi="Lucida Sans"/>
          <w:szCs w:val="20"/>
        </w:rPr>
        <w:t xml:space="preserve"> stages of amendment, is not sensible. We strongly recommend taking further time and consultation with the industry to ensure that the changes made are adequate for the expansion of the </w:t>
      </w:r>
      <w:r w:rsidRPr="00373E2E">
        <w:rPr>
          <w:rFonts w:ascii="Lucida Sans" w:hAnsi="Lucida Sans"/>
          <w:szCs w:val="20"/>
        </w:rPr>
        <w:lastRenderedPageBreak/>
        <w:t xml:space="preserve">PRIIPs regime to UCITS. If necessary, an additional deadline to the extension, rather than implementing unsuitable changes, should be considered. </w:t>
      </w:r>
    </w:p>
    <w:p w14:paraId="5A0E7D2D" w14:textId="77777777" w:rsidR="009341B5" w:rsidRPr="00373E2E" w:rsidRDefault="009341B5" w:rsidP="009341B5">
      <w:pPr>
        <w:spacing w:before="120" w:after="120"/>
        <w:jc w:val="both"/>
        <w:rPr>
          <w:rFonts w:ascii="Lucida Sans" w:hAnsi="Lucida Sans"/>
          <w:szCs w:val="20"/>
        </w:rPr>
      </w:pPr>
      <w:r w:rsidRPr="00373E2E">
        <w:rPr>
          <w:rFonts w:ascii="Lucida Sans" w:hAnsi="Lucida Sans"/>
          <w:szCs w:val="20"/>
        </w:rPr>
        <w:t xml:space="preserve">We would also favour a grandfathering period, which would permit firms to review and amend their PRIIPs KIDs as part of their annual review, rather than having to be compliant with the amended Level 2 Regulation by a fixed date. This would significantly reduce the cost and effort within the market, and the </w:t>
      </w:r>
      <w:proofErr w:type="gramStart"/>
      <w:r w:rsidRPr="00373E2E">
        <w:rPr>
          <w:rFonts w:ascii="Lucida Sans" w:hAnsi="Lucida Sans"/>
          <w:szCs w:val="20"/>
        </w:rPr>
        <w:t>amount</w:t>
      </w:r>
      <w:proofErr w:type="gramEnd"/>
      <w:r w:rsidRPr="00373E2E">
        <w:rPr>
          <w:rFonts w:ascii="Lucida Sans" w:hAnsi="Lucida Sans"/>
          <w:szCs w:val="20"/>
        </w:rPr>
        <w:t xml:space="preserve"> of documents foisted on investors.</w:t>
      </w:r>
    </w:p>
    <w:p w14:paraId="3543C0C3" w14:textId="0BAEADA7" w:rsidR="003E573C" w:rsidRDefault="003E573C" w:rsidP="003E573C">
      <w:pPr>
        <w:rPr>
          <w:rFonts w:cs="Arial"/>
        </w:rPr>
      </w:pP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54ECCE24" w14:textId="77777777" w:rsidR="00EA3218" w:rsidRPr="00373E2E" w:rsidRDefault="00EA3218" w:rsidP="00EA3218">
      <w:pPr>
        <w:spacing w:before="120" w:after="120"/>
        <w:jc w:val="both"/>
        <w:rPr>
          <w:rFonts w:ascii="Lucida Sans" w:hAnsi="Lucida Sans"/>
          <w:szCs w:val="20"/>
        </w:rPr>
      </w:pPr>
      <w:permStart w:id="1410489078" w:edGrp="everyone"/>
      <w:r w:rsidRPr="00373E2E">
        <w:rPr>
          <w:rFonts w:ascii="Lucida Sans" w:hAnsi="Lucida Sans"/>
          <w:szCs w:val="20"/>
        </w:rPr>
        <w:t xml:space="preserve">It is not easy to assess implementation costs for the performance and cost methodology changes. We do not currently believe that the suggested change to the performance methodology provides a reasonable improvement considering the additional costs and uncertainty. </w:t>
      </w:r>
    </w:p>
    <w:p w14:paraId="0F93A014" w14:textId="5531072B" w:rsidR="003E573C" w:rsidRDefault="003E573C" w:rsidP="003E573C">
      <w:pPr>
        <w:rPr>
          <w:rFonts w:cs="Arial"/>
        </w:rPr>
      </w:pP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43"/>
      <w:headerReference w:type="first" r:id="rId44"/>
      <w:footerReference w:type="first" r:id="rId45"/>
      <w:pgSz w:w="11906" w:h="16838" w:code="9"/>
      <w:pgMar w:top="2410" w:right="1247" w:bottom="1135" w:left="1247"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 w:author="Assogestioni" w:date="2020-01-13T12:20:00Z" w:initials="DA">
    <w:p w14:paraId="55033563" w14:textId="15CD0A56" w:rsidR="00586B4B" w:rsidRDefault="00586B4B">
      <w:pPr>
        <w:pStyle w:val="Testocommento"/>
      </w:pPr>
      <w:r>
        <w:rPr>
          <w:rStyle w:val="Rimandocommento"/>
        </w:rPr>
        <w:annotationRef/>
      </w:r>
      <w:r>
        <w:t xml:space="preserve">For a well-informed disclosure to the investor, in the PRIIP KID should be disclosed the method used. </w:t>
      </w:r>
      <w:r>
        <w:rPr>
          <w:rStyle w:val="Rimandocommento"/>
        </w:rPr>
        <w:annotationRef/>
      </w:r>
      <w:proofErr w:type="gramStart"/>
      <w:r w:rsidRPr="004F76F6">
        <w:t>.</w:t>
      </w:r>
      <w:r>
        <w:t>As</w:t>
      </w:r>
      <w:proofErr w:type="gramEnd"/>
      <w:r>
        <w:t xml:space="preserve"> regard the methodology for calculating transaction costs we ask for two options: standard table or actual costs without slippage. See our comments in our response to Q43.</w:t>
      </w:r>
    </w:p>
  </w:comment>
  <w:comment w:id="5" w:author="Assogestioni" w:date="2020-01-13T12:20:00Z" w:initials="DA">
    <w:p w14:paraId="5F9B4425" w14:textId="053E5805" w:rsidR="00586B4B" w:rsidRDefault="00586B4B">
      <w:pPr>
        <w:pStyle w:val="Testocommento"/>
      </w:pPr>
      <w:r>
        <w:rPr>
          <w:rStyle w:val="Rimandocommento"/>
        </w:rPr>
        <w:annotationRef/>
      </w:r>
      <w:r>
        <w:t>We agree that transaction costs should not depend by the occurrence of underlying market risk</w:t>
      </w:r>
    </w:p>
  </w:comment>
  <w:comment w:id="6" w:author="Assogestioni" w:date="2020-01-13T12:20:00Z" w:initials="DA">
    <w:p w14:paraId="43C36D17" w14:textId="48FE44C9" w:rsidR="00586B4B" w:rsidRDefault="00586B4B">
      <w:pPr>
        <w:pStyle w:val="Testocommento"/>
      </w:pPr>
      <w:r>
        <w:rPr>
          <w:rStyle w:val="Rimandocommento"/>
        </w:rPr>
        <w:annotationRef/>
      </w:r>
      <w:r>
        <w:t>Reference to the transaction costs methodology for new PRIIPs</w:t>
      </w:r>
    </w:p>
  </w:comment>
  <w:comment w:id="7" w:author="Assogestioni" w:date="2020-01-13T12:20:00Z" w:initials="DA">
    <w:p w14:paraId="5DA1A331" w14:textId="70526BB4" w:rsidR="00586B4B" w:rsidRDefault="00586B4B">
      <w:pPr>
        <w:pStyle w:val="Testocommento"/>
      </w:pPr>
      <w:r>
        <w:rPr>
          <w:rStyle w:val="Rimandocommento"/>
        </w:rPr>
        <w:annotationRef/>
      </w:r>
      <w:r>
        <w:t>Reference to actual anti-dilution mechanism. The amount to be deducted should not be limited to an amount equal to the implicit transaction costs. Anti-dilution mechanism applies both to explicit and implicit transaction costs.</w:t>
      </w:r>
    </w:p>
  </w:comment>
  <w:comment w:id="8" w:author="Assogestioni" w:date="2020-01-13T12:21:00Z" w:initials="DA">
    <w:p w14:paraId="481FA0E5" w14:textId="6472F964" w:rsidR="00D536EC" w:rsidRDefault="00D536EC">
      <w:pPr>
        <w:pStyle w:val="Testocommento"/>
      </w:pPr>
      <w:r>
        <w:rPr>
          <w:rStyle w:val="Rimandocommento"/>
        </w:rPr>
        <w:annotationRef/>
      </w:r>
      <w:r>
        <w:t>We agree in considering legal advisers for real estate transactions as transaction costs however this type of costs may be not common for instruments defined under point 8a) and b).</w:t>
      </w:r>
    </w:p>
  </w:comment>
  <w:comment w:id="9" w:author="Assogestioni" w:date="2020-01-13T12:21:00Z" w:initials="DA">
    <w:p w14:paraId="29D64FF7" w14:textId="2B9BD16C" w:rsidR="00D536EC" w:rsidRDefault="00D536EC">
      <w:pPr>
        <w:pStyle w:val="Testocommento"/>
      </w:pPr>
      <w:r>
        <w:rPr>
          <w:rStyle w:val="Rimandocommento"/>
        </w:rPr>
        <w:annotationRef/>
      </w:r>
      <w:r>
        <w:t xml:space="preserve">These costs are not transaction costs as occurred </w:t>
      </w:r>
      <w:proofErr w:type="gramStart"/>
      <w:r>
        <w:t>as a consequence of</w:t>
      </w:r>
      <w:proofErr w:type="gramEnd"/>
      <w:r>
        <w:t xml:space="preserve"> employing a custodian</w:t>
      </w:r>
    </w:p>
  </w:comment>
  <w:comment w:id="10" w:author="Assogestioni" w:date="2020-01-13T12:21:00Z" w:initials="DA">
    <w:p w14:paraId="13BDD9D4" w14:textId="4A2856ED" w:rsidR="00D536EC" w:rsidRDefault="00D536EC">
      <w:pPr>
        <w:pStyle w:val="Testocommento"/>
      </w:pPr>
      <w:r>
        <w:rPr>
          <w:rStyle w:val="Rimandocommento"/>
        </w:rPr>
        <w:annotationRef/>
      </w:r>
      <w:r>
        <w:t>T</w:t>
      </w:r>
      <w:r w:rsidRPr="00835545">
        <w:t>he change in the calculation is made for consistency</w:t>
      </w:r>
      <w:r w:rsidR="00D55ABB">
        <w:t xml:space="preserve"> </w:t>
      </w:r>
      <w:r w:rsidRPr="00835545">
        <w:t>with ex-post cost information pursuant to MiFID</w:t>
      </w:r>
      <w:r>
        <w:t xml:space="preserve"> II disclosure</w:t>
      </w:r>
      <w:r w:rsidRPr="00835545">
        <w:t xml:space="preserve">, where in the latter costs should reflect the actual cost of the </w:t>
      </w:r>
      <w:r w:rsidR="00B17030">
        <w:t>previous</w:t>
      </w:r>
      <w:r w:rsidRPr="00835545">
        <w:t xml:space="preserve"> year</w:t>
      </w:r>
      <w:r>
        <w:t>. The figures are also more representative in case of large subscriptions/redemptions.</w:t>
      </w:r>
    </w:p>
  </w:comment>
  <w:comment w:id="11" w:author="Assogestioni" w:date="2020-01-13T12:21:00Z" w:initials="DA">
    <w:p w14:paraId="2992C998" w14:textId="77777777" w:rsidR="00D536EC" w:rsidRDefault="00D536EC" w:rsidP="00D536EC">
      <w:pPr>
        <w:pStyle w:val="Testocommento"/>
      </w:pPr>
      <w:r>
        <w:rPr>
          <w:rStyle w:val="Rimandocommento"/>
        </w:rPr>
        <w:annotationRef/>
      </w:r>
      <w:r>
        <w:t>We believe the reference to “disclose” implicit costs is ambiguous as it could imply also a specific disclosure of such element.</w:t>
      </w:r>
    </w:p>
    <w:p w14:paraId="1A403105" w14:textId="2BA545B0" w:rsidR="00D536EC" w:rsidRDefault="00D536EC">
      <w:pPr>
        <w:pStyle w:val="Testocommento"/>
      </w:pPr>
    </w:p>
  </w:comment>
  <w:comment w:id="12" w:author="Assogestioni" w:date="2020-01-13T12:21:00Z" w:initials="DA">
    <w:p w14:paraId="7E6F459A" w14:textId="38DF1264" w:rsidR="00D536EC" w:rsidRDefault="00D536EC">
      <w:pPr>
        <w:pStyle w:val="Testocommento"/>
      </w:pPr>
      <w:r>
        <w:rPr>
          <w:rStyle w:val="Rimandocommento"/>
        </w:rPr>
        <w:annotationRef/>
      </w:r>
      <w:r>
        <w:t xml:space="preserve">We do not agree with this statement. </w:t>
      </w:r>
      <w:r w:rsidRPr="007355CC">
        <w:t>High transaction costs that do not result in better outcomes will harm returns and returns are what managers are remunerated and judged on.</w:t>
      </w:r>
      <w:r w:rsidRPr="00A41629">
        <w:t xml:space="preserve"> </w:t>
      </w:r>
      <w:r>
        <w:t xml:space="preserve">Asset </w:t>
      </w:r>
      <w:r w:rsidRPr="00A41629">
        <w:t xml:space="preserve">Manager </w:t>
      </w:r>
      <w:r>
        <w:t xml:space="preserve">should </w:t>
      </w:r>
      <w:r w:rsidRPr="00A41629">
        <w:t>always act in the best interest of its clients, to ensure that regulatory requirements regarding best execution are met</w:t>
      </w:r>
      <w:r>
        <w:t>.</w:t>
      </w:r>
    </w:p>
  </w:comment>
  <w:comment w:id="13" w:author="Assogestioni" w:date="2020-01-13T12:22:00Z" w:initials="DA">
    <w:p w14:paraId="60D16004" w14:textId="7E937010" w:rsidR="00D536EC" w:rsidRDefault="00D536EC">
      <w:pPr>
        <w:pStyle w:val="Testocommento"/>
      </w:pPr>
      <w:r>
        <w:rPr>
          <w:rStyle w:val="Rimandocommento"/>
        </w:rPr>
        <w:annotationRef/>
      </w:r>
      <w:r>
        <w:t>In line with the comment above on explicit transaction costs</w:t>
      </w:r>
    </w:p>
  </w:comment>
  <w:comment w:id="14" w:author="Assogestioni" w:date="2020-01-13T12:22:00Z" w:initials="DA">
    <w:p w14:paraId="793F0AFF" w14:textId="411BB99D" w:rsidR="00D536EC" w:rsidRDefault="00D536EC">
      <w:pPr>
        <w:pStyle w:val="Testocommento"/>
      </w:pPr>
      <w:r>
        <w:rPr>
          <w:rStyle w:val="Rimandocommento"/>
        </w:rPr>
        <w:annotationRef/>
      </w:r>
      <w:r w:rsidRPr="00A73F9F">
        <w:t>This should be deleted as it is wrong to pretend negatives don’t arise when overstated costs are deemed acceptable</w:t>
      </w:r>
    </w:p>
  </w:comment>
  <w:comment w:id="15" w:author="Assogestioni" w:date="2020-01-13T12:23:00Z" w:initials="DA">
    <w:p w14:paraId="6197F2DD" w14:textId="15391C0A" w:rsidR="0095041F" w:rsidRDefault="0095041F">
      <w:pPr>
        <w:pStyle w:val="Testocommento"/>
      </w:pPr>
      <w:r>
        <w:rPr>
          <w:rStyle w:val="Rimandocommento"/>
        </w:rPr>
        <w:annotationRef/>
      </w:r>
      <w:r w:rsidRPr="0095041F">
        <w:t>Market movement should be removed from the cost calculation</w:t>
      </w:r>
    </w:p>
  </w:comment>
  <w:comment w:id="16" w:author="Assogestioni" w:date="2020-01-13T12:23:00Z" w:initials="DA">
    <w:p w14:paraId="460E9BA6" w14:textId="00EA9AE0" w:rsidR="0095041F" w:rsidRDefault="0095041F">
      <w:pPr>
        <w:pStyle w:val="Testocommento"/>
      </w:pPr>
      <w:r>
        <w:rPr>
          <w:rStyle w:val="Rimandocommento"/>
        </w:rPr>
        <w:annotationRef/>
      </w:r>
      <w:r>
        <w:rPr>
          <w:rFonts w:ascii="Calibri" w:hAnsi="Calibri" w:cs="Calibri"/>
        </w:rPr>
        <w:t>It is ne</w:t>
      </w:r>
      <w:r w:rsidRPr="0089013B">
        <w:rPr>
          <w:rFonts w:ascii="Calibri" w:hAnsi="Calibri" w:cs="Calibri"/>
        </w:rPr>
        <w:t>cessary to clarify how orders with multiple execution may be handled. By changing the definition of arrival price to the “price at with the order is executed”, there is a risk that that it is interpreted as requiring the calculation to be performed for each partial execution of a single order</w:t>
      </w:r>
    </w:p>
  </w:comment>
  <w:comment w:id="17" w:author="Assogestioni" w:date="2020-01-13T12:24:00Z" w:initials="DA">
    <w:p w14:paraId="40A04EC8" w14:textId="1C4DB8D5" w:rsidR="0095041F" w:rsidRDefault="0095041F">
      <w:pPr>
        <w:pStyle w:val="Testocommento"/>
      </w:pPr>
      <w:r>
        <w:rPr>
          <w:rStyle w:val="Rimandocommento"/>
        </w:rPr>
        <w:annotationRef/>
      </w:r>
      <w:r>
        <w:t>The table which would define the asset classes may be finalised after a consultation.</w:t>
      </w:r>
    </w:p>
  </w:comment>
  <w:comment w:id="18" w:author="Assogestioni" w:date="2020-01-13T12:24:00Z" w:initials="DA">
    <w:p w14:paraId="6CB87B0C" w14:textId="3B5E44E2" w:rsidR="0095041F" w:rsidRDefault="0095041F">
      <w:pPr>
        <w:pStyle w:val="Testocommento"/>
      </w:pPr>
      <w:r>
        <w:rPr>
          <w:rStyle w:val="Rimandocommento"/>
        </w:rPr>
        <w:annotationRef/>
      </w:r>
      <w:r>
        <w:t xml:space="preserve">A standard table by </w:t>
      </w:r>
      <w:r>
        <w:rPr>
          <w:rStyle w:val="Rimandocommento"/>
        </w:rPr>
        <w:annotationRef/>
      </w:r>
      <w:r>
        <w:t>asset class could be used both for transaction costs spread and growth rate (the latter if the ESAs insist to use the dividend methodology for the calculation of the performance scenario)</w:t>
      </w:r>
    </w:p>
  </w:comment>
  <w:comment w:id="19" w:author="Assogestioni" w:date="2020-01-13T12:24:00Z" w:initials="DA">
    <w:p w14:paraId="3D0AA0F7" w14:textId="77777777" w:rsidR="0095041F" w:rsidRDefault="0095041F" w:rsidP="0095041F">
      <w:pPr>
        <w:pStyle w:val="Testocommento"/>
      </w:pPr>
      <w:r>
        <w:rPr>
          <w:rStyle w:val="Rimandocommento"/>
        </w:rPr>
        <w:annotationRef/>
      </w:r>
      <w:r>
        <w:t xml:space="preserve">The standard table should have greater granularity that the one used for the calculation of the transaction costs for the new PRIIPs. As an example, for government bonds figures by maturity buckets should be given while for emerging government bonds figures by hard or soft currency. </w:t>
      </w:r>
    </w:p>
    <w:p w14:paraId="5BCE09EE" w14:textId="77777777" w:rsidR="0095041F" w:rsidRDefault="0095041F" w:rsidP="0095041F">
      <w:pPr>
        <w:pStyle w:val="Testocommento"/>
      </w:pPr>
    </w:p>
    <w:p w14:paraId="7F1A7D23" w14:textId="0A5FE660" w:rsidR="0095041F" w:rsidRDefault="0095041F" w:rsidP="0095041F">
      <w:pPr>
        <w:pStyle w:val="Testocommento"/>
      </w:pPr>
      <w:r>
        <w:t>Further granularity would be welcome, for example, please see the proposal in the table with an orange background. However, in order to avoid incurring too high burden for each PRIIP manufacturer in adapting its process, the PRIIPs manufacturer should not have an obligation to use them but a simple possibility. To this end, ESAs should provide for hard currency, both figures as aggregate and broken down by maturity buckets</w:t>
      </w:r>
      <w:r w:rsidRPr="009560A3">
        <w:t xml:space="preserve"> </w:t>
      </w:r>
      <w:r>
        <w:t>(</w:t>
      </w:r>
      <w:r w:rsidRPr="009560A3">
        <w:t xml:space="preserve">1-3 </w:t>
      </w:r>
      <w:proofErr w:type="spellStart"/>
      <w:r w:rsidRPr="009560A3">
        <w:t>yrs</w:t>
      </w:r>
      <w:proofErr w:type="spellEnd"/>
      <w:r w:rsidRPr="009560A3">
        <w:t xml:space="preserve">, 3-5 </w:t>
      </w:r>
      <w:proofErr w:type="spellStart"/>
      <w:r w:rsidRPr="009560A3">
        <w:t>yrs</w:t>
      </w:r>
      <w:proofErr w:type="spellEnd"/>
      <w:r w:rsidRPr="009560A3">
        <w:t xml:space="preserve">, 5-7 </w:t>
      </w:r>
      <w:proofErr w:type="spellStart"/>
      <w:r w:rsidRPr="009560A3">
        <w:t>yrs</w:t>
      </w:r>
      <w:proofErr w:type="spellEnd"/>
      <w:r w:rsidRPr="009560A3">
        <w:t xml:space="preserve">, 7-10 </w:t>
      </w:r>
      <w:proofErr w:type="spellStart"/>
      <w:r w:rsidRPr="009560A3">
        <w:t>yrs</w:t>
      </w:r>
      <w:proofErr w:type="spellEnd"/>
      <w:r w:rsidRPr="009560A3">
        <w:t>, 10+</w:t>
      </w:r>
      <w:proofErr w:type="gramStart"/>
      <w:r w:rsidRPr="009560A3">
        <w:t>yrs</w:t>
      </w:r>
      <w:r>
        <w:t xml:space="preserve"> )</w:t>
      </w:r>
      <w:proofErr w:type="gramEnd"/>
      <w:r>
        <w:t xml:space="preserve">.  </w:t>
      </w:r>
    </w:p>
  </w:comment>
  <w:comment w:id="20" w:author="Assogestioni" w:date="2020-01-13T12:24:00Z" w:initials="DA">
    <w:p w14:paraId="6A3144FD" w14:textId="3C9A3FBC" w:rsidR="0095041F" w:rsidRDefault="0095041F">
      <w:pPr>
        <w:pStyle w:val="Testocommento"/>
      </w:pPr>
      <w:r>
        <w:rPr>
          <w:rStyle w:val="Rimandocommento"/>
        </w:rPr>
        <w:annotationRef/>
      </w:r>
      <w:r>
        <w:t>F</w:t>
      </w:r>
      <w:r w:rsidRPr="00796517">
        <w:t xml:space="preserve">or government </w:t>
      </w:r>
      <w:r>
        <w:t>bonds</w:t>
      </w:r>
      <w:r w:rsidRPr="00796517">
        <w:t xml:space="preserve"> with a rating </w:t>
      </w:r>
      <w:r>
        <w:t>lower than</w:t>
      </w:r>
      <w:r w:rsidRPr="00796517">
        <w:t xml:space="preserve"> A, it </w:t>
      </w:r>
      <w:r>
        <w:t xml:space="preserve">could be </w:t>
      </w:r>
      <w:r w:rsidRPr="00796517">
        <w:t xml:space="preserve">worth distinguishing between Italy and other countries, since the Italian government </w:t>
      </w:r>
      <w:r>
        <w:t>bond</w:t>
      </w:r>
      <w:r w:rsidRPr="00796517">
        <w:t xml:space="preserve"> market ha</w:t>
      </w:r>
      <w:r>
        <w:t>d</w:t>
      </w:r>
      <w:r w:rsidRPr="00796517">
        <w:t xml:space="preserve"> excellent liquidity even in the stressful periods of 2011 and 2018.</w:t>
      </w:r>
    </w:p>
  </w:comment>
  <w:comment w:id="21" w:author="Assogestioni" w:date="2020-01-13T12:25:00Z" w:initials="DA">
    <w:p w14:paraId="041D3C9E" w14:textId="5706B99A" w:rsidR="0095041F" w:rsidRDefault="0095041F">
      <w:pPr>
        <w:pStyle w:val="Testocommento"/>
      </w:pPr>
      <w:r>
        <w:rPr>
          <w:rStyle w:val="Rimandocommento"/>
        </w:rPr>
        <w:annotationRef/>
      </w:r>
      <w:r>
        <w:t>The b</w:t>
      </w:r>
      <w:r w:rsidRPr="00951C14">
        <w:t xml:space="preserve">id-ask spreads </w:t>
      </w:r>
      <w:r>
        <w:t xml:space="preserve">of securitized high-rated securities </w:t>
      </w:r>
      <w:proofErr w:type="gramStart"/>
      <w:r>
        <w:t xml:space="preserve">are  </w:t>
      </w:r>
      <w:r w:rsidRPr="00951C14">
        <w:t>very</w:t>
      </w:r>
      <w:proofErr w:type="gramEnd"/>
      <w:r w:rsidRPr="00951C14">
        <w:t xml:space="preserve"> similar to the H</w:t>
      </w:r>
      <w:r>
        <w:t xml:space="preserve">igh </w:t>
      </w:r>
      <w:r w:rsidRPr="00951C14">
        <w:t>Y</w:t>
      </w:r>
      <w:r>
        <w:t>ield</w:t>
      </w:r>
      <w:r w:rsidRPr="00951C14">
        <w:t xml:space="preserve"> universe rather than the I</w:t>
      </w:r>
      <w:r>
        <w:t xml:space="preserve">nvestment </w:t>
      </w:r>
      <w:r w:rsidRPr="00951C14">
        <w:t>G</w:t>
      </w:r>
      <w:r>
        <w:t>rade</w:t>
      </w:r>
      <w:r w:rsidRPr="00951C14">
        <w:t xml:space="preserve"> universe</w:t>
      </w:r>
    </w:p>
  </w:comment>
  <w:comment w:id="22" w:author="Assogestioni" w:date="2020-01-13T12:25:00Z" w:initials="DA">
    <w:p w14:paraId="0810F29A" w14:textId="28D574D4" w:rsidR="0095041F" w:rsidRDefault="0095041F">
      <w:pPr>
        <w:pStyle w:val="Testocommento"/>
      </w:pPr>
      <w:r>
        <w:rPr>
          <w:rStyle w:val="Rimandocommento"/>
        </w:rPr>
        <w:annotationRef/>
      </w:r>
      <w:r>
        <w:t>In line with asset-class categories foreseen in the dividend yield methodology</w:t>
      </w:r>
    </w:p>
  </w:comment>
  <w:comment w:id="23" w:author="Assogestioni" w:date="2020-01-13T12:25:00Z" w:initials="DA">
    <w:p w14:paraId="655CD5B3" w14:textId="7858C124" w:rsidR="00811922" w:rsidRDefault="00811922" w:rsidP="00811922">
      <w:pPr>
        <w:pStyle w:val="Testocommento"/>
      </w:pPr>
      <w:r>
        <w:rPr>
          <w:rStyle w:val="Rimandocommento"/>
        </w:rPr>
        <w:annotationRef/>
      </w:r>
      <w:r>
        <w:t xml:space="preserve">A </w:t>
      </w:r>
      <w:r w:rsidRPr="008A378F">
        <w:t>derogation for UCITS and AIF benefitting from the “UCITS exemption” must be maintained until the end of the exemption period (currently 31 December 2021). It cannot be expected from exempted funds to already start collect</w:t>
      </w:r>
      <w:r w:rsidR="00293AA7">
        <w:t>ing d</w:t>
      </w:r>
      <w:r w:rsidRPr="008A378F">
        <w:t xml:space="preserve">ata </w:t>
      </w:r>
      <w:r w:rsidR="00293AA7">
        <w:t xml:space="preserve">needed </w:t>
      </w:r>
      <w:r w:rsidRPr="008A378F">
        <w:t>for the transaction cost</w:t>
      </w:r>
      <w:r>
        <w:t>s</w:t>
      </w:r>
      <w:r w:rsidRPr="008A378F">
        <w:t xml:space="preserve"> calculation.</w:t>
      </w:r>
    </w:p>
    <w:p w14:paraId="6CFE02A4" w14:textId="357F210D" w:rsidR="00811922" w:rsidRDefault="00811922" w:rsidP="00811922">
      <w:pPr>
        <w:pStyle w:val="Testocommento"/>
      </w:pPr>
      <w:r w:rsidRPr="00222C71">
        <w:t>It would also be very welcomed if asset manager could rely on data relating to “historical transaction costs” used in the context of the MiFID disclosure. Asset manager have indeed provided to third distributors the relevant data and this additional possibility will ensure continuity in the evidence provided to investors.</w:t>
      </w:r>
    </w:p>
  </w:comment>
  <w:comment w:id="24" w:author="Assogestioni" w:date="2020-01-13T12:26:00Z" w:initials="DA">
    <w:p w14:paraId="424113D6" w14:textId="02F8EC46" w:rsidR="00873187" w:rsidRDefault="00873187">
      <w:pPr>
        <w:pStyle w:val="Testocommento"/>
      </w:pPr>
      <w:r>
        <w:rPr>
          <w:rStyle w:val="Rimandocommento"/>
        </w:rPr>
        <w:annotationRef/>
      </w:r>
      <w:r>
        <w:t>In line with the ESAs proposal made in para. 22 below.</w:t>
      </w:r>
    </w:p>
  </w:comment>
  <w:comment w:id="25" w:author="Assogestioni" w:date="2020-01-13T12:26:00Z" w:initials="DA">
    <w:p w14:paraId="228CF8BF" w14:textId="2F68F8D7" w:rsidR="00873187" w:rsidRDefault="00873187">
      <w:pPr>
        <w:pStyle w:val="Testocommento"/>
      </w:pPr>
      <w:r>
        <w:rPr>
          <w:rStyle w:val="Rimandocommento"/>
        </w:rPr>
        <w:annotationRef/>
      </w:r>
      <w:r>
        <w:t>G</w:t>
      </w:r>
      <w:r w:rsidRPr="00D72C80">
        <w:t xml:space="preserve">iven the highly individualised nature of </w:t>
      </w:r>
      <w:r>
        <w:t xml:space="preserve">closed-ended real estate </w:t>
      </w:r>
      <w:r w:rsidRPr="00D72C80">
        <w:t>funds</w:t>
      </w:r>
      <w:r>
        <w:t>, it would be worth estimate the transaction costs on the basis on the business forecast</w:t>
      </w:r>
    </w:p>
  </w:comment>
  <w:comment w:id="26" w:author="Assogestioni" w:date="2020-01-13T12:26:00Z" w:initials="DA">
    <w:p w14:paraId="691F2140" w14:textId="63045476" w:rsidR="00873187" w:rsidRDefault="00873187">
      <w:pPr>
        <w:pStyle w:val="Testocommento"/>
      </w:pPr>
      <w:r>
        <w:rPr>
          <w:rStyle w:val="Rimandocommento"/>
        </w:rPr>
        <w:annotationRef/>
      </w:r>
      <w:r w:rsidRPr="00FE3449">
        <w:t xml:space="preserve">Differences to fair value are either </w:t>
      </w:r>
      <w:proofErr w:type="gramStart"/>
      <w:r w:rsidRPr="00FE3449">
        <w:t>losses  or</w:t>
      </w:r>
      <w:proofErr w:type="gramEnd"/>
      <w:r w:rsidRPr="00FE3449">
        <w:t xml:space="preserve"> gains for the fund. Conceptually, they are not transaction costs and should not </w:t>
      </w:r>
      <w:proofErr w:type="gramStart"/>
      <w:r w:rsidRPr="00FE3449">
        <w:t>be seen as</w:t>
      </w:r>
      <w:proofErr w:type="gramEnd"/>
      <w:r w:rsidRPr="00FE3449">
        <w:t xml:space="preserve"> such.</w:t>
      </w:r>
    </w:p>
  </w:comment>
  <w:comment w:id="27" w:author="Assogestioni" w:date="2020-01-13T12:27:00Z" w:initials="DA">
    <w:p w14:paraId="4F55F12D" w14:textId="4272F4C1" w:rsidR="00873187" w:rsidRDefault="00873187">
      <w:pPr>
        <w:pStyle w:val="Testocommento"/>
      </w:pPr>
      <w:r>
        <w:rPr>
          <w:rStyle w:val="Rimandocommento"/>
        </w:rPr>
        <w:annotationRef/>
      </w:r>
      <w:r w:rsidRPr="00873187">
        <w:t>This point is no longer required due the lack of implicit transaction costs.</w:t>
      </w:r>
    </w:p>
  </w:comment>
  <w:comment w:id="28" w:author="Assogestioni" w:date="2020-01-13T12:27:00Z" w:initials="DA">
    <w:p w14:paraId="4F2468E7" w14:textId="1F6433BD" w:rsidR="00873187" w:rsidRDefault="00873187">
      <w:pPr>
        <w:pStyle w:val="Testocommento"/>
      </w:pPr>
      <w:r>
        <w:rPr>
          <w:rStyle w:val="Rimandocommento"/>
        </w:rPr>
        <w:annotationRef/>
      </w:r>
      <w:r w:rsidRPr="006969E1">
        <w:t xml:space="preserve">In line with our previous comments, the approach based on historical data might not be appropriate for real assets "transactions" that are different from each other. A forecast approach based on the approved </w:t>
      </w:r>
      <w:r>
        <w:t>b</w:t>
      </w:r>
      <w:r w:rsidRPr="006969E1">
        <w:t xml:space="preserve">usiness </w:t>
      </w:r>
      <w:r>
        <w:t>p</w:t>
      </w:r>
      <w:r w:rsidRPr="006969E1">
        <w:t>lan suit</w:t>
      </w:r>
      <w:r>
        <w:t>s</w:t>
      </w:r>
      <w:r w:rsidRPr="006969E1">
        <w:t xml:space="preserve"> </w:t>
      </w:r>
      <w:r>
        <w:t xml:space="preserve">it </w:t>
      </w:r>
      <w:r w:rsidRPr="006969E1">
        <w:t>better. In addition, such alignment guarantees a representation of performance and costs in line with the strategy that will be pursued by the fund</w:t>
      </w:r>
      <w:r w:rsidRPr="008B66A7">
        <w:rPr>
          <w:rFonts w:ascii="Lucida Sans" w:hAnsi="Lucida Sans"/>
          <w:color w:val="FF0000"/>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5033563" w15:done="0"/>
  <w15:commentEx w15:paraId="5F9B4425" w15:done="0"/>
  <w15:commentEx w15:paraId="43C36D17" w15:done="0"/>
  <w15:commentEx w15:paraId="5DA1A331" w15:done="0"/>
  <w15:commentEx w15:paraId="481FA0E5" w15:done="0"/>
  <w15:commentEx w15:paraId="29D64FF7" w15:done="0"/>
  <w15:commentEx w15:paraId="13BDD9D4" w15:done="0"/>
  <w15:commentEx w15:paraId="1A403105" w15:done="0"/>
  <w15:commentEx w15:paraId="7E6F459A" w15:done="0"/>
  <w15:commentEx w15:paraId="60D16004" w15:done="0"/>
  <w15:commentEx w15:paraId="793F0AFF" w15:done="0"/>
  <w15:commentEx w15:paraId="6197F2DD" w15:done="0"/>
  <w15:commentEx w15:paraId="460E9BA6" w15:done="0"/>
  <w15:commentEx w15:paraId="40A04EC8" w15:done="0"/>
  <w15:commentEx w15:paraId="6CB87B0C" w15:done="0"/>
  <w15:commentEx w15:paraId="7F1A7D23" w15:done="0"/>
  <w15:commentEx w15:paraId="6A3144FD" w15:done="0"/>
  <w15:commentEx w15:paraId="041D3C9E" w15:done="0"/>
  <w15:commentEx w15:paraId="0810F29A" w15:done="0"/>
  <w15:commentEx w15:paraId="6CFE02A4" w15:done="0"/>
  <w15:commentEx w15:paraId="424113D6" w15:done="0"/>
  <w15:commentEx w15:paraId="228CF8BF" w15:done="0"/>
  <w15:commentEx w15:paraId="691F2140" w15:done="0"/>
  <w15:commentEx w15:paraId="4F55F12D" w15:done="0"/>
  <w15:commentEx w15:paraId="4F2468E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033563" w16cid:durableId="21C6DEF5"/>
  <w16cid:commentId w16cid:paraId="5F9B4425" w16cid:durableId="21C6DF0A"/>
  <w16cid:commentId w16cid:paraId="43C36D17" w16cid:durableId="21C6DF18"/>
  <w16cid:commentId w16cid:paraId="5DA1A331" w16cid:durableId="21C6DF25"/>
  <w16cid:commentId w16cid:paraId="481FA0E5" w16cid:durableId="21C6DF37"/>
  <w16cid:commentId w16cid:paraId="29D64FF7" w16cid:durableId="21C6DF43"/>
  <w16cid:commentId w16cid:paraId="13BDD9D4" w16cid:durableId="21C6DF51"/>
  <w16cid:commentId w16cid:paraId="1A403105" w16cid:durableId="21C6DF60"/>
  <w16cid:commentId w16cid:paraId="7E6F459A" w16cid:durableId="21C6DF63"/>
  <w16cid:commentId w16cid:paraId="60D16004" w16cid:durableId="21C6DF94"/>
  <w16cid:commentId w16cid:paraId="793F0AFF" w16cid:durableId="21C6DFA1"/>
  <w16cid:commentId w16cid:paraId="6197F2DD" w16cid:durableId="21C6DFC8"/>
  <w16cid:commentId w16cid:paraId="460E9BA6" w16cid:durableId="21C6DFD7"/>
  <w16cid:commentId w16cid:paraId="40A04EC8" w16cid:durableId="21C6DFE9"/>
  <w16cid:commentId w16cid:paraId="6CB87B0C" w16cid:durableId="21C6DFF3"/>
  <w16cid:commentId w16cid:paraId="7F1A7D23" w16cid:durableId="21C6DFFF"/>
  <w16cid:commentId w16cid:paraId="6A3144FD" w16cid:durableId="21C6E010"/>
  <w16cid:commentId w16cid:paraId="041D3C9E" w16cid:durableId="21C6E021"/>
  <w16cid:commentId w16cid:paraId="0810F29A" w16cid:durableId="21C6E024"/>
  <w16cid:commentId w16cid:paraId="6CFE02A4" w16cid:durableId="21C6E044"/>
  <w16cid:commentId w16cid:paraId="424113D6" w16cid:durableId="21C6E070"/>
  <w16cid:commentId w16cid:paraId="228CF8BF" w16cid:durableId="21C6E07B"/>
  <w16cid:commentId w16cid:paraId="691F2140" w16cid:durableId="21C6E08B"/>
  <w16cid:commentId w16cid:paraId="4F55F12D" w16cid:durableId="21C6E0A2"/>
  <w16cid:commentId w16cid:paraId="4F2468E7" w16cid:durableId="21C6E0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BF962" w14:textId="77777777" w:rsidR="00DA3AA0" w:rsidRDefault="00DA3AA0">
      <w:r>
        <w:separator/>
      </w:r>
    </w:p>
    <w:p w14:paraId="313AE2DE" w14:textId="77777777" w:rsidR="00DA3AA0" w:rsidRDefault="00DA3AA0"/>
  </w:endnote>
  <w:endnote w:type="continuationSeparator" w:id="0">
    <w:p w14:paraId="111688D6" w14:textId="77777777" w:rsidR="00DA3AA0" w:rsidRDefault="00DA3AA0">
      <w:r>
        <w:continuationSeparator/>
      </w:r>
    </w:p>
    <w:p w14:paraId="288C3131" w14:textId="77777777" w:rsidR="00DA3AA0" w:rsidRDefault="00DA3AA0"/>
  </w:endnote>
  <w:endnote w:type="continuationNotice" w:id="1">
    <w:p w14:paraId="52A2520C" w14:textId="77777777" w:rsidR="00DA3AA0" w:rsidRDefault="00DA3A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8F65D5" w:rsidRDefault="008F65D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6A3CB0EF" w14:textId="77777777" w:rsidTr="00315E96">
      <w:trPr>
        <w:trHeight w:val="284"/>
      </w:trPr>
      <w:tc>
        <w:tcPr>
          <w:tcW w:w="8460" w:type="dxa"/>
        </w:tcPr>
        <w:p w14:paraId="6A3CB0ED" w14:textId="77777777" w:rsidR="00811EDA" w:rsidRPr="00315E96" w:rsidRDefault="00811EDA" w:rsidP="00315E96">
          <w:pPr>
            <w:pStyle w:val="00Footer"/>
            <w:rPr>
              <w:lang w:val="fr-FR"/>
            </w:rPr>
          </w:pPr>
        </w:p>
      </w:tc>
      <w:tc>
        <w:tcPr>
          <w:tcW w:w="952" w:type="dxa"/>
        </w:tcPr>
        <w:p w14:paraId="6A3CB0EE" w14:textId="23180CB7"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764042">
            <w:rPr>
              <w:rFonts w:cs="Arial"/>
              <w:noProof/>
              <w:sz w:val="22"/>
              <w:szCs w:val="22"/>
            </w:rPr>
            <w:t>3</w:t>
          </w:r>
          <w:r w:rsidRPr="00616B9B">
            <w:rPr>
              <w:rFonts w:cs="Arial"/>
              <w:noProof/>
              <w:sz w:val="22"/>
              <w:szCs w:val="22"/>
            </w:rPr>
            <w:fldChar w:fldCharType="end"/>
          </w:r>
        </w:p>
      </w:tc>
    </w:tr>
  </w:tbl>
  <w:p w14:paraId="6A3CB0F0" w14:textId="77777777" w:rsidR="00811EDA" w:rsidRDefault="00811ED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8F65D5" w:rsidRDefault="008F65D5">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3415750"/>
      <w:docPartObj>
        <w:docPartGallery w:val="Page Numbers (Bottom of Page)"/>
        <w:docPartUnique/>
      </w:docPartObj>
    </w:sdtPr>
    <w:sdtEndPr/>
    <w:sdtContent>
      <w:p w14:paraId="19902C58" w14:textId="77777777" w:rsidR="00CA74D8" w:rsidRDefault="00CA74D8">
        <w:pPr>
          <w:pStyle w:val="Sommario2"/>
          <w:jc w:val="center"/>
        </w:pPr>
        <w:r>
          <w:fldChar w:fldCharType="begin"/>
        </w:r>
        <w:r>
          <w:instrText>PAGE   \* MERGEFORMAT</w:instrText>
        </w:r>
        <w:r>
          <w:fldChar w:fldCharType="separate"/>
        </w:r>
        <w:r>
          <w:rPr>
            <w:lang w:val="it-IT"/>
          </w:rPr>
          <w:t>2</w:t>
        </w:r>
        <w:r>
          <w:fldChar w:fldCharType="end"/>
        </w:r>
      </w:p>
    </w:sdtContent>
  </w:sdt>
  <w:p w14:paraId="4B01F03A" w14:textId="77777777" w:rsidR="00CA74D8" w:rsidRDefault="00CA74D8">
    <w:pPr>
      <w:pStyle w:val="Sommario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867999"/>
      <w:docPartObj>
        <w:docPartGallery w:val="Page Numbers (Bottom of Page)"/>
        <w:docPartUnique/>
      </w:docPartObj>
    </w:sdtPr>
    <w:sdtEndPr/>
    <w:sdtContent>
      <w:p w14:paraId="41BF0B6C" w14:textId="77777777" w:rsidR="00CA74D8" w:rsidRDefault="00CA74D8">
        <w:pPr>
          <w:pStyle w:val="Sommario2"/>
          <w:jc w:val="center"/>
        </w:pPr>
        <w:r>
          <w:fldChar w:fldCharType="begin"/>
        </w:r>
        <w:r>
          <w:instrText>PAGE   \* MERGEFORMAT</w:instrText>
        </w:r>
        <w:r>
          <w:fldChar w:fldCharType="separate"/>
        </w:r>
        <w:r>
          <w:rPr>
            <w:lang w:val="it-IT"/>
          </w:rPr>
          <w:t>2</w:t>
        </w:r>
        <w:r>
          <w:fldChar w:fldCharType="end"/>
        </w:r>
      </w:p>
    </w:sdtContent>
  </w:sdt>
  <w:p w14:paraId="59261496" w14:textId="77777777" w:rsidR="00CA74D8" w:rsidRDefault="00CA74D8">
    <w:pPr>
      <w:pStyle w:val="Sommario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811EDA" w:rsidRDefault="00811ED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FEDCFC" w14:textId="77777777" w:rsidR="00DA3AA0" w:rsidRDefault="00DA3AA0">
      <w:r>
        <w:separator/>
      </w:r>
    </w:p>
    <w:p w14:paraId="39709D05" w14:textId="77777777" w:rsidR="00DA3AA0" w:rsidRDefault="00DA3AA0"/>
  </w:footnote>
  <w:footnote w:type="continuationSeparator" w:id="0">
    <w:p w14:paraId="508BE1F5" w14:textId="77777777" w:rsidR="00DA3AA0" w:rsidRDefault="00DA3AA0">
      <w:r>
        <w:continuationSeparator/>
      </w:r>
    </w:p>
    <w:p w14:paraId="216857A9" w14:textId="77777777" w:rsidR="00DA3AA0" w:rsidRDefault="00DA3AA0"/>
  </w:footnote>
  <w:footnote w:type="continuationNotice" w:id="1">
    <w:p w14:paraId="4C625325" w14:textId="77777777" w:rsidR="00DA3AA0" w:rsidRDefault="00DA3AA0"/>
  </w:footnote>
  <w:footnote w:id="2">
    <w:p w14:paraId="3ADCE2CB" w14:textId="77777777" w:rsidR="00197794" w:rsidRPr="009E1A8D" w:rsidRDefault="00197794" w:rsidP="00197794">
      <w:pPr>
        <w:pStyle w:val="Testonotaapidipagina"/>
      </w:pPr>
      <w:r>
        <w:rPr>
          <w:rStyle w:val="Rimandonotaapidipagina"/>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197794" w:rsidRDefault="00197794" w:rsidP="00197794">
      <w:pPr>
        <w:pStyle w:val="Testonotaapidipagina"/>
      </w:pPr>
      <w:r>
        <w:rPr>
          <w:rStyle w:val="Rimandonotaapidipagina"/>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97794" w:rsidRDefault="00197794" w:rsidP="00197794">
      <w:pPr>
        <w:pStyle w:val="Testonotaapidipagina"/>
      </w:pPr>
      <w:r>
        <w:rPr>
          <w:rStyle w:val="Rimandonotaapidipagina"/>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5EA0A4D8" w14:textId="77777777" w:rsidR="00CD46B7" w:rsidRPr="002D0F4A" w:rsidRDefault="00CD46B7" w:rsidP="00CD46B7">
      <w:pPr>
        <w:pStyle w:val="Testonotaapidipagina"/>
        <w:rPr>
          <w:lang w:val="en-US"/>
        </w:rPr>
      </w:pPr>
      <w:r>
        <w:rPr>
          <w:rStyle w:val="Rimandonotaapidipagina"/>
        </w:rPr>
        <w:footnoteRef/>
      </w:r>
      <w:r w:rsidRPr="00CE586C">
        <w:rPr>
          <w:lang w:val="en-US"/>
        </w:rPr>
        <w:t xml:space="preserve"> </w:t>
      </w:r>
      <w:r w:rsidRPr="00F424EE">
        <w:t xml:space="preserve">Assogestioni is the </w:t>
      </w:r>
      <w:r>
        <w:t>trade body for Italian asset</w:t>
      </w:r>
      <w:r w:rsidRPr="00F424EE">
        <w:t xml:space="preserve"> </w:t>
      </w:r>
      <w:r w:rsidRPr="0071200C">
        <w:t>management industry and represents the interests of members who manage funds and discretionary mandates around € 2,283 billion (as of September 2019).</w:t>
      </w:r>
    </w:p>
  </w:footnote>
  <w:footnote w:id="6">
    <w:p w14:paraId="299BA8F9" w14:textId="77777777" w:rsidR="00CD2439" w:rsidRPr="009369A1" w:rsidRDefault="00CD2439" w:rsidP="00CD2439">
      <w:pPr>
        <w:pStyle w:val="Testonotaapidipagina"/>
      </w:pPr>
      <w:r>
        <w:rPr>
          <w:rStyle w:val="Rimandonotaapidipagina"/>
        </w:rPr>
        <w:footnoteRef/>
      </w:r>
      <w:r>
        <w:t xml:space="preserve"> Questions and answers (Q&amp;A) on the PRIIPs KID- 11. Can an appropriate benchmark or proxy continue to be used once </w:t>
      </w:r>
      <w:proofErr w:type="gramStart"/>
      <w:r>
        <w:t>sufficient</w:t>
      </w:r>
      <w:proofErr w:type="gramEnd"/>
      <w:r>
        <w:t xml:space="preserve"> data becomes available? It is not possible to use an appropriate benchmark or proxy where </w:t>
      </w:r>
      <w:proofErr w:type="gramStart"/>
      <w:r>
        <w:t>sufficient</w:t>
      </w:r>
      <w:proofErr w:type="gramEnd"/>
      <w:r>
        <w:t xml:space="preserve"> market data is available for the PRIIP. However, where market data is available only for a part of the period used for the calculation, the available market data should be concatenated with the relevant price data of an appropriate benchmark or proxy (for example where monthly market data of the PRIIP is available, it should be concatenated with monthly market data of the benchmark or proxy). Once </w:t>
      </w:r>
      <w:proofErr w:type="gramStart"/>
      <w:r>
        <w:t>sufficient</w:t>
      </w:r>
      <w:proofErr w:type="gramEnd"/>
      <w:r>
        <w:t xml:space="preserve"> market data of the PRIIP becomes available to complete the data series, that data should be used in its entirety rather than the data of the benchmark or proxy.</w:t>
      </w:r>
    </w:p>
  </w:footnote>
  <w:footnote w:id="7">
    <w:p w14:paraId="1174CA54" w14:textId="77777777" w:rsidR="00607C6D" w:rsidRPr="0085767D" w:rsidRDefault="00607C6D" w:rsidP="00607C6D">
      <w:pPr>
        <w:pStyle w:val="Testonotaapidipagina"/>
        <w:rPr>
          <w:lang w:val="en-US"/>
        </w:rPr>
      </w:pPr>
      <w:r>
        <w:rPr>
          <w:rStyle w:val="Rimandonotaapidipagina"/>
        </w:rPr>
        <w:footnoteRef/>
      </w:r>
      <w:r>
        <w:t xml:space="preserve"> </w:t>
      </w:r>
      <w:r>
        <w:rPr>
          <w:lang w:val="en-US"/>
        </w:rPr>
        <w:t>ESAs consultation paper, page 12</w:t>
      </w:r>
    </w:p>
  </w:footnote>
  <w:footnote w:id="8">
    <w:p w14:paraId="37726AF8" w14:textId="77777777" w:rsidR="00406015" w:rsidRPr="00B16878" w:rsidRDefault="00406015" w:rsidP="00406015">
      <w:pPr>
        <w:pStyle w:val="Testonotaapidipagina"/>
      </w:pPr>
      <w:r>
        <w:rPr>
          <w:rStyle w:val="Rimandonotaapidipagina"/>
        </w:rPr>
        <w:footnoteRef/>
      </w:r>
      <w:r>
        <w:t xml:space="preserve"> ESMA’s recent report on cost and performance agreed that active funds, in general, outperformed passively-managed funds in gross returns. While passively-managed funds achieved better overall n</w:t>
      </w:r>
      <w:r w:rsidRPr="00B16878">
        <w:t>et returns</w:t>
      </w:r>
      <w:r>
        <w:t xml:space="preserve">, active funds only provided </w:t>
      </w:r>
      <w:r w:rsidRPr="00B16878">
        <w:t xml:space="preserve">slightly lower </w:t>
      </w:r>
      <w:r>
        <w:t xml:space="preserve">net returns </w:t>
      </w:r>
      <w:r w:rsidRPr="00B16878">
        <w:t>(5.8% versus 5.5% at 10-year horizon)</w:t>
      </w:r>
      <w:r>
        <w:t>.</w:t>
      </w:r>
    </w:p>
  </w:footnote>
  <w:footnote w:id="9">
    <w:p w14:paraId="5EDF3B37" w14:textId="77777777" w:rsidR="006E4C67" w:rsidRPr="002B353A" w:rsidRDefault="006E4C67" w:rsidP="006E4C67">
      <w:pPr>
        <w:pStyle w:val="Testonotaapidipagina"/>
      </w:pPr>
      <w:r>
        <w:rPr>
          <w:rStyle w:val="Rimandonotaapidipagina"/>
        </w:rPr>
        <w:footnoteRef/>
      </w:r>
      <w:r>
        <w:t xml:space="preserve"> </w:t>
      </w:r>
      <w:r w:rsidRPr="0033443C">
        <w:t>Guidelines on stress test scenarios under the MMF Regulation</w:t>
      </w:r>
      <w:r>
        <w:t xml:space="preserve"> (</w:t>
      </w:r>
      <w:r w:rsidRPr="002B353A">
        <w:t>ESM34-49-164</w:t>
      </w:r>
      <w:r>
        <w:t xml:space="preserve">). Part. 4.8 Guidelines on the establishment of additional common reference stress test scenarios.  </w:t>
      </w:r>
    </w:p>
  </w:footnote>
  <w:footnote w:id="10">
    <w:p w14:paraId="392241DD" w14:textId="77777777" w:rsidR="008A57EA" w:rsidRPr="002B353A" w:rsidRDefault="008A57EA" w:rsidP="008A57EA">
      <w:pPr>
        <w:pStyle w:val="Testonotaapidipagina"/>
      </w:pPr>
      <w:r>
        <w:rPr>
          <w:rStyle w:val="Rimandonotaapidipagina"/>
        </w:rPr>
        <w:footnoteRef/>
      </w:r>
      <w:r>
        <w:t xml:space="preserve"> </w:t>
      </w:r>
      <w:r w:rsidRPr="0033443C">
        <w:t>Guidelines on stress test scenarios under the MMF Regulation</w:t>
      </w:r>
      <w:r>
        <w:t xml:space="preserve"> (</w:t>
      </w:r>
      <w:r w:rsidRPr="002B353A">
        <w:t>ESM34-49-164</w:t>
      </w:r>
      <w:r>
        <w:t xml:space="preserve">). Part. 4.8 Guidelines on the establishment of additional common reference stress test scenarios.  </w:t>
      </w:r>
    </w:p>
  </w:footnote>
  <w:footnote w:id="11">
    <w:p w14:paraId="0A1F2363" w14:textId="77777777" w:rsidR="003E573C" w:rsidRPr="00653F3B" w:rsidRDefault="003E573C" w:rsidP="003E573C">
      <w:pPr>
        <w:pStyle w:val="Testonotaapidipagina"/>
      </w:pPr>
      <w:r>
        <w:rPr>
          <w:rStyle w:val="Rimandonotaapidipagina"/>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 w:id="12">
    <w:p w14:paraId="71E925F0" w14:textId="77777777" w:rsidR="00CA74D8" w:rsidRPr="002B353A" w:rsidRDefault="00CA74D8" w:rsidP="00CA74D8">
      <w:pPr>
        <w:pStyle w:val="Testonotaapidipagina"/>
      </w:pPr>
      <w:r>
        <w:rPr>
          <w:rStyle w:val="Rimandonotaapidipagina"/>
        </w:rPr>
        <w:footnoteRef/>
      </w:r>
      <w:r>
        <w:t xml:space="preserve"> For example, please see the g</w:t>
      </w:r>
      <w:r w:rsidRPr="0033443C">
        <w:t>uidelines on stress test scenarios under the MMF Regulation</w:t>
      </w:r>
      <w:r>
        <w:t xml:space="preserve"> (</w:t>
      </w:r>
      <w:r w:rsidRPr="002B353A">
        <w:t>ESM34-49-164</w:t>
      </w:r>
      <w:r>
        <w:t xml:space="preserve">). Part. 4.8 Guidelines on the establishment of additional common reference stress test scenarios.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8F65D5" w:rsidRDefault="008F65D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811EDA" w:rsidRDefault="008F65D5">
    <w:pPr>
      <w:pStyle w:val="Intestazione"/>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sidR="00DE66EB">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B99ED"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811EDA" w:rsidRDefault="008F65D5" w:rsidP="00013CCE">
    <w:pPr>
      <w:pStyle w:val="Intestazione"/>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sidR="00DE66EB">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1665F" w14:textId="77777777" w:rsidR="00CA74D8" w:rsidRDefault="00CA74D8" w:rsidP="00A33F91">
    <w:pPr>
      <w:pStyle w:val="Testonotaapidipagina"/>
      <w:jc w:val="center"/>
    </w:pPr>
    <w:r>
      <w:rPr>
        <w:noProof/>
      </w:rPr>
      <w:drawing>
        <wp:inline distT="0" distB="0" distL="0" distR="0" wp14:anchorId="3DC2FE88" wp14:editId="7CAB8DD4">
          <wp:extent cx="664210" cy="579120"/>
          <wp:effectExtent l="0" t="0" r="2540" b="0"/>
          <wp:docPr id="201486987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pic:nvPicPr>
                <pic:blipFill>
                  <a:blip r:embed="rId1">
                    <a:extLst>
                      <a:ext uri="{28A0092B-C50C-407E-A947-70E740481C1C}">
                        <a14:useLocalDpi xmlns:a14="http://schemas.microsoft.com/office/drawing/2010/main" val="0"/>
                      </a:ext>
                    </a:extLst>
                  </a:blip>
                  <a:stretch>
                    <a:fillRect/>
                  </a:stretch>
                </pic:blipFill>
                <pic:spPr>
                  <a:xfrm>
                    <a:off x="0" y="0"/>
                    <a:ext cx="664210" cy="57912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ECEE5" w14:textId="77777777" w:rsidR="00CA74D8" w:rsidRDefault="00CA74D8" w:rsidP="00A33F91">
    <w:pPr>
      <w:pStyle w:val="Testonotaapidipagina"/>
      <w:jc w:val="center"/>
    </w:pPr>
    <w:r>
      <w:rPr>
        <w:noProof/>
      </w:rPr>
      <w:drawing>
        <wp:inline distT="0" distB="0" distL="0" distR="0" wp14:anchorId="5C6D09D5" wp14:editId="5E1F081E">
          <wp:extent cx="664210" cy="579120"/>
          <wp:effectExtent l="0" t="0" r="2540" b="0"/>
          <wp:docPr id="1084568342"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pic:nvPicPr>
                <pic:blipFill>
                  <a:blip r:embed="rId1">
                    <a:extLst>
                      <a:ext uri="{28A0092B-C50C-407E-A947-70E740481C1C}">
                        <a14:useLocalDpi xmlns:a14="http://schemas.microsoft.com/office/drawing/2010/main" val="0"/>
                      </a:ext>
                    </a:extLst>
                  </a:blip>
                  <a:stretch>
                    <a:fillRect/>
                  </a:stretch>
                </pic:blipFill>
                <pic:spPr>
                  <a:xfrm>
                    <a:off x="0" y="0"/>
                    <a:ext cx="664210" cy="579120"/>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811EDA" w:rsidRDefault="00811ED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A3CB0F5" w14:textId="77777777" w:rsidTr="000C06C9">
      <w:trPr>
        <w:trHeight w:val="284"/>
      </w:trPr>
      <w:tc>
        <w:tcPr>
          <w:tcW w:w="8460" w:type="dxa"/>
        </w:tcPr>
        <w:p w14:paraId="6A3CB0F3" w14:textId="77777777" w:rsidR="00811EDA" w:rsidRPr="000C3B6D" w:rsidRDefault="00811EDA" w:rsidP="000C06C9">
          <w:pPr>
            <w:pStyle w:val="00Footer"/>
            <w:rPr>
              <w:lang w:val="fr-FR"/>
            </w:rPr>
          </w:pPr>
        </w:p>
      </w:tc>
      <w:tc>
        <w:tcPr>
          <w:tcW w:w="952" w:type="dxa"/>
        </w:tcPr>
        <w:p w14:paraId="6A3CB0F4" w14:textId="77777777" w:rsidR="00811EDA" w:rsidRPr="00146B34" w:rsidRDefault="00811EDA" w:rsidP="000C06C9">
          <w:pPr>
            <w:pStyle w:val="00aPagenumber"/>
            <w:rPr>
              <w:lang w:val="fr-FR"/>
            </w:rPr>
          </w:pPr>
        </w:p>
      </w:tc>
    </w:tr>
  </w:tbl>
  <w:p w14:paraId="6A3CB0F6" w14:textId="77777777" w:rsidR="00811EDA" w:rsidRPr="00DB46C3" w:rsidRDefault="00811EDA">
    <w:pPr>
      <w:rPr>
        <w:lang w:val="fr-FR"/>
      </w:rPr>
    </w:pPr>
  </w:p>
  <w:p w14:paraId="6A3CB0F7" w14:textId="77777777" w:rsidR="00811EDA" w:rsidRPr="002F4496" w:rsidRDefault="00811EDA">
    <w:pPr>
      <w:pStyle w:val="Intestazione"/>
      <w:rPr>
        <w:lang w:val="fr-FR"/>
      </w:rPr>
    </w:pPr>
  </w:p>
  <w:p w14:paraId="6A3CB0F8" w14:textId="77777777" w:rsidR="00811EDA" w:rsidRPr="002F4496" w:rsidRDefault="00811EDA" w:rsidP="000C06C9">
    <w:pPr>
      <w:pStyle w:val="Intestazione"/>
      <w:tabs>
        <w:tab w:val="clear" w:pos="4536"/>
        <w:tab w:val="clear" w:pos="9072"/>
        <w:tab w:val="left" w:pos="8227"/>
      </w:tabs>
      <w:rPr>
        <w:lang w:val="fr-FR"/>
      </w:rPr>
    </w:pPr>
  </w:p>
  <w:p w14:paraId="6A3CB0F9" w14:textId="77777777" w:rsidR="00811EDA" w:rsidRPr="002F4496" w:rsidRDefault="00811EDA" w:rsidP="000C06C9">
    <w:pPr>
      <w:pStyle w:val="Intestazione"/>
      <w:tabs>
        <w:tab w:val="clear" w:pos="4536"/>
        <w:tab w:val="clear" w:pos="9072"/>
        <w:tab w:val="left" w:pos="8227"/>
      </w:tabs>
      <w:rPr>
        <w:lang w:val="fr-FR"/>
      </w:rPr>
    </w:pPr>
  </w:p>
  <w:p w14:paraId="6A3CB0FA" w14:textId="77777777" w:rsidR="00811EDA" w:rsidRPr="002F4496" w:rsidRDefault="00811EDA">
    <w:pPr>
      <w:pStyle w:val="Intestazione"/>
      <w:rPr>
        <w:lang w:val="fr-FR"/>
      </w:rPr>
    </w:pPr>
  </w:p>
  <w:p w14:paraId="6A3CB0FB" w14:textId="77777777" w:rsidR="00811EDA" w:rsidRPr="002F4496" w:rsidRDefault="00811EDA">
    <w:pPr>
      <w:pStyle w:val="Intestazione"/>
      <w:rPr>
        <w:lang w:val="fr-FR"/>
      </w:rPr>
    </w:pPr>
  </w:p>
  <w:p w14:paraId="6A3CB0FC" w14:textId="77777777" w:rsidR="00811EDA" w:rsidRPr="002F4496" w:rsidRDefault="00811EDA">
    <w:pPr>
      <w:pStyle w:val="Intestazione"/>
      <w:rPr>
        <w:lang w:val="fr-FR"/>
      </w:rPr>
    </w:pPr>
  </w:p>
  <w:p w14:paraId="6A3CB0FD" w14:textId="77777777" w:rsidR="00811EDA" w:rsidRPr="002F4496" w:rsidRDefault="00811EDA">
    <w:pPr>
      <w:pStyle w:val="Intestazione"/>
      <w:rPr>
        <w:lang w:val="fr-FR"/>
      </w:rPr>
    </w:pPr>
  </w:p>
  <w:p w14:paraId="6A3CB0FE" w14:textId="77777777" w:rsidR="00811EDA" w:rsidRPr="002F4496" w:rsidRDefault="00811EDA">
    <w:pPr>
      <w:pStyle w:val="Intestazione"/>
      <w:rPr>
        <w:highlight w:val="yellow"/>
        <w:lang w:val="fr-FR"/>
      </w:rPr>
    </w:pPr>
  </w:p>
  <w:p w14:paraId="6A3CB0FF" w14:textId="05D5FF53" w:rsidR="00811EDA" w:rsidRDefault="00DE66EB">
    <w:pPr>
      <w:pStyle w:val="Intestazione"/>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7D7D5"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8F65D5">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Puntoelenco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41E71D5"/>
    <w:multiLevelType w:val="hybridMultilevel"/>
    <w:tmpl w:val="85E8B7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5" w15:restartNumberingAfterBreak="0">
    <w:nsid w:val="1DAE53C8"/>
    <w:multiLevelType w:val="multilevel"/>
    <w:tmpl w:val="ACFA87A8"/>
    <w:lvl w:ilvl="0">
      <w:start w:val="1"/>
      <w:numFmt w:val="decimal"/>
      <w:pStyle w:val="Corpotesto"/>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33359D0"/>
    <w:multiLevelType w:val="hybridMultilevel"/>
    <w:tmpl w:val="AE6298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Puntoelenco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12F716E"/>
    <w:multiLevelType w:val="hybridMultilevel"/>
    <w:tmpl w:val="1BF27CA6"/>
    <w:lvl w:ilvl="0" w:tplc="D53A98E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15:restartNumberingAfterBreak="0">
    <w:nsid w:val="4C7151D2"/>
    <w:multiLevelType w:val="hybridMultilevel"/>
    <w:tmpl w:val="DE90C632"/>
    <w:lvl w:ilvl="0" w:tplc="08090001">
      <w:start w:val="1"/>
      <w:numFmt w:val="bullet"/>
      <w:pStyle w:val="Puntoelenco"/>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28"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9" w15:restartNumberingAfterBreak="0">
    <w:nsid w:val="55DE60E9"/>
    <w:multiLevelType w:val="hybridMultilevel"/>
    <w:tmpl w:val="1084069A"/>
    <w:lvl w:ilvl="0" w:tplc="B532C018">
      <w:start w:val="2"/>
      <w:numFmt w:val="upperRoman"/>
      <w:pStyle w:val="Titolo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5EA4355"/>
    <w:multiLevelType w:val="hybridMultilevel"/>
    <w:tmpl w:val="C34E09E0"/>
    <w:lvl w:ilvl="0" w:tplc="AA2608BC">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58E47FB8">
      <w:numFmt w:val="bullet"/>
      <w:lvlText w:val="•"/>
      <w:lvlJc w:val="left"/>
      <w:pPr>
        <w:ind w:left="2508" w:hanging="708"/>
      </w:pPr>
      <w:rPr>
        <w:rFonts w:ascii="Calibri" w:eastAsiaTheme="minorHAnsi" w:hAnsi="Calibri" w:cs="Calibri"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2"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4"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5" w15:restartNumberingAfterBreak="0">
    <w:nsid w:val="605735B9"/>
    <w:multiLevelType w:val="hybridMultilevel"/>
    <w:tmpl w:val="AD1C76E8"/>
    <w:lvl w:ilvl="0" w:tplc="6658B948">
      <w:start w:val="1"/>
      <w:numFmt w:val="decimal"/>
      <w:pStyle w:val="Titolo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970F71"/>
    <w:multiLevelType w:val="singleLevel"/>
    <w:tmpl w:val="A8CADBFA"/>
    <w:name w:val="Bullet 0"/>
    <w:lvl w:ilvl="0">
      <w:start w:val="1"/>
      <w:numFmt w:val="bullet"/>
      <w:pStyle w:val="Numeroelenco"/>
      <w:lvlText w:val="–"/>
      <w:lvlJc w:val="left"/>
      <w:pPr>
        <w:tabs>
          <w:tab w:val="num" w:pos="1417"/>
        </w:tabs>
        <w:ind w:left="1417" w:hanging="567"/>
      </w:pPr>
    </w:lvl>
  </w:abstractNum>
  <w:abstractNum w:abstractNumId="37" w15:restartNumberingAfterBreak="0">
    <w:nsid w:val="65F41F93"/>
    <w:multiLevelType w:val="hybridMultilevel"/>
    <w:tmpl w:val="E64801BA"/>
    <w:lvl w:ilvl="0" w:tplc="EEAAA2B4">
      <w:start w:val="1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8C650D"/>
    <w:multiLevelType w:val="hybridMultilevel"/>
    <w:tmpl w:val="AA7AB4EC"/>
    <w:lvl w:ilvl="0" w:tplc="1786ADA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E07C39"/>
    <w:multiLevelType w:val="hybridMultilevel"/>
    <w:tmpl w:val="E55CA5A6"/>
    <w:lvl w:ilvl="0" w:tplc="EEAAA2B4">
      <w:start w:val="13"/>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F722AD"/>
    <w:multiLevelType w:val="hybridMultilevel"/>
    <w:tmpl w:val="EC5AFFBA"/>
    <w:lvl w:ilvl="0" w:tplc="AA2608B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2"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3"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77833194"/>
    <w:multiLevelType w:val="hybridMultilevel"/>
    <w:tmpl w:val="5F1C3E08"/>
    <w:lvl w:ilvl="0" w:tplc="9C9EC796">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7" w15:restartNumberingAfterBreak="0">
    <w:nsid w:val="7AAA159E"/>
    <w:multiLevelType w:val="hybridMultilevel"/>
    <w:tmpl w:val="8BB893A6"/>
    <w:lvl w:ilvl="0" w:tplc="0410000F">
      <w:start w:val="1"/>
      <w:numFmt w:val="decimal"/>
      <w:lvlText w:val="%1."/>
      <w:lvlJc w:val="left"/>
      <w:pPr>
        <w:ind w:left="720" w:hanging="360"/>
      </w:pPr>
      <w:rPr>
        <w:rFonts w:hint="default"/>
        <w:color w:val="auto"/>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26"/>
  </w:num>
  <w:num w:numId="5">
    <w:abstractNumId w:val="29"/>
  </w:num>
  <w:num w:numId="6">
    <w:abstractNumId w:val="0"/>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num>
  <w:num w:numId="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35"/>
  </w:num>
  <w:num w:numId="14">
    <w:abstractNumId w:val="25"/>
  </w:num>
  <w:num w:numId="15">
    <w:abstractNumId w:val="9"/>
  </w:num>
  <w:num w:numId="16">
    <w:abstractNumId w:val="1"/>
  </w:num>
  <w:num w:numId="17">
    <w:abstractNumId w:val="16"/>
  </w:num>
  <w:num w:numId="18">
    <w:abstractNumId w:val="17"/>
  </w:num>
  <w:num w:numId="19">
    <w:abstractNumId w:val="19"/>
  </w:num>
  <w:num w:numId="20">
    <w:abstractNumId w:val="31"/>
  </w:num>
  <w:num w:numId="21">
    <w:abstractNumId w:val="44"/>
  </w:num>
  <w:num w:numId="22">
    <w:abstractNumId w:val="28"/>
  </w:num>
  <w:num w:numId="23">
    <w:abstractNumId w:val="8"/>
  </w:num>
  <w:num w:numId="24">
    <w:abstractNumId w:val="34"/>
  </w:num>
  <w:num w:numId="25">
    <w:abstractNumId w:val="33"/>
  </w:num>
  <w:num w:numId="26">
    <w:abstractNumId w:val="22"/>
  </w:num>
  <w:num w:numId="27">
    <w:abstractNumId w:val="41"/>
  </w:num>
  <w:num w:numId="28">
    <w:abstractNumId w:val="48"/>
  </w:num>
  <w:num w:numId="29">
    <w:abstractNumId w:val="6"/>
  </w:num>
  <w:num w:numId="30">
    <w:abstractNumId w:val="3"/>
  </w:num>
  <w:num w:numId="31">
    <w:abstractNumId w:val="24"/>
  </w:num>
  <w:num w:numId="32">
    <w:abstractNumId w:val="23"/>
  </w:num>
  <w:num w:numId="33">
    <w:abstractNumId w:val="43"/>
  </w:num>
  <w:num w:numId="34">
    <w:abstractNumId w:val="42"/>
  </w:num>
  <w:num w:numId="35">
    <w:abstractNumId w:val="10"/>
  </w:num>
  <w:num w:numId="36">
    <w:abstractNumId w:val="12"/>
  </w:num>
  <w:num w:numId="37">
    <w:abstractNumId w:val="14"/>
  </w:num>
  <w:num w:numId="38">
    <w:abstractNumId w:val="27"/>
  </w:num>
  <w:num w:numId="39">
    <w:abstractNumId w:val="30"/>
  </w:num>
  <w:num w:numId="40">
    <w:abstractNumId w:val="45"/>
  </w:num>
  <w:num w:numId="41">
    <w:abstractNumId w:val="37"/>
  </w:num>
  <w:num w:numId="42">
    <w:abstractNumId w:val="40"/>
  </w:num>
  <w:num w:numId="43">
    <w:abstractNumId w:val="2"/>
  </w:num>
  <w:num w:numId="44">
    <w:abstractNumId w:val="39"/>
  </w:num>
  <w:num w:numId="45">
    <w:abstractNumId w:val="38"/>
  </w:num>
  <w:num w:numId="46">
    <w:abstractNumId w:val="47"/>
  </w:num>
  <w:num w:numId="47">
    <w:abstractNumId w:val="20"/>
  </w:num>
  <w:num w:numId="48">
    <w:abstractNumId w:val="11"/>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ssogestioni">
    <w15:presenceInfo w15:providerId="None" w15:userId="Assogestio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204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01B"/>
    <w:rsid w:val="00006C2B"/>
    <w:rsid w:val="00007014"/>
    <w:rsid w:val="00007249"/>
    <w:rsid w:val="00007968"/>
    <w:rsid w:val="0001067A"/>
    <w:rsid w:val="00013CCE"/>
    <w:rsid w:val="000140D5"/>
    <w:rsid w:val="0001410B"/>
    <w:rsid w:val="000141D6"/>
    <w:rsid w:val="00014A95"/>
    <w:rsid w:val="000153F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3D66"/>
    <w:rsid w:val="00045B55"/>
    <w:rsid w:val="000463A6"/>
    <w:rsid w:val="00046CC9"/>
    <w:rsid w:val="00046E91"/>
    <w:rsid w:val="00047483"/>
    <w:rsid w:val="000502FE"/>
    <w:rsid w:val="0005126D"/>
    <w:rsid w:val="00051992"/>
    <w:rsid w:val="00051DFE"/>
    <w:rsid w:val="00051E9A"/>
    <w:rsid w:val="000521A7"/>
    <w:rsid w:val="00052F47"/>
    <w:rsid w:val="00052F7E"/>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B6109"/>
    <w:rsid w:val="000C06C9"/>
    <w:rsid w:val="000C1BBB"/>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024"/>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097"/>
    <w:rsid w:val="00130F41"/>
    <w:rsid w:val="00130FAF"/>
    <w:rsid w:val="00135F2B"/>
    <w:rsid w:val="001372DD"/>
    <w:rsid w:val="001405BA"/>
    <w:rsid w:val="00141497"/>
    <w:rsid w:val="0014253A"/>
    <w:rsid w:val="001425C8"/>
    <w:rsid w:val="001431AE"/>
    <w:rsid w:val="00143B87"/>
    <w:rsid w:val="00144F2A"/>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1A1"/>
    <w:rsid w:val="00195BFF"/>
    <w:rsid w:val="001960D8"/>
    <w:rsid w:val="00197794"/>
    <w:rsid w:val="001A02C8"/>
    <w:rsid w:val="001A1642"/>
    <w:rsid w:val="001A371B"/>
    <w:rsid w:val="001A4766"/>
    <w:rsid w:val="001A5E5C"/>
    <w:rsid w:val="001A6299"/>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C3B"/>
    <w:rsid w:val="001D3FB6"/>
    <w:rsid w:val="001D4550"/>
    <w:rsid w:val="001D5360"/>
    <w:rsid w:val="001D5498"/>
    <w:rsid w:val="001D5BAF"/>
    <w:rsid w:val="001D6401"/>
    <w:rsid w:val="001D66C9"/>
    <w:rsid w:val="001D722A"/>
    <w:rsid w:val="001D7D30"/>
    <w:rsid w:val="001E04FC"/>
    <w:rsid w:val="001E407D"/>
    <w:rsid w:val="001E40FB"/>
    <w:rsid w:val="001E66EC"/>
    <w:rsid w:val="001E68C5"/>
    <w:rsid w:val="001F0F63"/>
    <w:rsid w:val="001F137D"/>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47F78"/>
    <w:rsid w:val="00250898"/>
    <w:rsid w:val="00251EA9"/>
    <w:rsid w:val="00252843"/>
    <w:rsid w:val="002543F8"/>
    <w:rsid w:val="002551A4"/>
    <w:rsid w:val="002559F3"/>
    <w:rsid w:val="00256DFE"/>
    <w:rsid w:val="00261D56"/>
    <w:rsid w:val="00261FD3"/>
    <w:rsid w:val="00263FF1"/>
    <w:rsid w:val="00264077"/>
    <w:rsid w:val="00266B9A"/>
    <w:rsid w:val="00270300"/>
    <w:rsid w:val="00270E54"/>
    <w:rsid w:val="002730D1"/>
    <w:rsid w:val="00273681"/>
    <w:rsid w:val="00273915"/>
    <w:rsid w:val="002754B5"/>
    <w:rsid w:val="002764C5"/>
    <w:rsid w:val="002772AE"/>
    <w:rsid w:val="00280613"/>
    <w:rsid w:val="0028274D"/>
    <w:rsid w:val="00282B96"/>
    <w:rsid w:val="00282DFB"/>
    <w:rsid w:val="002833D6"/>
    <w:rsid w:val="00283F51"/>
    <w:rsid w:val="00284162"/>
    <w:rsid w:val="00286064"/>
    <w:rsid w:val="002867B1"/>
    <w:rsid w:val="00287BBB"/>
    <w:rsid w:val="00287E3B"/>
    <w:rsid w:val="00290638"/>
    <w:rsid w:val="00291763"/>
    <w:rsid w:val="00291D80"/>
    <w:rsid w:val="00293156"/>
    <w:rsid w:val="00293AA7"/>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42"/>
    <w:rsid w:val="002B45D1"/>
    <w:rsid w:val="002B4ED8"/>
    <w:rsid w:val="002B4FAA"/>
    <w:rsid w:val="002B52C2"/>
    <w:rsid w:val="002B7656"/>
    <w:rsid w:val="002C1492"/>
    <w:rsid w:val="002C1E8B"/>
    <w:rsid w:val="002C2EFE"/>
    <w:rsid w:val="002C53AA"/>
    <w:rsid w:val="002C5B2D"/>
    <w:rsid w:val="002C6AF9"/>
    <w:rsid w:val="002C7DFC"/>
    <w:rsid w:val="002D13A4"/>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2F6167"/>
    <w:rsid w:val="00300624"/>
    <w:rsid w:val="00300F56"/>
    <w:rsid w:val="00301006"/>
    <w:rsid w:val="00303565"/>
    <w:rsid w:val="00303D05"/>
    <w:rsid w:val="00304A71"/>
    <w:rsid w:val="003066C8"/>
    <w:rsid w:val="0030739D"/>
    <w:rsid w:val="00307AFB"/>
    <w:rsid w:val="00311184"/>
    <w:rsid w:val="0031128A"/>
    <w:rsid w:val="00312675"/>
    <w:rsid w:val="00312E5C"/>
    <w:rsid w:val="00314013"/>
    <w:rsid w:val="00314945"/>
    <w:rsid w:val="00315389"/>
    <w:rsid w:val="00315746"/>
    <w:rsid w:val="00315895"/>
    <w:rsid w:val="00315E96"/>
    <w:rsid w:val="00317FC8"/>
    <w:rsid w:val="00320B9B"/>
    <w:rsid w:val="003223D7"/>
    <w:rsid w:val="00323D9F"/>
    <w:rsid w:val="00324011"/>
    <w:rsid w:val="00324FDB"/>
    <w:rsid w:val="00325B4D"/>
    <w:rsid w:val="00325F48"/>
    <w:rsid w:val="003273FE"/>
    <w:rsid w:val="0033194F"/>
    <w:rsid w:val="00332304"/>
    <w:rsid w:val="00332406"/>
    <w:rsid w:val="00332D8D"/>
    <w:rsid w:val="00336420"/>
    <w:rsid w:val="00336B56"/>
    <w:rsid w:val="00337A3F"/>
    <w:rsid w:val="00341B25"/>
    <w:rsid w:val="00341EC0"/>
    <w:rsid w:val="0034240C"/>
    <w:rsid w:val="00344496"/>
    <w:rsid w:val="00345848"/>
    <w:rsid w:val="00345968"/>
    <w:rsid w:val="00347667"/>
    <w:rsid w:val="003507E2"/>
    <w:rsid w:val="003522B2"/>
    <w:rsid w:val="0035455E"/>
    <w:rsid w:val="00354A6F"/>
    <w:rsid w:val="00354B48"/>
    <w:rsid w:val="00355789"/>
    <w:rsid w:val="003557F4"/>
    <w:rsid w:val="00357C60"/>
    <w:rsid w:val="003609B6"/>
    <w:rsid w:val="00361119"/>
    <w:rsid w:val="00362B16"/>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D7D76"/>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342"/>
    <w:rsid w:val="00403460"/>
    <w:rsid w:val="004040FF"/>
    <w:rsid w:val="00404284"/>
    <w:rsid w:val="004042C4"/>
    <w:rsid w:val="00406015"/>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0464"/>
    <w:rsid w:val="0045175A"/>
    <w:rsid w:val="00451ED9"/>
    <w:rsid w:val="00452180"/>
    <w:rsid w:val="00453072"/>
    <w:rsid w:val="004539F8"/>
    <w:rsid w:val="00453F26"/>
    <w:rsid w:val="0045503F"/>
    <w:rsid w:val="00455273"/>
    <w:rsid w:val="00460905"/>
    <w:rsid w:val="00461E35"/>
    <w:rsid w:val="004621DB"/>
    <w:rsid w:val="004621FF"/>
    <w:rsid w:val="0046247E"/>
    <w:rsid w:val="004634A7"/>
    <w:rsid w:val="00463787"/>
    <w:rsid w:val="00466926"/>
    <w:rsid w:val="00466FDA"/>
    <w:rsid w:val="004671D0"/>
    <w:rsid w:val="004674D1"/>
    <w:rsid w:val="00470773"/>
    <w:rsid w:val="00471471"/>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4"/>
    <w:rsid w:val="004E62DE"/>
    <w:rsid w:val="004E6A9A"/>
    <w:rsid w:val="004E6AE4"/>
    <w:rsid w:val="004E6B05"/>
    <w:rsid w:val="004E76A1"/>
    <w:rsid w:val="004F0010"/>
    <w:rsid w:val="004F05DE"/>
    <w:rsid w:val="004F3A02"/>
    <w:rsid w:val="004F6376"/>
    <w:rsid w:val="004F6A93"/>
    <w:rsid w:val="004F6F14"/>
    <w:rsid w:val="004F76D9"/>
    <w:rsid w:val="004F79A6"/>
    <w:rsid w:val="004F7F4F"/>
    <w:rsid w:val="005017B9"/>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277"/>
    <w:rsid w:val="005648A8"/>
    <w:rsid w:val="00564DE3"/>
    <w:rsid w:val="00564E44"/>
    <w:rsid w:val="005651FC"/>
    <w:rsid w:val="00566394"/>
    <w:rsid w:val="00566C6A"/>
    <w:rsid w:val="00566CE5"/>
    <w:rsid w:val="00566D36"/>
    <w:rsid w:val="00570FAA"/>
    <w:rsid w:val="00573569"/>
    <w:rsid w:val="00573871"/>
    <w:rsid w:val="0057389E"/>
    <w:rsid w:val="005738DE"/>
    <w:rsid w:val="005762EC"/>
    <w:rsid w:val="005765C0"/>
    <w:rsid w:val="005778DE"/>
    <w:rsid w:val="00580B3F"/>
    <w:rsid w:val="0058207F"/>
    <w:rsid w:val="005825F2"/>
    <w:rsid w:val="00582AAD"/>
    <w:rsid w:val="005860AF"/>
    <w:rsid w:val="00586B4B"/>
    <w:rsid w:val="00587F1D"/>
    <w:rsid w:val="00590348"/>
    <w:rsid w:val="00591161"/>
    <w:rsid w:val="00592318"/>
    <w:rsid w:val="00593133"/>
    <w:rsid w:val="005955C4"/>
    <w:rsid w:val="0059575D"/>
    <w:rsid w:val="00596825"/>
    <w:rsid w:val="005A150A"/>
    <w:rsid w:val="005A2B3E"/>
    <w:rsid w:val="005A3644"/>
    <w:rsid w:val="005A4087"/>
    <w:rsid w:val="005A486F"/>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C12"/>
    <w:rsid w:val="005C0FB2"/>
    <w:rsid w:val="005C1169"/>
    <w:rsid w:val="005C16E2"/>
    <w:rsid w:val="005C1FAF"/>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3F60"/>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07C6D"/>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92E"/>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2877"/>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413"/>
    <w:rsid w:val="00691B7C"/>
    <w:rsid w:val="00694B73"/>
    <w:rsid w:val="00694DF2"/>
    <w:rsid w:val="00695F80"/>
    <w:rsid w:val="006966CD"/>
    <w:rsid w:val="00696735"/>
    <w:rsid w:val="006975D4"/>
    <w:rsid w:val="0069780E"/>
    <w:rsid w:val="00697D13"/>
    <w:rsid w:val="00697F66"/>
    <w:rsid w:val="006A24D5"/>
    <w:rsid w:val="006A2CA2"/>
    <w:rsid w:val="006A7345"/>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782"/>
    <w:rsid w:val="006C5CE6"/>
    <w:rsid w:val="006C5E96"/>
    <w:rsid w:val="006D399F"/>
    <w:rsid w:val="006D4F0C"/>
    <w:rsid w:val="006D5645"/>
    <w:rsid w:val="006E0A4F"/>
    <w:rsid w:val="006E0C8A"/>
    <w:rsid w:val="006E2A23"/>
    <w:rsid w:val="006E35E5"/>
    <w:rsid w:val="006E3C72"/>
    <w:rsid w:val="006E4C67"/>
    <w:rsid w:val="006E4F20"/>
    <w:rsid w:val="006E649A"/>
    <w:rsid w:val="006F08DC"/>
    <w:rsid w:val="006F1D42"/>
    <w:rsid w:val="006F2A80"/>
    <w:rsid w:val="006F2B9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35F"/>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840"/>
    <w:rsid w:val="00756BFF"/>
    <w:rsid w:val="00756D77"/>
    <w:rsid w:val="00760041"/>
    <w:rsid w:val="007605C7"/>
    <w:rsid w:val="00760B08"/>
    <w:rsid w:val="00760EDA"/>
    <w:rsid w:val="00761F4E"/>
    <w:rsid w:val="00762150"/>
    <w:rsid w:val="00762621"/>
    <w:rsid w:val="00762E2E"/>
    <w:rsid w:val="00763F36"/>
    <w:rsid w:val="00764042"/>
    <w:rsid w:val="007648A0"/>
    <w:rsid w:val="00765431"/>
    <w:rsid w:val="00766F4D"/>
    <w:rsid w:val="00770268"/>
    <w:rsid w:val="007706B9"/>
    <w:rsid w:val="007707ED"/>
    <w:rsid w:val="00771C3B"/>
    <w:rsid w:val="007726F9"/>
    <w:rsid w:val="00773B94"/>
    <w:rsid w:val="00773C65"/>
    <w:rsid w:val="00773EEA"/>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25D"/>
    <w:rsid w:val="007D37F7"/>
    <w:rsid w:val="007D3E8D"/>
    <w:rsid w:val="007D4CEE"/>
    <w:rsid w:val="007D5519"/>
    <w:rsid w:val="007D5915"/>
    <w:rsid w:val="007D5B4F"/>
    <w:rsid w:val="007D5C30"/>
    <w:rsid w:val="007E0660"/>
    <w:rsid w:val="007E1411"/>
    <w:rsid w:val="007E1882"/>
    <w:rsid w:val="007E1BB4"/>
    <w:rsid w:val="007E3514"/>
    <w:rsid w:val="007E4AAA"/>
    <w:rsid w:val="007E4BD2"/>
    <w:rsid w:val="007E4C29"/>
    <w:rsid w:val="007E5E44"/>
    <w:rsid w:val="007E775E"/>
    <w:rsid w:val="007F0DDA"/>
    <w:rsid w:val="007F170C"/>
    <w:rsid w:val="007F1939"/>
    <w:rsid w:val="007F365C"/>
    <w:rsid w:val="007F4A2A"/>
    <w:rsid w:val="007F5066"/>
    <w:rsid w:val="007F621C"/>
    <w:rsid w:val="007F7155"/>
    <w:rsid w:val="007F7B93"/>
    <w:rsid w:val="00800C28"/>
    <w:rsid w:val="0080245E"/>
    <w:rsid w:val="00803179"/>
    <w:rsid w:val="00803480"/>
    <w:rsid w:val="0080359C"/>
    <w:rsid w:val="008037AE"/>
    <w:rsid w:val="008043F4"/>
    <w:rsid w:val="00804BB4"/>
    <w:rsid w:val="00805BE8"/>
    <w:rsid w:val="00805D9F"/>
    <w:rsid w:val="00807A4D"/>
    <w:rsid w:val="00807F30"/>
    <w:rsid w:val="008103DC"/>
    <w:rsid w:val="0081119F"/>
    <w:rsid w:val="0081134D"/>
    <w:rsid w:val="00811922"/>
    <w:rsid w:val="00811EDA"/>
    <w:rsid w:val="00812403"/>
    <w:rsid w:val="00812FD7"/>
    <w:rsid w:val="0081604D"/>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1C92"/>
    <w:rsid w:val="00832134"/>
    <w:rsid w:val="0083219E"/>
    <w:rsid w:val="0083497C"/>
    <w:rsid w:val="008352A6"/>
    <w:rsid w:val="00835B01"/>
    <w:rsid w:val="00835B5B"/>
    <w:rsid w:val="008367AE"/>
    <w:rsid w:val="00836E50"/>
    <w:rsid w:val="00840477"/>
    <w:rsid w:val="00840A69"/>
    <w:rsid w:val="0084121D"/>
    <w:rsid w:val="008419C1"/>
    <w:rsid w:val="00844515"/>
    <w:rsid w:val="0084458A"/>
    <w:rsid w:val="0084465A"/>
    <w:rsid w:val="00844DFF"/>
    <w:rsid w:val="00845D87"/>
    <w:rsid w:val="00846C3A"/>
    <w:rsid w:val="008477BF"/>
    <w:rsid w:val="008503DA"/>
    <w:rsid w:val="00850B68"/>
    <w:rsid w:val="00850E82"/>
    <w:rsid w:val="008510E5"/>
    <w:rsid w:val="0085122D"/>
    <w:rsid w:val="008519E8"/>
    <w:rsid w:val="008525FF"/>
    <w:rsid w:val="00852C03"/>
    <w:rsid w:val="0085590C"/>
    <w:rsid w:val="008575EB"/>
    <w:rsid w:val="00862DDD"/>
    <w:rsid w:val="0086326D"/>
    <w:rsid w:val="00863CC1"/>
    <w:rsid w:val="0086594C"/>
    <w:rsid w:val="00865B01"/>
    <w:rsid w:val="00866D7A"/>
    <w:rsid w:val="00866EE3"/>
    <w:rsid w:val="008701E5"/>
    <w:rsid w:val="008706C5"/>
    <w:rsid w:val="00871A38"/>
    <w:rsid w:val="00871F04"/>
    <w:rsid w:val="00873187"/>
    <w:rsid w:val="008746C1"/>
    <w:rsid w:val="00876461"/>
    <w:rsid w:val="00880224"/>
    <w:rsid w:val="0088244C"/>
    <w:rsid w:val="00883367"/>
    <w:rsid w:val="00884C47"/>
    <w:rsid w:val="00884E92"/>
    <w:rsid w:val="00885E6F"/>
    <w:rsid w:val="008861AC"/>
    <w:rsid w:val="008868E4"/>
    <w:rsid w:val="00886A60"/>
    <w:rsid w:val="0088759B"/>
    <w:rsid w:val="008909B4"/>
    <w:rsid w:val="00891325"/>
    <w:rsid w:val="008922E8"/>
    <w:rsid w:val="00893916"/>
    <w:rsid w:val="008941B9"/>
    <w:rsid w:val="0089442C"/>
    <w:rsid w:val="00895818"/>
    <w:rsid w:val="008A2585"/>
    <w:rsid w:val="008A2718"/>
    <w:rsid w:val="008A4CF6"/>
    <w:rsid w:val="008A4E42"/>
    <w:rsid w:val="008A51AA"/>
    <w:rsid w:val="008A57EA"/>
    <w:rsid w:val="008A6A12"/>
    <w:rsid w:val="008B0DC6"/>
    <w:rsid w:val="008B2B9E"/>
    <w:rsid w:val="008B31F5"/>
    <w:rsid w:val="008B4928"/>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290D"/>
    <w:rsid w:val="00923BCF"/>
    <w:rsid w:val="0092436F"/>
    <w:rsid w:val="009252EC"/>
    <w:rsid w:val="00925AEC"/>
    <w:rsid w:val="0092751A"/>
    <w:rsid w:val="009305C4"/>
    <w:rsid w:val="00931FAF"/>
    <w:rsid w:val="009341B5"/>
    <w:rsid w:val="009360F6"/>
    <w:rsid w:val="009371DC"/>
    <w:rsid w:val="0093759D"/>
    <w:rsid w:val="00940239"/>
    <w:rsid w:val="00942BD6"/>
    <w:rsid w:val="00942DED"/>
    <w:rsid w:val="00944404"/>
    <w:rsid w:val="009452D7"/>
    <w:rsid w:val="00945FD1"/>
    <w:rsid w:val="00946CCC"/>
    <w:rsid w:val="00947A5F"/>
    <w:rsid w:val="009503E5"/>
    <w:rsid w:val="0095041F"/>
    <w:rsid w:val="00950F71"/>
    <w:rsid w:val="00952676"/>
    <w:rsid w:val="00952F2C"/>
    <w:rsid w:val="009532E3"/>
    <w:rsid w:val="00953615"/>
    <w:rsid w:val="00954A15"/>
    <w:rsid w:val="00954BAF"/>
    <w:rsid w:val="00955288"/>
    <w:rsid w:val="00955F48"/>
    <w:rsid w:val="009560A3"/>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3A6F"/>
    <w:rsid w:val="00974881"/>
    <w:rsid w:val="0097606C"/>
    <w:rsid w:val="0097715C"/>
    <w:rsid w:val="009771D1"/>
    <w:rsid w:val="0098012D"/>
    <w:rsid w:val="00980845"/>
    <w:rsid w:val="0098194B"/>
    <w:rsid w:val="00981BD9"/>
    <w:rsid w:val="0098225F"/>
    <w:rsid w:val="00983A3C"/>
    <w:rsid w:val="00983EFA"/>
    <w:rsid w:val="00984C15"/>
    <w:rsid w:val="00984CD7"/>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A0C"/>
    <w:rsid w:val="009B1D02"/>
    <w:rsid w:val="009B3022"/>
    <w:rsid w:val="009B4D28"/>
    <w:rsid w:val="009B6F09"/>
    <w:rsid w:val="009B7133"/>
    <w:rsid w:val="009B7658"/>
    <w:rsid w:val="009B7CD1"/>
    <w:rsid w:val="009B7E22"/>
    <w:rsid w:val="009B7E78"/>
    <w:rsid w:val="009C10FE"/>
    <w:rsid w:val="009C13BC"/>
    <w:rsid w:val="009C1CA4"/>
    <w:rsid w:val="009C2532"/>
    <w:rsid w:val="009C2BA4"/>
    <w:rsid w:val="009C52BD"/>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1C74"/>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12F7"/>
    <w:rsid w:val="00A24269"/>
    <w:rsid w:val="00A243E4"/>
    <w:rsid w:val="00A25ED4"/>
    <w:rsid w:val="00A263DA"/>
    <w:rsid w:val="00A26C5C"/>
    <w:rsid w:val="00A30BDE"/>
    <w:rsid w:val="00A30C68"/>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29CA"/>
    <w:rsid w:val="00A4376E"/>
    <w:rsid w:val="00A4572B"/>
    <w:rsid w:val="00A46246"/>
    <w:rsid w:val="00A46349"/>
    <w:rsid w:val="00A46D5E"/>
    <w:rsid w:val="00A50847"/>
    <w:rsid w:val="00A512C7"/>
    <w:rsid w:val="00A54A43"/>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67FFC"/>
    <w:rsid w:val="00A74F9F"/>
    <w:rsid w:val="00A750B3"/>
    <w:rsid w:val="00A75559"/>
    <w:rsid w:val="00A7623D"/>
    <w:rsid w:val="00A824A7"/>
    <w:rsid w:val="00A83644"/>
    <w:rsid w:val="00A83C07"/>
    <w:rsid w:val="00A83F40"/>
    <w:rsid w:val="00A8434F"/>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09A"/>
    <w:rsid w:val="00AE3BC6"/>
    <w:rsid w:val="00AE3E2F"/>
    <w:rsid w:val="00AE4D4F"/>
    <w:rsid w:val="00AE627C"/>
    <w:rsid w:val="00AE62B0"/>
    <w:rsid w:val="00AE68A2"/>
    <w:rsid w:val="00AF0029"/>
    <w:rsid w:val="00AF0354"/>
    <w:rsid w:val="00AF1236"/>
    <w:rsid w:val="00AF2975"/>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030"/>
    <w:rsid w:val="00B17437"/>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67989"/>
    <w:rsid w:val="00B705C4"/>
    <w:rsid w:val="00B71FB3"/>
    <w:rsid w:val="00B73492"/>
    <w:rsid w:val="00B7512A"/>
    <w:rsid w:val="00B76548"/>
    <w:rsid w:val="00B76BED"/>
    <w:rsid w:val="00B806E6"/>
    <w:rsid w:val="00B81A1B"/>
    <w:rsid w:val="00B82DC1"/>
    <w:rsid w:val="00B835D5"/>
    <w:rsid w:val="00B84028"/>
    <w:rsid w:val="00B84307"/>
    <w:rsid w:val="00B8430D"/>
    <w:rsid w:val="00B85661"/>
    <w:rsid w:val="00B85C8A"/>
    <w:rsid w:val="00B86FBD"/>
    <w:rsid w:val="00B91B86"/>
    <w:rsid w:val="00B927CA"/>
    <w:rsid w:val="00B928AE"/>
    <w:rsid w:val="00B93A81"/>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4CC"/>
    <w:rsid w:val="00BC7897"/>
    <w:rsid w:val="00BD0F35"/>
    <w:rsid w:val="00BD3C97"/>
    <w:rsid w:val="00BD45A4"/>
    <w:rsid w:val="00BD4A5F"/>
    <w:rsid w:val="00BD59AA"/>
    <w:rsid w:val="00BD65E6"/>
    <w:rsid w:val="00BD6AF7"/>
    <w:rsid w:val="00BE19EF"/>
    <w:rsid w:val="00BE3A34"/>
    <w:rsid w:val="00BE425B"/>
    <w:rsid w:val="00BE51BB"/>
    <w:rsid w:val="00BE6D38"/>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2901"/>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255"/>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6DEE"/>
    <w:rsid w:val="00C570B3"/>
    <w:rsid w:val="00C579C2"/>
    <w:rsid w:val="00C6009F"/>
    <w:rsid w:val="00C60417"/>
    <w:rsid w:val="00C6046F"/>
    <w:rsid w:val="00C638C2"/>
    <w:rsid w:val="00C651D4"/>
    <w:rsid w:val="00C6669E"/>
    <w:rsid w:val="00C672B0"/>
    <w:rsid w:val="00C729C7"/>
    <w:rsid w:val="00C761FA"/>
    <w:rsid w:val="00C777AD"/>
    <w:rsid w:val="00C80C53"/>
    <w:rsid w:val="00C81195"/>
    <w:rsid w:val="00C83640"/>
    <w:rsid w:val="00C83EB9"/>
    <w:rsid w:val="00C85387"/>
    <w:rsid w:val="00C85E52"/>
    <w:rsid w:val="00C86458"/>
    <w:rsid w:val="00C86471"/>
    <w:rsid w:val="00C8677B"/>
    <w:rsid w:val="00C86F96"/>
    <w:rsid w:val="00C909C6"/>
    <w:rsid w:val="00C923B7"/>
    <w:rsid w:val="00C94D4C"/>
    <w:rsid w:val="00CA012C"/>
    <w:rsid w:val="00CA0AA6"/>
    <w:rsid w:val="00CA132C"/>
    <w:rsid w:val="00CA2897"/>
    <w:rsid w:val="00CA44F3"/>
    <w:rsid w:val="00CA51BA"/>
    <w:rsid w:val="00CA582C"/>
    <w:rsid w:val="00CA6077"/>
    <w:rsid w:val="00CA715B"/>
    <w:rsid w:val="00CA74B0"/>
    <w:rsid w:val="00CA74D8"/>
    <w:rsid w:val="00CA7988"/>
    <w:rsid w:val="00CA7BA2"/>
    <w:rsid w:val="00CB0B78"/>
    <w:rsid w:val="00CB12A5"/>
    <w:rsid w:val="00CB17FA"/>
    <w:rsid w:val="00CB23D8"/>
    <w:rsid w:val="00CB2ED9"/>
    <w:rsid w:val="00CB36A5"/>
    <w:rsid w:val="00CB56B4"/>
    <w:rsid w:val="00CB66BA"/>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439"/>
    <w:rsid w:val="00CD279E"/>
    <w:rsid w:val="00CD2F92"/>
    <w:rsid w:val="00CD46B7"/>
    <w:rsid w:val="00CD4EB0"/>
    <w:rsid w:val="00CD512D"/>
    <w:rsid w:val="00CD5831"/>
    <w:rsid w:val="00CD6F6E"/>
    <w:rsid w:val="00CE08D1"/>
    <w:rsid w:val="00CE157F"/>
    <w:rsid w:val="00CE1966"/>
    <w:rsid w:val="00CE1ED4"/>
    <w:rsid w:val="00CE2216"/>
    <w:rsid w:val="00CE3014"/>
    <w:rsid w:val="00CE30E5"/>
    <w:rsid w:val="00CE6D5B"/>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1BD0"/>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55FA"/>
    <w:rsid w:val="00D366B1"/>
    <w:rsid w:val="00D36883"/>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36EC"/>
    <w:rsid w:val="00D54050"/>
    <w:rsid w:val="00D55ABB"/>
    <w:rsid w:val="00D56321"/>
    <w:rsid w:val="00D56AC0"/>
    <w:rsid w:val="00D6081B"/>
    <w:rsid w:val="00D61A37"/>
    <w:rsid w:val="00D6240A"/>
    <w:rsid w:val="00D63093"/>
    <w:rsid w:val="00D63599"/>
    <w:rsid w:val="00D63EBD"/>
    <w:rsid w:val="00D64B69"/>
    <w:rsid w:val="00D67101"/>
    <w:rsid w:val="00D7106D"/>
    <w:rsid w:val="00D713E2"/>
    <w:rsid w:val="00D71B45"/>
    <w:rsid w:val="00D71F8A"/>
    <w:rsid w:val="00D72412"/>
    <w:rsid w:val="00D75603"/>
    <w:rsid w:val="00D75FEE"/>
    <w:rsid w:val="00D76933"/>
    <w:rsid w:val="00D76D88"/>
    <w:rsid w:val="00D77CC9"/>
    <w:rsid w:val="00D83D4B"/>
    <w:rsid w:val="00D871C6"/>
    <w:rsid w:val="00D91010"/>
    <w:rsid w:val="00D9120E"/>
    <w:rsid w:val="00D953C7"/>
    <w:rsid w:val="00DA0FA7"/>
    <w:rsid w:val="00DA12B0"/>
    <w:rsid w:val="00DA2BA0"/>
    <w:rsid w:val="00DA39AD"/>
    <w:rsid w:val="00DA3AA0"/>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5BDB"/>
    <w:rsid w:val="00DD61F5"/>
    <w:rsid w:val="00DE3223"/>
    <w:rsid w:val="00DE64A6"/>
    <w:rsid w:val="00DE66EB"/>
    <w:rsid w:val="00DE7035"/>
    <w:rsid w:val="00DF12E3"/>
    <w:rsid w:val="00DF16D9"/>
    <w:rsid w:val="00DF3F1D"/>
    <w:rsid w:val="00DF595C"/>
    <w:rsid w:val="00DF7EA7"/>
    <w:rsid w:val="00E015DC"/>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6473"/>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47785"/>
    <w:rsid w:val="00E50FB7"/>
    <w:rsid w:val="00E518D2"/>
    <w:rsid w:val="00E5199F"/>
    <w:rsid w:val="00E526DF"/>
    <w:rsid w:val="00E53624"/>
    <w:rsid w:val="00E53C15"/>
    <w:rsid w:val="00E54EE6"/>
    <w:rsid w:val="00E56715"/>
    <w:rsid w:val="00E567DD"/>
    <w:rsid w:val="00E56C2C"/>
    <w:rsid w:val="00E57F8E"/>
    <w:rsid w:val="00E60776"/>
    <w:rsid w:val="00E611C8"/>
    <w:rsid w:val="00E613EB"/>
    <w:rsid w:val="00E63256"/>
    <w:rsid w:val="00E6344A"/>
    <w:rsid w:val="00E64E69"/>
    <w:rsid w:val="00E64FB7"/>
    <w:rsid w:val="00E66269"/>
    <w:rsid w:val="00E668FA"/>
    <w:rsid w:val="00E669A1"/>
    <w:rsid w:val="00E679BA"/>
    <w:rsid w:val="00E70243"/>
    <w:rsid w:val="00E70633"/>
    <w:rsid w:val="00E72CC6"/>
    <w:rsid w:val="00E73D44"/>
    <w:rsid w:val="00E7494A"/>
    <w:rsid w:val="00E74BE2"/>
    <w:rsid w:val="00E74C66"/>
    <w:rsid w:val="00E74FA2"/>
    <w:rsid w:val="00E75933"/>
    <w:rsid w:val="00E77A1B"/>
    <w:rsid w:val="00E808BE"/>
    <w:rsid w:val="00E81115"/>
    <w:rsid w:val="00E81E36"/>
    <w:rsid w:val="00E81E40"/>
    <w:rsid w:val="00E82ECE"/>
    <w:rsid w:val="00E8713B"/>
    <w:rsid w:val="00E90C61"/>
    <w:rsid w:val="00E92A82"/>
    <w:rsid w:val="00E92AA8"/>
    <w:rsid w:val="00E9344E"/>
    <w:rsid w:val="00E93E39"/>
    <w:rsid w:val="00E94391"/>
    <w:rsid w:val="00E97E2B"/>
    <w:rsid w:val="00EA07CA"/>
    <w:rsid w:val="00EA08CA"/>
    <w:rsid w:val="00EA0C0C"/>
    <w:rsid w:val="00EA2AEA"/>
    <w:rsid w:val="00EA3218"/>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23F"/>
    <w:rsid w:val="00ED6BA4"/>
    <w:rsid w:val="00ED7DA7"/>
    <w:rsid w:val="00EE0598"/>
    <w:rsid w:val="00EE311C"/>
    <w:rsid w:val="00EE56FF"/>
    <w:rsid w:val="00EE5886"/>
    <w:rsid w:val="00EE5FBF"/>
    <w:rsid w:val="00EE6472"/>
    <w:rsid w:val="00EE76F2"/>
    <w:rsid w:val="00EF0769"/>
    <w:rsid w:val="00EF0D7C"/>
    <w:rsid w:val="00EF10B5"/>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2E35"/>
    <w:rsid w:val="00F13200"/>
    <w:rsid w:val="00F13411"/>
    <w:rsid w:val="00F143BA"/>
    <w:rsid w:val="00F14D98"/>
    <w:rsid w:val="00F206F2"/>
    <w:rsid w:val="00F2081B"/>
    <w:rsid w:val="00F20A43"/>
    <w:rsid w:val="00F20C51"/>
    <w:rsid w:val="00F21049"/>
    <w:rsid w:val="00F218AE"/>
    <w:rsid w:val="00F22232"/>
    <w:rsid w:val="00F2228E"/>
    <w:rsid w:val="00F22D3C"/>
    <w:rsid w:val="00F23768"/>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A5C"/>
    <w:rsid w:val="00F67F04"/>
    <w:rsid w:val="00F70207"/>
    <w:rsid w:val="00F702CB"/>
    <w:rsid w:val="00F70F4A"/>
    <w:rsid w:val="00F71AC2"/>
    <w:rsid w:val="00F739D4"/>
    <w:rsid w:val="00F77D43"/>
    <w:rsid w:val="00F8000E"/>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30C0"/>
    <w:rsid w:val="00FD5EC4"/>
    <w:rsid w:val="00FD7858"/>
    <w:rsid w:val="00FD7A8D"/>
    <w:rsid w:val="00FE1330"/>
    <w:rsid w:val="00FE1CE5"/>
    <w:rsid w:val="00FE2832"/>
    <w:rsid w:val="00FE2D38"/>
    <w:rsid w:val="00FE3929"/>
    <w:rsid w:val="00FE4774"/>
    <w:rsid w:val="00FE6B37"/>
    <w:rsid w:val="00FF097B"/>
    <w:rsid w:val="00FF0B6E"/>
    <w:rsid w:val="00FF1C1B"/>
    <w:rsid w:val="00FF2067"/>
    <w:rsid w:val="00FF3984"/>
    <w:rsid w:val="00FF3BC4"/>
    <w:rsid w:val="00FF4B66"/>
    <w:rsid w:val="00FF5DF4"/>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F0769"/>
    <w:rPr>
      <w:rFonts w:ascii="Arial" w:hAnsi="Arial"/>
      <w:szCs w:val="24"/>
      <w:lang w:eastAsia="de-DE"/>
    </w:rPr>
  </w:style>
  <w:style w:type="paragraph" w:styleId="Titolo1">
    <w:name w:val="heading 1"/>
    <w:basedOn w:val="Normale"/>
    <w:next w:val="Normale"/>
    <w:link w:val="Titolo1Carattere"/>
    <w:qFormat/>
    <w:rsid w:val="009E7724"/>
    <w:pPr>
      <w:keepNext/>
      <w:numPr>
        <w:numId w:val="5"/>
      </w:numPr>
      <w:spacing w:before="240" w:after="60"/>
      <w:outlineLvl w:val="0"/>
    </w:pPr>
    <w:rPr>
      <w:rFonts w:cs="Arial"/>
      <w:b/>
      <w:bCs/>
      <w:kern w:val="32"/>
      <w:sz w:val="24"/>
      <w:szCs w:val="32"/>
    </w:rPr>
  </w:style>
  <w:style w:type="paragraph" w:styleId="Titolo2">
    <w:name w:val="heading 2"/>
    <w:basedOn w:val="Normale"/>
    <w:next w:val="Normale"/>
    <w:link w:val="Titolo2Carattere"/>
    <w:qFormat/>
    <w:rsid w:val="00886A60"/>
    <w:pPr>
      <w:keepNext/>
      <w:keepLines/>
      <w:spacing w:before="200" w:after="120"/>
      <w:outlineLvl w:val="1"/>
    </w:pPr>
    <w:rPr>
      <w:b/>
      <w:bCs/>
      <w:szCs w:val="26"/>
    </w:rPr>
  </w:style>
  <w:style w:type="paragraph" w:styleId="Titolo3">
    <w:name w:val="heading 3"/>
    <w:basedOn w:val="Normale"/>
    <w:next w:val="Normale"/>
    <w:link w:val="Titolo3Carattere"/>
    <w:qFormat/>
    <w:rsid w:val="003865E5"/>
    <w:pPr>
      <w:keepNext/>
      <w:keepLines/>
      <w:spacing w:before="200"/>
      <w:outlineLvl w:val="2"/>
    </w:pPr>
    <w:rPr>
      <w:rFonts w:ascii="Cambria" w:hAnsi="Cambria"/>
      <w:b/>
      <w:bCs/>
      <w:color w:val="4F81BD"/>
    </w:rPr>
  </w:style>
  <w:style w:type="paragraph" w:styleId="Titolo4">
    <w:name w:val="heading 4"/>
    <w:basedOn w:val="Normale"/>
    <w:next w:val="Normale"/>
    <w:link w:val="Titolo4Carattere"/>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Titolo5">
    <w:name w:val="heading 5"/>
    <w:aliases w:val="Questions"/>
    <w:basedOn w:val="Normale"/>
    <w:next w:val="Normale"/>
    <w:link w:val="Titolo5Carattere"/>
    <w:qFormat/>
    <w:rsid w:val="00E9344E"/>
    <w:pPr>
      <w:keepNext/>
      <w:keepLines/>
      <w:numPr>
        <w:numId w:val="13"/>
      </w:numPr>
      <w:spacing w:before="200"/>
      <w:jc w:val="both"/>
      <w:outlineLvl w:val="4"/>
    </w:pPr>
    <w:rPr>
      <w:b/>
    </w:rPr>
  </w:style>
  <w:style w:type="paragraph" w:styleId="Titolo6">
    <w:name w:val="heading 6"/>
    <w:basedOn w:val="Normale"/>
    <w:next w:val="Normale"/>
    <w:link w:val="Titolo6Carattere"/>
    <w:qFormat/>
    <w:rsid w:val="003609B6"/>
    <w:pPr>
      <w:numPr>
        <w:ilvl w:val="5"/>
        <w:numId w:val="4"/>
      </w:numPr>
      <w:spacing w:before="240" w:after="60"/>
      <w:outlineLvl w:val="5"/>
    </w:pPr>
    <w:rPr>
      <w:rFonts w:ascii="Times New Roman" w:hAnsi="Times New Roman"/>
      <w:b/>
      <w:bCs/>
      <w:szCs w:val="22"/>
    </w:rPr>
  </w:style>
  <w:style w:type="paragraph" w:styleId="Titolo7">
    <w:name w:val="heading 7"/>
    <w:basedOn w:val="Normale"/>
    <w:next w:val="Normale"/>
    <w:link w:val="Titolo7Carattere"/>
    <w:unhideWhenUsed/>
    <w:qFormat/>
    <w:rsid w:val="002D6E1A"/>
    <w:pPr>
      <w:spacing w:before="240" w:after="60"/>
      <w:ind w:left="1296" w:hanging="1296"/>
      <w:outlineLvl w:val="6"/>
    </w:pPr>
    <w:rPr>
      <w:rFonts w:ascii="Times New Roman" w:hAnsi="Times New Roman"/>
    </w:rPr>
  </w:style>
  <w:style w:type="paragraph" w:styleId="Titolo8">
    <w:name w:val="heading 8"/>
    <w:basedOn w:val="Normale"/>
    <w:next w:val="Normale"/>
    <w:link w:val="Titolo8Carattere"/>
    <w:qFormat/>
    <w:rsid w:val="003609B6"/>
    <w:pPr>
      <w:numPr>
        <w:ilvl w:val="7"/>
        <w:numId w:val="4"/>
      </w:numPr>
      <w:spacing w:before="240" w:after="60"/>
      <w:outlineLvl w:val="7"/>
    </w:pPr>
    <w:rPr>
      <w:rFonts w:ascii="Times New Roman" w:hAnsi="Times New Roman"/>
      <w:i/>
      <w:iCs/>
    </w:rPr>
  </w:style>
  <w:style w:type="paragraph" w:styleId="Titolo9">
    <w:name w:val="heading 9"/>
    <w:basedOn w:val="Normale"/>
    <w:next w:val="Normale"/>
    <w:link w:val="Titolo9Carattere"/>
    <w:qFormat/>
    <w:rsid w:val="00A06867"/>
    <w:pPr>
      <w:tabs>
        <w:tab w:val="num" w:pos="1584"/>
      </w:tabs>
      <w:spacing w:before="240" w:after="60"/>
      <w:ind w:left="1584" w:hanging="1584"/>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5B64CB"/>
    <w:pPr>
      <w:tabs>
        <w:tab w:val="center" w:pos="4536"/>
        <w:tab w:val="right" w:pos="9072"/>
      </w:tabs>
    </w:pPr>
  </w:style>
  <w:style w:type="paragraph" w:styleId="Pidipagina">
    <w:name w:val="footer"/>
    <w:basedOn w:val="Normale"/>
    <w:link w:val="PidipaginaCarattere"/>
    <w:uiPriority w:val="99"/>
    <w:rsid w:val="005B64CB"/>
    <w:pPr>
      <w:tabs>
        <w:tab w:val="center" w:pos="4536"/>
        <w:tab w:val="right" w:pos="9072"/>
      </w:tabs>
    </w:pPr>
  </w:style>
  <w:style w:type="table" w:styleId="Grigliatabella">
    <w:name w:val="Table Grid"/>
    <w:basedOn w:val="Tabellanormale"/>
    <w:uiPriority w:val="59"/>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e"/>
    <w:rsid w:val="003E3ACA"/>
    <w:pPr>
      <w:spacing w:line="200" w:lineRule="exact"/>
    </w:pPr>
    <w:rPr>
      <w:color w:val="2D4190"/>
      <w:sz w:val="16"/>
    </w:rPr>
  </w:style>
  <w:style w:type="paragraph" w:customStyle="1" w:styleId="05aTitle">
    <w:name w:val="05a_Title"/>
    <w:basedOn w:val="Normale"/>
    <w:rsid w:val="00791EB4"/>
    <w:pPr>
      <w:spacing w:line="340" w:lineRule="exact"/>
    </w:pPr>
    <w:rPr>
      <w:b/>
      <w:color w:val="000000"/>
      <w:sz w:val="28"/>
    </w:rPr>
  </w:style>
  <w:style w:type="paragraph" w:customStyle="1" w:styleId="02Date">
    <w:name w:val="02_Date"/>
    <w:basedOn w:val="Normale"/>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e"/>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Numeropagina">
    <w:name w:val="page number"/>
    <w:basedOn w:val="Carpredefinitoparagrafo"/>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Sommario1">
    <w:name w:val="toc 1"/>
    <w:basedOn w:val="Normale"/>
    <w:next w:val="Normale"/>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Collegamentoipertestuale">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Testonotaapidipagina">
    <w:name w:val="footnote text"/>
    <w:aliases w:val="Char3, Char3,Fußnotentextf,Fußnotentextr,stile 1,Footnote1,Footnote2,Footnote3,Footnote4,Footnote5,Footnote6,Footnote7,Footnote8,Footnote9,Footnote10,Footnote11,Footnote21,Footnote31,Footnote41,Footnote51,Footnote61,Footnote71"/>
    <w:basedOn w:val="Normale"/>
    <w:link w:val="TestonotaapidipaginaCarattere"/>
    <w:uiPriority w:val="99"/>
    <w:qFormat/>
    <w:rsid w:val="001725A5"/>
    <w:pPr>
      <w:spacing w:line="200" w:lineRule="exact"/>
    </w:pPr>
    <w:rPr>
      <w:sz w:val="16"/>
      <w:szCs w:val="20"/>
    </w:rPr>
  </w:style>
  <w:style w:type="character" w:styleId="Rimandonotaapidipagina">
    <w:name w:val="footnote reference"/>
    <w:aliases w:val="SUPERS,Footnote reference number,Footnote symbol,note TESI,-E Fußnotenzeichen,number,BVI fnr,Footnote,Footnote Reference Superscript,(Footnote Reference),EN Footnote Reference,Voetnootverwijzing,Times 10 Point,Exposant 3 Poi"/>
    <w:link w:val="1"/>
    <w:uiPriority w:val="99"/>
    <w:qFormat/>
    <w:rsid w:val="00C274F3"/>
    <w:rPr>
      <w:vertAlign w:val="superscript"/>
    </w:rPr>
  </w:style>
  <w:style w:type="paragraph" w:styleId="Sommario2">
    <w:name w:val="toc 2"/>
    <w:basedOn w:val="Normale"/>
    <w:next w:val="Normale"/>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e"/>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Rimandocommento">
    <w:name w:val="annotation reference"/>
    <w:uiPriority w:val="99"/>
    <w:rsid w:val="004B1E61"/>
    <w:rPr>
      <w:sz w:val="16"/>
      <w:szCs w:val="16"/>
    </w:rPr>
  </w:style>
  <w:style w:type="paragraph" w:styleId="Testocommento">
    <w:name w:val="annotation text"/>
    <w:basedOn w:val="Normale"/>
    <w:link w:val="TestocommentoCarattere"/>
    <w:uiPriority w:val="99"/>
    <w:rsid w:val="004B1E61"/>
    <w:rPr>
      <w:szCs w:val="20"/>
    </w:rPr>
  </w:style>
  <w:style w:type="character" w:customStyle="1" w:styleId="TestocommentoCarattere">
    <w:name w:val="Testo commento Carattere"/>
    <w:link w:val="Testocommento"/>
    <w:uiPriority w:val="99"/>
    <w:rsid w:val="004B1E61"/>
    <w:rPr>
      <w:rFonts w:ascii="Georgia" w:hAnsi="Georgia"/>
      <w:lang w:eastAsia="de-DE"/>
    </w:rPr>
  </w:style>
  <w:style w:type="paragraph" w:styleId="Soggettocommento">
    <w:name w:val="annotation subject"/>
    <w:basedOn w:val="Testocommento"/>
    <w:next w:val="Testocommento"/>
    <w:link w:val="SoggettocommentoCarattere"/>
    <w:rsid w:val="004B1E61"/>
    <w:rPr>
      <w:b/>
      <w:bCs/>
    </w:rPr>
  </w:style>
  <w:style w:type="character" w:customStyle="1" w:styleId="SoggettocommentoCarattere">
    <w:name w:val="Soggetto commento Carattere"/>
    <w:link w:val="Soggettocommento"/>
    <w:rsid w:val="004B1E61"/>
    <w:rPr>
      <w:rFonts w:ascii="Georgia" w:hAnsi="Georgia"/>
      <w:b/>
      <w:bCs/>
      <w:lang w:eastAsia="de-DE"/>
    </w:rPr>
  </w:style>
  <w:style w:type="paragraph" w:styleId="Testofumetto">
    <w:name w:val="Balloon Text"/>
    <w:basedOn w:val="Normale"/>
    <w:link w:val="TestofumettoCarattere"/>
    <w:rsid w:val="004B1E61"/>
    <w:rPr>
      <w:rFonts w:ascii="Tahoma" w:hAnsi="Tahoma" w:cs="Tahoma"/>
      <w:sz w:val="16"/>
      <w:szCs w:val="16"/>
    </w:rPr>
  </w:style>
  <w:style w:type="character" w:customStyle="1" w:styleId="TestofumettoCarattere">
    <w:name w:val="Testo fumetto Carattere"/>
    <w:link w:val="Testofumetto"/>
    <w:rsid w:val="004B1E61"/>
    <w:rPr>
      <w:rFonts w:ascii="Tahoma" w:hAnsi="Tahoma" w:cs="Tahoma"/>
      <w:sz w:val="16"/>
      <w:szCs w:val="16"/>
      <w:lang w:eastAsia="de-DE"/>
    </w:rPr>
  </w:style>
  <w:style w:type="paragraph" w:styleId="Paragrafoelenco">
    <w:name w:val="List Paragraph"/>
    <w:aliases w:val="Paragraphe EI,Paragraphe de liste1,EC,Numbered Para 1,Dot pt,List Paragraph Char Char Char,Indicator Text,Bullet Points,MAIN CONTENT,List Paragraph12,F5 List Paragraph,OBC Bullet,List Paragraph11,Colorful List - Accent 11"/>
    <w:basedOn w:val="Normale"/>
    <w:link w:val="ParagrafoelencoCarattere"/>
    <w:uiPriority w:val="34"/>
    <w:qFormat/>
    <w:rsid w:val="002A0C82"/>
    <w:pPr>
      <w:ind w:left="720"/>
      <w:contextualSpacing/>
    </w:pPr>
  </w:style>
  <w:style w:type="paragraph" w:styleId="Titolosommario">
    <w:name w:val="TOC Heading"/>
    <w:basedOn w:val="Titolo1"/>
    <w:next w:val="Normale"/>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TestonotaapidipaginaCarattere">
    <w:name w:val="Testo nota a piè di pagina Carattere"/>
    <w:aliases w:val="Char3 Carattere, Char3 Carattere,Fußnotentextf Carattere,Fußnotentextr Carattere,stile 1 Carattere,Footnote1 Carattere,Footnote2 Carattere,Footnote3 Carattere,Footnote4 Carattere,Footnote5 Carattere"/>
    <w:link w:val="Testonotaapidipagina"/>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Carpredefinitoparagrafo"/>
    <w:rsid w:val="008E1B6A"/>
  </w:style>
  <w:style w:type="paragraph" w:customStyle="1" w:styleId="ManualNumPar1">
    <w:name w:val="Manual NumPar 1"/>
    <w:basedOn w:val="Normale"/>
    <w:next w:val="Normale"/>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Titolo1Carattere">
    <w:name w:val="Titolo 1 Carattere"/>
    <w:link w:val="Titolo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nfasicorsivo">
    <w:name w:val="Emphasis"/>
    <w:uiPriority w:val="20"/>
    <w:qFormat/>
    <w:rsid w:val="005F028E"/>
    <w:rPr>
      <w:i/>
      <w:iCs/>
    </w:rPr>
  </w:style>
  <w:style w:type="paragraph" w:styleId="Revisione">
    <w:name w:val="Revision"/>
    <w:link w:val="RevisioneCarattere"/>
    <w:hidden/>
    <w:uiPriority w:val="99"/>
    <w:semiHidden/>
    <w:rsid w:val="008E6A37"/>
    <w:rPr>
      <w:rFonts w:ascii="Georgia" w:hAnsi="Georgia"/>
      <w:sz w:val="22"/>
      <w:szCs w:val="24"/>
      <w:lang w:eastAsia="de-DE"/>
    </w:rPr>
  </w:style>
  <w:style w:type="paragraph" w:styleId="Sommario3">
    <w:name w:val="toc 3"/>
    <w:basedOn w:val="Normale"/>
    <w:next w:val="Normale"/>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e"/>
    <w:next w:val="Normale"/>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e"/>
    <w:next w:val="Normale"/>
    <w:uiPriority w:val="99"/>
    <w:rsid w:val="00F377CD"/>
    <w:pPr>
      <w:autoSpaceDE w:val="0"/>
      <w:autoSpaceDN w:val="0"/>
      <w:adjustRightInd w:val="0"/>
    </w:pPr>
    <w:rPr>
      <w:rFonts w:ascii="EUAlbertina" w:eastAsia="Calibri" w:hAnsi="EUAlbertina"/>
      <w:sz w:val="24"/>
      <w:lang w:val="fr-FR" w:eastAsia="en-US"/>
    </w:rPr>
  </w:style>
  <w:style w:type="paragraph" w:styleId="Sommario4">
    <w:name w:val="toc 4"/>
    <w:basedOn w:val="Normale"/>
    <w:next w:val="Normale"/>
    <w:autoRedefine/>
    <w:uiPriority w:val="39"/>
    <w:unhideWhenUsed/>
    <w:rsid w:val="00F377CD"/>
    <w:pPr>
      <w:spacing w:after="100" w:line="276" w:lineRule="auto"/>
      <w:ind w:left="660"/>
    </w:pPr>
    <w:rPr>
      <w:rFonts w:ascii="Calibri" w:hAnsi="Calibri"/>
      <w:szCs w:val="22"/>
      <w:lang w:eastAsia="en-GB"/>
    </w:rPr>
  </w:style>
  <w:style w:type="paragraph" w:styleId="Sommario5">
    <w:name w:val="toc 5"/>
    <w:basedOn w:val="Normale"/>
    <w:next w:val="Normale"/>
    <w:autoRedefine/>
    <w:uiPriority w:val="39"/>
    <w:unhideWhenUsed/>
    <w:rsid w:val="00F377CD"/>
    <w:pPr>
      <w:spacing w:after="100" w:line="276" w:lineRule="auto"/>
      <w:ind w:left="880"/>
    </w:pPr>
    <w:rPr>
      <w:rFonts w:ascii="Calibri" w:hAnsi="Calibri"/>
      <w:szCs w:val="22"/>
      <w:lang w:eastAsia="en-GB"/>
    </w:rPr>
  </w:style>
  <w:style w:type="paragraph" w:styleId="Sommario6">
    <w:name w:val="toc 6"/>
    <w:basedOn w:val="Normale"/>
    <w:next w:val="Normale"/>
    <w:autoRedefine/>
    <w:uiPriority w:val="39"/>
    <w:unhideWhenUsed/>
    <w:rsid w:val="00F377CD"/>
    <w:pPr>
      <w:spacing w:after="100" w:line="276" w:lineRule="auto"/>
      <w:ind w:left="1100"/>
    </w:pPr>
    <w:rPr>
      <w:rFonts w:ascii="Calibri" w:hAnsi="Calibri"/>
      <w:szCs w:val="22"/>
      <w:lang w:eastAsia="en-GB"/>
    </w:rPr>
  </w:style>
  <w:style w:type="paragraph" w:styleId="Sommario7">
    <w:name w:val="toc 7"/>
    <w:basedOn w:val="Normale"/>
    <w:next w:val="Normale"/>
    <w:autoRedefine/>
    <w:uiPriority w:val="39"/>
    <w:unhideWhenUsed/>
    <w:rsid w:val="00F377CD"/>
    <w:pPr>
      <w:spacing w:after="100" w:line="276" w:lineRule="auto"/>
      <w:ind w:left="1320"/>
    </w:pPr>
    <w:rPr>
      <w:rFonts w:ascii="Calibri" w:hAnsi="Calibri"/>
      <w:szCs w:val="22"/>
      <w:lang w:eastAsia="en-GB"/>
    </w:rPr>
  </w:style>
  <w:style w:type="paragraph" w:styleId="Sommario8">
    <w:name w:val="toc 8"/>
    <w:basedOn w:val="Normale"/>
    <w:next w:val="Normale"/>
    <w:autoRedefine/>
    <w:uiPriority w:val="39"/>
    <w:unhideWhenUsed/>
    <w:rsid w:val="00F377CD"/>
    <w:pPr>
      <w:spacing w:after="100" w:line="276" w:lineRule="auto"/>
      <w:ind w:left="1540"/>
    </w:pPr>
    <w:rPr>
      <w:rFonts w:ascii="Calibri" w:hAnsi="Calibri"/>
      <w:szCs w:val="22"/>
      <w:lang w:eastAsia="en-GB"/>
    </w:rPr>
  </w:style>
  <w:style w:type="paragraph" w:styleId="Sommario9">
    <w:name w:val="toc 9"/>
    <w:basedOn w:val="Normale"/>
    <w:next w:val="Normale"/>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Didascalia">
    <w:name w:val="caption"/>
    <w:basedOn w:val="Normale"/>
    <w:next w:val="Normale"/>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eWeb">
    <w:name w:val="Normal (Web)"/>
    <w:basedOn w:val="Normale"/>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Mappadocumento">
    <w:name w:val="Document Map"/>
    <w:basedOn w:val="Normale"/>
    <w:link w:val="MappadocumentoCarattere"/>
    <w:rsid w:val="00AA016B"/>
    <w:rPr>
      <w:rFonts w:ascii="Tahoma" w:hAnsi="Tahoma" w:cs="Tahoma"/>
      <w:sz w:val="16"/>
      <w:szCs w:val="16"/>
    </w:rPr>
  </w:style>
  <w:style w:type="character" w:customStyle="1" w:styleId="MappadocumentoCarattere">
    <w:name w:val="Mappa documento Carattere"/>
    <w:link w:val="Mappadocumento"/>
    <w:rsid w:val="00AA016B"/>
    <w:rPr>
      <w:rFonts w:ascii="Tahoma" w:hAnsi="Tahoma" w:cs="Tahoma"/>
      <w:sz w:val="16"/>
      <w:szCs w:val="16"/>
      <w:lang w:eastAsia="de-DE"/>
    </w:rPr>
  </w:style>
  <w:style w:type="paragraph" w:styleId="Testonormale">
    <w:name w:val="Plain Text"/>
    <w:basedOn w:val="Normale"/>
    <w:link w:val="TestonormaleCarattere"/>
    <w:unhideWhenUsed/>
    <w:rsid w:val="00AA016B"/>
    <w:rPr>
      <w:rFonts w:ascii="Consolas" w:hAnsi="Consolas"/>
      <w:sz w:val="21"/>
      <w:szCs w:val="21"/>
      <w:lang w:val="de-DE"/>
    </w:rPr>
  </w:style>
  <w:style w:type="character" w:customStyle="1" w:styleId="TestonormaleCarattere">
    <w:name w:val="Testo normale Carattere"/>
    <w:link w:val="Testonormale"/>
    <w:rsid w:val="00AA016B"/>
    <w:rPr>
      <w:rFonts w:ascii="Consolas" w:hAnsi="Consolas"/>
      <w:sz w:val="21"/>
      <w:szCs w:val="21"/>
      <w:lang w:val="de-DE" w:eastAsia="de-DE"/>
    </w:rPr>
  </w:style>
  <w:style w:type="paragraph" w:styleId="Corpotesto">
    <w:name w:val="Body Text"/>
    <w:basedOn w:val="Normale"/>
    <w:link w:val="CorpotestoCarattere"/>
    <w:unhideWhenUsed/>
    <w:rsid w:val="00AA016B"/>
    <w:pPr>
      <w:numPr>
        <w:numId w:val="8"/>
      </w:numPr>
      <w:spacing w:after="240"/>
      <w:jc w:val="both"/>
    </w:pPr>
    <w:rPr>
      <w:rFonts w:ascii="Times New Roman" w:hAnsi="Times New Roman"/>
      <w:sz w:val="24"/>
      <w:szCs w:val="20"/>
      <w:lang w:eastAsia="en-GB"/>
    </w:rPr>
  </w:style>
  <w:style w:type="character" w:customStyle="1" w:styleId="CorpotestoCarattere">
    <w:name w:val="Corpo testo Carattere"/>
    <w:link w:val="Corpotesto"/>
    <w:rsid w:val="00AA016B"/>
    <w:rPr>
      <w:sz w:val="24"/>
    </w:rPr>
  </w:style>
  <w:style w:type="paragraph" w:customStyle="1" w:styleId="ListParagraph1">
    <w:name w:val="List Paragraph1"/>
    <w:basedOn w:val="Normale"/>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Enfasigrassetto">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Titolo2Carattere">
    <w:name w:val="Titolo 2 Carattere"/>
    <w:link w:val="Titolo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Titolo9Carattere">
    <w:name w:val="Titolo 9 Carattere"/>
    <w:link w:val="Titolo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e"/>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Titolo7Carattere">
    <w:name w:val="Titolo 7 Carattere"/>
    <w:link w:val="Titolo7"/>
    <w:rsid w:val="002D6E1A"/>
    <w:rPr>
      <w:sz w:val="22"/>
      <w:szCs w:val="24"/>
      <w:lang w:eastAsia="de-DE"/>
    </w:rPr>
  </w:style>
  <w:style w:type="character" w:customStyle="1" w:styleId="Titolo6Carattere">
    <w:name w:val="Titolo 6 Carattere"/>
    <w:link w:val="Titolo6"/>
    <w:rsid w:val="002D6E1A"/>
    <w:rPr>
      <w:b/>
      <w:bCs/>
      <w:szCs w:val="22"/>
      <w:lang w:eastAsia="de-DE"/>
    </w:rPr>
  </w:style>
  <w:style w:type="character" w:customStyle="1" w:styleId="Titolo8Carattere">
    <w:name w:val="Titolo 8 Carattere"/>
    <w:link w:val="Titolo8"/>
    <w:rsid w:val="002D6E1A"/>
    <w:rPr>
      <w:i/>
      <w:iCs/>
      <w:szCs w:val="24"/>
      <w:lang w:eastAsia="de-DE"/>
    </w:rPr>
  </w:style>
  <w:style w:type="numbering" w:customStyle="1" w:styleId="NoList1">
    <w:name w:val="No List1"/>
    <w:next w:val="Nessunelenco"/>
    <w:uiPriority w:val="99"/>
    <w:semiHidden/>
    <w:unhideWhenUsed/>
    <w:rsid w:val="002D6E1A"/>
  </w:style>
  <w:style w:type="character" w:styleId="Collegamentovisitato">
    <w:name w:val="FollowedHyperlink"/>
    <w:unhideWhenUsed/>
    <w:rsid w:val="002D6E1A"/>
    <w:rPr>
      <w:color w:val="800080"/>
      <w:u w:val="single"/>
    </w:rPr>
  </w:style>
  <w:style w:type="character" w:customStyle="1" w:styleId="IntestazioneCarattere">
    <w:name w:val="Intestazione Carattere"/>
    <w:link w:val="Intestazione"/>
    <w:uiPriority w:val="99"/>
    <w:rsid w:val="002D6E1A"/>
    <w:rPr>
      <w:rFonts w:ascii="Georgia" w:hAnsi="Georgia"/>
      <w:sz w:val="22"/>
      <w:szCs w:val="24"/>
      <w:lang w:eastAsia="de-DE"/>
    </w:rPr>
  </w:style>
  <w:style w:type="character" w:customStyle="1" w:styleId="PidipaginaCarattere">
    <w:name w:val="Piè di pagina Carattere"/>
    <w:link w:val="Pidipagina"/>
    <w:uiPriority w:val="99"/>
    <w:rsid w:val="002D6E1A"/>
    <w:rPr>
      <w:rFonts w:ascii="Georgia" w:hAnsi="Georgia"/>
      <w:sz w:val="22"/>
      <w:szCs w:val="24"/>
      <w:lang w:eastAsia="de-DE"/>
    </w:rPr>
  </w:style>
  <w:style w:type="paragraph" w:styleId="Testonotadichiusura">
    <w:name w:val="endnote text"/>
    <w:basedOn w:val="Normale"/>
    <w:link w:val="TestonotadichiusuraCarattere"/>
    <w:unhideWhenUsed/>
    <w:rsid w:val="002D6E1A"/>
    <w:rPr>
      <w:szCs w:val="20"/>
    </w:rPr>
  </w:style>
  <w:style w:type="character" w:customStyle="1" w:styleId="TestonotadichiusuraCarattere">
    <w:name w:val="Testo nota di chiusura Carattere"/>
    <w:link w:val="Testonotadichiusura"/>
    <w:rsid w:val="002D6E1A"/>
    <w:rPr>
      <w:rFonts w:ascii="Georgia" w:hAnsi="Georgia"/>
      <w:lang w:eastAsia="de-DE"/>
    </w:rPr>
  </w:style>
  <w:style w:type="paragraph" w:styleId="Numeroelenco">
    <w:name w:val="List Number"/>
    <w:basedOn w:val="Normale"/>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ParagrafoelencoCarattere">
    <w:name w:val="Paragrafo elenco Carattere"/>
    <w:aliases w:val="Paragraphe EI Carattere,Paragraphe de liste1 Carattere,EC Carattere,Numbered Para 1 Carattere,Dot pt Carattere,List Paragraph Char Char Char Carattere,Indicator Text Carattere,Bullet Points Carattere,MAIN CONTENT Carattere"/>
    <w:link w:val="Paragrafoelenco"/>
    <w:uiPriority w:val="34"/>
    <w:qFormat/>
    <w:locked/>
    <w:rsid w:val="002D6E1A"/>
    <w:rPr>
      <w:rFonts w:ascii="Georgia" w:hAnsi="Georgia"/>
      <w:sz w:val="22"/>
      <w:szCs w:val="24"/>
      <w:lang w:eastAsia="de-DE"/>
    </w:rPr>
  </w:style>
  <w:style w:type="paragraph" w:customStyle="1" w:styleId="04anumbering0">
    <w:name w:val="04anumbering"/>
    <w:basedOn w:val="Normale"/>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e"/>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Paragrafoelenco"/>
    <w:link w:val="DPChar"/>
    <w:qFormat/>
    <w:rsid w:val="002D6E1A"/>
    <w:pPr>
      <w:ind w:left="708"/>
      <w:contextualSpacing w:val="0"/>
      <w:jc w:val="both"/>
    </w:pPr>
    <w:rPr>
      <w:b/>
      <w:szCs w:val="20"/>
      <w:u w:val="single"/>
    </w:rPr>
  </w:style>
  <w:style w:type="paragraph" w:customStyle="1" w:styleId="Bullet">
    <w:name w:val="Bullet"/>
    <w:basedOn w:val="Normale"/>
    <w:rsid w:val="002D6E1A"/>
    <w:pPr>
      <w:numPr>
        <w:numId w:val="11"/>
      </w:numPr>
      <w:tabs>
        <w:tab w:val="left" w:pos="708"/>
      </w:tabs>
      <w:spacing w:before="120" w:after="120" w:line="276" w:lineRule="auto"/>
      <w:jc w:val="both"/>
    </w:pPr>
    <w:rPr>
      <w:szCs w:val="20"/>
      <w:lang w:eastAsia="en-GB"/>
    </w:rPr>
  </w:style>
  <w:style w:type="character" w:styleId="Rimandonotadichiusura">
    <w:name w:val="endnote reference"/>
    <w:unhideWhenUsed/>
    <w:rsid w:val="002D6E1A"/>
    <w:rPr>
      <w:vertAlign w:val="superscript"/>
    </w:rPr>
  </w:style>
  <w:style w:type="character" w:styleId="Testosegnaposto">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ellanormale"/>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essunelenco"/>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Numeroriga">
    <w:name w:val="line number"/>
    <w:basedOn w:val="Carpredefinitoparagrafo"/>
    <w:uiPriority w:val="99"/>
    <w:unhideWhenUsed/>
    <w:rsid w:val="00952F2C"/>
  </w:style>
  <w:style w:type="paragraph" w:customStyle="1" w:styleId="aStyle">
    <w:name w:val="a) Style"/>
    <w:basedOn w:val="Normale"/>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Didascalia"/>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e"/>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Titolo5Carattere">
    <w:name w:val="Titolo 5 Carattere"/>
    <w:aliases w:val="Questions Carattere"/>
    <w:link w:val="Titolo5"/>
    <w:rsid w:val="00E9344E"/>
    <w:rPr>
      <w:rFonts w:ascii="Arial" w:hAnsi="Arial"/>
      <w:b/>
      <w:szCs w:val="24"/>
      <w:lang w:eastAsia="de-DE"/>
    </w:rPr>
  </w:style>
  <w:style w:type="character" w:customStyle="1" w:styleId="Titolo3Carattere">
    <w:name w:val="Titolo 3 Carattere"/>
    <w:link w:val="Titolo3"/>
    <w:rsid w:val="003865E5"/>
    <w:rPr>
      <w:rFonts w:ascii="Cambria" w:eastAsia="Times New Roman" w:hAnsi="Cambria" w:cs="Times New Roman"/>
      <w:b/>
      <w:bCs/>
      <w:color w:val="4F81BD"/>
      <w:sz w:val="22"/>
      <w:szCs w:val="24"/>
      <w:lang w:eastAsia="de-DE"/>
    </w:rPr>
  </w:style>
  <w:style w:type="character" w:customStyle="1" w:styleId="Titolo4Carattere">
    <w:name w:val="Titolo 4 Carattere"/>
    <w:link w:val="Titolo4"/>
    <w:rsid w:val="00CB7286"/>
    <w:rPr>
      <w:b/>
      <w:bCs/>
      <w:sz w:val="28"/>
      <w:szCs w:val="28"/>
      <w:lang w:eastAsia="de-DE"/>
    </w:rPr>
  </w:style>
  <w:style w:type="table" w:styleId="Elencochiaro-Colore3">
    <w:name w:val="Light List Accent 3"/>
    <w:basedOn w:val="Tabellanormale"/>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ellanormale"/>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e"/>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e"/>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Titolo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Titolo1"/>
    <w:next w:val="Normale"/>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e"/>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e"/>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e"/>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e"/>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e"/>
    <w:next w:val="Normale"/>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e"/>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e"/>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e"/>
    <w:rsid w:val="000D2D0B"/>
    <w:rPr>
      <w:szCs w:val="20"/>
    </w:rPr>
  </w:style>
  <w:style w:type="paragraph" w:customStyle="1" w:styleId="Sbuchead">
    <w:name w:val="Sbuchead"/>
    <w:basedOn w:val="Normale"/>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e"/>
    <w:next w:val="Fait"/>
    <w:rsid w:val="000D2D0B"/>
    <w:pPr>
      <w:spacing w:before="480" w:after="120"/>
      <w:jc w:val="both"/>
    </w:pPr>
    <w:rPr>
      <w:rFonts w:ascii="Times New Roman" w:hAnsi="Times New Roman"/>
      <w:sz w:val="24"/>
      <w:lang w:eastAsia="en-US"/>
    </w:rPr>
  </w:style>
  <w:style w:type="paragraph" w:customStyle="1" w:styleId="Fait">
    <w:name w:val="Fait à"/>
    <w:basedOn w:val="Normale"/>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e"/>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e"/>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e"/>
    <w:next w:val="Normale"/>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e"/>
    <w:next w:val="Normale"/>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e"/>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e"/>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e"/>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e"/>
    <w:rsid w:val="000D2D0B"/>
    <w:pPr>
      <w:spacing w:before="120" w:after="120"/>
      <w:ind w:left="850"/>
      <w:jc w:val="both"/>
    </w:pPr>
    <w:rPr>
      <w:rFonts w:ascii="Times New Roman" w:hAnsi="Times New Roman"/>
      <w:sz w:val="24"/>
      <w:lang w:eastAsia="en-US"/>
    </w:rPr>
  </w:style>
  <w:style w:type="paragraph" w:customStyle="1" w:styleId="Text2">
    <w:name w:val="Text 2"/>
    <w:basedOn w:val="Normale"/>
    <w:rsid w:val="000D2D0B"/>
    <w:pPr>
      <w:spacing w:before="120" w:after="120"/>
      <w:ind w:left="1417"/>
      <w:jc w:val="both"/>
    </w:pPr>
    <w:rPr>
      <w:rFonts w:ascii="Times New Roman" w:hAnsi="Times New Roman"/>
      <w:sz w:val="24"/>
      <w:lang w:eastAsia="en-US"/>
    </w:rPr>
  </w:style>
  <w:style w:type="paragraph" w:customStyle="1" w:styleId="Text3">
    <w:name w:val="Text 3"/>
    <w:basedOn w:val="Normale"/>
    <w:rsid w:val="000D2D0B"/>
    <w:pPr>
      <w:spacing w:before="120" w:after="120"/>
      <w:ind w:left="1984"/>
      <w:jc w:val="both"/>
    </w:pPr>
    <w:rPr>
      <w:rFonts w:ascii="Times New Roman" w:hAnsi="Times New Roman"/>
      <w:sz w:val="24"/>
      <w:lang w:eastAsia="en-US"/>
    </w:rPr>
  </w:style>
  <w:style w:type="paragraph" w:customStyle="1" w:styleId="Text4">
    <w:name w:val="Text 4"/>
    <w:basedOn w:val="Normale"/>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e"/>
    <w:rsid w:val="000D2D0B"/>
    <w:pPr>
      <w:spacing w:before="120" w:after="120"/>
      <w:jc w:val="center"/>
    </w:pPr>
    <w:rPr>
      <w:rFonts w:ascii="Times New Roman" w:hAnsi="Times New Roman"/>
      <w:sz w:val="24"/>
      <w:lang w:eastAsia="en-US"/>
    </w:rPr>
  </w:style>
  <w:style w:type="paragraph" w:customStyle="1" w:styleId="NormalLeft">
    <w:name w:val="Normal Left"/>
    <w:basedOn w:val="Normale"/>
    <w:rsid w:val="000D2D0B"/>
    <w:pPr>
      <w:spacing w:before="120" w:after="120"/>
    </w:pPr>
    <w:rPr>
      <w:rFonts w:ascii="Times New Roman" w:hAnsi="Times New Roman"/>
      <w:sz w:val="24"/>
      <w:lang w:eastAsia="en-US"/>
    </w:rPr>
  </w:style>
  <w:style w:type="paragraph" w:customStyle="1" w:styleId="NormalRight">
    <w:name w:val="Normal Right"/>
    <w:basedOn w:val="Normale"/>
    <w:rsid w:val="000D2D0B"/>
    <w:pPr>
      <w:spacing w:before="120" w:after="120"/>
      <w:jc w:val="right"/>
    </w:pPr>
    <w:rPr>
      <w:rFonts w:ascii="Times New Roman" w:hAnsi="Times New Roman"/>
      <w:sz w:val="24"/>
      <w:lang w:eastAsia="en-US"/>
    </w:rPr>
  </w:style>
  <w:style w:type="paragraph" w:customStyle="1" w:styleId="QuotedText">
    <w:name w:val="Quoted Text"/>
    <w:basedOn w:val="Normale"/>
    <w:rsid w:val="000D2D0B"/>
    <w:pPr>
      <w:spacing w:before="120" w:after="120"/>
      <w:ind w:left="1417"/>
      <w:jc w:val="both"/>
    </w:pPr>
    <w:rPr>
      <w:rFonts w:ascii="Times New Roman" w:hAnsi="Times New Roman"/>
      <w:sz w:val="24"/>
      <w:lang w:eastAsia="en-US"/>
    </w:rPr>
  </w:style>
  <w:style w:type="paragraph" w:customStyle="1" w:styleId="Point0">
    <w:name w:val="Point 0"/>
    <w:basedOn w:val="Normale"/>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e"/>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e"/>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e"/>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e"/>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e"/>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e"/>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e"/>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e"/>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e"/>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e"/>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e"/>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e"/>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e"/>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e"/>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e"/>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e"/>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e"/>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e"/>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e"/>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e"/>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e"/>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e"/>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e"/>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e"/>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e"/>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e"/>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e"/>
    <w:next w:val="Normale"/>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e"/>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e"/>
    <w:next w:val="Titolo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e"/>
    <w:next w:val="Normale"/>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e"/>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e"/>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e"/>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e"/>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e"/>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e"/>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e"/>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e"/>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e"/>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e"/>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e"/>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e"/>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e"/>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e"/>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e"/>
    <w:next w:val="Normale"/>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e"/>
    <w:next w:val="Normale"/>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e"/>
    <w:next w:val="Normale"/>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e"/>
    <w:next w:val="Normale"/>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e"/>
    <w:next w:val="Normale"/>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e"/>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e"/>
    <w:next w:val="Normale"/>
    <w:rsid w:val="000D2D0B"/>
    <w:pPr>
      <w:spacing w:after="240"/>
    </w:pPr>
    <w:rPr>
      <w:rFonts w:ascii="Times New Roman" w:hAnsi="Times New Roman"/>
      <w:sz w:val="24"/>
      <w:lang w:eastAsia="en-US"/>
    </w:rPr>
  </w:style>
  <w:style w:type="paragraph" w:customStyle="1" w:styleId="Datedadoption">
    <w:name w:val="Date d'adoption"/>
    <w:basedOn w:val="Normale"/>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e"/>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e"/>
    <w:next w:val="Normale"/>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e"/>
    <w:next w:val="Normale"/>
    <w:rsid w:val="000D2D0B"/>
    <w:pPr>
      <w:keepNext/>
      <w:spacing w:before="600" w:after="120"/>
      <w:jc w:val="both"/>
    </w:pPr>
    <w:rPr>
      <w:rFonts w:ascii="Times New Roman" w:hAnsi="Times New Roman"/>
      <w:sz w:val="24"/>
      <w:lang w:eastAsia="en-US"/>
    </w:rPr>
  </w:style>
  <w:style w:type="paragraph" w:customStyle="1" w:styleId="Langue">
    <w:name w:val="Langue"/>
    <w:basedOn w:val="Normale"/>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e"/>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e"/>
    <w:next w:val="Emission"/>
    <w:rsid w:val="000D2D0B"/>
    <w:rPr>
      <w:rFonts w:cs="Arial"/>
      <w:sz w:val="24"/>
      <w:lang w:eastAsia="en-US"/>
    </w:rPr>
  </w:style>
  <w:style w:type="paragraph" w:customStyle="1" w:styleId="Rfrenceinstitutionnelle">
    <w:name w:val="Référence institutionnelle"/>
    <w:basedOn w:val="Normale"/>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e"/>
    <w:next w:val="Statut"/>
    <w:rsid w:val="000D2D0B"/>
    <w:pPr>
      <w:ind w:left="5103"/>
    </w:pPr>
    <w:rPr>
      <w:rFonts w:ascii="Times New Roman" w:hAnsi="Times New Roman"/>
      <w:sz w:val="24"/>
      <w:lang w:eastAsia="en-US"/>
    </w:rPr>
  </w:style>
  <w:style w:type="paragraph" w:customStyle="1" w:styleId="Rfrenceinterne">
    <w:name w:val="Référence interne"/>
    <w:basedOn w:val="Normale"/>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e"/>
    <w:rsid w:val="000D2D0B"/>
    <w:pPr>
      <w:jc w:val="center"/>
    </w:pPr>
    <w:rPr>
      <w:rFonts w:ascii="Times New Roman" w:hAnsi="Times New Roman"/>
      <w:b/>
      <w:sz w:val="24"/>
      <w:lang w:eastAsia="en-US"/>
    </w:rPr>
  </w:style>
  <w:style w:type="paragraph" w:customStyle="1" w:styleId="Statut">
    <w:name w:val="Statut"/>
    <w:basedOn w:val="Normale"/>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e"/>
    <w:next w:val="Normale"/>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e"/>
    <w:next w:val="Normale"/>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e"/>
    <w:next w:val="Normale"/>
    <w:rsid w:val="000D2D0B"/>
    <w:pPr>
      <w:spacing w:before="120" w:after="120"/>
      <w:jc w:val="both"/>
    </w:pPr>
    <w:rPr>
      <w:rFonts w:ascii="Times New Roman" w:hAnsi="Times New Roman"/>
      <w:sz w:val="24"/>
      <w:lang w:eastAsia="en-US"/>
    </w:rPr>
  </w:style>
  <w:style w:type="paragraph" w:customStyle="1" w:styleId="Supertitre">
    <w:name w:val="Supertitre"/>
    <w:basedOn w:val="Normale"/>
    <w:next w:val="Normale"/>
    <w:rsid w:val="000D2D0B"/>
    <w:pPr>
      <w:spacing w:after="600"/>
      <w:jc w:val="center"/>
    </w:pPr>
    <w:rPr>
      <w:rFonts w:ascii="Times New Roman" w:hAnsi="Times New Roman"/>
      <w:b/>
      <w:sz w:val="24"/>
      <w:lang w:eastAsia="en-US"/>
    </w:rPr>
  </w:style>
  <w:style w:type="paragraph" w:customStyle="1" w:styleId="Languesfaisantfoi">
    <w:name w:val="Langues faisant foi"/>
    <w:basedOn w:val="Normale"/>
    <w:next w:val="Normale"/>
    <w:rsid w:val="000D2D0B"/>
    <w:pPr>
      <w:spacing w:before="360"/>
      <w:jc w:val="center"/>
    </w:pPr>
    <w:rPr>
      <w:rFonts w:ascii="Times New Roman" w:hAnsi="Times New Roman"/>
      <w:sz w:val="24"/>
      <w:lang w:eastAsia="en-US"/>
    </w:rPr>
  </w:style>
  <w:style w:type="paragraph" w:customStyle="1" w:styleId="Rfrencecroise">
    <w:name w:val="Référence croisée"/>
    <w:basedOn w:val="Normale"/>
    <w:rsid w:val="000D2D0B"/>
    <w:pPr>
      <w:jc w:val="center"/>
    </w:pPr>
    <w:rPr>
      <w:rFonts w:ascii="Times New Roman" w:hAnsi="Times New Roman"/>
      <w:sz w:val="24"/>
      <w:lang w:eastAsia="en-US"/>
    </w:rPr>
  </w:style>
  <w:style w:type="paragraph" w:customStyle="1" w:styleId="Fichefinanciretitre">
    <w:name w:val="Fiche financière titre"/>
    <w:basedOn w:val="Normale"/>
    <w:next w:val="Normale"/>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e"/>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e"/>
    <w:rsid w:val="000D2D0B"/>
    <w:pPr>
      <w:spacing w:after="240"/>
    </w:pPr>
  </w:style>
  <w:style w:type="paragraph" w:customStyle="1" w:styleId="Accompagnant">
    <w:name w:val="Accompagnant"/>
    <w:basedOn w:val="Normale"/>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e"/>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e"/>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e"/>
    <w:next w:val="Normale"/>
    <w:rsid w:val="000D2D0B"/>
    <w:pPr>
      <w:spacing w:before="360"/>
      <w:jc w:val="center"/>
    </w:pPr>
    <w:rPr>
      <w:rFonts w:ascii="Times New Roman" w:hAnsi="Times New Roman"/>
      <w:sz w:val="24"/>
      <w:lang w:eastAsia="en-US"/>
    </w:rPr>
  </w:style>
  <w:style w:type="paragraph" w:styleId="Numeroelenco2">
    <w:name w:val="List Number 2"/>
    <w:basedOn w:val="Normale"/>
    <w:rsid w:val="000D2D0B"/>
    <w:pPr>
      <w:tabs>
        <w:tab w:val="num" w:pos="643"/>
      </w:tabs>
      <w:spacing w:before="120" w:after="120"/>
      <w:ind w:left="643" w:hanging="360"/>
      <w:jc w:val="both"/>
    </w:pPr>
    <w:rPr>
      <w:rFonts w:ascii="Times New Roman" w:hAnsi="Times New Roman"/>
      <w:sz w:val="24"/>
      <w:lang w:eastAsia="en-US"/>
    </w:rPr>
  </w:style>
  <w:style w:type="paragraph" w:styleId="Numeroelenco3">
    <w:name w:val="List Number 3"/>
    <w:basedOn w:val="Normale"/>
    <w:rsid w:val="000D2D0B"/>
    <w:pPr>
      <w:tabs>
        <w:tab w:val="num" w:pos="926"/>
      </w:tabs>
      <w:spacing w:before="120" w:after="120"/>
      <w:ind w:left="926" w:hanging="360"/>
      <w:jc w:val="both"/>
    </w:pPr>
    <w:rPr>
      <w:rFonts w:ascii="Times New Roman" w:hAnsi="Times New Roman"/>
      <w:sz w:val="24"/>
      <w:lang w:eastAsia="en-US"/>
    </w:rPr>
  </w:style>
  <w:style w:type="paragraph" w:styleId="Numeroelenco4">
    <w:name w:val="List Number 4"/>
    <w:basedOn w:val="Normale"/>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Puntoelenco">
    <w:name w:val="List Bullet"/>
    <w:basedOn w:val="Normale"/>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Puntoelenco2">
    <w:name w:val="List Bullet 2"/>
    <w:basedOn w:val="Normale"/>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Puntoelenco3">
    <w:name w:val="List Bullet 3"/>
    <w:basedOn w:val="Normale"/>
    <w:rsid w:val="000D2D0B"/>
    <w:pPr>
      <w:numPr>
        <w:numId w:val="16"/>
      </w:numPr>
      <w:tabs>
        <w:tab w:val="num" w:pos="926"/>
      </w:tabs>
      <w:spacing w:before="120" w:after="120"/>
      <w:ind w:left="926"/>
      <w:jc w:val="both"/>
    </w:pPr>
    <w:rPr>
      <w:rFonts w:ascii="Times New Roman" w:hAnsi="Times New Roman"/>
      <w:sz w:val="24"/>
      <w:lang w:eastAsia="en-US"/>
    </w:rPr>
  </w:style>
  <w:style w:type="paragraph" w:styleId="Puntoelenco4">
    <w:name w:val="List Bullet 4"/>
    <w:basedOn w:val="Normale"/>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Indicedellefigure">
    <w:name w:val="table of figures"/>
    <w:basedOn w:val="Normale"/>
    <w:next w:val="Normale"/>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e"/>
    <w:rsid w:val="000D2D0B"/>
    <w:pPr>
      <w:ind w:left="720"/>
      <w:contextualSpacing/>
    </w:pPr>
    <w:rPr>
      <w:rFonts w:ascii="Cambria" w:hAnsi="Cambria"/>
      <w:sz w:val="24"/>
      <w:lang w:val="en-US" w:eastAsia="en-US"/>
    </w:rPr>
  </w:style>
  <w:style w:type="paragraph" w:customStyle="1" w:styleId="Listeavsnitt1">
    <w:name w:val="Listeavsnitt1"/>
    <w:basedOn w:val="Normale"/>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e"/>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e"/>
    <w:uiPriority w:val="99"/>
    <w:rsid w:val="000D2D0B"/>
    <w:pPr>
      <w:ind w:left="720"/>
      <w:contextualSpacing/>
    </w:pPr>
    <w:rPr>
      <w:rFonts w:ascii="Cambria" w:hAnsi="Cambria"/>
      <w:sz w:val="24"/>
      <w:lang w:val="en-US" w:eastAsia="en-US"/>
    </w:rPr>
  </w:style>
  <w:style w:type="paragraph" w:customStyle="1" w:styleId="ListParagraph2">
    <w:name w:val="List Paragraph2"/>
    <w:basedOn w:val="Normale"/>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Titolo1"/>
    <w:next w:val="Normale"/>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e"/>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e"/>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e"/>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e"/>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e"/>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e"/>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olo">
    <w:name w:val="Title"/>
    <w:basedOn w:val="Normale"/>
    <w:next w:val="Normale"/>
    <w:link w:val="TitoloCarattere"/>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oloCarattere">
    <w:name w:val="Titolo Carattere"/>
    <w:link w:val="Titolo"/>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e"/>
    <w:rsid w:val="000D2D0B"/>
    <w:pPr>
      <w:spacing w:before="320" w:line="260" w:lineRule="exact"/>
      <w:jc w:val="both"/>
    </w:pPr>
    <w:rPr>
      <w:rFonts w:ascii="Myriad Pro Light" w:hAnsi="Myriad Pro Light"/>
      <w:b/>
      <w:sz w:val="21"/>
      <w:szCs w:val="20"/>
      <w:lang w:val="es-ES" w:eastAsia="es-ES"/>
    </w:rPr>
  </w:style>
  <w:style w:type="character" w:customStyle="1" w:styleId="RevisioneCarattere">
    <w:name w:val="Revisione Carattere"/>
    <w:link w:val="Revisione"/>
    <w:uiPriority w:val="99"/>
    <w:semiHidden/>
    <w:locked/>
    <w:rsid w:val="000D2D0B"/>
    <w:rPr>
      <w:rFonts w:ascii="Georgia" w:hAnsi="Georgia"/>
      <w:sz w:val="22"/>
      <w:szCs w:val="24"/>
      <w:lang w:eastAsia="de-DE"/>
    </w:rPr>
  </w:style>
  <w:style w:type="table" w:customStyle="1" w:styleId="TableGrid2">
    <w:name w:val="Table Grid2"/>
    <w:basedOn w:val="Tabellanormale"/>
    <w:next w:val="Grigliatabella"/>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delicata">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e"/>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e"/>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e"/>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e"/>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e"/>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e"/>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e"/>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e"/>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e"/>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e"/>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e"/>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e"/>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Carpredefinitoparagrafo"/>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Enfasiintensa">
    <w:name w:val="Intense Emphasis"/>
    <w:basedOn w:val="Carpredefinitoparagrafo"/>
    <w:uiPriority w:val="21"/>
    <w:qFormat/>
    <w:rsid w:val="00D34282"/>
    <w:rPr>
      <w:b/>
      <w:bCs/>
      <w:i/>
      <w:iCs/>
    </w:rPr>
  </w:style>
  <w:style w:type="character" w:customStyle="1" w:styleId="CPTitle1Char">
    <w:name w:val="CP_Title1 Char"/>
    <w:basedOn w:val="Carpredefinitoparagrafo"/>
    <w:link w:val="CPTitle1"/>
    <w:locked/>
    <w:rsid w:val="00D34282"/>
    <w:rPr>
      <w:rFonts w:asciiTheme="majorHAnsi" w:eastAsiaTheme="majorEastAsia" w:hAnsiTheme="majorHAnsi" w:cstheme="majorHAnsi"/>
      <w:b/>
      <w:sz w:val="32"/>
      <w:szCs w:val="32"/>
    </w:rPr>
  </w:style>
  <w:style w:type="paragraph" w:customStyle="1" w:styleId="CPTitle1">
    <w:name w:val="CP_Title1"/>
    <w:basedOn w:val="Titolo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Titolo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e"/>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e"/>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e"/>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e"/>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e"/>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e"/>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e"/>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Carpredefinitoparagrafo"/>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e"/>
    <w:next w:val="Normale"/>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Carpredefinitoparagrafo"/>
    <w:link w:val="Questionstyle"/>
    <w:rsid w:val="008701E5"/>
    <w:rPr>
      <w:rFonts w:asciiTheme="minorHAnsi" w:eastAsiaTheme="minorEastAsia" w:hAnsiTheme="minorHAnsi" w:cstheme="minorBidi"/>
      <w:b/>
      <w:sz w:val="22"/>
      <w:lang w:eastAsia="en-US"/>
    </w:rPr>
  </w:style>
  <w:style w:type="paragraph" w:styleId="Sottotitolo">
    <w:name w:val="Subtitle"/>
    <w:basedOn w:val="Normale"/>
    <w:next w:val="Normale"/>
    <w:link w:val="SottotitoloCarattere"/>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ottotitoloCarattere">
    <w:name w:val="Sottotitolo Carattere"/>
    <w:basedOn w:val="Carpredefinitoparagrafo"/>
    <w:link w:val="Sottotitolo"/>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Paragrafoelenco"/>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Carpredefinitoparagrafo"/>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Carpredefinitoparagrafo"/>
    <w:link w:val="myNormal0"/>
    <w:locked/>
    <w:rsid w:val="00AF38AF"/>
    <w:rPr>
      <w:rFonts w:ascii="Georgia" w:hAnsi="Georgia"/>
      <w:lang w:eastAsia="de-DE"/>
    </w:rPr>
  </w:style>
  <w:style w:type="paragraph" w:customStyle="1" w:styleId="myNormal0">
    <w:name w:val="myNormal"/>
    <w:basedOn w:val="Normale"/>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Paragrafoelenco"/>
    <w:qFormat/>
    <w:rsid w:val="00407232"/>
    <w:pPr>
      <w:numPr>
        <w:numId w:val="38"/>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e"/>
    <w:link w:val="Rimandonotaapidipagina"/>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 w:type="paragraph" w:customStyle="1" w:styleId="FCAHeadingLevel2">
    <w:name w:val="FCA Heading Level 2"/>
    <w:basedOn w:val="Normale"/>
    <w:uiPriority w:val="4"/>
    <w:qFormat/>
    <w:rsid w:val="00CD46B7"/>
    <w:pPr>
      <w:spacing w:before="360" w:after="200" w:line="259" w:lineRule="auto"/>
      <w:jc w:val="both"/>
    </w:pPr>
    <w:rPr>
      <w:rFonts w:asciiTheme="minorHAnsi" w:eastAsiaTheme="minorHAnsi" w:hAnsiTheme="minorHAnsi" w:cstheme="minorBidi"/>
      <w:b/>
      <w:color w:val="4F81BD" w:themeColor="accent1"/>
      <w:sz w:val="28"/>
      <w:szCs w:val="22"/>
      <w:u w:val="single"/>
      <w:lang w:eastAsia="en-US"/>
    </w:rPr>
  </w:style>
  <w:style w:type="paragraph" w:customStyle="1" w:styleId="Memberscomments">
    <w:name w:val="Members' comments"/>
    <w:basedOn w:val="Normale"/>
    <w:link w:val="MemberscommentsChar"/>
    <w:qFormat/>
    <w:rsid w:val="00CD46B7"/>
    <w:pPr>
      <w:spacing w:before="120" w:after="200" w:line="276" w:lineRule="auto"/>
      <w:jc w:val="both"/>
    </w:pPr>
    <w:rPr>
      <w:rFonts w:asciiTheme="minorHAnsi" w:eastAsiaTheme="minorHAnsi" w:hAnsiTheme="minorHAnsi" w:cstheme="minorBidi"/>
      <w:color w:val="F79646" w:themeColor="accent6"/>
      <w:sz w:val="22"/>
      <w:szCs w:val="22"/>
      <w:lang w:eastAsia="en-US"/>
    </w:rPr>
  </w:style>
  <w:style w:type="character" w:customStyle="1" w:styleId="MemberscommentsChar">
    <w:name w:val="Members' comments Char"/>
    <w:basedOn w:val="Carpredefinitoparagrafo"/>
    <w:link w:val="Memberscomments"/>
    <w:rsid w:val="00CD46B7"/>
    <w:rPr>
      <w:rFonts w:asciiTheme="minorHAnsi" w:eastAsiaTheme="minorHAnsi" w:hAnsiTheme="minorHAnsi" w:cstheme="minorBidi"/>
      <w:color w:val="F79646" w:themeColor="accent6"/>
      <w:sz w:val="22"/>
      <w:szCs w:val="22"/>
      <w:lang w:eastAsia="en-US"/>
    </w:rPr>
  </w:style>
  <w:style w:type="paragraph" w:customStyle="1" w:styleId="QACorpodeltesto">
    <w:name w:val="Q&amp;A_Corpodeltesto"/>
    <w:basedOn w:val="Normale"/>
    <w:qFormat/>
    <w:rsid w:val="00273915"/>
    <w:pPr>
      <w:spacing w:line="276" w:lineRule="auto"/>
      <w:jc w:val="both"/>
    </w:pPr>
    <w:rPr>
      <w:rFonts w:ascii="Calibri" w:eastAsia="Calibri" w:hAnsi="Calibri"/>
      <w:sz w:val="24"/>
      <w:szCs w:val="22"/>
      <w:lang w:eastAsia="en-US"/>
    </w:rPr>
  </w:style>
  <w:style w:type="table" w:customStyle="1" w:styleId="TableNormal1">
    <w:name w:val="Table Normal1"/>
    <w:uiPriority w:val="2"/>
    <w:semiHidden/>
    <w:unhideWhenUsed/>
    <w:qFormat/>
    <w:rsid w:val="00CA74D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esma.europa.eu/press-news/consultations" TargetMode="External"/><Relationship Id="rId26" Type="http://schemas.openxmlformats.org/officeDocument/2006/relationships/image" Target="media/image7.png"/><Relationship Id="rId39"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esma.europa.eu/legal-notice" TargetMode="External"/><Relationship Id="rId34" Type="http://schemas.microsoft.com/office/2011/relationships/commentsExtended" Target="commentsExtended.xml"/><Relationship Id="rId42" Type="http://schemas.openxmlformats.org/officeDocument/2006/relationships/footer" Target="footer5.xml"/><Relationship Id="rId47" Type="http://schemas.microsoft.com/office/2011/relationships/people" Target="peop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png"/><Relationship Id="rId33" Type="http://schemas.openxmlformats.org/officeDocument/2006/relationships/comments" Target="comments.xml"/><Relationship Id="rId38" Type="http://schemas.openxmlformats.org/officeDocument/2006/relationships/image" Target="media/image15.jpe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iopa.europa.eu/Pages/Links/Legal-notice.aspx" TargetMode="External"/><Relationship Id="rId29" Type="http://schemas.openxmlformats.org/officeDocument/2006/relationships/image" Target="media/image10.png"/><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emf"/><Relationship Id="rId32" Type="http://schemas.openxmlformats.org/officeDocument/2006/relationships/image" Target="media/image13.png"/><Relationship Id="rId37" Type="http://schemas.openxmlformats.org/officeDocument/2006/relationships/image" Target="cid:image002.jpg@01D5B679.7BC89A60" TargetMode="External"/><Relationship Id="rId40" Type="http://schemas.openxmlformats.org/officeDocument/2006/relationships/footer" Target="footer4.xml"/><Relationship Id="rId45"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4.jpeg"/><Relationship Id="rId10" Type="http://schemas.openxmlformats.org/officeDocument/2006/relationships/footnotes" Target="footnotes.xml"/><Relationship Id="rId19" Type="http://schemas.openxmlformats.org/officeDocument/2006/relationships/hyperlink" Target="http://www.eba.europa.eu/legal-notice" TargetMode="External"/><Relationship Id="rId31" Type="http://schemas.openxmlformats.org/officeDocument/2006/relationships/image" Target="media/image12.png"/><Relationship Id="rId44"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microsoft.com/office/2016/09/relationships/commentsIds" Target="commentsIds.xml"/><Relationship Id="rId43" Type="http://schemas.openxmlformats.org/officeDocument/2006/relationships/header" Target="header6.xm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6.png"/></Relationships>
</file>

<file path=word/_rels/header5.xml.rels><?xml version="1.0" encoding="UTF-8" standalone="yes"?>
<Relationships xmlns="http://schemas.openxmlformats.org/package/2006/relationships"><Relationship Id="rId1" Type="http://schemas.openxmlformats.org/officeDocument/2006/relationships/image" Target="media/image16.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87ECFAF7554B04D823C21B7D87947AC" ma:contentTypeVersion="11" ma:contentTypeDescription="Creare un nuovo documento." ma:contentTypeScope="" ma:versionID="d1b94358a5bf2ea4d2ae48ef4336dad3">
  <xsd:schema xmlns:xsd="http://www.w3.org/2001/XMLSchema" xmlns:xs="http://www.w3.org/2001/XMLSchema" xmlns:p="http://schemas.microsoft.com/office/2006/metadata/properties" xmlns:ns3="e059d5d2-6a9e-41e9-b47a-424b71228b2e" xmlns:ns4="a2a6bb2d-413c-4bae-ad39-b46d8bbfc093" targetNamespace="http://schemas.microsoft.com/office/2006/metadata/properties" ma:root="true" ma:fieldsID="72eeb33834a99725d5590dbfdcac442c" ns3:_="" ns4:_="">
    <xsd:import namespace="e059d5d2-6a9e-41e9-b47a-424b71228b2e"/>
    <xsd:import namespace="a2a6bb2d-413c-4bae-ad39-b46d8bbfc09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d5d2-6a9e-41e9-b47a-424b71228b2e"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a6bb2d-413c-4bae-ad39-b46d8bbfc09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DB673-01E7-4F72-9212-DD7E3BCDB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d5d2-6a9e-41e9-b47a-424b71228b2e"/>
    <ds:schemaRef ds:uri="a2a6bb2d-413c-4bae-ad39-b46d8bbfc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4.xml><?xml version="1.0" encoding="utf-8"?>
<ds:datastoreItem xmlns:ds="http://schemas.openxmlformats.org/officeDocument/2006/customXml" ds:itemID="{A230BB84-236E-499C-84FD-CD0F8E165F1D}">
  <ds:schemaRefs>
    <ds:schemaRef ds:uri="http://schemas.openxmlformats.org/officeDocument/2006/bibliography"/>
  </ds:schemaRefs>
</ds:datastoreItem>
</file>

<file path=customXml/itemProps5.xml><?xml version="1.0" encoding="utf-8"?>
<ds:datastoreItem xmlns:ds="http://schemas.openxmlformats.org/officeDocument/2006/customXml" ds:itemID="{9B422D85-ECF7-48D6-89A8-9D1EFE95E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45</Pages>
  <Words>17210</Words>
  <Characters>98099</Characters>
  <Application>Microsoft Office Word</Application>
  <DocSecurity>8</DocSecurity>
  <Lines>817</Lines>
  <Paragraphs>230</Paragraphs>
  <ScaleCrop>false</ScaleCrop>
  <HeadingPairs>
    <vt:vector size="10" baseType="variant">
      <vt:variant>
        <vt:lpstr>Titolo</vt:lpstr>
      </vt:variant>
      <vt:variant>
        <vt:i4>1</vt:i4>
      </vt:variant>
      <vt:variant>
        <vt:lpstr>Title</vt:lpstr>
      </vt:variant>
      <vt:variant>
        <vt:i4>1</vt:i4>
      </vt:variant>
      <vt:variant>
        <vt:lpstr>Título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115079</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Assogestioni</cp:lastModifiedBy>
  <cp:revision>162</cp:revision>
  <cp:lastPrinted>2015-02-18T11:01:00Z</cp:lastPrinted>
  <dcterms:created xsi:type="dcterms:W3CDTF">2020-01-13T10:09:00Z</dcterms:created>
  <dcterms:modified xsi:type="dcterms:W3CDTF">2020-01-13T17:39:00Z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0x010100187ECFAF7554B04D823C21B7D87947AC</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